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4CF" w:rsidRDefault="00A7100C" w:rsidP="00764552">
      <w:pPr>
        <w:pStyle w:val="IRPtitl"/>
        <w:ind w:left="0" w:firstLine="0"/>
        <w:rPr>
          <w:sz w:val="48"/>
          <w:szCs w:val="48"/>
        </w:rPr>
      </w:pPr>
      <w:r>
        <w:rPr>
          <w:sz w:val="48"/>
          <w:szCs w:val="48"/>
        </w:rPr>
        <w:t>RESOURCE PLAN DECISIONS</w:t>
      </w:r>
      <w:r w:rsidR="00045148" w:rsidRPr="00045148">
        <w:rPr>
          <w:sz w:val="48"/>
          <w:szCs w:val="48"/>
        </w:rPr>
        <w:br/>
      </w:r>
      <w:r w:rsidR="00602C1D">
        <w:rPr>
          <w:noProof/>
          <w:color w:val="FFFFFF" w:themeColor="background1"/>
          <w:sz w:val="48"/>
          <w:szCs w:val="48"/>
          <w:lang w:eastAsia="en-US"/>
        </w:rPr>
        <mc:AlternateContent>
          <mc:Choice Requires="wps">
            <w:drawing>
              <wp:anchor distT="0" distB="0" distL="0" distR="182880" simplePos="0" relativeHeight="251661312" behindDoc="0" locked="0" layoutInCell="1" allowOverlap="1">
                <wp:simplePos x="0" y="0"/>
                <wp:positionH relativeFrom="margin">
                  <wp:posOffset>51435</wp:posOffset>
                </wp:positionH>
                <wp:positionV relativeFrom="line">
                  <wp:posOffset>220980</wp:posOffset>
                </wp:positionV>
                <wp:extent cx="3314700" cy="3769360"/>
                <wp:effectExtent l="0" t="0" r="12700" b="0"/>
                <wp:wrapThrough wrapText="right">
                  <wp:wrapPolygon edited="0">
                    <wp:start x="0" y="0"/>
                    <wp:lineTo x="0" y="21396"/>
                    <wp:lineTo x="21517" y="21396"/>
                    <wp:lineTo x="21517" y="0"/>
                    <wp:lineTo x="0" y="0"/>
                  </wp:wrapPolygon>
                </wp:wrapThrough>
                <wp:docPr id="546"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3769360"/>
                        </a:xfrm>
                        <a:prstGeom prst="rect">
                          <a:avLst/>
                        </a:prstGeom>
                        <a:solidFill>
                          <a:srgbClr val="71BB32"/>
                        </a:solidFill>
                        <a:ln>
                          <a:noFill/>
                        </a:ln>
                        <a:extLst/>
                      </wps:spPr>
                      <wps:txbx>
                        <w:txbxContent>
                          <w:p w:rsidR="00741B6D" w:rsidRPr="00771D35" w:rsidRDefault="00741B6D" w:rsidP="00601E72">
                            <w:pPr>
                              <w:pStyle w:val="IRPsub1"/>
                              <w:rPr>
                                <w:i w:val="0"/>
                                <w:sz w:val="32"/>
                                <w:szCs w:val="32"/>
                              </w:rPr>
                            </w:pPr>
                            <w:r w:rsidRPr="00771D35">
                              <w:rPr>
                                <w:i w:val="0"/>
                                <w:sz w:val="32"/>
                                <w:szCs w:val="32"/>
                              </w:rPr>
                              <w:t>Contents:</w:t>
                            </w:r>
                          </w:p>
                          <w:p w:rsidR="00741B6D" w:rsidRPr="00A7100C" w:rsidRDefault="00741B6D" w:rsidP="00B12366">
                            <w:pPr>
                              <w:pStyle w:val="IRPsub1"/>
                              <w:spacing w:before="80" w:after="80"/>
                              <w:rPr>
                                <w:b/>
                                <w:color w:val="244061" w:themeColor="accent1" w:themeShade="80"/>
                              </w:rPr>
                            </w:pPr>
                            <w:r>
                              <w:rPr>
                                <w:b/>
                                <w:color w:val="244061" w:themeColor="accent1" w:themeShade="80"/>
                              </w:rPr>
                              <w:t xml:space="preserve">2-2. </w:t>
                            </w:r>
                            <w:proofErr w:type="gramStart"/>
                            <w:r>
                              <w:rPr>
                                <w:b/>
                                <w:color w:val="244061" w:themeColor="accent1" w:themeShade="80"/>
                              </w:rPr>
                              <w:t>ELECTRIC</w:t>
                            </w:r>
                            <w:r w:rsidRPr="00A7100C">
                              <w:rPr>
                                <w:b/>
                                <w:color w:val="244061" w:themeColor="accent1" w:themeShade="80"/>
                              </w:rPr>
                              <w:t xml:space="preserve">  RESOURCE</w:t>
                            </w:r>
                            <w:proofErr w:type="gramEnd"/>
                            <w:r w:rsidRPr="00A7100C">
                              <w:rPr>
                                <w:b/>
                                <w:color w:val="244061" w:themeColor="accent1" w:themeShade="80"/>
                              </w:rPr>
                              <w:t xml:space="preserve"> PLAN</w:t>
                            </w:r>
                          </w:p>
                          <w:p w:rsidR="00741B6D" w:rsidRPr="00A7100C" w:rsidRDefault="00741B6D" w:rsidP="00A7100C">
                            <w:pPr>
                              <w:pStyle w:val="IRPsanstext"/>
                              <w:numPr>
                                <w:ilvl w:val="0"/>
                                <w:numId w:val="2"/>
                              </w:numPr>
                              <w:tabs>
                                <w:tab w:val="clear" w:pos="360"/>
                                <w:tab w:val="num" w:pos="720"/>
                              </w:tabs>
                              <w:ind w:firstLine="0"/>
                              <w:rPr>
                                <w:i/>
                                <w:color w:val="244061" w:themeColor="accent1" w:themeShade="80"/>
                                <w:sz w:val="22"/>
                                <w:szCs w:val="22"/>
                              </w:rPr>
                            </w:pPr>
                            <w:r w:rsidRPr="00A7100C">
                              <w:rPr>
                                <w:i/>
                                <w:color w:val="244061" w:themeColor="accent1" w:themeShade="80"/>
                                <w:sz w:val="22"/>
                                <w:szCs w:val="22"/>
                              </w:rPr>
                              <w:t>Capacity Planning Standard Update</w:t>
                            </w:r>
                          </w:p>
                          <w:p w:rsidR="00741B6D" w:rsidRPr="00A7100C" w:rsidRDefault="00741B6D" w:rsidP="00A7100C">
                            <w:pPr>
                              <w:pStyle w:val="IRPsanstext"/>
                              <w:numPr>
                                <w:ilvl w:val="0"/>
                                <w:numId w:val="2"/>
                              </w:numPr>
                              <w:tabs>
                                <w:tab w:val="clear" w:pos="360"/>
                                <w:tab w:val="num" w:pos="720"/>
                              </w:tabs>
                              <w:ind w:firstLine="0"/>
                              <w:rPr>
                                <w:i/>
                                <w:color w:val="244061" w:themeColor="accent1" w:themeShade="80"/>
                                <w:sz w:val="22"/>
                                <w:szCs w:val="22"/>
                              </w:rPr>
                            </w:pPr>
                            <w:r w:rsidRPr="00A7100C">
                              <w:rPr>
                                <w:i/>
                                <w:color w:val="244061" w:themeColor="accent1" w:themeShade="80"/>
                                <w:sz w:val="22"/>
                                <w:szCs w:val="22"/>
                              </w:rPr>
                              <w:t xml:space="preserve">Regional Resource Configuration </w:t>
                            </w:r>
                            <w:r w:rsidRPr="00A7100C">
                              <w:rPr>
                                <w:i/>
                                <w:color w:val="244061" w:themeColor="accent1" w:themeShade="80"/>
                                <w:sz w:val="22"/>
                                <w:szCs w:val="22"/>
                              </w:rPr>
                              <w:br/>
                              <w:t xml:space="preserve">      Assumptions</w:t>
                            </w:r>
                          </w:p>
                          <w:p w:rsidR="00741B6D" w:rsidRPr="00A7100C" w:rsidRDefault="00741B6D" w:rsidP="00A7100C">
                            <w:pPr>
                              <w:pStyle w:val="IRPsanstext"/>
                              <w:numPr>
                                <w:ilvl w:val="0"/>
                                <w:numId w:val="2"/>
                              </w:numPr>
                              <w:tabs>
                                <w:tab w:val="clear" w:pos="360"/>
                                <w:tab w:val="num" w:pos="720"/>
                              </w:tabs>
                              <w:ind w:firstLine="0"/>
                              <w:rPr>
                                <w:i/>
                                <w:color w:val="244061" w:themeColor="accent1" w:themeShade="80"/>
                                <w:sz w:val="22"/>
                                <w:szCs w:val="22"/>
                              </w:rPr>
                            </w:pPr>
                            <w:r w:rsidRPr="00A7100C">
                              <w:rPr>
                                <w:i/>
                                <w:color w:val="244061" w:themeColor="accent1" w:themeShade="80"/>
                                <w:sz w:val="22"/>
                                <w:szCs w:val="22"/>
                              </w:rPr>
                              <w:t>Resource Additions Summary</w:t>
                            </w:r>
                          </w:p>
                          <w:p w:rsidR="00741B6D" w:rsidRPr="00A7100C" w:rsidRDefault="00741B6D" w:rsidP="00A7100C">
                            <w:pPr>
                              <w:pStyle w:val="IRPsanstext"/>
                              <w:numPr>
                                <w:ilvl w:val="0"/>
                                <w:numId w:val="2"/>
                              </w:numPr>
                              <w:tabs>
                                <w:tab w:val="clear" w:pos="360"/>
                                <w:tab w:val="num" w:pos="720"/>
                              </w:tabs>
                              <w:ind w:firstLine="0"/>
                              <w:rPr>
                                <w:i/>
                                <w:color w:val="244061" w:themeColor="accent1" w:themeShade="80"/>
                                <w:sz w:val="22"/>
                                <w:szCs w:val="22"/>
                              </w:rPr>
                            </w:pPr>
                            <w:r w:rsidRPr="00A7100C">
                              <w:rPr>
                                <w:i/>
                                <w:color w:val="244061" w:themeColor="accent1" w:themeShade="80"/>
                                <w:sz w:val="22"/>
                                <w:szCs w:val="22"/>
                              </w:rPr>
                              <w:t>Electric Results across Scenarios</w:t>
                            </w:r>
                          </w:p>
                          <w:p w:rsidR="00741B6D" w:rsidRPr="00A7100C" w:rsidRDefault="00741B6D" w:rsidP="00A7100C">
                            <w:pPr>
                              <w:pStyle w:val="IRPsanstext"/>
                              <w:numPr>
                                <w:ilvl w:val="0"/>
                                <w:numId w:val="2"/>
                              </w:numPr>
                              <w:tabs>
                                <w:tab w:val="clear" w:pos="360"/>
                                <w:tab w:val="num" w:pos="720"/>
                              </w:tabs>
                              <w:ind w:firstLine="0"/>
                              <w:rPr>
                                <w:i/>
                                <w:color w:val="244061" w:themeColor="accent1" w:themeShade="80"/>
                                <w:sz w:val="22"/>
                                <w:szCs w:val="22"/>
                              </w:rPr>
                            </w:pPr>
                            <w:r w:rsidRPr="00A7100C">
                              <w:rPr>
                                <w:i/>
                                <w:color w:val="244061" w:themeColor="accent1" w:themeShade="80"/>
                                <w:sz w:val="22"/>
                                <w:szCs w:val="22"/>
                              </w:rPr>
                              <w:t>Demand-side Resource Additions</w:t>
                            </w:r>
                          </w:p>
                          <w:p w:rsidR="00741B6D" w:rsidRPr="00A7100C" w:rsidRDefault="00741B6D" w:rsidP="00A7100C">
                            <w:pPr>
                              <w:pStyle w:val="IRPsanstext"/>
                              <w:numPr>
                                <w:ilvl w:val="0"/>
                                <w:numId w:val="2"/>
                              </w:numPr>
                              <w:tabs>
                                <w:tab w:val="clear" w:pos="360"/>
                                <w:tab w:val="num" w:pos="720"/>
                              </w:tabs>
                              <w:ind w:firstLine="0"/>
                              <w:rPr>
                                <w:i/>
                                <w:color w:val="244061" w:themeColor="accent1" w:themeShade="80"/>
                                <w:sz w:val="22"/>
                                <w:szCs w:val="22"/>
                              </w:rPr>
                            </w:pPr>
                            <w:r w:rsidRPr="00A7100C">
                              <w:rPr>
                                <w:i/>
                                <w:color w:val="244061" w:themeColor="accent1" w:themeShade="80"/>
                                <w:sz w:val="22"/>
                                <w:szCs w:val="22"/>
                              </w:rPr>
                              <w:t>Renewable Resource Additions</w:t>
                            </w:r>
                          </w:p>
                          <w:p w:rsidR="00741B6D" w:rsidRPr="00A7100C" w:rsidRDefault="00741B6D" w:rsidP="00A7100C">
                            <w:pPr>
                              <w:pStyle w:val="IRPsanstext"/>
                              <w:numPr>
                                <w:ilvl w:val="0"/>
                                <w:numId w:val="2"/>
                              </w:numPr>
                              <w:tabs>
                                <w:tab w:val="clear" w:pos="360"/>
                                <w:tab w:val="num" w:pos="720"/>
                              </w:tabs>
                              <w:ind w:firstLine="0"/>
                              <w:rPr>
                                <w:i/>
                                <w:color w:val="244061" w:themeColor="accent1" w:themeShade="80"/>
                                <w:sz w:val="22"/>
                                <w:szCs w:val="22"/>
                              </w:rPr>
                            </w:pPr>
                            <w:r w:rsidRPr="00A7100C">
                              <w:rPr>
                                <w:i/>
                                <w:color w:val="244061" w:themeColor="accent1" w:themeShade="80"/>
                                <w:sz w:val="22"/>
                                <w:szCs w:val="22"/>
                              </w:rPr>
                              <w:t>Supply-side Resource Additions</w:t>
                            </w:r>
                          </w:p>
                          <w:p w:rsidR="00741B6D" w:rsidRPr="00A7100C" w:rsidRDefault="00741B6D" w:rsidP="00A7100C">
                            <w:pPr>
                              <w:pStyle w:val="IRPsanstext"/>
                              <w:numPr>
                                <w:ilvl w:val="0"/>
                                <w:numId w:val="2"/>
                              </w:numPr>
                              <w:tabs>
                                <w:tab w:val="clear" w:pos="360"/>
                                <w:tab w:val="num" w:pos="720"/>
                              </w:tabs>
                              <w:ind w:firstLine="0"/>
                              <w:rPr>
                                <w:i/>
                                <w:color w:val="244061" w:themeColor="accent1" w:themeShade="80"/>
                                <w:sz w:val="22"/>
                                <w:szCs w:val="22"/>
                              </w:rPr>
                            </w:pPr>
                            <w:r w:rsidRPr="00A7100C">
                              <w:rPr>
                                <w:i/>
                                <w:color w:val="244061" w:themeColor="accent1" w:themeShade="80"/>
                                <w:sz w:val="22"/>
                                <w:szCs w:val="22"/>
                              </w:rPr>
                              <w:t>Resources Not Selected</w:t>
                            </w:r>
                          </w:p>
                          <w:p w:rsidR="00741B6D" w:rsidRPr="00A7100C" w:rsidRDefault="008249EB" w:rsidP="004C668B">
                            <w:pPr>
                              <w:pStyle w:val="IRPsub1"/>
                              <w:spacing w:before="80" w:after="80"/>
                              <w:rPr>
                                <w:b/>
                                <w:color w:val="244061" w:themeColor="accent1" w:themeShade="80"/>
                              </w:rPr>
                            </w:pPr>
                            <w:r>
                              <w:rPr>
                                <w:b/>
                                <w:color w:val="244061" w:themeColor="accent1" w:themeShade="80"/>
                              </w:rPr>
                              <w:t>2-20</w:t>
                            </w:r>
                            <w:r w:rsidR="00741B6D" w:rsidRPr="00A7100C">
                              <w:rPr>
                                <w:b/>
                                <w:color w:val="244061" w:themeColor="accent1" w:themeShade="80"/>
                              </w:rPr>
                              <w:t>. GAS SALES RESOURCE PLAN</w:t>
                            </w:r>
                          </w:p>
                          <w:p w:rsidR="00741B6D" w:rsidRPr="00A7100C" w:rsidRDefault="00741B6D" w:rsidP="00A7100C">
                            <w:pPr>
                              <w:pStyle w:val="NoParagraphStyle"/>
                              <w:numPr>
                                <w:ilvl w:val="0"/>
                                <w:numId w:val="3"/>
                              </w:numPr>
                              <w:tabs>
                                <w:tab w:val="clear" w:pos="360"/>
                                <w:tab w:val="right" w:leader="dot" w:pos="-630"/>
                                <w:tab w:val="num" w:pos="720"/>
                                <w:tab w:val="right" w:leader="dot" w:pos="3510"/>
                              </w:tabs>
                              <w:ind w:left="720" w:right="93" w:hanging="360"/>
                              <w:rPr>
                                <w:rFonts w:ascii="Arial" w:hAnsi="Arial"/>
                                <w:i/>
                                <w:color w:val="244061" w:themeColor="accent1" w:themeShade="80"/>
                                <w:sz w:val="22"/>
                                <w:szCs w:val="22"/>
                              </w:rPr>
                            </w:pPr>
                            <w:r w:rsidRPr="00A7100C">
                              <w:rPr>
                                <w:rFonts w:ascii="Arial" w:hAnsi="Arial"/>
                                <w:i/>
                                <w:color w:val="244061" w:themeColor="accent1" w:themeShade="80"/>
                                <w:sz w:val="22"/>
                                <w:szCs w:val="22"/>
                              </w:rPr>
                              <w:t>Resource Additions Summary</w:t>
                            </w:r>
                          </w:p>
                          <w:p w:rsidR="00741B6D" w:rsidRPr="00A7100C" w:rsidRDefault="00741B6D" w:rsidP="00A7100C">
                            <w:pPr>
                              <w:pStyle w:val="NoParagraphStyle"/>
                              <w:numPr>
                                <w:ilvl w:val="0"/>
                                <w:numId w:val="3"/>
                              </w:numPr>
                              <w:tabs>
                                <w:tab w:val="clear" w:pos="360"/>
                                <w:tab w:val="right" w:leader="dot" w:pos="-630"/>
                                <w:tab w:val="num" w:pos="720"/>
                                <w:tab w:val="right" w:leader="dot" w:pos="3510"/>
                              </w:tabs>
                              <w:ind w:left="720" w:right="93" w:hanging="360"/>
                              <w:rPr>
                                <w:rFonts w:ascii="Arial" w:hAnsi="Arial"/>
                                <w:i/>
                                <w:color w:val="244061" w:themeColor="accent1" w:themeShade="80"/>
                                <w:sz w:val="22"/>
                                <w:szCs w:val="22"/>
                              </w:rPr>
                            </w:pPr>
                            <w:r w:rsidRPr="00A7100C">
                              <w:rPr>
                                <w:rFonts w:ascii="Arial" w:hAnsi="Arial"/>
                                <w:i/>
                                <w:color w:val="244061" w:themeColor="accent1" w:themeShade="80"/>
                                <w:sz w:val="22"/>
                                <w:szCs w:val="22"/>
                              </w:rPr>
                              <w:t>Gas Sales Results across Scenarios</w:t>
                            </w:r>
                          </w:p>
                          <w:p w:rsidR="00741B6D" w:rsidRPr="00A7100C" w:rsidRDefault="00741B6D" w:rsidP="00A7100C">
                            <w:pPr>
                              <w:pStyle w:val="NoParagraphStyle"/>
                              <w:numPr>
                                <w:ilvl w:val="0"/>
                                <w:numId w:val="3"/>
                              </w:numPr>
                              <w:tabs>
                                <w:tab w:val="clear" w:pos="360"/>
                                <w:tab w:val="right" w:leader="dot" w:pos="-630"/>
                                <w:tab w:val="num" w:pos="720"/>
                                <w:tab w:val="right" w:leader="dot" w:pos="3510"/>
                              </w:tabs>
                              <w:ind w:left="720" w:right="93" w:hanging="360"/>
                              <w:rPr>
                                <w:rFonts w:ascii="Arial" w:hAnsi="Arial"/>
                                <w:i/>
                                <w:color w:val="244061" w:themeColor="accent1" w:themeShade="80"/>
                                <w:sz w:val="22"/>
                                <w:szCs w:val="22"/>
                              </w:rPr>
                            </w:pPr>
                            <w:r w:rsidRPr="00A7100C">
                              <w:rPr>
                                <w:rFonts w:ascii="Arial" w:hAnsi="Arial"/>
                                <w:i/>
                                <w:color w:val="244061" w:themeColor="accent1" w:themeShade="80"/>
                                <w:sz w:val="22"/>
                                <w:szCs w:val="22"/>
                              </w:rPr>
                              <w:t>Demand-side Resource Additions</w:t>
                            </w:r>
                          </w:p>
                          <w:p w:rsidR="00741B6D" w:rsidRPr="00A7100C" w:rsidRDefault="00741B6D" w:rsidP="00A7100C">
                            <w:pPr>
                              <w:pStyle w:val="NoParagraphStyle"/>
                              <w:numPr>
                                <w:ilvl w:val="0"/>
                                <w:numId w:val="3"/>
                              </w:numPr>
                              <w:tabs>
                                <w:tab w:val="clear" w:pos="360"/>
                                <w:tab w:val="right" w:leader="dot" w:pos="-630"/>
                                <w:tab w:val="num" w:pos="720"/>
                                <w:tab w:val="right" w:leader="dot" w:pos="3510"/>
                              </w:tabs>
                              <w:ind w:left="720" w:right="93" w:hanging="360"/>
                              <w:rPr>
                                <w:rFonts w:ascii="Arial" w:hAnsi="Arial" w:cs="Calibri"/>
                                <w:color w:val="244061" w:themeColor="accent1" w:themeShade="80"/>
                                <w:sz w:val="22"/>
                                <w:szCs w:val="22"/>
                              </w:rPr>
                            </w:pPr>
                            <w:r w:rsidRPr="00A7100C">
                              <w:rPr>
                                <w:rFonts w:ascii="Arial" w:hAnsi="Arial"/>
                                <w:i/>
                                <w:color w:val="244061" w:themeColor="accent1" w:themeShade="80"/>
                                <w:sz w:val="22"/>
                                <w:szCs w:val="22"/>
                              </w:rPr>
                              <w:t>Supply-side Resource Additions</w:t>
                            </w:r>
                          </w:p>
                          <w:p w:rsidR="00741B6D" w:rsidRDefault="00741B6D" w:rsidP="004C668B">
                            <w:pPr>
                              <w:pStyle w:val="IRPsub1"/>
                              <w:spacing w:before="80" w:after="80"/>
                              <w:rPr>
                                <w:b/>
                                <w:color w:val="02265C"/>
                              </w:rPr>
                            </w:pPr>
                          </w:p>
                          <w:p w:rsidR="00741B6D" w:rsidRPr="00D013FE" w:rsidRDefault="00741B6D" w:rsidP="004C668B">
                            <w:pPr>
                              <w:pStyle w:val="IRPsub1"/>
                            </w:pPr>
                          </w:p>
                        </w:txbxContent>
                      </wps:txbx>
                      <wps:bodyPr rot="0" vert="horz" wrap="square" lIns="18288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167" o:spid="_x0000_s1026" type="#_x0000_t202" style="position:absolute;margin-left:4.05pt;margin-top:17.4pt;width:261pt;height:296.8pt;z-index:251661312;visibility:visible;mso-wrap-style:square;mso-width-percent:0;mso-height-percent:0;mso-wrap-distance-left:0;mso-wrap-distance-top:0;mso-wrap-distance-right:14.4pt;mso-wrap-distance-bottom:0;mso-position-horizontal:absolute;mso-position-horizontal-relative:margin;mso-position-vertical:absolute;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" fillcolor="#71bb32" stroked="f">
                <v:textbox inset="14.4pt,7.2pt,,7.2pt">
                  <w:txbxContent>
                    <w:p w:rsidR="00741B6D" w:rsidRPr="00771D35" w:rsidRDefault="00741B6D" w:rsidP="00601E72">
                      <w:pPr>
                        <w:pStyle w:val="IRPsub1"/>
                        <w:rPr>
                          <w:i w:val="0"/>
                          <w:sz w:val="32"/>
                          <w:szCs w:val="32"/>
                        </w:rPr>
                      </w:pPr>
                      <w:r w:rsidRPr="00771D35">
                        <w:rPr>
                          <w:i w:val="0"/>
                          <w:sz w:val="32"/>
                          <w:szCs w:val="32"/>
                        </w:rPr>
                        <w:t>Contents:</w:t>
                      </w:r>
                    </w:p>
                    <w:p w:rsidR="00741B6D" w:rsidRPr="00A7100C" w:rsidRDefault="00741B6D" w:rsidP="00B12366">
                      <w:pPr>
                        <w:pStyle w:val="IRPsub1"/>
                        <w:spacing w:before="80" w:after="80"/>
                        <w:rPr>
                          <w:b/>
                          <w:color w:val="244061" w:themeColor="accent1" w:themeShade="80"/>
                        </w:rPr>
                      </w:pPr>
                      <w:r>
                        <w:rPr>
                          <w:b/>
                          <w:color w:val="244061" w:themeColor="accent1" w:themeShade="80"/>
                        </w:rPr>
                        <w:t>2-2. ELECTRIC</w:t>
                      </w:r>
                      <w:r w:rsidRPr="00A7100C">
                        <w:rPr>
                          <w:b/>
                          <w:color w:val="244061" w:themeColor="accent1" w:themeShade="80"/>
                        </w:rPr>
                        <w:t xml:space="preserve">  RESOURCE PLAN</w:t>
                      </w:r>
                    </w:p>
                    <w:p w:rsidR="00741B6D" w:rsidRPr="00A7100C" w:rsidRDefault="00741B6D" w:rsidP="00A7100C">
                      <w:pPr>
                        <w:pStyle w:val="IRPsanstext"/>
                        <w:numPr>
                          <w:ilvl w:val="0"/>
                          <w:numId w:val="2"/>
                        </w:numPr>
                        <w:tabs>
                          <w:tab w:val="clear" w:pos="360"/>
                          <w:tab w:val="num" w:pos="720"/>
                        </w:tabs>
                        <w:ind w:firstLine="0"/>
                        <w:rPr>
                          <w:i/>
                          <w:color w:val="244061" w:themeColor="accent1" w:themeShade="80"/>
                          <w:sz w:val="22"/>
                          <w:szCs w:val="22"/>
                        </w:rPr>
                      </w:pPr>
                      <w:r w:rsidRPr="00A7100C">
                        <w:rPr>
                          <w:i/>
                          <w:color w:val="244061" w:themeColor="accent1" w:themeShade="80"/>
                          <w:sz w:val="22"/>
                          <w:szCs w:val="22"/>
                        </w:rPr>
                        <w:t>Capacity Planning Standard Update</w:t>
                      </w:r>
                    </w:p>
                    <w:p w:rsidR="00741B6D" w:rsidRPr="00A7100C" w:rsidRDefault="00741B6D" w:rsidP="00A7100C">
                      <w:pPr>
                        <w:pStyle w:val="IRPsanstext"/>
                        <w:numPr>
                          <w:ilvl w:val="0"/>
                          <w:numId w:val="2"/>
                        </w:numPr>
                        <w:tabs>
                          <w:tab w:val="clear" w:pos="360"/>
                          <w:tab w:val="num" w:pos="720"/>
                        </w:tabs>
                        <w:ind w:firstLine="0"/>
                        <w:rPr>
                          <w:i/>
                          <w:color w:val="244061" w:themeColor="accent1" w:themeShade="80"/>
                          <w:sz w:val="22"/>
                          <w:szCs w:val="22"/>
                        </w:rPr>
                      </w:pPr>
                      <w:r w:rsidRPr="00A7100C">
                        <w:rPr>
                          <w:i/>
                          <w:color w:val="244061" w:themeColor="accent1" w:themeShade="80"/>
                          <w:sz w:val="22"/>
                          <w:szCs w:val="22"/>
                        </w:rPr>
                        <w:t xml:space="preserve">Regional Resource Configuration </w:t>
                      </w:r>
                      <w:r w:rsidRPr="00A7100C">
                        <w:rPr>
                          <w:i/>
                          <w:color w:val="244061" w:themeColor="accent1" w:themeShade="80"/>
                          <w:sz w:val="22"/>
                          <w:szCs w:val="22"/>
                        </w:rPr>
                        <w:br/>
                        <w:t xml:space="preserve">      Assumptions</w:t>
                      </w:r>
                    </w:p>
                    <w:p w:rsidR="00741B6D" w:rsidRPr="00A7100C" w:rsidRDefault="00741B6D" w:rsidP="00A7100C">
                      <w:pPr>
                        <w:pStyle w:val="IRPsanstext"/>
                        <w:numPr>
                          <w:ilvl w:val="0"/>
                          <w:numId w:val="2"/>
                        </w:numPr>
                        <w:tabs>
                          <w:tab w:val="clear" w:pos="360"/>
                          <w:tab w:val="num" w:pos="720"/>
                        </w:tabs>
                        <w:ind w:firstLine="0"/>
                        <w:rPr>
                          <w:i/>
                          <w:color w:val="244061" w:themeColor="accent1" w:themeShade="80"/>
                          <w:sz w:val="22"/>
                          <w:szCs w:val="22"/>
                        </w:rPr>
                      </w:pPr>
                      <w:r w:rsidRPr="00A7100C">
                        <w:rPr>
                          <w:i/>
                          <w:color w:val="244061" w:themeColor="accent1" w:themeShade="80"/>
                          <w:sz w:val="22"/>
                          <w:szCs w:val="22"/>
                        </w:rPr>
                        <w:t>Resource Additions Summary</w:t>
                      </w:r>
                    </w:p>
                    <w:p w:rsidR="00741B6D" w:rsidRPr="00A7100C" w:rsidRDefault="00741B6D" w:rsidP="00A7100C">
                      <w:pPr>
                        <w:pStyle w:val="IRPsanstext"/>
                        <w:numPr>
                          <w:ilvl w:val="0"/>
                          <w:numId w:val="2"/>
                        </w:numPr>
                        <w:tabs>
                          <w:tab w:val="clear" w:pos="360"/>
                          <w:tab w:val="num" w:pos="720"/>
                        </w:tabs>
                        <w:ind w:firstLine="0"/>
                        <w:rPr>
                          <w:i/>
                          <w:color w:val="244061" w:themeColor="accent1" w:themeShade="80"/>
                          <w:sz w:val="22"/>
                          <w:szCs w:val="22"/>
                        </w:rPr>
                      </w:pPr>
                      <w:r w:rsidRPr="00A7100C">
                        <w:rPr>
                          <w:i/>
                          <w:color w:val="244061" w:themeColor="accent1" w:themeShade="80"/>
                          <w:sz w:val="22"/>
                          <w:szCs w:val="22"/>
                        </w:rPr>
                        <w:t>Electric Results across Scenarios</w:t>
                      </w:r>
                    </w:p>
                    <w:p w:rsidR="00741B6D" w:rsidRPr="00A7100C" w:rsidRDefault="00741B6D" w:rsidP="00A7100C">
                      <w:pPr>
                        <w:pStyle w:val="IRPsanstext"/>
                        <w:numPr>
                          <w:ilvl w:val="0"/>
                          <w:numId w:val="2"/>
                        </w:numPr>
                        <w:tabs>
                          <w:tab w:val="clear" w:pos="360"/>
                          <w:tab w:val="num" w:pos="720"/>
                        </w:tabs>
                        <w:ind w:firstLine="0"/>
                        <w:rPr>
                          <w:i/>
                          <w:color w:val="244061" w:themeColor="accent1" w:themeShade="80"/>
                          <w:sz w:val="22"/>
                          <w:szCs w:val="22"/>
                        </w:rPr>
                      </w:pPr>
                      <w:r w:rsidRPr="00A7100C">
                        <w:rPr>
                          <w:i/>
                          <w:color w:val="244061" w:themeColor="accent1" w:themeShade="80"/>
                          <w:sz w:val="22"/>
                          <w:szCs w:val="22"/>
                        </w:rPr>
                        <w:t>Demand-side Resource Additions</w:t>
                      </w:r>
                    </w:p>
                    <w:p w:rsidR="00741B6D" w:rsidRPr="00A7100C" w:rsidRDefault="00741B6D" w:rsidP="00A7100C">
                      <w:pPr>
                        <w:pStyle w:val="IRPsanstext"/>
                        <w:numPr>
                          <w:ilvl w:val="0"/>
                          <w:numId w:val="2"/>
                        </w:numPr>
                        <w:tabs>
                          <w:tab w:val="clear" w:pos="360"/>
                          <w:tab w:val="num" w:pos="720"/>
                        </w:tabs>
                        <w:ind w:firstLine="0"/>
                        <w:rPr>
                          <w:i/>
                          <w:color w:val="244061" w:themeColor="accent1" w:themeShade="80"/>
                          <w:sz w:val="22"/>
                          <w:szCs w:val="22"/>
                        </w:rPr>
                      </w:pPr>
                      <w:r w:rsidRPr="00A7100C">
                        <w:rPr>
                          <w:i/>
                          <w:color w:val="244061" w:themeColor="accent1" w:themeShade="80"/>
                          <w:sz w:val="22"/>
                          <w:szCs w:val="22"/>
                        </w:rPr>
                        <w:t>Renewable Resource Additions</w:t>
                      </w:r>
                    </w:p>
                    <w:p w:rsidR="00741B6D" w:rsidRPr="00A7100C" w:rsidRDefault="00741B6D" w:rsidP="00A7100C">
                      <w:pPr>
                        <w:pStyle w:val="IRPsanstext"/>
                        <w:numPr>
                          <w:ilvl w:val="0"/>
                          <w:numId w:val="2"/>
                        </w:numPr>
                        <w:tabs>
                          <w:tab w:val="clear" w:pos="360"/>
                          <w:tab w:val="num" w:pos="720"/>
                        </w:tabs>
                        <w:ind w:firstLine="0"/>
                        <w:rPr>
                          <w:i/>
                          <w:color w:val="244061" w:themeColor="accent1" w:themeShade="80"/>
                          <w:sz w:val="22"/>
                          <w:szCs w:val="22"/>
                        </w:rPr>
                      </w:pPr>
                      <w:r w:rsidRPr="00A7100C">
                        <w:rPr>
                          <w:i/>
                          <w:color w:val="244061" w:themeColor="accent1" w:themeShade="80"/>
                          <w:sz w:val="22"/>
                          <w:szCs w:val="22"/>
                        </w:rPr>
                        <w:t>Supply-side Resource Additions</w:t>
                      </w:r>
                    </w:p>
                    <w:p w:rsidR="00741B6D" w:rsidRPr="00A7100C" w:rsidRDefault="00741B6D" w:rsidP="00A7100C">
                      <w:pPr>
                        <w:pStyle w:val="IRPsanstext"/>
                        <w:numPr>
                          <w:ilvl w:val="0"/>
                          <w:numId w:val="2"/>
                        </w:numPr>
                        <w:tabs>
                          <w:tab w:val="clear" w:pos="360"/>
                          <w:tab w:val="num" w:pos="720"/>
                        </w:tabs>
                        <w:ind w:firstLine="0"/>
                        <w:rPr>
                          <w:i/>
                          <w:color w:val="244061" w:themeColor="accent1" w:themeShade="80"/>
                          <w:sz w:val="22"/>
                          <w:szCs w:val="22"/>
                        </w:rPr>
                      </w:pPr>
                      <w:r w:rsidRPr="00A7100C">
                        <w:rPr>
                          <w:i/>
                          <w:color w:val="244061" w:themeColor="accent1" w:themeShade="80"/>
                          <w:sz w:val="22"/>
                          <w:szCs w:val="22"/>
                        </w:rPr>
                        <w:t>Resources Not Selected</w:t>
                      </w:r>
                    </w:p>
                    <w:p w:rsidR="00741B6D" w:rsidRPr="00A7100C" w:rsidRDefault="008249EB" w:rsidP="004C668B">
                      <w:pPr>
                        <w:pStyle w:val="IRPsub1"/>
                        <w:spacing w:before="80" w:after="80"/>
                        <w:rPr>
                          <w:b/>
                          <w:color w:val="244061" w:themeColor="accent1" w:themeShade="80"/>
                        </w:rPr>
                      </w:pPr>
                      <w:r>
                        <w:rPr>
                          <w:b/>
                          <w:color w:val="244061" w:themeColor="accent1" w:themeShade="80"/>
                        </w:rPr>
                        <w:t>2-20</w:t>
                      </w:r>
                      <w:r w:rsidR="00741B6D" w:rsidRPr="00A7100C">
                        <w:rPr>
                          <w:b/>
                          <w:color w:val="244061" w:themeColor="accent1" w:themeShade="80"/>
                        </w:rPr>
                        <w:t>. GAS SALES RESOURCE PLAN</w:t>
                      </w:r>
                    </w:p>
                    <w:p w:rsidR="00741B6D" w:rsidRPr="00A7100C" w:rsidRDefault="00741B6D" w:rsidP="00A7100C">
                      <w:pPr>
                        <w:pStyle w:val="NoParagraphStyle"/>
                        <w:numPr>
                          <w:ilvl w:val="0"/>
                          <w:numId w:val="3"/>
                        </w:numPr>
                        <w:tabs>
                          <w:tab w:val="clear" w:pos="360"/>
                          <w:tab w:val="right" w:leader="dot" w:pos="-630"/>
                          <w:tab w:val="num" w:pos="720"/>
                          <w:tab w:val="right" w:leader="dot" w:pos="3510"/>
                        </w:tabs>
                        <w:ind w:left="720" w:right="93" w:hanging="360"/>
                        <w:rPr>
                          <w:rFonts w:ascii="Arial" w:hAnsi="Arial"/>
                          <w:i/>
                          <w:color w:val="244061" w:themeColor="accent1" w:themeShade="80"/>
                          <w:sz w:val="22"/>
                          <w:szCs w:val="22"/>
                        </w:rPr>
                      </w:pPr>
                      <w:r w:rsidRPr="00A7100C">
                        <w:rPr>
                          <w:rFonts w:ascii="Arial" w:hAnsi="Arial"/>
                          <w:i/>
                          <w:color w:val="244061" w:themeColor="accent1" w:themeShade="80"/>
                          <w:sz w:val="22"/>
                          <w:szCs w:val="22"/>
                        </w:rPr>
                        <w:t>Resource Additions Summary</w:t>
                      </w:r>
                    </w:p>
                    <w:p w:rsidR="00741B6D" w:rsidRPr="00A7100C" w:rsidRDefault="00741B6D" w:rsidP="00A7100C">
                      <w:pPr>
                        <w:pStyle w:val="NoParagraphStyle"/>
                        <w:numPr>
                          <w:ilvl w:val="0"/>
                          <w:numId w:val="3"/>
                        </w:numPr>
                        <w:tabs>
                          <w:tab w:val="clear" w:pos="360"/>
                          <w:tab w:val="right" w:leader="dot" w:pos="-630"/>
                          <w:tab w:val="num" w:pos="720"/>
                          <w:tab w:val="right" w:leader="dot" w:pos="3510"/>
                        </w:tabs>
                        <w:ind w:left="720" w:right="93" w:hanging="360"/>
                        <w:rPr>
                          <w:rFonts w:ascii="Arial" w:hAnsi="Arial"/>
                          <w:i/>
                          <w:color w:val="244061" w:themeColor="accent1" w:themeShade="80"/>
                          <w:sz w:val="22"/>
                          <w:szCs w:val="22"/>
                        </w:rPr>
                      </w:pPr>
                      <w:r w:rsidRPr="00A7100C">
                        <w:rPr>
                          <w:rFonts w:ascii="Arial" w:hAnsi="Arial"/>
                          <w:i/>
                          <w:color w:val="244061" w:themeColor="accent1" w:themeShade="80"/>
                          <w:sz w:val="22"/>
                          <w:szCs w:val="22"/>
                        </w:rPr>
                        <w:t>Gas Sales Results across Scenarios</w:t>
                      </w:r>
                    </w:p>
                    <w:p w:rsidR="00741B6D" w:rsidRPr="00A7100C" w:rsidRDefault="00741B6D" w:rsidP="00A7100C">
                      <w:pPr>
                        <w:pStyle w:val="NoParagraphStyle"/>
                        <w:numPr>
                          <w:ilvl w:val="0"/>
                          <w:numId w:val="3"/>
                        </w:numPr>
                        <w:tabs>
                          <w:tab w:val="clear" w:pos="360"/>
                          <w:tab w:val="right" w:leader="dot" w:pos="-630"/>
                          <w:tab w:val="num" w:pos="720"/>
                          <w:tab w:val="right" w:leader="dot" w:pos="3510"/>
                        </w:tabs>
                        <w:ind w:left="720" w:right="93" w:hanging="360"/>
                        <w:rPr>
                          <w:rFonts w:ascii="Arial" w:hAnsi="Arial"/>
                          <w:i/>
                          <w:color w:val="244061" w:themeColor="accent1" w:themeShade="80"/>
                          <w:sz w:val="22"/>
                          <w:szCs w:val="22"/>
                        </w:rPr>
                      </w:pPr>
                      <w:r w:rsidRPr="00A7100C">
                        <w:rPr>
                          <w:rFonts w:ascii="Arial" w:hAnsi="Arial"/>
                          <w:i/>
                          <w:color w:val="244061" w:themeColor="accent1" w:themeShade="80"/>
                          <w:sz w:val="22"/>
                          <w:szCs w:val="22"/>
                        </w:rPr>
                        <w:t>Demand-side Resource Additions</w:t>
                      </w:r>
                    </w:p>
                    <w:p w:rsidR="00741B6D" w:rsidRPr="00A7100C" w:rsidRDefault="00741B6D" w:rsidP="00A7100C">
                      <w:pPr>
                        <w:pStyle w:val="NoParagraphStyle"/>
                        <w:numPr>
                          <w:ilvl w:val="0"/>
                          <w:numId w:val="3"/>
                        </w:numPr>
                        <w:tabs>
                          <w:tab w:val="clear" w:pos="360"/>
                          <w:tab w:val="right" w:leader="dot" w:pos="-630"/>
                          <w:tab w:val="num" w:pos="720"/>
                          <w:tab w:val="right" w:leader="dot" w:pos="3510"/>
                        </w:tabs>
                        <w:ind w:left="720" w:right="93" w:hanging="360"/>
                        <w:rPr>
                          <w:rFonts w:ascii="Arial" w:hAnsi="Arial" w:cs="Calibri"/>
                          <w:color w:val="244061" w:themeColor="accent1" w:themeShade="80"/>
                          <w:sz w:val="22"/>
                          <w:szCs w:val="22"/>
                        </w:rPr>
                      </w:pPr>
                      <w:r w:rsidRPr="00A7100C">
                        <w:rPr>
                          <w:rFonts w:ascii="Arial" w:hAnsi="Arial"/>
                          <w:i/>
                          <w:color w:val="244061" w:themeColor="accent1" w:themeShade="80"/>
                          <w:sz w:val="22"/>
                          <w:szCs w:val="22"/>
                        </w:rPr>
                        <w:t>Supply-side Resource Additions</w:t>
                      </w:r>
                    </w:p>
                    <w:p w:rsidR="00741B6D" w:rsidRDefault="00741B6D" w:rsidP="004C668B">
                      <w:pPr>
                        <w:pStyle w:val="IRPsub1"/>
                        <w:spacing w:before="80" w:after="80"/>
                        <w:rPr>
                          <w:b/>
                          <w:color w:val="02265C"/>
                        </w:rPr>
                      </w:pPr>
                    </w:p>
                    <w:p w:rsidR="00741B6D" w:rsidRPr="00D013FE" w:rsidRDefault="00741B6D" w:rsidP="004C668B">
                      <w:pPr>
                        <w:pStyle w:val="IRPsub1"/>
                      </w:pPr>
                    </w:p>
                  </w:txbxContent>
                </v:textbox>
                <w10:wrap type="through" side="right" anchorx="margin" anchory="line"/>
              </v:shape>
            </w:pict>
          </mc:Fallback>
        </mc:AlternateContent>
      </w:r>
    </w:p>
    <w:p w:rsidR="008139F0" w:rsidRPr="00741B6D" w:rsidRDefault="00A7100C" w:rsidP="00A7100C">
      <w:pPr>
        <w:pStyle w:val="IRPseriftextbig"/>
      </w:pPr>
      <w:r w:rsidRPr="00570BAA">
        <w:t xml:space="preserve">The resource plan in this IRP represents “…the </w:t>
      </w:r>
      <w:proofErr w:type="gramStart"/>
      <w:r w:rsidRPr="00570BAA">
        <w:t>mix of energy supply</w:t>
      </w:r>
      <w:proofErr w:type="gramEnd"/>
      <w:r w:rsidRPr="00570BAA">
        <w:t xml:space="preserve"> and conservation that will meet current and future needs at the lowest reasonable cost to the utility and its ratepayers.”</w:t>
      </w:r>
      <w:r w:rsidRPr="00570BAA">
        <w:rPr>
          <w:vertAlign w:val="superscript"/>
        </w:rPr>
        <w:footnoteReference w:id="1"/>
      </w:r>
      <w:r w:rsidRPr="00570BAA">
        <w:t xml:space="preserve"> It is the culmination of comprehensive </w:t>
      </w:r>
      <w:proofErr w:type="gramStart"/>
      <w:r w:rsidRPr="00570BAA">
        <w:t>quantitative</w:t>
      </w:r>
      <w:proofErr w:type="gramEnd"/>
      <w:r w:rsidRPr="00570BAA">
        <w:t xml:space="preserve"> and qualitative analyses, including extensive risk analysis, reported throughout the document.  The electric and gas resource plans included in the IRP are best understood as long-term forecasts of what will be cost effective in the future, given what we know about the future today. The IRP is not a plan for acquiring specific demand-side or supply-side resources.  Resource decisions can be informed by the foresight developed in the IRP, but ultimately they will be made when it best serves the interest of our customers, and they will depend upon actual market opportunities and updated assessments of market conditions.</w:t>
      </w:r>
      <w:r>
        <w:t xml:space="preserve"> </w:t>
      </w:r>
      <w:r w:rsidRPr="00570BAA">
        <w:t xml:space="preserve">This chapter summarizes the reasoning for the additions to the electric and gas resource plans. </w:t>
      </w:r>
    </w:p>
    <w:p w:rsidR="004574CF" w:rsidRDefault="004574CF">
      <w:pPr>
        <w:rPr>
          <w:rFonts w:ascii="Arial" w:hAnsi="Arial" w:cs="Arial"/>
          <w:b/>
          <w:color w:val="006C71"/>
          <w:sz w:val="32"/>
          <w:szCs w:val="32"/>
        </w:rPr>
      </w:pPr>
    </w:p>
    <w:p w:rsidR="00882098" w:rsidRDefault="00741B6D" w:rsidP="00882098">
      <w:pPr>
        <w:pStyle w:val="IRPsecthead2sans"/>
      </w:pPr>
      <w:r>
        <w:t>ELECTRIC</w:t>
      </w:r>
      <w:r w:rsidR="00674AD7">
        <w:t xml:space="preserve"> RESOURCE </w:t>
      </w:r>
      <w:r w:rsidR="00A7100C">
        <w:t>PLAN</w:t>
      </w:r>
    </w:p>
    <w:p w:rsidR="00741B6D" w:rsidRDefault="00741B6D" w:rsidP="00674AD7">
      <w:pPr>
        <w:spacing w:line="300" w:lineRule="auto"/>
        <w:rPr>
          <w:rFonts w:ascii="Arial" w:hAnsi="Arial"/>
          <w:sz w:val="20"/>
          <w:szCs w:val="20"/>
        </w:rPr>
      </w:pPr>
    </w:p>
    <w:p w:rsidR="00741B6D" w:rsidRPr="00741B6D" w:rsidRDefault="00741B6D" w:rsidP="00741B6D">
      <w:pPr>
        <w:pStyle w:val="IRPsanstext"/>
      </w:pPr>
      <w:r w:rsidRPr="00741B6D">
        <w:t>This discussion assumes the reader is familiar with the key assumptions described in Chapter 4. Further information on the analyses discussed here can be found in Chapters 4, 5, 6, 7 and the Appendices.</w:t>
      </w:r>
    </w:p>
    <w:p w:rsidR="00674AD7" w:rsidRPr="00674AD7" w:rsidRDefault="00674AD7" w:rsidP="00674AD7">
      <w:pPr>
        <w:spacing w:line="300" w:lineRule="auto"/>
        <w:rPr>
          <w:rFonts w:ascii="Arial" w:hAnsi="Arial"/>
          <w:sz w:val="20"/>
          <w:szCs w:val="20"/>
        </w:rPr>
      </w:pPr>
    </w:p>
    <w:p w:rsidR="00A7100C" w:rsidRPr="004073CB" w:rsidRDefault="00A7100C" w:rsidP="00A7100C">
      <w:pPr>
        <w:pStyle w:val="IRPtitle"/>
        <w:ind w:left="0" w:firstLine="0"/>
        <w:rPr>
          <w:rFonts w:ascii="Arial" w:hAnsi="Arial"/>
          <w:sz w:val="32"/>
          <w:szCs w:val="32"/>
        </w:rPr>
      </w:pPr>
      <w:r w:rsidRPr="004073CB">
        <w:rPr>
          <w:rFonts w:ascii="Arial" w:hAnsi="Arial"/>
          <w:sz w:val="32"/>
          <w:szCs w:val="32"/>
        </w:rPr>
        <w:t>Capacity Planning Standard Update</w:t>
      </w:r>
    </w:p>
    <w:p w:rsidR="00A7100C" w:rsidRDefault="00A7100C" w:rsidP="00A7100C">
      <w:pPr>
        <w:pStyle w:val="IRPtitle"/>
        <w:ind w:left="0" w:firstLine="0"/>
        <w:rPr>
          <w:rFonts w:ascii="Arial" w:hAnsi="Arial" w:cs="Arial"/>
          <w:color w:val="3366FF"/>
          <w:sz w:val="20"/>
          <w:szCs w:val="20"/>
        </w:rPr>
      </w:pPr>
    </w:p>
    <w:p w:rsidR="00A7100C" w:rsidRPr="008E5A0E" w:rsidRDefault="00A7100C" w:rsidP="004073CB">
      <w:pPr>
        <w:pStyle w:val="IRPsanstext"/>
      </w:pPr>
      <w:proofErr w:type="gramStart"/>
      <w:r w:rsidRPr="00492C90">
        <w:rPr>
          <w:b/>
          <w:caps/>
        </w:rPr>
        <w:t>Decision.</w:t>
      </w:r>
      <w:proofErr w:type="gramEnd"/>
      <w:r w:rsidRPr="008E5A0E">
        <w:rPr>
          <w:b/>
        </w:rPr>
        <w:t xml:space="preserve"> </w:t>
      </w:r>
      <w:r w:rsidRPr="00F22934">
        <w:t>This IRP</w:t>
      </w:r>
      <w:r>
        <w:rPr>
          <w:b/>
        </w:rPr>
        <w:t xml:space="preserve"> </w:t>
      </w:r>
      <w:r>
        <w:t xml:space="preserve">adopts an optimal </w:t>
      </w:r>
      <w:r w:rsidRPr="008E5A0E">
        <w:t xml:space="preserve">planning standard </w:t>
      </w:r>
      <w:r>
        <w:t>that reflects</w:t>
      </w:r>
      <w:r w:rsidRPr="008E5A0E">
        <w:t xml:space="preserve"> a benefit/cost analysis </w:t>
      </w:r>
      <w:r>
        <w:t>designed to minimize</w:t>
      </w:r>
      <w:r w:rsidRPr="008E5A0E">
        <w:t xml:space="preserve"> the net cost of reliability to customers</w:t>
      </w:r>
      <w:r>
        <w:t xml:space="preserve">. The analysis also incorporates wholesale market risk in its peak capacity assessment of wholesale market purchases, consistent with regional resource adequacy assessments. </w:t>
      </w:r>
    </w:p>
    <w:p w:rsidR="00A7100C" w:rsidRDefault="00A7100C" w:rsidP="004073CB">
      <w:pPr>
        <w:pStyle w:val="IRPsanstext"/>
      </w:pPr>
    </w:p>
    <w:p w:rsidR="00A7100C" w:rsidRDefault="00A7100C" w:rsidP="004073CB">
      <w:pPr>
        <w:pStyle w:val="IRPsanstext"/>
      </w:pPr>
      <w:proofErr w:type="gramStart"/>
      <w:r w:rsidRPr="00492C90">
        <w:rPr>
          <w:b/>
          <w:caps/>
        </w:rPr>
        <w:t>Summary</w:t>
      </w:r>
      <w:r>
        <w:t>.</w:t>
      </w:r>
      <w:proofErr w:type="gramEnd"/>
      <w:r w:rsidRPr="008E5A0E">
        <w:t xml:space="preserve">  </w:t>
      </w:r>
      <w:r>
        <w:t>The updated standard and incorporation of market risk reduces the expected value of lost load to customers by $130 million per year. The cost to achieve that expected savings is $63 million per year, for a net benefit to customers of $67 million per year. Risk reduction is dramatic. The $63 million per year cost reduces the risk to customers by $1.3 billion per year.</w:t>
      </w:r>
    </w:p>
    <w:p w:rsidR="00A7100C" w:rsidRDefault="00A7100C" w:rsidP="004073CB">
      <w:pPr>
        <w:pStyle w:val="IRPsanstext"/>
        <w:rPr>
          <w:b/>
        </w:rPr>
      </w:pPr>
    </w:p>
    <w:p w:rsidR="00A7100C" w:rsidRPr="008E5A0E" w:rsidRDefault="00A7100C" w:rsidP="004073CB">
      <w:pPr>
        <w:pStyle w:val="IRPsanstext"/>
      </w:pPr>
      <w:proofErr w:type="gramStart"/>
      <w:r w:rsidRPr="00492C90">
        <w:rPr>
          <w:b/>
          <w:caps/>
        </w:rPr>
        <w:t>Factors That Could Affect Decision</w:t>
      </w:r>
      <w:r>
        <w:t>.</w:t>
      </w:r>
      <w:proofErr w:type="gramEnd"/>
      <w:r w:rsidRPr="008E5A0E">
        <w:t xml:space="preserve"> </w:t>
      </w:r>
      <w:r>
        <w:t>Changes</w:t>
      </w:r>
      <w:r w:rsidRPr="008E5A0E">
        <w:t xml:space="preserve"> to the region</w:t>
      </w:r>
      <w:r>
        <w:t>’s resource</w:t>
      </w:r>
      <w:r w:rsidRPr="008E5A0E">
        <w:t xml:space="preserve"> adequacy assessment </w:t>
      </w:r>
      <w:r>
        <w:t>and/or</w:t>
      </w:r>
      <w:r w:rsidRPr="008E5A0E">
        <w:t xml:space="preserve"> changes to PSE’s load forecast could impact the amount of capacity PSE needs to acquire</w:t>
      </w:r>
      <w:r>
        <w:t xml:space="preserve">, </w:t>
      </w:r>
      <w:r w:rsidRPr="008E5A0E">
        <w:t xml:space="preserve">but </w:t>
      </w:r>
      <w:r>
        <w:t xml:space="preserve">this would </w:t>
      </w:r>
      <w:r w:rsidRPr="008E5A0E">
        <w:t xml:space="preserve">not </w:t>
      </w:r>
      <w:r>
        <w:t>change the approach. We will continue to base our planning standard on the value of reliability to customers unless</w:t>
      </w:r>
      <w:r w:rsidRPr="008E5A0E">
        <w:t xml:space="preserve"> the Commission expresse</w:t>
      </w:r>
      <w:r>
        <w:t>s</w:t>
      </w:r>
      <w:r w:rsidRPr="008E5A0E">
        <w:t xml:space="preserve"> significant concerns about the approach in its letter on the 2015 IRP.</w:t>
      </w:r>
    </w:p>
    <w:p w:rsidR="00A7100C" w:rsidRPr="008E5A0E" w:rsidRDefault="00A7100C" w:rsidP="004073CB">
      <w:pPr>
        <w:pStyle w:val="IRPsanstext"/>
      </w:pPr>
    </w:p>
    <w:p w:rsidR="00A7100C" w:rsidRPr="00492C90" w:rsidRDefault="00A7100C" w:rsidP="004073CB">
      <w:pPr>
        <w:pStyle w:val="IRPsanstext"/>
        <w:rPr>
          <w:b/>
          <w:caps/>
        </w:rPr>
      </w:pPr>
      <w:proofErr w:type="gramStart"/>
      <w:r w:rsidRPr="00492C90">
        <w:rPr>
          <w:b/>
          <w:caps/>
        </w:rPr>
        <w:t>Discussion</w:t>
      </w:r>
      <w:r>
        <w:rPr>
          <w:b/>
          <w:caps/>
        </w:rPr>
        <w:t>.</w:t>
      </w:r>
      <w:proofErr w:type="gramEnd"/>
      <w:r>
        <w:rPr>
          <w:b/>
          <w:caps/>
        </w:rPr>
        <w:t xml:space="preserve"> </w:t>
      </w:r>
      <w:r>
        <w:t xml:space="preserve">Since regional resource adequacy studies forecast a shift from surplus to deficit in the region’s load/resource balance, this a particularly appropriate time to focus PSE’s electric planning standard on the value of reliability to customers and to incorporate wholesale market risk in the analysis.  </w:t>
      </w:r>
    </w:p>
    <w:p w:rsidR="00A7100C" w:rsidRDefault="00A7100C" w:rsidP="004073CB">
      <w:pPr>
        <w:pStyle w:val="IRPsanstext"/>
      </w:pPr>
    </w:p>
    <w:p w:rsidR="00A7100C" w:rsidRDefault="00A7100C" w:rsidP="004073CB">
      <w:pPr>
        <w:pStyle w:val="IRPsanstext"/>
      </w:pPr>
      <w:r>
        <w:t xml:space="preserve">The old planning standard called for maintaining enough peak capacity to achieve a 5 percent loss of load probability (LOLP). This is a reasonable, industry-standard approach, adopted by the </w:t>
      </w:r>
      <w:r w:rsidRPr="000051D0">
        <w:t xml:space="preserve">Northwest Power </w:t>
      </w:r>
      <w:r>
        <w:t>and</w:t>
      </w:r>
      <w:r w:rsidRPr="000051D0">
        <w:t xml:space="preserve"> Conservation Council (NPCC)</w:t>
      </w:r>
      <w:r>
        <w:t xml:space="preserve"> for </w:t>
      </w:r>
      <w:proofErr w:type="spellStart"/>
      <w:proofErr w:type="gramStart"/>
      <w:r>
        <w:t>it’s</w:t>
      </w:r>
      <w:proofErr w:type="spellEnd"/>
      <w:proofErr w:type="gramEnd"/>
      <w:r>
        <w:t xml:space="preserve"> regional resource adequacy assessment and adopted by PSE in 2009, but it is not based on the value of reliability to customers. That is, the 5 percent LOLP does not explicitly consider the value of reliability to customers or the cost to provide that reliability. This IRP focuses on those tradeoffs, so that we can be sure we are providing the optimal balance of cost and risk to our customers.  </w:t>
      </w:r>
    </w:p>
    <w:p w:rsidR="00A7100C" w:rsidRDefault="00A7100C" w:rsidP="00A7100C">
      <w:pPr>
        <w:pStyle w:val="IRPtitle"/>
        <w:spacing w:line="300" w:lineRule="auto"/>
        <w:ind w:left="0" w:firstLine="0"/>
        <w:rPr>
          <w:rFonts w:ascii="Arial" w:hAnsi="Arial" w:cs="Arial"/>
          <w:sz w:val="20"/>
          <w:szCs w:val="20"/>
        </w:rPr>
      </w:pPr>
    </w:p>
    <w:p w:rsidR="004073CB" w:rsidRDefault="004073CB">
      <w:pPr>
        <w:rPr>
          <w:rFonts w:ascii="Arial" w:hAnsi="Arial" w:cs="Arial"/>
          <w:sz w:val="20"/>
          <w:szCs w:val="20"/>
        </w:rPr>
      </w:pPr>
      <w:r>
        <w:rPr>
          <w:rFonts w:ascii="Arial" w:hAnsi="Arial" w:cs="Arial"/>
          <w:sz w:val="20"/>
          <w:szCs w:val="20"/>
        </w:rPr>
        <w:br w:type="page"/>
      </w:r>
    </w:p>
    <w:p w:rsidR="00A7100C" w:rsidRDefault="00A7100C" w:rsidP="004073CB">
      <w:pPr>
        <w:pStyle w:val="IRPsanstext"/>
      </w:pPr>
      <w:r>
        <w:lastRenderedPageBreak/>
        <w:t xml:space="preserve">Prior IRPs also assumed wholesale market purchases were 100 percent reliable, but this is no longer a reasonable assumption now that surplus capacity in the region is shrinking. Therefore, PSE incorporates wholesale market risk into the analysis to support its capacity planning standard. Figure 2-2, Summary of Planning Standard Changes, provides information that will be used in the discussion below.  Additional detail is included in Chapter 6, Electric Analysis, Appendix G, Wholesale Market Risk, and Appendix N.  </w:t>
      </w:r>
    </w:p>
    <w:p w:rsidR="00A7100C" w:rsidRDefault="00A7100C" w:rsidP="004073CB">
      <w:pPr>
        <w:pStyle w:val="IRPsanstext"/>
        <w:rPr>
          <w:i/>
        </w:rPr>
      </w:pPr>
    </w:p>
    <w:p w:rsidR="00A7100C" w:rsidRPr="00927EA3" w:rsidRDefault="00A7100C" w:rsidP="00927EA3">
      <w:pPr>
        <w:pStyle w:val="IRPsanstext"/>
        <w:spacing w:after="120"/>
        <w:jc w:val="center"/>
        <w:rPr>
          <w:i/>
        </w:rPr>
      </w:pPr>
      <w:r w:rsidRPr="00A9475A">
        <w:rPr>
          <w:i/>
        </w:rPr>
        <w:t>Figure 2-</w:t>
      </w:r>
      <w:r>
        <w:rPr>
          <w:i/>
        </w:rPr>
        <w:t>1</w:t>
      </w:r>
      <w:r w:rsidRPr="00A9475A">
        <w:rPr>
          <w:i/>
        </w:rPr>
        <w:t>, Summary of Planning Standard Changes</w:t>
      </w:r>
    </w:p>
    <w:tbl>
      <w:tblPr>
        <w:tblW w:w="8677" w:type="dxa"/>
        <w:tblInd w:w="117" w:type="dxa"/>
        <w:tblLayout w:type="fixed"/>
        <w:tblLook w:val="04A0" w:firstRow="1" w:lastRow="0" w:firstColumn="1" w:lastColumn="0" w:noHBand="0" w:noVBand="1"/>
      </w:tblPr>
      <w:tblGrid>
        <w:gridCol w:w="261"/>
        <w:gridCol w:w="2520"/>
        <w:gridCol w:w="1080"/>
        <w:gridCol w:w="990"/>
        <w:gridCol w:w="1440"/>
        <w:gridCol w:w="1260"/>
        <w:gridCol w:w="1126"/>
      </w:tblGrid>
      <w:tr w:rsidR="004073CB" w:rsidRPr="004073CB">
        <w:trPr>
          <w:trHeight w:val="539"/>
        </w:trPr>
        <w:tc>
          <w:tcPr>
            <w:tcW w:w="261" w:type="dxa"/>
            <w:tcBorders>
              <w:top w:val="single" w:sz="4" w:space="0" w:color="auto"/>
              <w:left w:val="single" w:sz="4" w:space="0" w:color="auto"/>
              <w:right w:val="single" w:sz="4" w:space="0" w:color="auto"/>
            </w:tcBorders>
            <w:shd w:val="clear" w:color="auto" w:fill="006A71"/>
          </w:tcPr>
          <w:p w:rsidR="00A7100C" w:rsidRPr="00645007" w:rsidRDefault="00A7100C" w:rsidP="004073CB">
            <w:pPr>
              <w:pStyle w:val="IRPsanstext"/>
              <w:rPr>
                <w:rFonts w:eastAsia="Times New Roman" w:cs="Arial"/>
                <w:b/>
                <w:color w:val="FFFFFF" w:themeColor="background1"/>
                <w:sz w:val="16"/>
                <w:szCs w:val="16"/>
              </w:rPr>
            </w:pPr>
          </w:p>
        </w:tc>
        <w:tc>
          <w:tcPr>
            <w:tcW w:w="2520" w:type="dxa"/>
            <w:vMerge w:val="restart"/>
            <w:tcBorders>
              <w:top w:val="single" w:sz="4" w:space="0" w:color="auto"/>
              <w:left w:val="single" w:sz="4" w:space="0" w:color="auto"/>
              <w:right w:val="single" w:sz="4" w:space="0" w:color="auto"/>
            </w:tcBorders>
            <w:shd w:val="clear" w:color="auto" w:fill="006A71"/>
            <w:noWrap/>
            <w:vAlign w:val="center"/>
          </w:tcPr>
          <w:p w:rsidR="00A7100C" w:rsidRPr="004073CB" w:rsidRDefault="00A7100C" w:rsidP="004073CB">
            <w:pPr>
              <w:pStyle w:val="IRPsanstext"/>
              <w:rPr>
                <w:rFonts w:eastAsia="Times New Roman" w:cs="Arial"/>
                <w:b/>
                <w:color w:val="FFFFFF" w:themeColor="background1"/>
              </w:rPr>
            </w:pPr>
          </w:p>
        </w:tc>
        <w:tc>
          <w:tcPr>
            <w:tcW w:w="2070" w:type="dxa"/>
            <w:gridSpan w:val="2"/>
            <w:tcBorders>
              <w:top w:val="single" w:sz="4" w:space="0" w:color="auto"/>
              <w:left w:val="single" w:sz="4" w:space="0" w:color="auto"/>
              <w:bottom w:val="single" w:sz="4" w:space="0" w:color="auto"/>
              <w:right w:val="single" w:sz="4" w:space="0" w:color="auto"/>
            </w:tcBorders>
            <w:shd w:val="clear" w:color="auto" w:fill="006A71"/>
            <w:noWrap/>
            <w:vAlign w:val="bottom"/>
          </w:tcPr>
          <w:p w:rsidR="00A7100C" w:rsidRPr="004073CB" w:rsidRDefault="00A7100C" w:rsidP="004073CB">
            <w:pPr>
              <w:pStyle w:val="IRPsanstext"/>
              <w:jc w:val="center"/>
              <w:rPr>
                <w:rFonts w:eastAsia="Times New Roman" w:cs="Arial"/>
                <w:b/>
                <w:bCs/>
                <w:color w:val="FFFFFF"/>
              </w:rPr>
            </w:pPr>
            <w:r w:rsidRPr="004073CB">
              <w:rPr>
                <w:rFonts w:eastAsia="Times New Roman" w:cs="Arial"/>
                <w:b/>
                <w:bCs/>
                <w:color w:val="FFFFFF"/>
              </w:rPr>
              <w:t>Reliability Metric</w:t>
            </w:r>
          </w:p>
        </w:tc>
        <w:tc>
          <w:tcPr>
            <w:tcW w:w="1440" w:type="dxa"/>
            <w:vMerge w:val="restart"/>
            <w:tcBorders>
              <w:top w:val="single" w:sz="4" w:space="0" w:color="auto"/>
              <w:left w:val="single" w:sz="4" w:space="0" w:color="auto"/>
              <w:right w:val="single" w:sz="4" w:space="0" w:color="auto"/>
            </w:tcBorders>
            <w:shd w:val="clear" w:color="auto" w:fill="006A71"/>
            <w:vAlign w:val="bottom"/>
          </w:tcPr>
          <w:p w:rsidR="00A7100C" w:rsidRPr="004073CB" w:rsidRDefault="00A7100C" w:rsidP="004073CB">
            <w:pPr>
              <w:pStyle w:val="IRPsanstext"/>
              <w:jc w:val="center"/>
              <w:rPr>
                <w:rFonts w:eastAsia="Times New Roman" w:cs="Arial"/>
                <w:b/>
                <w:bCs/>
                <w:color w:val="FFFFFF"/>
              </w:rPr>
            </w:pPr>
            <w:r w:rsidRPr="004073CB">
              <w:rPr>
                <w:rFonts w:eastAsia="Times New Roman" w:cs="Arial"/>
                <w:b/>
                <w:bCs/>
                <w:color w:val="FFFFFF"/>
              </w:rPr>
              <w:t>2021 Peaker Capacity Added after DSR (MW)</w:t>
            </w:r>
          </w:p>
        </w:tc>
        <w:tc>
          <w:tcPr>
            <w:tcW w:w="2386" w:type="dxa"/>
            <w:gridSpan w:val="2"/>
            <w:tcBorders>
              <w:top w:val="single" w:sz="4" w:space="0" w:color="auto"/>
              <w:left w:val="single" w:sz="4" w:space="0" w:color="auto"/>
              <w:bottom w:val="single" w:sz="4" w:space="0" w:color="auto"/>
              <w:right w:val="single" w:sz="4" w:space="0" w:color="auto"/>
            </w:tcBorders>
            <w:shd w:val="clear" w:color="auto" w:fill="006A71"/>
            <w:vAlign w:val="bottom"/>
          </w:tcPr>
          <w:p w:rsidR="00A7100C" w:rsidRPr="004073CB" w:rsidRDefault="00A7100C" w:rsidP="004073CB">
            <w:pPr>
              <w:pStyle w:val="IRPsanstext"/>
              <w:jc w:val="center"/>
              <w:rPr>
                <w:rFonts w:eastAsia="Times New Roman" w:cs="Arial"/>
                <w:b/>
                <w:bCs/>
                <w:color w:val="FFFFFF"/>
              </w:rPr>
            </w:pPr>
            <w:r w:rsidRPr="004073CB">
              <w:rPr>
                <w:rFonts w:eastAsia="Times New Roman" w:cs="Arial"/>
                <w:b/>
                <w:bCs/>
                <w:color w:val="FFFFFF"/>
              </w:rPr>
              <w:t>Customer Value of Lost Load</w:t>
            </w:r>
          </w:p>
        </w:tc>
      </w:tr>
      <w:tr w:rsidR="004073CB" w:rsidRPr="004073CB">
        <w:trPr>
          <w:trHeight w:val="384"/>
        </w:trPr>
        <w:tc>
          <w:tcPr>
            <w:tcW w:w="261" w:type="dxa"/>
            <w:tcBorders>
              <w:left w:val="single" w:sz="4" w:space="0" w:color="auto"/>
              <w:right w:val="single" w:sz="4" w:space="0" w:color="auto"/>
            </w:tcBorders>
            <w:shd w:val="clear" w:color="auto" w:fill="006A71"/>
          </w:tcPr>
          <w:p w:rsidR="00A7100C" w:rsidRPr="00645007" w:rsidRDefault="00A7100C" w:rsidP="004073CB">
            <w:pPr>
              <w:pStyle w:val="IRPsanstext"/>
              <w:rPr>
                <w:rFonts w:eastAsia="Times New Roman" w:cs="Arial"/>
                <w:b/>
                <w:color w:val="FFFFFF" w:themeColor="background1"/>
                <w:sz w:val="16"/>
                <w:szCs w:val="16"/>
              </w:rPr>
            </w:pPr>
          </w:p>
        </w:tc>
        <w:tc>
          <w:tcPr>
            <w:tcW w:w="2520" w:type="dxa"/>
            <w:vMerge/>
            <w:tcBorders>
              <w:left w:val="single" w:sz="4" w:space="0" w:color="auto"/>
              <w:right w:val="single" w:sz="4" w:space="0" w:color="auto"/>
            </w:tcBorders>
            <w:shd w:val="clear" w:color="auto" w:fill="006A71"/>
            <w:noWrap/>
            <w:vAlign w:val="center"/>
          </w:tcPr>
          <w:p w:rsidR="00A7100C" w:rsidRPr="004073CB" w:rsidRDefault="00A7100C" w:rsidP="004073CB">
            <w:pPr>
              <w:pStyle w:val="IRPsanstext"/>
              <w:rPr>
                <w:rFonts w:eastAsia="Times New Roman" w:cs="Arial"/>
                <w:b/>
                <w:color w:val="FFFFFF" w:themeColor="background1"/>
              </w:rPr>
            </w:pPr>
          </w:p>
        </w:tc>
        <w:tc>
          <w:tcPr>
            <w:tcW w:w="1080" w:type="dxa"/>
            <w:tcBorders>
              <w:top w:val="single" w:sz="4" w:space="0" w:color="auto"/>
              <w:left w:val="single" w:sz="4" w:space="0" w:color="auto"/>
              <w:right w:val="single" w:sz="4" w:space="0" w:color="auto"/>
            </w:tcBorders>
            <w:shd w:val="clear" w:color="auto" w:fill="006A71"/>
            <w:noWrap/>
            <w:vAlign w:val="bottom"/>
          </w:tcPr>
          <w:p w:rsidR="00A7100C" w:rsidRPr="004073CB" w:rsidRDefault="00A7100C" w:rsidP="004073CB">
            <w:pPr>
              <w:pStyle w:val="IRPsanstext"/>
              <w:jc w:val="center"/>
              <w:rPr>
                <w:rFonts w:eastAsia="Times New Roman" w:cs="Arial"/>
                <w:b/>
                <w:bCs/>
                <w:color w:val="FFFFFF"/>
              </w:rPr>
            </w:pPr>
            <w:r w:rsidRPr="004073CB">
              <w:rPr>
                <w:rFonts w:eastAsia="Times New Roman" w:cs="Arial"/>
                <w:b/>
                <w:bCs/>
                <w:color w:val="FFFFFF"/>
              </w:rPr>
              <w:t>LOLP</w:t>
            </w:r>
          </w:p>
        </w:tc>
        <w:tc>
          <w:tcPr>
            <w:tcW w:w="990" w:type="dxa"/>
            <w:tcBorders>
              <w:top w:val="single" w:sz="4" w:space="0" w:color="auto"/>
              <w:left w:val="single" w:sz="4" w:space="0" w:color="auto"/>
              <w:right w:val="single" w:sz="4" w:space="0" w:color="auto"/>
            </w:tcBorders>
            <w:shd w:val="clear" w:color="auto" w:fill="006A71"/>
            <w:vAlign w:val="bottom"/>
          </w:tcPr>
          <w:p w:rsidR="00A7100C" w:rsidRPr="004073CB" w:rsidRDefault="00A7100C" w:rsidP="004073CB">
            <w:pPr>
              <w:pStyle w:val="IRPsanstext"/>
              <w:jc w:val="center"/>
              <w:rPr>
                <w:rFonts w:eastAsia="Times New Roman" w:cs="Arial"/>
                <w:b/>
                <w:bCs/>
                <w:color w:val="FFFFFF"/>
              </w:rPr>
            </w:pPr>
            <w:r w:rsidRPr="004073CB">
              <w:rPr>
                <w:rFonts w:eastAsia="Times New Roman" w:cs="Arial"/>
                <w:b/>
                <w:bCs/>
                <w:color w:val="FFFFFF"/>
              </w:rPr>
              <w:t>EUE (MWh)</w:t>
            </w:r>
          </w:p>
        </w:tc>
        <w:tc>
          <w:tcPr>
            <w:tcW w:w="1440" w:type="dxa"/>
            <w:vMerge/>
            <w:tcBorders>
              <w:left w:val="single" w:sz="4" w:space="0" w:color="auto"/>
              <w:right w:val="single" w:sz="4" w:space="0" w:color="auto"/>
            </w:tcBorders>
            <w:shd w:val="clear" w:color="auto" w:fill="006A71"/>
            <w:vAlign w:val="bottom"/>
          </w:tcPr>
          <w:p w:rsidR="00A7100C" w:rsidRPr="004073CB" w:rsidRDefault="00A7100C" w:rsidP="004073CB">
            <w:pPr>
              <w:pStyle w:val="IRPsanstext"/>
              <w:jc w:val="center"/>
              <w:rPr>
                <w:rFonts w:eastAsia="Times New Roman" w:cs="Arial"/>
                <w:b/>
                <w:bCs/>
                <w:color w:val="FFFFFF"/>
              </w:rPr>
            </w:pPr>
          </w:p>
        </w:tc>
        <w:tc>
          <w:tcPr>
            <w:tcW w:w="1260" w:type="dxa"/>
            <w:tcBorders>
              <w:top w:val="single" w:sz="4" w:space="0" w:color="auto"/>
              <w:left w:val="single" w:sz="4" w:space="0" w:color="auto"/>
              <w:right w:val="single" w:sz="4" w:space="0" w:color="auto"/>
            </w:tcBorders>
            <w:shd w:val="clear" w:color="auto" w:fill="006A71"/>
            <w:vAlign w:val="bottom"/>
          </w:tcPr>
          <w:p w:rsidR="00A7100C" w:rsidRPr="004073CB" w:rsidRDefault="00A7100C" w:rsidP="004073CB">
            <w:pPr>
              <w:pStyle w:val="IRPsanstext"/>
              <w:jc w:val="center"/>
              <w:rPr>
                <w:rFonts w:eastAsia="Times New Roman" w:cs="Arial"/>
                <w:b/>
                <w:bCs/>
                <w:color w:val="FFFFFF"/>
              </w:rPr>
            </w:pPr>
            <w:r w:rsidRPr="004073CB">
              <w:rPr>
                <w:rFonts w:eastAsia="Times New Roman" w:cs="Arial"/>
                <w:b/>
                <w:bCs/>
                <w:color w:val="FFFFFF"/>
              </w:rPr>
              <w:t>Expected ($mill/yr)</w:t>
            </w:r>
          </w:p>
        </w:tc>
        <w:tc>
          <w:tcPr>
            <w:tcW w:w="1126" w:type="dxa"/>
            <w:tcBorders>
              <w:top w:val="single" w:sz="4" w:space="0" w:color="auto"/>
              <w:left w:val="single" w:sz="4" w:space="0" w:color="auto"/>
              <w:right w:val="single" w:sz="4" w:space="0" w:color="auto"/>
            </w:tcBorders>
            <w:shd w:val="clear" w:color="auto" w:fill="006A71"/>
            <w:vAlign w:val="bottom"/>
          </w:tcPr>
          <w:p w:rsidR="00A7100C" w:rsidRPr="004073CB" w:rsidRDefault="00A7100C" w:rsidP="004073CB">
            <w:pPr>
              <w:pStyle w:val="IRPsanstext"/>
              <w:jc w:val="center"/>
              <w:rPr>
                <w:rFonts w:eastAsia="Times New Roman" w:cs="Arial"/>
                <w:b/>
                <w:bCs/>
                <w:color w:val="FFFFFF"/>
              </w:rPr>
            </w:pPr>
            <w:r w:rsidRPr="004073CB">
              <w:rPr>
                <w:rFonts w:eastAsia="Times New Roman" w:cs="Arial"/>
                <w:b/>
                <w:bCs/>
                <w:color w:val="FFFFFF"/>
              </w:rPr>
              <w:t>TVar90 ($mill/yr)</w:t>
            </w:r>
          </w:p>
        </w:tc>
      </w:tr>
      <w:tr w:rsidR="004073CB" w:rsidRPr="004073CB">
        <w:trPr>
          <w:trHeight w:val="557"/>
        </w:trPr>
        <w:tc>
          <w:tcPr>
            <w:tcW w:w="261" w:type="dxa"/>
            <w:tcBorders>
              <w:top w:val="single" w:sz="4" w:space="0" w:color="auto"/>
              <w:left w:val="single" w:sz="4" w:space="0" w:color="auto"/>
              <w:bottom w:val="single" w:sz="4" w:space="0" w:color="auto"/>
              <w:right w:val="nil"/>
            </w:tcBorders>
          </w:tcPr>
          <w:p w:rsidR="00A7100C" w:rsidRPr="004073CB" w:rsidRDefault="00A7100C" w:rsidP="004073CB">
            <w:pPr>
              <w:pStyle w:val="IRPsanstext"/>
              <w:rPr>
                <w:rFonts w:eastAsia="Times New Roman" w:cs="Arial"/>
                <w:bCs/>
                <w:color w:val="000000"/>
              </w:rPr>
            </w:pPr>
            <w:r w:rsidRPr="004073CB">
              <w:rPr>
                <w:rFonts w:eastAsia="Times New Roman" w:cs="Arial"/>
                <w:bCs/>
                <w:color w:val="000000"/>
              </w:rPr>
              <w:t>1</w:t>
            </w:r>
          </w:p>
        </w:tc>
        <w:tc>
          <w:tcPr>
            <w:tcW w:w="2520" w:type="dxa"/>
            <w:tcBorders>
              <w:top w:val="single" w:sz="4" w:space="0" w:color="auto"/>
              <w:left w:val="nil"/>
              <w:bottom w:val="single" w:sz="4" w:space="0" w:color="auto"/>
              <w:right w:val="nil"/>
            </w:tcBorders>
            <w:shd w:val="clear" w:color="auto" w:fill="auto"/>
            <w:noWrap/>
            <w:vAlign w:val="center"/>
          </w:tcPr>
          <w:p w:rsidR="00A7100C" w:rsidRPr="004073CB" w:rsidRDefault="00A7100C" w:rsidP="008249EB">
            <w:pPr>
              <w:pStyle w:val="IRPsanstext"/>
              <w:spacing w:line="264" w:lineRule="auto"/>
              <w:rPr>
                <w:rFonts w:eastAsia="Times New Roman" w:cs="Arial"/>
                <w:bCs/>
                <w:color w:val="000000"/>
              </w:rPr>
            </w:pPr>
            <w:r w:rsidRPr="004073CB">
              <w:rPr>
                <w:rFonts w:eastAsia="Times New Roman" w:cs="Arial"/>
                <w:bCs/>
                <w:color w:val="000000"/>
              </w:rPr>
              <w:t xml:space="preserve">2013 Planning Standard </w:t>
            </w:r>
          </w:p>
          <w:p w:rsidR="00A7100C" w:rsidRPr="004073CB" w:rsidRDefault="00273555" w:rsidP="008249EB">
            <w:pPr>
              <w:pStyle w:val="IRPsanstext"/>
              <w:spacing w:line="264" w:lineRule="auto"/>
              <w:rPr>
                <w:rFonts w:eastAsia="Times New Roman" w:cs="Arial"/>
                <w:bCs/>
                <w:color w:val="000000"/>
              </w:rPr>
            </w:pPr>
            <w:r>
              <w:rPr>
                <w:rFonts w:eastAsia="Times New Roman" w:cs="Arial"/>
                <w:bCs/>
                <w:color w:val="000000"/>
              </w:rPr>
              <w:t>No</w:t>
            </w:r>
            <w:r w:rsidR="00A7100C" w:rsidRPr="004073CB">
              <w:rPr>
                <w:rFonts w:eastAsia="Times New Roman" w:cs="Arial"/>
                <w:bCs/>
                <w:color w:val="000000"/>
              </w:rPr>
              <w:t xml:space="preserve"> Market Risk</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100C" w:rsidRPr="004073CB" w:rsidRDefault="00A7100C" w:rsidP="004073CB">
            <w:pPr>
              <w:pStyle w:val="IRPsanstext"/>
              <w:jc w:val="center"/>
              <w:rPr>
                <w:rFonts w:eastAsia="Times New Roman" w:cs="Arial"/>
                <w:bCs/>
                <w:color w:val="000000"/>
              </w:rPr>
            </w:pPr>
            <w:r w:rsidRPr="004073CB">
              <w:rPr>
                <w:rFonts w:eastAsia="Times New Roman" w:cs="Arial"/>
                <w:bCs/>
                <w:color w:val="000000"/>
              </w:rPr>
              <w:t>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A7100C" w:rsidRPr="004073CB" w:rsidRDefault="00A7100C" w:rsidP="004073CB">
            <w:pPr>
              <w:pStyle w:val="IRPsanstext"/>
              <w:jc w:val="center"/>
              <w:rPr>
                <w:rFonts w:eastAsia="Times New Roman" w:cs="Arial"/>
                <w:bCs/>
                <w:color w:val="000000"/>
              </w:rPr>
            </w:pPr>
            <w:r w:rsidRPr="004073CB">
              <w:rPr>
                <w:rFonts w:eastAsia="Times New Roman" w:cs="Arial"/>
                <w:bCs/>
                <w:color w:val="000000"/>
              </w:rPr>
              <w:t>26</w:t>
            </w:r>
          </w:p>
        </w:tc>
        <w:tc>
          <w:tcPr>
            <w:tcW w:w="1440" w:type="dxa"/>
            <w:tcBorders>
              <w:top w:val="single" w:sz="4" w:space="0" w:color="auto"/>
              <w:left w:val="single" w:sz="4" w:space="0" w:color="auto"/>
              <w:bottom w:val="single" w:sz="4" w:space="0" w:color="auto"/>
              <w:right w:val="single" w:sz="4" w:space="0" w:color="auto"/>
            </w:tcBorders>
            <w:vAlign w:val="center"/>
          </w:tcPr>
          <w:p w:rsidR="00A7100C" w:rsidRPr="004073CB" w:rsidRDefault="00A7100C" w:rsidP="004073CB">
            <w:pPr>
              <w:pStyle w:val="IRPsanstext"/>
              <w:jc w:val="center"/>
              <w:rPr>
                <w:rFonts w:eastAsia="Times New Roman" w:cs="Arial"/>
                <w:bCs/>
                <w:color w:val="000000"/>
              </w:rPr>
            </w:pPr>
            <w:r w:rsidRPr="004073CB">
              <w:rPr>
                <w:rFonts w:eastAsia="Times New Roman" w:cs="Arial"/>
                <w:bCs/>
                <w:color w:val="000000"/>
              </w:rPr>
              <w:t>(150)</w:t>
            </w:r>
          </w:p>
        </w:tc>
        <w:tc>
          <w:tcPr>
            <w:tcW w:w="1260" w:type="dxa"/>
            <w:tcBorders>
              <w:top w:val="single" w:sz="4" w:space="0" w:color="auto"/>
              <w:left w:val="single" w:sz="4" w:space="0" w:color="auto"/>
              <w:bottom w:val="single" w:sz="4" w:space="0" w:color="auto"/>
              <w:right w:val="single" w:sz="4" w:space="0" w:color="auto"/>
            </w:tcBorders>
            <w:vAlign w:val="center"/>
          </w:tcPr>
          <w:p w:rsidR="00A7100C" w:rsidRPr="004073CB" w:rsidRDefault="00A7100C" w:rsidP="004073CB">
            <w:pPr>
              <w:pStyle w:val="IRPsanstext"/>
              <w:jc w:val="center"/>
              <w:rPr>
                <w:rFonts w:eastAsia="Times New Roman" w:cs="Arial"/>
                <w:bCs/>
                <w:color w:val="000000"/>
              </w:rPr>
            </w:pPr>
            <w:r w:rsidRPr="004073CB">
              <w:rPr>
                <w:rFonts w:eastAsia="Times New Roman" w:cs="Arial"/>
                <w:bCs/>
                <w:color w:val="000000"/>
              </w:rPr>
              <w:t>86*</w:t>
            </w:r>
          </w:p>
        </w:tc>
        <w:tc>
          <w:tcPr>
            <w:tcW w:w="1126" w:type="dxa"/>
            <w:tcBorders>
              <w:top w:val="single" w:sz="4" w:space="0" w:color="auto"/>
              <w:left w:val="single" w:sz="4" w:space="0" w:color="auto"/>
              <w:bottom w:val="single" w:sz="4" w:space="0" w:color="auto"/>
              <w:right w:val="single" w:sz="4" w:space="0" w:color="auto"/>
            </w:tcBorders>
            <w:vAlign w:val="center"/>
          </w:tcPr>
          <w:p w:rsidR="00A7100C" w:rsidRPr="004073CB" w:rsidRDefault="00A7100C" w:rsidP="004073CB">
            <w:pPr>
              <w:pStyle w:val="IRPsanstext"/>
              <w:jc w:val="center"/>
              <w:rPr>
                <w:rFonts w:eastAsia="Times New Roman" w:cs="Arial"/>
                <w:bCs/>
                <w:color w:val="000000"/>
              </w:rPr>
            </w:pPr>
            <w:r w:rsidRPr="004073CB">
              <w:rPr>
                <w:rFonts w:eastAsia="Times New Roman" w:cs="Arial"/>
                <w:bCs/>
                <w:color w:val="000000"/>
              </w:rPr>
              <w:t>858*</w:t>
            </w:r>
          </w:p>
        </w:tc>
      </w:tr>
      <w:tr w:rsidR="004073CB" w:rsidRPr="004073CB">
        <w:trPr>
          <w:trHeight w:val="611"/>
        </w:trPr>
        <w:tc>
          <w:tcPr>
            <w:tcW w:w="261" w:type="dxa"/>
            <w:tcBorders>
              <w:top w:val="single" w:sz="4" w:space="0" w:color="auto"/>
              <w:left w:val="single" w:sz="4" w:space="0" w:color="auto"/>
              <w:bottom w:val="single" w:sz="4" w:space="0" w:color="auto"/>
              <w:right w:val="nil"/>
            </w:tcBorders>
          </w:tcPr>
          <w:p w:rsidR="00A7100C" w:rsidRPr="004073CB" w:rsidRDefault="00A7100C" w:rsidP="004073CB">
            <w:pPr>
              <w:pStyle w:val="IRPsanstext"/>
              <w:rPr>
                <w:rFonts w:eastAsia="Times New Roman" w:cs="Arial"/>
                <w:bCs/>
                <w:color w:val="000000"/>
              </w:rPr>
            </w:pPr>
            <w:r w:rsidRPr="004073CB">
              <w:rPr>
                <w:rFonts w:eastAsia="Times New Roman" w:cs="Arial"/>
                <w:bCs/>
                <w:color w:val="000000"/>
              </w:rPr>
              <w:t>2</w:t>
            </w:r>
          </w:p>
        </w:tc>
        <w:tc>
          <w:tcPr>
            <w:tcW w:w="2520" w:type="dxa"/>
            <w:tcBorders>
              <w:top w:val="single" w:sz="4" w:space="0" w:color="auto"/>
              <w:left w:val="nil"/>
              <w:bottom w:val="single" w:sz="4" w:space="0" w:color="auto"/>
              <w:right w:val="nil"/>
            </w:tcBorders>
            <w:shd w:val="clear" w:color="auto" w:fill="auto"/>
            <w:noWrap/>
            <w:vAlign w:val="center"/>
          </w:tcPr>
          <w:p w:rsidR="00A7100C" w:rsidRPr="004073CB" w:rsidRDefault="00A7100C" w:rsidP="008249EB">
            <w:pPr>
              <w:pStyle w:val="IRPsanstext"/>
              <w:spacing w:line="264" w:lineRule="auto"/>
              <w:rPr>
                <w:rFonts w:eastAsia="Times New Roman" w:cs="Arial"/>
                <w:bCs/>
                <w:color w:val="000000"/>
              </w:rPr>
            </w:pPr>
            <w:r w:rsidRPr="004073CB">
              <w:rPr>
                <w:rFonts w:eastAsia="Times New Roman" w:cs="Arial"/>
                <w:bCs/>
                <w:color w:val="000000"/>
              </w:rPr>
              <w:t xml:space="preserve">2013 Planning Standard </w:t>
            </w:r>
          </w:p>
          <w:p w:rsidR="00A7100C" w:rsidRPr="004073CB" w:rsidRDefault="00273555" w:rsidP="008249EB">
            <w:pPr>
              <w:pStyle w:val="IRPsanstext"/>
              <w:spacing w:line="264" w:lineRule="auto"/>
              <w:rPr>
                <w:rFonts w:eastAsia="Times New Roman" w:cs="Arial"/>
                <w:bCs/>
                <w:color w:val="000000"/>
              </w:rPr>
            </w:pPr>
            <w:r>
              <w:rPr>
                <w:rFonts w:eastAsia="Times New Roman" w:cs="Arial"/>
                <w:bCs/>
                <w:color w:val="000000"/>
              </w:rPr>
              <w:t>with</w:t>
            </w:r>
            <w:r w:rsidR="00A7100C" w:rsidRPr="004073CB">
              <w:rPr>
                <w:rFonts w:eastAsia="Times New Roman" w:cs="Arial"/>
                <w:bCs/>
                <w:color w:val="000000"/>
              </w:rPr>
              <w:t xml:space="preserve"> Market Risk</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100C" w:rsidRPr="004073CB" w:rsidRDefault="00A7100C" w:rsidP="004073CB">
            <w:pPr>
              <w:pStyle w:val="IRPsanstext"/>
              <w:jc w:val="center"/>
              <w:rPr>
                <w:rFonts w:eastAsia="Times New Roman" w:cs="Arial"/>
                <w:bCs/>
                <w:color w:val="000000"/>
              </w:rPr>
            </w:pPr>
            <w:r w:rsidRPr="004073CB">
              <w:rPr>
                <w:rFonts w:eastAsia="Times New Roman" w:cs="Arial"/>
                <w:bCs/>
                <w:color w:val="000000"/>
              </w:rPr>
              <w:t>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A7100C" w:rsidRPr="004073CB" w:rsidRDefault="00A7100C" w:rsidP="004073CB">
            <w:pPr>
              <w:pStyle w:val="IRPsanstext"/>
              <w:jc w:val="center"/>
              <w:rPr>
                <w:rFonts w:eastAsia="Times New Roman" w:cs="Arial"/>
                <w:bCs/>
                <w:color w:val="000000"/>
              </w:rPr>
            </w:pPr>
            <w:r w:rsidRPr="004073CB">
              <w:rPr>
                <w:rFonts w:eastAsia="Times New Roman" w:cs="Arial"/>
                <w:bCs/>
                <w:color w:val="000000"/>
              </w:rPr>
              <w:t>50</w:t>
            </w:r>
          </w:p>
        </w:tc>
        <w:tc>
          <w:tcPr>
            <w:tcW w:w="1440" w:type="dxa"/>
            <w:tcBorders>
              <w:top w:val="single" w:sz="4" w:space="0" w:color="auto"/>
              <w:left w:val="single" w:sz="4" w:space="0" w:color="auto"/>
              <w:bottom w:val="single" w:sz="4" w:space="0" w:color="auto"/>
              <w:right w:val="single" w:sz="4" w:space="0" w:color="auto"/>
            </w:tcBorders>
            <w:vAlign w:val="center"/>
          </w:tcPr>
          <w:p w:rsidR="00A7100C" w:rsidRPr="004073CB" w:rsidRDefault="00A7100C" w:rsidP="004073CB">
            <w:pPr>
              <w:pStyle w:val="IRPsanstext"/>
              <w:jc w:val="center"/>
              <w:rPr>
                <w:rFonts w:eastAsia="Times New Roman" w:cs="Arial"/>
                <w:bCs/>
                <w:color w:val="000000"/>
              </w:rPr>
            </w:pPr>
            <w:r w:rsidRPr="004073CB">
              <w:rPr>
                <w:rFonts w:eastAsia="Times New Roman" w:cs="Arial"/>
                <w:bCs/>
                <w:color w:val="000000"/>
              </w:rPr>
              <w:t>(117)</w:t>
            </w:r>
          </w:p>
        </w:tc>
        <w:tc>
          <w:tcPr>
            <w:tcW w:w="1260" w:type="dxa"/>
            <w:tcBorders>
              <w:top w:val="single" w:sz="4" w:space="0" w:color="auto"/>
              <w:left w:val="single" w:sz="4" w:space="0" w:color="auto"/>
              <w:bottom w:val="single" w:sz="4" w:space="0" w:color="auto"/>
              <w:right w:val="single" w:sz="4" w:space="0" w:color="auto"/>
            </w:tcBorders>
            <w:vAlign w:val="center"/>
          </w:tcPr>
          <w:p w:rsidR="00A7100C" w:rsidRPr="004073CB" w:rsidRDefault="00A7100C" w:rsidP="004073CB">
            <w:pPr>
              <w:pStyle w:val="IRPsanstext"/>
              <w:jc w:val="center"/>
              <w:rPr>
                <w:rFonts w:eastAsia="Times New Roman" w:cs="Arial"/>
                <w:bCs/>
                <w:color w:val="000000"/>
              </w:rPr>
            </w:pPr>
            <w:r w:rsidRPr="004073CB">
              <w:rPr>
                <w:rFonts w:eastAsia="Times New Roman" w:cs="Arial"/>
                <w:bCs/>
                <w:color w:val="000000"/>
              </w:rPr>
              <w:t>169</w:t>
            </w:r>
          </w:p>
        </w:tc>
        <w:tc>
          <w:tcPr>
            <w:tcW w:w="1126" w:type="dxa"/>
            <w:tcBorders>
              <w:top w:val="single" w:sz="4" w:space="0" w:color="auto"/>
              <w:left w:val="single" w:sz="4" w:space="0" w:color="auto"/>
              <w:bottom w:val="single" w:sz="4" w:space="0" w:color="auto"/>
              <w:right w:val="single" w:sz="4" w:space="0" w:color="auto"/>
            </w:tcBorders>
            <w:vAlign w:val="center"/>
          </w:tcPr>
          <w:p w:rsidR="00A7100C" w:rsidRPr="004073CB" w:rsidRDefault="00A7100C" w:rsidP="004073CB">
            <w:pPr>
              <w:pStyle w:val="IRPsanstext"/>
              <w:jc w:val="center"/>
              <w:rPr>
                <w:rFonts w:eastAsia="Times New Roman" w:cs="Arial"/>
                <w:bCs/>
                <w:color w:val="000000"/>
              </w:rPr>
            </w:pPr>
            <w:r w:rsidRPr="004073CB">
              <w:rPr>
                <w:rFonts w:eastAsia="Times New Roman" w:cs="Arial"/>
                <w:bCs/>
                <w:color w:val="000000"/>
              </w:rPr>
              <w:t>1,691</w:t>
            </w:r>
          </w:p>
        </w:tc>
      </w:tr>
      <w:tr w:rsidR="004073CB" w:rsidRPr="004073CB">
        <w:trPr>
          <w:trHeight w:val="539"/>
        </w:trPr>
        <w:tc>
          <w:tcPr>
            <w:tcW w:w="261" w:type="dxa"/>
            <w:tcBorders>
              <w:top w:val="single" w:sz="4" w:space="0" w:color="auto"/>
              <w:left w:val="single" w:sz="4" w:space="0" w:color="auto"/>
              <w:bottom w:val="single" w:sz="4" w:space="0" w:color="auto"/>
              <w:right w:val="nil"/>
            </w:tcBorders>
          </w:tcPr>
          <w:p w:rsidR="00A7100C" w:rsidRPr="004073CB" w:rsidRDefault="00A7100C" w:rsidP="004073CB">
            <w:pPr>
              <w:pStyle w:val="IRPsanstext"/>
              <w:rPr>
                <w:rFonts w:eastAsia="Times New Roman" w:cs="Arial"/>
                <w:bCs/>
                <w:color w:val="000000"/>
              </w:rPr>
            </w:pPr>
            <w:r w:rsidRPr="004073CB">
              <w:rPr>
                <w:rFonts w:eastAsia="Times New Roman" w:cs="Arial"/>
                <w:bCs/>
                <w:color w:val="000000"/>
              </w:rPr>
              <w:t>3</w:t>
            </w:r>
          </w:p>
        </w:tc>
        <w:tc>
          <w:tcPr>
            <w:tcW w:w="2520" w:type="dxa"/>
            <w:tcBorders>
              <w:top w:val="single" w:sz="4" w:space="0" w:color="auto"/>
              <w:left w:val="nil"/>
              <w:bottom w:val="single" w:sz="4" w:space="0" w:color="auto"/>
              <w:right w:val="nil"/>
            </w:tcBorders>
            <w:shd w:val="clear" w:color="auto" w:fill="auto"/>
            <w:noWrap/>
            <w:vAlign w:val="center"/>
          </w:tcPr>
          <w:p w:rsidR="00273555" w:rsidRDefault="00A7100C" w:rsidP="008249EB">
            <w:pPr>
              <w:pStyle w:val="IRPsanstext"/>
              <w:spacing w:line="264" w:lineRule="auto"/>
              <w:rPr>
                <w:rFonts w:eastAsia="Times New Roman" w:cs="Arial"/>
                <w:bCs/>
                <w:color w:val="000000"/>
              </w:rPr>
            </w:pPr>
            <w:r w:rsidRPr="004073CB">
              <w:rPr>
                <w:rFonts w:eastAsia="Times New Roman" w:cs="Arial"/>
                <w:bCs/>
                <w:color w:val="000000"/>
              </w:rPr>
              <w:t xml:space="preserve">2015 Optimal Planning Standard </w:t>
            </w:r>
          </w:p>
          <w:p w:rsidR="00A7100C" w:rsidRPr="004073CB" w:rsidRDefault="00273555" w:rsidP="008249EB">
            <w:pPr>
              <w:pStyle w:val="IRPsanstext"/>
              <w:spacing w:line="264" w:lineRule="auto"/>
              <w:rPr>
                <w:rFonts w:eastAsia="Times New Roman" w:cs="Arial"/>
                <w:bCs/>
                <w:color w:val="000000"/>
              </w:rPr>
            </w:pPr>
            <w:r>
              <w:rPr>
                <w:rFonts w:eastAsia="Times New Roman" w:cs="Arial"/>
                <w:bCs/>
                <w:color w:val="000000"/>
              </w:rPr>
              <w:t>(Includes Market Risk)</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100C" w:rsidRPr="004073CB" w:rsidRDefault="00A7100C" w:rsidP="004073CB">
            <w:pPr>
              <w:pStyle w:val="IRPsanstext"/>
              <w:jc w:val="center"/>
              <w:rPr>
                <w:rFonts w:eastAsia="Times New Roman" w:cs="Arial"/>
                <w:bCs/>
                <w:color w:val="000000"/>
              </w:rPr>
            </w:pPr>
            <w:r w:rsidRPr="004073CB">
              <w:rPr>
                <w:rFonts w:eastAsia="Times New Roman" w:cs="Arial"/>
                <w:bCs/>
                <w:color w:val="000000"/>
              </w:rPr>
              <w:t>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A7100C" w:rsidRPr="004073CB" w:rsidRDefault="00A7100C" w:rsidP="004073CB">
            <w:pPr>
              <w:pStyle w:val="IRPsanstext"/>
              <w:jc w:val="center"/>
              <w:rPr>
                <w:rFonts w:eastAsia="Times New Roman" w:cs="Arial"/>
                <w:bCs/>
                <w:color w:val="000000"/>
              </w:rPr>
            </w:pPr>
            <w:r w:rsidRPr="004073CB">
              <w:rPr>
                <w:rFonts w:eastAsia="Times New Roman" w:cs="Arial"/>
                <w:bCs/>
                <w:color w:val="000000"/>
              </w:rPr>
              <w:t>10.9</w:t>
            </w:r>
          </w:p>
        </w:tc>
        <w:tc>
          <w:tcPr>
            <w:tcW w:w="1440" w:type="dxa"/>
            <w:tcBorders>
              <w:top w:val="single" w:sz="4" w:space="0" w:color="auto"/>
              <w:left w:val="single" w:sz="4" w:space="0" w:color="auto"/>
              <w:bottom w:val="single" w:sz="4" w:space="0" w:color="auto"/>
              <w:right w:val="single" w:sz="4" w:space="0" w:color="auto"/>
            </w:tcBorders>
            <w:vAlign w:val="center"/>
          </w:tcPr>
          <w:p w:rsidR="00A7100C" w:rsidRPr="004073CB" w:rsidRDefault="00A7100C" w:rsidP="004073CB">
            <w:pPr>
              <w:pStyle w:val="IRPsanstext"/>
              <w:jc w:val="center"/>
              <w:rPr>
                <w:rFonts w:eastAsia="Times New Roman" w:cs="Arial"/>
                <w:bCs/>
                <w:color w:val="000000"/>
              </w:rPr>
            </w:pPr>
            <w:r w:rsidRPr="004073CB">
              <w:rPr>
                <w:rFonts w:eastAsia="Times New Roman" w:cs="Arial"/>
                <w:bCs/>
                <w:color w:val="000000"/>
              </w:rPr>
              <w:t>234</w:t>
            </w:r>
          </w:p>
        </w:tc>
        <w:tc>
          <w:tcPr>
            <w:tcW w:w="1260" w:type="dxa"/>
            <w:tcBorders>
              <w:top w:val="single" w:sz="4" w:space="0" w:color="auto"/>
              <w:left w:val="single" w:sz="4" w:space="0" w:color="auto"/>
              <w:bottom w:val="single" w:sz="4" w:space="0" w:color="auto"/>
              <w:right w:val="single" w:sz="4" w:space="0" w:color="auto"/>
            </w:tcBorders>
            <w:vAlign w:val="center"/>
          </w:tcPr>
          <w:p w:rsidR="00A7100C" w:rsidRPr="004073CB" w:rsidRDefault="00A7100C" w:rsidP="004073CB">
            <w:pPr>
              <w:pStyle w:val="IRPsanstext"/>
              <w:jc w:val="center"/>
              <w:rPr>
                <w:rFonts w:eastAsia="Times New Roman" w:cs="Arial"/>
                <w:bCs/>
                <w:color w:val="000000"/>
              </w:rPr>
            </w:pPr>
            <w:r w:rsidRPr="004073CB">
              <w:rPr>
                <w:rFonts w:eastAsia="Times New Roman" w:cs="Arial"/>
                <w:bCs/>
                <w:color w:val="000000"/>
              </w:rPr>
              <w:t>39</w:t>
            </w:r>
          </w:p>
        </w:tc>
        <w:tc>
          <w:tcPr>
            <w:tcW w:w="1126" w:type="dxa"/>
            <w:tcBorders>
              <w:top w:val="single" w:sz="4" w:space="0" w:color="auto"/>
              <w:left w:val="single" w:sz="4" w:space="0" w:color="auto"/>
              <w:bottom w:val="single" w:sz="4" w:space="0" w:color="auto"/>
              <w:right w:val="single" w:sz="4" w:space="0" w:color="auto"/>
            </w:tcBorders>
            <w:vAlign w:val="center"/>
          </w:tcPr>
          <w:p w:rsidR="00A7100C" w:rsidRPr="004073CB" w:rsidRDefault="00A7100C" w:rsidP="004073CB">
            <w:pPr>
              <w:pStyle w:val="IRPsanstext"/>
              <w:jc w:val="center"/>
              <w:rPr>
                <w:rFonts w:eastAsia="Times New Roman" w:cs="Arial"/>
                <w:bCs/>
                <w:color w:val="000000"/>
              </w:rPr>
            </w:pPr>
            <w:r w:rsidRPr="004073CB">
              <w:rPr>
                <w:rFonts w:eastAsia="Times New Roman" w:cs="Arial"/>
                <w:bCs/>
                <w:color w:val="000000"/>
              </w:rPr>
              <w:t>385</w:t>
            </w:r>
          </w:p>
        </w:tc>
      </w:tr>
    </w:tbl>
    <w:p w:rsidR="00A7100C" w:rsidRPr="004073CB" w:rsidRDefault="00A7100C" w:rsidP="004073CB">
      <w:pPr>
        <w:pStyle w:val="IRPtitle"/>
        <w:spacing w:before="120" w:line="300" w:lineRule="auto"/>
        <w:ind w:left="0" w:firstLine="0"/>
        <w:rPr>
          <w:rFonts w:cs="Arial"/>
          <w:i/>
          <w:sz w:val="20"/>
          <w:szCs w:val="20"/>
        </w:rPr>
      </w:pPr>
      <w:r w:rsidRPr="004073CB">
        <w:rPr>
          <w:rFonts w:cs="Arial"/>
          <w:i/>
          <w:sz w:val="20"/>
          <w:szCs w:val="20"/>
        </w:rPr>
        <w:t xml:space="preserve">* Inaccurate estimate because it ignores reliability impact of wholesale market risk. </w:t>
      </w:r>
    </w:p>
    <w:p w:rsidR="00A7100C" w:rsidRDefault="00A7100C" w:rsidP="00A7100C">
      <w:pPr>
        <w:pStyle w:val="IRPtitle"/>
        <w:spacing w:line="300" w:lineRule="auto"/>
        <w:ind w:left="0" w:firstLine="0"/>
        <w:rPr>
          <w:rFonts w:ascii="Arial" w:hAnsi="Arial" w:cs="Arial"/>
          <w:sz w:val="20"/>
          <w:szCs w:val="20"/>
        </w:rPr>
      </w:pPr>
    </w:p>
    <w:p w:rsidR="00A7100C" w:rsidRDefault="00A7100C" w:rsidP="004073CB">
      <w:pPr>
        <w:pStyle w:val="IRPsanstext"/>
      </w:pPr>
      <w:r>
        <w:t>To understand the impact of the change, it is helpful to understand what the reliability metrics in the table in Figure 2-1 represent. Loss of load probability (LOLP) is a measure of the likelihood of a load curtailment occurring; expected unserved energy (EUE) is a measure of the magnitude of potential load curtailments, in other words, how m</w:t>
      </w:r>
      <w:r w:rsidR="00741B6D">
        <w:t>uch load and how many customers</w:t>
      </w:r>
      <w:r>
        <w:t xml:space="preserve"> are likely to </w:t>
      </w:r>
      <w:r w:rsidR="00741B6D">
        <w:t xml:space="preserve">be </w:t>
      </w:r>
      <w:r>
        <w:t>impact</w:t>
      </w:r>
      <w:r w:rsidR="00741B6D">
        <w:t>ed</w:t>
      </w:r>
      <w:r>
        <w:t xml:space="preserve">.  </w:t>
      </w:r>
    </w:p>
    <w:p w:rsidR="00A7100C" w:rsidRDefault="00A7100C" w:rsidP="004073CB">
      <w:pPr>
        <w:pStyle w:val="IRPsanstext"/>
      </w:pPr>
    </w:p>
    <w:p w:rsidR="00A7100C" w:rsidRDefault="00A7100C" w:rsidP="004073CB">
      <w:pPr>
        <w:pStyle w:val="IRPsanstext"/>
      </w:pPr>
      <w:r>
        <w:t xml:space="preserve">In line one of Figure 2-1, the 2013 Planning Standard – which is focused on a 5 percent LOLP and ignores market risk – indicates that PSE would be surplus 150 MW in 2021. In line two, when the 2013 standard includes market risk, the surplus diminishes to 117 MW. From this perspective, recognizing market risk would require PSE to add 33 MW to maintain the 5 percent LOLP. However, the real impact of ignoring risk can be seen in the EUE and customer value of lost load sections on these two lines. Recognizing market risk nearly doubles EUE, the customer value of lost load and risk. </w:t>
      </w:r>
      <w:proofErr w:type="gramStart"/>
      <w:r>
        <w:t>EUE increases from 26 MWh to 50 MWh; the expected customer value of lost load increases from $86 million to $169 million; and risk increases from $858 million to $1,691 million.</w:t>
      </w:r>
      <w:proofErr w:type="gramEnd"/>
      <w:r>
        <w:t xml:space="preserve"> </w:t>
      </w:r>
    </w:p>
    <w:p w:rsidR="00A7100C" w:rsidRDefault="00A7100C" w:rsidP="004073CB">
      <w:pPr>
        <w:pStyle w:val="IRPsanstext"/>
      </w:pPr>
    </w:p>
    <w:p w:rsidR="00A7100C" w:rsidRDefault="00A7100C" w:rsidP="004073CB">
      <w:pPr>
        <w:pStyle w:val="IRPsanstext"/>
      </w:pPr>
      <w:r>
        <w:t xml:space="preserve">These results highlight the need for a new planning standard. Focusing only on LOLP misses the fact that customer curtailments would be almost twice as high.  Clearly, a more comprehensive </w:t>
      </w:r>
      <w:r>
        <w:lastRenderedPageBreak/>
        <w:t xml:space="preserve">approach to defining the planning standard is needed. </w:t>
      </w:r>
    </w:p>
    <w:p w:rsidR="004073CB" w:rsidRDefault="004073CB" w:rsidP="004073CB">
      <w:pPr>
        <w:pStyle w:val="IRPsanstext"/>
        <w:rPr>
          <w:b/>
          <w:color w:val="006C71"/>
          <w:sz w:val="28"/>
        </w:rPr>
      </w:pPr>
    </w:p>
    <w:p w:rsidR="00A7100C" w:rsidRPr="00A9475A" w:rsidRDefault="00A7100C" w:rsidP="004073CB">
      <w:pPr>
        <w:pStyle w:val="IRPsanstext"/>
      </w:pPr>
      <w:proofErr w:type="gramStart"/>
      <w:r w:rsidRPr="00A91D58">
        <w:rPr>
          <w:b/>
          <w:color w:val="006C71"/>
          <w:sz w:val="28"/>
        </w:rPr>
        <w:t xml:space="preserve">The </w:t>
      </w:r>
      <w:r w:rsidR="00741B6D">
        <w:rPr>
          <w:b/>
          <w:color w:val="006C71"/>
          <w:sz w:val="28"/>
        </w:rPr>
        <w:t xml:space="preserve">2015 </w:t>
      </w:r>
      <w:r w:rsidRPr="00537039">
        <w:rPr>
          <w:b/>
          <w:color w:val="006C71"/>
          <w:sz w:val="28"/>
        </w:rPr>
        <w:t>Optimal Planning Standard</w:t>
      </w:r>
      <w:r w:rsidRPr="00A91D58">
        <w:rPr>
          <w:b/>
          <w:color w:val="006C71"/>
          <w:sz w:val="28"/>
        </w:rPr>
        <w:t>.</w:t>
      </w:r>
      <w:proofErr w:type="gramEnd"/>
      <w:r>
        <w:t xml:space="preserve"> To develop the 2015 Optimal Planning Standard, we focused on the benefits and costs to customers of improving reliability. Translating MWh of lost load into a dollar metric based on its value to customers facilitated performing a benefit/cost analysis to define the optimal planning standard. The word “optimal” is used here in an economic context. </w:t>
      </w:r>
      <w:r w:rsidRPr="00F22934">
        <w:t xml:space="preserve">The analysis compared the cost to customers of potential outages with the cost of adding generating resources to increase service reliability to find the </w:t>
      </w:r>
      <w:r>
        <w:t>“</w:t>
      </w:r>
      <w:r w:rsidRPr="00F22934">
        <w:t>optimal</w:t>
      </w:r>
      <w:r>
        <w:t>”</w:t>
      </w:r>
      <w:r w:rsidRPr="00F22934">
        <w:t xml:space="preserve"> level of reliability – </w:t>
      </w:r>
      <w:r>
        <w:t>the point at which</w:t>
      </w:r>
      <w:r w:rsidRPr="00F22934">
        <w:t xml:space="preserve"> the benefit to customers of increased reliability (marginal benefit) equals the cost of providing that level of reliability (marginal cost). </w:t>
      </w:r>
    </w:p>
    <w:p w:rsidR="00A7100C" w:rsidRDefault="00A7100C" w:rsidP="004073CB">
      <w:pPr>
        <w:pStyle w:val="IRPsanstext"/>
      </w:pPr>
    </w:p>
    <w:p w:rsidR="00A7100C" w:rsidRDefault="00A7100C" w:rsidP="004073CB">
      <w:pPr>
        <w:pStyle w:val="IRPsanstext"/>
      </w:pPr>
      <w:r w:rsidRPr="00A9475A">
        <w:t xml:space="preserve">Again, </w:t>
      </w:r>
      <w:r>
        <w:t xml:space="preserve">Figure 2-1 shows that moving to the </w:t>
      </w:r>
      <w:r w:rsidR="00741B6D">
        <w:t xml:space="preserve">2015 </w:t>
      </w:r>
      <w:r>
        <w:t>Optimal Planning Standard reduces the expected value of lost load to customers by $130 million per year.</w:t>
      </w:r>
      <w:r>
        <w:rPr>
          <w:rStyle w:val="FootnoteReference"/>
        </w:rPr>
        <w:footnoteReference w:id="2"/>
      </w:r>
      <w:r>
        <w:t xml:space="preserve"> The cost to achieve that expected savings is $63 million per year,</w:t>
      </w:r>
      <w:r>
        <w:rPr>
          <w:rStyle w:val="FootnoteReference"/>
        </w:rPr>
        <w:footnoteReference w:id="3"/>
      </w:r>
      <w:r>
        <w:t xml:space="preserve"> for a net benefit to customers of $67 million per year.  Risk reduction to customer</w:t>
      </w:r>
      <w:r w:rsidR="00741B6D">
        <w:t xml:space="preserve">s is dramatic. That $67 million per </w:t>
      </w:r>
      <w:r>
        <w:t>year cost reduces the risk to customers by $1.3 billion per year.</w:t>
      </w:r>
      <w:r>
        <w:rPr>
          <w:rStyle w:val="FootnoteReference"/>
        </w:rPr>
        <w:footnoteReference w:id="4"/>
      </w:r>
      <w:r>
        <w:t xml:space="preserve"> </w:t>
      </w:r>
    </w:p>
    <w:p w:rsidR="00A7100C" w:rsidRDefault="00A7100C" w:rsidP="004073CB">
      <w:pPr>
        <w:pStyle w:val="IRPsanstext"/>
      </w:pPr>
    </w:p>
    <w:p w:rsidR="00A7100C" w:rsidRDefault="00A7100C" w:rsidP="004073CB">
      <w:pPr>
        <w:pStyle w:val="IRPsanstext"/>
      </w:pPr>
      <w:r>
        <w:t xml:space="preserve">Figure 2-2 illustrates where the marginal benefit and marginal cost of reliability to customers intersects at the optimal planning standard. This chart shows that as generation increases, the incremental benefit created by that addition falls. This is because fewer and fewer outages are avoided by the increased generation. The incremental cost is constant (shown here as the incremental cost of adding 100 MW blocks of generation). The chart shows that if we stopped adding generation before 234 MW, we would be leaving value on the table for customers, because the benefits exceed costs up to that point.  On the other hand, adding generation beyond 234 MW would cost customers more than it saves, reducing the net benefit to customers to below the $67 million per year.  </w:t>
      </w:r>
    </w:p>
    <w:p w:rsidR="00A7100C" w:rsidRDefault="00A7100C" w:rsidP="004073CB">
      <w:pPr>
        <w:pStyle w:val="IRPsanstext"/>
      </w:pPr>
    </w:p>
    <w:p w:rsidR="004073CB" w:rsidRDefault="004073CB">
      <w:pPr>
        <w:rPr>
          <w:rFonts w:ascii="Arial" w:hAnsi="Arial"/>
          <w:sz w:val="20"/>
          <w:szCs w:val="20"/>
        </w:rPr>
      </w:pPr>
      <w:r>
        <w:br w:type="page"/>
      </w:r>
    </w:p>
    <w:p w:rsidR="00A7100C" w:rsidRDefault="00A7100C" w:rsidP="004073CB">
      <w:pPr>
        <w:pStyle w:val="IRPsanstext"/>
      </w:pPr>
      <w:r>
        <w:lastRenderedPageBreak/>
        <w:t xml:space="preserve">Using this benefit/cost approach will enable us to continue to identify the optimal planning standard even as conditions in the region and PSE’s service territory change over time.  </w:t>
      </w:r>
    </w:p>
    <w:p w:rsidR="00A7100C" w:rsidRDefault="00A7100C" w:rsidP="00A7100C">
      <w:pPr>
        <w:pStyle w:val="IRPtitle"/>
        <w:spacing w:line="300" w:lineRule="auto"/>
        <w:ind w:left="0" w:firstLine="0"/>
        <w:rPr>
          <w:rFonts w:ascii="Arial" w:hAnsi="Arial" w:cs="Arial"/>
          <w:sz w:val="20"/>
          <w:szCs w:val="20"/>
        </w:rPr>
      </w:pPr>
    </w:p>
    <w:p w:rsidR="00A7100C" w:rsidRDefault="00A7100C" w:rsidP="00A7100C">
      <w:pPr>
        <w:rPr>
          <w:rFonts w:ascii="Arial" w:hAnsi="Arial" w:cs="Arial"/>
          <w:sz w:val="20"/>
          <w:szCs w:val="20"/>
        </w:rPr>
      </w:pPr>
    </w:p>
    <w:p w:rsidR="00A7100C" w:rsidRDefault="00741B6D" w:rsidP="00741B6D">
      <w:pPr>
        <w:pStyle w:val="IRPFigureSub"/>
      </w:pPr>
      <w:r>
        <w:t>Figure 2-2:</w:t>
      </w:r>
      <w:r w:rsidR="00A7100C">
        <w:t xml:space="preserve"> Marginal Benefit and Marginal Cost of Reliability to Customers</w:t>
      </w:r>
    </w:p>
    <w:p w:rsidR="00A7100C" w:rsidRDefault="00A7100C" w:rsidP="00A7100C">
      <w:pPr>
        <w:pStyle w:val="IRPtitle"/>
        <w:ind w:left="-720" w:firstLine="0"/>
        <w:rPr>
          <w:rFonts w:ascii="Arial" w:hAnsi="Arial" w:cs="Arial"/>
          <w:sz w:val="20"/>
          <w:szCs w:val="20"/>
        </w:rPr>
      </w:pPr>
    </w:p>
    <w:p w:rsidR="00A7100C" w:rsidRDefault="00A7100C" w:rsidP="004073CB">
      <w:pPr>
        <w:pStyle w:val="IRPtitle"/>
        <w:ind w:left="0" w:firstLine="0"/>
        <w:rPr>
          <w:rFonts w:ascii="Arial" w:hAnsi="Arial" w:cs="Arial"/>
          <w:sz w:val="20"/>
          <w:szCs w:val="20"/>
        </w:rPr>
      </w:pPr>
      <w:r>
        <w:rPr>
          <w:noProof/>
          <w:lang w:eastAsia="en-US"/>
        </w:rPr>
        <w:drawing>
          <wp:inline distT="0" distB="0" distL="0" distR="0">
            <wp:extent cx="5311500" cy="2923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11500" cy="2923540"/>
                    </a:xfrm>
                    <a:prstGeom prst="rect">
                      <a:avLst/>
                    </a:prstGeom>
                    <a:noFill/>
                    <a:ln>
                      <a:noFill/>
                    </a:ln>
                  </pic:spPr>
                </pic:pic>
              </a:graphicData>
            </a:graphic>
          </wp:inline>
        </w:drawing>
      </w:r>
    </w:p>
    <w:p w:rsidR="00A7100C" w:rsidRDefault="00A7100C" w:rsidP="00A7100C">
      <w:pPr>
        <w:pStyle w:val="IRPtitle"/>
        <w:ind w:left="-720" w:firstLine="0"/>
        <w:rPr>
          <w:rFonts w:ascii="Arial" w:hAnsi="Arial" w:cs="Arial"/>
          <w:sz w:val="20"/>
          <w:szCs w:val="20"/>
        </w:rPr>
      </w:pPr>
    </w:p>
    <w:p w:rsidR="00A7100C" w:rsidRDefault="00A7100C" w:rsidP="00A7100C">
      <w:pPr>
        <w:pStyle w:val="IRPtitle"/>
        <w:spacing w:line="300" w:lineRule="auto"/>
        <w:ind w:left="0" w:firstLine="0"/>
        <w:rPr>
          <w:rFonts w:ascii="Arial" w:hAnsi="Arial" w:cs="Arial"/>
          <w:sz w:val="20"/>
          <w:szCs w:val="20"/>
        </w:rPr>
      </w:pPr>
    </w:p>
    <w:p w:rsidR="00A7100C" w:rsidRPr="004073CB" w:rsidRDefault="00A7100C" w:rsidP="004073CB">
      <w:pPr>
        <w:pStyle w:val="IRPsanstext"/>
        <w:rPr>
          <w:sz w:val="32"/>
          <w:szCs w:val="32"/>
        </w:rPr>
      </w:pPr>
      <w:r w:rsidRPr="004073CB">
        <w:rPr>
          <w:sz w:val="32"/>
          <w:szCs w:val="32"/>
        </w:rPr>
        <w:t xml:space="preserve">Regional Resource Configuration Assumptions </w:t>
      </w:r>
    </w:p>
    <w:p w:rsidR="00A7100C" w:rsidRDefault="00A7100C" w:rsidP="004073CB">
      <w:pPr>
        <w:pStyle w:val="IRPsanstext"/>
      </w:pPr>
    </w:p>
    <w:p w:rsidR="00A7100C" w:rsidRDefault="00A7100C" w:rsidP="004073CB">
      <w:pPr>
        <w:pStyle w:val="IRPsanstext"/>
      </w:pPr>
      <w:r>
        <w:t xml:space="preserve">Incorporating wholesale market risk in the analysis required us to make certain assumptions about regional resource configurations. We began with the assumptions in the May 2015 NPCC regional resource adequacy study and made three key adjustments. </w:t>
      </w:r>
    </w:p>
    <w:p w:rsidR="00A7100C" w:rsidRDefault="00A7100C" w:rsidP="004073CB">
      <w:pPr>
        <w:pStyle w:val="IRPsanstext"/>
      </w:pPr>
    </w:p>
    <w:p w:rsidR="00A7100C" w:rsidRDefault="00A7100C" w:rsidP="004073CB">
      <w:pPr>
        <w:pStyle w:val="IRPsanstext"/>
      </w:pPr>
      <w:r>
        <w:rPr>
          <w:b/>
          <w:caps/>
        </w:rPr>
        <w:t xml:space="preserve">1. </w:t>
      </w:r>
      <w:r w:rsidRPr="003F1B89">
        <w:rPr>
          <w:b/>
          <w:caps/>
        </w:rPr>
        <w:t>Southwest imports were increased by 475 MW</w:t>
      </w:r>
      <w:r w:rsidR="00741B6D">
        <w:rPr>
          <w:b/>
          <w:caps/>
        </w:rPr>
        <w:t>.</w:t>
      </w:r>
      <w:r>
        <w:t xml:space="preserve">  </w:t>
      </w:r>
    </w:p>
    <w:p w:rsidR="00A7100C" w:rsidRDefault="00A7100C" w:rsidP="004073CB">
      <w:pPr>
        <w:pStyle w:val="IRPsanstext"/>
      </w:pPr>
      <w:r w:rsidRPr="00F22934">
        <w:t xml:space="preserve">The NPCC’s base analysis assumes 3,400 MW of transmission capacity is available from California, but only 2,925 MW of winter season on-peak resources were included in the analysis (2,500 MW of spot market purchases plus 425 MW of long-term contracts). </w:t>
      </w:r>
      <w:r>
        <w:t>We added</w:t>
      </w:r>
      <w:r w:rsidRPr="00F22934">
        <w:t xml:space="preserve"> the spot market import amounts necessary such that total imports from California equal 3,400 MW on all hours.</w:t>
      </w:r>
      <w:r>
        <w:t xml:space="preserve"> It seemed reasonable to assume that this additional capacity would be available during the region’s peak need season. </w:t>
      </w:r>
    </w:p>
    <w:p w:rsidR="00A7100C" w:rsidRDefault="00A7100C" w:rsidP="004073CB">
      <w:pPr>
        <w:pStyle w:val="IRPsanstext"/>
        <w:rPr>
          <w:strike/>
        </w:rPr>
      </w:pPr>
    </w:p>
    <w:p w:rsidR="004073CB" w:rsidRDefault="004073CB">
      <w:pPr>
        <w:rPr>
          <w:rFonts w:ascii="Arial" w:hAnsi="Arial"/>
          <w:b/>
          <w:caps/>
          <w:sz w:val="20"/>
          <w:szCs w:val="20"/>
        </w:rPr>
      </w:pPr>
      <w:r>
        <w:rPr>
          <w:b/>
          <w:caps/>
        </w:rPr>
        <w:br w:type="page"/>
      </w:r>
    </w:p>
    <w:p w:rsidR="00A7100C" w:rsidRDefault="00A7100C" w:rsidP="004073CB">
      <w:pPr>
        <w:pStyle w:val="IRPsanstext"/>
        <w:rPr>
          <w:b/>
          <w:caps/>
        </w:rPr>
      </w:pPr>
      <w:r>
        <w:rPr>
          <w:b/>
          <w:caps/>
        </w:rPr>
        <w:lastRenderedPageBreak/>
        <w:t xml:space="preserve">2. </w:t>
      </w:r>
      <w:r w:rsidRPr="003F1B89">
        <w:rPr>
          <w:b/>
          <w:caps/>
        </w:rPr>
        <w:t>Regional generation was increased by 440 MW</w:t>
      </w:r>
      <w:r w:rsidR="00741B6D">
        <w:rPr>
          <w:b/>
          <w:caps/>
        </w:rPr>
        <w:t>.</w:t>
      </w:r>
    </w:p>
    <w:p w:rsidR="00A7100C" w:rsidRDefault="00A7100C" w:rsidP="004073CB">
      <w:pPr>
        <w:pStyle w:val="IRPsanstext"/>
      </w:pPr>
      <w:r>
        <w:t xml:space="preserve">Portland General Electric (PGE) has plans to acquire 440 MW of firm generation by 2021, when their Boardman coal plant retires. Information from PGE demonstrates a strong preference for that generation to be a non-intermittent renewable resource. PGE is, however, prepared to build Carty 2, which would be 440 MW gas CCCT plant if adequate renewable resources are not available. This plant did not meet the criteria to include in the NPCC’s regional adequacy analysis, but it seems reasonable to assume that it will be built, and we did not want to overstate our resource needs. </w:t>
      </w:r>
    </w:p>
    <w:p w:rsidR="00A7100C" w:rsidRDefault="00A7100C" w:rsidP="004073CB">
      <w:pPr>
        <w:pStyle w:val="IRPsanstext"/>
      </w:pPr>
      <w:r>
        <w:t xml:space="preserve">  </w:t>
      </w:r>
    </w:p>
    <w:p w:rsidR="00A7100C" w:rsidRDefault="00A7100C" w:rsidP="004073CB">
      <w:pPr>
        <w:pStyle w:val="IRPsanstext"/>
        <w:rPr>
          <w:caps/>
        </w:rPr>
      </w:pPr>
      <w:r>
        <w:rPr>
          <w:b/>
          <w:caps/>
        </w:rPr>
        <w:t xml:space="preserve">3. </w:t>
      </w:r>
      <w:r w:rsidRPr="003F1B89">
        <w:rPr>
          <w:b/>
          <w:caps/>
        </w:rPr>
        <w:t>Regional generation was reduced by 650 MW</w:t>
      </w:r>
      <w:r w:rsidR="00741B6D">
        <w:rPr>
          <w:b/>
          <w:caps/>
        </w:rPr>
        <w:t>.</w:t>
      </w:r>
    </w:p>
    <w:p w:rsidR="00A7100C" w:rsidRPr="00A56364" w:rsidRDefault="00A7100C" w:rsidP="004073CB">
      <w:pPr>
        <w:pStyle w:val="IRPsanstext"/>
      </w:pPr>
      <w:r>
        <w:t>T</w:t>
      </w:r>
      <w:r w:rsidRPr="00A56364">
        <w:t xml:space="preserve">his adjustment assumes the 650 MW Grays Harbor CCCT is not available to operate during PNW load curtailment events. This gas-fired generating plant appears to rely solely on wholesale market purchases of interruptible fuel supply. It has neither firm pipeline capacity for natural gas fuel supply nor oil backup, which means that under extreme cold weather conditions – when the region is most likely to have a capacity deficit – the plant may not be able to operate until weather conditions improve and wholesale market gas supplies are available again. The NPCC assumed firm fuel supply in its regional adequacy analysis because of the difficulty of determining when the plant might be unable to obtain supplies, but it would be inconsistent for PSE to include </w:t>
      </w:r>
      <w:r>
        <w:t>the plant</w:t>
      </w:r>
      <w:r w:rsidRPr="00A56364">
        <w:t xml:space="preserve"> in our regional resource configuration since we would not be able to consider </w:t>
      </w:r>
      <w:r>
        <w:t>it</w:t>
      </w:r>
      <w:r w:rsidRPr="00A56364">
        <w:t xml:space="preserve"> firm for our customer</w:t>
      </w:r>
      <w:r>
        <w:t>s if it were in our portfolio. Removing Grays Harbor from the regional adequacy study ends up increasing PSE’s resource need by approximately 64 MW.</w:t>
      </w:r>
      <w:r>
        <w:rPr>
          <w:rStyle w:val="FootnoteReference"/>
        </w:rPr>
        <w:footnoteReference w:id="5"/>
      </w:r>
    </w:p>
    <w:p w:rsidR="00A7100C" w:rsidRPr="00DD368B" w:rsidRDefault="00A7100C" w:rsidP="00A7100C">
      <w:pPr>
        <w:pStyle w:val="IRPsanstext"/>
        <w:rPr>
          <w:color w:val="3366FF"/>
        </w:rPr>
      </w:pPr>
    </w:p>
    <w:p w:rsidR="00A7100C" w:rsidRDefault="00A7100C" w:rsidP="00A7100C">
      <w:pPr>
        <w:pStyle w:val="IRPsanstext"/>
      </w:pPr>
    </w:p>
    <w:p w:rsidR="004073CB" w:rsidRDefault="004073CB">
      <w:pPr>
        <w:rPr>
          <w:rFonts w:ascii="Arial" w:hAnsi="Arial"/>
          <w:sz w:val="32"/>
          <w:szCs w:val="32"/>
        </w:rPr>
      </w:pPr>
      <w:r>
        <w:rPr>
          <w:rFonts w:ascii="Arial" w:hAnsi="Arial"/>
          <w:sz w:val="32"/>
          <w:szCs w:val="32"/>
        </w:rPr>
        <w:br w:type="page"/>
      </w:r>
    </w:p>
    <w:p w:rsidR="00A7100C" w:rsidRPr="004073CB" w:rsidRDefault="00A7100C" w:rsidP="00A7100C">
      <w:pPr>
        <w:pStyle w:val="IRPtitle"/>
        <w:rPr>
          <w:rFonts w:ascii="Arial" w:hAnsi="Arial"/>
          <w:sz w:val="32"/>
          <w:szCs w:val="32"/>
        </w:rPr>
      </w:pPr>
      <w:r w:rsidRPr="004073CB">
        <w:rPr>
          <w:rFonts w:ascii="Arial" w:hAnsi="Arial"/>
          <w:sz w:val="32"/>
          <w:szCs w:val="32"/>
        </w:rPr>
        <w:lastRenderedPageBreak/>
        <w:t>Resource Additions Summary</w:t>
      </w:r>
    </w:p>
    <w:p w:rsidR="00A7100C" w:rsidRDefault="00A7100C" w:rsidP="00A7100C">
      <w:pPr>
        <w:pStyle w:val="IRPsanstext"/>
      </w:pPr>
    </w:p>
    <w:p w:rsidR="00A7100C" w:rsidRDefault="00A7100C" w:rsidP="004073CB">
      <w:pPr>
        <w:pStyle w:val="IRPsanstext"/>
      </w:pPr>
      <w:r>
        <w:t>Figure 2-3</w:t>
      </w:r>
      <w:r w:rsidRPr="00897829">
        <w:t xml:space="preserve"> summarizes the </w:t>
      </w:r>
      <w:r>
        <w:t xml:space="preserve">forecast of </w:t>
      </w:r>
      <w:r w:rsidRPr="00897829">
        <w:t xml:space="preserve">resource additions to the company’s electric portfolio that resulted from the </w:t>
      </w:r>
      <w:r>
        <w:t xml:space="preserve">2015 </w:t>
      </w:r>
      <w:r w:rsidRPr="00897829">
        <w:t xml:space="preserve">IRP analysis. </w:t>
      </w:r>
      <w:r>
        <w:t xml:space="preserve">The plan forecasts accelerated acquisition of conservation and demand-response in the early years, the addition of a natural gas-fueled peaking plant in 2021-22, and the addition of renewable resources by 2023 to meet RCW 19.285 (Northwest wind). Further out, CCCT plants are added starting in 2026 as the coal plant retirements begin to impact need. Additional renewables before 2023 were not included, because the stochastic portfolio analysis demonstrated that additional wind (the least cost renewable) did not reduce cost or reduce risk. The discussion below summarizes key decisions for the resource plan. </w:t>
      </w:r>
    </w:p>
    <w:p w:rsidR="00A7100C" w:rsidRDefault="00A7100C" w:rsidP="004073CB">
      <w:pPr>
        <w:pStyle w:val="IRPsanstext"/>
      </w:pPr>
    </w:p>
    <w:p w:rsidR="00A7100C" w:rsidRPr="00F523AA" w:rsidRDefault="00A7100C" w:rsidP="004073CB">
      <w:pPr>
        <w:pStyle w:val="IRPsanstext"/>
        <w:spacing w:after="120"/>
        <w:jc w:val="center"/>
        <w:rPr>
          <w:i/>
          <w:sz w:val="22"/>
        </w:rPr>
      </w:pPr>
      <w:r>
        <w:rPr>
          <w:i/>
          <w:sz w:val="22"/>
        </w:rPr>
        <w:t>Figure 2-3</w:t>
      </w:r>
      <w:r w:rsidRPr="00D46869">
        <w:rPr>
          <w:i/>
          <w:sz w:val="22"/>
        </w:rPr>
        <w:t xml:space="preserve">: Electric Resource Plan </w:t>
      </w:r>
      <w:r w:rsidRPr="008D164E">
        <w:rPr>
          <w:i/>
          <w:sz w:val="22"/>
        </w:rPr>
        <w:t>Forecast</w:t>
      </w:r>
      <w:r w:rsidRPr="00D46869">
        <w:rPr>
          <w:i/>
          <w:sz w:val="22"/>
        </w:rPr>
        <w:t xml:space="preserve">, </w:t>
      </w:r>
      <w:r>
        <w:rPr>
          <w:i/>
          <w:sz w:val="22"/>
        </w:rPr>
        <w:br/>
      </w:r>
      <w:r w:rsidRPr="00D46869">
        <w:rPr>
          <w:i/>
          <w:sz w:val="22"/>
        </w:rPr>
        <w:t>Cumulative Nameplate Capacity of Resource Additions</w:t>
      </w:r>
    </w:p>
    <w:tbl>
      <w:tblPr>
        <w:tblW w:w="8550" w:type="dxa"/>
        <w:tblInd w:w="108" w:type="dxa"/>
        <w:tblBorders>
          <w:top w:val="single" w:sz="8" w:space="0" w:color="auto"/>
          <w:left w:val="single" w:sz="8" w:space="0" w:color="auto"/>
          <w:bottom w:val="single" w:sz="8" w:space="0" w:color="auto"/>
          <w:right w:val="single" w:sz="8" w:space="0" w:color="auto"/>
        </w:tblBorders>
        <w:tblLayout w:type="fixed"/>
        <w:tblLook w:val="01E0" w:firstRow="1" w:lastRow="1" w:firstColumn="1" w:lastColumn="1" w:noHBand="0" w:noVBand="0"/>
      </w:tblPr>
      <w:tblGrid>
        <w:gridCol w:w="3420"/>
        <w:gridCol w:w="990"/>
        <w:gridCol w:w="1710"/>
        <w:gridCol w:w="810"/>
        <w:gridCol w:w="90"/>
        <w:gridCol w:w="1530"/>
      </w:tblGrid>
      <w:tr w:rsidR="00A7100C" w:rsidRPr="00D46869">
        <w:trPr>
          <w:trHeight w:hRule="exact" w:val="360"/>
        </w:trPr>
        <w:tc>
          <w:tcPr>
            <w:tcW w:w="3420" w:type="dxa"/>
            <w:tcBorders>
              <w:top w:val="single" w:sz="8" w:space="0" w:color="auto"/>
            </w:tcBorders>
            <w:shd w:val="clear" w:color="auto" w:fill="006C71"/>
            <w:vAlign w:val="center"/>
          </w:tcPr>
          <w:p w:rsidR="00A7100C" w:rsidRPr="00D46869" w:rsidRDefault="00A7100C" w:rsidP="004073CB">
            <w:pPr>
              <w:widowControl w:val="0"/>
              <w:spacing w:line="319" w:lineRule="auto"/>
              <w:rPr>
                <w:rFonts w:ascii="Arial" w:hAnsi="Arial" w:cs="Arial"/>
                <w:b/>
                <w:bCs/>
                <w:color w:val="FFFFFF"/>
              </w:rPr>
            </w:pPr>
          </w:p>
        </w:tc>
        <w:tc>
          <w:tcPr>
            <w:tcW w:w="990" w:type="dxa"/>
            <w:tcBorders>
              <w:top w:val="single" w:sz="8" w:space="0" w:color="auto"/>
            </w:tcBorders>
            <w:shd w:val="clear" w:color="auto" w:fill="006C71"/>
            <w:vAlign w:val="center"/>
          </w:tcPr>
          <w:p w:rsidR="00A7100C" w:rsidRPr="00D46869" w:rsidRDefault="00A7100C" w:rsidP="004073CB">
            <w:pPr>
              <w:widowControl w:val="0"/>
              <w:spacing w:line="319" w:lineRule="auto"/>
              <w:jc w:val="center"/>
              <w:rPr>
                <w:rFonts w:ascii="Arial" w:hAnsi="Arial" w:cs="Arial"/>
                <w:b/>
                <w:bCs/>
                <w:color w:val="FFFFFF"/>
              </w:rPr>
            </w:pPr>
            <w:r w:rsidRPr="00D46869">
              <w:rPr>
                <w:rFonts w:ascii="Arial" w:hAnsi="Arial" w:cs="Arial"/>
                <w:b/>
                <w:bCs/>
                <w:color w:val="FFFFFF"/>
              </w:rPr>
              <w:t>2021</w:t>
            </w:r>
          </w:p>
        </w:tc>
        <w:tc>
          <w:tcPr>
            <w:tcW w:w="1710" w:type="dxa"/>
            <w:tcBorders>
              <w:top w:val="single" w:sz="8" w:space="0" w:color="auto"/>
            </w:tcBorders>
            <w:shd w:val="clear" w:color="auto" w:fill="006C71"/>
            <w:vAlign w:val="center"/>
          </w:tcPr>
          <w:p w:rsidR="00A7100C" w:rsidRPr="00D46869" w:rsidRDefault="00A7100C" w:rsidP="004073CB">
            <w:pPr>
              <w:widowControl w:val="0"/>
              <w:spacing w:line="319" w:lineRule="auto"/>
              <w:jc w:val="center"/>
              <w:rPr>
                <w:rFonts w:ascii="Arial" w:hAnsi="Arial" w:cs="Arial"/>
                <w:b/>
                <w:bCs/>
                <w:color w:val="FFFFFF"/>
              </w:rPr>
            </w:pPr>
            <w:r w:rsidRPr="00D46869">
              <w:rPr>
                <w:rFonts w:ascii="Arial" w:hAnsi="Arial" w:cs="Arial"/>
                <w:b/>
                <w:bCs/>
                <w:color w:val="FFFFFF"/>
              </w:rPr>
              <w:t>202</w:t>
            </w:r>
            <w:r>
              <w:rPr>
                <w:rFonts w:ascii="Arial" w:hAnsi="Arial" w:cs="Arial"/>
                <w:b/>
                <w:bCs/>
                <w:color w:val="FFFFFF"/>
              </w:rPr>
              <w:t>6</w:t>
            </w:r>
          </w:p>
        </w:tc>
        <w:tc>
          <w:tcPr>
            <w:tcW w:w="900" w:type="dxa"/>
            <w:gridSpan w:val="2"/>
            <w:tcBorders>
              <w:top w:val="single" w:sz="8" w:space="0" w:color="auto"/>
            </w:tcBorders>
            <w:shd w:val="clear" w:color="auto" w:fill="006C71"/>
            <w:vAlign w:val="center"/>
          </w:tcPr>
          <w:p w:rsidR="00A7100C" w:rsidRPr="00D46869" w:rsidRDefault="00A7100C" w:rsidP="004073CB">
            <w:pPr>
              <w:widowControl w:val="0"/>
              <w:spacing w:line="319" w:lineRule="auto"/>
              <w:jc w:val="center"/>
              <w:rPr>
                <w:rFonts w:ascii="Arial" w:hAnsi="Arial" w:cs="Arial"/>
                <w:b/>
                <w:bCs/>
                <w:color w:val="FFFFFF"/>
              </w:rPr>
            </w:pPr>
            <w:r w:rsidRPr="00D46869">
              <w:rPr>
                <w:rFonts w:ascii="Arial" w:hAnsi="Arial" w:cs="Arial"/>
                <w:b/>
                <w:bCs/>
                <w:color w:val="FFFFFF"/>
              </w:rPr>
              <w:t>2030</w:t>
            </w:r>
          </w:p>
        </w:tc>
        <w:tc>
          <w:tcPr>
            <w:tcW w:w="1530" w:type="dxa"/>
            <w:tcBorders>
              <w:top w:val="single" w:sz="8" w:space="0" w:color="auto"/>
            </w:tcBorders>
            <w:shd w:val="clear" w:color="auto" w:fill="006C71"/>
            <w:vAlign w:val="center"/>
          </w:tcPr>
          <w:p w:rsidR="00A7100C" w:rsidRPr="00D46869" w:rsidRDefault="00A7100C" w:rsidP="004073CB">
            <w:pPr>
              <w:widowControl w:val="0"/>
              <w:spacing w:line="319" w:lineRule="auto"/>
              <w:jc w:val="center"/>
              <w:rPr>
                <w:rFonts w:ascii="Arial" w:hAnsi="Arial" w:cs="Arial"/>
                <w:b/>
                <w:bCs/>
                <w:color w:val="FFFFFF"/>
              </w:rPr>
            </w:pPr>
            <w:r w:rsidRPr="00D46869">
              <w:rPr>
                <w:rFonts w:ascii="Arial" w:hAnsi="Arial" w:cs="Arial"/>
                <w:b/>
                <w:bCs/>
                <w:color w:val="FFFFFF"/>
              </w:rPr>
              <w:t>203</w:t>
            </w:r>
            <w:r>
              <w:rPr>
                <w:rFonts w:ascii="Arial" w:hAnsi="Arial" w:cs="Arial"/>
                <w:b/>
                <w:bCs/>
                <w:color w:val="FFFFFF"/>
              </w:rPr>
              <w:t>5</w:t>
            </w:r>
          </w:p>
        </w:tc>
      </w:tr>
      <w:tr w:rsidR="00A7100C" w:rsidRPr="00D46869">
        <w:trPr>
          <w:trHeight w:hRule="exact" w:val="86"/>
        </w:trPr>
        <w:tc>
          <w:tcPr>
            <w:tcW w:w="3420" w:type="dxa"/>
            <w:shd w:val="clear" w:color="auto" w:fill="C0C0AA"/>
            <w:vAlign w:val="center"/>
          </w:tcPr>
          <w:p w:rsidR="00A7100C" w:rsidRPr="00D46869" w:rsidRDefault="00A7100C" w:rsidP="004073CB">
            <w:pPr>
              <w:widowControl w:val="0"/>
              <w:spacing w:line="319" w:lineRule="auto"/>
              <w:rPr>
                <w:rFonts w:ascii="Arial" w:hAnsi="Arial" w:cs="Arial"/>
                <w:b/>
                <w:bCs/>
              </w:rPr>
            </w:pPr>
          </w:p>
        </w:tc>
        <w:tc>
          <w:tcPr>
            <w:tcW w:w="990" w:type="dxa"/>
            <w:shd w:val="clear" w:color="auto" w:fill="C0C0AA"/>
            <w:vAlign w:val="center"/>
          </w:tcPr>
          <w:p w:rsidR="00A7100C" w:rsidRPr="00D46869" w:rsidRDefault="00A7100C" w:rsidP="004073CB">
            <w:pPr>
              <w:widowControl w:val="0"/>
              <w:spacing w:line="319" w:lineRule="auto"/>
              <w:jc w:val="center"/>
              <w:rPr>
                <w:rFonts w:ascii="Arial" w:hAnsi="Arial" w:cs="Arial"/>
              </w:rPr>
            </w:pPr>
          </w:p>
        </w:tc>
        <w:tc>
          <w:tcPr>
            <w:tcW w:w="1710" w:type="dxa"/>
            <w:shd w:val="clear" w:color="auto" w:fill="C0C0AA"/>
            <w:vAlign w:val="center"/>
          </w:tcPr>
          <w:p w:rsidR="00A7100C" w:rsidRPr="00D46869" w:rsidRDefault="00A7100C" w:rsidP="004073CB">
            <w:pPr>
              <w:widowControl w:val="0"/>
              <w:spacing w:line="319" w:lineRule="auto"/>
              <w:jc w:val="center"/>
              <w:rPr>
                <w:rFonts w:ascii="Arial" w:hAnsi="Arial" w:cs="Arial"/>
              </w:rPr>
            </w:pPr>
          </w:p>
        </w:tc>
        <w:tc>
          <w:tcPr>
            <w:tcW w:w="810" w:type="dxa"/>
            <w:shd w:val="clear" w:color="auto" w:fill="C0C0AA"/>
            <w:vAlign w:val="center"/>
          </w:tcPr>
          <w:p w:rsidR="00A7100C" w:rsidRPr="00D46869" w:rsidRDefault="00A7100C" w:rsidP="004073CB">
            <w:pPr>
              <w:widowControl w:val="0"/>
              <w:spacing w:line="319" w:lineRule="auto"/>
              <w:jc w:val="center"/>
              <w:rPr>
                <w:rFonts w:ascii="Arial" w:hAnsi="Arial" w:cs="Arial"/>
              </w:rPr>
            </w:pPr>
          </w:p>
        </w:tc>
        <w:tc>
          <w:tcPr>
            <w:tcW w:w="1620" w:type="dxa"/>
            <w:gridSpan w:val="2"/>
            <w:shd w:val="clear" w:color="auto" w:fill="C0C0AA"/>
            <w:vAlign w:val="center"/>
          </w:tcPr>
          <w:p w:rsidR="00A7100C" w:rsidRPr="00D46869" w:rsidRDefault="00A7100C" w:rsidP="004073CB">
            <w:pPr>
              <w:widowControl w:val="0"/>
              <w:spacing w:line="319" w:lineRule="auto"/>
              <w:jc w:val="center"/>
              <w:rPr>
                <w:rFonts w:ascii="Arial" w:hAnsi="Arial" w:cs="Arial"/>
              </w:rPr>
            </w:pPr>
          </w:p>
        </w:tc>
      </w:tr>
      <w:tr w:rsidR="00A7100C" w:rsidRPr="00D46869">
        <w:trPr>
          <w:trHeight w:hRule="exact" w:val="331"/>
        </w:trPr>
        <w:tc>
          <w:tcPr>
            <w:tcW w:w="3420" w:type="dxa"/>
            <w:shd w:val="clear" w:color="auto" w:fill="EEECE1"/>
            <w:vAlign w:val="center"/>
          </w:tcPr>
          <w:p w:rsidR="00A7100C" w:rsidRPr="007B0AC0" w:rsidRDefault="00A7100C" w:rsidP="004073CB">
            <w:pPr>
              <w:widowControl w:val="0"/>
              <w:spacing w:line="319" w:lineRule="auto"/>
              <w:rPr>
                <w:rFonts w:ascii="Arial" w:hAnsi="Arial" w:cs="Arial"/>
                <w:bCs/>
                <w:sz w:val="20"/>
                <w:szCs w:val="20"/>
              </w:rPr>
            </w:pPr>
            <w:r w:rsidRPr="007B0AC0">
              <w:rPr>
                <w:rFonts w:ascii="Arial" w:hAnsi="Arial" w:cs="Arial"/>
                <w:bCs/>
                <w:sz w:val="20"/>
                <w:szCs w:val="20"/>
              </w:rPr>
              <w:t>Conservation (MW)</w:t>
            </w:r>
          </w:p>
        </w:tc>
        <w:tc>
          <w:tcPr>
            <w:tcW w:w="990" w:type="dxa"/>
            <w:vAlign w:val="center"/>
          </w:tcPr>
          <w:p w:rsidR="00A7100C" w:rsidRPr="007B0AC0" w:rsidRDefault="00A7100C" w:rsidP="004073CB">
            <w:pPr>
              <w:widowControl w:val="0"/>
              <w:spacing w:line="319" w:lineRule="auto"/>
              <w:jc w:val="center"/>
              <w:rPr>
                <w:rFonts w:ascii="Arial" w:hAnsi="Arial" w:cs="Arial"/>
                <w:sz w:val="20"/>
                <w:szCs w:val="20"/>
              </w:rPr>
            </w:pPr>
            <w:r w:rsidRPr="00194A8E">
              <w:rPr>
                <w:rFonts w:ascii="Arial" w:hAnsi="Arial" w:cs="Arial"/>
                <w:sz w:val="20"/>
                <w:szCs w:val="20"/>
              </w:rPr>
              <w:t>411</w:t>
            </w:r>
          </w:p>
        </w:tc>
        <w:tc>
          <w:tcPr>
            <w:tcW w:w="1710" w:type="dxa"/>
            <w:vAlign w:val="center"/>
          </w:tcPr>
          <w:p w:rsidR="00A7100C" w:rsidRPr="007B0AC0" w:rsidRDefault="00A7100C" w:rsidP="004073CB">
            <w:pPr>
              <w:widowControl w:val="0"/>
              <w:spacing w:line="319" w:lineRule="auto"/>
              <w:jc w:val="center"/>
              <w:rPr>
                <w:rFonts w:ascii="Arial" w:hAnsi="Arial" w:cs="Arial"/>
                <w:sz w:val="20"/>
                <w:szCs w:val="20"/>
              </w:rPr>
            </w:pPr>
            <w:r w:rsidRPr="00194A8E">
              <w:rPr>
                <w:rFonts w:ascii="Arial" w:hAnsi="Arial" w:cs="Arial"/>
                <w:sz w:val="20"/>
                <w:szCs w:val="20"/>
              </w:rPr>
              <w:t>6</w:t>
            </w:r>
            <w:r>
              <w:rPr>
                <w:rFonts w:ascii="Arial" w:hAnsi="Arial" w:cs="Arial"/>
                <w:sz w:val="20"/>
                <w:szCs w:val="20"/>
              </w:rPr>
              <w:t>69</w:t>
            </w:r>
          </w:p>
        </w:tc>
        <w:tc>
          <w:tcPr>
            <w:tcW w:w="810" w:type="dxa"/>
            <w:vAlign w:val="center"/>
          </w:tcPr>
          <w:p w:rsidR="00A7100C" w:rsidRPr="007B0AC0" w:rsidRDefault="00A7100C" w:rsidP="004073CB">
            <w:pPr>
              <w:widowControl w:val="0"/>
              <w:spacing w:line="319" w:lineRule="auto"/>
              <w:jc w:val="center"/>
              <w:rPr>
                <w:rFonts w:ascii="Arial" w:hAnsi="Arial" w:cs="Arial"/>
                <w:sz w:val="20"/>
                <w:szCs w:val="20"/>
              </w:rPr>
            </w:pPr>
            <w:r>
              <w:rPr>
                <w:rFonts w:ascii="Arial" w:hAnsi="Arial" w:cs="Arial"/>
                <w:sz w:val="20"/>
                <w:szCs w:val="20"/>
              </w:rPr>
              <w:t>770</w:t>
            </w:r>
          </w:p>
        </w:tc>
        <w:tc>
          <w:tcPr>
            <w:tcW w:w="1620" w:type="dxa"/>
            <w:gridSpan w:val="2"/>
            <w:vAlign w:val="center"/>
          </w:tcPr>
          <w:p w:rsidR="00A7100C" w:rsidRPr="007B0AC0" w:rsidRDefault="00A7100C" w:rsidP="004073CB">
            <w:pPr>
              <w:widowControl w:val="0"/>
              <w:spacing w:line="319" w:lineRule="auto"/>
              <w:jc w:val="center"/>
              <w:rPr>
                <w:rFonts w:ascii="Arial" w:hAnsi="Arial" w:cs="Arial"/>
                <w:sz w:val="20"/>
                <w:szCs w:val="20"/>
              </w:rPr>
            </w:pPr>
            <w:r w:rsidRPr="00194A8E">
              <w:rPr>
                <w:rFonts w:ascii="Arial" w:hAnsi="Arial" w:cs="Arial"/>
                <w:sz w:val="20"/>
                <w:szCs w:val="20"/>
              </w:rPr>
              <w:t>906</w:t>
            </w:r>
          </w:p>
        </w:tc>
      </w:tr>
      <w:tr w:rsidR="00A7100C" w:rsidRPr="00D46869">
        <w:trPr>
          <w:trHeight w:hRule="exact" w:val="331"/>
        </w:trPr>
        <w:tc>
          <w:tcPr>
            <w:tcW w:w="3420" w:type="dxa"/>
            <w:shd w:val="clear" w:color="auto" w:fill="EEECE1"/>
            <w:vAlign w:val="center"/>
          </w:tcPr>
          <w:p w:rsidR="00A7100C" w:rsidRPr="007B0AC0" w:rsidRDefault="00A7100C" w:rsidP="004073CB">
            <w:pPr>
              <w:widowControl w:val="0"/>
              <w:spacing w:line="319" w:lineRule="auto"/>
              <w:rPr>
                <w:rFonts w:ascii="Arial" w:hAnsi="Arial" w:cs="Arial"/>
                <w:bCs/>
                <w:sz w:val="20"/>
                <w:szCs w:val="20"/>
              </w:rPr>
            </w:pPr>
            <w:r w:rsidRPr="007B0AC0">
              <w:rPr>
                <w:rFonts w:ascii="Arial" w:hAnsi="Arial" w:cs="Arial"/>
                <w:bCs/>
                <w:sz w:val="20"/>
                <w:szCs w:val="20"/>
              </w:rPr>
              <w:t>Demand Response (MW)</w:t>
            </w:r>
          </w:p>
        </w:tc>
        <w:tc>
          <w:tcPr>
            <w:tcW w:w="990" w:type="dxa"/>
            <w:vAlign w:val="center"/>
          </w:tcPr>
          <w:p w:rsidR="00A7100C" w:rsidRPr="007B0AC0" w:rsidRDefault="00A7100C" w:rsidP="004073CB">
            <w:pPr>
              <w:widowControl w:val="0"/>
              <w:spacing w:line="319" w:lineRule="auto"/>
              <w:jc w:val="center"/>
              <w:rPr>
                <w:rFonts w:ascii="Arial" w:hAnsi="Arial" w:cs="Arial"/>
                <w:sz w:val="20"/>
                <w:szCs w:val="20"/>
              </w:rPr>
            </w:pPr>
            <w:r>
              <w:rPr>
                <w:rFonts w:ascii="Arial" w:hAnsi="Arial" w:cs="Arial"/>
                <w:sz w:val="20"/>
                <w:szCs w:val="20"/>
              </w:rPr>
              <w:t>121</w:t>
            </w:r>
          </w:p>
        </w:tc>
        <w:tc>
          <w:tcPr>
            <w:tcW w:w="1710" w:type="dxa"/>
            <w:vAlign w:val="center"/>
          </w:tcPr>
          <w:p w:rsidR="00A7100C" w:rsidRPr="007B0AC0" w:rsidRDefault="00A7100C" w:rsidP="004073CB">
            <w:pPr>
              <w:widowControl w:val="0"/>
              <w:spacing w:line="319" w:lineRule="auto"/>
              <w:jc w:val="center"/>
              <w:rPr>
                <w:rFonts w:ascii="Arial" w:hAnsi="Arial" w:cs="Arial"/>
                <w:sz w:val="20"/>
                <w:szCs w:val="20"/>
              </w:rPr>
            </w:pPr>
            <w:r>
              <w:rPr>
                <w:rFonts w:ascii="Arial" w:hAnsi="Arial" w:cs="Arial"/>
                <w:sz w:val="20"/>
                <w:szCs w:val="20"/>
              </w:rPr>
              <w:t>130</w:t>
            </w:r>
          </w:p>
        </w:tc>
        <w:tc>
          <w:tcPr>
            <w:tcW w:w="810" w:type="dxa"/>
            <w:vAlign w:val="center"/>
          </w:tcPr>
          <w:p w:rsidR="00A7100C" w:rsidRPr="007B0AC0" w:rsidRDefault="00A7100C" w:rsidP="004073CB">
            <w:pPr>
              <w:widowControl w:val="0"/>
              <w:spacing w:line="319" w:lineRule="auto"/>
              <w:jc w:val="center"/>
              <w:rPr>
                <w:rFonts w:ascii="Arial" w:hAnsi="Arial" w:cs="Arial"/>
                <w:sz w:val="20"/>
                <w:szCs w:val="20"/>
              </w:rPr>
            </w:pPr>
            <w:r>
              <w:rPr>
                <w:rFonts w:ascii="Arial" w:hAnsi="Arial" w:cs="Arial"/>
                <w:sz w:val="20"/>
                <w:szCs w:val="20"/>
              </w:rPr>
              <w:t>138</w:t>
            </w:r>
          </w:p>
        </w:tc>
        <w:tc>
          <w:tcPr>
            <w:tcW w:w="1620" w:type="dxa"/>
            <w:gridSpan w:val="2"/>
            <w:vAlign w:val="center"/>
          </w:tcPr>
          <w:p w:rsidR="00A7100C" w:rsidRPr="007B0AC0" w:rsidRDefault="00A7100C" w:rsidP="004073CB">
            <w:pPr>
              <w:widowControl w:val="0"/>
              <w:spacing w:line="319" w:lineRule="auto"/>
              <w:jc w:val="center"/>
              <w:rPr>
                <w:rFonts w:ascii="Arial" w:hAnsi="Arial" w:cs="Arial"/>
                <w:sz w:val="20"/>
                <w:szCs w:val="20"/>
              </w:rPr>
            </w:pPr>
            <w:r>
              <w:rPr>
                <w:rFonts w:ascii="Arial" w:hAnsi="Arial" w:cs="Arial"/>
                <w:sz w:val="20"/>
                <w:szCs w:val="20"/>
              </w:rPr>
              <w:t>148</w:t>
            </w:r>
          </w:p>
        </w:tc>
      </w:tr>
      <w:tr w:rsidR="00A7100C" w:rsidRPr="00D46869">
        <w:trPr>
          <w:trHeight w:hRule="exact" w:val="331"/>
        </w:trPr>
        <w:tc>
          <w:tcPr>
            <w:tcW w:w="3420" w:type="dxa"/>
            <w:shd w:val="clear" w:color="auto" w:fill="EEECE1"/>
            <w:vAlign w:val="center"/>
          </w:tcPr>
          <w:p w:rsidR="00A7100C" w:rsidRPr="007B0AC0" w:rsidRDefault="00A7100C" w:rsidP="004073CB">
            <w:pPr>
              <w:widowControl w:val="0"/>
              <w:spacing w:line="319" w:lineRule="auto"/>
              <w:rPr>
                <w:rFonts w:ascii="Arial" w:hAnsi="Arial" w:cs="Arial"/>
                <w:bCs/>
                <w:sz w:val="20"/>
                <w:szCs w:val="20"/>
              </w:rPr>
            </w:pPr>
            <w:r w:rsidRPr="007B0AC0">
              <w:rPr>
                <w:rFonts w:ascii="Arial" w:hAnsi="Arial" w:cs="Arial"/>
                <w:bCs/>
                <w:sz w:val="20"/>
                <w:szCs w:val="20"/>
              </w:rPr>
              <w:t>Wind (MW)</w:t>
            </w:r>
          </w:p>
        </w:tc>
        <w:tc>
          <w:tcPr>
            <w:tcW w:w="990" w:type="dxa"/>
            <w:vAlign w:val="center"/>
          </w:tcPr>
          <w:p w:rsidR="00A7100C" w:rsidRPr="007B0AC0" w:rsidRDefault="00A7100C" w:rsidP="004073CB">
            <w:pPr>
              <w:widowControl w:val="0"/>
              <w:spacing w:line="319" w:lineRule="auto"/>
              <w:jc w:val="center"/>
              <w:rPr>
                <w:rFonts w:ascii="Arial" w:hAnsi="Arial" w:cs="Arial"/>
                <w:sz w:val="20"/>
                <w:szCs w:val="20"/>
              </w:rPr>
            </w:pPr>
            <w:r w:rsidRPr="00194A8E">
              <w:rPr>
                <w:rFonts w:ascii="Arial" w:hAnsi="Arial" w:cs="Arial"/>
                <w:sz w:val="20"/>
                <w:szCs w:val="20"/>
              </w:rPr>
              <w:t>-</w:t>
            </w:r>
          </w:p>
        </w:tc>
        <w:tc>
          <w:tcPr>
            <w:tcW w:w="1710" w:type="dxa"/>
            <w:vAlign w:val="center"/>
          </w:tcPr>
          <w:p w:rsidR="00A7100C" w:rsidRPr="007B0AC0" w:rsidRDefault="00A7100C" w:rsidP="004073CB">
            <w:pPr>
              <w:widowControl w:val="0"/>
              <w:spacing w:line="319" w:lineRule="auto"/>
              <w:jc w:val="center"/>
              <w:rPr>
                <w:rFonts w:ascii="Arial" w:hAnsi="Arial" w:cs="Arial"/>
                <w:sz w:val="20"/>
                <w:szCs w:val="20"/>
              </w:rPr>
            </w:pPr>
            <w:r w:rsidRPr="00194A8E">
              <w:rPr>
                <w:rFonts w:ascii="Arial" w:hAnsi="Arial" w:cs="Arial"/>
                <w:sz w:val="20"/>
                <w:szCs w:val="20"/>
              </w:rPr>
              <w:t>206</w:t>
            </w:r>
          </w:p>
        </w:tc>
        <w:tc>
          <w:tcPr>
            <w:tcW w:w="810" w:type="dxa"/>
            <w:vAlign w:val="center"/>
          </w:tcPr>
          <w:p w:rsidR="00A7100C" w:rsidRPr="007B0AC0" w:rsidRDefault="00A7100C" w:rsidP="004073CB">
            <w:pPr>
              <w:widowControl w:val="0"/>
              <w:spacing w:line="319" w:lineRule="auto"/>
              <w:jc w:val="center"/>
              <w:rPr>
                <w:rFonts w:ascii="Arial" w:hAnsi="Arial" w:cs="Arial"/>
                <w:sz w:val="20"/>
                <w:szCs w:val="20"/>
              </w:rPr>
            </w:pPr>
            <w:r w:rsidRPr="00194A8E">
              <w:rPr>
                <w:rFonts w:ascii="Arial" w:hAnsi="Arial" w:cs="Arial"/>
                <w:sz w:val="20"/>
                <w:szCs w:val="20"/>
              </w:rPr>
              <w:t>337</w:t>
            </w:r>
          </w:p>
        </w:tc>
        <w:tc>
          <w:tcPr>
            <w:tcW w:w="1620" w:type="dxa"/>
            <w:gridSpan w:val="2"/>
            <w:vAlign w:val="center"/>
          </w:tcPr>
          <w:p w:rsidR="00A7100C" w:rsidRPr="007B0AC0" w:rsidRDefault="00A7100C" w:rsidP="004073CB">
            <w:pPr>
              <w:widowControl w:val="0"/>
              <w:spacing w:line="319" w:lineRule="auto"/>
              <w:jc w:val="center"/>
              <w:rPr>
                <w:rFonts w:ascii="Arial" w:hAnsi="Arial" w:cs="Arial"/>
                <w:sz w:val="20"/>
                <w:szCs w:val="20"/>
              </w:rPr>
            </w:pPr>
            <w:r w:rsidRPr="00194A8E">
              <w:rPr>
                <w:rFonts w:ascii="Arial" w:hAnsi="Arial" w:cs="Arial"/>
                <w:sz w:val="20"/>
                <w:szCs w:val="20"/>
              </w:rPr>
              <w:t>337</w:t>
            </w:r>
          </w:p>
        </w:tc>
      </w:tr>
      <w:tr w:rsidR="00A7100C" w:rsidRPr="00D46869">
        <w:trPr>
          <w:trHeight w:hRule="exact" w:val="331"/>
        </w:trPr>
        <w:tc>
          <w:tcPr>
            <w:tcW w:w="3420" w:type="dxa"/>
            <w:shd w:val="clear" w:color="auto" w:fill="EEECE1"/>
            <w:vAlign w:val="center"/>
          </w:tcPr>
          <w:p w:rsidR="00A7100C" w:rsidRPr="007B0AC0" w:rsidRDefault="00A7100C" w:rsidP="004073CB">
            <w:pPr>
              <w:widowControl w:val="0"/>
              <w:spacing w:line="319" w:lineRule="auto"/>
              <w:rPr>
                <w:rFonts w:ascii="Arial" w:hAnsi="Arial" w:cs="Arial"/>
                <w:bCs/>
                <w:sz w:val="20"/>
                <w:szCs w:val="20"/>
              </w:rPr>
            </w:pPr>
            <w:r w:rsidRPr="007B0AC0">
              <w:rPr>
                <w:rFonts w:ascii="Arial" w:hAnsi="Arial" w:cs="Arial"/>
                <w:bCs/>
                <w:sz w:val="20"/>
                <w:szCs w:val="20"/>
              </w:rPr>
              <w:t>Combined Cycle Gas (MW)</w:t>
            </w:r>
          </w:p>
        </w:tc>
        <w:tc>
          <w:tcPr>
            <w:tcW w:w="990" w:type="dxa"/>
            <w:vAlign w:val="center"/>
          </w:tcPr>
          <w:p w:rsidR="00A7100C" w:rsidRPr="007B0AC0" w:rsidRDefault="00A7100C" w:rsidP="004073CB">
            <w:pPr>
              <w:widowControl w:val="0"/>
              <w:spacing w:line="319" w:lineRule="auto"/>
              <w:jc w:val="center"/>
              <w:rPr>
                <w:rFonts w:ascii="Arial" w:hAnsi="Arial" w:cs="Arial"/>
                <w:sz w:val="20"/>
                <w:szCs w:val="20"/>
              </w:rPr>
            </w:pPr>
            <w:r>
              <w:rPr>
                <w:rFonts w:ascii="Arial" w:hAnsi="Arial" w:cs="Arial"/>
                <w:sz w:val="20"/>
                <w:szCs w:val="20"/>
              </w:rPr>
              <w:t>-</w:t>
            </w:r>
          </w:p>
        </w:tc>
        <w:tc>
          <w:tcPr>
            <w:tcW w:w="1710" w:type="dxa"/>
            <w:vAlign w:val="center"/>
          </w:tcPr>
          <w:p w:rsidR="00A7100C" w:rsidRPr="007B0AC0" w:rsidRDefault="00A7100C" w:rsidP="004073CB">
            <w:pPr>
              <w:widowControl w:val="0"/>
              <w:spacing w:line="319" w:lineRule="auto"/>
              <w:jc w:val="center"/>
              <w:rPr>
                <w:rFonts w:ascii="Arial" w:hAnsi="Arial" w:cs="Arial"/>
                <w:sz w:val="20"/>
                <w:szCs w:val="20"/>
              </w:rPr>
            </w:pPr>
            <w:r>
              <w:rPr>
                <w:rFonts w:ascii="Arial" w:hAnsi="Arial" w:cs="Arial"/>
                <w:sz w:val="20"/>
                <w:szCs w:val="20"/>
              </w:rPr>
              <w:t>577</w:t>
            </w:r>
          </w:p>
        </w:tc>
        <w:tc>
          <w:tcPr>
            <w:tcW w:w="810" w:type="dxa"/>
            <w:vAlign w:val="center"/>
          </w:tcPr>
          <w:p w:rsidR="00A7100C" w:rsidRPr="007B0AC0" w:rsidRDefault="00A7100C" w:rsidP="004073CB">
            <w:pPr>
              <w:widowControl w:val="0"/>
              <w:spacing w:line="319" w:lineRule="auto"/>
              <w:jc w:val="center"/>
              <w:rPr>
                <w:rFonts w:ascii="Arial" w:hAnsi="Arial" w:cs="Arial"/>
                <w:sz w:val="20"/>
                <w:szCs w:val="20"/>
              </w:rPr>
            </w:pPr>
            <w:r>
              <w:rPr>
                <w:rFonts w:ascii="Arial" w:hAnsi="Arial" w:cs="Arial"/>
                <w:sz w:val="20"/>
                <w:szCs w:val="20"/>
              </w:rPr>
              <w:t>577</w:t>
            </w:r>
          </w:p>
        </w:tc>
        <w:tc>
          <w:tcPr>
            <w:tcW w:w="1620" w:type="dxa"/>
            <w:gridSpan w:val="2"/>
            <w:vAlign w:val="center"/>
          </w:tcPr>
          <w:p w:rsidR="00A7100C" w:rsidRPr="007B0AC0" w:rsidRDefault="00A7100C" w:rsidP="004073CB">
            <w:pPr>
              <w:widowControl w:val="0"/>
              <w:spacing w:line="319" w:lineRule="auto"/>
              <w:jc w:val="center"/>
              <w:rPr>
                <w:rFonts w:ascii="Arial" w:hAnsi="Arial" w:cs="Arial"/>
                <w:sz w:val="20"/>
                <w:szCs w:val="20"/>
              </w:rPr>
            </w:pPr>
            <w:r>
              <w:rPr>
                <w:rFonts w:ascii="Arial" w:hAnsi="Arial" w:cs="Arial"/>
                <w:sz w:val="20"/>
                <w:szCs w:val="20"/>
              </w:rPr>
              <w:t>805</w:t>
            </w:r>
          </w:p>
        </w:tc>
      </w:tr>
      <w:tr w:rsidR="00A7100C" w:rsidRPr="00D46869">
        <w:trPr>
          <w:trHeight w:hRule="exact" w:val="331"/>
        </w:trPr>
        <w:tc>
          <w:tcPr>
            <w:tcW w:w="3420" w:type="dxa"/>
            <w:shd w:val="clear" w:color="auto" w:fill="EEECE1"/>
            <w:vAlign w:val="center"/>
          </w:tcPr>
          <w:p w:rsidR="00A7100C" w:rsidRPr="007B0AC0" w:rsidRDefault="00A7100C" w:rsidP="004073CB">
            <w:pPr>
              <w:widowControl w:val="0"/>
              <w:spacing w:line="319" w:lineRule="auto"/>
              <w:rPr>
                <w:rFonts w:ascii="Arial" w:hAnsi="Arial" w:cs="Arial"/>
                <w:bCs/>
                <w:sz w:val="20"/>
                <w:szCs w:val="20"/>
              </w:rPr>
            </w:pPr>
            <w:r w:rsidRPr="007B0AC0">
              <w:rPr>
                <w:rFonts w:ascii="Arial" w:hAnsi="Arial" w:cs="Arial"/>
                <w:bCs/>
                <w:sz w:val="20"/>
                <w:szCs w:val="20"/>
              </w:rPr>
              <w:t>Peaker/CT Dual Fuel (MW)</w:t>
            </w:r>
          </w:p>
        </w:tc>
        <w:tc>
          <w:tcPr>
            <w:tcW w:w="990" w:type="dxa"/>
            <w:vAlign w:val="center"/>
          </w:tcPr>
          <w:p w:rsidR="00A7100C" w:rsidRPr="007B0AC0" w:rsidRDefault="00A7100C" w:rsidP="004073CB">
            <w:pPr>
              <w:widowControl w:val="0"/>
              <w:spacing w:line="319" w:lineRule="auto"/>
              <w:jc w:val="center"/>
              <w:rPr>
                <w:rFonts w:ascii="Arial" w:hAnsi="Arial" w:cs="Arial"/>
                <w:sz w:val="20"/>
                <w:szCs w:val="20"/>
              </w:rPr>
            </w:pPr>
            <w:r>
              <w:rPr>
                <w:rFonts w:ascii="Arial" w:hAnsi="Arial" w:cs="Arial"/>
                <w:sz w:val="20"/>
                <w:szCs w:val="20"/>
              </w:rPr>
              <w:t>277</w:t>
            </w:r>
          </w:p>
        </w:tc>
        <w:tc>
          <w:tcPr>
            <w:tcW w:w="1710" w:type="dxa"/>
            <w:vAlign w:val="center"/>
          </w:tcPr>
          <w:p w:rsidR="00A7100C" w:rsidRPr="007B0AC0" w:rsidRDefault="00A7100C" w:rsidP="004073CB">
            <w:pPr>
              <w:widowControl w:val="0"/>
              <w:spacing w:line="319" w:lineRule="auto"/>
              <w:jc w:val="center"/>
              <w:rPr>
                <w:rFonts w:ascii="Arial" w:hAnsi="Arial" w:cs="Arial"/>
                <w:sz w:val="20"/>
                <w:szCs w:val="20"/>
              </w:rPr>
            </w:pPr>
            <w:r>
              <w:rPr>
                <w:rFonts w:ascii="Arial" w:hAnsi="Arial" w:cs="Arial"/>
                <w:sz w:val="20"/>
                <w:szCs w:val="20"/>
              </w:rPr>
              <w:t>403</w:t>
            </w:r>
          </w:p>
        </w:tc>
        <w:tc>
          <w:tcPr>
            <w:tcW w:w="810" w:type="dxa"/>
            <w:vAlign w:val="center"/>
          </w:tcPr>
          <w:p w:rsidR="00A7100C" w:rsidRPr="007B0AC0" w:rsidRDefault="00A7100C" w:rsidP="004073CB">
            <w:pPr>
              <w:widowControl w:val="0"/>
              <w:spacing w:line="319" w:lineRule="auto"/>
              <w:jc w:val="center"/>
              <w:rPr>
                <w:rFonts w:ascii="Arial" w:hAnsi="Arial" w:cs="Arial"/>
                <w:sz w:val="20"/>
                <w:szCs w:val="20"/>
              </w:rPr>
            </w:pPr>
            <w:r>
              <w:rPr>
                <w:rFonts w:ascii="Arial" w:hAnsi="Arial" w:cs="Arial"/>
                <w:sz w:val="20"/>
                <w:szCs w:val="20"/>
              </w:rPr>
              <w:t>609</w:t>
            </w:r>
          </w:p>
        </w:tc>
        <w:tc>
          <w:tcPr>
            <w:tcW w:w="1620" w:type="dxa"/>
            <w:gridSpan w:val="2"/>
            <w:vAlign w:val="center"/>
          </w:tcPr>
          <w:p w:rsidR="00A7100C" w:rsidRPr="007B0AC0" w:rsidRDefault="00A7100C" w:rsidP="004073CB">
            <w:pPr>
              <w:widowControl w:val="0"/>
              <w:spacing w:line="319" w:lineRule="auto"/>
              <w:jc w:val="center"/>
              <w:rPr>
                <w:rFonts w:ascii="Arial" w:hAnsi="Arial" w:cs="Arial"/>
                <w:sz w:val="20"/>
                <w:szCs w:val="20"/>
              </w:rPr>
            </w:pPr>
            <w:r>
              <w:rPr>
                <w:rFonts w:ascii="Arial" w:hAnsi="Arial" w:cs="Arial"/>
                <w:sz w:val="20"/>
                <w:szCs w:val="20"/>
              </w:rPr>
              <w:t>609</w:t>
            </w:r>
          </w:p>
        </w:tc>
      </w:tr>
    </w:tbl>
    <w:p w:rsidR="00A7100C" w:rsidRDefault="00A7100C" w:rsidP="00A7100C">
      <w:pPr>
        <w:pStyle w:val="IRPtitle"/>
        <w:ind w:left="0" w:firstLine="0"/>
      </w:pPr>
    </w:p>
    <w:p w:rsidR="00A7100C" w:rsidRPr="004073CB" w:rsidRDefault="00A7100C" w:rsidP="004073CB">
      <w:pPr>
        <w:pStyle w:val="IRPsanstext"/>
        <w:rPr>
          <w:sz w:val="32"/>
          <w:szCs w:val="32"/>
        </w:rPr>
      </w:pPr>
      <w:r w:rsidRPr="004073CB">
        <w:rPr>
          <w:sz w:val="32"/>
          <w:szCs w:val="32"/>
        </w:rPr>
        <w:t>Electric Results across Scenarios</w:t>
      </w:r>
    </w:p>
    <w:p w:rsidR="00A7100C" w:rsidRPr="00897829" w:rsidRDefault="00A7100C" w:rsidP="004073CB">
      <w:pPr>
        <w:pStyle w:val="IRPsanstext"/>
      </w:pPr>
    </w:p>
    <w:p w:rsidR="00A7100C" w:rsidRPr="00BF269C" w:rsidRDefault="00A7100C" w:rsidP="004073CB">
      <w:pPr>
        <w:pStyle w:val="IRPsanstext"/>
      </w:pPr>
      <w:r w:rsidRPr="00897829">
        <w:t>Figure 2-</w:t>
      </w:r>
      <w:r>
        <w:t>4</w:t>
      </w:r>
      <w:r w:rsidRPr="00897829">
        <w:t xml:space="preserve"> summarizes the demand- and supply-side resource additions to PSE’s existing resource portfolio across scenarios</w:t>
      </w:r>
      <w:r>
        <w:t>; this picture is the product of the deterministic portfolio optimization analysis. For e</w:t>
      </w:r>
      <w:r w:rsidRPr="00897829">
        <w:t xml:space="preserve">ach </w:t>
      </w:r>
      <w:r>
        <w:t>scenario, the</w:t>
      </w:r>
      <w:r w:rsidRPr="00897829">
        <w:t xml:space="preserve"> analysis considered supply-</w:t>
      </w:r>
      <w:r>
        <w:t xml:space="preserve"> </w:t>
      </w:r>
      <w:r w:rsidRPr="00897829">
        <w:t xml:space="preserve">and demand-side resources on an equal footing. All were required to meet three objectives: physical capacity need (peak demand), energy need (customer demand across all hours), and renewable energy need (to meet RCW 19.285 targets). </w:t>
      </w:r>
      <w:r>
        <w:t>T</w:t>
      </w:r>
      <w:r w:rsidRPr="00897829">
        <w:t>he portfolio</w:t>
      </w:r>
      <w:r>
        <w:t>s</w:t>
      </w:r>
      <w:r w:rsidRPr="00897829">
        <w:t xml:space="preserve"> </w:t>
      </w:r>
      <w:r>
        <w:t xml:space="preserve">in Figure 2-4 </w:t>
      </w:r>
      <w:r w:rsidRPr="00897829">
        <w:t>minimize long-term revenue requirements (costs as customers will experience them in rates)</w:t>
      </w:r>
      <w:r>
        <w:t xml:space="preserve">, given </w:t>
      </w:r>
      <w:r w:rsidRPr="00897829">
        <w:t xml:space="preserve">the market conditions and resource costs assumed for each scenario.  </w:t>
      </w:r>
    </w:p>
    <w:p w:rsidR="00A7100C" w:rsidRDefault="00A7100C" w:rsidP="004073CB">
      <w:pPr>
        <w:pStyle w:val="IRPsanstext"/>
      </w:pPr>
    </w:p>
    <w:p w:rsidR="00A7100C" w:rsidRDefault="00A7100C" w:rsidP="004073CB">
      <w:pPr>
        <w:pStyle w:val="IRPsanstext"/>
      </w:pPr>
      <w:r w:rsidRPr="00897829">
        <w:t xml:space="preserve">Least-cost </w:t>
      </w:r>
      <w:r>
        <w:t>portfolio builds are similar</w:t>
      </w:r>
      <w:r w:rsidRPr="00897829">
        <w:t xml:space="preserve"> across </w:t>
      </w:r>
      <w:r>
        <w:t xml:space="preserve">most </w:t>
      </w:r>
      <w:r w:rsidRPr="00897829">
        <w:t>scenarios</w:t>
      </w:r>
      <w:r>
        <w:t xml:space="preserve">, with respect to renewables and demand-side resources, though the choice of gas resources differs. </w:t>
      </w:r>
      <w:r w:rsidRPr="00897829">
        <w:t xml:space="preserve">This </w:t>
      </w:r>
      <w:r>
        <w:t xml:space="preserve">consistency </w:t>
      </w:r>
      <w:r w:rsidRPr="00897829">
        <w:t xml:space="preserve">is a powerful finding. It means that the wide variety of external market factors modeled in these scenarios will have little impact on the </w:t>
      </w:r>
      <w:r>
        <w:t>selection of renewables and demand-side resources</w:t>
      </w:r>
      <w:r w:rsidRPr="00897829">
        <w:t xml:space="preserve">. </w:t>
      </w:r>
    </w:p>
    <w:p w:rsidR="00A7100C" w:rsidRDefault="00A7100C" w:rsidP="004073CB">
      <w:pPr>
        <w:pStyle w:val="IRPsanstext"/>
      </w:pPr>
    </w:p>
    <w:p w:rsidR="004073CB" w:rsidRDefault="004073CB">
      <w:pPr>
        <w:rPr>
          <w:rFonts w:ascii="Arial" w:hAnsi="Arial"/>
          <w:sz w:val="20"/>
          <w:szCs w:val="20"/>
        </w:rPr>
      </w:pPr>
      <w:r>
        <w:br w:type="page"/>
      </w:r>
    </w:p>
    <w:p w:rsidR="00A7100C" w:rsidRPr="004073CB" w:rsidRDefault="004073CB" w:rsidP="004073CB">
      <w:pPr>
        <w:pStyle w:val="IRPsanstext"/>
        <w:jc w:val="center"/>
        <w:rPr>
          <w:i/>
        </w:rPr>
      </w:pPr>
      <w:r w:rsidRPr="004073CB">
        <w:rPr>
          <w:i/>
          <w:noProof/>
          <w:szCs w:val="22"/>
          <w:lang w:eastAsia="en-US"/>
        </w:rPr>
        <w:lastRenderedPageBreak/>
        <w:drawing>
          <wp:anchor distT="0" distB="0" distL="114300" distR="114300" simplePos="0" relativeHeight="251664384" behindDoc="0" locked="0" layoutInCell="1" allowOverlap="1">
            <wp:simplePos x="0" y="0"/>
            <wp:positionH relativeFrom="column">
              <wp:posOffset>51435</wp:posOffset>
            </wp:positionH>
            <wp:positionV relativeFrom="paragraph">
              <wp:posOffset>568960</wp:posOffset>
            </wp:positionV>
            <wp:extent cx="5486400" cy="3972560"/>
            <wp:effectExtent l="0" t="0" r="0" b="0"/>
            <wp:wrapTopAndBottom/>
            <wp:docPr id="21" name="Picture 2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86400" cy="3972560"/>
                    </a:xfrm>
                    <a:prstGeom prst="rect">
                      <a:avLst/>
                    </a:prstGeom>
                    <a:noFill/>
                    <a:ln>
                      <a:noFill/>
                    </a:ln>
                  </pic:spPr>
                </pic:pic>
              </a:graphicData>
            </a:graphic>
          </wp:anchor>
        </w:drawing>
      </w:r>
      <w:r w:rsidR="00A7100C" w:rsidRPr="004073CB">
        <w:rPr>
          <w:i/>
        </w:rPr>
        <w:t xml:space="preserve">Figure 2-4: </w:t>
      </w:r>
      <w:r w:rsidR="00A7100C" w:rsidRPr="004073CB">
        <w:rPr>
          <w:rFonts w:cs="Arial"/>
          <w:i/>
        </w:rPr>
        <w:t>Resource Builds by Scenario, Cumulative Additions by Nameplate (MW),</w:t>
      </w:r>
    </w:p>
    <w:p w:rsidR="00A7100C" w:rsidRPr="004073CB" w:rsidRDefault="00A7100C" w:rsidP="004073CB">
      <w:pPr>
        <w:pStyle w:val="IRPsanstext"/>
        <w:spacing w:after="120"/>
        <w:jc w:val="center"/>
        <w:rPr>
          <w:rFonts w:cs="Arial"/>
          <w:i/>
        </w:rPr>
      </w:pPr>
      <w:r w:rsidRPr="004073CB">
        <w:rPr>
          <w:rFonts w:cs="Arial"/>
          <w:i/>
        </w:rPr>
        <w:t>2015 Optimal Planning Standard</w:t>
      </w:r>
    </w:p>
    <w:p w:rsidR="00A7100C" w:rsidRDefault="00A7100C" w:rsidP="00A7100C">
      <w:pPr>
        <w:pStyle w:val="IRPsanstext"/>
        <w:rPr>
          <w:noProof/>
          <w:color w:val="31849B"/>
          <w:u w:val="single"/>
        </w:rPr>
      </w:pPr>
    </w:p>
    <w:p w:rsidR="00A7100C" w:rsidRDefault="00A7100C" w:rsidP="00A7100C">
      <w:pPr>
        <w:spacing w:line="300" w:lineRule="auto"/>
        <w:rPr>
          <w:rFonts w:ascii="Arial" w:hAnsi="Arial"/>
          <w:sz w:val="20"/>
        </w:rPr>
      </w:pPr>
    </w:p>
    <w:p w:rsidR="00A7100C" w:rsidRDefault="00A7100C" w:rsidP="004073CB">
      <w:pPr>
        <w:pStyle w:val="IRPsanstext"/>
      </w:pPr>
      <w:r>
        <w:t xml:space="preserve">Figure 2-4, above, highlights that gas plant additions differed across the scenarios. To further explore gas resource choices, </w:t>
      </w:r>
      <w:r w:rsidRPr="003256EE">
        <w:t xml:space="preserve">we developed a set of </w:t>
      </w:r>
      <w:r>
        <w:t xml:space="preserve">six candidate </w:t>
      </w:r>
      <w:r w:rsidRPr="003256EE">
        <w:t xml:space="preserve">resource strategies </w:t>
      </w:r>
      <w:r>
        <w:t>for the stochastic phase of the analysis, to test how different combinations of gas plants would perform across all futures. We also included a strategy that added more wind than the minimum required under RCW 19.285. The</w:t>
      </w:r>
      <w:r w:rsidR="009F6E33">
        <w:t>se</w:t>
      </w:r>
      <w:r>
        <w:t xml:space="preserve"> strategies</w:t>
      </w:r>
      <w:r w:rsidR="009F6E33">
        <w:t>,</w:t>
      </w:r>
      <w:r>
        <w:t xml:space="preserve"> developed as a result of the deterministic analysis</w:t>
      </w:r>
      <w:r w:rsidR="009F6E33">
        <w:t>,</w:t>
      </w:r>
      <w:r>
        <w:t xml:space="preserve"> are summarized as follows:</w:t>
      </w:r>
    </w:p>
    <w:p w:rsidR="00A7100C" w:rsidRDefault="00A7100C" w:rsidP="004073CB">
      <w:pPr>
        <w:pStyle w:val="IRPsanstext"/>
      </w:pPr>
    </w:p>
    <w:p w:rsidR="00A7100C" w:rsidRDefault="00A7100C" w:rsidP="004073CB">
      <w:pPr>
        <w:pStyle w:val="IRPsanstext"/>
        <w:numPr>
          <w:ilvl w:val="0"/>
          <w:numId w:val="6"/>
        </w:numPr>
      </w:pPr>
      <w:r>
        <w:t>All frame peakers.</w:t>
      </w:r>
    </w:p>
    <w:p w:rsidR="00A7100C" w:rsidRDefault="00A7100C" w:rsidP="004073CB">
      <w:pPr>
        <w:pStyle w:val="IRPsanstext"/>
        <w:numPr>
          <w:ilvl w:val="0"/>
          <w:numId w:val="6"/>
        </w:numPr>
      </w:pPr>
      <w:r>
        <w:t>Early reciprocating engine peaker, with frame peakers for remaining thermal plants.</w:t>
      </w:r>
    </w:p>
    <w:p w:rsidR="00A7100C" w:rsidRDefault="00A7100C" w:rsidP="004073CB">
      <w:pPr>
        <w:pStyle w:val="IRPsanstext"/>
        <w:numPr>
          <w:ilvl w:val="0"/>
          <w:numId w:val="6"/>
        </w:numPr>
      </w:pPr>
      <w:r>
        <w:t>Early CCCT plants, with a mix of CCCT and frame peakers.</w:t>
      </w:r>
    </w:p>
    <w:p w:rsidR="00A7100C" w:rsidRDefault="00A7100C" w:rsidP="004073CB">
      <w:pPr>
        <w:pStyle w:val="IRPsanstext"/>
        <w:numPr>
          <w:ilvl w:val="0"/>
          <w:numId w:val="6"/>
        </w:numPr>
      </w:pPr>
      <w:r>
        <w:t>All CCCT plants.</w:t>
      </w:r>
    </w:p>
    <w:p w:rsidR="00A7100C" w:rsidRDefault="00A7100C" w:rsidP="004073CB">
      <w:pPr>
        <w:pStyle w:val="IRPsanstext"/>
        <w:numPr>
          <w:ilvl w:val="0"/>
          <w:numId w:val="6"/>
        </w:numPr>
      </w:pPr>
      <w:r>
        <w:t>Mix of frame peakers and CCCT plants, with frame peaker first</w:t>
      </w:r>
    </w:p>
    <w:p w:rsidR="00A7100C" w:rsidRDefault="00A7100C" w:rsidP="004073CB">
      <w:pPr>
        <w:pStyle w:val="IRPsanstext"/>
        <w:numPr>
          <w:ilvl w:val="0"/>
          <w:numId w:val="6"/>
        </w:numPr>
      </w:pPr>
      <w:r>
        <w:t xml:space="preserve">Add 300 MW of wind beyond RPS requirements. </w:t>
      </w:r>
      <w:r w:rsidRPr="00651665">
        <w:t xml:space="preserve">  </w:t>
      </w:r>
    </w:p>
    <w:p w:rsidR="004073CB" w:rsidRDefault="004073CB" w:rsidP="004073CB">
      <w:pPr>
        <w:pStyle w:val="IRPsanstext"/>
      </w:pPr>
    </w:p>
    <w:p w:rsidR="004073CB" w:rsidRDefault="004073CB">
      <w:pPr>
        <w:rPr>
          <w:rFonts w:ascii="Arial" w:hAnsi="Arial"/>
          <w:sz w:val="20"/>
          <w:szCs w:val="20"/>
        </w:rPr>
      </w:pPr>
      <w:r>
        <w:br w:type="page"/>
      </w:r>
    </w:p>
    <w:p w:rsidR="00A7100C" w:rsidRDefault="00A7100C" w:rsidP="004073CB">
      <w:pPr>
        <w:pStyle w:val="IRPsanstext"/>
      </w:pPr>
      <w:r>
        <w:lastRenderedPageBreak/>
        <w:t>Figure 2-5 illustrates the additions produced by stochastic analysis of the six strategies</w:t>
      </w:r>
      <w:proofErr w:type="gramStart"/>
      <w:r>
        <w:t>..</w:t>
      </w:r>
      <w:proofErr w:type="gramEnd"/>
    </w:p>
    <w:p w:rsidR="00A7100C" w:rsidRDefault="00A7100C" w:rsidP="00A7100C">
      <w:pPr>
        <w:spacing w:line="300" w:lineRule="auto"/>
        <w:rPr>
          <w:rFonts w:ascii="Arial" w:hAnsi="Arial"/>
          <w:sz w:val="20"/>
        </w:rPr>
      </w:pPr>
    </w:p>
    <w:p w:rsidR="00A7100C" w:rsidRDefault="00A7100C" w:rsidP="004073CB">
      <w:pPr>
        <w:pStyle w:val="IRPsanstext"/>
        <w:spacing w:after="120"/>
        <w:jc w:val="center"/>
        <w:rPr>
          <w:i/>
          <w:noProof/>
          <w:color w:val="000000" w:themeColor="text1"/>
        </w:rPr>
      </w:pPr>
      <w:r w:rsidRPr="003F1B89">
        <w:rPr>
          <w:i/>
          <w:noProof/>
          <w:color w:val="000000" w:themeColor="text1"/>
        </w:rPr>
        <w:t>Figure 2-5</w:t>
      </w:r>
      <w:r>
        <w:rPr>
          <w:i/>
          <w:noProof/>
          <w:color w:val="000000" w:themeColor="text1"/>
        </w:rPr>
        <w:t xml:space="preserve">: Stochastic Analysis Results for Six </w:t>
      </w:r>
      <w:r w:rsidRPr="003F1B89">
        <w:rPr>
          <w:i/>
          <w:noProof/>
          <w:color w:val="000000" w:themeColor="text1"/>
        </w:rPr>
        <w:t xml:space="preserve">Candidate Resource Strategies </w:t>
      </w:r>
    </w:p>
    <w:p w:rsidR="00A7100C" w:rsidRDefault="00A7100C" w:rsidP="00A7100C">
      <w:pPr>
        <w:spacing w:line="300" w:lineRule="auto"/>
        <w:rPr>
          <w:rFonts w:ascii="Arial" w:hAnsi="Arial"/>
          <w:sz w:val="20"/>
        </w:rPr>
      </w:pPr>
      <w:r>
        <w:rPr>
          <w:noProof/>
          <w:lang w:eastAsia="en-US"/>
        </w:rPr>
        <w:drawing>
          <wp:anchor distT="0" distB="0" distL="114300" distR="114300" simplePos="0" relativeHeight="251666432" behindDoc="0" locked="0" layoutInCell="1" allowOverlap="1">
            <wp:simplePos x="0" y="0"/>
            <wp:positionH relativeFrom="column">
              <wp:posOffset>-46990</wp:posOffset>
            </wp:positionH>
            <wp:positionV relativeFrom="paragraph">
              <wp:posOffset>23495</wp:posOffset>
            </wp:positionV>
            <wp:extent cx="5486400" cy="3965575"/>
            <wp:effectExtent l="0" t="0" r="0" b="0"/>
            <wp:wrapTopAndBottom/>
            <wp:docPr id="2059" name="Picture 2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86400" cy="3965575"/>
                    </a:xfrm>
                    <a:prstGeom prst="rect">
                      <a:avLst/>
                    </a:prstGeom>
                    <a:noFill/>
                    <a:ln>
                      <a:noFill/>
                    </a:ln>
                  </pic:spPr>
                </pic:pic>
              </a:graphicData>
            </a:graphic>
          </wp:anchor>
        </w:drawing>
      </w:r>
    </w:p>
    <w:p w:rsidR="00A7100C" w:rsidRDefault="00A7100C" w:rsidP="00A7100C">
      <w:pPr>
        <w:spacing w:line="300" w:lineRule="auto"/>
        <w:rPr>
          <w:rFonts w:ascii="Arial" w:hAnsi="Arial"/>
          <w:sz w:val="20"/>
        </w:rPr>
      </w:pPr>
    </w:p>
    <w:p w:rsidR="00A7100C" w:rsidRDefault="00A7100C" w:rsidP="004073CB">
      <w:pPr>
        <w:pStyle w:val="IRPsanstext"/>
      </w:pPr>
      <w:r>
        <w:t>In the end, strategy five, a combination of peakers and CCCT plants, appeared to provide the best combination of cost-effectiveness, flexibility and risk management</w:t>
      </w:r>
    </w:p>
    <w:p w:rsidR="00A7100C" w:rsidRDefault="00A7100C" w:rsidP="004073CB">
      <w:pPr>
        <w:pStyle w:val="IRPsanstext"/>
      </w:pPr>
    </w:p>
    <w:p w:rsidR="00A7100C" w:rsidRPr="00B26403" w:rsidRDefault="00A7100C" w:rsidP="004073CB">
      <w:pPr>
        <w:pStyle w:val="IRPsanstext"/>
      </w:pPr>
      <w:r w:rsidRPr="00897829">
        <w:t xml:space="preserve">A detailed discussion of each element of the resource plan follows.  </w:t>
      </w:r>
    </w:p>
    <w:p w:rsidR="00A7100C" w:rsidRDefault="00A7100C" w:rsidP="004073CB">
      <w:pPr>
        <w:pStyle w:val="IRPsanstext"/>
        <w:rPr>
          <w:noProof/>
          <w:color w:val="000000" w:themeColor="text1"/>
        </w:rPr>
      </w:pPr>
    </w:p>
    <w:p w:rsidR="00A7100C" w:rsidDel="003D3C53" w:rsidRDefault="00A7100C" w:rsidP="00A7100C">
      <w:pPr>
        <w:pStyle w:val="IRPsanstext"/>
        <w:jc w:val="center"/>
        <w:rPr>
          <w:i/>
          <w:noProof/>
          <w:color w:val="000000" w:themeColor="text1"/>
        </w:rPr>
      </w:pPr>
      <w:r w:rsidRPr="003F1B89" w:rsidDel="003D3C53">
        <w:rPr>
          <w:i/>
          <w:noProof/>
          <w:color w:val="000000" w:themeColor="text1"/>
        </w:rPr>
        <w:t xml:space="preserve"> </w:t>
      </w:r>
    </w:p>
    <w:p w:rsidR="00A7100C" w:rsidRPr="002B57C5" w:rsidRDefault="00A7100C" w:rsidP="00A7100C">
      <w:pPr>
        <w:pStyle w:val="IRPsanstext"/>
        <w:rPr>
          <w:noProof/>
          <w:color w:val="000000" w:themeColor="text1"/>
          <w:u w:val="single"/>
        </w:rPr>
      </w:pPr>
    </w:p>
    <w:p w:rsidR="00A7100C" w:rsidRPr="002B57C5" w:rsidRDefault="00A7100C" w:rsidP="00A7100C">
      <w:pPr>
        <w:pStyle w:val="IRPsanstext"/>
        <w:rPr>
          <w:noProof/>
          <w:color w:val="000000" w:themeColor="text1"/>
          <w:u w:val="single"/>
        </w:rPr>
      </w:pPr>
    </w:p>
    <w:p w:rsidR="00A7100C" w:rsidRPr="002B57C5" w:rsidRDefault="00A7100C" w:rsidP="00A7100C">
      <w:pPr>
        <w:pStyle w:val="IRPsanstext"/>
        <w:rPr>
          <w:noProof/>
          <w:color w:val="000000" w:themeColor="text1"/>
          <w:u w:val="single"/>
        </w:rPr>
      </w:pPr>
    </w:p>
    <w:p w:rsidR="00A7100C" w:rsidRDefault="00A7100C" w:rsidP="00A7100C">
      <w:pPr>
        <w:pStyle w:val="IRPsanstext"/>
      </w:pPr>
    </w:p>
    <w:p w:rsidR="00A7100C" w:rsidRDefault="00A7100C" w:rsidP="00A7100C">
      <w:pPr>
        <w:pStyle w:val="IRPsanstext"/>
      </w:pPr>
    </w:p>
    <w:p w:rsidR="00A7100C" w:rsidRDefault="00A7100C" w:rsidP="00A7100C">
      <w:pPr>
        <w:rPr>
          <w:rFonts w:ascii="Palatino" w:hAnsi="Palatino"/>
          <w:sz w:val="40"/>
        </w:rPr>
      </w:pPr>
      <w:r>
        <w:br w:type="page"/>
      </w:r>
    </w:p>
    <w:p w:rsidR="00A7100C" w:rsidRPr="004073CB" w:rsidRDefault="00A7100C" w:rsidP="004073CB">
      <w:pPr>
        <w:pStyle w:val="IRPsanstext"/>
        <w:rPr>
          <w:sz w:val="32"/>
          <w:szCs w:val="32"/>
        </w:rPr>
      </w:pPr>
      <w:r w:rsidRPr="004073CB">
        <w:rPr>
          <w:sz w:val="32"/>
          <w:szCs w:val="32"/>
        </w:rPr>
        <w:lastRenderedPageBreak/>
        <w:t xml:space="preserve">Demand-side Resource Additions </w:t>
      </w:r>
    </w:p>
    <w:p w:rsidR="00A7100C" w:rsidRPr="004472F8" w:rsidRDefault="00A7100C" w:rsidP="00A7100C">
      <w:pPr>
        <w:pStyle w:val="IRPsecthead2sans"/>
        <w:spacing w:before="100" w:beforeAutospacing="1" w:after="100" w:afterAutospacing="1"/>
        <w:rPr>
          <w:b w:val="0"/>
          <w:sz w:val="28"/>
        </w:rPr>
      </w:pPr>
      <w:r>
        <w:rPr>
          <w:sz w:val="28"/>
        </w:rPr>
        <w:t>Energy Efficiency</w:t>
      </w:r>
    </w:p>
    <w:p w:rsidR="00A7100C" w:rsidRDefault="00A7100C" w:rsidP="00A7100C">
      <w:pPr>
        <w:pStyle w:val="IRPsanstext"/>
      </w:pPr>
      <w:proofErr w:type="gramStart"/>
      <w:r w:rsidRPr="00A91D58">
        <w:rPr>
          <w:b/>
          <w:caps/>
        </w:rPr>
        <w:t>Decision</w:t>
      </w:r>
      <w:r>
        <w:t>.</w:t>
      </w:r>
      <w:proofErr w:type="gramEnd"/>
      <w:r>
        <w:t xml:space="preserve">  Energy efficiency measures are forecast to total 411 MW by 2021 and increase to 906 MW by 2035. This includes both PSE-implemented programs and the effect of new codes and standards.</w:t>
      </w:r>
    </w:p>
    <w:p w:rsidR="00A7100C" w:rsidRDefault="00A7100C" w:rsidP="00A7100C">
      <w:pPr>
        <w:pStyle w:val="IRPsanstext"/>
      </w:pPr>
    </w:p>
    <w:p w:rsidR="00A7100C" w:rsidRDefault="00A7100C" w:rsidP="00A7100C">
      <w:pPr>
        <w:pStyle w:val="IRPsanstext"/>
      </w:pPr>
      <w:proofErr w:type="gramStart"/>
      <w:r w:rsidRPr="00A91D58">
        <w:rPr>
          <w:b/>
          <w:caps/>
        </w:rPr>
        <w:t>Summary</w:t>
      </w:r>
      <w:r>
        <w:t>.</w:t>
      </w:r>
      <w:proofErr w:type="gramEnd"/>
      <w:r>
        <w:t xml:space="preserve">  Least-cost energy efficiency levels were consistent across the wide range of scenarios and sensitivities examined. The level chosen is consistent with results from the seven of the ten </w:t>
      </w:r>
      <w:r w:rsidR="009F6E33">
        <w:t>scenarios tested including the Base S</w:t>
      </w:r>
      <w:r>
        <w:t>cenario.</w:t>
      </w:r>
    </w:p>
    <w:p w:rsidR="00A7100C" w:rsidRDefault="00A7100C" w:rsidP="00A7100C">
      <w:pPr>
        <w:pStyle w:val="IRPsanstext"/>
      </w:pPr>
    </w:p>
    <w:p w:rsidR="00A7100C" w:rsidRDefault="00A7100C" w:rsidP="00A7100C">
      <w:pPr>
        <w:pStyle w:val="IRPsanstext"/>
      </w:pPr>
      <w:proofErr w:type="gramStart"/>
      <w:r w:rsidRPr="00A91D58">
        <w:rPr>
          <w:b/>
          <w:caps/>
        </w:rPr>
        <w:t>Factors That Could Affect Decision</w:t>
      </w:r>
      <w:r>
        <w:t>.</w:t>
      </w:r>
      <w:proofErr w:type="gramEnd"/>
      <w:r>
        <w:t xml:space="preserve"> Little change is expected in the near term, since PSE works with the CRAG to develop conservation targets based on these IRP results. Longer-term, changes in technology or policies could impact future conservation targets in the IRP.</w:t>
      </w:r>
    </w:p>
    <w:p w:rsidR="00A7100C" w:rsidRDefault="00A7100C" w:rsidP="00A7100C">
      <w:pPr>
        <w:pStyle w:val="IRPsanstext"/>
      </w:pPr>
    </w:p>
    <w:p w:rsidR="00A7100C" w:rsidRDefault="00A7100C" w:rsidP="00A7100C">
      <w:pPr>
        <w:pStyle w:val="IRPsanstext"/>
      </w:pPr>
      <w:proofErr w:type="gramStart"/>
      <w:r w:rsidRPr="00A91D58">
        <w:rPr>
          <w:b/>
          <w:caps/>
        </w:rPr>
        <w:t>Discussion</w:t>
      </w:r>
      <w:r>
        <w:t>.</w:t>
      </w:r>
      <w:proofErr w:type="gramEnd"/>
      <w:r>
        <w:t xml:space="preserve">  Least cost portfolios in 7 of the 10 scenarios (including the Base Scenario) included the same level of conservation, shown in Figure 2-4, above.  By the end of the planning horizon, the lowest conservation result was only 18 MW lower than the Base Scenario result, and the highest was 62 MW higher by 2035.  By 2021, the difference between highest and lowest levels was only 32 MW.  </w:t>
      </w:r>
    </w:p>
    <w:p w:rsidR="004073CB" w:rsidRDefault="004073CB" w:rsidP="00A7100C">
      <w:pPr>
        <w:pStyle w:val="IRPsanstext"/>
        <w:rPr>
          <w:b/>
          <w:sz w:val="28"/>
        </w:rPr>
      </w:pPr>
    </w:p>
    <w:p w:rsidR="00AA3748" w:rsidRDefault="00AA3748">
      <w:pPr>
        <w:rPr>
          <w:rFonts w:ascii="Arial" w:hAnsi="Arial"/>
          <w:b/>
          <w:color w:val="156570"/>
          <w:sz w:val="28"/>
          <w:szCs w:val="20"/>
        </w:rPr>
      </w:pPr>
      <w:r>
        <w:rPr>
          <w:b/>
          <w:color w:val="156570"/>
          <w:sz w:val="28"/>
        </w:rPr>
        <w:br w:type="page"/>
      </w:r>
    </w:p>
    <w:p w:rsidR="00A7100C" w:rsidRPr="004073CB" w:rsidRDefault="00A7100C" w:rsidP="00A7100C">
      <w:pPr>
        <w:pStyle w:val="IRPsanstext"/>
        <w:rPr>
          <w:b/>
          <w:color w:val="156570"/>
          <w:sz w:val="28"/>
        </w:rPr>
      </w:pPr>
      <w:r w:rsidRPr="004073CB">
        <w:rPr>
          <w:b/>
          <w:color w:val="156570"/>
          <w:sz w:val="28"/>
        </w:rPr>
        <w:lastRenderedPageBreak/>
        <w:t>Demand-response</w:t>
      </w:r>
    </w:p>
    <w:p w:rsidR="00A7100C" w:rsidRDefault="00A7100C" w:rsidP="00A7100C">
      <w:pPr>
        <w:pStyle w:val="IRPsanstext"/>
        <w:rPr>
          <w:b/>
          <w:sz w:val="28"/>
        </w:rPr>
      </w:pPr>
    </w:p>
    <w:p w:rsidR="00A7100C" w:rsidRDefault="00A7100C" w:rsidP="00A7100C">
      <w:pPr>
        <w:pStyle w:val="IRPsanstext"/>
      </w:pPr>
      <w:proofErr w:type="gramStart"/>
      <w:r w:rsidRPr="00A91D58">
        <w:rPr>
          <w:b/>
          <w:caps/>
        </w:rPr>
        <w:t>Decision</w:t>
      </w:r>
      <w:r>
        <w:t>.</w:t>
      </w:r>
      <w:proofErr w:type="gramEnd"/>
      <w:r>
        <w:t xml:space="preserve">  The plan forecasts acquiring 121 MW of demand-response by 2021.  </w:t>
      </w:r>
    </w:p>
    <w:p w:rsidR="00A7100C" w:rsidRDefault="00A7100C" w:rsidP="00A7100C">
      <w:pPr>
        <w:pStyle w:val="IRPsanstext"/>
      </w:pPr>
    </w:p>
    <w:p w:rsidR="00A7100C" w:rsidRDefault="00A7100C" w:rsidP="00A7100C">
      <w:pPr>
        <w:pStyle w:val="IRPsanstext"/>
      </w:pPr>
      <w:proofErr w:type="gramStart"/>
      <w:r w:rsidRPr="00A91D58">
        <w:rPr>
          <w:b/>
          <w:caps/>
        </w:rPr>
        <w:t>Summary</w:t>
      </w:r>
      <w:r>
        <w:t>.</w:t>
      </w:r>
      <w:proofErr w:type="gramEnd"/>
      <w:r>
        <w:t xml:space="preserve">  Cost-effective levels of demand-response were found to be consistent across nearly all scenarios. In the Action Plan for the 2015 IRP, PSE commits to developing and executing an acquisition process focused on demand-response separate from other resources. </w:t>
      </w:r>
    </w:p>
    <w:p w:rsidR="00A7100C" w:rsidRDefault="00A7100C" w:rsidP="00A7100C">
      <w:pPr>
        <w:pStyle w:val="IRPsanstext"/>
        <w:ind w:left="360" w:hanging="360"/>
      </w:pPr>
    </w:p>
    <w:p w:rsidR="00A7100C" w:rsidRDefault="00A7100C" w:rsidP="00A7100C">
      <w:pPr>
        <w:pStyle w:val="IRPsanstext"/>
      </w:pPr>
      <w:proofErr w:type="gramStart"/>
      <w:r w:rsidRPr="00A91D58">
        <w:rPr>
          <w:b/>
          <w:caps/>
        </w:rPr>
        <w:t>Factors That Could Affect Decision</w:t>
      </w:r>
      <w:r w:rsidRPr="00A91D58">
        <w:rPr>
          <w:caps/>
        </w:rPr>
        <w:t>.</w:t>
      </w:r>
      <w:proofErr w:type="gramEnd"/>
      <w:r>
        <w:t xml:space="preserve"> The acquisition process may reveal costs or attributes different from those assumed in the IRP, and this could lead to adjusting the amount of demand-response acquired up or down. Changes to resource need are driven by updates to the long-term load forecast and revisions to the regional resource adequacy analysis may also affect the quantity of demand-response.</w:t>
      </w:r>
    </w:p>
    <w:p w:rsidR="00A7100C" w:rsidRDefault="00A7100C" w:rsidP="00A7100C">
      <w:pPr>
        <w:pStyle w:val="IRPsanstext"/>
      </w:pPr>
    </w:p>
    <w:p w:rsidR="00A7100C" w:rsidRPr="00A91D58" w:rsidRDefault="00A7100C" w:rsidP="00A7100C">
      <w:pPr>
        <w:pStyle w:val="IRPsanstext"/>
        <w:rPr>
          <w:b/>
        </w:rPr>
      </w:pPr>
      <w:proofErr w:type="gramStart"/>
      <w:r w:rsidRPr="00A91D58">
        <w:rPr>
          <w:b/>
          <w:caps/>
        </w:rPr>
        <w:t>Discussion</w:t>
      </w:r>
      <w:r>
        <w:rPr>
          <w:b/>
        </w:rPr>
        <w:t>.</w:t>
      </w:r>
      <w:proofErr w:type="gramEnd"/>
      <w:r>
        <w:rPr>
          <w:b/>
        </w:rPr>
        <w:t xml:space="preserve">  </w:t>
      </w:r>
      <w:r>
        <w:t>The level of cost-effective demand-response across scenarios was even more consistent than conservation results.  By 2021, 121 MW of demand-response was found cost effective in all but two cases. (An additional 66 MW was found cost effective in the High and Low Scenarios.)  Evaluation of demand-response will continue in future IRPs, so that we can adjust amounts appropriately as market conditions change.</w:t>
      </w:r>
    </w:p>
    <w:p w:rsidR="00A7100C" w:rsidRDefault="00A7100C" w:rsidP="00A7100C">
      <w:pPr>
        <w:pStyle w:val="IRPsanstext"/>
      </w:pPr>
    </w:p>
    <w:p w:rsidR="00AA3748" w:rsidRDefault="00AA3748">
      <w:pPr>
        <w:rPr>
          <w:rFonts w:ascii="Arial" w:hAnsi="Arial"/>
          <w:sz w:val="32"/>
          <w:szCs w:val="32"/>
        </w:rPr>
      </w:pPr>
      <w:r>
        <w:rPr>
          <w:rFonts w:ascii="Arial" w:hAnsi="Arial"/>
          <w:sz w:val="32"/>
          <w:szCs w:val="32"/>
        </w:rPr>
        <w:br w:type="page"/>
      </w:r>
    </w:p>
    <w:p w:rsidR="00A7100C" w:rsidRPr="00AA3748" w:rsidRDefault="00A7100C" w:rsidP="00A7100C">
      <w:pPr>
        <w:pStyle w:val="IRPtitle"/>
        <w:rPr>
          <w:rFonts w:ascii="Arial" w:hAnsi="Arial"/>
          <w:sz w:val="32"/>
          <w:szCs w:val="32"/>
        </w:rPr>
      </w:pPr>
      <w:r w:rsidRPr="00AA3748">
        <w:rPr>
          <w:rFonts w:ascii="Arial" w:hAnsi="Arial"/>
          <w:sz w:val="32"/>
          <w:szCs w:val="32"/>
        </w:rPr>
        <w:lastRenderedPageBreak/>
        <w:t>Renewable Resource Additions</w:t>
      </w:r>
    </w:p>
    <w:p w:rsidR="00A7100C" w:rsidRDefault="00A7100C" w:rsidP="00A7100C">
      <w:pPr>
        <w:pStyle w:val="IRPsanstext"/>
        <w:ind w:left="360" w:hanging="360"/>
        <w:rPr>
          <w:b/>
        </w:rPr>
      </w:pPr>
    </w:p>
    <w:p w:rsidR="00A7100C" w:rsidRDefault="00A7100C" w:rsidP="00A7100C">
      <w:pPr>
        <w:pStyle w:val="IRPsanstext"/>
      </w:pPr>
      <w:proofErr w:type="gramStart"/>
      <w:r w:rsidRPr="00A91D58">
        <w:rPr>
          <w:b/>
          <w:caps/>
        </w:rPr>
        <w:t>Decision</w:t>
      </w:r>
      <w:r>
        <w:t>.</w:t>
      </w:r>
      <w:proofErr w:type="gramEnd"/>
      <w:r>
        <w:t xml:space="preserve">  The plan forecasts the addition of 206 MW of southeast Washington wind to the portfolio by 2023, followed by another 131 MW by 2028.  </w:t>
      </w:r>
    </w:p>
    <w:p w:rsidR="00A7100C" w:rsidRDefault="00A7100C" w:rsidP="00A7100C">
      <w:pPr>
        <w:pStyle w:val="IRPsanstext"/>
      </w:pPr>
    </w:p>
    <w:p w:rsidR="00A7100C" w:rsidRDefault="00A7100C" w:rsidP="00A7100C">
      <w:pPr>
        <w:pStyle w:val="IRPsanstext"/>
      </w:pPr>
      <w:proofErr w:type="gramStart"/>
      <w:r w:rsidRPr="00A91D58">
        <w:rPr>
          <w:b/>
          <w:caps/>
        </w:rPr>
        <w:t>Summary</w:t>
      </w:r>
      <w:r>
        <w:t>.</w:t>
      </w:r>
      <w:proofErr w:type="gramEnd"/>
      <w:r>
        <w:t xml:space="preserve">  Southeast Washington wind is forecast to be the most cost-effective renewable resource for compliance with RCW 19.285.  Additional wind beyond the law’s requirements was not cost-competitive with non-renewable resources, nor did it mitigate risk. Therefore, the resource plan includes additional resources to meet compliance obligations only.</w:t>
      </w:r>
    </w:p>
    <w:p w:rsidR="00A7100C" w:rsidRDefault="00A7100C" w:rsidP="00A7100C">
      <w:pPr>
        <w:pStyle w:val="IRPsanstext"/>
        <w:ind w:left="360" w:hanging="360"/>
      </w:pPr>
    </w:p>
    <w:p w:rsidR="00A7100C" w:rsidRDefault="00A7100C" w:rsidP="00A7100C">
      <w:pPr>
        <w:pStyle w:val="IRPsanstext"/>
      </w:pPr>
      <w:proofErr w:type="gramStart"/>
      <w:r w:rsidRPr="00A91D58">
        <w:rPr>
          <w:b/>
          <w:caps/>
        </w:rPr>
        <w:t>Factors That Could Affect Decision</w:t>
      </w:r>
      <w:r>
        <w:t>.</w:t>
      </w:r>
      <w:proofErr w:type="gramEnd"/>
      <w:r>
        <w:t xml:space="preserve"> Three key factors could affect the amount or mix of renewables added in the future: changes to the load forecast, to public policy or to renewable technologies. </w:t>
      </w:r>
    </w:p>
    <w:p w:rsidR="00A7100C" w:rsidRDefault="00A7100C" w:rsidP="00A7100C">
      <w:pPr>
        <w:pStyle w:val="IRPsanstext"/>
      </w:pPr>
    </w:p>
    <w:p w:rsidR="00A7100C" w:rsidRDefault="00A7100C" w:rsidP="00A7100C">
      <w:pPr>
        <w:pStyle w:val="IRPsanstext"/>
        <w:numPr>
          <w:ilvl w:val="0"/>
          <w:numId w:val="5"/>
        </w:numPr>
      </w:pPr>
      <w:r>
        <w:t xml:space="preserve">RCW 19.285 is a load-based requirement, so changes that affect the load forecast will also impact renewable needs.  </w:t>
      </w:r>
    </w:p>
    <w:p w:rsidR="00A7100C" w:rsidRDefault="00A7100C" w:rsidP="00A7100C">
      <w:pPr>
        <w:pStyle w:val="IRPsanstext"/>
        <w:numPr>
          <w:ilvl w:val="0"/>
          <w:numId w:val="5"/>
        </w:numPr>
      </w:pPr>
      <w:r>
        <w:t xml:space="preserve">Public policy changes could alter renewable requirements in the future either directly or indirectly. A direct example would be changing the energy requirements in RCW 19.285. An indirect example would be using an emission rate approach to state implementation of EPA’s Clean Power Plan rule 111(d). </w:t>
      </w:r>
    </w:p>
    <w:p w:rsidR="00A7100C" w:rsidRDefault="00A7100C" w:rsidP="00A7100C">
      <w:pPr>
        <w:pStyle w:val="IRPsanstext"/>
        <w:numPr>
          <w:ilvl w:val="0"/>
          <w:numId w:val="5"/>
        </w:numPr>
      </w:pPr>
      <w:r>
        <w:t>Technological innovation could result in renewable resources becoming cost competitive with non-renewable resources,</w:t>
      </w:r>
      <w:r>
        <w:rPr>
          <w:rStyle w:val="FootnoteReference"/>
        </w:rPr>
        <w:footnoteReference w:id="6"/>
      </w:r>
      <w:r>
        <w:t xml:space="preserve"> or in changes to the mix of renewables.   For example, utility scale solar may become more cost effective than southeast Washington wind in the future.  </w:t>
      </w:r>
    </w:p>
    <w:p w:rsidR="00A7100C" w:rsidRDefault="00A7100C" w:rsidP="00A7100C">
      <w:pPr>
        <w:pStyle w:val="IRPsanstext"/>
        <w:rPr>
          <w:b/>
        </w:rPr>
      </w:pPr>
    </w:p>
    <w:p w:rsidR="00A7100C" w:rsidRPr="00A91D58" w:rsidRDefault="00A7100C" w:rsidP="00A7100C">
      <w:pPr>
        <w:pStyle w:val="IRPsanstext"/>
        <w:rPr>
          <w:b/>
        </w:rPr>
      </w:pPr>
      <w:proofErr w:type="gramStart"/>
      <w:r w:rsidRPr="00A91D58">
        <w:rPr>
          <w:b/>
          <w:caps/>
        </w:rPr>
        <w:t>Discussion</w:t>
      </w:r>
      <w:r>
        <w:rPr>
          <w:b/>
        </w:rPr>
        <w:t>.</w:t>
      </w:r>
      <w:proofErr w:type="gramEnd"/>
      <w:r>
        <w:rPr>
          <w:b/>
        </w:rPr>
        <w:t xml:space="preserve"> </w:t>
      </w:r>
      <w:r w:rsidRPr="00897829">
        <w:t xml:space="preserve">The </w:t>
      </w:r>
      <w:r>
        <w:t xml:space="preserve">addition of wind beyond requirements was found to be cost effective only in the High Scenario, which models both high gas prices and high carbon costs.   In candidate resource strategy 6, we also examined whether additional wind could reduce portfolio risk enough to justify its inclusion in the portfolio.  The analysis indicated that this would slightly reduce risk of the portfolio, as can be seen in Figure 2-6 where (TailVar90 falls by $13 million NPV.  This is the first time PSE has found wind to reduce portfolio risk, but the cost was high; it would cost $239 million to protect against a $252 million loss.  Adding capacity for reliability purposes, as described in the planning standard discussion, would reduce risk at a far smaller cost.   </w:t>
      </w:r>
    </w:p>
    <w:p w:rsidR="00A7100C" w:rsidRDefault="00A7100C" w:rsidP="00A7100C">
      <w:pPr>
        <w:pStyle w:val="IRPsanstext"/>
      </w:pPr>
    </w:p>
    <w:p w:rsidR="00AA3748" w:rsidRDefault="00AA3748">
      <w:pPr>
        <w:rPr>
          <w:rFonts w:ascii="Arial" w:hAnsi="Arial"/>
          <w:i/>
          <w:sz w:val="20"/>
          <w:szCs w:val="20"/>
        </w:rPr>
      </w:pPr>
      <w:r>
        <w:rPr>
          <w:i/>
        </w:rPr>
        <w:br w:type="page"/>
      </w:r>
    </w:p>
    <w:p w:rsidR="00A7100C" w:rsidRPr="00AA3748" w:rsidRDefault="00A7100C" w:rsidP="00AA3748">
      <w:pPr>
        <w:pStyle w:val="IRPsanstext"/>
        <w:spacing w:after="120"/>
        <w:jc w:val="center"/>
        <w:rPr>
          <w:rFonts w:cs="Arial"/>
          <w:i/>
        </w:rPr>
      </w:pPr>
      <w:r w:rsidRPr="003F1B89">
        <w:rPr>
          <w:i/>
        </w:rPr>
        <w:lastRenderedPageBreak/>
        <w:t>Figure 2-</w:t>
      </w:r>
      <w:r>
        <w:rPr>
          <w:i/>
        </w:rPr>
        <w:t>6</w:t>
      </w:r>
      <w:r w:rsidRPr="003F1B89">
        <w:rPr>
          <w:i/>
        </w:rPr>
        <w:t>:</w:t>
      </w:r>
      <w:r w:rsidRPr="003F1B89">
        <w:rPr>
          <w:rFonts w:cs="Arial"/>
          <w:i/>
        </w:rPr>
        <w:t xml:space="preserve"> Results of Stochastic Analysis</w:t>
      </w:r>
    </w:p>
    <w:tbl>
      <w:tblPr>
        <w:tblW w:w="85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5"/>
        <w:gridCol w:w="1350"/>
        <w:gridCol w:w="1080"/>
        <w:gridCol w:w="900"/>
        <w:gridCol w:w="1080"/>
        <w:gridCol w:w="810"/>
        <w:gridCol w:w="1170"/>
      </w:tblGrid>
      <w:tr w:rsidR="00A7100C" w:rsidRPr="00AA3748">
        <w:trPr>
          <w:trHeight w:val="737"/>
        </w:trPr>
        <w:tc>
          <w:tcPr>
            <w:tcW w:w="2175" w:type="dxa"/>
            <w:shd w:val="clear" w:color="000000" w:fill="31869B"/>
            <w:vAlign w:val="center"/>
          </w:tcPr>
          <w:p w:rsidR="00A7100C" w:rsidRPr="00AA3748" w:rsidRDefault="00A7100C" w:rsidP="004073CB">
            <w:pPr>
              <w:pStyle w:val="IRPsanstext"/>
              <w:spacing w:before="120" w:after="120" w:line="240" w:lineRule="auto"/>
              <w:rPr>
                <w:color w:val="FFFFFF"/>
                <w:sz w:val="18"/>
                <w:szCs w:val="18"/>
              </w:rPr>
            </w:pPr>
            <w:r w:rsidRPr="00AA3748">
              <w:rPr>
                <w:color w:val="FFFFFF"/>
                <w:sz w:val="18"/>
                <w:szCs w:val="18"/>
              </w:rPr>
              <w:t>NPV ($Millions)</w:t>
            </w:r>
          </w:p>
        </w:tc>
        <w:tc>
          <w:tcPr>
            <w:tcW w:w="1350" w:type="dxa"/>
            <w:shd w:val="clear" w:color="000000" w:fill="31869B"/>
            <w:vAlign w:val="center"/>
          </w:tcPr>
          <w:p w:rsidR="00A7100C" w:rsidRPr="00AA3748" w:rsidRDefault="00A7100C" w:rsidP="004073CB">
            <w:pPr>
              <w:pStyle w:val="IRPsanstext"/>
              <w:spacing w:before="120" w:after="120" w:line="240" w:lineRule="auto"/>
              <w:jc w:val="center"/>
              <w:rPr>
                <w:color w:val="FFFFFF"/>
                <w:sz w:val="18"/>
                <w:szCs w:val="18"/>
              </w:rPr>
            </w:pPr>
            <w:r w:rsidRPr="00AA3748">
              <w:rPr>
                <w:color w:val="FFFFFF"/>
                <w:sz w:val="18"/>
                <w:szCs w:val="18"/>
              </w:rPr>
              <w:t>Base Deterministic Portfolio Cost</w:t>
            </w:r>
          </w:p>
        </w:tc>
        <w:tc>
          <w:tcPr>
            <w:tcW w:w="1080" w:type="dxa"/>
            <w:shd w:val="clear" w:color="000000" w:fill="31869B"/>
            <w:vAlign w:val="center"/>
          </w:tcPr>
          <w:p w:rsidR="00A7100C" w:rsidRPr="00AA3748" w:rsidRDefault="00A7100C" w:rsidP="004073CB">
            <w:pPr>
              <w:pStyle w:val="IRPsanstext"/>
              <w:spacing w:before="120" w:after="120" w:line="240" w:lineRule="auto"/>
              <w:jc w:val="center"/>
              <w:rPr>
                <w:color w:val="FFFFFF"/>
                <w:sz w:val="18"/>
                <w:szCs w:val="18"/>
              </w:rPr>
            </w:pPr>
            <w:r w:rsidRPr="00AA3748">
              <w:rPr>
                <w:color w:val="FFFFFF"/>
                <w:sz w:val="18"/>
                <w:szCs w:val="18"/>
              </w:rPr>
              <w:t>Difference from Base</w:t>
            </w:r>
          </w:p>
        </w:tc>
        <w:tc>
          <w:tcPr>
            <w:tcW w:w="900" w:type="dxa"/>
            <w:shd w:val="clear" w:color="000000" w:fill="31869B"/>
            <w:vAlign w:val="center"/>
          </w:tcPr>
          <w:p w:rsidR="00A7100C" w:rsidRPr="00AA3748" w:rsidRDefault="00A7100C" w:rsidP="004073CB">
            <w:pPr>
              <w:pStyle w:val="IRPsanstext"/>
              <w:spacing w:before="120" w:after="120" w:line="240" w:lineRule="auto"/>
              <w:jc w:val="center"/>
              <w:rPr>
                <w:color w:val="FFFFFF"/>
                <w:sz w:val="18"/>
                <w:szCs w:val="18"/>
              </w:rPr>
            </w:pPr>
            <w:r w:rsidRPr="00AA3748">
              <w:rPr>
                <w:color w:val="FFFFFF"/>
                <w:sz w:val="18"/>
                <w:szCs w:val="18"/>
              </w:rPr>
              <w:t>Mean</w:t>
            </w:r>
          </w:p>
        </w:tc>
        <w:tc>
          <w:tcPr>
            <w:tcW w:w="1080" w:type="dxa"/>
            <w:shd w:val="clear" w:color="000000" w:fill="31869B"/>
            <w:vAlign w:val="center"/>
          </w:tcPr>
          <w:p w:rsidR="00A7100C" w:rsidRPr="00AA3748" w:rsidRDefault="00A7100C" w:rsidP="004073CB">
            <w:pPr>
              <w:pStyle w:val="IRPsanstext"/>
              <w:spacing w:before="120" w:after="120" w:line="240" w:lineRule="auto"/>
              <w:jc w:val="center"/>
              <w:rPr>
                <w:color w:val="FFFFFF"/>
                <w:sz w:val="18"/>
                <w:szCs w:val="18"/>
              </w:rPr>
            </w:pPr>
            <w:r w:rsidRPr="00AA3748">
              <w:rPr>
                <w:color w:val="FFFFFF"/>
                <w:sz w:val="18"/>
                <w:szCs w:val="18"/>
              </w:rPr>
              <w:t>Difference from Base</w:t>
            </w:r>
          </w:p>
        </w:tc>
        <w:tc>
          <w:tcPr>
            <w:tcW w:w="810" w:type="dxa"/>
            <w:shd w:val="clear" w:color="000000" w:fill="31869B"/>
            <w:vAlign w:val="center"/>
          </w:tcPr>
          <w:p w:rsidR="00A7100C" w:rsidRPr="00AA3748" w:rsidRDefault="00A7100C" w:rsidP="004073CB">
            <w:pPr>
              <w:pStyle w:val="IRPsanstext"/>
              <w:spacing w:before="120" w:after="120" w:line="240" w:lineRule="auto"/>
              <w:jc w:val="center"/>
              <w:rPr>
                <w:color w:val="FFFFFF"/>
                <w:sz w:val="18"/>
                <w:szCs w:val="18"/>
              </w:rPr>
            </w:pPr>
            <w:r w:rsidRPr="00AA3748">
              <w:rPr>
                <w:color w:val="FFFFFF"/>
                <w:sz w:val="18"/>
                <w:szCs w:val="18"/>
              </w:rPr>
              <w:t>TVar90</w:t>
            </w:r>
          </w:p>
        </w:tc>
        <w:tc>
          <w:tcPr>
            <w:tcW w:w="1170" w:type="dxa"/>
            <w:shd w:val="clear" w:color="000000" w:fill="31869B"/>
            <w:vAlign w:val="center"/>
          </w:tcPr>
          <w:p w:rsidR="00A7100C" w:rsidRPr="00AA3748" w:rsidRDefault="00A7100C" w:rsidP="004073CB">
            <w:pPr>
              <w:pStyle w:val="IRPsanstext"/>
              <w:spacing w:before="120" w:after="120" w:line="240" w:lineRule="auto"/>
              <w:jc w:val="center"/>
              <w:rPr>
                <w:color w:val="FFFFFF"/>
                <w:sz w:val="18"/>
                <w:szCs w:val="18"/>
              </w:rPr>
            </w:pPr>
            <w:r w:rsidRPr="00AA3748">
              <w:rPr>
                <w:color w:val="FFFFFF"/>
                <w:sz w:val="18"/>
                <w:szCs w:val="18"/>
              </w:rPr>
              <w:t>Difference from Base</w:t>
            </w:r>
          </w:p>
        </w:tc>
      </w:tr>
      <w:tr w:rsidR="00A7100C" w:rsidRPr="00AA3748">
        <w:trPr>
          <w:trHeight w:val="276"/>
        </w:trPr>
        <w:tc>
          <w:tcPr>
            <w:tcW w:w="2175" w:type="dxa"/>
            <w:shd w:val="clear" w:color="auto" w:fill="auto"/>
            <w:vAlign w:val="center"/>
          </w:tcPr>
          <w:p w:rsidR="00A7100C" w:rsidRPr="00AA3748" w:rsidRDefault="00A7100C" w:rsidP="004073CB">
            <w:pPr>
              <w:pStyle w:val="IRPsanstext"/>
              <w:spacing w:before="120" w:after="120" w:line="240" w:lineRule="auto"/>
              <w:rPr>
                <w:color w:val="000000"/>
                <w:sz w:val="18"/>
                <w:szCs w:val="18"/>
              </w:rPr>
            </w:pPr>
            <w:r w:rsidRPr="00AA3748">
              <w:rPr>
                <w:color w:val="000000"/>
                <w:sz w:val="18"/>
                <w:szCs w:val="18"/>
              </w:rPr>
              <w:t>1 - All Frame Peaker</w:t>
            </w:r>
          </w:p>
        </w:tc>
        <w:tc>
          <w:tcPr>
            <w:tcW w:w="1350" w:type="dxa"/>
            <w:shd w:val="clear" w:color="auto" w:fill="auto"/>
            <w:vAlign w:val="bottom"/>
          </w:tcPr>
          <w:p w:rsidR="00A7100C" w:rsidRPr="00AA3748" w:rsidRDefault="00A7100C" w:rsidP="004073CB">
            <w:pPr>
              <w:jc w:val="right"/>
              <w:rPr>
                <w:rFonts w:ascii="Arial" w:hAnsi="Arial" w:cs="Arial"/>
                <w:b/>
                <w:bCs/>
                <w:color w:val="000000"/>
                <w:sz w:val="18"/>
                <w:szCs w:val="18"/>
              </w:rPr>
            </w:pPr>
            <w:r w:rsidRPr="00AA3748">
              <w:rPr>
                <w:rFonts w:ascii="Arial" w:hAnsi="Arial" w:cs="Arial"/>
                <w:b/>
                <w:bCs/>
                <w:color w:val="000000"/>
                <w:sz w:val="18"/>
                <w:szCs w:val="18"/>
              </w:rPr>
              <w:t xml:space="preserve">12,531 </w:t>
            </w:r>
          </w:p>
        </w:tc>
        <w:tc>
          <w:tcPr>
            <w:tcW w:w="1080" w:type="dxa"/>
            <w:shd w:val="clear" w:color="auto" w:fill="auto"/>
            <w:vAlign w:val="bottom"/>
          </w:tcPr>
          <w:p w:rsidR="00A7100C" w:rsidRPr="00AA3748" w:rsidRDefault="00A7100C" w:rsidP="004073CB">
            <w:pPr>
              <w:rPr>
                <w:rFonts w:ascii="Arial" w:hAnsi="Arial" w:cs="Arial"/>
                <w:b/>
                <w:bCs/>
                <w:color w:val="000000"/>
                <w:sz w:val="18"/>
                <w:szCs w:val="18"/>
              </w:rPr>
            </w:pPr>
            <w:r w:rsidRPr="00AA3748">
              <w:rPr>
                <w:rFonts w:ascii="Arial" w:hAnsi="Arial" w:cs="Arial"/>
                <w:b/>
                <w:bCs/>
                <w:color w:val="000000"/>
                <w:sz w:val="18"/>
                <w:szCs w:val="18"/>
              </w:rPr>
              <w:t> </w:t>
            </w:r>
          </w:p>
        </w:tc>
        <w:tc>
          <w:tcPr>
            <w:tcW w:w="900" w:type="dxa"/>
            <w:shd w:val="clear" w:color="auto" w:fill="auto"/>
            <w:vAlign w:val="bottom"/>
          </w:tcPr>
          <w:p w:rsidR="00A7100C" w:rsidRPr="00AA3748" w:rsidRDefault="00A7100C" w:rsidP="004073CB">
            <w:pPr>
              <w:jc w:val="right"/>
              <w:rPr>
                <w:rFonts w:ascii="Arial" w:hAnsi="Arial" w:cs="Arial"/>
                <w:b/>
                <w:bCs/>
                <w:color w:val="000000"/>
                <w:sz w:val="18"/>
                <w:szCs w:val="18"/>
              </w:rPr>
            </w:pPr>
            <w:r w:rsidRPr="00AA3748">
              <w:rPr>
                <w:rFonts w:ascii="Arial" w:hAnsi="Arial" w:cs="Arial"/>
                <w:b/>
                <w:bCs/>
                <w:color w:val="000000"/>
                <w:sz w:val="18"/>
                <w:szCs w:val="18"/>
              </w:rPr>
              <w:t xml:space="preserve">11,343 </w:t>
            </w:r>
          </w:p>
        </w:tc>
        <w:tc>
          <w:tcPr>
            <w:tcW w:w="1080" w:type="dxa"/>
            <w:shd w:val="clear" w:color="auto" w:fill="auto"/>
            <w:vAlign w:val="bottom"/>
          </w:tcPr>
          <w:p w:rsidR="00A7100C" w:rsidRPr="00AA3748" w:rsidRDefault="00A7100C" w:rsidP="004073CB">
            <w:pPr>
              <w:rPr>
                <w:rFonts w:ascii="Arial" w:hAnsi="Arial" w:cs="Arial"/>
                <w:b/>
                <w:bCs/>
                <w:color w:val="000000"/>
                <w:sz w:val="18"/>
                <w:szCs w:val="18"/>
              </w:rPr>
            </w:pPr>
            <w:r w:rsidRPr="00AA3748">
              <w:rPr>
                <w:rFonts w:ascii="Arial" w:hAnsi="Arial" w:cs="Arial"/>
                <w:b/>
                <w:bCs/>
                <w:color w:val="000000"/>
                <w:sz w:val="18"/>
                <w:szCs w:val="18"/>
              </w:rPr>
              <w:t> </w:t>
            </w:r>
          </w:p>
        </w:tc>
        <w:tc>
          <w:tcPr>
            <w:tcW w:w="810" w:type="dxa"/>
            <w:shd w:val="clear" w:color="auto" w:fill="auto"/>
            <w:vAlign w:val="bottom"/>
          </w:tcPr>
          <w:p w:rsidR="00A7100C" w:rsidRPr="00AA3748" w:rsidRDefault="00A7100C" w:rsidP="004073CB">
            <w:pPr>
              <w:jc w:val="right"/>
              <w:rPr>
                <w:rFonts w:ascii="Arial" w:hAnsi="Arial" w:cs="Arial"/>
                <w:b/>
                <w:bCs/>
                <w:color w:val="000000"/>
                <w:sz w:val="18"/>
                <w:szCs w:val="18"/>
              </w:rPr>
            </w:pPr>
            <w:r w:rsidRPr="00AA3748">
              <w:rPr>
                <w:rFonts w:ascii="Arial" w:hAnsi="Arial" w:cs="Arial"/>
                <w:b/>
                <w:bCs/>
                <w:color w:val="000000"/>
                <w:sz w:val="18"/>
                <w:szCs w:val="18"/>
              </w:rPr>
              <w:t xml:space="preserve">14,589 </w:t>
            </w:r>
          </w:p>
        </w:tc>
        <w:tc>
          <w:tcPr>
            <w:tcW w:w="1170" w:type="dxa"/>
            <w:shd w:val="clear" w:color="auto" w:fill="auto"/>
            <w:vAlign w:val="bottom"/>
          </w:tcPr>
          <w:p w:rsidR="00A7100C" w:rsidRPr="00AA3748" w:rsidRDefault="00A7100C" w:rsidP="004073CB">
            <w:pPr>
              <w:rPr>
                <w:rFonts w:ascii="Arial" w:hAnsi="Arial" w:cs="Arial"/>
                <w:b/>
                <w:bCs/>
                <w:color w:val="000000"/>
                <w:sz w:val="18"/>
                <w:szCs w:val="18"/>
              </w:rPr>
            </w:pPr>
            <w:r w:rsidRPr="00AA3748">
              <w:rPr>
                <w:rFonts w:ascii="Arial" w:hAnsi="Arial" w:cs="Arial"/>
                <w:b/>
                <w:bCs/>
                <w:color w:val="000000"/>
                <w:sz w:val="18"/>
                <w:szCs w:val="18"/>
              </w:rPr>
              <w:t> </w:t>
            </w:r>
          </w:p>
        </w:tc>
      </w:tr>
      <w:tr w:rsidR="00A7100C" w:rsidRPr="00AA3748">
        <w:trPr>
          <w:trHeight w:val="276"/>
        </w:trPr>
        <w:tc>
          <w:tcPr>
            <w:tcW w:w="2175" w:type="dxa"/>
            <w:shd w:val="clear" w:color="auto" w:fill="auto"/>
            <w:vAlign w:val="center"/>
          </w:tcPr>
          <w:p w:rsidR="00A7100C" w:rsidRPr="00AA3748" w:rsidRDefault="00A7100C" w:rsidP="004073CB">
            <w:pPr>
              <w:pStyle w:val="IRPsanstext"/>
              <w:spacing w:before="120" w:after="120" w:line="240" w:lineRule="auto"/>
              <w:rPr>
                <w:color w:val="000000"/>
                <w:sz w:val="18"/>
                <w:szCs w:val="18"/>
              </w:rPr>
            </w:pPr>
            <w:r w:rsidRPr="00AA3748">
              <w:rPr>
                <w:color w:val="000000"/>
                <w:sz w:val="18"/>
                <w:szCs w:val="18"/>
              </w:rPr>
              <w:t>6 - Add 300 MW Wind in 2021</w:t>
            </w:r>
          </w:p>
        </w:tc>
        <w:tc>
          <w:tcPr>
            <w:tcW w:w="1350" w:type="dxa"/>
            <w:shd w:val="clear" w:color="auto" w:fill="auto"/>
            <w:vAlign w:val="bottom"/>
          </w:tcPr>
          <w:p w:rsidR="00A7100C" w:rsidRPr="00AA3748" w:rsidRDefault="00A7100C" w:rsidP="004073CB">
            <w:pPr>
              <w:jc w:val="right"/>
              <w:rPr>
                <w:rFonts w:ascii="Arial" w:hAnsi="Arial" w:cs="Arial"/>
                <w:color w:val="000000"/>
                <w:sz w:val="18"/>
                <w:szCs w:val="18"/>
              </w:rPr>
            </w:pPr>
            <w:r w:rsidRPr="00AA3748">
              <w:rPr>
                <w:rFonts w:ascii="Arial" w:hAnsi="Arial" w:cs="Arial"/>
                <w:color w:val="000000"/>
                <w:sz w:val="18"/>
                <w:szCs w:val="18"/>
              </w:rPr>
              <w:t xml:space="preserve">12,798 </w:t>
            </w:r>
          </w:p>
        </w:tc>
        <w:tc>
          <w:tcPr>
            <w:tcW w:w="1080" w:type="dxa"/>
            <w:shd w:val="clear" w:color="auto" w:fill="auto"/>
            <w:vAlign w:val="bottom"/>
          </w:tcPr>
          <w:p w:rsidR="00A7100C" w:rsidRPr="00AA3748" w:rsidRDefault="00A7100C" w:rsidP="004073CB">
            <w:pPr>
              <w:jc w:val="right"/>
              <w:rPr>
                <w:rFonts w:ascii="Arial" w:hAnsi="Arial" w:cs="Arial"/>
                <w:color w:val="000000"/>
                <w:sz w:val="18"/>
                <w:szCs w:val="18"/>
              </w:rPr>
            </w:pPr>
            <w:r w:rsidRPr="00AA3748">
              <w:rPr>
                <w:rFonts w:ascii="Arial" w:hAnsi="Arial" w:cs="Arial"/>
                <w:color w:val="000000"/>
                <w:sz w:val="18"/>
                <w:szCs w:val="18"/>
              </w:rPr>
              <w:t xml:space="preserve">267 </w:t>
            </w:r>
          </w:p>
        </w:tc>
        <w:tc>
          <w:tcPr>
            <w:tcW w:w="900" w:type="dxa"/>
            <w:shd w:val="clear" w:color="auto" w:fill="auto"/>
            <w:vAlign w:val="bottom"/>
          </w:tcPr>
          <w:p w:rsidR="00A7100C" w:rsidRPr="00AA3748" w:rsidRDefault="00A7100C" w:rsidP="004073CB">
            <w:pPr>
              <w:jc w:val="right"/>
              <w:rPr>
                <w:rFonts w:ascii="Arial" w:hAnsi="Arial" w:cs="Arial"/>
                <w:color w:val="000000"/>
                <w:sz w:val="18"/>
                <w:szCs w:val="18"/>
              </w:rPr>
            </w:pPr>
            <w:r w:rsidRPr="00AA3748">
              <w:rPr>
                <w:rFonts w:ascii="Arial" w:hAnsi="Arial" w:cs="Arial"/>
                <w:color w:val="000000"/>
                <w:sz w:val="18"/>
                <w:szCs w:val="18"/>
              </w:rPr>
              <w:t xml:space="preserve">11,582 </w:t>
            </w:r>
          </w:p>
        </w:tc>
        <w:tc>
          <w:tcPr>
            <w:tcW w:w="1080" w:type="dxa"/>
            <w:shd w:val="clear" w:color="auto" w:fill="auto"/>
            <w:vAlign w:val="bottom"/>
          </w:tcPr>
          <w:p w:rsidR="00A7100C" w:rsidRPr="00AA3748" w:rsidRDefault="00A7100C" w:rsidP="004073CB">
            <w:pPr>
              <w:jc w:val="right"/>
              <w:rPr>
                <w:rFonts w:ascii="Arial" w:hAnsi="Arial" w:cs="Arial"/>
                <w:color w:val="000000"/>
                <w:sz w:val="18"/>
                <w:szCs w:val="18"/>
              </w:rPr>
            </w:pPr>
            <w:r w:rsidRPr="00AA3748">
              <w:rPr>
                <w:rFonts w:ascii="Arial" w:hAnsi="Arial" w:cs="Arial"/>
                <w:color w:val="000000"/>
                <w:sz w:val="18"/>
                <w:szCs w:val="18"/>
              </w:rPr>
              <w:t xml:space="preserve">239 </w:t>
            </w:r>
          </w:p>
        </w:tc>
        <w:tc>
          <w:tcPr>
            <w:tcW w:w="810" w:type="dxa"/>
            <w:shd w:val="clear" w:color="auto" w:fill="auto"/>
            <w:vAlign w:val="bottom"/>
          </w:tcPr>
          <w:p w:rsidR="00A7100C" w:rsidRPr="00AA3748" w:rsidRDefault="00A7100C" w:rsidP="004073CB">
            <w:pPr>
              <w:jc w:val="right"/>
              <w:rPr>
                <w:rFonts w:ascii="Arial" w:hAnsi="Arial" w:cs="Arial"/>
                <w:color w:val="000000"/>
                <w:sz w:val="18"/>
                <w:szCs w:val="18"/>
              </w:rPr>
            </w:pPr>
            <w:r w:rsidRPr="00AA3748">
              <w:rPr>
                <w:rFonts w:ascii="Arial" w:hAnsi="Arial" w:cs="Arial"/>
                <w:color w:val="000000"/>
                <w:sz w:val="18"/>
                <w:szCs w:val="18"/>
              </w:rPr>
              <w:t xml:space="preserve">14,576 </w:t>
            </w:r>
          </w:p>
        </w:tc>
        <w:tc>
          <w:tcPr>
            <w:tcW w:w="1170" w:type="dxa"/>
            <w:shd w:val="clear" w:color="auto" w:fill="auto"/>
            <w:vAlign w:val="bottom"/>
          </w:tcPr>
          <w:p w:rsidR="00A7100C" w:rsidRPr="00AA3748" w:rsidRDefault="00A7100C" w:rsidP="004073CB">
            <w:pPr>
              <w:jc w:val="right"/>
              <w:rPr>
                <w:rFonts w:ascii="Arial" w:hAnsi="Arial" w:cs="Arial"/>
                <w:color w:val="000000"/>
                <w:sz w:val="18"/>
                <w:szCs w:val="18"/>
              </w:rPr>
            </w:pPr>
            <w:r w:rsidRPr="00AA3748">
              <w:rPr>
                <w:rFonts w:ascii="Arial" w:hAnsi="Arial" w:cs="Arial"/>
                <w:color w:val="FF0000"/>
                <w:sz w:val="18"/>
                <w:szCs w:val="18"/>
              </w:rPr>
              <w:t>(13)</w:t>
            </w:r>
          </w:p>
        </w:tc>
      </w:tr>
    </w:tbl>
    <w:p w:rsidR="00A7100C" w:rsidRPr="00AA3748" w:rsidRDefault="00A7100C" w:rsidP="00A7100C">
      <w:pPr>
        <w:pStyle w:val="IRPsanstext"/>
        <w:rPr>
          <w:sz w:val="18"/>
          <w:szCs w:val="18"/>
        </w:rPr>
      </w:pPr>
    </w:p>
    <w:p w:rsidR="00A7100C" w:rsidRPr="00E40A47" w:rsidRDefault="00A7100C" w:rsidP="00A7100C">
      <w:pPr>
        <w:pStyle w:val="IRPsanstext"/>
      </w:pPr>
      <w:r w:rsidRPr="00E40A47">
        <w:t xml:space="preserve">Having established the level of renewables, the last step in this portion of developing the resource plan was to determine the timing and exact amounts of wind to include in the resource plan.  To make those decisions, we aggregated up renewable builds at key periods, to reflect the lumpiness of renewable investments while reflecting the ability to scale those resources.  </w:t>
      </w:r>
    </w:p>
    <w:p w:rsidR="00A7100C" w:rsidRPr="00E40A47" w:rsidRDefault="00A7100C" w:rsidP="00A7100C">
      <w:pPr>
        <w:pStyle w:val="IRPsanstext"/>
      </w:pPr>
    </w:p>
    <w:p w:rsidR="00A7100C" w:rsidRPr="00DD368B" w:rsidRDefault="00A7100C" w:rsidP="00A7100C">
      <w:pPr>
        <w:pStyle w:val="IRPsanstext"/>
        <w:rPr>
          <w:strike/>
        </w:rPr>
      </w:pPr>
      <w:r w:rsidRPr="00E40A47">
        <w:t xml:space="preserve">Based on the current load forecast, and the ability to bank renewable energy credits (RECs), additional wind is not needed until 2023.  203 MW of wind would meet regulatory requirements until 2028, when a combination of slight load growth and expiration of a long-term, 50 MW contract for output from </w:t>
      </w:r>
      <w:r w:rsidR="00486450">
        <w:t>the Klondike wind farm expires.</w:t>
      </w:r>
      <w:r w:rsidRPr="00E40A47">
        <w:t xml:space="preserve"> At 2028, an additional 131 MW of wind would be sufficient to meet requirements through 2035.  It is possible that other resources and different strategies will emerge by 2028, based on evolving market conditions and changing energy policies.  We will complete 5 more IRPs by 2025, so will be able to adjust strategies and decisions as the future unfolds</w:t>
      </w:r>
      <w:r w:rsidRPr="00DD368B">
        <w:rPr>
          <w:strike/>
        </w:rPr>
        <w:t xml:space="preserve">.  </w:t>
      </w:r>
    </w:p>
    <w:p w:rsidR="00A7100C" w:rsidRDefault="00A7100C" w:rsidP="00A7100C">
      <w:pPr>
        <w:pStyle w:val="IRPsanstext"/>
      </w:pPr>
    </w:p>
    <w:p w:rsidR="00A7100C" w:rsidRDefault="00A7100C" w:rsidP="00A7100C">
      <w:pPr>
        <w:pStyle w:val="IRPsanstext"/>
      </w:pPr>
      <w:r w:rsidRPr="00897829">
        <w:t xml:space="preserve">This IRP </w:t>
      </w:r>
      <w:r>
        <w:t>also examined the possibility of acquiring w</w:t>
      </w:r>
      <w:r w:rsidR="00486450">
        <w:t xml:space="preserve">ind from Montana. </w:t>
      </w:r>
      <w:r>
        <w:t>The challenge is that Montana wind does not generally qualify as a renewable resource under RCW 19.285 because it is outside the Pacific Northwest footprint.  Therefore, Montana wind would have to be cost-competitive with other supply alternatives. This would be difficult because of the transmission costs involved. Chapter 6 describes the analysis of potential transmission options and costs PSE conducted for this IRP. Results indicated the capacity contribution of Montana wind would have to be greater than 50% to be cost effective. Under certain sets of assumptions, the results estimated a capacity value of 55%, so it is possible that Montana wind could appear cost effective under some future market conditions.  PSE will continue to refine its assumptions for this resource in future IRP analyses.</w:t>
      </w:r>
    </w:p>
    <w:p w:rsidR="00A7100C" w:rsidRDefault="00A7100C" w:rsidP="00A7100C">
      <w:pPr>
        <w:pStyle w:val="IRPsanstext"/>
      </w:pPr>
    </w:p>
    <w:p w:rsidR="00AA3748" w:rsidRDefault="00AA3748">
      <w:pPr>
        <w:rPr>
          <w:rFonts w:ascii="Arial" w:hAnsi="Arial"/>
          <w:sz w:val="20"/>
          <w:szCs w:val="20"/>
        </w:rPr>
      </w:pPr>
      <w:r>
        <w:br w:type="page"/>
      </w:r>
    </w:p>
    <w:p w:rsidR="00A7100C" w:rsidRDefault="00A7100C" w:rsidP="00AA3748">
      <w:pPr>
        <w:pStyle w:val="IRPsanstext"/>
      </w:pPr>
      <w:r w:rsidRPr="00897829">
        <w:lastRenderedPageBreak/>
        <w:t xml:space="preserve">Biomass </w:t>
      </w:r>
      <w:r>
        <w:t>and solar were also included in the optimization analysis.  Minor amounts of biomass</w:t>
      </w:r>
      <w:proofErr w:type="gramStart"/>
      <w:r>
        <w:t>,15</w:t>
      </w:r>
      <w:proofErr w:type="gramEnd"/>
      <w:r>
        <w:t xml:space="preserve"> MW, appear </w:t>
      </w:r>
      <w:r w:rsidR="00486450">
        <w:t xml:space="preserve">least cost in a few scenarios. </w:t>
      </w:r>
      <w:r>
        <w:t xml:space="preserve">One scenario also included 20 MW of utility-scale solar in the last few years </w:t>
      </w:r>
      <w:r w:rsidR="00486450">
        <w:t xml:space="preserve">of the planning horizon. </w:t>
      </w:r>
      <w:r>
        <w:t>Biomass and utility scale solar appeared cost effective in those scenarios primarily because they satisfied a small renewable need toward the very end of the planning horizon, so they were the “right size” compared to larger scale wind resources.  Ultimately, the analysis found that adding 131 MW of wind in 2028 instead of 100 MW, would cover that small renewable need at a lower cost than either biomass or solar.  Market conditions, energy policies, and load forecasts will most like change significantly by 2030, and this analysis highlights that PSE should continue examining feasibility of biomass and utility scale solar resources</w:t>
      </w:r>
      <w:r w:rsidRPr="00897829">
        <w:t xml:space="preserve">. </w:t>
      </w:r>
    </w:p>
    <w:p w:rsidR="00A7100C" w:rsidRPr="00897829" w:rsidRDefault="00A7100C" w:rsidP="00AA3748">
      <w:pPr>
        <w:pStyle w:val="IRPsanstext"/>
      </w:pPr>
    </w:p>
    <w:p w:rsidR="00A7100C" w:rsidRPr="00AA3748" w:rsidRDefault="00A7100C" w:rsidP="00AA3748">
      <w:pPr>
        <w:pStyle w:val="IRPsanstext"/>
        <w:rPr>
          <w:sz w:val="32"/>
          <w:szCs w:val="32"/>
        </w:rPr>
      </w:pPr>
      <w:r w:rsidRPr="00AA3748">
        <w:rPr>
          <w:sz w:val="32"/>
          <w:szCs w:val="32"/>
        </w:rPr>
        <w:t>Supply-side Resource Additions</w:t>
      </w:r>
    </w:p>
    <w:p w:rsidR="00A7100C" w:rsidRDefault="00A7100C" w:rsidP="00AA3748">
      <w:pPr>
        <w:pStyle w:val="IRPsanstext"/>
        <w:rPr>
          <w:b/>
          <w:caps/>
        </w:rPr>
      </w:pPr>
    </w:p>
    <w:p w:rsidR="00A7100C" w:rsidRDefault="00A7100C" w:rsidP="00AA3748">
      <w:pPr>
        <w:pStyle w:val="IRPsanstext"/>
      </w:pPr>
      <w:proofErr w:type="gramStart"/>
      <w:r w:rsidRPr="00A91D58">
        <w:rPr>
          <w:b/>
          <w:caps/>
        </w:rPr>
        <w:t>Decision</w:t>
      </w:r>
      <w:r>
        <w:t>.</w:t>
      </w:r>
      <w:proofErr w:type="gramEnd"/>
      <w:r>
        <w:t xml:space="preserve">  Forecast additions include a mix of frame peakers and CCCT plants; the first addition will most likely be a frame peaker with backup fuel that does not require firm interstate gas pipeline capacity. CCCT plants are included to meet larger needs, including the expiration of PSE’s contract with Centralia in 2026.  </w:t>
      </w:r>
    </w:p>
    <w:p w:rsidR="00A7100C" w:rsidRDefault="00A7100C" w:rsidP="00AA3748">
      <w:pPr>
        <w:pStyle w:val="IRPsanstext"/>
      </w:pPr>
    </w:p>
    <w:p w:rsidR="00A7100C" w:rsidRDefault="00A7100C" w:rsidP="00AA3748">
      <w:pPr>
        <w:pStyle w:val="IRPsanstext"/>
      </w:pPr>
      <w:proofErr w:type="gramStart"/>
      <w:r w:rsidRPr="00A91D58">
        <w:rPr>
          <w:b/>
          <w:caps/>
        </w:rPr>
        <w:t>Summary</w:t>
      </w:r>
      <w:r>
        <w:t>.</w:t>
      </w:r>
      <w:proofErr w:type="gramEnd"/>
      <w:r>
        <w:t xml:space="preserve">  Forecasting a combination of frame CTs and CCCT plants for the resource plan is reasonable, based on consideration of the quantitative and qualitative analyses. While deterministic scenario analysis shows CCCT plants would be more cost effective than frame peakers in some scenarios, and stochastic analysis also shows CCCT plants would be more cost effective than frame peakers, the qualitative consideration of several factors tips the balance toward including frame peakers. These include assumptions about firm gas pipeline capacity requirements for frame peakers, the ability of frame peakers to meet smaller increases in capacity need more cost-effectively than CCCTs, and uncertainty about the direction of future market conditions.  </w:t>
      </w:r>
    </w:p>
    <w:p w:rsidR="00A7100C" w:rsidRDefault="00A7100C" w:rsidP="00AA3748">
      <w:pPr>
        <w:pStyle w:val="IRPsanstext"/>
      </w:pPr>
    </w:p>
    <w:p w:rsidR="00A7100C" w:rsidRDefault="00A7100C" w:rsidP="00AA3748">
      <w:pPr>
        <w:pStyle w:val="IRPsanstext"/>
      </w:pPr>
      <w:proofErr w:type="gramStart"/>
      <w:r w:rsidRPr="00A91D58">
        <w:rPr>
          <w:b/>
          <w:caps/>
        </w:rPr>
        <w:t>Factors That Could Affect Decisions</w:t>
      </w:r>
      <w:r>
        <w:t>.</w:t>
      </w:r>
      <w:proofErr w:type="gramEnd"/>
      <w:r>
        <w:t xml:space="preserve"> It is important to emphasize again that the resource plan is a forecast of resource additions that appear to be cost effective given what we know about the future today.  Four key factors will impact how the future acquisition of gas plants will unfold.  </w:t>
      </w:r>
    </w:p>
    <w:p w:rsidR="00A7100C" w:rsidRDefault="00A7100C" w:rsidP="00AA3748">
      <w:pPr>
        <w:pStyle w:val="IRPsanstext"/>
      </w:pPr>
    </w:p>
    <w:p w:rsidR="00486450" w:rsidRDefault="00486450">
      <w:pPr>
        <w:rPr>
          <w:rFonts w:ascii="Arial" w:hAnsi="Arial"/>
          <w:b/>
          <w:i/>
          <w:color w:val="156570"/>
          <w:sz w:val="28"/>
          <w:szCs w:val="28"/>
        </w:rPr>
      </w:pPr>
      <w:r>
        <w:rPr>
          <w:b/>
          <w:i/>
          <w:color w:val="156570"/>
          <w:sz w:val="28"/>
          <w:szCs w:val="28"/>
        </w:rPr>
        <w:br w:type="page"/>
      </w:r>
    </w:p>
    <w:p w:rsidR="00A7100C" w:rsidRDefault="00486450" w:rsidP="00486450">
      <w:pPr>
        <w:pStyle w:val="IRPsanstext"/>
        <w:ind w:left="720"/>
      </w:pPr>
      <w:r>
        <w:rPr>
          <w:b/>
          <w:i/>
          <w:szCs w:val="28"/>
        </w:rPr>
        <w:lastRenderedPageBreak/>
        <w:t xml:space="preserve">1. </w:t>
      </w:r>
      <w:r w:rsidR="00A7100C" w:rsidRPr="00486450">
        <w:rPr>
          <w:b/>
          <w:i/>
          <w:szCs w:val="28"/>
        </w:rPr>
        <w:t>Resource Need and Optimal Sizing of Plants</w:t>
      </w:r>
      <w:r w:rsidR="00A7100C" w:rsidRPr="00486450">
        <w:rPr>
          <w:i/>
          <w:szCs w:val="28"/>
        </w:rPr>
        <w:t>.</w:t>
      </w:r>
      <w:r w:rsidR="00A7100C">
        <w:t xml:space="preserve">  Changes in the size of our capacity resource needs will impact the choice of technology. Large increases in capacity need tilt the portfolio toward CCCT plants, while smaller capacity need increases could be more cost-effectively met with peaking plants. So, when PSE’s contract with the Centralia coal plant expires, when a portion of Colstrip needs to be replaced, or when there is significant load growth, CCCT plants will fit PSE’s needs well.  Smaller increases in capacity </w:t>
      </w:r>
      <w:proofErr w:type="gramStart"/>
      <w:r w:rsidR="00A7100C">
        <w:t>need will</w:t>
      </w:r>
      <w:proofErr w:type="gramEnd"/>
      <w:r w:rsidR="00A7100C">
        <w:t xml:space="preserve"> tend to tilt the portfolio toward frame peakers.  </w:t>
      </w:r>
    </w:p>
    <w:p w:rsidR="00A7100C" w:rsidRDefault="00A7100C" w:rsidP="00486450">
      <w:pPr>
        <w:pStyle w:val="IRPsanstext"/>
        <w:ind w:left="1440" w:hanging="360"/>
      </w:pPr>
    </w:p>
    <w:p w:rsidR="00A7100C" w:rsidRDefault="00486450" w:rsidP="00486450">
      <w:pPr>
        <w:pStyle w:val="IRPsanstext"/>
        <w:ind w:left="720"/>
      </w:pPr>
      <w:r w:rsidRPr="008249EB">
        <w:rPr>
          <w:b/>
          <w:i/>
          <w:szCs w:val="28"/>
        </w:rPr>
        <w:t xml:space="preserve">2. </w:t>
      </w:r>
      <w:r w:rsidR="00A7100C" w:rsidRPr="008249EB">
        <w:rPr>
          <w:b/>
          <w:i/>
          <w:szCs w:val="28"/>
        </w:rPr>
        <w:t>Fuel Assumptions for Frame Peakers</w:t>
      </w:r>
      <w:r w:rsidRPr="008249EB">
        <w:rPr>
          <w:b/>
          <w:i/>
          <w:szCs w:val="28"/>
        </w:rPr>
        <w:t>.</w:t>
      </w:r>
      <w:r w:rsidR="00A7100C">
        <w:t xml:space="preserve">  Changes in the availability of non-firm gas supply may also impact technology choices.  In this IRP, frame peakers are assumed to need sufficient firm pipeline capacity to run for 12 on-peak hours, with backup fuel being used for any remaining reliability need.  However, when frame peakers can avoid the cost of firm pipeline capacity by operating with a combination of non-firm gas and backup fuel oil, peakers look more cost effective even in the stochastic analysis. </w:t>
      </w:r>
    </w:p>
    <w:p w:rsidR="00A7100C" w:rsidRDefault="00A7100C" w:rsidP="00486450">
      <w:pPr>
        <w:pStyle w:val="IRPsanstext"/>
        <w:ind w:left="1440" w:hanging="360"/>
      </w:pPr>
    </w:p>
    <w:p w:rsidR="00A7100C" w:rsidRDefault="00A7100C" w:rsidP="00486450">
      <w:pPr>
        <w:pStyle w:val="IRPsanstext"/>
        <w:ind w:left="720"/>
      </w:pPr>
      <w:r>
        <w:t xml:space="preserve">An extensive analysis of sufficiency of back-up fuel inventories applied to our existing peaker fleet is reported in Chapter 6, Electric Analysis. We are confident that at least one more frame CT can be added without needing firm pipeline capacity for reliability, even taking into account very conservative assumptions about the availability of non-firm gas supply and air permit limitations.  Beyond the next peaking plant, the ability to construct a backup fuel tank and obtain adequate air permits will depend on its location and the applicable emission regulations.  </w:t>
      </w:r>
    </w:p>
    <w:p w:rsidR="00A7100C" w:rsidRDefault="00A7100C" w:rsidP="00486450">
      <w:pPr>
        <w:pStyle w:val="IRPsanstext"/>
        <w:ind w:left="1440" w:hanging="360"/>
      </w:pPr>
    </w:p>
    <w:p w:rsidR="00A7100C" w:rsidRDefault="00486450" w:rsidP="00486450">
      <w:pPr>
        <w:pStyle w:val="IRPsanstext"/>
        <w:ind w:left="720"/>
      </w:pPr>
      <w:r w:rsidRPr="00486450">
        <w:rPr>
          <w:b/>
          <w:i/>
          <w:szCs w:val="28"/>
        </w:rPr>
        <w:t xml:space="preserve">3. </w:t>
      </w:r>
      <w:r w:rsidR="00A7100C" w:rsidRPr="00486450">
        <w:rPr>
          <w:b/>
          <w:i/>
          <w:szCs w:val="28"/>
        </w:rPr>
        <w:t>Future Energy Policies</w:t>
      </w:r>
      <w:r w:rsidRPr="00486450">
        <w:rPr>
          <w:b/>
          <w:i/>
          <w:szCs w:val="28"/>
        </w:rPr>
        <w:t>.</w:t>
      </w:r>
      <w:r w:rsidR="00A7100C" w:rsidRPr="00486450">
        <w:rPr>
          <w:i/>
        </w:rPr>
        <w:t xml:space="preserve"> </w:t>
      </w:r>
      <w:r w:rsidR="00A7100C">
        <w:t xml:space="preserve">Changes in the direction of energy policy could also impact technology choices.  Some policies designed to reduce carbon emissions tip the economics toward frame peakers, while others favor CCCTs.  This uncertainty suggests minimizing long-term fixed cost commitments to plants that may end up being uneconomic; that is, it favors smaller frame peakers with backup fuel, because they do not require long-term gas pipeline commitments. But, different carbon reduction policies will have different impacts. </w:t>
      </w:r>
      <w:proofErr w:type="spellStart"/>
      <w:r w:rsidR="00A7100C">
        <w:t>Marketwide</w:t>
      </w:r>
      <w:proofErr w:type="spellEnd"/>
      <w:r w:rsidR="00A7100C">
        <w:t xml:space="preserve"> policies that seek to reduce coal generation across the WECC on a consistent basis increase the relative value of CCCT plants, making them more cost effective</w:t>
      </w:r>
      <w:proofErr w:type="gramStart"/>
      <w:r w:rsidR="00A7100C">
        <w:t>;  however</w:t>
      </w:r>
      <w:proofErr w:type="gramEnd"/>
      <w:r w:rsidR="00A7100C">
        <w:t xml:space="preserve">, when similar policies are applied on a state-by-state basis, things become complicated.  For example, a hard carbon cap in Washington could limit the run hours for CCCT plants, increasing costs and reducing the cost effectiveness of CCCT.  On the other hand, if other states impose similar caps, less energy will be available across the entire WECC, which could </w:t>
      </w:r>
      <w:proofErr w:type="gramStart"/>
      <w:r w:rsidR="00A7100C">
        <w:t>driving</w:t>
      </w:r>
      <w:proofErr w:type="gramEnd"/>
      <w:r w:rsidR="00A7100C">
        <w:t xml:space="preserve"> up market prices and the value of CCCT plants. Policies that include carbon caps tied to an undefined or unclear carbon market for offsets do little to alleviate this uncertainty. Changes in renewable portfolio standards can also impact the relative value between types of gas </w:t>
      </w:r>
      <w:r w:rsidR="00A7100C">
        <w:lastRenderedPageBreak/>
        <w:t xml:space="preserve">plants. </w:t>
      </w:r>
    </w:p>
    <w:p w:rsidR="00A7100C" w:rsidRDefault="00A7100C" w:rsidP="00486450">
      <w:pPr>
        <w:pStyle w:val="IRPsanstext"/>
        <w:ind w:left="1440" w:hanging="360"/>
      </w:pPr>
    </w:p>
    <w:p w:rsidR="00A7100C" w:rsidRDefault="00486450" w:rsidP="00486450">
      <w:pPr>
        <w:pStyle w:val="IRPsanstext"/>
        <w:ind w:left="720"/>
      </w:pPr>
      <w:r>
        <w:rPr>
          <w:b/>
          <w:i/>
          <w:szCs w:val="28"/>
        </w:rPr>
        <w:t xml:space="preserve">4. </w:t>
      </w:r>
      <w:r w:rsidR="00A7100C" w:rsidRPr="00486450">
        <w:rPr>
          <w:b/>
          <w:i/>
          <w:szCs w:val="28"/>
        </w:rPr>
        <w:t>Value of Sub-Hourly Flexibility and Technology</w:t>
      </w:r>
      <w:r w:rsidR="00A7100C" w:rsidRPr="008249EB">
        <w:rPr>
          <w:i/>
          <w:szCs w:val="28"/>
        </w:rPr>
        <w:t>.</w:t>
      </w:r>
      <w:r w:rsidR="00A7100C">
        <w:t xml:space="preserve"> </w:t>
      </w:r>
      <w:proofErr w:type="gramStart"/>
      <w:r w:rsidR="00A7100C">
        <w:t xml:space="preserve">Changes in the relative flexibility values of </w:t>
      </w:r>
      <w:r>
        <w:t>4.</w:t>
      </w:r>
      <w:proofErr w:type="gramEnd"/>
      <w:r>
        <w:t xml:space="preserve"> </w:t>
      </w:r>
      <w:proofErr w:type="gramStart"/>
      <w:r w:rsidR="00A7100C">
        <w:t>different</w:t>
      </w:r>
      <w:proofErr w:type="gramEnd"/>
      <w:r w:rsidR="00A7100C">
        <w:t xml:space="preserve"> resources could change technology decisions. Analysis in this IRP incorporated initial estimates of sub-hourly flexibility value of different resources, including CCCT, batteries, frame and other peakers, and reciprocating engines. Including flexibility value improved the value of reciprocating engines to the degree that they supplanted CCCT and other peakers in terms of cost effectiveness.  However, while the reciprocating engines examined in this IRP appear to be cost effective from the perspective of flexibility benefits, their particulate emissions may exceed recent EPA standards. We plan to upgrade our sub-hourly flexibility modeling, and will continue to study possible particulate emission concerns.  Should there be a solution for those </w:t>
      </w:r>
      <w:proofErr w:type="gramStart"/>
      <w:r w:rsidR="00A7100C">
        <w:t>concerns,</w:t>
      </w:r>
      <w:proofErr w:type="gramEnd"/>
      <w:r w:rsidR="00A7100C">
        <w:t xml:space="preserve"> reciprocating engines may become a least-cost resource.     </w:t>
      </w:r>
    </w:p>
    <w:p w:rsidR="00A7100C" w:rsidRDefault="00A7100C" w:rsidP="00A7100C">
      <w:pPr>
        <w:pStyle w:val="IRPsanstext"/>
      </w:pPr>
    </w:p>
    <w:p w:rsidR="00A7100C" w:rsidRPr="00A91D58" w:rsidRDefault="00A7100C" w:rsidP="00A7100C">
      <w:pPr>
        <w:pStyle w:val="IRPsanstext"/>
        <w:rPr>
          <w:b/>
        </w:rPr>
      </w:pPr>
      <w:proofErr w:type="gramStart"/>
      <w:r w:rsidRPr="00A91D58">
        <w:rPr>
          <w:b/>
          <w:caps/>
        </w:rPr>
        <w:t>Discussion</w:t>
      </w:r>
      <w:r>
        <w:rPr>
          <w:b/>
        </w:rPr>
        <w:t>.</w:t>
      </w:r>
      <w:proofErr w:type="gramEnd"/>
      <w:r>
        <w:rPr>
          <w:b/>
        </w:rPr>
        <w:t xml:space="preserve">  </w:t>
      </w:r>
      <w:r>
        <w:t xml:space="preserve">The </w:t>
      </w:r>
      <w:proofErr w:type="gramStart"/>
      <w:r>
        <w:t>results for gas plants in the deterministic portfolio analysis is</w:t>
      </w:r>
      <w:proofErr w:type="gramEnd"/>
      <w:r>
        <w:t xml:space="preserve"> shown in Figure 2-4. In 6 of the 10 scenarios, some level of CCCT plants would be cost effective, and in two only CCCT plants </w:t>
      </w:r>
      <w:proofErr w:type="gramStart"/>
      <w:r>
        <w:t>are</w:t>
      </w:r>
      <w:proofErr w:type="gramEnd"/>
      <w:r>
        <w:t xml:space="preserve"> least cost. This is partially due to “lumpiness,” i.e., the larger size required for CCCT plants to be cost effective. If we reasonably adjust generic plant sizes to better match the timing of resource needs, for example, frame peakers with firm gas pipeline capacity would be chosen as cost effective in the Base Scenario.  CCCT plants performed better in </w:t>
      </w:r>
      <w:proofErr w:type="gramStart"/>
      <w:r>
        <w:t>scenarios where the margin (market price minus variable operating cost) from operating CCCT plants is higher, which effectively reduces</w:t>
      </w:r>
      <w:proofErr w:type="gramEnd"/>
      <w:r>
        <w:t xml:space="preserve"> the cost of the plants.  For example, in the Base + High CO</w:t>
      </w:r>
      <w:r w:rsidRPr="00090C76">
        <w:rPr>
          <w:vertAlign w:val="subscript"/>
        </w:rPr>
        <w:t>2</w:t>
      </w:r>
      <w:r>
        <w:t xml:space="preserve"> Scenario, coal plants are pushed out of the dispatch, driving up power prices relative to natural gas prices so the additional margin from CCCT plants offsets their higher capital cost relative to CTs.  In the Base + No CO</w:t>
      </w:r>
      <w:r w:rsidRPr="00090C76">
        <w:rPr>
          <w:vertAlign w:val="subscript"/>
        </w:rPr>
        <w:t>2</w:t>
      </w:r>
      <w:r>
        <w:t xml:space="preserve"> </w:t>
      </w:r>
      <w:r w:rsidR="00486450">
        <w:t>Scenario</w:t>
      </w:r>
      <w:r>
        <w:t>, the margin from operating CCCT is again higher, this time because the lack of a CO</w:t>
      </w:r>
      <w:r w:rsidRPr="00D06152">
        <w:rPr>
          <w:vertAlign w:val="subscript"/>
        </w:rPr>
        <w:t>2</w:t>
      </w:r>
      <w:r>
        <w:t xml:space="preserve"> tax reduces the variable operating cost of CCCT plants enough for the margin to again offset its higher capital cost relative to a CT.</w:t>
      </w:r>
    </w:p>
    <w:p w:rsidR="00A7100C" w:rsidRDefault="00A7100C" w:rsidP="00A7100C">
      <w:pPr>
        <w:pStyle w:val="IRPsanstext"/>
      </w:pPr>
    </w:p>
    <w:p w:rsidR="00723DEC" w:rsidRDefault="00723DEC">
      <w:pPr>
        <w:rPr>
          <w:rFonts w:ascii="Arial" w:hAnsi="Arial"/>
          <w:sz w:val="20"/>
          <w:szCs w:val="20"/>
        </w:rPr>
      </w:pPr>
      <w:r>
        <w:br w:type="page"/>
      </w:r>
    </w:p>
    <w:p w:rsidR="00A7100C" w:rsidRDefault="00A7100C" w:rsidP="00A7100C">
      <w:pPr>
        <w:pStyle w:val="IRPsanstext"/>
      </w:pPr>
      <w:r>
        <w:lastRenderedPageBreak/>
        <w:t xml:space="preserve">The stochastic analysis demonstrated that including CCCT plants in the mix reduced both cost and risk, and the more other gas resources were displaced, the lower the cost and risk.  In fact, the stochastic analysis showed that candidate strategy 4, which added only CCCT plants, would be expected to be about 1.3 percent lower cost over the planning horizon than the chosen resource plan forecast.  </w:t>
      </w:r>
    </w:p>
    <w:p w:rsidR="00A7100C" w:rsidRDefault="00A7100C" w:rsidP="00A7100C">
      <w:pPr>
        <w:pStyle w:val="IRPsanstext"/>
      </w:pPr>
    </w:p>
    <w:p w:rsidR="00A7100C" w:rsidRPr="00723DEC" w:rsidRDefault="00A7100C" w:rsidP="00723DEC">
      <w:pPr>
        <w:pStyle w:val="IRPsanstext"/>
        <w:spacing w:after="120"/>
        <w:jc w:val="center"/>
        <w:rPr>
          <w:rFonts w:cs="Arial"/>
          <w:i/>
        </w:rPr>
      </w:pPr>
      <w:r w:rsidRPr="003F1B89">
        <w:rPr>
          <w:i/>
        </w:rPr>
        <w:t>Figure 2-</w:t>
      </w:r>
      <w:r>
        <w:rPr>
          <w:i/>
        </w:rPr>
        <w:t>7</w:t>
      </w:r>
      <w:r w:rsidRPr="003F1B89">
        <w:rPr>
          <w:i/>
        </w:rPr>
        <w:t>:</w:t>
      </w:r>
      <w:r w:rsidRPr="003F1B89">
        <w:rPr>
          <w:rFonts w:cs="Arial"/>
          <w:i/>
        </w:rPr>
        <w:t xml:space="preserve"> Stochastic Analysis</w:t>
      </w:r>
      <w:r>
        <w:rPr>
          <w:rFonts w:cs="Arial"/>
          <w:i/>
        </w:rPr>
        <w:t xml:space="preserve"> Resource Addition Results</w:t>
      </w:r>
    </w:p>
    <w:tbl>
      <w:tblPr>
        <w:tblW w:w="85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5"/>
        <w:gridCol w:w="1260"/>
        <w:gridCol w:w="1080"/>
        <w:gridCol w:w="900"/>
        <w:gridCol w:w="1080"/>
        <w:gridCol w:w="900"/>
        <w:gridCol w:w="1080"/>
      </w:tblGrid>
      <w:tr w:rsidR="00A7100C" w:rsidRPr="004E5E60">
        <w:trPr>
          <w:trHeight w:val="737"/>
        </w:trPr>
        <w:tc>
          <w:tcPr>
            <w:tcW w:w="2265" w:type="dxa"/>
            <w:shd w:val="clear" w:color="000000" w:fill="31869B"/>
            <w:vAlign w:val="center"/>
          </w:tcPr>
          <w:p w:rsidR="00A7100C" w:rsidRPr="00844B36" w:rsidRDefault="00A7100C" w:rsidP="004073CB">
            <w:pPr>
              <w:pStyle w:val="IRPsanstext"/>
              <w:spacing w:before="120" w:after="120" w:line="240" w:lineRule="auto"/>
              <w:rPr>
                <w:color w:val="FFFFFF"/>
                <w:sz w:val="18"/>
                <w:szCs w:val="18"/>
              </w:rPr>
            </w:pPr>
            <w:r w:rsidRPr="00844B36">
              <w:rPr>
                <w:color w:val="FFFFFF"/>
                <w:sz w:val="18"/>
                <w:szCs w:val="18"/>
              </w:rPr>
              <w:t>NPV ($Millions)</w:t>
            </w:r>
          </w:p>
        </w:tc>
        <w:tc>
          <w:tcPr>
            <w:tcW w:w="1260" w:type="dxa"/>
            <w:shd w:val="clear" w:color="000000" w:fill="31869B"/>
            <w:vAlign w:val="center"/>
          </w:tcPr>
          <w:p w:rsidR="00A7100C" w:rsidRPr="00844B36" w:rsidRDefault="00A7100C" w:rsidP="004073CB">
            <w:pPr>
              <w:pStyle w:val="IRPsanstext"/>
              <w:spacing w:before="120" w:after="120" w:line="240" w:lineRule="auto"/>
              <w:jc w:val="center"/>
              <w:rPr>
                <w:color w:val="FFFFFF"/>
                <w:sz w:val="18"/>
                <w:szCs w:val="18"/>
              </w:rPr>
            </w:pPr>
            <w:r w:rsidRPr="00844B36">
              <w:rPr>
                <w:color w:val="FFFFFF"/>
                <w:sz w:val="18"/>
                <w:szCs w:val="18"/>
              </w:rPr>
              <w:t>Base Deterministic Portfolio Cost</w:t>
            </w:r>
          </w:p>
        </w:tc>
        <w:tc>
          <w:tcPr>
            <w:tcW w:w="1080" w:type="dxa"/>
            <w:shd w:val="clear" w:color="000000" w:fill="31869B"/>
            <w:vAlign w:val="center"/>
          </w:tcPr>
          <w:p w:rsidR="00A7100C" w:rsidRPr="00844B36" w:rsidRDefault="00A7100C" w:rsidP="004073CB">
            <w:pPr>
              <w:pStyle w:val="IRPsanstext"/>
              <w:spacing w:before="120" w:after="120" w:line="240" w:lineRule="auto"/>
              <w:jc w:val="center"/>
              <w:rPr>
                <w:color w:val="FFFFFF"/>
                <w:sz w:val="18"/>
                <w:szCs w:val="18"/>
              </w:rPr>
            </w:pPr>
            <w:r w:rsidRPr="00844B36">
              <w:rPr>
                <w:color w:val="FFFFFF"/>
                <w:sz w:val="18"/>
                <w:szCs w:val="18"/>
              </w:rPr>
              <w:t>Difference from Base</w:t>
            </w:r>
          </w:p>
        </w:tc>
        <w:tc>
          <w:tcPr>
            <w:tcW w:w="900" w:type="dxa"/>
            <w:shd w:val="clear" w:color="000000" w:fill="31869B"/>
            <w:vAlign w:val="center"/>
          </w:tcPr>
          <w:p w:rsidR="00A7100C" w:rsidRPr="00844B36" w:rsidRDefault="00A7100C" w:rsidP="004073CB">
            <w:pPr>
              <w:pStyle w:val="IRPsanstext"/>
              <w:spacing w:before="120" w:after="120" w:line="240" w:lineRule="auto"/>
              <w:jc w:val="center"/>
              <w:rPr>
                <w:color w:val="FFFFFF"/>
                <w:sz w:val="18"/>
                <w:szCs w:val="18"/>
              </w:rPr>
            </w:pPr>
            <w:r w:rsidRPr="00844B36">
              <w:rPr>
                <w:color w:val="FFFFFF"/>
                <w:sz w:val="18"/>
                <w:szCs w:val="18"/>
              </w:rPr>
              <w:t>Mean</w:t>
            </w:r>
          </w:p>
        </w:tc>
        <w:tc>
          <w:tcPr>
            <w:tcW w:w="1080" w:type="dxa"/>
            <w:shd w:val="clear" w:color="000000" w:fill="31869B"/>
            <w:vAlign w:val="center"/>
          </w:tcPr>
          <w:p w:rsidR="00A7100C" w:rsidRPr="00844B36" w:rsidRDefault="00A7100C" w:rsidP="004073CB">
            <w:pPr>
              <w:pStyle w:val="IRPsanstext"/>
              <w:spacing w:before="120" w:after="120" w:line="240" w:lineRule="auto"/>
              <w:jc w:val="center"/>
              <w:rPr>
                <w:color w:val="FFFFFF"/>
                <w:sz w:val="18"/>
                <w:szCs w:val="18"/>
              </w:rPr>
            </w:pPr>
            <w:r w:rsidRPr="00844B36">
              <w:rPr>
                <w:color w:val="FFFFFF"/>
                <w:sz w:val="18"/>
                <w:szCs w:val="18"/>
              </w:rPr>
              <w:t>Difference from Base</w:t>
            </w:r>
          </w:p>
        </w:tc>
        <w:tc>
          <w:tcPr>
            <w:tcW w:w="900" w:type="dxa"/>
            <w:shd w:val="clear" w:color="000000" w:fill="31869B"/>
            <w:vAlign w:val="center"/>
          </w:tcPr>
          <w:p w:rsidR="00A7100C" w:rsidRPr="00844B36" w:rsidRDefault="00A7100C" w:rsidP="004073CB">
            <w:pPr>
              <w:pStyle w:val="IRPsanstext"/>
              <w:spacing w:before="120" w:after="120" w:line="240" w:lineRule="auto"/>
              <w:jc w:val="center"/>
              <w:rPr>
                <w:color w:val="FFFFFF"/>
                <w:sz w:val="18"/>
                <w:szCs w:val="18"/>
              </w:rPr>
            </w:pPr>
            <w:r w:rsidRPr="00844B36">
              <w:rPr>
                <w:color w:val="FFFFFF"/>
                <w:sz w:val="18"/>
                <w:szCs w:val="18"/>
              </w:rPr>
              <w:t>TVar90</w:t>
            </w:r>
          </w:p>
        </w:tc>
        <w:tc>
          <w:tcPr>
            <w:tcW w:w="1080" w:type="dxa"/>
            <w:shd w:val="clear" w:color="000000" w:fill="31869B"/>
            <w:vAlign w:val="center"/>
          </w:tcPr>
          <w:p w:rsidR="00A7100C" w:rsidRPr="00844B36" w:rsidRDefault="00A7100C" w:rsidP="004073CB">
            <w:pPr>
              <w:pStyle w:val="IRPsanstext"/>
              <w:spacing w:before="120" w:after="120" w:line="240" w:lineRule="auto"/>
              <w:jc w:val="center"/>
              <w:rPr>
                <w:color w:val="FFFFFF"/>
                <w:sz w:val="18"/>
                <w:szCs w:val="18"/>
              </w:rPr>
            </w:pPr>
            <w:r w:rsidRPr="00844B36">
              <w:rPr>
                <w:color w:val="FFFFFF"/>
                <w:sz w:val="18"/>
                <w:szCs w:val="18"/>
              </w:rPr>
              <w:t>Difference from Base</w:t>
            </w:r>
          </w:p>
        </w:tc>
      </w:tr>
      <w:tr w:rsidR="00A7100C" w:rsidRPr="004E5E60">
        <w:trPr>
          <w:trHeight w:val="276"/>
        </w:trPr>
        <w:tc>
          <w:tcPr>
            <w:tcW w:w="2265" w:type="dxa"/>
            <w:shd w:val="clear" w:color="auto" w:fill="auto"/>
            <w:vAlign w:val="center"/>
          </w:tcPr>
          <w:p w:rsidR="00A7100C" w:rsidRPr="00844B36" w:rsidRDefault="00A7100C" w:rsidP="004073CB">
            <w:pPr>
              <w:pStyle w:val="IRPsanstext"/>
              <w:spacing w:before="120" w:after="120" w:line="240" w:lineRule="auto"/>
              <w:rPr>
                <w:color w:val="000000"/>
                <w:sz w:val="18"/>
                <w:szCs w:val="18"/>
              </w:rPr>
            </w:pPr>
            <w:r w:rsidRPr="00844B36">
              <w:rPr>
                <w:color w:val="000000"/>
                <w:sz w:val="18"/>
                <w:szCs w:val="18"/>
              </w:rPr>
              <w:t>1 - All Frame Peaker</w:t>
            </w:r>
          </w:p>
        </w:tc>
        <w:tc>
          <w:tcPr>
            <w:tcW w:w="1260" w:type="dxa"/>
            <w:shd w:val="clear" w:color="auto" w:fill="auto"/>
            <w:vAlign w:val="bottom"/>
          </w:tcPr>
          <w:p w:rsidR="00A7100C" w:rsidRPr="00844B36" w:rsidRDefault="00A7100C" w:rsidP="004073CB">
            <w:pPr>
              <w:jc w:val="right"/>
              <w:rPr>
                <w:rFonts w:ascii="Arial" w:hAnsi="Arial" w:cs="Arial"/>
                <w:b/>
                <w:bCs/>
                <w:color w:val="000000"/>
                <w:sz w:val="18"/>
                <w:szCs w:val="18"/>
              </w:rPr>
            </w:pPr>
            <w:r w:rsidRPr="00844B36">
              <w:rPr>
                <w:rFonts w:ascii="Arial" w:hAnsi="Arial" w:cs="Arial"/>
                <w:b/>
                <w:bCs/>
                <w:color w:val="000000"/>
                <w:sz w:val="18"/>
                <w:szCs w:val="18"/>
              </w:rPr>
              <w:t xml:space="preserve">12,531 </w:t>
            </w:r>
          </w:p>
        </w:tc>
        <w:tc>
          <w:tcPr>
            <w:tcW w:w="1080" w:type="dxa"/>
            <w:shd w:val="clear" w:color="auto" w:fill="auto"/>
            <w:vAlign w:val="bottom"/>
          </w:tcPr>
          <w:p w:rsidR="00A7100C" w:rsidRPr="00844B36" w:rsidRDefault="00A7100C" w:rsidP="004073CB">
            <w:pPr>
              <w:rPr>
                <w:rFonts w:ascii="Arial" w:hAnsi="Arial" w:cs="Arial"/>
                <w:b/>
                <w:bCs/>
                <w:color w:val="000000"/>
                <w:sz w:val="18"/>
                <w:szCs w:val="18"/>
              </w:rPr>
            </w:pPr>
            <w:r w:rsidRPr="00844B36">
              <w:rPr>
                <w:rFonts w:ascii="Arial" w:hAnsi="Arial" w:cs="Arial"/>
                <w:b/>
                <w:bCs/>
                <w:color w:val="000000"/>
                <w:sz w:val="18"/>
                <w:szCs w:val="18"/>
              </w:rPr>
              <w:t> </w:t>
            </w:r>
          </w:p>
        </w:tc>
        <w:tc>
          <w:tcPr>
            <w:tcW w:w="900" w:type="dxa"/>
            <w:shd w:val="clear" w:color="auto" w:fill="auto"/>
            <w:vAlign w:val="bottom"/>
          </w:tcPr>
          <w:p w:rsidR="00A7100C" w:rsidRPr="00844B36" w:rsidRDefault="00A7100C" w:rsidP="004073CB">
            <w:pPr>
              <w:jc w:val="right"/>
              <w:rPr>
                <w:rFonts w:ascii="Arial" w:hAnsi="Arial" w:cs="Arial"/>
                <w:b/>
                <w:bCs/>
                <w:color w:val="000000"/>
                <w:sz w:val="18"/>
                <w:szCs w:val="18"/>
              </w:rPr>
            </w:pPr>
            <w:r w:rsidRPr="00844B36">
              <w:rPr>
                <w:rFonts w:ascii="Arial" w:hAnsi="Arial" w:cs="Arial"/>
                <w:b/>
                <w:bCs/>
                <w:color w:val="000000"/>
                <w:sz w:val="18"/>
                <w:szCs w:val="18"/>
              </w:rPr>
              <w:t xml:space="preserve">11,343 </w:t>
            </w:r>
          </w:p>
        </w:tc>
        <w:tc>
          <w:tcPr>
            <w:tcW w:w="1080" w:type="dxa"/>
            <w:shd w:val="clear" w:color="auto" w:fill="auto"/>
            <w:vAlign w:val="bottom"/>
          </w:tcPr>
          <w:p w:rsidR="00A7100C" w:rsidRPr="00844B36" w:rsidRDefault="00A7100C" w:rsidP="004073CB">
            <w:pPr>
              <w:rPr>
                <w:rFonts w:ascii="Arial" w:hAnsi="Arial" w:cs="Arial"/>
                <w:b/>
                <w:bCs/>
                <w:color w:val="000000"/>
                <w:sz w:val="18"/>
                <w:szCs w:val="18"/>
              </w:rPr>
            </w:pPr>
            <w:r w:rsidRPr="00844B36">
              <w:rPr>
                <w:rFonts w:ascii="Arial" w:hAnsi="Arial" w:cs="Arial"/>
                <w:b/>
                <w:bCs/>
                <w:color w:val="000000"/>
                <w:sz w:val="18"/>
                <w:szCs w:val="18"/>
              </w:rPr>
              <w:t> </w:t>
            </w:r>
          </w:p>
        </w:tc>
        <w:tc>
          <w:tcPr>
            <w:tcW w:w="900" w:type="dxa"/>
            <w:shd w:val="clear" w:color="auto" w:fill="auto"/>
            <w:vAlign w:val="bottom"/>
          </w:tcPr>
          <w:p w:rsidR="00A7100C" w:rsidRPr="00844B36" w:rsidRDefault="00A7100C" w:rsidP="004073CB">
            <w:pPr>
              <w:jc w:val="right"/>
              <w:rPr>
                <w:rFonts w:ascii="Arial" w:hAnsi="Arial" w:cs="Arial"/>
                <w:b/>
                <w:bCs/>
                <w:color w:val="000000"/>
                <w:sz w:val="18"/>
                <w:szCs w:val="18"/>
              </w:rPr>
            </w:pPr>
            <w:r w:rsidRPr="00844B36">
              <w:rPr>
                <w:rFonts w:ascii="Arial" w:hAnsi="Arial" w:cs="Arial"/>
                <w:b/>
                <w:bCs/>
                <w:color w:val="000000"/>
                <w:sz w:val="18"/>
                <w:szCs w:val="18"/>
              </w:rPr>
              <w:t xml:space="preserve">14,589 </w:t>
            </w:r>
          </w:p>
        </w:tc>
        <w:tc>
          <w:tcPr>
            <w:tcW w:w="1080" w:type="dxa"/>
            <w:shd w:val="clear" w:color="auto" w:fill="auto"/>
            <w:vAlign w:val="bottom"/>
          </w:tcPr>
          <w:p w:rsidR="00A7100C" w:rsidRPr="00844B36" w:rsidRDefault="00A7100C" w:rsidP="004073CB">
            <w:pPr>
              <w:rPr>
                <w:rFonts w:ascii="Arial" w:hAnsi="Arial" w:cs="Arial"/>
                <w:b/>
                <w:bCs/>
                <w:color w:val="000000"/>
                <w:sz w:val="18"/>
                <w:szCs w:val="18"/>
              </w:rPr>
            </w:pPr>
            <w:r w:rsidRPr="00844B36">
              <w:rPr>
                <w:rFonts w:ascii="Arial" w:hAnsi="Arial" w:cs="Arial"/>
                <w:b/>
                <w:bCs/>
                <w:color w:val="000000"/>
                <w:sz w:val="18"/>
                <w:szCs w:val="18"/>
              </w:rPr>
              <w:t> </w:t>
            </w:r>
          </w:p>
        </w:tc>
      </w:tr>
      <w:tr w:rsidR="00A7100C" w:rsidRPr="004E5E60">
        <w:trPr>
          <w:trHeight w:val="276"/>
        </w:trPr>
        <w:tc>
          <w:tcPr>
            <w:tcW w:w="2265" w:type="dxa"/>
            <w:shd w:val="clear" w:color="auto" w:fill="auto"/>
            <w:vAlign w:val="center"/>
          </w:tcPr>
          <w:p w:rsidR="00A7100C" w:rsidRPr="00844B36" w:rsidRDefault="00A7100C" w:rsidP="004073CB">
            <w:pPr>
              <w:pStyle w:val="IRPsanstext"/>
              <w:spacing w:before="120" w:after="120" w:line="240" w:lineRule="auto"/>
              <w:rPr>
                <w:color w:val="000000"/>
                <w:sz w:val="18"/>
                <w:szCs w:val="18"/>
              </w:rPr>
            </w:pPr>
            <w:r w:rsidRPr="00844B36">
              <w:rPr>
                <w:color w:val="000000"/>
                <w:sz w:val="18"/>
                <w:szCs w:val="18"/>
              </w:rPr>
              <w:t>2 - Early Recip</w:t>
            </w:r>
            <w:r w:rsidRPr="00844B36">
              <w:rPr>
                <w:rFonts w:eastAsia="Times New Roman" w:cs="Arial"/>
                <w:color w:val="000000"/>
                <w:sz w:val="18"/>
                <w:szCs w:val="18"/>
              </w:rPr>
              <w:t xml:space="preserve"> Peaker</w:t>
            </w:r>
          </w:p>
        </w:tc>
        <w:tc>
          <w:tcPr>
            <w:tcW w:w="1260" w:type="dxa"/>
            <w:shd w:val="clear" w:color="auto" w:fill="auto"/>
            <w:vAlign w:val="bottom"/>
          </w:tcPr>
          <w:p w:rsidR="00A7100C" w:rsidRPr="00844B36" w:rsidRDefault="00A7100C" w:rsidP="004073CB">
            <w:pPr>
              <w:jc w:val="right"/>
              <w:rPr>
                <w:rFonts w:ascii="Arial" w:hAnsi="Arial" w:cs="Arial"/>
                <w:color w:val="000000"/>
                <w:sz w:val="18"/>
                <w:szCs w:val="18"/>
              </w:rPr>
            </w:pPr>
            <w:r w:rsidRPr="00844B36">
              <w:rPr>
                <w:rFonts w:ascii="Arial" w:hAnsi="Arial" w:cs="Arial"/>
                <w:color w:val="000000"/>
                <w:sz w:val="18"/>
                <w:szCs w:val="18"/>
              </w:rPr>
              <w:t xml:space="preserve">12,620 </w:t>
            </w:r>
          </w:p>
        </w:tc>
        <w:tc>
          <w:tcPr>
            <w:tcW w:w="1080" w:type="dxa"/>
            <w:shd w:val="clear" w:color="auto" w:fill="auto"/>
            <w:vAlign w:val="bottom"/>
          </w:tcPr>
          <w:p w:rsidR="00A7100C" w:rsidRPr="00844B36" w:rsidRDefault="00A7100C" w:rsidP="004073CB">
            <w:pPr>
              <w:jc w:val="right"/>
              <w:rPr>
                <w:rFonts w:ascii="Arial" w:hAnsi="Arial" w:cs="Arial"/>
                <w:color w:val="000000"/>
                <w:sz w:val="18"/>
                <w:szCs w:val="18"/>
              </w:rPr>
            </w:pPr>
            <w:r w:rsidRPr="00844B36">
              <w:rPr>
                <w:rFonts w:ascii="Arial" w:hAnsi="Arial" w:cs="Arial"/>
                <w:color w:val="000000"/>
                <w:sz w:val="18"/>
                <w:szCs w:val="18"/>
              </w:rPr>
              <w:t xml:space="preserve">89 </w:t>
            </w:r>
          </w:p>
        </w:tc>
        <w:tc>
          <w:tcPr>
            <w:tcW w:w="900" w:type="dxa"/>
            <w:shd w:val="clear" w:color="auto" w:fill="auto"/>
            <w:vAlign w:val="bottom"/>
          </w:tcPr>
          <w:p w:rsidR="00A7100C" w:rsidRPr="00844B36" w:rsidRDefault="00A7100C" w:rsidP="004073CB">
            <w:pPr>
              <w:jc w:val="right"/>
              <w:rPr>
                <w:rFonts w:ascii="Arial" w:hAnsi="Arial" w:cs="Arial"/>
                <w:color w:val="000000"/>
                <w:sz w:val="18"/>
                <w:szCs w:val="18"/>
              </w:rPr>
            </w:pPr>
            <w:r w:rsidRPr="00844B36">
              <w:rPr>
                <w:rFonts w:ascii="Arial" w:hAnsi="Arial" w:cs="Arial"/>
                <w:color w:val="000000"/>
                <w:sz w:val="18"/>
                <w:szCs w:val="18"/>
              </w:rPr>
              <w:t xml:space="preserve">11,782 </w:t>
            </w:r>
          </w:p>
        </w:tc>
        <w:tc>
          <w:tcPr>
            <w:tcW w:w="1080" w:type="dxa"/>
            <w:shd w:val="clear" w:color="auto" w:fill="auto"/>
            <w:vAlign w:val="bottom"/>
          </w:tcPr>
          <w:p w:rsidR="00A7100C" w:rsidRPr="00844B36" w:rsidRDefault="00A7100C" w:rsidP="004073CB">
            <w:pPr>
              <w:jc w:val="right"/>
              <w:rPr>
                <w:rFonts w:ascii="Arial" w:hAnsi="Arial" w:cs="Arial"/>
                <w:color w:val="000000"/>
                <w:sz w:val="18"/>
                <w:szCs w:val="18"/>
              </w:rPr>
            </w:pPr>
            <w:r w:rsidRPr="00844B36">
              <w:rPr>
                <w:rFonts w:ascii="Arial" w:hAnsi="Arial" w:cs="Arial"/>
                <w:color w:val="000000"/>
                <w:sz w:val="18"/>
                <w:szCs w:val="18"/>
              </w:rPr>
              <w:t xml:space="preserve">439 </w:t>
            </w:r>
          </w:p>
        </w:tc>
        <w:tc>
          <w:tcPr>
            <w:tcW w:w="900" w:type="dxa"/>
            <w:shd w:val="clear" w:color="auto" w:fill="auto"/>
            <w:vAlign w:val="bottom"/>
          </w:tcPr>
          <w:p w:rsidR="00A7100C" w:rsidRPr="00844B36" w:rsidRDefault="00A7100C" w:rsidP="004073CB">
            <w:pPr>
              <w:jc w:val="right"/>
              <w:rPr>
                <w:rFonts w:ascii="Arial" w:hAnsi="Arial" w:cs="Arial"/>
                <w:color w:val="000000"/>
                <w:sz w:val="18"/>
                <w:szCs w:val="18"/>
              </w:rPr>
            </w:pPr>
            <w:r w:rsidRPr="00844B36">
              <w:rPr>
                <w:rFonts w:ascii="Arial" w:hAnsi="Arial" w:cs="Arial"/>
                <w:color w:val="000000"/>
                <w:sz w:val="18"/>
                <w:szCs w:val="18"/>
              </w:rPr>
              <w:t xml:space="preserve">15,014 </w:t>
            </w:r>
          </w:p>
        </w:tc>
        <w:tc>
          <w:tcPr>
            <w:tcW w:w="1080" w:type="dxa"/>
            <w:shd w:val="clear" w:color="auto" w:fill="auto"/>
            <w:vAlign w:val="bottom"/>
          </w:tcPr>
          <w:p w:rsidR="00A7100C" w:rsidRPr="00844B36" w:rsidRDefault="00A7100C" w:rsidP="004073CB">
            <w:pPr>
              <w:jc w:val="right"/>
              <w:rPr>
                <w:rFonts w:ascii="Arial" w:hAnsi="Arial" w:cs="Arial"/>
                <w:color w:val="000000"/>
                <w:sz w:val="18"/>
                <w:szCs w:val="18"/>
              </w:rPr>
            </w:pPr>
            <w:r w:rsidRPr="00844B36">
              <w:rPr>
                <w:rFonts w:ascii="Arial" w:hAnsi="Arial" w:cs="Arial"/>
                <w:color w:val="000000"/>
                <w:sz w:val="18"/>
                <w:szCs w:val="18"/>
              </w:rPr>
              <w:t xml:space="preserve">426 </w:t>
            </w:r>
          </w:p>
        </w:tc>
      </w:tr>
      <w:tr w:rsidR="00A7100C" w:rsidRPr="004E5E60">
        <w:trPr>
          <w:trHeight w:val="276"/>
        </w:trPr>
        <w:tc>
          <w:tcPr>
            <w:tcW w:w="2265" w:type="dxa"/>
            <w:shd w:val="clear" w:color="auto" w:fill="auto"/>
            <w:vAlign w:val="center"/>
          </w:tcPr>
          <w:p w:rsidR="00A7100C" w:rsidRPr="00844B36" w:rsidRDefault="00A7100C" w:rsidP="004073CB">
            <w:pPr>
              <w:pStyle w:val="IRPsanstext"/>
              <w:spacing w:before="120" w:after="120" w:line="240" w:lineRule="auto"/>
              <w:rPr>
                <w:color w:val="000000"/>
                <w:sz w:val="18"/>
                <w:szCs w:val="18"/>
              </w:rPr>
            </w:pPr>
            <w:r w:rsidRPr="00844B36">
              <w:rPr>
                <w:color w:val="000000"/>
                <w:sz w:val="18"/>
                <w:szCs w:val="18"/>
              </w:rPr>
              <w:t>3 - Early CCCT/Thermal Mix</w:t>
            </w:r>
          </w:p>
        </w:tc>
        <w:tc>
          <w:tcPr>
            <w:tcW w:w="1260" w:type="dxa"/>
            <w:shd w:val="clear" w:color="auto" w:fill="auto"/>
            <w:vAlign w:val="bottom"/>
          </w:tcPr>
          <w:p w:rsidR="00A7100C" w:rsidRPr="00844B36" w:rsidRDefault="00A7100C" w:rsidP="004073CB">
            <w:pPr>
              <w:jc w:val="right"/>
              <w:rPr>
                <w:rFonts w:ascii="Arial" w:hAnsi="Arial" w:cs="Arial"/>
                <w:color w:val="000000"/>
                <w:sz w:val="18"/>
                <w:szCs w:val="18"/>
              </w:rPr>
            </w:pPr>
            <w:r w:rsidRPr="00844B36">
              <w:rPr>
                <w:rFonts w:ascii="Arial" w:hAnsi="Arial" w:cs="Arial"/>
                <w:color w:val="000000"/>
                <w:sz w:val="18"/>
                <w:szCs w:val="18"/>
              </w:rPr>
              <w:t xml:space="preserve">12,729 </w:t>
            </w:r>
          </w:p>
        </w:tc>
        <w:tc>
          <w:tcPr>
            <w:tcW w:w="1080" w:type="dxa"/>
            <w:shd w:val="clear" w:color="auto" w:fill="auto"/>
            <w:vAlign w:val="bottom"/>
          </w:tcPr>
          <w:p w:rsidR="00A7100C" w:rsidRPr="00844B36" w:rsidRDefault="00A7100C" w:rsidP="004073CB">
            <w:pPr>
              <w:jc w:val="right"/>
              <w:rPr>
                <w:rFonts w:ascii="Arial" w:hAnsi="Arial" w:cs="Arial"/>
                <w:color w:val="000000"/>
                <w:sz w:val="18"/>
                <w:szCs w:val="18"/>
              </w:rPr>
            </w:pPr>
            <w:r w:rsidRPr="00844B36">
              <w:rPr>
                <w:rFonts w:ascii="Arial" w:hAnsi="Arial" w:cs="Arial"/>
                <w:color w:val="000000"/>
                <w:sz w:val="18"/>
                <w:szCs w:val="18"/>
              </w:rPr>
              <w:t xml:space="preserve">198 </w:t>
            </w:r>
          </w:p>
        </w:tc>
        <w:tc>
          <w:tcPr>
            <w:tcW w:w="900" w:type="dxa"/>
            <w:shd w:val="clear" w:color="auto" w:fill="auto"/>
            <w:vAlign w:val="bottom"/>
          </w:tcPr>
          <w:p w:rsidR="00A7100C" w:rsidRPr="00844B36" w:rsidRDefault="00A7100C" w:rsidP="004073CB">
            <w:pPr>
              <w:jc w:val="right"/>
              <w:rPr>
                <w:rFonts w:ascii="Arial" w:hAnsi="Arial" w:cs="Arial"/>
                <w:color w:val="000000"/>
                <w:sz w:val="18"/>
                <w:szCs w:val="18"/>
              </w:rPr>
            </w:pPr>
            <w:r w:rsidRPr="00844B36">
              <w:rPr>
                <w:rFonts w:ascii="Arial" w:hAnsi="Arial" w:cs="Arial"/>
                <w:color w:val="000000"/>
                <w:sz w:val="18"/>
                <w:szCs w:val="18"/>
              </w:rPr>
              <w:t xml:space="preserve">11,392 </w:t>
            </w:r>
          </w:p>
        </w:tc>
        <w:tc>
          <w:tcPr>
            <w:tcW w:w="1080" w:type="dxa"/>
            <w:shd w:val="clear" w:color="auto" w:fill="auto"/>
            <w:vAlign w:val="bottom"/>
          </w:tcPr>
          <w:p w:rsidR="00A7100C" w:rsidRPr="00844B36" w:rsidRDefault="00A7100C" w:rsidP="004073CB">
            <w:pPr>
              <w:jc w:val="right"/>
              <w:rPr>
                <w:rFonts w:ascii="Arial" w:hAnsi="Arial" w:cs="Arial"/>
                <w:color w:val="000000"/>
                <w:sz w:val="18"/>
                <w:szCs w:val="18"/>
              </w:rPr>
            </w:pPr>
            <w:r w:rsidRPr="00844B36">
              <w:rPr>
                <w:rFonts w:ascii="Arial" w:hAnsi="Arial" w:cs="Arial"/>
                <w:color w:val="000000"/>
                <w:sz w:val="18"/>
                <w:szCs w:val="18"/>
              </w:rPr>
              <w:t xml:space="preserve">49 </w:t>
            </w:r>
          </w:p>
        </w:tc>
        <w:tc>
          <w:tcPr>
            <w:tcW w:w="900" w:type="dxa"/>
            <w:shd w:val="clear" w:color="auto" w:fill="auto"/>
            <w:vAlign w:val="bottom"/>
          </w:tcPr>
          <w:p w:rsidR="00A7100C" w:rsidRPr="00844B36" w:rsidRDefault="00A7100C" w:rsidP="004073CB">
            <w:pPr>
              <w:jc w:val="right"/>
              <w:rPr>
                <w:rFonts w:ascii="Arial" w:hAnsi="Arial" w:cs="Arial"/>
                <w:color w:val="000000"/>
                <w:sz w:val="18"/>
                <w:szCs w:val="18"/>
              </w:rPr>
            </w:pPr>
            <w:r w:rsidRPr="00844B36">
              <w:rPr>
                <w:rFonts w:ascii="Arial" w:hAnsi="Arial" w:cs="Arial"/>
                <w:color w:val="000000"/>
                <w:sz w:val="18"/>
                <w:szCs w:val="18"/>
              </w:rPr>
              <w:t xml:space="preserve">14,412 </w:t>
            </w:r>
          </w:p>
        </w:tc>
        <w:tc>
          <w:tcPr>
            <w:tcW w:w="1080" w:type="dxa"/>
            <w:shd w:val="clear" w:color="auto" w:fill="auto"/>
            <w:vAlign w:val="bottom"/>
          </w:tcPr>
          <w:p w:rsidR="00A7100C" w:rsidRPr="00844B36" w:rsidRDefault="00A7100C" w:rsidP="004073CB">
            <w:pPr>
              <w:jc w:val="right"/>
              <w:rPr>
                <w:rFonts w:ascii="Arial" w:hAnsi="Arial" w:cs="Arial"/>
                <w:color w:val="000000"/>
                <w:sz w:val="18"/>
                <w:szCs w:val="18"/>
              </w:rPr>
            </w:pPr>
            <w:r w:rsidRPr="00844B36">
              <w:rPr>
                <w:rFonts w:ascii="Arial" w:hAnsi="Arial" w:cs="Arial"/>
                <w:color w:val="FF0000"/>
                <w:sz w:val="18"/>
                <w:szCs w:val="18"/>
              </w:rPr>
              <w:t>(177)</w:t>
            </w:r>
          </w:p>
        </w:tc>
      </w:tr>
      <w:tr w:rsidR="00A7100C" w:rsidRPr="004E5E60">
        <w:trPr>
          <w:trHeight w:val="276"/>
        </w:trPr>
        <w:tc>
          <w:tcPr>
            <w:tcW w:w="2265" w:type="dxa"/>
            <w:shd w:val="clear" w:color="auto" w:fill="auto"/>
            <w:vAlign w:val="center"/>
          </w:tcPr>
          <w:p w:rsidR="00A7100C" w:rsidRPr="00844B36" w:rsidRDefault="00A7100C" w:rsidP="004073CB">
            <w:pPr>
              <w:pStyle w:val="IRPsanstext"/>
              <w:spacing w:before="120" w:after="120" w:line="240" w:lineRule="auto"/>
              <w:rPr>
                <w:color w:val="000000"/>
                <w:sz w:val="18"/>
                <w:szCs w:val="18"/>
              </w:rPr>
            </w:pPr>
            <w:r w:rsidRPr="00844B36">
              <w:rPr>
                <w:color w:val="000000"/>
                <w:sz w:val="18"/>
                <w:szCs w:val="18"/>
              </w:rPr>
              <w:t>4 - All CCCT</w:t>
            </w:r>
          </w:p>
        </w:tc>
        <w:tc>
          <w:tcPr>
            <w:tcW w:w="1260" w:type="dxa"/>
            <w:shd w:val="clear" w:color="auto" w:fill="auto"/>
            <w:vAlign w:val="bottom"/>
          </w:tcPr>
          <w:p w:rsidR="00A7100C" w:rsidRPr="00844B36" w:rsidRDefault="00A7100C" w:rsidP="004073CB">
            <w:pPr>
              <w:jc w:val="right"/>
              <w:rPr>
                <w:rFonts w:ascii="Arial" w:hAnsi="Arial" w:cs="Arial"/>
                <w:color w:val="000000"/>
                <w:sz w:val="18"/>
                <w:szCs w:val="18"/>
              </w:rPr>
            </w:pPr>
            <w:r w:rsidRPr="00844B36">
              <w:rPr>
                <w:rFonts w:ascii="Arial" w:hAnsi="Arial" w:cs="Arial"/>
                <w:color w:val="000000"/>
                <w:sz w:val="18"/>
                <w:szCs w:val="18"/>
              </w:rPr>
              <w:t xml:space="preserve">12,761 </w:t>
            </w:r>
          </w:p>
        </w:tc>
        <w:tc>
          <w:tcPr>
            <w:tcW w:w="1080" w:type="dxa"/>
            <w:shd w:val="clear" w:color="auto" w:fill="auto"/>
            <w:vAlign w:val="bottom"/>
          </w:tcPr>
          <w:p w:rsidR="00A7100C" w:rsidRPr="00844B36" w:rsidRDefault="00A7100C" w:rsidP="004073CB">
            <w:pPr>
              <w:jc w:val="right"/>
              <w:rPr>
                <w:rFonts w:ascii="Arial" w:hAnsi="Arial" w:cs="Arial"/>
                <w:color w:val="000000"/>
                <w:sz w:val="18"/>
                <w:szCs w:val="18"/>
              </w:rPr>
            </w:pPr>
            <w:r w:rsidRPr="00844B36">
              <w:rPr>
                <w:rFonts w:ascii="Arial" w:hAnsi="Arial" w:cs="Arial"/>
                <w:color w:val="000000"/>
                <w:sz w:val="18"/>
                <w:szCs w:val="18"/>
              </w:rPr>
              <w:t xml:space="preserve">230 </w:t>
            </w:r>
          </w:p>
        </w:tc>
        <w:tc>
          <w:tcPr>
            <w:tcW w:w="900" w:type="dxa"/>
            <w:shd w:val="clear" w:color="auto" w:fill="auto"/>
            <w:vAlign w:val="bottom"/>
          </w:tcPr>
          <w:p w:rsidR="00A7100C" w:rsidRPr="00844B36" w:rsidRDefault="00A7100C" w:rsidP="004073CB">
            <w:pPr>
              <w:jc w:val="right"/>
              <w:rPr>
                <w:rFonts w:ascii="Arial" w:hAnsi="Arial" w:cs="Arial"/>
                <w:color w:val="000000"/>
                <w:sz w:val="18"/>
                <w:szCs w:val="18"/>
              </w:rPr>
            </w:pPr>
            <w:r w:rsidRPr="00844B36">
              <w:rPr>
                <w:rFonts w:ascii="Arial" w:hAnsi="Arial" w:cs="Arial"/>
                <w:color w:val="000000"/>
                <w:sz w:val="18"/>
                <w:szCs w:val="18"/>
              </w:rPr>
              <w:t xml:space="preserve">10,993 </w:t>
            </w:r>
          </w:p>
        </w:tc>
        <w:tc>
          <w:tcPr>
            <w:tcW w:w="1080" w:type="dxa"/>
            <w:shd w:val="clear" w:color="auto" w:fill="auto"/>
            <w:vAlign w:val="bottom"/>
          </w:tcPr>
          <w:p w:rsidR="00A7100C" w:rsidRPr="00844B36" w:rsidRDefault="00A7100C" w:rsidP="004073CB">
            <w:pPr>
              <w:jc w:val="right"/>
              <w:rPr>
                <w:rFonts w:ascii="Arial" w:hAnsi="Arial" w:cs="Arial"/>
                <w:color w:val="000000"/>
                <w:sz w:val="18"/>
                <w:szCs w:val="18"/>
              </w:rPr>
            </w:pPr>
            <w:r w:rsidRPr="00844B36">
              <w:rPr>
                <w:rFonts w:ascii="Arial" w:hAnsi="Arial" w:cs="Arial"/>
                <w:color w:val="FF0000"/>
                <w:sz w:val="18"/>
                <w:szCs w:val="18"/>
              </w:rPr>
              <w:t>(350)</w:t>
            </w:r>
          </w:p>
        </w:tc>
        <w:tc>
          <w:tcPr>
            <w:tcW w:w="900" w:type="dxa"/>
            <w:shd w:val="clear" w:color="auto" w:fill="auto"/>
            <w:vAlign w:val="bottom"/>
          </w:tcPr>
          <w:p w:rsidR="00A7100C" w:rsidRPr="00844B36" w:rsidRDefault="00A7100C" w:rsidP="004073CB">
            <w:pPr>
              <w:jc w:val="right"/>
              <w:rPr>
                <w:rFonts w:ascii="Arial" w:hAnsi="Arial" w:cs="Arial"/>
                <w:color w:val="000000"/>
                <w:sz w:val="18"/>
                <w:szCs w:val="18"/>
              </w:rPr>
            </w:pPr>
            <w:r w:rsidRPr="00844B36">
              <w:rPr>
                <w:rFonts w:ascii="Arial" w:hAnsi="Arial" w:cs="Arial"/>
                <w:color w:val="000000"/>
                <w:sz w:val="18"/>
                <w:szCs w:val="18"/>
              </w:rPr>
              <w:t xml:space="preserve">13,856 </w:t>
            </w:r>
          </w:p>
        </w:tc>
        <w:tc>
          <w:tcPr>
            <w:tcW w:w="1080" w:type="dxa"/>
            <w:shd w:val="clear" w:color="auto" w:fill="auto"/>
            <w:vAlign w:val="bottom"/>
          </w:tcPr>
          <w:p w:rsidR="00A7100C" w:rsidRPr="00844B36" w:rsidRDefault="00A7100C" w:rsidP="004073CB">
            <w:pPr>
              <w:jc w:val="right"/>
              <w:rPr>
                <w:rFonts w:ascii="Arial" w:hAnsi="Arial" w:cs="Arial"/>
                <w:color w:val="000000"/>
                <w:sz w:val="18"/>
                <w:szCs w:val="18"/>
              </w:rPr>
            </w:pPr>
            <w:r w:rsidRPr="00844B36">
              <w:rPr>
                <w:rFonts w:ascii="Arial" w:hAnsi="Arial" w:cs="Arial"/>
                <w:color w:val="FF0000"/>
                <w:sz w:val="18"/>
                <w:szCs w:val="18"/>
              </w:rPr>
              <w:t>(733)</w:t>
            </w:r>
          </w:p>
        </w:tc>
      </w:tr>
      <w:tr w:rsidR="00A7100C" w:rsidRPr="004E5E60">
        <w:trPr>
          <w:trHeight w:val="276"/>
        </w:trPr>
        <w:tc>
          <w:tcPr>
            <w:tcW w:w="2265" w:type="dxa"/>
            <w:shd w:val="clear" w:color="auto" w:fill="auto"/>
            <w:vAlign w:val="center"/>
          </w:tcPr>
          <w:p w:rsidR="00A7100C" w:rsidRPr="00844B36" w:rsidRDefault="00A7100C" w:rsidP="004073CB">
            <w:pPr>
              <w:pStyle w:val="IRPsanstext"/>
              <w:spacing w:before="120" w:after="120" w:line="240" w:lineRule="auto"/>
              <w:rPr>
                <w:color w:val="000000"/>
                <w:sz w:val="18"/>
                <w:szCs w:val="18"/>
              </w:rPr>
            </w:pPr>
            <w:r w:rsidRPr="00844B36">
              <w:rPr>
                <w:color w:val="000000"/>
                <w:sz w:val="18"/>
                <w:szCs w:val="18"/>
              </w:rPr>
              <w:t>5 - Mix CCCT &amp; Frame Peaker</w:t>
            </w:r>
          </w:p>
        </w:tc>
        <w:tc>
          <w:tcPr>
            <w:tcW w:w="1260" w:type="dxa"/>
            <w:shd w:val="clear" w:color="auto" w:fill="auto"/>
            <w:vAlign w:val="bottom"/>
          </w:tcPr>
          <w:p w:rsidR="00A7100C" w:rsidRPr="00844B36" w:rsidRDefault="00A7100C" w:rsidP="004073CB">
            <w:pPr>
              <w:jc w:val="right"/>
              <w:rPr>
                <w:rFonts w:ascii="Arial" w:hAnsi="Arial" w:cs="Arial"/>
                <w:color w:val="000000"/>
                <w:sz w:val="18"/>
                <w:szCs w:val="18"/>
              </w:rPr>
            </w:pPr>
            <w:r w:rsidRPr="00844B36">
              <w:rPr>
                <w:rFonts w:ascii="Arial" w:hAnsi="Arial" w:cs="Arial"/>
                <w:color w:val="000000"/>
                <w:sz w:val="18"/>
                <w:szCs w:val="18"/>
              </w:rPr>
              <w:t xml:space="preserve">12,627 </w:t>
            </w:r>
          </w:p>
        </w:tc>
        <w:tc>
          <w:tcPr>
            <w:tcW w:w="1080" w:type="dxa"/>
            <w:shd w:val="clear" w:color="auto" w:fill="auto"/>
            <w:vAlign w:val="bottom"/>
          </w:tcPr>
          <w:p w:rsidR="00A7100C" w:rsidRPr="00844B36" w:rsidRDefault="00A7100C" w:rsidP="004073CB">
            <w:pPr>
              <w:jc w:val="right"/>
              <w:rPr>
                <w:rFonts w:ascii="Arial" w:hAnsi="Arial" w:cs="Arial"/>
                <w:color w:val="000000"/>
                <w:sz w:val="18"/>
                <w:szCs w:val="18"/>
              </w:rPr>
            </w:pPr>
            <w:r w:rsidRPr="00844B36">
              <w:rPr>
                <w:rFonts w:ascii="Arial" w:hAnsi="Arial" w:cs="Arial"/>
                <w:color w:val="000000"/>
                <w:sz w:val="18"/>
                <w:szCs w:val="18"/>
              </w:rPr>
              <w:t xml:space="preserve">96 </w:t>
            </w:r>
          </w:p>
        </w:tc>
        <w:tc>
          <w:tcPr>
            <w:tcW w:w="900" w:type="dxa"/>
            <w:shd w:val="clear" w:color="auto" w:fill="auto"/>
            <w:vAlign w:val="bottom"/>
          </w:tcPr>
          <w:p w:rsidR="00A7100C" w:rsidRPr="00844B36" w:rsidRDefault="00A7100C" w:rsidP="004073CB">
            <w:pPr>
              <w:jc w:val="right"/>
              <w:rPr>
                <w:rFonts w:ascii="Arial" w:hAnsi="Arial" w:cs="Arial"/>
                <w:color w:val="000000"/>
                <w:sz w:val="18"/>
                <w:szCs w:val="18"/>
              </w:rPr>
            </w:pPr>
            <w:r w:rsidRPr="00844B36">
              <w:rPr>
                <w:rFonts w:ascii="Arial" w:hAnsi="Arial" w:cs="Arial"/>
                <w:color w:val="000000"/>
                <w:sz w:val="18"/>
                <w:szCs w:val="18"/>
              </w:rPr>
              <w:t xml:space="preserve">11,138 </w:t>
            </w:r>
          </w:p>
        </w:tc>
        <w:tc>
          <w:tcPr>
            <w:tcW w:w="1080" w:type="dxa"/>
            <w:shd w:val="clear" w:color="auto" w:fill="auto"/>
            <w:vAlign w:val="bottom"/>
          </w:tcPr>
          <w:p w:rsidR="00A7100C" w:rsidRPr="00844B36" w:rsidRDefault="00A7100C" w:rsidP="004073CB">
            <w:pPr>
              <w:jc w:val="right"/>
              <w:rPr>
                <w:rFonts w:ascii="Arial" w:hAnsi="Arial" w:cs="Arial"/>
                <w:color w:val="000000"/>
                <w:sz w:val="18"/>
                <w:szCs w:val="18"/>
              </w:rPr>
            </w:pPr>
            <w:r w:rsidRPr="00844B36">
              <w:rPr>
                <w:rFonts w:ascii="Arial" w:hAnsi="Arial" w:cs="Arial"/>
                <w:color w:val="FF0000"/>
                <w:sz w:val="18"/>
                <w:szCs w:val="18"/>
              </w:rPr>
              <w:t>(205)</w:t>
            </w:r>
          </w:p>
        </w:tc>
        <w:tc>
          <w:tcPr>
            <w:tcW w:w="900" w:type="dxa"/>
            <w:shd w:val="clear" w:color="auto" w:fill="auto"/>
            <w:vAlign w:val="bottom"/>
          </w:tcPr>
          <w:p w:rsidR="00A7100C" w:rsidRPr="00844B36" w:rsidRDefault="00A7100C" w:rsidP="004073CB">
            <w:pPr>
              <w:jc w:val="right"/>
              <w:rPr>
                <w:rFonts w:ascii="Arial" w:hAnsi="Arial" w:cs="Arial"/>
                <w:color w:val="000000"/>
                <w:sz w:val="18"/>
                <w:szCs w:val="18"/>
              </w:rPr>
            </w:pPr>
            <w:r w:rsidRPr="00844B36">
              <w:rPr>
                <w:rFonts w:ascii="Arial" w:hAnsi="Arial" w:cs="Arial"/>
                <w:color w:val="000000"/>
                <w:sz w:val="18"/>
                <w:szCs w:val="18"/>
              </w:rPr>
              <w:t xml:space="preserve">14,147 </w:t>
            </w:r>
          </w:p>
        </w:tc>
        <w:tc>
          <w:tcPr>
            <w:tcW w:w="1080" w:type="dxa"/>
            <w:shd w:val="clear" w:color="auto" w:fill="auto"/>
            <w:vAlign w:val="bottom"/>
          </w:tcPr>
          <w:p w:rsidR="00A7100C" w:rsidRPr="00844B36" w:rsidRDefault="00A7100C" w:rsidP="004073CB">
            <w:pPr>
              <w:jc w:val="right"/>
              <w:rPr>
                <w:rFonts w:ascii="Arial" w:hAnsi="Arial" w:cs="Arial"/>
                <w:color w:val="000000"/>
                <w:sz w:val="18"/>
                <w:szCs w:val="18"/>
              </w:rPr>
            </w:pPr>
            <w:r w:rsidRPr="00844B36">
              <w:rPr>
                <w:rFonts w:ascii="Arial" w:hAnsi="Arial" w:cs="Arial"/>
                <w:color w:val="FF0000"/>
                <w:sz w:val="18"/>
                <w:szCs w:val="18"/>
              </w:rPr>
              <w:t>(442)</w:t>
            </w:r>
          </w:p>
        </w:tc>
      </w:tr>
    </w:tbl>
    <w:p w:rsidR="00A7100C" w:rsidRDefault="00A7100C" w:rsidP="00A7100C">
      <w:pPr>
        <w:rPr>
          <w:b/>
          <w:sz w:val="28"/>
        </w:rPr>
      </w:pPr>
    </w:p>
    <w:p w:rsidR="00844B36" w:rsidRDefault="00844B36" w:rsidP="00A7100C">
      <w:pPr>
        <w:pStyle w:val="IRPsanstext"/>
        <w:rPr>
          <w:b/>
          <w:color w:val="156570"/>
          <w:sz w:val="28"/>
          <w:szCs w:val="28"/>
        </w:rPr>
      </w:pPr>
    </w:p>
    <w:p w:rsidR="00A7100C" w:rsidRDefault="00A7100C" w:rsidP="00A7100C">
      <w:pPr>
        <w:pStyle w:val="IRPsanstext"/>
        <w:rPr>
          <w:b/>
          <w:szCs w:val="22"/>
        </w:rPr>
      </w:pPr>
      <w:r w:rsidRPr="00844B36">
        <w:rPr>
          <w:b/>
          <w:color w:val="156570"/>
          <w:sz w:val="28"/>
          <w:szCs w:val="28"/>
        </w:rPr>
        <w:t>Why Include Frame Peakers in Resource Plan?</w:t>
      </w:r>
      <w:r w:rsidRPr="00DD368B">
        <w:rPr>
          <w:b/>
          <w:szCs w:val="22"/>
        </w:rPr>
        <w:t xml:space="preserve"> </w:t>
      </w:r>
      <w:r w:rsidRPr="00DD368B">
        <w:t>There were two compelling reasons for adding</w:t>
      </w:r>
      <w:r>
        <w:t xml:space="preserve"> </w:t>
      </w:r>
      <w:r w:rsidRPr="00DD368B">
        <w:t xml:space="preserve">frame peakers to the resource plan, one quantitative, the other qualitative.  </w:t>
      </w:r>
      <w:r>
        <w:t>Q</w:t>
      </w:r>
      <w:r w:rsidRPr="00DD368B">
        <w:t xml:space="preserve">ualitative concerns </w:t>
      </w:r>
      <w:r>
        <w:t xml:space="preserve">relate to </w:t>
      </w:r>
      <w:r w:rsidRPr="00DD368B">
        <w:t xml:space="preserve">the impact of technology changes, especially with respect to reciprocating engines, and energy policy uncertainty.  </w:t>
      </w:r>
    </w:p>
    <w:p w:rsidR="00A7100C" w:rsidRDefault="00A7100C" w:rsidP="00A7100C">
      <w:pPr>
        <w:pStyle w:val="IRPsanstext"/>
      </w:pPr>
    </w:p>
    <w:p w:rsidR="00844B36" w:rsidRDefault="00844B36">
      <w:pPr>
        <w:rPr>
          <w:rFonts w:ascii="Arial" w:hAnsi="Arial"/>
          <w:sz w:val="20"/>
          <w:szCs w:val="20"/>
        </w:rPr>
      </w:pPr>
      <w:r>
        <w:br w:type="page"/>
      </w:r>
    </w:p>
    <w:p w:rsidR="00A7100C" w:rsidRPr="00897829" w:rsidRDefault="00A7100C" w:rsidP="00A7100C">
      <w:pPr>
        <w:pStyle w:val="IRPsanstext"/>
      </w:pPr>
      <w:r>
        <w:lastRenderedPageBreak/>
        <w:t>Quantitatively, analysis demonstrated that the net cost for frame peakers was lower than CCCTs if firm pipeline capacity is not needed, and since we are confident that at least one or two additional frame CTs could be sited and permitted with backup fuel and adequate air permits, the resource plan should reflect addition of these resources.</w:t>
      </w:r>
      <w:r>
        <w:rPr>
          <w:rStyle w:val="FootnoteReference"/>
        </w:rPr>
        <w:footnoteReference w:id="7"/>
      </w:r>
      <w:r>
        <w:t xml:space="preserve">  Figure 2-8, below, compares the distribution of net generation costs</w:t>
      </w:r>
      <w:r>
        <w:rPr>
          <w:rStyle w:val="FootnoteReference"/>
        </w:rPr>
        <w:footnoteReference w:id="8"/>
      </w:r>
      <w:r>
        <w:t xml:space="preserve"> of CCCT plants with three sets of assumptions for frame CTs.  The middle distribution that resembles a spike represents the frame peakers with firm pipeline capacity to cover 12 run-hours (50% firm pipeline).  The CCCT distribution is much more spread out, and its mean is clearly to the left of the frame peaker distribution.  This shows that if sizing were irrelevant, CCCT would be lower cost, consistent with the results for candidate strategies 4 and 5.  However, when firm pipeline capacity is not needed, the net cost for frame peakers shifts significantly to the left and is clearly less than the expected value for CCCT.  </w:t>
      </w:r>
    </w:p>
    <w:p w:rsidR="00A7100C" w:rsidRDefault="00A7100C" w:rsidP="00A7100C">
      <w:pPr>
        <w:pStyle w:val="IRPsanstext"/>
      </w:pPr>
    </w:p>
    <w:p w:rsidR="008249EB" w:rsidRDefault="00A7100C" w:rsidP="00A7100C">
      <w:pPr>
        <w:pStyle w:val="IRPsanstext"/>
        <w:jc w:val="center"/>
        <w:rPr>
          <w:i/>
        </w:rPr>
      </w:pPr>
      <w:r w:rsidRPr="003F1B89">
        <w:rPr>
          <w:i/>
          <w:noProof/>
          <w:lang w:eastAsia="en-US"/>
        </w:rPr>
        <w:drawing>
          <wp:anchor distT="0" distB="0" distL="114300" distR="114300" simplePos="0" relativeHeight="251665408" behindDoc="0" locked="0" layoutInCell="1" allowOverlap="1">
            <wp:simplePos x="0" y="0"/>
            <wp:positionH relativeFrom="column">
              <wp:posOffset>51435</wp:posOffset>
            </wp:positionH>
            <wp:positionV relativeFrom="paragraph">
              <wp:posOffset>727710</wp:posOffset>
            </wp:positionV>
            <wp:extent cx="5367655" cy="3886200"/>
            <wp:effectExtent l="2540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67655" cy="3886200"/>
                    </a:xfrm>
                    <a:prstGeom prst="rect">
                      <a:avLst/>
                    </a:prstGeom>
                    <a:noFill/>
                    <a:ln>
                      <a:noFill/>
                    </a:ln>
                  </pic:spPr>
                </pic:pic>
              </a:graphicData>
            </a:graphic>
          </wp:anchor>
        </w:drawing>
      </w:r>
      <w:r w:rsidRPr="003F1B89">
        <w:rPr>
          <w:i/>
        </w:rPr>
        <w:t xml:space="preserve">Figure 2-9: </w:t>
      </w:r>
      <w:r w:rsidR="008249EB">
        <w:rPr>
          <w:i/>
        </w:rPr>
        <w:t xml:space="preserve">CCCT and Peakers with Oil Backup, </w:t>
      </w:r>
    </w:p>
    <w:p w:rsidR="008249EB" w:rsidRDefault="008249EB" w:rsidP="00A7100C">
      <w:pPr>
        <w:pStyle w:val="IRPsanstext"/>
        <w:jc w:val="center"/>
        <w:rPr>
          <w:i/>
        </w:rPr>
      </w:pPr>
      <w:r>
        <w:rPr>
          <w:i/>
        </w:rPr>
        <w:t xml:space="preserve">Comparison of Net Cost Distribution in the Base Scenario </w:t>
      </w:r>
    </w:p>
    <w:p w:rsidR="00927EA3" w:rsidRDefault="008249EB" w:rsidP="00927EA3">
      <w:pPr>
        <w:pStyle w:val="IRPsanstext"/>
        <w:jc w:val="center"/>
        <w:rPr>
          <w:i/>
        </w:rPr>
      </w:pPr>
      <w:r>
        <w:rPr>
          <w:i/>
        </w:rPr>
        <w:t>(</w:t>
      </w:r>
      <w:proofErr w:type="gramStart"/>
      <w:r>
        <w:rPr>
          <w:i/>
        </w:rPr>
        <w:t>in</w:t>
      </w:r>
      <w:proofErr w:type="gramEnd"/>
      <w:r>
        <w:rPr>
          <w:i/>
        </w:rPr>
        <w:t xml:space="preserve"> 2016 dollars per kW) </w:t>
      </w:r>
    </w:p>
    <w:p w:rsidR="00A7100C" w:rsidRPr="00927EA3" w:rsidRDefault="00927EA3" w:rsidP="00927EA3">
      <w:pPr>
        <w:rPr>
          <w:rFonts w:ascii="Arial" w:hAnsi="Arial"/>
          <w:i/>
          <w:sz w:val="20"/>
          <w:szCs w:val="20"/>
        </w:rPr>
      </w:pPr>
      <w:r>
        <w:rPr>
          <w:i/>
        </w:rPr>
        <w:br w:type="page"/>
      </w:r>
    </w:p>
    <w:p w:rsidR="00A7100C" w:rsidRPr="00844B36" w:rsidRDefault="00A7100C" w:rsidP="00A7100C">
      <w:pPr>
        <w:pStyle w:val="IRPtitle"/>
        <w:rPr>
          <w:rFonts w:ascii="Arial" w:hAnsi="Arial"/>
          <w:sz w:val="32"/>
          <w:szCs w:val="32"/>
        </w:rPr>
      </w:pPr>
      <w:r w:rsidRPr="00844B36">
        <w:rPr>
          <w:rFonts w:ascii="Arial" w:hAnsi="Arial"/>
          <w:sz w:val="32"/>
          <w:szCs w:val="32"/>
        </w:rPr>
        <w:lastRenderedPageBreak/>
        <w:t xml:space="preserve">Resources Not Selected </w:t>
      </w:r>
    </w:p>
    <w:p w:rsidR="00A7100C" w:rsidRDefault="00A7100C" w:rsidP="00A7100C">
      <w:pPr>
        <w:pStyle w:val="IRPsanstext"/>
      </w:pPr>
    </w:p>
    <w:p w:rsidR="00A7100C" w:rsidRDefault="00A7100C" w:rsidP="00A7100C">
      <w:pPr>
        <w:pStyle w:val="IRPsanstext"/>
      </w:pPr>
      <w:r>
        <w:t>The following summarizes expectations for some alternative resources that were not selected for the electric resource plan.</w:t>
      </w:r>
    </w:p>
    <w:p w:rsidR="00A7100C" w:rsidRDefault="00A7100C" w:rsidP="00A7100C">
      <w:pPr>
        <w:pStyle w:val="IRPsanstext"/>
      </w:pPr>
    </w:p>
    <w:p w:rsidR="00A7100C" w:rsidRDefault="00A7100C" w:rsidP="00A7100C">
      <w:pPr>
        <w:pStyle w:val="IRPsanstext"/>
      </w:pPr>
      <w:proofErr w:type="gramStart"/>
      <w:r w:rsidRPr="00844B36">
        <w:rPr>
          <w:b/>
          <w:color w:val="156570"/>
          <w:sz w:val="28"/>
        </w:rPr>
        <w:t>Energy Storage.</w:t>
      </w:r>
      <w:proofErr w:type="gramEnd"/>
      <w:r>
        <w:t xml:space="preserve"> This is a very broad </w:t>
      </w:r>
      <w:proofErr w:type="gramStart"/>
      <w:r>
        <w:t>category, that</w:t>
      </w:r>
      <w:proofErr w:type="gramEnd"/>
      <w:r>
        <w:t xml:space="preserve"> can include smaller scale resources like batteries, up to 1000 MW pumped hydro storage.  Continuing to improve our analytical capability to economically value flexibility will help better value those aspects of these resources.  However, even the very high relative flexibility value assigned to batteries in our flexibility sensitivity analysis did not show those resources being cost effective.  This may change in the future as technology continues to reduce cost of utility scale batteries.  Pumped hydro did not appear cost effective on a generic basis, but it is possible that developers will participate in PSE’s anticipated all-source RFP, so we will be able analyze these resources on a specific basis, which may show they are more cost effective than we found in the IRP.</w:t>
      </w:r>
    </w:p>
    <w:p w:rsidR="00A7100C" w:rsidRDefault="00A7100C" w:rsidP="00A7100C">
      <w:pPr>
        <w:pStyle w:val="IRPsanstext"/>
      </w:pPr>
    </w:p>
    <w:p w:rsidR="00A7100C" w:rsidRDefault="00A7100C" w:rsidP="00A7100C">
      <w:pPr>
        <w:pStyle w:val="IRPsanstext"/>
      </w:pPr>
      <w:proofErr w:type="gramStart"/>
      <w:r w:rsidRPr="00844B36">
        <w:rPr>
          <w:b/>
          <w:color w:val="156570"/>
          <w:sz w:val="28"/>
        </w:rPr>
        <w:t>Montana Wind</w:t>
      </w:r>
      <w:r w:rsidRPr="00844B36">
        <w:rPr>
          <w:color w:val="156570"/>
        </w:rPr>
        <w:t>.</w:t>
      </w:r>
      <w:proofErr w:type="gramEnd"/>
      <w:r>
        <w:t xml:space="preserve">  Montana wind generally has high capacity factors and higher peak capacity value than Northwest wind, but generally does not meet the legal requirements under RCW 19.285 as a qualifying renewable resource, because they are outside the defined geographical boundaries.  This IRP demonstrated that if the capacity contribution of Montana wind is high enough, it may be able to overcome the transmission cost to bring Montana wind to PSE.  It is possible that developers may have specific transmission solutions that are less costly than our generic assumptions in the IRP.  If specific Montana wind resource alternatives are bid into the all-source RFP process, they will be rigorously analyzed along with the other resource alternatives. </w:t>
      </w:r>
    </w:p>
    <w:p w:rsidR="00A7100C" w:rsidRDefault="00A7100C" w:rsidP="00A7100C">
      <w:pPr>
        <w:pStyle w:val="IRPsanstext"/>
      </w:pPr>
    </w:p>
    <w:p w:rsidR="00A7100C" w:rsidRDefault="00A7100C" w:rsidP="00A7100C">
      <w:pPr>
        <w:pStyle w:val="IRPsanstext"/>
      </w:pPr>
      <w:proofErr w:type="gramStart"/>
      <w:r w:rsidRPr="00844B36">
        <w:rPr>
          <w:b/>
          <w:color w:val="156570"/>
          <w:sz w:val="28"/>
        </w:rPr>
        <w:t>Utility Scale Solar</w:t>
      </w:r>
      <w:r w:rsidRPr="00844B36">
        <w:rPr>
          <w:color w:val="156570"/>
        </w:rPr>
        <w:t>.</w:t>
      </w:r>
      <w:proofErr w:type="gramEnd"/>
      <w:r>
        <w:t xml:space="preserve">  The cost of solar continues to decline.  It is possible that utility scale solar will become more cost effective than wind in the Northwest.  Our need for renewables to comply with RCW 19.285 is still 8 years away.  We will continue to monitor trends as technology drives down the cost of all resources. </w:t>
      </w:r>
    </w:p>
    <w:p w:rsidR="00A7100C" w:rsidRDefault="00A7100C" w:rsidP="00A7100C">
      <w:pPr>
        <w:pStyle w:val="IRPsanstext"/>
      </w:pPr>
    </w:p>
    <w:p w:rsidR="00A7100C" w:rsidRDefault="00A7100C" w:rsidP="00A7100C">
      <w:pPr>
        <w:pStyle w:val="IRPsanstext"/>
      </w:pPr>
      <w:proofErr w:type="gramStart"/>
      <w:r w:rsidRPr="00844B36">
        <w:rPr>
          <w:b/>
          <w:color w:val="156570"/>
          <w:sz w:val="28"/>
        </w:rPr>
        <w:t>Reciprocating Engines</w:t>
      </w:r>
      <w:r w:rsidRPr="00844B36">
        <w:rPr>
          <w:color w:val="156570"/>
        </w:rPr>
        <w:t>.</w:t>
      </w:r>
      <w:proofErr w:type="gramEnd"/>
      <w:r>
        <w:t xml:space="preserve">  These resources provide significantly faster response than other types of thermal resources.  In the flexibility sensitivity, the value of that flexibility appeared to compensate for the higher upfront cost of these resources.  The challenge with these resources, however, is that they may have a difficult time meeting particulate emission limits – the requirements are site specific.  Engineering innovations may overcome this challenge in the future – we will continue to monitor those developments.</w:t>
      </w:r>
    </w:p>
    <w:p w:rsidR="00A7100C" w:rsidRDefault="00A7100C" w:rsidP="00A7100C">
      <w:pPr>
        <w:rPr>
          <w:rFonts w:ascii="Arial Black" w:hAnsi="Arial Black"/>
          <w:color w:val="757563"/>
          <w:sz w:val="40"/>
        </w:rPr>
      </w:pPr>
      <w:r>
        <w:br w:type="page"/>
      </w:r>
    </w:p>
    <w:p w:rsidR="00A7100C" w:rsidRPr="00E91F51" w:rsidRDefault="00A7100C" w:rsidP="00A7100C">
      <w:pPr>
        <w:pStyle w:val="IRPsecthead1serif"/>
        <w:rPr>
          <w:b/>
          <w:color w:val="156570"/>
        </w:rPr>
      </w:pPr>
      <w:r w:rsidRPr="00E91F51">
        <w:rPr>
          <w:b/>
          <w:caps/>
          <w:color w:val="156570"/>
        </w:rPr>
        <w:lastRenderedPageBreak/>
        <w:t>Gas Sales Resource Plan</w:t>
      </w:r>
    </w:p>
    <w:p w:rsidR="00A7100C" w:rsidRPr="00E91F51" w:rsidRDefault="00A7100C" w:rsidP="00A7100C">
      <w:pPr>
        <w:pStyle w:val="IRPsanstext"/>
        <w:rPr>
          <w:sz w:val="32"/>
          <w:szCs w:val="32"/>
        </w:rPr>
      </w:pPr>
    </w:p>
    <w:p w:rsidR="00A7100C" w:rsidRPr="00E91F51" w:rsidRDefault="00A7100C" w:rsidP="00A7100C">
      <w:pPr>
        <w:pStyle w:val="IRPtitle"/>
        <w:rPr>
          <w:rFonts w:ascii="Arial" w:hAnsi="Arial"/>
          <w:sz w:val="32"/>
          <w:szCs w:val="32"/>
        </w:rPr>
      </w:pPr>
      <w:r w:rsidRPr="00E91F51">
        <w:rPr>
          <w:rFonts w:ascii="Arial" w:hAnsi="Arial"/>
          <w:sz w:val="32"/>
          <w:szCs w:val="32"/>
        </w:rPr>
        <w:t>Resource Additions Summary</w:t>
      </w:r>
    </w:p>
    <w:p w:rsidR="00A7100C" w:rsidRDefault="00A7100C" w:rsidP="00A7100C">
      <w:pPr>
        <w:pStyle w:val="IRPsanstext"/>
      </w:pPr>
    </w:p>
    <w:p w:rsidR="00A7100C" w:rsidRDefault="00A7100C" w:rsidP="00A7100C">
      <w:pPr>
        <w:pStyle w:val="IRPsanstext"/>
      </w:pPr>
      <w:r w:rsidRPr="00897829">
        <w:t>The</w:t>
      </w:r>
      <w:r>
        <w:t xml:space="preserve"> gas sales resource </w:t>
      </w:r>
      <w:r w:rsidRPr="00897829">
        <w:t>plan is summarized in Figure 2-</w:t>
      </w:r>
      <w:r>
        <w:t>9</w:t>
      </w:r>
      <w:r w:rsidRPr="00897829">
        <w:t>, followed by a discussion of the reasoning that led to the plan.</w:t>
      </w:r>
      <w:r>
        <w:t xml:space="preserve"> (I</w:t>
      </w:r>
      <w:r w:rsidRPr="00897829">
        <w:t>nformation on the analysis of gas for generation fuel</w:t>
      </w:r>
      <w:r>
        <w:t xml:space="preserve"> can be found in Chapter 6</w:t>
      </w:r>
      <w:r w:rsidRPr="00897829">
        <w:t>.</w:t>
      </w:r>
      <w:r>
        <w:t>)</w:t>
      </w:r>
      <w:r w:rsidRPr="00897829">
        <w:t xml:space="preserve">  </w:t>
      </w:r>
    </w:p>
    <w:p w:rsidR="00A7100C" w:rsidRDefault="00A7100C" w:rsidP="00A7100C">
      <w:pPr>
        <w:pStyle w:val="IRPsanstext"/>
      </w:pPr>
    </w:p>
    <w:p w:rsidR="00A7100C" w:rsidRPr="00E91F51" w:rsidRDefault="00A7100C" w:rsidP="00E91F51">
      <w:pPr>
        <w:pStyle w:val="IRPFigureSub"/>
      </w:pPr>
      <w:r w:rsidRPr="00897829">
        <w:t>Figure 2-</w:t>
      </w:r>
      <w:r>
        <w:t xml:space="preserve">9: </w:t>
      </w:r>
      <w:r w:rsidRPr="00897829">
        <w:t>Gas Sales Resource Plan – Cumulative Capacity Additions (MDth/day)</w:t>
      </w:r>
      <w:r>
        <w:t xml:space="preserve"> </w:t>
      </w:r>
    </w:p>
    <w:p w:rsidR="00A7100C" w:rsidRDefault="00A7100C" w:rsidP="00A7100C">
      <w:pPr>
        <w:pStyle w:val="IRPsanstext"/>
      </w:pPr>
      <w:r>
        <w:rPr>
          <w:noProof/>
          <w:lang w:eastAsia="en-US"/>
        </w:rPr>
        <w:drawing>
          <wp:anchor distT="0" distB="0" distL="114300" distR="114300" simplePos="0" relativeHeight="251663360" behindDoc="0" locked="0" layoutInCell="1" allowOverlap="1">
            <wp:simplePos x="0" y="0"/>
            <wp:positionH relativeFrom="column">
              <wp:posOffset>51434</wp:posOffset>
            </wp:positionH>
            <wp:positionV relativeFrom="paragraph">
              <wp:posOffset>137160</wp:posOffset>
            </wp:positionV>
            <wp:extent cx="5442009" cy="215138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42009" cy="2151380"/>
                    </a:xfrm>
                    <a:prstGeom prst="rect">
                      <a:avLst/>
                    </a:prstGeom>
                    <a:noFill/>
                    <a:ln>
                      <a:noFill/>
                    </a:ln>
                  </pic:spPr>
                </pic:pic>
              </a:graphicData>
            </a:graphic>
          </wp:anchor>
        </w:drawing>
      </w:r>
    </w:p>
    <w:p w:rsidR="00A7100C" w:rsidRDefault="00A7100C" w:rsidP="00A7100C">
      <w:pPr>
        <w:pStyle w:val="IRPsanstext"/>
      </w:pPr>
    </w:p>
    <w:p w:rsidR="00A7100C" w:rsidRDefault="00A7100C" w:rsidP="00A7100C">
      <w:pPr>
        <w:pStyle w:val="IRPsanstext"/>
      </w:pPr>
    </w:p>
    <w:p w:rsidR="00A7100C" w:rsidRDefault="00A7100C" w:rsidP="00A7100C">
      <w:pPr>
        <w:pStyle w:val="IRPsanstext"/>
      </w:pPr>
    </w:p>
    <w:p w:rsidR="00A7100C" w:rsidRDefault="00A7100C" w:rsidP="00A7100C">
      <w:pPr>
        <w:pStyle w:val="IRPsanstext"/>
      </w:pPr>
    </w:p>
    <w:p w:rsidR="00A7100C" w:rsidRDefault="00A7100C" w:rsidP="00A7100C">
      <w:pPr>
        <w:pStyle w:val="IRPsanstext"/>
      </w:pPr>
    </w:p>
    <w:p w:rsidR="00A7100C" w:rsidRDefault="00A7100C" w:rsidP="00A7100C">
      <w:pPr>
        <w:pStyle w:val="IRPsanstext"/>
      </w:pPr>
    </w:p>
    <w:p w:rsidR="00A7100C" w:rsidRDefault="00A7100C" w:rsidP="00A7100C">
      <w:pPr>
        <w:pStyle w:val="IRPsanstext"/>
      </w:pPr>
    </w:p>
    <w:p w:rsidR="00A7100C" w:rsidRDefault="00A7100C" w:rsidP="00A7100C">
      <w:pPr>
        <w:pStyle w:val="IRPsanstext"/>
      </w:pPr>
    </w:p>
    <w:p w:rsidR="00A7100C" w:rsidRDefault="00A7100C" w:rsidP="00A7100C">
      <w:pPr>
        <w:pStyle w:val="IRPsanstext"/>
      </w:pPr>
    </w:p>
    <w:p w:rsidR="00A7100C" w:rsidRDefault="00A7100C" w:rsidP="00A7100C">
      <w:pPr>
        <w:pStyle w:val="IRPsanstext"/>
      </w:pPr>
    </w:p>
    <w:p w:rsidR="00E91F51" w:rsidRDefault="00E91F51" w:rsidP="00A7100C">
      <w:pPr>
        <w:pStyle w:val="IRPsanstext"/>
      </w:pPr>
    </w:p>
    <w:p w:rsidR="00A7100C" w:rsidRPr="000104BC" w:rsidRDefault="00A7100C" w:rsidP="00A7100C">
      <w:pPr>
        <w:pStyle w:val="IRPsanstext"/>
      </w:pPr>
      <w:r w:rsidRPr="00897829">
        <w:t xml:space="preserve">The gas sales resource plan integrates demand-side and supply-side resources to arrive at the lowest reasonable cost portfolio capable of meeting customer needs over the 20-year planning period. The additions identified above are </w:t>
      </w:r>
      <w:r>
        <w:t xml:space="preserve">consistent with </w:t>
      </w:r>
      <w:r w:rsidRPr="00897829">
        <w:t xml:space="preserve">the optimal portfolio additions produced for the Base Scenario by the </w:t>
      </w:r>
      <w:proofErr w:type="gramStart"/>
      <w:r w:rsidRPr="00897829">
        <w:t>SENDOUT</w:t>
      </w:r>
      <w:r w:rsidRPr="009F1C23">
        <w:rPr>
          <w:vertAlign w:val="superscript"/>
        </w:rPr>
        <w:t xml:space="preserve"> </w:t>
      </w:r>
      <w:r>
        <w:rPr>
          <w:vertAlign w:val="superscript"/>
        </w:rPr>
        <w:t xml:space="preserve"> </w:t>
      </w:r>
      <w:r>
        <w:t>gas</w:t>
      </w:r>
      <w:proofErr w:type="gramEnd"/>
      <w:r>
        <w:t xml:space="preserve"> portfolio model </w:t>
      </w:r>
      <w:r w:rsidRPr="00897829">
        <w:t xml:space="preserve">analysis tool. SENDOUT </w:t>
      </w:r>
      <w:r>
        <w:t xml:space="preserve">is a helpful tool, but </w:t>
      </w:r>
      <w:r w:rsidRPr="00897829">
        <w:t xml:space="preserve">results must be reviewed based on </w:t>
      </w:r>
      <w:r>
        <w:t>judgment, since real world market conditions and limitations on resource additions are not reflected in the model.</w:t>
      </w:r>
    </w:p>
    <w:p w:rsidR="00A7100C" w:rsidRPr="00897829" w:rsidRDefault="00A7100C" w:rsidP="00A7100C">
      <w:pPr>
        <w:pStyle w:val="IRPsanstext"/>
        <w:rPr>
          <w:color w:val="31849B"/>
          <w:u w:val="single"/>
        </w:rPr>
      </w:pPr>
    </w:p>
    <w:p w:rsidR="00A7100C" w:rsidRPr="00486450" w:rsidRDefault="00A7100C" w:rsidP="00486450">
      <w:pPr>
        <w:rPr>
          <w:rFonts w:ascii="Palatino" w:hAnsi="Palatino"/>
          <w:sz w:val="40"/>
        </w:rPr>
      </w:pPr>
      <w:r>
        <w:br w:type="page"/>
      </w:r>
      <w:r w:rsidRPr="00E91F51">
        <w:rPr>
          <w:rFonts w:ascii="Arial" w:hAnsi="Arial"/>
          <w:sz w:val="32"/>
          <w:szCs w:val="32"/>
        </w:rPr>
        <w:lastRenderedPageBreak/>
        <w:t>Gas Sales Results across Scenarios</w:t>
      </w:r>
    </w:p>
    <w:p w:rsidR="00A7100C" w:rsidRDefault="00A7100C" w:rsidP="00A7100C"/>
    <w:p w:rsidR="00A7100C" w:rsidRDefault="00A7100C" w:rsidP="00A7100C">
      <w:pPr>
        <w:pStyle w:val="IRPsanstext"/>
      </w:pPr>
      <w:r w:rsidRPr="00897829">
        <w:t xml:space="preserve">As with the electric analysis, the gas sales analysis examined the lowest reasonable cost mix of resources across </w:t>
      </w:r>
      <w:r>
        <w:t>a</w:t>
      </w:r>
      <w:r w:rsidRPr="00897829">
        <w:t xml:space="preserve"> range of </w:t>
      </w:r>
      <w:r>
        <w:t>ten</w:t>
      </w:r>
      <w:r w:rsidRPr="00897829">
        <w:t xml:space="preserve"> scenarios. Figure 2-</w:t>
      </w:r>
      <w:r>
        <w:t>10</w:t>
      </w:r>
      <w:r w:rsidRPr="00897829">
        <w:t xml:space="preserve"> illustrates the lowest reasonable cost portfolio of resources across those potential future conditions.</w:t>
      </w:r>
    </w:p>
    <w:p w:rsidR="00E91F51" w:rsidRDefault="00E91F51" w:rsidP="00A7100C">
      <w:pPr>
        <w:pStyle w:val="IRPFigureSub"/>
      </w:pPr>
    </w:p>
    <w:p w:rsidR="00A7100C" w:rsidRPr="00E91F51" w:rsidRDefault="00A7100C" w:rsidP="00E91F51">
      <w:pPr>
        <w:pStyle w:val="IRPFigureSub"/>
      </w:pPr>
      <w:r w:rsidRPr="00897829">
        <w:t>Figure 2-</w:t>
      </w:r>
      <w:r>
        <w:t xml:space="preserve">10: </w:t>
      </w:r>
      <w:r w:rsidRPr="00897829">
        <w:t xml:space="preserve">Gas Sales Portfolios by </w:t>
      </w:r>
      <w:proofErr w:type="gramStart"/>
      <w:r w:rsidRPr="00897829">
        <w:t>Scenario</w:t>
      </w:r>
      <w:r>
        <w:t xml:space="preserve">  (</w:t>
      </w:r>
      <w:proofErr w:type="gramEnd"/>
      <w:r>
        <w:t>MDth/day)</w:t>
      </w:r>
    </w:p>
    <w:p w:rsidR="00A7100C" w:rsidRDefault="0073074B" w:rsidP="00A7100C">
      <w:pPr>
        <w:rPr>
          <w:b/>
        </w:rPr>
      </w:pPr>
      <w:bookmarkStart w:id="0" w:name="_GoBack"/>
      <w:r>
        <w:rPr>
          <w:b/>
          <w:noProof/>
          <w:lang w:eastAsia="en-US"/>
        </w:rPr>
        <w:drawing>
          <wp:inline distT="0" distB="0" distL="0" distR="0" wp14:anchorId="7E56E79C">
            <wp:extent cx="5448300" cy="351451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47296" cy="3513866"/>
                    </a:xfrm>
                    <a:prstGeom prst="rect">
                      <a:avLst/>
                    </a:prstGeom>
                    <a:noFill/>
                  </pic:spPr>
                </pic:pic>
              </a:graphicData>
            </a:graphic>
          </wp:inline>
        </w:drawing>
      </w:r>
      <w:bookmarkEnd w:id="0"/>
    </w:p>
    <w:p w:rsidR="00E91F51" w:rsidRDefault="00E91F51" w:rsidP="00A7100C">
      <w:pPr>
        <w:pStyle w:val="IRPsanstext"/>
      </w:pPr>
    </w:p>
    <w:p w:rsidR="00486450" w:rsidRPr="00927EA3" w:rsidRDefault="00A7100C" w:rsidP="00927EA3">
      <w:pPr>
        <w:pStyle w:val="IRPsanstext"/>
      </w:pPr>
      <w:r>
        <w:t>Figure 2-12</w:t>
      </w:r>
      <w:r w:rsidRPr="00897829">
        <w:t xml:space="preserve">, </w:t>
      </w:r>
      <w:r>
        <w:t xml:space="preserve">above, shows that results across scenarios are consistent.  The full Swarr upgrade is cost effective in all scenarios by the 2022-23 winter </w:t>
      </w:r>
      <w:proofErr w:type="gramStart"/>
      <w:r>
        <w:t>period</w:t>
      </w:r>
      <w:proofErr w:type="gramEnd"/>
      <w:r>
        <w:t xml:space="preserve"> and a similar level of DSR is cost effective across all scenarios.  In 6 out of 10 scenario/sensitivities, 100% of the PSE LNG Project was found to be cost effective—at least some of that resource was cost effective in all 10 scenario/sensitivities. The peak day capacity of the PSE LNG Project chosen varies in four of the scenarios, but this is a function of the SENDOUT model’s limitations, since the capacity of the LNG project is not flexible, as discussed in more detail in Chapter 7, Gas Analysis.  Also, the Mist storage with prospective pipeline capacity on Northwest pipeline (NWP) from Portland to Seattle is selected in most scenarios beginning in 2026, though this resource availability is dependent on expansion of the NWP. The remaining gas sales resource need is filled with varying amounts of pipeline volumes to either the Station 2 hub on the Westcoast pipeline or to the Malin hub via the pos</w:t>
      </w:r>
      <w:r w:rsidR="00927EA3">
        <w:t xml:space="preserve">sible Cross-Cascades pipeline. </w:t>
      </w:r>
      <w:r>
        <w:t>Later in the planning horizon, results vary mostly because of long</w:t>
      </w:r>
      <w:r w:rsidR="00927EA3">
        <w:t xml:space="preserve">-term load growth projections. </w:t>
      </w:r>
      <w:r>
        <w:t>Different elements of the resource plan are discussed below.</w:t>
      </w:r>
    </w:p>
    <w:p w:rsidR="00A7100C" w:rsidRPr="00E91F51" w:rsidRDefault="00A7100C" w:rsidP="00A7100C">
      <w:pPr>
        <w:pStyle w:val="IRPtitle"/>
        <w:rPr>
          <w:rStyle w:val="IRPsanstextChar"/>
          <w:sz w:val="20"/>
          <w:szCs w:val="20"/>
        </w:rPr>
      </w:pPr>
      <w:r w:rsidRPr="00E91F51">
        <w:rPr>
          <w:rFonts w:ascii="Arial" w:hAnsi="Arial"/>
          <w:sz w:val="32"/>
          <w:szCs w:val="32"/>
        </w:rPr>
        <w:lastRenderedPageBreak/>
        <w:t>Demand-side Resource Additions</w:t>
      </w:r>
    </w:p>
    <w:p w:rsidR="00A7100C" w:rsidRDefault="00A7100C" w:rsidP="00A7100C">
      <w:pPr>
        <w:pStyle w:val="IRPsanstext"/>
        <w:ind w:left="360" w:hanging="360"/>
        <w:rPr>
          <w:rStyle w:val="IRPsanstextChar"/>
          <w:sz w:val="40"/>
          <w:szCs w:val="24"/>
        </w:rPr>
      </w:pPr>
    </w:p>
    <w:p w:rsidR="00A7100C" w:rsidRDefault="00A7100C" w:rsidP="00A7100C">
      <w:pPr>
        <w:pStyle w:val="IRPsanstext"/>
        <w:rPr>
          <w:rStyle w:val="IRPsanstextChar"/>
        </w:rPr>
      </w:pPr>
      <w:proofErr w:type="gramStart"/>
      <w:r w:rsidRPr="00A91D58">
        <w:rPr>
          <w:rStyle w:val="IRPsanstextChar"/>
          <w:b/>
          <w:caps/>
        </w:rPr>
        <w:t>Decision</w:t>
      </w:r>
      <w:r>
        <w:rPr>
          <w:rStyle w:val="IRPsanstextChar"/>
        </w:rPr>
        <w:t>.</w:t>
      </w:r>
      <w:proofErr w:type="gramEnd"/>
      <w:r>
        <w:rPr>
          <w:rStyle w:val="IRPsanstextChar"/>
        </w:rPr>
        <w:t xml:space="preserve">  PSE will include gas DSR consistent with results from the Sendout model for the Base Scenario results.</w:t>
      </w:r>
    </w:p>
    <w:p w:rsidR="00A7100C" w:rsidRDefault="00A7100C" w:rsidP="00A7100C">
      <w:pPr>
        <w:pStyle w:val="IRPsanstext"/>
        <w:rPr>
          <w:rStyle w:val="IRPsanstextChar"/>
        </w:rPr>
      </w:pPr>
    </w:p>
    <w:p w:rsidR="00A7100C" w:rsidRDefault="00A7100C" w:rsidP="00A7100C">
      <w:pPr>
        <w:pStyle w:val="IRPsanstext"/>
        <w:rPr>
          <w:rStyle w:val="IRPsanstextChar"/>
        </w:rPr>
      </w:pPr>
      <w:proofErr w:type="gramStart"/>
      <w:r w:rsidRPr="00A91D58">
        <w:rPr>
          <w:rStyle w:val="IRPsanstextChar"/>
          <w:b/>
          <w:caps/>
        </w:rPr>
        <w:t>Summary</w:t>
      </w:r>
      <w:r>
        <w:rPr>
          <w:rStyle w:val="IRPsanstextChar"/>
        </w:rPr>
        <w:t>.</w:t>
      </w:r>
      <w:proofErr w:type="gramEnd"/>
      <w:r>
        <w:rPr>
          <w:rStyle w:val="IRPsanstextChar"/>
        </w:rPr>
        <w:t xml:space="preserve"> C</w:t>
      </w:r>
      <w:r w:rsidRPr="00897829">
        <w:rPr>
          <w:rStyle w:val="IRPsanstextChar"/>
        </w:rPr>
        <w:t xml:space="preserve">ost-effective DSR levels </w:t>
      </w:r>
      <w:r>
        <w:rPr>
          <w:rStyle w:val="IRPsanstextChar"/>
        </w:rPr>
        <w:t>vary slightly across scenarios. B</w:t>
      </w:r>
      <w:r w:rsidRPr="00897829">
        <w:rPr>
          <w:rStyle w:val="IRPsanstextChar"/>
        </w:rPr>
        <w:t>y the 20</w:t>
      </w:r>
      <w:r>
        <w:rPr>
          <w:rStyle w:val="IRPsanstextChar"/>
        </w:rPr>
        <w:t>22</w:t>
      </w:r>
      <w:r w:rsidRPr="00897829">
        <w:rPr>
          <w:rStyle w:val="IRPsanstextChar"/>
        </w:rPr>
        <w:t>-</w:t>
      </w:r>
      <w:r>
        <w:rPr>
          <w:rStyle w:val="IRPsanstextChar"/>
        </w:rPr>
        <w:t>23</w:t>
      </w:r>
      <w:r w:rsidRPr="00897829">
        <w:rPr>
          <w:rStyle w:val="IRPsanstextChar"/>
        </w:rPr>
        <w:t xml:space="preserve"> heating season, the difference between the High </w:t>
      </w:r>
      <w:r>
        <w:rPr>
          <w:rStyle w:val="IRPsanstextChar"/>
        </w:rPr>
        <w:t>S</w:t>
      </w:r>
      <w:r w:rsidRPr="00897829">
        <w:rPr>
          <w:rStyle w:val="IRPsanstextChar"/>
        </w:rPr>
        <w:t>cenario</w:t>
      </w:r>
      <w:r>
        <w:rPr>
          <w:rStyle w:val="FootnoteReference"/>
        </w:rPr>
        <w:footnoteReference w:id="9"/>
      </w:r>
      <w:r w:rsidRPr="00897829">
        <w:rPr>
          <w:rStyle w:val="IRPsanstextChar"/>
        </w:rPr>
        <w:t xml:space="preserve"> (at </w:t>
      </w:r>
      <w:r>
        <w:rPr>
          <w:rStyle w:val="IRPsanstextChar"/>
        </w:rPr>
        <w:t>32</w:t>
      </w:r>
      <w:r w:rsidRPr="00897829">
        <w:rPr>
          <w:rStyle w:val="IRPsanstextChar"/>
        </w:rPr>
        <w:t xml:space="preserve"> MDth per day) and the Low </w:t>
      </w:r>
      <w:r>
        <w:rPr>
          <w:rStyle w:val="IRPsanstextChar"/>
        </w:rPr>
        <w:t>S</w:t>
      </w:r>
      <w:r w:rsidRPr="00897829">
        <w:rPr>
          <w:rStyle w:val="IRPsanstextChar"/>
        </w:rPr>
        <w:t>cenario</w:t>
      </w:r>
      <w:r>
        <w:rPr>
          <w:rStyle w:val="FootnoteReference"/>
        </w:rPr>
        <w:footnoteReference w:id="10"/>
      </w:r>
      <w:r w:rsidRPr="00897829">
        <w:rPr>
          <w:rStyle w:val="IRPsanstextChar"/>
        </w:rPr>
        <w:t xml:space="preserve"> (at </w:t>
      </w:r>
      <w:r>
        <w:rPr>
          <w:rStyle w:val="IRPsanstextChar"/>
        </w:rPr>
        <w:t>20</w:t>
      </w:r>
      <w:r w:rsidRPr="00897829">
        <w:rPr>
          <w:rStyle w:val="IRPsanstextChar"/>
        </w:rPr>
        <w:t xml:space="preserve"> MDth per day) is only 1</w:t>
      </w:r>
      <w:r>
        <w:rPr>
          <w:rStyle w:val="IRPsanstextChar"/>
        </w:rPr>
        <w:t>2</w:t>
      </w:r>
      <w:r w:rsidRPr="00897829">
        <w:rPr>
          <w:rStyle w:val="IRPsanstextChar"/>
        </w:rPr>
        <w:t xml:space="preserve"> MDth per day.  </w:t>
      </w:r>
      <w:r>
        <w:rPr>
          <w:rStyle w:val="IRPsanstextChar"/>
        </w:rPr>
        <w:t>Even the addition of a carbon tax in the Base Scenario had an impact of only 7 MDth per day by the 2022-23 heating season</w:t>
      </w:r>
      <w:r w:rsidRPr="00B86A8F">
        <w:rPr>
          <w:rStyle w:val="IRPsanstextChar"/>
        </w:rPr>
        <w:t xml:space="preserve"> </w:t>
      </w:r>
      <w:r>
        <w:rPr>
          <w:rStyle w:val="IRPsanstextChar"/>
        </w:rPr>
        <w:t>since it still selected 29 MDth of DSR and the Base + No CO</w:t>
      </w:r>
      <w:r w:rsidRPr="00537039">
        <w:rPr>
          <w:rStyle w:val="IRPsanstextChar"/>
          <w:vertAlign w:val="subscript"/>
        </w:rPr>
        <w:t>2</w:t>
      </w:r>
      <w:r>
        <w:rPr>
          <w:rStyle w:val="IRPsanstextChar"/>
        </w:rPr>
        <w:t xml:space="preserve"> Scenario selected 23 MDth per day.  </w:t>
      </w:r>
      <w:r w:rsidRPr="00897829">
        <w:rPr>
          <w:rStyle w:val="IRPsanstextChar"/>
        </w:rPr>
        <w:t xml:space="preserve">Given the small range, it is reasonable to adopt the level of conservation from the Base Scenario </w:t>
      </w:r>
      <w:r>
        <w:rPr>
          <w:rStyle w:val="IRPsanstextChar"/>
        </w:rPr>
        <w:t xml:space="preserve">of 29 MDth per day by 2022-23 growing to 69 MDth per day by 2034-35 </w:t>
      </w:r>
      <w:r w:rsidRPr="00897829">
        <w:rPr>
          <w:rStyle w:val="IRPsanstextChar"/>
        </w:rPr>
        <w:t xml:space="preserve">or the resource plan.  </w:t>
      </w:r>
    </w:p>
    <w:p w:rsidR="00A7100C" w:rsidRDefault="00A7100C" w:rsidP="00A7100C">
      <w:pPr>
        <w:pStyle w:val="IRPsanstext"/>
        <w:rPr>
          <w:rStyle w:val="IRPsanstextChar"/>
        </w:rPr>
      </w:pPr>
    </w:p>
    <w:p w:rsidR="00A7100C" w:rsidRDefault="00A7100C" w:rsidP="00A7100C">
      <w:pPr>
        <w:pStyle w:val="IRPsanstext"/>
        <w:rPr>
          <w:rStyle w:val="IRPsanstextChar"/>
        </w:rPr>
      </w:pPr>
      <w:proofErr w:type="gramStart"/>
      <w:r w:rsidRPr="00A91D58">
        <w:rPr>
          <w:b/>
          <w:caps/>
        </w:rPr>
        <w:t>Factors That Could Affect Decision</w:t>
      </w:r>
      <w:r>
        <w:t>.</w:t>
      </w:r>
      <w:proofErr w:type="gramEnd"/>
      <w:r>
        <w:t xml:space="preserve"> There should be little impact in the near term level of planned DSR, since PSE works with the CRAG to develop conservation targets based on these IRP results.  Longer-term, technology changes or policies could impact conservation targets in future IRPs.</w:t>
      </w:r>
      <w:r w:rsidRPr="00897829">
        <w:rPr>
          <w:rStyle w:val="IRPsanstextChar"/>
        </w:rPr>
        <w:t xml:space="preserve"> </w:t>
      </w:r>
    </w:p>
    <w:p w:rsidR="00A7100C" w:rsidRPr="00C46FBE" w:rsidRDefault="00A7100C" w:rsidP="00A7100C">
      <w:pPr>
        <w:pStyle w:val="IRPsanstext"/>
        <w:rPr>
          <w:rStyle w:val="IRPsanstextChar"/>
        </w:rPr>
      </w:pPr>
    </w:p>
    <w:p w:rsidR="00A7100C" w:rsidRPr="00E91F51" w:rsidRDefault="00A7100C" w:rsidP="00A7100C">
      <w:pPr>
        <w:pStyle w:val="IRPtitle"/>
        <w:rPr>
          <w:rFonts w:ascii="Arial" w:hAnsi="Arial"/>
          <w:sz w:val="32"/>
          <w:szCs w:val="32"/>
        </w:rPr>
      </w:pPr>
      <w:r w:rsidRPr="00E91F51">
        <w:rPr>
          <w:rFonts w:ascii="Arial" w:hAnsi="Arial"/>
          <w:sz w:val="32"/>
          <w:szCs w:val="32"/>
        </w:rPr>
        <w:t>Supply-side Resource Additions</w:t>
      </w:r>
    </w:p>
    <w:p w:rsidR="00A7100C" w:rsidRPr="00B941FB" w:rsidRDefault="00A7100C" w:rsidP="00A7100C">
      <w:pPr>
        <w:pStyle w:val="IRPsecthead2sans"/>
        <w:spacing w:before="100" w:beforeAutospacing="1" w:after="100" w:afterAutospacing="1"/>
        <w:rPr>
          <w:rStyle w:val="IRPsanstextChar"/>
          <w:rFonts w:cs="Times New Roman"/>
          <w:b w:val="0"/>
          <w:color w:val="auto"/>
          <w:sz w:val="40"/>
          <w:szCs w:val="24"/>
        </w:rPr>
      </w:pPr>
      <w:r>
        <w:rPr>
          <w:sz w:val="28"/>
        </w:rPr>
        <w:t>Swarr Upgrade</w:t>
      </w:r>
    </w:p>
    <w:p w:rsidR="00A7100C" w:rsidRDefault="00A7100C" w:rsidP="00A7100C">
      <w:pPr>
        <w:pStyle w:val="IRPsanstext"/>
      </w:pPr>
      <w:proofErr w:type="gramStart"/>
      <w:r w:rsidRPr="00A91D58">
        <w:rPr>
          <w:b/>
          <w:caps/>
        </w:rPr>
        <w:t>Decision</w:t>
      </w:r>
      <w:r>
        <w:t>.</w:t>
      </w:r>
      <w:proofErr w:type="gramEnd"/>
      <w:r>
        <w:t xml:space="preserve">  Preliminary work necessary to upgrade the facility’s </w:t>
      </w:r>
      <w:r w:rsidRPr="00891D84">
        <w:t>environmental safety and reliability systems and increase production capacity to 30,000 Dth per day</w:t>
      </w:r>
      <w:r w:rsidRPr="00CE01CA">
        <w:t xml:space="preserve"> </w:t>
      </w:r>
      <w:r>
        <w:t>should proceed with the goal to ready this resource for availability for the 2016-2017 winter.</w:t>
      </w:r>
    </w:p>
    <w:p w:rsidR="00A7100C" w:rsidRDefault="00A7100C" w:rsidP="00A7100C">
      <w:pPr>
        <w:pStyle w:val="IRPsanstext"/>
      </w:pPr>
    </w:p>
    <w:p w:rsidR="00A7100C" w:rsidRDefault="00A7100C" w:rsidP="00A7100C">
      <w:pPr>
        <w:pStyle w:val="IRPsanstext"/>
      </w:pPr>
      <w:proofErr w:type="gramStart"/>
      <w:r w:rsidRPr="00A91D58">
        <w:rPr>
          <w:b/>
          <w:caps/>
        </w:rPr>
        <w:t>Summary</w:t>
      </w:r>
      <w:r w:rsidRPr="00A91D58">
        <w:rPr>
          <w:caps/>
        </w:rPr>
        <w:t>.</w:t>
      </w:r>
      <w:proofErr w:type="gramEnd"/>
      <w:r>
        <w:t xml:space="preserve">  </w:t>
      </w:r>
      <w:r w:rsidRPr="00897829">
        <w:t xml:space="preserve">All </w:t>
      </w:r>
      <w:r>
        <w:t xml:space="preserve">of </w:t>
      </w:r>
      <w:r w:rsidRPr="00897829">
        <w:t xml:space="preserve">the scenarios selected the Swarr </w:t>
      </w:r>
      <w:r>
        <w:t>u</w:t>
      </w:r>
      <w:r w:rsidRPr="00897829">
        <w:t xml:space="preserve">pgrade project early in the study period (by 2018). </w:t>
      </w:r>
      <w:r>
        <w:t xml:space="preserve">Upgrades to increase deliverability to the 30 MDth per day design level are low cost relative to other resource alternatives.  The Swarr upgrade has been selected consistently in PSE IRP analyses, and the company will begin implementing this upgrade, as reflected in the Action Plan.  </w:t>
      </w:r>
    </w:p>
    <w:p w:rsidR="00A7100C" w:rsidRDefault="00A7100C" w:rsidP="00A7100C">
      <w:pPr>
        <w:pStyle w:val="IRPsanstext"/>
      </w:pPr>
    </w:p>
    <w:p w:rsidR="00A7100C" w:rsidRDefault="00A7100C" w:rsidP="00A7100C">
      <w:pPr>
        <w:pStyle w:val="IRPsanstext"/>
      </w:pPr>
      <w:proofErr w:type="gramStart"/>
      <w:r w:rsidRPr="00A91D58">
        <w:rPr>
          <w:b/>
          <w:caps/>
        </w:rPr>
        <w:t>Factors That Could Affect Decision</w:t>
      </w:r>
      <w:r w:rsidRPr="00A91D58">
        <w:rPr>
          <w:caps/>
        </w:rPr>
        <w:t>.</w:t>
      </w:r>
      <w:proofErr w:type="gramEnd"/>
      <w:r>
        <w:t xml:space="preserve"> This is a very near-term action item.  PSE is ready to begin construction.  Aside from unexpected issues in implementing the upgrades, little will impact this decision.</w:t>
      </w:r>
    </w:p>
    <w:p w:rsidR="00A7100C" w:rsidRDefault="00A7100C" w:rsidP="00A7100C">
      <w:pPr>
        <w:pStyle w:val="IRPsanstext"/>
        <w:rPr>
          <w:rStyle w:val="IRPsanstextChar"/>
        </w:rPr>
      </w:pPr>
    </w:p>
    <w:p w:rsidR="00E91F51" w:rsidRDefault="00E91F51">
      <w:pPr>
        <w:rPr>
          <w:rFonts w:ascii="Arial" w:hAnsi="Arial"/>
          <w:b/>
          <w:sz w:val="28"/>
          <w:szCs w:val="20"/>
        </w:rPr>
      </w:pPr>
      <w:r>
        <w:rPr>
          <w:b/>
          <w:sz w:val="28"/>
        </w:rPr>
        <w:br w:type="page"/>
      </w:r>
    </w:p>
    <w:p w:rsidR="00A7100C" w:rsidRDefault="00A7100C" w:rsidP="00A7100C">
      <w:pPr>
        <w:pStyle w:val="IRPsanstext"/>
        <w:rPr>
          <w:rStyle w:val="IRPsanstextChar"/>
          <w:sz w:val="24"/>
          <w:szCs w:val="24"/>
        </w:rPr>
      </w:pPr>
      <w:r w:rsidRPr="00C74342">
        <w:rPr>
          <w:b/>
          <w:color w:val="006C71"/>
          <w:sz w:val="28"/>
          <w:szCs w:val="24"/>
        </w:rPr>
        <w:lastRenderedPageBreak/>
        <w:t>PSE LNG Peaking Project</w:t>
      </w:r>
    </w:p>
    <w:p w:rsidR="00A7100C" w:rsidRDefault="00A7100C" w:rsidP="00A7100C">
      <w:pPr>
        <w:pStyle w:val="IRPsanstext"/>
        <w:rPr>
          <w:rStyle w:val="IRPsanstextChar"/>
        </w:rPr>
      </w:pPr>
    </w:p>
    <w:p w:rsidR="00A7100C" w:rsidRDefault="00A7100C" w:rsidP="00A7100C">
      <w:pPr>
        <w:pStyle w:val="IRPsanstext"/>
        <w:rPr>
          <w:rStyle w:val="IRPsanstextChar"/>
        </w:rPr>
      </w:pPr>
      <w:proofErr w:type="gramStart"/>
      <w:r w:rsidRPr="00A91D58">
        <w:rPr>
          <w:rStyle w:val="IRPsanstextChar"/>
          <w:b/>
          <w:caps/>
        </w:rPr>
        <w:t>Decision</w:t>
      </w:r>
      <w:r>
        <w:rPr>
          <w:rStyle w:val="IRPsanstextChar"/>
        </w:rPr>
        <w:t>.</w:t>
      </w:r>
      <w:proofErr w:type="gramEnd"/>
      <w:r>
        <w:rPr>
          <w:rStyle w:val="IRPsanstextChar"/>
        </w:rPr>
        <w:t xml:space="preserve"> Include the PSE LNG Peaking Project facility in the resource plan, starting at 69 MDth per day and ramping up to 85 MDth per day as PSE’s distribution system is built out to accept the full withdrawal capacity.  </w:t>
      </w:r>
    </w:p>
    <w:p w:rsidR="00A7100C" w:rsidRDefault="00A7100C" w:rsidP="00A7100C">
      <w:pPr>
        <w:pStyle w:val="IRPsanstext"/>
        <w:rPr>
          <w:rStyle w:val="IRPsanstextChar"/>
        </w:rPr>
      </w:pPr>
    </w:p>
    <w:p w:rsidR="00A7100C" w:rsidRDefault="00A7100C" w:rsidP="00A7100C">
      <w:pPr>
        <w:pStyle w:val="IRPsanstext"/>
        <w:rPr>
          <w:rStyle w:val="IRPsanstextChar"/>
        </w:rPr>
      </w:pPr>
      <w:proofErr w:type="gramStart"/>
      <w:r w:rsidRPr="00A91D58">
        <w:rPr>
          <w:rStyle w:val="IRPsanstextChar"/>
          <w:b/>
          <w:caps/>
        </w:rPr>
        <w:t>Summary</w:t>
      </w:r>
      <w:r>
        <w:rPr>
          <w:rStyle w:val="IRPsanstextChar"/>
        </w:rPr>
        <w:t>.</w:t>
      </w:r>
      <w:proofErr w:type="gramEnd"/>
      <w:r>
        <w:rPr>
          <w:rStyle w:val="IRPsanstextChar"/>
        </w:rPr>
        <w:t xml:space="preserve">  PSE’s planned PSE LNG Project, located in Tacoma, will provide peaking supplies for our gas sales customers as well as LNG as a transportation fuel.  S</w:t>
      </w:r>
      <w:r w:rsidRPr="0089320D">
        <w:rPr>
          <w:rStyle w:val="IRPsanstextChar"/>
          <w:caps/>
        </w:rPr>
        <w:t>endout</w:t>
      </w:r>
      <w:r>
        <w:rPr>
          <w:rStyle w:val="IRPsanstextChar"/>
        </w:rPr>
        <w:t xml:space="preserve"> optimization analysis illustrated in Figure 2-10, shows the PSE LNG Project is a cost-effective peaking supply across all scenarios.  The small variation in optimal plant sizes is primarily related to SENDOUT modeling limitations because in optimization mode, </w:t>
      </w:r>
      <w:r w:rsidRPr="0089320D">
        <w:rPr>
          <w:rStyle w:val="IRPsanstextChar"/>
          <w:caps/>
        </w:rPr>
        <w:t>Sendout</w:t>
      </w:r>
      <w:r>
        <w:rPr>
          <w:rStyle w:val="IRPsanstextChar"/>
        </w:rPr>
        <w:t xml:space="preserve"> assumes resources can be scaled linearly, meaning 75% of the plant would only cost 75% of the full cost.  That logic does not apply to an asset-based resource like the PSE LNG Project.  Additional analysis of the portfolio benefits of the PSE LNG Project discussed in Chapter 7 demonstrates the PSE LNG Project would be cost effective in every scenario. </w:t>
      </w:r>
    </w:p>
    <w:p w:rsidR="00A7100C" w:rsidRDefault="00A7100C" w:rsidP="00A7100C">
      <w:pPr>
        <w:pStyle w:val="IRPsanstext"/>
        <w:rPr>
          <w:rStyle w:val="IRPsanstextChar"/>
        </w:rPr>
      </w:pPr>
    </w:p>
    <w:p w:rsidR="00A7100C" w:rsidRDefault="00A7100C" w:rsidP="00A7100C">
      <w:pPr>
        <w:pStyle w:val="IRPsanstext"/>
        <w:rPr>
          <w:rStyle w:val="IRPsanstextChar"/>
        </w:rPr>
      </w:pPr>
      <w:proofErr w:type="gramStart"/>
      <w:r w:rsidRPr="00A91D58">
        <w:rPr>
          <w:rStyle w:val="IRPsanstextChar"/>
          <w:b/>
          <w:caps/>
        </w:rPr>
        <w:t>Factors That Could Affect Decision</w:t>
      </w:r>
      <w:r w:rsidRPr="00A91D58">
        <w:rPr>
          <w:rStyle w:val="IRPsanstextChar"/>
          <w:caps/>
        </w:rPr>
        <w:t>.</w:t>
      </w:r>
      <w:proofErr w:type="gramEnd"/>
      <w:r>
        <w:rPr>
          <w:rStyle w:val="IRPsanstextChar"/>
        </w:rPr>
        <w:t xml:space="preserve">  </w:t>
      </w:r>
      <w:r>
        <w:rPr>
          <w:rFonts w:ascii="Tahoma" w:eastAsia="Times New Roman" w:hAnsi="Tahoma" w:cs="Tahoma"/>
          <w:color w:val="000000"/>
        </w:rPr>
        <w:t>PSE is in the late development stage of the LNG peaking project in Tacoma.  Our final decision will be based on the receipt of all major project permits, and take into account regulatory and other business considerations, taken as a whole.</w:t>
      </w:r>
    </w:p>
    <w:p w:rsidR="00486450" w:rsidRDefault="00486450" w:rsidP="00A7100C">
      <w:pPr>
        <w:pStyle w:val="IRPsanstext"/>
        <w:rPr>
          <w:rStyle w:val="IRPsanstextChar"/>
        </w:rPr>
      </w:pPr>
    </w:p>
    <w:p w:rsidR="00A7100C" w:rsidRDefault="00A7100C" w:rsidP="00A7100C">
      <w:pPr>
        <w:pStyle w:val="IRPsanstext"/>
        <w:rPr>
          <w:rStyle w:val="IRPsanstextChar"/>
        </w:rPr>
      </w:pPr>
      <w:proofErr w:type="gramStart"/>
      <w:r w:rsidRPr="00A91D58">
        <w:rPr>
          <w:rStyle w:val="IRPsanstextChar"/>
          <w:b/>
          <w:caps/>
        </w:rPr>
        <w:t>Discussion</w:t>
      </w:r>
      <w:r>
        <w:rPr>
          <w:rStyle w:val="IRPsanstextChar"/>
          <w:b/>
        </w:rPr>
        <w:t>.</w:t>
      </w:r>
      <w:proofErr w:type="gramEnd"/>
      <w:r>
        <w:rPr>
          <w:rStyle w:val="IRPsanstextChar"/>
        </w:rPr>
        <w:t xml:space="preserve">  Some level of capacity </w:t>
      </w:r>
      <w:proofErr w:type="gramStart"/>
      <w:r>
        <w:rPr>
          <w:rStyle w:val="IRPsanstextChar"/>
        </w:rPr>
        <w:t>from  the</w:t>
      </w:r>
      <w:proofErr w:type="gramEnd"/>
      <w:r>
        <w:rPr>
          <w:rStyle w:val="IRPsanstextChar"/>
        </w:rPr>
        <w:t xml:space="preserve"> PSE LNG Project appears cost effective in every scenario.  In four cases, the </w:t>
      </w:r>
      <w:r w:rsidRPr="0089320D">
        <w:rPr>
          <w:rStyle w:val="IRPsanstextChar"/>
          <w:caps/>
        </w:rPr>
        <w:t>Sendout</w:t>
      </w:r>
      <w:r>
        <w:rPr>
          <w:rStyle w:val="IRPsanstextChar"/>
        </w:rPr>
        <w:t xml:space="preserve"> optimization analysis showed less than the full 85 MDth per day would be cost effective, but additional analysis demonstrated that the full capacity would be cost effective in all scenarios.  In optimization mode, the SENDOUT model uses a simplifying assumption that optimal sizing is possible and that the relationship between capacity and cost is linear. Since the costs of the LNG project do not vary linearly with capacity, additional analysis was necessary to understand the tradeoffs of including or excluding LNG across the different scenarios. </w:t>
      </w:r>
    </w:p>
    <w:p w:rsidR="00A7100C" w:rsidRDefault="00A7100C" w:rsidP="00A7100C">
      <w:pPr>
        <w:pStyle w:val="IRPsanstext"/>
        <w:rPr>
          <w:rStyle w:val="IRPsanstextChar"/>
        </w:rPr>
      </w:pPr>
    </w:p>
    <w:p w:rsidR="00A7100C" w:rsidRDefault="00A7100C" w:rsidP="00A7100C">
      <w:pPr>
        <w:pStyle w:val="IRPsanstext"/>
        <w:rPr>
          <w:rStyle w:val="IRPsanstextChar"/>
        </w:rPr>
      </w:pPr>
      <w:r>
        <w:rPr>
          <w:rStyle w:val="IRPsanstextChar"/>
        </w:rPr>
        <w:t xml:space="preserve">For each scenario, we ran another set of analyses.  In one, the LNG Peaking Project was included in the portfolio at 85 MDth per day, and in the other the project was excluded.  The results quantify the net benefit (or cost) to customers in each scenario.  Figure 2-11, below, demonstrates that the NPV benefits to customers of the LNG Peaking Project range from $8.4 million to $103 million, with the Base Scenario showing a savings to customers of almost $98 million.  Given the 85 MDth per day LNG Peaking plant is a least cost resource in every scenario, it was included in the resource additions forecast. </w:t>
      </w:r>
    </w:p>
    <w:p w:rsidR="00A7100C" w:rsidRDefault="00A7100C" w:rsidP="00A7100C">
      <w:pPr>
        <w:pStyle w:val="IRPsanstext"/>
        <w:rPr>
          <w:rStyle w:val="IRPsanstextChar"/>
        </w:rPr>
      </w:pPr>
    </w:p>
    <w:p w:rsidR="00A7100C" w:rsidRDefault="00A7100C" w:rsidP="00A7100C">
      <w:pPr>
        <w:pStyle w:val="IRPsanstext"/>
        <w:rPr>
          <w:rStyle w:val="IRPsanstextChar"/>
        </w:rPr>
      </w:pPr>
    </w:p>
    <w:p w:rsidR="00E91F51" w:rsidRDefault="00E91F51">
      <w:pPr>
        <w:rPr>
          <w:rStyle w:val="IRPsanstextChar"/>
          <w:sz w:val="20"/>
          <w:szCs w:val="20"/>
        </w:rPr>
      </w:pPr>
      <w:r>
        <w:rPr>
          <w:rStyle w:val="IRPsanstextChar"/>
          <w:i/>
        </w:rPr>
        <w:br w:type="page"/>
      </w:r>
    </w:p>
    <w:p w:rsidR="00A7100C" w:rsidRDefault="00A7100C" w:rsidP="0039474D">
      <w:pPr>
        <w:pStyle w:val="IRPsanstext"/>
        <w:spacing w:after="120"/>
        <w:jc w:val="center"/>
      </w:pPr>
      <w:r w:rsidRPr="00686B65">
        <w:rPr>
          <w:rStyle w:val="IRPsanstextChar"/>
          <w:i/>
        </w:rPr>
        <w:lastRenderedPageBreak/>
        <w:t>Figure 2-1</w:t>
      </w:r>
      <w:r>
        <w:rPr>
          <w:rStyle w:val="IRPsanstextChar"/>
          <w:i/>
        </w:rPr>
        <w:t>1</w:t>
      </w:r>
      <w:r w:rsidRPr="00686B65">
        <w:rPr>
          <w:rStyle w:val="IRPsanstextChar"/>
          <w:i/>
        </w:rPr>
        <w:t>: Portfolio Benefits From PSE LNG Peaker</w:t>
      </w:r>
    </w:p>
    <w:tbl>
      <w:tblPr>
        <w:tblW w:w="8079" w:type="dxa"/>
        <w:tblCellMar>
          <w:left w:w="0" w:type="dxa"/>
          <w:right w:w="0" w:type="dxa"/>
        </w:tblCellMar>
        <w:tblLook w:val="04A0" w:firstRow="1" w:lastRow="0" w:firstColumn="1" w:lastColumn="0" w:noHBand="0" w:noVBand="1"/>
      </w:tblPr>
      <w:tblGrid>
        <w:gridCol w:w="2763"/>
        <w:gridCol w:w="1772"/>
        <w:gridCol w:w="1752"/>
        <w:gridCol w:w="1800"/>
      </w:tblGrid>
      <w:tr w:rsidR="00A7100C">
        <w:trPr>
          <w:trHeight w:val="300"/>
        </w:trPr>
        <w:tc>
          <w:tcPr>
            <w:tcW w:w="2755" w:type="dxa"/>
            <w:tcBorders>
              <w:top w:val="nil"/>
              <w:left w:val="nil"/>
              <w:bottom w:val="single" w:sz="4" w:space="0" w:color="auto"/>
              <w:right w:val="nil"/>
            </w:tcBorders>
            <w:shd w:val="clear" w:color="000000" w:fill="FFFFFF"/>
            <w:noWrap/>
            <w:vAlign w:val="bottom"/>
          </w:tcPr>
          <w:p w:rsidR="00A7100C" w:rsidRDefault="00A7100C" w:rsidP="004073CB">
            <w:pPr>
              <w:rPr>
                <w:rFonts w:ascii="Calibri" w:hAnsi="Calibri"/>
                <w:color w:val="000000"/>
              </w:rPr>
            </w:pPr>
          </w:p>
        </w:tc>
        <w:tc>
          <w:tcPr>
            <w:tcW w:w="5324" w:type="dxa"/>
            <w:gridSpan w:val="3"/>
            <w:tcBorders>
              <w:top w:val="single" w:sz="4" w:space="0" w:color="auto"/>
              <w:left w:val="single" w:sz="4" w:space="0" w:color="auto"/>
              <w:bottom w:val="single" w:sz="4" w:space="0" w:color="auto"/>
              <w:right w:val="single" w:sz="4" w:space="0" w:color="000000"/>
            </w:tcBorders>
            <w:shd w:val="clear" w:color="auto" w:fill="156570"/>
            <w:noWrap/>
            <w:vAlign w:val="bottom"/>
          </w:tcPr>
          <w:p w:rsidR="00A7100C" w:rsidRPr="0039474D" w:rsidRDefault="00A7100C" w:rsidP="004073CB">
            <w:pPr>
              <w:jc w:val="center"/>
              <w:rPr>
                <w:rFonts w:ascii="Arial" w:hAnsi="Arial" w:cs="Arial"/>
                <w:b/>
                <w:bCs/>
                <w:color w:val="FFFFFF" w:themeColor="background1"/>
              </w:rPr>
            </w:pPr>
            <w:r w:rsidRPr="0039474D">
              <w:rPr>
                <w:rFonts w:ascii="Arial" w:hAnsi="Arial" w:cs="Arial"/>
                <w:b/>
                <w:bCs/>
                <w:color w:val="FFFFFF" w:themeColor="background1"/>
                <w:sz w:val="22"/>
                <w:szCs w:val="22"/>
              </w:rPr>
              <w:t>Gas Portfolio Costs Net Present Value ($000s)</w:t>
            </w:r>
          </w:p>
        </w:tc>
      </w:tr>
      <w:tr w:rsidR="00A7100C">
        <w:trPr>
          <w:trHeight w:val="746"/>
        </w:trPr>
        <w:tc>
          <w:tcPr>
            <w:tcW w:w="2755" w:type="dxa"/>
            <w:tcBorders>
              <w:top w:val="nil"/>
              <w:left w:val="single" w:sz="4" w:space="0" w:color="auto"/>
              <w:bottom w:val="single" w:sz="4" w:space="0" w:color="auto"/>
              <w:right w:val="single" w:sz="4" w:space="0" w:color="auto"/>
            </w:tcBorders>
            <w:shd w:val="clear" w:color="auto" w:fill="156570"/>
            <w:vAlign w:val="bottom"/>
          </w:tcPr>
          <w:p w:rsidR="00A7100C" w:rsidRPr="0039474D" w:rsidRDefault="00A7100C" w:rsidP="004073CB">
            <w:pPr>
              <w:rPr>
                <w:rFonts w:ascii="Arial" w:hAnsi="Arial" w:cs="Arial"/>
                <w:b/>
                <w:bCs/>
                <w:color w:val="FFFFFF" w:themeColor="background1"/>
              </w:rPr>
            </w:pPr>
            <w:r w:rsidRPr="0039474D">
              <w:rPr>
                <w:rFonts w:ascii="Arial" w:hAnsi="Arial" w:cs="Arial"/>
                <w:b/>
                <w:bCs/>
                <w:color w:val="FFFFFF" w:themeColor="background1"/>
                <w:sz w:val="22"/>
                <w:szCs w:val="22"/>
              </w:rPr>
              <w:t>SCENARIO</w:t>
            </w:r>
          </w:p>
        </w:tc>
        <w:tc>
          <w:tcPr>
            <w:tcW w:w="1772" w:type="dxa"/>
            <w:tcBorders>
              <w:top w:val="nil"/>
              <w:left w:val="nil"/>
              <w:bottom w:val="single" w:sz="4" w:space="0" w:color="auto"/>
              <w:right w:val="single" w:sz="4" w:space="0" w:color="auto"/>
            </w:tcBorders>
            <w:shd w:val="clear" w:color="auto" w:fill="156570"/>
            <w:vAlign w:val="bottom"/>
          </w:tcPr>
          <w:p w:rsidR="00A7100C" w:rsidRPr="0039474D" w:rsidRDefault="00A7100C" w:rsidP="004073CB">
            <w:pPr>
              <w:jc w:val="center"/>
              <w:rPr>
                <w:rFonts w:ascii="Arial" w:hAnsi="Arial" w:cs="Arial"/>
                <w:b/>
                <w:bCs/>
                <w:color w:val="FFFFFF" w:themeColor="background1"/>
              </w:rPr>
            </w:pPr>
            <w:r w:rsidRPr="0039474D">
              <w:rPr>
                <w:rFonts w:ascii="Arial" w:hAnsi="Arial" w:cs="Arial"/>
                <w:b/>
                <w:bCs/>
                <w:color w:val="FFFFFF" w:themeColor="background1"/>
                <w:sz w:val="22"/>
                <w:szCs w:val="22"/>
              </w:rPr>
              <w:t>FULL LNG</w:t>
            </w:r>
          </w:p>
        </w:tc>
        <w:tc>
          <w:tcPr>
            <w:tcW w:w="1752" w:type="dxa"/>
            <w:tcBorders>
              <w:top w:val="nil"/>
              <w:left w:val="nil"/>
              <w:bottom w:val="single" w:sz="4" w:space="0" w:color="auto"/>
              <w:right w:val="single" w:sz="4" w:space="0" w:color="auto"/>
            </w:tcBorders>
            <w:shd w:val="clear" w:color="auto" w:fill="156570"/>
            <w:vAlign w:val="bottom"/>
          </w:tcPr>
          <w:p w:rsidR="00A7100C" w:rsidRPr="0039474D" w:rsidRDefault="00A7100C" w:rsidP="004073CB">
            <w:pPr>
              <w:jc w:val="center"/>
              <w:rPr>
                <w:rFonts w:ascii="Arial" w:hAnsi="Arial" w:cs="Arial"/>
                <w:b/>
                <w:bCs/>
                <w:color w:val="FFFFFF" w:themeColor="background1"/>
              </w:rPr>
            </w:pPr>
            <w:r w:rsidRPr="0039474D">
              <w:rPr>
                <w:rFonts w:ascii="Arial" w:hAnsi="Arial" w:cs="Arial"/>
                <w:b/>
                <w:bCs/>
                <w:color w:val="FFFFFF" w:themeColor="background1"/>
                <w:sz w:val="22"/>
                <w:szCs w:val="22"/>
              </w:rPr>
              <w:t>NO LNG</w:t>
            </w:r>
          </w:p>
        </w:tc>
        <w:tc>
          <w:tcPr>
            <w:tcW w:w="1800" w:type="dxa"/>
            <w:tcBorders>
              <w:top w:val="nil"/>
              <w:left w:val="nil"/>
              <w:bottom w:val="single" w:sz="4" w:space="0" w:color="auto"/>
              <w:right w:val="single" w:sz="4" w:space="0" w:color="auto"/>
            </w:tcBorders>
            <w:shd w:val="clear" w:color="auto" w:fill="156570"/>
            <w:vAlign w:val="bottom"/>
          </w:tcPr>
          <w:p w:rsidR="00A7100C" w:rsidRPr="0039474D" w:rsidRDefault="00A7100C" w:rsidP="004073CB">
            <w:pPr>
              <w:jc w:val="center"/>
              <w:rPr>
                <w:rFonts w:ascii="Arial" w:hAnsi="Arial" w:cs="Arial"/>
                <w:b/>
                <w:bCs/>
                <w:color w:val="FFFFFF" w:themeColor="background1"/>
              </w:rPr>
            </w:pPr>
            <w:r w:rsidRPr="0039474D">
              <w:rPr>
                <w:rFonts w:ascii="Arial" w:hAnsi="Arial" w:cs="Arial"/>
                <w:b/>
                <w:bCs/>
                <w:color w:val="FFFFFF" w:themeColor="background1"/>
                <w:sz w:val="22"/>
                <w:szCs w:val="22"/>
              </w:rPr>
              <w:t>(Benefit) / Cost of LNG</w:t>
            </w:r>
          </w:p>
        </w:tc>
      </w:tr>
      <w:tr w:rsidR="00A7100C" w:rsidRPr="0039474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tcPr>
          <w:p w:rsidR="00A7100C" w:rsidRPr="0039474D" w:rsidRDefault="00A7100C" w:rsidP="004073CB">
            <w:pPr>
              <w:rPr>
                <w:rFonts w:ascii="Arial" w:hAnsi="Arial" w:cs="Arial"/>
                <w:b/>
                <w:bCs/>
                <w:sz w:val="20"/>
                <w:szCs w:val="20"/>
              </w:rPr>
            </w:pPr>
            <w:r w:rsidRPr="0039474D">
              <w:rPr>
                <w:rFonts w:ascii="Arial" w:hAnsi="Arial" w:cs="Arial"/>
                <w:b/>
                <w:bCs/>
                <w:sz w:val="20"/>
                <w:szCs w:val="20"/>
              </w:rPr>
              <w:t>BASE</w:t>
            </w:r>
          </w:p>
        </w:tc>
        <w:tc>
          <w:tcPr>
            <w:tcW w:w="1772" w:type="dxa"/>
            <w:tcBorders>
              <w:top w:val="nil"/>
              <w:left w:val="nil"/>
              <w:bottom w:val="single" w:sz="4" w:space="0" w:color="auto"/>
              <w:right w:val="single" w:sz="4" w:space="0" w:color="auto"/>
            </w:tcBorders>
            <w:shd w:val="clear" w:color="auto" w:fill="auto"/>
            <w:vAlign w:val="bottom"/>
          </w:tcPr>
          <w:p w:rsidR="00A7100C" w:rsidRPr="0039474D" w:rsidRDefault="00A7100C" w:rsidP="004073CB">
            <w:pPr>
              <w:rPr>
                <w:rFonts w:ascii="Calibri" w:hAnsi="Calibri"/>
                <w:color w:val="000000"/>
                <w:sz w:val="20"/>
                <w:szCs w:val="20"/>
              </w:rPr>
            </w:pPr>
            <w:r w:rsidRPr="0039474D">
              <w:rPr>
                <w:rFonts w:ascii="Calibri" w:hAnsi="Calibri"/>
                <w:color w:val="000000"/>
                <w:sz w:val="20"/>
                <w:szCs w:val="20"/>
              </w:rPr>
              <w:t>$          9,366,925</w:t>
            </w:r>
          </w:p>
        </w:tc>
        <w:tc>
          <w:tcPr>
            <w:tcW w:w="1752" w:type="dxa"/>
            <w:tcBorders>
              <w:top w:val="nil"/>
              <w:left w:val="single" w:sz="4" w:space="0" w:color="auto"/>
              <w:bottom w:val="single" w:sz="4" w:space="0" w:color="auto"/>
              <w:right w:val="nil"/>
            </w:tcBorders>
            <w:shd w:val="clear" w:color="auto" w:fill="auto"/>
            <w:vAlign w:val="bottom"/>
          </w:tcPr>
          <w:p w:rsidR="00A7100C" w:rsidRPr="0039474D" w:rsidRDefault="00A7100C" w:rsidP="004073CB">
            <w:pPr>
              <w:rPr>
                <w:rFonts w:ascii="Calibri" w:hAnsi="Calibri"/>
                <w:color w:val="000000"/>
                <w:sz w:val="20"/>
                <w:szCs w:val="20"/>
              </w:rPr>
            </w:pPr>
            <w:r w:rsidRPr="0039474D">
              <w:rPr>
                <w:rFonts w:ascii="Calibri" w:hAnsi="Calibri"/>
                <w:color w:val="000000"/>
                <w:sz w:val="20"/>
                <w:szCs w:val="20"/>
              </w:rPr>
              <w:t>$          9,464,726</w:t>
            </w:r>
          </w:p>
        </w:tc>
        <w:tc>
          <w:tcPr>
            <w:tcW w:w="0" w:type="auto"/>
            <w:tcBorders>
              <w:top w:val="nil"/>
              <w:left w:val="single" w:sz="4" w:space="0" w:color="auto"/>
              <w:bottom w:val="single" w:sz="4" w:space="0" w:color="auto"/>
              <w:right w:val="single" w:sz="4" w:space="0" w:color="auto"/>
            </w:tcBorders>
            <w:shd w:val="clear" w:color="auto" w:fill="auto"/>
            <w:noWrap/>
            <w:vAlign w:val="bottom"/>
          </w:tcPr>
          <w:p w:rsidR="00A7100C" w:rsidRPr="0039474D" w:rsidRDefault="00A7100C" w:rsidP="004073CB">
            <w:pPr>
              <w:rPr>
                <w:rFonts w:ascii="Calibri" w:hAnsi="Calibri"/>
                <w:color w:val="000000"/>
                <w:sz w:val="20"/>
                <w:szCs w:val="20"/>
              </w:rPr>
            </w:pPr>
            <w:r w:rsidRPr="0039474D">
              <w:rPr>
                <w:rFonts w:ascii="Calibri" w:hAnsi="Calibri"/>
                <w:color w:val="000000"/>
                <w:sz w:val="20"/>
                <w:szCs w:val="20"/>
              </w:rPr>
              <w:t>$              (97,801)</w:t>
            </w:r>
          </w:p>
        </w:tc>
      </w:tr>
      <w:tr w:rsidR="00A7100C" w:rsidRPr="0039474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tcPr>
          <w:p w:rsidR="00A7100C" w:rsidRPr="0039474D" w:rsidRDefault="00A7100C" w:rsidP="004073CB">
            <w:pPr>
              <w:rPr>
                <w:rFonts w:ascii="Arial" w:hAnsi="Arial" w:cs="Arial"/>
                <w:b/>
                <w:bCs/>
                <w:sz w:val="20"/>
                <w:szCs w:val="20"/>
              </w:rPr>
            </w:pPr>
            <w:r w:rsidRPr="0039474D">
              <w:rPr>
                <w:rFonts w:ascii="Arial" w:hAnsi="Arial" w:cs="Arial"/>
                <w:b/>
                <w:bCs/>
                <w:sz w:val="20"/>
                <w:szCs w:val="20"/>
              </w:rPr>
              <w:t>LOW</w:t>
            </w:r>
          </w:p>
        </w:tc>
        <w:tc>
          <w:tcPr>
            <w:tcW w:w="1772" w:type="dxa"/>
            <w:tcBorders>
              <w:top w:val="nil"/>
              <w:left w:val="nil"/>
              <w:bottom w:val="single" w:sz="4" w:space="0" w:color="auto"/>
              <w:right w:val="single" w:sz="4" w:space="0" w:color="auto"/>
            </w:tcBorders>
            <w:shd w:val="clear" w:color="auto" w:fill="auto"/>
            <w:vAlign w:val="bottom"/>
          </w:tcPr>
          <w:p w:rsidR="00A7100C" w:rsidRPr="0039474D" w:rsidRDefault="00A7100C" w:rsidP="004073CB">
            <w:pPr>
              <w:rPr>
                <w:rFonts w:ascii="Calibri" w:hAnsi="Calibri"/>
                <w:color w:val="000000"/>
                <w:sz w:val="20"/>
                <w:szCs w:val="20"/>
              </w:rPr>
            </w:pPr>
            <w:r w:rsidRPr="0039474D">
              <w:rPr>
                <w:rFonts w:ascii="Calibri" w:hAnsi="Calibri"/>
                <w:color w:val="000000"/>
                <w:sz w:val="20"/>
                <w:szCs w:val="20"/>
              </w:rPr>
              <w:t>$          6,257,998</w:t>
            </w:r>
          </w:p>
        </w:tc>
        <w:tc>
          <w:tcPr>
            <w:tcW w:w="1752" w:type="dxa"/>
            <w:tcBorders>
              <w:top w:val="nil"/>
              <w:left w:val="single" w:sz="4" w:space="0" w:color="auto"/>
              <w:bottom w:val="single" w:sz="4" w:space="0" w:color="auto"/>
              <w:right w:val="nil"/>
            </w:tcBorders>
            <w:shd w:val="clear" w:color="auto" w:fill="auto"/>
            <w:vAlign w:val="bottom"/>
          </w:tcPr>
          <w:p w:rsidR="00A7100C" w:rsidRPr="0039474D" w:rsidRDefault="00A7100C" w:rsidP="004073CB">
            <w:pPr>
              <w:rPr>
                <w:rFonts w:ascii="Calibri" w:hAnsi="Calibri"/>
                <w:color w:val="000000"/>
                <w:sz w:val="20"/>
                <w:szCs w:val="20"/>
              </w:rPr>
            </w:pPr>
            <w:r w:rsidRPr="0039474D">
              <w:rPr>
                <w:rFonts w:ascii="Calibri" w:hAnsi="Calibri"/>
                <w:color w:val="000000"/>
                <w:sz w:val="20"/>
                <w:szCs w:val="20"/>
              </w:rPr>
              <w:t>$          6,294,659</w:t>
            </w:r>
          </w:p>
        </w:tc>
        <w:tc>
          <w:tcPr>
            <w:tcW w:w="0" w:type="auto"/>
            <w:tcBorders>
              <w:top w:val="nil"/>
              <w:left w:val="single" w:sz="4" w:space="0" w:color="auto"/>
              <w:bottom w:val="single" w:sz="4" w:space="0" w:color="auto"/>
              <w:right w:val="single" w:sz="4" w:space="0" w:color="auto"/>
            </w:tcBorders>
            <w:shd w:val="clear" w:color="auto" w:fill="auto"/>
            <w:noWrap/>
            <w:vAlign w:val="bottom"/>
          </w:tcPr>
          <w:p w:rsidR="00A7100C" w:rsidRPr="0039474D" w:rsidRDefault="00A7100C" w:rsidP="004073CB">
            <w:pPr>
              <w:rPr>
                <w:rFonts w:ascii="Calibri" w:hAnsi="Calibri"/>
                <w:color w:val="000000"/>
                <w:sz w:val="20"/>
                <w:szCs w:val="20"/>
              </w:rPr>
            </w:pPr>
            <w:r w:rsidRPr="0039474D">
              <w:rPr>
                <w:rFonts w:ascii="Calibri" w:hAnsi="Calibri"/>
                <w:color w:val="000000"/>
                <w:sz w:val="20"/>
                <w:szCs w:val="20"/>
              </w:rPr>
              <w:t>$              (36,661)</w:t>
            </w:r>
          </w:p>
        </w:tc>
      </w:tr>
      <w:tr w:rsidR="00A7100C" w:rsidRPr="0039474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tcPr>
          <w:p w:rsidR="00A7100C" w:rsidRPr="0039474D" w:rsidRDefault="00A7100C" w:rsidP="004073CB">
            <w:pPr>
              <w:rPr>
                <w:rFonts w:ascii="Arial" w:hAnsi="Arial" w:cs="Arial"/>
                <w:b/>
                <w:bCs/>
                <w:sz w:val="20"/>
                <w:szCs w:val="20"/>
              </w:rPr>
            </w:pPr>
            <w:r w:rsidRPr="0039474D">
              <w:rPr>
                <w:rFonts w:ascii="Arial" w:hAnsi="Arial" w:cs="Arial"/>
                <w:b/>
                <w:bCs/>
                <w:sz w:val="20"/>
                <w:szCs w:val="20"/>
              </w:rPr>
              <w:t>HIGH</w:t>
            </w:r>
          </w:p>
        </w:tc>
        <w:tc>
          <w:tcPr>
            <w:tcW w:w="1772" w:type="dxa"/>
            <w:tcBorders>
              <w:top w:val="nil"/>
              <w:left w:val="nil"/>
              <w:bottom w:val="single" w:sz="4" w:space="0" w:color="auto"/>
              <w:right w:val="single" w:sz="4" w:space="0" w:color="auto"/>
            </w:tcBorders>
            <w:shd w:val="clear" w:color="auto" w:fill="auto"/>
            <w:vAlign w:val="bottom"/>
          </w:tcPr>
          <w:p w:rsidR="00A7100C" w:rsidRPr="0039474D" w:rsidRDefault="00A7100C" w:rsidP="004073CB">
            <w:pPr>
              <w:rPr>
                <w:rFonts w:ascii="Calibri" w:hAnsi="Calibri"/>
                <w:color w:val="000000"/>
                <w:sz w:val="20"/>
                <w:szCs w:val="20"/>
              </w:rPr>
            </w:pPr>
            <w:r w:rsidRPr="0039474D">
              <w:rPr>
                <w:rFonts w:ascii="Calibri" w:hAnsi="Calibri"/>
                <w:color w:val="000000"/>
                <w:sz w:val="20"/>
                <w:szCs w:val="20"/>
              </w:rPr>
              <w:t>$        12,963,307</w:t>
            </w:r>
          </w:p>
        </w:tc>
        <w:tc>
          <w:tcPr>
            <w:tcW w:w="1752" w:type="dxa"/>
            <w:tcBorders>
              <w:top w:val="nil"/>
              <w:left w:val="single" w:sz="4" w:space="0" w:color="auto"/>
              <w:bottom w:val="single" w:sz="4" w:space="0" w:color="auto"/>
              <w:right w:val="nil"/>
            </w:tcBorders>
            <w:shd w:val="clear" w:color="auto" w:fill="auto"/>
            <w:vAlign w:val="bottom"/>
          </w:tcPr>
          <w:p w:rsidR="00A7100C" w:rsidRPr="0039474D" w:rsidRDefault="00A7100C" w:rsidP="004073CB">
            <w:pPr>
              <w:rPr>
                <w:rFonts w:ascii="Calibri" w:hAnsi="Calibri"/>
                <w:color w:val="000000"/>
                <w:sz w:val="20"/>
                <w:szCs w:val="20"/>
              </w:rPr>
            </w:pPr>
            <w:r w:rsidRPr="0039474D">
              <w:rPr>
                <w:rFonts w:ascii="Calibri" w:hAnsi="Calibri"/>
                <w:color w:val="000000"/>
                <w:sz w:val="20"/>
                <w:szCs w:val="20"/>
              </w:rPr>
              <w:t>$        13,052,452</w:t>
            </w:r>
          </w:p>
        </w:tc>
        <w:tc>
          <w:tcPr>
            <w:tcW w:w="0" w:type="auto"/>
            <w:tcBorders>
              <w:top w:val="nil"/>
              <w:left w:val="single" w:sz="4" w:space="0" w:color="auto"/>
              <w:bottom w:val="single" w:sz="4" w:space="0" w:color="auto"/>
              <w:right w:val="single" w:sz="4" w:space="0" w:color="auto"/>
            </w:tcBorders>
            <w:shd w:val="clear" w:color="auto" w:fill="auto"/>
            <w:noWrap/>
            <w:vAlign w:val="bottom"/>
          </w:tcPr>
          <w:p w:rsidR="00A7100C" w:rsidRPr="0039474D" w:rsidRDefault="00A7100C" w:rsidP="004073CB">
            <w:pPr>
              <w:rPr>
                <w:rFonts w:ascii="Calibri" w:hAnsi="Calibri"/>
                <w:color w:val="000000"/>
                <w:sz w:val="20"/>
                <w:szCs w:val="20"/>
              </w:rPr>
            </w:pPr>
            <w:r w:rsidRPr="0039474D">
              <w:rPr>
                <w:rFonts w:ascii="Calibri" w:hAnsi="Calibri"/>
                <w:color w:val="000000"/>
                <w:sz w:val="20"/>
                <w:szCs w:val="20"/>
              </w:rPr>
              <w:t>$              (89,146)</w:t>
            </w:r>
          </w:p>
        </w:tc>
      </w:tr>
      <w:tr w:rsidR="00A7100C" w:rsidRPr="0039474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tcPr>
          <w:p w:rsidR="00A7100C" w:rsidRPr="0039474D" w:rsidRDefault="00A7100C" w:rsidP="004073CB">
            <w:pPr>
              <w:rPr>
                <w:rFonts w:ascii="Arial" w:hAnsi="Arial" w:cs="Arial"/>
                <w:b/>
                <w:bCs/>
                <w:sz w:val="20"/>
                <w:szCs w:val="20"/>
              </w:rPr>
            </w:pPr>
            <w:r w:rsidRPr="0039474D">
              <w:rPr>
                <w:rFonts w:ascii="Arial" w:hAnsi="Arial" w:cs="Arial"/>
                <w:b/>
                <w:bCs/>
                <w:sz w:val="20"/>
                <w:szCs w:val="20"/>
              </w:rPr>
              <w:t>BASE + LOW GAS</w:t>
            </w:r>
          </w:p>
        </w:tc>
        <w:tc>
          <w:tcPr>
            <w:tcW w:w="1772" w:type="dxa"/>
            <w:tcBorders>
              <w:top w:val="nil"/>
              <w:left w:val="nil"/>
              <w:bottom w:val="single" w:sz="4" w:space="0" w:color="auto"/>
              <w:right w:val="single" w:sz="4" w:space="0" w:color="auto"/>
            </w:tcBorders>
            <w:shd w:val="clear" w:color="auto" w:fill="auto"/>
            <w:vAlign w:val="bottom"/>
          </w:tcPr>
          <w:p w:rsidR="00A7100C" w:rsidRPr="0039474D" w:rsidRDefault="00A7100C" w:rsidP="004073CB">
            <w:pPr>
              <w:rPr>
                <w:rFonts w:ascii="Calibri" w:hAnsi="Calibri"/>
                <w:color w:val="000000"/>
                <w:sz w:val="20"/>
                <w:szCs w:val="20"/>
              </w:rPr>
            </w:pPr>
            <w:r w:rsidRPr="0039474D">
              <w:rPr>
                <w:rFonts w:ascii="Calibri" w:hAnsi="Calibri"/>
                <w:color w:val="000000"/>
                <w:sz w:val="20"/>
                <w:szCs w:val="20"/>
              </w:rPr>
              <w:t>$          8,212,622</w:t>
            </w:r>
          </w:p>
        </w:tc>
        <w:tc>
          <w:tcPr>
            <w:tcW w:w="1752" w:type="dxa"/>
            <w:tcBorders>
              <w:top w:val="nil"/>
              <w:left w:val="single" w:sz="4" w:space="0" w:color="auto"/>
              <w:bottom w:val="single" w:sz="4" w:space="0" w:color="auto"/>
              <w:right w:val="nil"/>
            </w:tcBorders>
            <w:shd w:val="clear" w:color="auto" w:fill="auto"/>
            <w:vAlign w:val="bottom"/>
          </w:tcPr>
          <w:p w:rsidR="00A7100C" w:rsidRPr="0039474D" w:rsidRDefault="00A7100C" w:rsidP="004073CB">
            <w:pPr>
              <w:rPr>
                <w:rFonts w:ascii="Calibri" w:hAnsi="Calibri"/>
                <w:color w:val="000000"/>
                <w:sz w:val="20"/>
                <w:szCs w:val="20"/>
              </w:rPr>
            </w:pPr>
            <w:r w:rsidRPr="0039474D">
              <w:rPr>
                <w:rFonts w:ascii="Calibri" w:hAnsi="Calibri"/>
                <w:color w:val="000000"/>
                <w:sz w:val="20"/>
                <w:szCs w:val="20"/>
              </w:rPr>
              <w:t>$          8,263,903</w:t>
            </w:r>
          </w:p>
        </w:tc>
        <w:tc>
          <w:tcPr>
            <w:tcW w:w="0" w:type="auto"/>
            <w:tcBorders>
              <w:top w:val="nil"/>
              <w:left w:val="single" w:sz="4" w:space="0" w:color="auto"/>
              <w:bottom w:val="single" w:sz="4" w:space="0" w:color="auto"/>
              <w:right w:val="single" w:sz="4" w:space="0" w:color="auto"/>
            </w:tcBorders>
            <w:shd w:val="clear" w:color="auto" w:fill="auto"/>
            <w:noWrap/>
            <w:vAlign w:val="bottom"/>
          </w:tcPr>
          <w:p w:rsidR="00A7100C" w:rsidRPr="0039474D" w:rsidRDefault="00A7100C" w:rsidP="004073CB">
            <w:pPr>
              <w:rPr>
                <w:rFonts w:ascii="Calibri" w:hAnsi="Calibri"/>
                <w:color w:val="000000"/>
                <w:sz w:val="20"/>
                <w:szCs w:val="20"/>
              </w:rPr>
            </w:pPr>
            <w:r w:rsidRPr="0039474D">
              <w:rPr>
                <w:rFonts w:ascii="Calibri" w:hAnsi="Calibri"/>
                <w:color w:val="000000"/>
                <w:sz w:val="20"/>
                <w:szCs w:val="20"/>
              </w:rPr>
              <w:t>$              (51,281)</w:t>
            </w:r>
          </w:p>
        </w:tc>
      </w:tr>
      <w:tr w:rsidR="00A7100C" w:rsidRPr="0039474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tcPr>
          <w:p w:rsidR="00A7100C" w:rsidRPr="0039474D" w:rsidRDefault="00A7100C" w:rsidP="004073CB">
            <w:pPr>
              <w:rPr>
                <w:rFonts w:ascii="Arial" w:hAnsi="Arial" w:cs="Arial"/>
                <w:b/>
                <w:bCs/>
                <w:sz w:val="20"/>
                <w:szCs w:val="20"/>
              </w:rPr>
            </w:pPr>
            <w:r w:rsidRPr="0039474D">
              <w:rPr>
                <w:rFonts w:ascii="Arial" w:hAnsi="Arial" w:cs="Arial"/>
                <w:b/>
                <w:bCs/>
                <w:sz w:val="20"/>
                <w:szCs w:val="20"/>
              </w:rPr>
              <w:t>BASE + HIGH GAS</w:t>
            </w:r>
          </w:p>
        </w:tc>
        <w:tc>
          <w:tcPr>
            <w:tcW w:w="1772" w:type="dxa"/>
            <w:tcBorders>
              <w:top w:val="nil"/>
              <w:left w:val="nil"/>
              <w:bottom w:val="single" w:sz="4" w:space="0" w:color="auto"/>
              <w:right w:val="single" w:sz="4" w:space="0" w:color="auto"/>
            </w:tcBorders>
            <w:shd w:val="clear" w:color="auto" w:fill="auto"/>
            <w:vAlign w:val="bottom"/>
          </w:tcPr>
          <w:p w:rsidR="00A7100C" w:rsidRPr="0039474D" w:rsidRDefault="00A7100C" w:rsidP="004073CB">
            <w:pPr>
              <w:rPr>
                <w:rFonts w:ascii="Calibri" w:hAnsi="Calibri"/>
                <w:color w:val="000000"/>
                <w:sz w:val="20"/>
                <w:szCs w:val="20"/>
              </w:rPr>
            </w:pPr>
            <w:r w:rsidRPr="0039474D">
              <w:rPr>
                <w:rFonts w:ascii="Calibri" w:hAnsi="Calibri"/>
                <w:color w:val="000000"/>
                <w:sz w:val="20"/>
                <w:szCs w:val="20"/>
              </w:rPr>
              <w:t>$        10,719,839</w:t>
            </w:r>
          </w:p>
        </w:tc>
        <w:tc>
          <w:tcPr>
            <w:tcW w:w="1752" w:type="dxa"/>
            <w:tcBorders>
              <w:top w:val="nil"/>
              <w:left w:val="single" w:sz="4" w:space="0" w:color="auto"/>
              <w:bottom w:val="single" w:sz="4" w:space="0" w:color="auto"/>
              <w:right w:val="nil"/>
            </w:tcBorders>
            <w:shd w:val="clear" w:color="auto" w:fill="auto"/>
            <w:vAlign w:val="bottom"/>
          </w:tcPr>
          <w:p w:rsidR="00A7100C" w:rsidRPr="0039474D" w:rsidRDefault="00A7100C" w:rsidP="004073CB">
            <w:pPr>
              <w:rPr>
                <w:rFonts w:ascii="Calibri" w:hAnsi="Calibri"/>
                <w:color w:val="000000"/>
                <w:sz w:val="20"/>
                <w:szCs w:val="20"/>
              </w:rPr>
            </w:pPr>
            <w:r w:rsidRPr="0039474D">
              <w:rPr>
                <w:rFonts w:ascii="Calibri" w:hAnsi="Calibri"/>
                <w:color w:val="000000"/>
                <w:sz w:val="20"/>
                <w:szCs w:val="20"/>
              </w:rPr>
              <w:t>$        10,823,632</w:t>
            </w:r>
          </w:p>
        </w:tc>
        <w:tc>
          <w:tcPr>
            <w:tcW w:w="0" w:type="auto"/>
            <w:tcBorders>
              <w:top w:val="nil"/>
              <w:left w:val="single" w:sz="4" w:space="0" w:color="auto"/>
              <w:bottom w:val="single" w:sz="4" w:space="0" w:color="auto"/>
              <w:right w:val="single" w:sz="4" w:space="0" w:color="auto"/>
            </w:tcBorders>
            <w:shd w:val="clear" w:color="auto" w:fill="auto"/>
            <w:noWrap/>
            <w:vAlign w:val="bottom"/>
          </w:tcPr>
          <w:p w:rsidR="00A7100C" w:rsidRPr="0039474D" w:rsidRDefault="00A7100C" w:rsidP="004073CB">
            <w:pPr>
              <w:rPr>
                <w:rFonts w:ascii="Calibri" w:hAnsi="Calibri"/>
                <w:color w:val="000000"/>
                <w:sz w:val="20"/>
                <w:szCs w:val="20"/>
              </w:rPr>
            </w:pPr>
            <w:r w:rsidRPr="0039474D">
              <w:rPr>
                <w:rFonts w:ascii="Calibri" w:hAnsi="Calibri"/>
                <w:color w:val="000000"/>
                <w:sz w:val="20"/>
                <w:szCs w:val="20"/>
              </w:rPr>
              <w:t>$            (103,794)</w:t>
            </w:r>
          </w:p>
        </w:tc>
      </w:tr>
      <w:tr w:rsidR="00A7100C" w:rsidRPr="0039474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tcPr>
          <w:p w:rsidR="00A7100C" w:rsidRPr="0039474D" w:rsidRDefault="00A7100C" w:rsidP="004073CB">
            <w:pPr>
              <w:rPr>
                <w:rFonts w:ascii="Arial" w:hAnsi="Arial" w:cs="Arial"/>
                <w:b/>
                <w:bCs/>
                <w:sz w:val="20"/>
                <w:szCs w:val="20"/>
              </w:rPr>
            </w:pPr>
            <w:r w:rsidRPr="0039474D">
              <w:rPr>
                <w:rFonts w:ascii="Arial" w:hAnsi="Arial" w:cs="Arial"/>
                <w:b/>
                <w:bCs/>
                <w:sz w:val="20"/>
                <w:szCs w:val="20"/>
              </w:rPr>
              <w:t>BASE+VERY HIGH GAS</w:t>
            </w:r>
          </w:p>
        </w:tc>
        <w:tc>
          <w:tcPr>
            <w:tcW w:w="1772" w:type="dxa"/>
            <w:tcBorders>
              <w:top w:val="nil"/>
              <w:left w:val="nil"/>
              <w:bottom w:val="single" w:sz="4" w:space="0" w:color="auto"/>
              <w:right w:val="single" w:sz="4" w:space="0" w:color="auto"/>
            </w:tcBorders>
            <w:shd w:val="clear" w:color="auto" w:fill="auto"/>
            <w:vAlign w:val="bottom"/>
          </w:tcPr>
          <w:p w:rsidR="00A7100C" w:rsidRPr="0039474D" w:rsidRDefault="00A7100C" w:rsidP="004073CB">
            <w:pPr>
              <w:rPr>
                <w:rFonts w:ascii="Calibri" w:hAnsi="Calibri"/>
                <w:color w:val="000000"/>
                <w:sz w:val="20"/>
                <w:szCs w:val="20"/>
              </w:rPr>
            </w:pPr>
            <w:r w:rsidRPr="0039474D">
              <w:rPr>
                <w:rFonts w:ascii="Calibri" w:hAnsi="Calibri"/>
                <w:color w:val="000000"/>
                <w:sz w:val="20"/>
                <w:szCs w:val="20"/>
              </w:rPr>
              <w:t>$        11,906,047</w:t>
            </w:r>
          </w:p>
        </w:tc>
        <w:tc>
          <w:tcPr>
            <w:tcW w:w="1752" w:type="dxa"/>
            <w:tcBorders>
              <w:top w:val="nil"/>
              <w:left w:val="single" w:sz="4" w:space="0" w:color="auto"/>
              <w:bottom w:val="single" w:sz="4" w:space="0" w:color="auto"/>
              <w:right w:val="nil"/>
            </w:tcBorders>
            <w:shd w:val="clear" w:color="auto" w:fill="auto"/>
            <w:vAlign w:val="bottom"/>
          </w:tcPr>
          <w:p w:rsidR="00A7100C" w:rsidRPr="0039474D" w:rsidRDefault="00A7100C" w:rsidP="004073CB">
            <w:pPr>
              <w:rPr>
                <w:rFonts w:ascii="Calibri" w:hAnsi="Calibri"/>
                <w:color w:val="000000"/>
                <w:sz w:val="20"/>
                <w:szCs w:val="20"/>
              </w:rPr>
            </w:pPr>
            <w:r w:rsidRPr="0039474D">
              <w:rPr>
                <w:rFonts w:ascii="Calibri" w:hAnsi="Calibri"/>
                <w:color w:val="000000"/>
                <w:sz w:val="20"/>
                <w:szCs w:val="20"/>
              </w:rPr>
              <w:t>$        11,994,805</w:t>
            </w:r>
          </w:p>
        </w:tc>
        <w:tc>
          <w:tcPr>
            <w:tcW w:w="0" w:type="auto"/>
            <w:tcBorders>
              <w:top w:val="nil"/>
              <w:left w:val="single" w:sz="4" w:space="0" w:color="auto"/>
              <w:bottom w:val="single" w:sz="4" w:space="0" w:color="auto"/>
              <w:right w:val="single" w:sz="4" w:space="0" w:color="auto"/>
            </w:tcBorders>
            <w:shd w:val="clear" w:color="auto" w:fill="auto"/>
            <w:noWrap/>
            <w:vAlign w:val="bottom"/>
          </w:tcPr>
          <w:p w:rsidR="00A7100C" w:rsidRPr="0039474D" w:rsidRDefault="00A7100C" w:rsidP="004073CB">
            <w:pPr>
              <w:rPr>
                <w:rFonts w:ascii="Calibri" w:hAnsi="Calibri"/>
                <w:color w:val="000000"/>
                <w:sz w:val="20"/>
                <w:szCs w:val="20"/>
              </w:rPr>
            </w:pPr>
            <w:r w:rsidRPr="0039474D">
              <w:rPr>
                <w:rFonts w:ascii="Calibri" w:hAnsi="Calibri"/>
                <w:color w:val="000000"/>
                <w:sz w:val="20"/>
                <w:szCs w:val="20"/>
              </w:rPr>
              <w:t>$              (88,758)</w:t>
            </w:r>
          </w:p>
        </w:tc>
      </w:tr>
      <w:tr w:rsidR="00A7100C" w:rsidRPr="0039474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tcPr>
          <w:p w:rsidR="00A7100C" w:rsidRPr="0039474D" w:rsidRDefault="00A7100C" w:rsidP="004073CB">
            <w:pPr>
              <w:rPr>
                <w:rFonts w:ascii="Arial" w:hAnsi="Arial" w:cs="Arial"/>
                <w:b/>
                <w:bCs/>
                <w:sz w:val="20"/>
                <w:szCs w:val="20"/>
              </w:rPr>
            </w:pPr>
            <w:r w:rsidRPr="0039474D">
              <w:rPr>
                <w:rFonts w:ascii="Arial" w:hAnsi="Arial" w:cs="Arial"/>
                <w:b/>
                <w:bCs/>
                <w:sz w:val="20"/>
                <w:szCs w:val="20"/>
              </w:rPr>
              <w:t>BASE+NO CO2</w:t>
            </w:r>
          </w:p>
        </w:tc>
        <w:tc>
          <w:tcPr>
            <w:tcW w:w="1772" w:type="dxa"/>
            <w:tcBorders>
              <w:top w:val="nil"/>
              <w:left w:val="nil"/>
              <w:bottom w:val="single" w:sz="4" w:space="0" w:color="auto"/>
              <w:right w:val="single" w:sz="4" w:space="0" w:color="auto"/>
            </w:tcBorders>
            <w:shd w:val="clear" w:color="auto" w:fill="auto"/>
            <w:vAlign w:val="bottom"/>
          </w:tcPr>
          <w:p w:rsidR="00A7100C" w:rsidRPr="0039474D" w:rsidRDefault="00A7100C" w:rsidP="004073CB">
            <w:pPr>
              <w:rPr>
                <w:rFonts w:ascii="Calibri" w:hAnsi="Calibri"/>
                <w:color w:val="000000"/>
                <w:sz w:val="20"/>
                <w:szCs w:val="20"/>
              </w:rPr>
            </w:pPr>
            <w:r w:rsidRPr="0039474D">
              <w:rPr>
                <w:rFonts w:ascii="Calibri" w:hAnsi="Calibri"/>
                <w:color w:val="000000"/>
                <w:sz w:val="20"/>
                <w:szCs w:val="20"/>
              </w:rPr>
              <w:t>$          7,775,728</w:t>
            </w:r>
          </w:p>
        </w:tc>
        <w:tc>
          <w:tcPr>
            <w:tcW w:w="1752" w:type="dxa"/>
            <w:tcBorders>
              <w:top w:val="nil"/>
              <w:left w:val="single" w:sz="4" w:space="0" w:color="auto"/>
              <w:bottom w:val="single" w:sz="4" w:space="0" w:color="auto"/>
              <w:right w:val="nil"/>
            </w:tcBorders>
            <w:shd w:val="clear" w:color="auto" w:fill="auto"/>
            <w:vAlign w:val="bottom"/>
          </w:tcPr>
          <w:p w:rsidR="00A7100C" w:rsidRPr="0039474D" w:rsidRDefault="00A7100C" w:rsidP="004073CB">
            <w:pPr>
              <w:rPr>
                <w:rFonts w:ascii="Calibri" w:hAnsi="Calibri"/>
                <w:color w:val="000000"/>
                <w:sz w:val="20"/>
                <w:szCs w:val="20"/>
              </w:rPr>
            </w:pPr>
            <w:r w:rsidRPr="0039474D">
              <w:rPr>
                <w:rFonts w:ascii="Calibri" w:hAnsi="Calibri"/>
                <w:color w:val="000000"/>
                <w:sz w:val="20"/>
                <w:szCs w:val="20"/>
              </w:rPr>
              <w:t>$          7,846,172</w:t>
            </w:r>
          </w:p>
        </w:tc>
        <w:tc>
          <w:tcPr>
            <w:tcW w:w="0" w:type="auto"/>
            <w:tcBorders>
              <w:top w:val="nil"/>
              <w:left w:val="single" w:sz="4" w:space="0" w:color="auto"/>
              <w:bottom w:val="single" w:sz="4" w:space="0" w:color="auto"/>
              <w:right w:val="single" w:sz="4" w:space="0" w:color="auto"/>
            </w:tcBorders>
            <w:shd w:val="clear" w:color="auto" w:fill="auto"/>
            <w:noWrap/>
            <w:vAlign w:val="bottom"/>
          </w:tcPr>
          <w:p w:rsidR="00A7100C" w:rsidRPr="0039474D" w:rsidRDefault="00A7100C" w:rsidP="004073CB">
            <w:pPr>
              <w:rPr>
                <w:rFonts w:ascii="Calibri" w:hAnsi="Calibri"/>
                <w:color w:val="000000"/>
                <w:sz w:val="20"/>
                <w:szCs w:val="20"/>
              </w:rPr>
            </w:pPr>
            <w:r w:rsidRPr="0039474D">
              <w:rPr>
                <w:rFonts w:ascii="Calibri" w:hAnsi="Calibri"/>
                <w:color w:val="000000"/>
                <w:sz w:val="20"/>
                <w:szCs w:val="20"/>
              </w:rPr>
              <w:t>$              (70,444)</w:t>
            </w:r>
          </w:p>
        </w:tc>
      </w:tr>
      <w:tr w:rsidR="00A7100C" w:rsidRPr="0039474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tcPr>
          <w:p w:rsidR="00A7100C" w:rsidRPr="0039474D" w:rsidRDefault="00A7100C" w:rsidP="004073CB">
            <w:pPr>
              <w:rPr>
                <w:rFonts w:ascii="Arial" w:hAnsi="Arial" w:cs="Arial"/>
                <w:b/>
                <w:bCs/>
                <w:sz w:val="20"/>
                <w:szCs w:val="20"/>
              </w:rPr>
            </w:pPr>
            <w:r w:rsidRPr="0039474D">
              <w:rPr>
                <w:rFonts w:ascii="Arial" w:hAnsi="Arial" w:cs="Arial"/>
                <w:b/>
                <w:bCs/>
                <w:sz w:val="20"/>
                <w:szCs w:val="20"/>
              </w:rPr>
              <w:t>BASE+HIGH CO2</w:t>
            </w:r>
          </w:p>
        </w:tc>
        <w:tc>
          <w:tcPr>
            <w:tcW w:w="1772" w:type="dxa"/>
            <w:tcBorders>
              <w:top w:val="nil"/>
              <w:left w:val="nil"/>
              <w:bottom w:val="single" w:sz="4" w:space="0" w:color="auto"/>
              <w:right w:val="single" w:sz="4" w:space="0" w:color="auto"/>
            </w:tcBorders>
            <w:shd w:val="clear" w:color="auto" w:fill="auto"/>
            <w:vAlign w:val="bottom"/>
          </w:tcPr>
          <w:p w:rsidR="00A7100C" w:rsidRPr="0039474D" w:rsidRDefault="00A7100C" w:rsidP="004073CB">
            <w:pPr>
              <w:rPr>
                <w:rFonts w:ascii="Calibri" w:hAnsi="Calibri"/>
                <w:color w:val="000000"/>
                <w:sz w:val="20"/>
                <w:szCs w:val="20"/>
              </w:rPr>
            </w:pPr>
            <w:r w:rsidRPr="0039474D">
              <w:rPr>
                <w:rFonts w:ascii="Calibri" w:hAnsi="Calibri"/>
                <w:color w:val="000000"/>
                <w:sz w:val="20"/>
                <w:szCs w:val="20"/>
              </w:rPr>
              <w:t>$        10,465,655</w:t>
            </w:r>
          </w:p>
        </w:tc>
        <w:tc>
          <w:tcPr>
            <w:tcW w:w="1752" w:type="dxa"/>
            <w:tcBorders>
              <w:top w:val="nil"/>
              <w:left w:val="single" w:sz="4" w:space="0" w:color="auto"/>
              <w:bottom w:val="single" w:sz="4" w:space="0" w:color="auto"/>
              <w:right w:val="nil"/>
            </w:tcBorders>
            <w:shd w:val="clear" w:color="auto" w:fill="auto"/>
            <w:vAlign w:val="bottom"/>
          </w:tcPr>
          <w:p w:rsidR="00A7100C" w:rsidRPr="0039474D" w:rsidRDefault="00A7100C" w:rsidP="004073CB">
            <w:pPr>
              <w:rPr>
                <w:rFonts w:ascii="Calibri" w:hAnsi="Calibri"/>
                <w:color w:val="000000"/>
                <w:sz w:val="20"/>
                <w:szCs w:val="20"/>
              </w:rPr>
            </w:pPr>
            <w:r w:rsidRPr="0039474D">
              <w:rPr>
                <w:rFonts w:ascii="Calibri" w:hAnsi="Calibri"/>
                <w:color w:val="000000"/>
                <w:sz w:val="20"/>
                <w:szCs w:val="20"/>
              </w:rPr>
              <w:t>$        10,565,404</w:t>
            </w:r>
          </w:p>
        </w:tc>
        <w:tc>
          <w:tcPr>
            <w:tcW w:w="0" w:type="auto"/>
            <w:tcBorders>
              <w:top w:val="nil"/>
              <w:left w:val="single" w:sz="4" w:space="0" w:color="auto"/>
              <w:bottom w:val="single" w:sz="4" w:space="0" w:color="auto"/>
              <w:right w:val="single" w:sz="4" w:space="0" w:color="auto"/>
            </w:tcBorders>
            <w:shd w:val="clear" w:color="auto" w:fill="auto"/>
            <w:noWrap/>
            <w:vAlign w:val="bottom"/>
          </w:tcPr>
          <w:p w:rsidR="00A7100C" w:rsidRPr="0039474D" w:rsidRDefault="00A7100C" w:rsidP="004073CB">
            <w:pPr>
              <w:rPr>
                <w:rFonts w:ascii="Calibri" w:hAnsi="Calibri"/>
                <w:color w:val="000000"/>
                <w:sz w:val="20"/>
                <w:szCs w:val="20"/>
              </w:rPr>
            </w:pPr>
            <w:r w:rsidRPr="0039474D">
              <w:rPr>
                <w:rFonts w:ascii="Calibri" w:hAnsi="Calibri"/>
                <w:color w:val="000000"/>
                <w:sz w:val="20"/>
                <w:szCs w:val="20"/>
              </w:rPr>
              <w:t>$              (99,748)</w:t>
            </w:r>
          </w:p>
        </w:tc>
      </w:tr>
      <w:tr w:rsidR="00A7100C" w:rsidRPr="0039474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tcPr>
          <w:p w:rsidR="00A7100C" w:rsidRPr="0039474D" w:rsidRDefault="00A7100C" w:rsidP="004073CB">
            <w:pPr>
              <w:rPr>
                <w:rFonts w:ascii="Arial" w:hAnsi="Arial" w:cs="Arial"/>
                <w:b/>
                <w:bCs/>
                <w:sz w:val="20"/>
                <w:szCs w:val="20"/>
              </w:rPr>
            </w:pPr>
            <w:r w:rsidRPr="0039474D">
              <w:rPr>
                <w:rFonts w:ascii="Arial" w:hAnsi="Arial" w:cs="Arial"/>
                <w:b/>
                <w:bCs/>
                <w:sz w:val="20"/>
                <w:szCs w:val="20"/>
              </w:rPr>
              <w:t>BASE+LOW DEMAND</w:t>
            </w:r>
          </w:p>
        </w:tc>
        <w:tc>
          <w:tcPr>
            <w:tcW w:w="1772" w:type="dxa"/>
            <w:tcBorders>
              <w:top w:val="nil"/>
              <w:left w:val="nil"/>
              <w:bottom w:val="single" w:sz="4" w:space="0" w:color="auto"/>
              <w:right w:val="single" w:sz="4" w:space="0" w:color="auto"/>
            </w:tcBorders>
            <w:shd w:val="clear" w:color="auto" w:fill="auto"/>
            <w:vAlign w:val="bottom"/>
          </w:tcPr>
          <w:p w:rsidR="00A7100C" w:rsidRPr="0039474D" w:rsidRDefault="00A7100C" w:rsidP="004073CB">
            <w:pPr>
              <w:rPr>
                <w:rFonts w:ascii="Calibri" w:hAnsi="Calibri"/>
                <w:color w:val="000000"/>
                <w:sz w:val="20"/>
                <w:szCs w:val="20"/>
              </w:rPr>
            </w:pPr>
            <w:r w:rsidRPr="0039474D">
              <w:rPr>
                <w:rFonts w:ascii="Calibri" w:hAnsi="Calibri"/>
                <w:color w:val="000000"/>
                <w:sz w:val="20"/>
                <w:szCs w:val="20"/>
              </w:rPr>
              <w:t>$          9,031,721</w:t>
            </w:r>
          </w:p>
        </w:tc>
        <w:tc>
          <w:tcPr>
            <w:tcW w:w="1752" w:type="dxa"/>
            <w:tcBorders>
              <w:top w:val="nil"/>
              <w:left w:val="single" w:sz="4" w:space="0" w:color="auto"/>
              <w:bottom w:val="single" w:sz="4" w:space="0" w:color="auto"/>
              <w:right w:val="nil"/>
            </w:tcBorders>
            <w:shd w:val="clear" w:color="auto" w:fill="auto"/>
            <w:vAlign w:val="bottom"/>
          </w:tcPr>
          <w:p w:rsidR="00A7100C" w:rsidRPr="0039474D" w:rsidRDefault="00A7100C" w:rsidP="004073CB">
            <w:pPr>
              <w:rPr>
                <w:rFonts w:ascii="Calibri" w:hAnsi="Calibri"/>
                <w:color w:val="000000"/>
                <w:sz w:val="20"/>
                <w:szCs w:val="20"/>
              </w:rPr>
            </w:pPr>
            <w:r w:rsidRPr="0039474D">
              <w:rPr>
                <w:rFonts w:ascii="Calibri" w:hAnsi="Calibri"/>
                <w:color w:val="000000"/>
                <w:sz w:val="20"/>
                <w:szCs w:val="20"/>
              </w:rPr>
              <w:t>$          9,040,101</w:t>
            </w:r>
          </w:p>
        </w:tc>
        <w:tc>
          <w:tcPr>
            <w:tcW w:w="0" w:type="auto"/>
            <w:tcBorders>
              <w:top w:val="nil"/>
              <w:left w:val="single" w:sz="4" w:space="0" w:color="auto"/>
              <w:bottom w:val="single" w:sz="4" w:space="0" w:color="auto"/>
              <w:right w:val="single" w:sz="4" w:space="0" w:color="auto"/>
            </w:tcBorders>
            <w:shd w:val="clear" w:color="auto" w:fill="auto"/>
            <w:noWrap/>
            <w:vAlign w:val="bottom"/>
          </w:tcPr>
          <w:p w:rsidR="00A7100C" w:rsidRPr="0039474D" w:rsidRDefault="00A7100C" w:rsidP="004073CB">
            <w:pPr>
              <w:rPr>
                <w:rFonts w:ascii="Calibri" w:hAnsi="Calibri"/>
                <w:color w:val="000000"/>
                <w:sz w:val="20"/>
                <w:szCs w:val="20"/>
              </w:rPr>
            </w:pPr>
            <w:r w:rsidRPr="0039474D">
              <w:rPr>
                <w:rFonts w:ascii="Calibri" w:hAnsi="Calibri"/>
                <w:color w:val="000000"/>
                <w:sz w:val="20"/>
                <w:szCs w:val="20"/>
              </w:rPr>
              <w:t>$                (8,379)</w:t>
            </w:r>
          </w:p>
        </w:tc>
      </w:tr>
      <w:tr w:rsidR="00A7100C" w:rsidRPr="0039474D">
        <w:trPr>
          <w:trHeight w:val="341"/>
        </w:trPr>
        <w:tc>
          <w:tcPr>
            <w:tcW w:w="0" w:type="auto"/>
            <w:tcBorders>
              <w:top w:val="nil"/>
              <w:left w:val="single" w:sz="4" w:space="0" w:color="auto"/>
              <w:bottom w:val="single" w:sz="4" w:space="0" w:color="auto"/>
              <w:right w:val="single" w:sz="4" w:space="0" w:color="auto"/>
            </w:tcBorders>
            <w:shd w:val="clear" w:color="auto" w:fill="auto"/>
            <w:noWrap/>
            <w:vAlign w:val="bottom"/>
          </w:tcPr>
          <w:p w:rsidR="00A7100C" w:rsidRPr="0039474D" w:rsidRDefault="00A7100C" w:rsidP="004073CB">
            <w:pPr>
              <w:rPr>
                <w:rFonts w:ascii="Arial" w:hAnsi="Arial" w:cs="Arial"/>
                <w:b/>
                <w:bCs/>
                <w:sz w:val="20"/>
                <w:szCs w:val="20"/>
              </w:rPr>
            </w:pPr>
            <w:r w:rsidRPr="0039474D">
              <w:rPr>
                <w:rFonts w:ascii="Arial" w:hAnsi="Arial" w:cs="Arial"/>
                <w:b/>
                <w:bCs/>
                <w:sz w:val="20"/>
                <w:szCs w:val="20"/>
              </w:rPr>
              <w:t>BASE+HIGH DEMAND</w:t>
            </w:r>
          </w:p>
        </w:tc>
        <w:tc>
          <w:tcPr>
            <w:tcW w:w="1772" w:type="dxa"/>
            <w:tcBorders>
              <w:top w:val="nil"/>
              <w:left w:val="nil"/>
              <w:bottom w:val="single" w:sz="4" w:space="0" w:color="auto"/>
              <w:right w:val="single" w:sz="4" w:space="0" w:color="auto"/>
            </w:tcBorders>
            <w:shd w:val="clear" w:color="auto" w:fill="auto"/>
            <w:vAlign w:val="bottom"/>
          </w:tcPr>
          <w:p w:rsidR="00A7100C" w:rsidRPr="0039474D" w:rsidRDefault="00A7100C" w:rsidP="004073CB">
            <w:pPr>
              <w:rPr>
                <w:rFonts w:ascii="Calibri" w:hAnsi="Calibri"/>
                <w:color w:val="000000"/>
                <w:sz w:val="20"/>
                <w:szCs w:val="20"/>
              </w:rPr>
            </w:pPr>
            <w:r w:rsidRPr="0039474D">
              <w:rPr>
                <w:rFonts w:ascii="Calibri" w:hAnsi="Calibri"/>
                <w:color w:val="000000"/>
                <w:sz w:val="20"/>
                <w:szCs w:val="20"/>
              </w:rPr>
              <w:t>$        10,450,532</w:t>
            </w:r>
          </w:p>
        </w:tc>
        <w:tc>
          <w:tcPr>
            <w:tcW w:w="1752" w:type="dxa"/>
            <w:tcBorders>
              <w:top w:val="nil"/>
              <w:left w:val="single" w:sz="4" w:space="0" w:color="auto"/>
              <w:bottom w:val="single" w:sz="4" w:space="0" w:color="auto"/>
              <w:right w:val="nil"/>
            </w:tcBorders>
            <w:shd w:val="clear" w:color="auto" w:fill="auto"/>
            <w:vAlign w:val="bottom"/>
          </w:tcPr>
          <w:p w:rsidR="00A7100C" w:rsidRPr="0039474D" w:rsidRDefault="00A7100C" w:rsidP="004073CB">
            <w:pPr>
              <w:rPr>
                <w:rFonts w:ascii="Calibri" w:hAnsi="Calibri"/>
                <w:color w:val="000000"/>
                <w:sz w:val="20"/>
                <w:szCs w:val="20"/>
              </w:rPr>
            </w:pPr>
            <w:r w:rsidRPr="0039474D">
              <w:rPr>
                <w:rFonts w:ascii="Calibri" w:hAnsi="Calibri"/>
                <w:color w:val="000000"/>
                <w:sz w:val="20"/>
                <w:szCs w:val="20"/>
              </w:rPr>
              <w:t>$        10,550,911</w:t>
            </w:r>
          </w:p>
        </w:tc>
        <w:tc>
          <w:tcPr>
            <w:tcW w:w="0" w:type="auto"/>
            <w:tcBorders>
              <w:top w:val="nil"/>
              <w:left w:val="single" w:sz="4" w:space="0" w:color="auto"/>
              <w:bottom w:val="single" w:sz="4" w:space="0" w:color="auto"/>
              <w:right w:val="single" w:sz="4" w:space="0" w:color="auto"/>
            </w:tcBorders>
            <w:shd w:val="clear" w:color="auto" w:fill="auto"/>
            <w:noWrap/>
            <w:vAlign w:val="bottom"/>
          </w:tcPr>
          <w:p w:rsidR="00A7100C" w:rsidRPr="0039474D" w:rsidRDefault="00A7100C" w:rsidP="004073CB">
            <w:pPr>
              <w:rPr>
                <w:rFonts w:ascii="Calibri" w:hAnsi="Calibri"/>
                <w:color w:val="000000"/>
                <w:sz w:val="20"/>
                <w:szCs w:val="20"/>
              </w:rPr>
            </w:pPr>
            <w:r w:rsidRPr="0039474D">
              <w:rPr>
                <w:rFonts w:ascii="Calibri" w:hAnsi="Calibri"/>
                <w:color w:val="000000"/>
                <w:sz w:val="20"/>
                <w:szCs w:val="20"/>
              </w:rPr>
              <w:t>$            (100,379)</w:t>
            </w:r>
          </w:p>
        </w:tc>
      </w:tr>
    </w:tbl>
    <w:p w:rsidR="00A7100C" w:rsidRPr="00B941FB" w:rsidRDefault="0039474D" w:rsidP="0039474D">
      <w:pPr>
        <w:pStyle w:val="IRPsecthead2sans"/>
        <w:spacing w:before="120" w:after="100" w:afterAutospacing="1"/>
        <w:rPr>
          <w:rStyle w:val="IRPsanstextChar"/>
          <w:rFonts w:cs="Times New Roman"/>
          <w:b w:val="0"/>
          <w:color w:val="auto"/>
          <w:sz w:val="24"/>
          <w:szCs w:val="24"/>
        </w:rPr>
      </w:pPr>
      <w:r>
        <w:rPr>
          <w:sz w:val="28"/>
        </w:rPr>
        <w:br/>
      </w:r>
      <w:r w:rsidR="00A7100C">
        <w:rPr>
          <w:sz w:val="28"/>
        </w:rPr>
        <w:t>Mist Storage and Pipeline Expansions</w:t>
      </w:r>
    </w:p>
    <w:p w:rsidR="00A7100C" w:rsidRDefault="00A7100C" w:rsidP="00A7100C">
      <w:pPr>
        <w:pStyle w:val="IRPsanstext"/>
        <w:rPr>
          <w:rStyle w:val="IRPsanstextChar"/>
          <w:rFonts w:cs="Arial"/>
          <w:b/>
          <w:color w:val="006C71"/>
          <w:sz w:val="32"/>
          <w:szCs w:val="32"/>
        </w:rPr>
      </w:pPr>
      <w:proofErr w:type="gramStart"/>
      <w:r w:rsidRPr="00A91D58">
        <w:rPr>
          <w:rStyle w:val="IRPsanstextChar"/>
          <w:b/>
          <w:caps/>
        </w:rPr>
        <w:t>Decision</w:t>
      </w:r>
      <w:r>
        <w:rPr>
          <w:rStyle w:val="IRPsanstextChar"/>
        </w:rPr>
        <w:t>.</w:t>
      </w:r>
      <w:proofErr w:type="gramEnd"/>
      <w:r>
        <w:rPr>
          <w:rStyle w:val="IRPsanstextChar"/>
        </w:rPr>
        <w:t xml:space="preserve">  Continue to consider resource additions from the Base Scenario for expanded NWP pipeline capacity and Mist storage that occur later in the planning horizon.  Improve the analytical process to better reflect variability in prices between gas market hubs.</w:t>
      </w:r>
    </w:p>
    <w:p w:rsidR="00A7100C" w:rsidRDefault="00A7100C" w:rsidP="00A7100C">
      <w:pPr>
        <w:pStyle w:val="IRPsanstext"/>
        <w:rPr>
          <w:rStyle w:val="IRPsanstextChar"/>
        </w:rPr>
      </w:pPr>
    </w:p>
    <w:p w:rsidR="00A7100C" w:rsidRDefault="00A7100C" w:rsidP="00A7100C">
      <w:pPr>
        <w:pStyle w:val="IRPsanstext"/>
        <w:rPr>
          <w:rStyle w:val="IRPsanstextChar"/>
        </w:rPr>
      </w:pPr>
      <w:proofErr w:type="gramStart"/>
      <w:r w:rsidRPr="00A91D58">
        <w:rPr>
          <w:rStyle w:val="IRPsanstextChar"/>
          <w:b/>
          <w:caps/>
        </w:rPr>
        <w:t>Summary</w:t>
      </w:r>
      <w:r>
        <w:rPr>
          <w:rStyle w:val="IRPsanstextChar"/>
          <w:b/>
        </w:rPr>
        <w:t>.</w:t>
      </w:r>
      <w:proofErr w:type="gramEnd"/>
      <w:r w:rsidRPr="0001161D">
        <w:rPr>
          <w:rStyle w:val="IRPsanstextChar"/>
          <w:b/>
        </w:rPr>
        <w:t xml:space="preserve">  </w:t>
      </w:r>
      <w:r>
        <w:rPr>
          <w:rStyle w:val="IRPsanstextChar"/>
        </w:rPr>
        <w:t xml:space="preserve">These further-out decisions do not need to be made at this time, allowing PSE time to further refine our risk analysis.  There is an important relative risk to consider when acquiring long-term pipeline capacity versus market area storage.  Acquiring pipeline capacity generally locks in supply pricing to a specific basin, whether it may be in Northern British Columbia at Station 2, in Alberta at AECO or in the Rockies at Malin. Prices between these basins have changed over time for a variety of reasons, some of which may or may not be present in the future.  Market area storage, such as Mist, avoids the risk of locking in price levels to any specific basin – gas conservation programs have the same benefit. In PSE’s 2017 IRP, we will focus on improving this risk analysis to better support specific resource decisions.  </w:t>
      </w:r>
    </w:p>
    <w:p w:rsidR="00A7100C" w:rsidRDefault="00A7100C" w:rsidP="00A7100C">
      <w:pPr>
        <w:pStyle w:val="IRPsanstext"/>
        <w:rPr>
          <w:rStyle w:val="IRPsanstextChar"/>
        </w:rPr>
      </w:pPr>
    </w:p>
    <w:p w:rsidR="0039474D" w:rsidRDefault="0039474D">
      <w:pPr>
        <w:rPr>
          <w:rStyle w:val="IRPsanstextChar"/>
          <w:sz w:val="20"/>
          <w:szCs w:val="20"/>
        </w:rPr>
      </w:pPr>
      <w:r>
        <w:rPr>
          <w:rStyle w:val="IRPsanstextChar"/>
          <w:b/>
          <w:caps/>
        </w:rPr>
        <w:br w:type="page"/>
      </w:r>
    </w:p>
    <w:p w:rsidR="00A7100C" w:rsidRDefault="00A7100C" w:rsidP="00A7100C">
      <w:pPr>
        <w:pStyle w:val="IRPsanstext"/>
        <w:rPr>
          <w:rStyle w:val="IRPsanstextChar"/>
          <w:sz w:val="24"/>
          <w:szCs w:val="24"/>
        </w:rPr>
      </w:pPr>
      <w:proofErr w:type="gramStart"/>
      <w:r w:rsidRPr="00A91D58">
        <w:rPr>
          <w:rStyle w:val="IRPsanstextChar"/>
          <w:b/>
          <w:caps/>
        </w:rPr>
        <w:lastRenderedPageBreak/>
        <w:t>Factors That Can Affect Decisions</w:t>
      </w:r>
      <w:r>
        <w:rPr>
          <w:rStyle w:val="IRPsanstextChar"/>
        </w:rPr>
        <w:t>.</w:t>
      </w:r>
      <w:proofErr w:type="gramEnd"/>
      <w:r>
        <w:rPr>
          <w:rStyle w:val="IRPsanstextChar"/>
        </w:rPr>
        <w:t xml:space="preserve">  Two sets of factors could affect these decisions.  </w:t>
      </w:r>
    </w:p>
    <w:p w:rsidR="00A7100C" w:rsidRDefault="00A7100C" w:rsidP="00A7100C">
      <w:pPr>
        <w:pStyle w:val="IRPsanstext"/>
        <w:rPr>
          <w:rStyle w:val="IRPsanstextChar"/>
        </w:rPr>
      </w:pPr>
    </w:p>
    <w:p w:rsidR="00A7100C" w:rsidRDefault="008249EB" w:rsidP="008249EB">
      <w:pPr>
        <w:pStyle w:val="IRPsanstext"/>
        <w:ind w:left="720"/>
        <w:rPr>
          <w:rStyle w:val="IRPsanstextChar"/>
        </w:rPr>
      </w:pPr>
      <w:r w:rsidRPr="00927EA3">
        <w:rPr>
          <w:rStyle w:val="IRPsanstextChar"/>
          <w:b/>
          <w:i/>
          <w:color w:val="000000" w:themeColor="text1"/>
          <w:szCs w:val="28"/>
        </w:rPr>
        <w:t xml:space="preserve">1. </w:t>
      </w:r>
      <w:r w:rsidR="00A7100C" w:rsidRPr="00927EA3">
        <w:rPr>
          <w:rStyle w:val="IRPsanstextChar"/>
          <w:b/>
          <w:i/>
          <w:color w:val="000000" w:themeColor="text1"/>
          <w:szCs w:val="28"/>
        </w:rPr>
        <w:t>New Market Entrants</w:t>
      </w:r>
      <w:r w:rsidR="00A7100C" w:rsidRPr="00927EA3">
        <w:rPr>
          <w:rStyle w:val="IRPsanstextChar"/>
          <w:i/>
          <w:color w:val="000000" w:themeColor="text1"/>
          <w:szCs w:val="28"/>
        </w:rPr>
        <w:t>.</w:t>
      </w:r>
      <w:r w:rsidR="00A7100C">
        <w:rPr>
          <w:rStyle w:val="IRPsanstextChar"/>
        </w:rPr>
        <w:t xml:space="preserve">  Utilities could find themselves taking a back seat in future pipeline expansion decisions if methanol plants or LNG export facilities enter the market because the gas infrastructure needs of those industries are so significant.  That is, if a large methanol manufacturing facility on the I-5 corridor contracts with Northwest Pipeline and Westcoast to go to Station 2, gas utilities will only have a choice of whether or not to join; there will not be enough market share to build an expansion in another direction.  Such new players could also create opportunities to acquire peaking resources if their production processes do not require the same degree of firm physical deliveries as the utility industry. </w:t>
      </w:r>
    </w:p>
    <w:p w:rsidR="00A7100C" w:rsidRDefault="00A7100C" w:rsidP="008249EB">
      <w:pPr>
        <w:pStyle w:val="IRPsanstext"/>
        <w:ind w:left="720"/>
        <w:rPr>
          <w:rStyle w:val="IRPsanstextChar"/>
        </w:rPr>
      </w:pPr>
      <w:r>
        <w:rPr>
          <w:rStyle w:val="IRPsanstextChar"/>
        </w:rPr>
        <w:t xml:space="preserve"> </w:t>
      </w:r>
    </w:p>
    <w:p w:rsidR="00A7100C" w:rsidRDefault="008249EB" w:rsidP="008249EB">
      <w:pPr>
        <w:pStyle w:val="IRPsanstext"/>
        <w:ind w:left="720"/>
        <w:rPr>
          <w:rStyle w:val="IRPsanstextChar"/>
        </w:rPr>
      </w:pPr>
      <w:r w:rsidRPr="00927EA3">
        <w:rPr>
          <w:rStyle w:val="IRPsanstextChar"/>
          <w:b/>
          <w:i/>
          <w:color w:val="000000" w:themeColor="text1"/>
          <w:szCs w:val="28"/>
        </w:rPr>
        <w:t xml:space="preserve">2. </w:t>
      </w:r>
      <w:r w:rsidR="00A7100C" w:rsidRPr="00927EA3">
        <w:rPr>
          <w:rStyle w:val="IRPsanstextChar"/>
          <w:b/>
          <w:i/>
          <w:color w:val="000000" w:themeColor="text1"/>
          <w:szCs w:val="28"/>
        </w:rPr>
        <w:t xml:space="preserve">Relative Prices </w:t>
      </w:r>
      <w:proofErr w:type="gramStart"/>
      <w:r w:rsidR="00A7100C" w:rsidRPr="00927EA3">
        <w:rPr>
          <w:rStyle w:val="IRPsanstextChar"/>
          <w:b/>
          <w:i/>
          <w:color w:val="000000" w:themeColor="text1"/>
          <w:szCs w:val="28"/>
        </w:rPr>
        <w:t>Between</w:t>
      </w:r>
      <w:proofErr w:type="gramEnd"/>
      <w:r w:rsidR="00A7100C" w:rsidRPr="00927EA3">
        <w:rPr>
          <w:rStyle w:val="IRPsanstextChar"/>
          <w:b/>
          <w:i/>
          <w:color w:val="000000" w:themeColor="text1"/>
          <w:szCs w:val="28"/>
        </w:rPr>
        <w:t xml:space="preserve"> Basins</w:t>
      </w:r>
      <w:r w:rsidR="00A7100C" w:rsidRPr="00927EA3">
        <w:rPr>
          <w:rStyle w:val="IRPsanstextChar"/>
          <w:i/>
          <w:color w:val="000000" w:themeColor="text1"/>
          <w:szCs w:val="28"/>
        </w:rPr>
        <w:t>.</w:t>
      </w:r>
      <w:r w:rsidR="00A7100C" w:rsidRPr="008249EB">
        <w:rPr>
          <w:rStyle w:val="IRPsanstextChar"/>
          <w:i/>
        </w:rPr>
        <w:t xml:space="preserve"> </w:t>
      </w:r>
      <w:r w:rsidR="00A7100C">
        <w:rPr>
          <w:rStyle w:val="IRPsanstextChar"/>
        </w:rPr>
        <w:t xml:space="preserve"> Sometimes the spread in market gas prices between different basins can be large enough to cover the fixed cost of a pipeline expansion. For example, if market gas prices in the Rockies relative to Station 2 fall by $2.00 per MMBtu, that may be sufficient to cover a higher pipeline cost to the Rockies.  Market area storage, like Mist, helps to avoid some of that risk because there may be sufficient flexibility to fill the storage resource during off-peak seasons.  This is a risk where PSE will focus during the next IRP process.  </w:t>
      </w:r>
    </w:p>
    <w:p w:rsidR="00A7100C" w:rsidRDefault="00A7100C" w:rsidP="00A7100C">
      <w:pPr>
        <w:pStyle w:val="IRPsanstext"/>
        <w:rPr>
          <w:rStyle w:val="IRPsanstextChar"/>
        </w:rPr>
      </w:pPr>
    </w:p>
    <w:p w:rsidR="00D510B2" w:rsidRPr="00674AD7" w:rsidRDefault="00D510B2" w:rsidP="004C668B">
      <w:pPr>
        <w:pStyle w:val="IRPsanstext"/>
      </w:pPr>
    </w:p>
    <w:sectPr w:rsidR="00D510B2" w:rsidRPr="00674AD7" w:rsidSect="000E4936">
      <w:headerReference w:type="default" r:id="rId15"/>
      <w:footerReference w:type="default" r:id="rId1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B6D" w:rsidRDefault="00741B6D" w:rsidP="00601E72">
      <w:r>
        <w:separator/>
      </w:r>
    </w:p>
  </w:endnote>
  <w:endnote w:type="continuationSeparator" w:id="0">
    <w:p w:rsidR="00741B6D" w:rsidRDefault="00741B6D" w:rsidP="00601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Roman">
    <w:altName w:val="Times"/>
    <w:panose1 w:val="00000000000000000000"/>
    <w:charset w:val="4D"/>
    <w:family w:val="auto"/>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B6D" w:rsidRPr="00A075A9" w:rsidRDefault="00741B6D" w:rsidP="0020632A">
    <w:pPr>
      <w:pStyle w:val="Footer"/>
      <w:framePr w:wrap="around" w:vAnchor="text" w:hAnchor="margin" w:xAlign="center" w:y="1"/>
      <w:rPr>
        <w:rStyle w:val="PageNumber"/>
      </w:rPr>
    </w:pPr>
    <w:r>
      <w:rPr>
        <w:rStyle w:val="PageNumber"/>
        <w:rFonts w:ascii="Palatino" w:hAnsi="Palatino"/>
        <w:i/>
        <w:sz w:val="20"/>
        <w:szCs w:val="20"/>
      </w:rPr>
      <w:t xml:space="preserve">2 </w:t>
    </w:r>
    <w:r w:rsidRPr="00A075A9">
      <w:rPr>
        <w:rStyle w:val="PageNumber"/>
        <w:rFonts w:ascii="Palatino" w:hAnsi="Palatino"/>
        <w:i/>
        <w:sz w:val="20"/>
        <w:szCs w:val="20"/>
      </w:rPr>
      <w:t xml:space="preserve">- </w:t>
    </w:r>
    <w:r w:rsidR="005676D4" w:rsidRPr="00A075A9">
      <w:rPr>
        <w:rStyle w:val="PageNumber"/>
        <w:rFonts w:ascii="Palatino" w:hAnsi="Palatino"/>
        <w:i/>
        <w:sz w:val="20"/>
        <w:szCs w:val="20"/>
      </w:rPr>
      <w:fldChar w:fldCharType="begin"/>
    </w:r>
    <w:r w:rsidRPr="00A075A9">
      <w:rPr>
        <w:rStyle w:val="PageNumber"/>
        <w:rFonts w:ascii="Palatino" w:hAnsi="Palatino"/>
        <w:i/>
        <w:sz w:val="20"/>
        <w:szCs w:val="20"/>
      </w:rPr>
      <w:instrText xml:space="preserve">PAGE  </w:instrText>
    </w:r>
    <w:r w:rsidR="005676D4" w:rsidRPr="00A075A9">
      <w:rPr>
        <w:rStyle w:val="PageNumber"/>
        <w:rFonts w:ascii="Palatino" w:hAnsi="Palatino"/>
        <w:i/>
        <w:sz w:val="20"/>
        <w:szCs w:val="20"/>
      </w:rPr>
      <w:fldChar w:fldCharType="separate"/>
    </w:r>
    <w:r w:rsidR="0073074B">
      <w:rPr>
        <w:rStyle w:val="PageNumber"/>
        <w:rFonts w:ascii="Palatino" w:hAnsi="Palatino"/>
        <w:i/>
        <w:noProof/>
        <w:sz w:val="20"/>
        <w:szCs w:val="20"/>
      </w:rPr>
      <w:t>21</w:t>
    </w:r>
    <w:r w:rsidR="005676D4" w:rsidRPr="00A075A9">
      <w:rPr>
        <w:rStyle w:val="PageNumber"/>
        <w:rFonts w:ascii="Palatino" w:hAnsi="Palatino"/>
        <w:i/>
        <w:sz w:val="20"/>
        <w:szCs w:val="20"/>
      </w:rPr>
      <w:fldChar w:fldCharType="end"/>
    </w:r>
  </w:p>
  <w:p w:rsidR="00741B6D" w:rsidRDefault="00602C1D" w:rsidP="0020632A">
    <w:pPr>
      <w:pStyle w:val="Footer"/>
      <w:jc w:val="center"/>
      <w:rPr>
        <w:rFonts w:ascii="Palatino" w:hAnsi="Palatino"/>
      </w:rPr>
    </w:pPr>
    <w:r>
      <w:rPr>
        <w:rFonts w:ascii="Palatino" w:hAnsi="Palatino"/>
        <w:noProof/>
        <w:lang w:eastAsia="en-US"/>
      </w:rPr>
      <mc:AlternateContent>
        <mc:Choice Requires="wps">
          <w:drawing>
            <wp:anchor distT="0" distB="0" distL="114300" distR="114300" simplePos="0" relativeHeight="251661312" behindDoc="0" locked="0" layoutInCell="1" allowOverlap="1">
              <wp:simplePos x="0" y="0"/>
              <wp:positionH relativeFrom="column">
                <wp:posOffset>4328160</wp:posOffset>
              </wp:positionH>
              <wp:positionV relativeFrom="paragraph">
                <wp:posOffset>-114300</wp:posOffset>
              </wp:positionV>
              <wp:extent cx="1211580" cy="403860"/>
              <wp:effectExtent l="0" t="0" r="0" b="0"/>
              <wp:wrapThrough wrapText="bothSides">
                <wp:wrapPolygon edited="0">
                  <wp:start x="453" y="1358"/>
                  <wp:lineTo x="453" y="19019"/>
                  <wp:lineTo x="20830" y="19019"/>
                  <wp:lineTo x="20830" y="1358"/>
                  <wp:lineTo x="453" y="1358"/>
                </wp:wrapPolygon>
              </wp:wrapThrough>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158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00741B6D" w:rsidRPr="00B7196F" w:rsidRDefault="00741B6D" w:rsidP="00CD78F5">
                          <w:pPr>
                            <w:rPr>
                              <w:rFonts w:ascii="Palatino" w:hAnsi="Palatino"/>
                              <w:i/>
                              <w:color w:val="156570"/>
                              <w:sz w:val="22"/>
                            </w:rPr>
                          </w:pPr>
                          <w:r w:rsidRPr="00B7196F">
                            <w:rPr>
                              <w:rFonts w:ascii="Palatino" w:eastAsiaTheme="minorEastAsia" w:hAnsi="Palatino" w:cs="Arial"/>
                              <w:i/>
                              <w:color w:val="156570"/>
                              <w:sz w:val="22"/>
                            </w:rPr>
                            <w:t>2015 PSE IRP</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30" o:spid="_x0000_s1028" type="#_x0000_t202" style="position:absolute;left:0;text-align:left;margin-left:340.8pt;margin-top:-8.95pt;width:95.4pt;height:3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" filled="f" stroked="f">
              <v:textbox inset=",7.2pt,,7.2pt">
                <w:txbxContent>
                  <w:p w:rsidR="00741B6D" w:rsidRPr="00B7196F" w:rsidRDefault="00741B6D" w:rsidP="00CD78F5">
                    <w:pPr>
                      <w:rPr>
                        <w:rFonts w:ascii="Palatino" w:hAnsi="Palatino"/>
                        <w:i/>
                        <w:color w:val="156570"/>
                        <w:sz w:val="22"/>
                      </w:rPr>
                    </w:pPr>
                    <w:r w:rsidRPr="00B7196F">
                      <w:rPr>
                        <w:rFonts w:ascii="Palatino" w:eastAsiaTheme="minorEastAsia" w:hAnsi="Palatino" w:cs="Arial"/>
                        <w:i/>
                        <w:color w:val="156570"/>
                        <w:sz w:val="22"/>
                      </w:rPr>
                      <w:t>2015 PSE IRP</w:t>
                    </w:r>
                  </w:p>
                </w:txbxContent>
              </v:textbox>
              <w10:wrap type="through"/>
            </v:shape>
          </w:pict>
        </mc:Fallback>
      </mc:AlternateContent>
    </w:r>
  </w:p>
  <w:p w:rsidR="00741B6D" w:rsidRPr="0020632A" w:rsidRDefault="00741B6D" w:rsidP="0020632A">
    <w:pPr>
      <w:pStyle w:val="Footer"/>
      <w:jc w:val="center"/>
      <w:rPr>
        <w:rFonts w:ascii="Palatino" w:hAnsi="Palatin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B6D" w:rsidRDefault="00741B6D" w:rsidP="00601E72">
      <w:r>
        <w:separator/>
      </w:r>
    </w:p>
  </w:footnote>
  <w:footnote w:type="continuationSeparator" w:id="0">
    <w:p w:rsidR="00741B6D" w:rsidRDefault="00741B6D" w:rsidP="00601E72">
      <w:r>
        <w:continuationSeparator/>
      </w:r>
    </w:p>
  </w:footnote>
  <w:footnote w:id="1">
    <w:p w:rsidR="00741B6D" w:rsidRPr="00A7100C" w:rsidRDefault="00741B6D" w:rsidP="00A7100C">
      <w:pPr>
        <w:pStyle w:val="IRPfooter"/>
        <w:rPr>
          <w:sz w:val="18"/>
          <w:szCs w:val="18"/>
        </w:rPr>
      </w:pPr>
      <w:r w:rsidRPr="00A7100C">
        <w:rPr>
          <w:rStyle w:val="FootnoteReference"/>
          <w:sz w:val="18"/>
          <w:szCs w:val="18"/>
          <w:vertAlign w:val="baseline"/>
        </w:rPr>
        <w:footnoteRef/>
      </w:r>
      <w:r w:rsidRPr="00A7100C">
        <w:rPr>
          <w:sz w:val="18"/>
          <w:szCs w:val="18"/>
        </w:rPr>
        <w:t xml:space="preserve"> / WAC 480-100-238 (2) (a) Definitions, Integrated Resource Plan.</w:t>
      </w:r>
    </w:p>
  </w:footnote>
  <w:footnote w:id="2">
    <w:p w:rsidR="00741B6D" w:rsidRPr="004073CB" w:rsidRDefault="00741B6D" w:rsidP="00A7100C">
      <w:pPr>
        <w:pStyle w:val="FootnoteText"/>
        <w:rPr>
          <w:rFonts w:ascii="Palatino" w:hAnsi="Palatino"/>
          <w:i/>
          <w:sz w:val="18"/>
          <w:szCs w:val="18"/>
        </w:rPr>
      </w:pPr>
      <w:r w:rsidRPr="004073CB">
        <w:rPr>
          <w:rStyle w:val="FootnoteReference"/>
          <w:rFonts w:ascii="Palatino" w:hAnsi="Palatino"/>
          <w:sz w:val="18"/>
          <w:szCs w:val="18"/>
          <w:vertAlign w:val="baseline"/>
        </w:rPr>
        <w:footnoteRef/>
      </w:r>
      <w:r w:rsidRPr="004073CB">
        <w:rPr>
          <w:rFonts w:ascii="Palatino" w:hAnsi="Palatino"/>
          <w:i/>
          <w:sz w:val="18"/>
          <w:szCs w:val="18"/>
        </w:rPr>
        <w:t xml:space="preserve"> / From Figure 2-1. This is calculated by comparing the Expected VOLL in line 2 (2013 Planning Standard Including Market Risk) with the Expected VOLL in line 3 (201</w:t>
      </w:r>
      <w:r w:rsidR="009E301C">
        <w:rPr>
          <w:rFonts w:ascii="Palatino" w:hAnsi="Palatino"/>
          <w:i/>
          <w:sz w:val="18"/>
          <w:szCs w:val="18"/>
        </w:rPr>
        <w:t xml:space="preserve">5 Optimal Planning Standard): </w:t>
      </w:r>
      <w:r w:rsidRPr="004073CB">
        <w:rPr>
          <w:rFonts w:ascii="Palatino" w:hAnsi="Palatino" w:cs="Arial"/>
          <w:i/>
          <w:sz w:val="18"/>
          <w:szCs w:val="18"/>
        </w:rPr>
        <w:t>$169 million -</w:t>
      </w:r>
      <w:r w:rsidR="009E301C">
        <w:rPr>
          <w:rFonts w:ascii="Palatino" w:hAnsi="Palatino" w:cs="Arial"/>
          <w:i/>
          <w:sz w:val="18"/>
          <w:szCs w:val="18"/>
        </w:rPr>
        <w:t xml:space="preserve"> </w:t>
      </w:r>
      <w:r w:rsidRPr="004073CB">
        <w:rPr>
          <w:rFonts w:ascii="Palatino" w:hAnsi="Palatino" w:cs="Arial"/>
          <w:i/>
          <w:sz w:val="18"/>
          <w:szCs w:val="18"/>
        </w:rPr>
        <w:t>$39 million=</w:t>
      </w:r>
      <w:r w:rsidR="009E301C">
        <w:rPr>
          <w:rFonts w:ascii="Palatino" w:hAnsi="Palatino" w:cs="Arial"/>
          <w:i/>
          <w:sz w:val="18"/>
          <w:szCs w:val="18"/>
        </w:rPr>
        <w:t xml:space="preserve"> </w:t>
      </w:r>
      <w:r w:rsidRPr="004073CB">
        <w:rPr>
          <w:rFonts w:ascii="Palatino" w:hAnsi="Palatino" w:cs="Arial"/>
          <w:i/>
          <w:sz w:val="18"/>
          <w:szCs w:val="18"/>
        </w:rPr>
        <w:t>$130.</w:t>
      </w:r>
    </w:p>
  </w:footnote>
  <w:footnote w:id="3">
    <w:p w:rsidR="00741B6D" w:rsidRPr="004073CB" w:rsidRDefault="00741B6D" w:rsidP="00A7100C">
      <w:pPr>
        <w:pStyle w:val="FootnoteText"/>
        <w:rPr>
          <w:rFonts w:ascii="Palatino" w:hAnsi="Palatino"/>
          <w:i/>
          <w:sz w:val="18"/>
          <w:szCs w:val="18"/>
        </w:rPr>
      </w:pPr>
      <w:r w:rsidRPr="004073CB">
        <w:rPr>
          <w:rStyle w:val="FootnoteReference"/>
          <w:rFonts w:ascii="Palatino" w:hAnsi="Palatino"/>
          <w:sz w:val="18"/>
          <w:szCs w:val="18"/>
          <w:vertAlign w:val="baseline"/>
        </w:rPr>
        <w:footnoteRef/>
      </w:r>
      <w:r>
        <w:rPr>
          <w:rFonts w:ascii="Palatino" w:hAnsi="Palatino"/>
          <w:i/>
          <w:sz w:val="18"/>
          <w:szCs w:val="18"/>
        </w:rPr>
        <w:t xml:space="preserve"> </w:t>
      </w:r>
      <w:proofErr w:type="gramStart"/>
      <w:r w:rsidRPr="004073CB">
        <w:rPr>
          <w:rFonts w:ascii="Palatino" w:hAnsi="Palatino"/>
          <w:i/>
          <w:sz w:val="18"/>
          <w:szCs w:val="18"/>
        </w:rPr>
        <w:t>/  This</w:t>
      </w:r>
      <w:proofErr w:type="gramEnd"/>
      <w:r w:rsidRPr="004073CB">
        <w:rPr>
          <w:rFonts w:ascii="Palatino" w:hAnsi="Palatino"/>
          <w:i/>
          <w:sz w:val="18"/>
          <w:szCs w:val="18"/>
        </w:rPr>
        <w:t xml:space="preserve"> value is derived by first calculating the difference between the surplus of 117 MW in line 2  (2013 Planning Standard Including Market Risk) and the need (deficit) of 234 MW in line 3 (2015 Optimal Planning Standard). This value is then multiplied by the levelized cost of a peaker, estimated from the portfolio model at $</w:t>
      </w:r>
      <w:r w:rsidR="0065383B">
        <w:rPr>
          <w:rFonts w:ascii="Palatino" w:hAnsi="Palatino"/>
          <w:i/>
          <w:sz w:val="18"/>
          <w:szCs w:val="18"/>
        </w:rPr>
        <w:t>0.</w:t>
      </w:r>
      <w:r w:rsidRPr="004073CB">
        <w:rPr>
          <w:rFonts w:ascii="Palatino" w:hAnsi="Palatino"/>
          <w:i/>
          <w:sz w:val="18"/>
          <w:szCs w:val="18"/>
        </w:rPr>
        <w:t>18</w:t>
      </w:r>
      <w:r w:rsidR="009E301C">
        <w:rPr>
          <w:rFonts w:ascii="Palatino" w:hAnsi="Palatino"/>
          <w:i/>
          <w:sz w:val="18"/>
          <w:szCs w:val="18"/>
        </w:rPr>
        <w:t xml:space="preserve"> million per MW per year.</w:t>
      </w:r>
      <w:r w:rsidRPr="004073CB">
        <w:rPr>
          <w:rFonts w:ascii="Palatino" w:hAnsi="Palatino"/>
          <w:i/>
          <w:sz w:val="18"/>
          <w:szCs w:val="18"/>
        </w:rPr>
        <w:t xml:space="preserve"> So: 234 MW – (-117 MW</w:t>
      </w:r>
      <w:r w:rsidR="009E301C">
        <w:rPr>
          <w:rFonts w:ascii="Palatino" w:hAnsi="Palatino"/>
          <w:i/>
          <w:sz w:val="18"/>
          <w:szCs w:val="18"/>
        </w:rPr>
        <w:t xml:space="preserve">) = 351 MW. Then: 351 MW * $0.18 million per MW per year = $63 million </w:t>
      </w:r>
      <w:proofErr w:type="gramStart"/>
      <w:r w:rsidR="009E301C">
        <w:rPr>
          <w:rFonts w:ascii="Palatino" w:hAnsi="Palatino"/>
          <w:i/>
          <w:sz w:val="18"/>
          <w:szCs w:val="18"/>
        </w:rPr>
        <w:t xml:space="preserve">per  </w:t>
      </w:r>
      <w:r w:rsidRPr="004073CB">
        <w:rPr>
          <w:rFonts w:ascii="Palatino" w:hAnsi="Palatino"/>
          <w:i/>
          <w:sz w:val="18"/>
          <w:szCs w:val="18"/>
        </w:rPr>
        <w:t>year</w:t>
      </w:r>
      <w:proofErr w:type="gramEnd"/>
      <w:r w:rsidRPr="004073CB">
        <w:rPr>
          <w:rFonts w:ascii="Palatino" w:hAnsi="Palatino"/>
          <w:i/>
          <w:sz w:val="18"/>
          <w:szCs w:val="18"/>
        </w:rPr>
        <w:t xml:space="preserve">.  </w:t>
      </w:r>
    </w:p>
  </w:footnote>
  <w:footnote w:id="4">
    <w:p w:rsidR="00741B6D" w:rsidRPr="00861E42" w:rsidRDefault="00741B6D" w:rsidP="00A7100C">
      <w:pPr>
        <w:pStyle w:val="FootnoteText"/>
        <w:rPr>
          <w:rFonts w:ascii="Palatino" w:hAnsi="Palatino"/>
          <w:i/>
          <w:sz w:val="20"/>
        </w:rPr>
      </w:pPr>
      <w:r w:rsidRPr="004073CB">
        <w:rPr>
          <w:rStyle w:val="FootnoteReference"/>
          <w:rFonts w:ascii="Palatino" w:hAnsi="Palatino"/>
          <w:sz w:val="18"/>
          <w:szCs w:val="18"/>
          <w:vertAlign w:val="baseline"/>
        </w:rPr>
        <w:footnoteRef/>
      </w:r>
      <w:r w:rsidRPr="004073CB">
        <w:rPr>
          <w:rFonts w:ascii="Palatino" w:hAnsi="Palatino"/>
          <w:i/>
          <w:sz w:val="18"/>
          <w:szCs w:val="18"/>
        </w:rPr>
        <w:t xml:space="preserve"> / $1,691 million - $385 million = $1,306 million</w:t>
      </w:r>
    </w:p>
  </w:footnote>
  <w:footnote w:id="5">
    <w:p w:rsidR="00741B6D" w:rsidRPr="004073CB" w:rsidRDefault="00741B6D" w:rsidP="004073CB">
      <w:pPr>
        <w:pStyle w:val="IRPfooter"/>
        <w:rPr>
          <w:sz w:val="18"/>
          <w:szCs w:val="18"/>
        </w:rPr>
      </w:pPr>
      <w:r w:rsidRPr="004073CB">
        <w:rPr>
          <w:rStyle w:val="FootnoteReference"/>
          <w:sz w:val="18"/>
          <w:szCs w:val="18"/>
          <w:vertAlign w:val="baseline"/>
        </w:rPr>
        <w:footnoteRef/>
      </w:r>
      <w:r w:rsidRPr="004073CB">
        <w:rPr>
          <w:sz w:val="18"/>
          <w:szCs w:val="18"/>
        </w:rPr>
        <w:t xml:space="preserve"> / See Appendix G, </w:t>
      </w:r>
      <w:r>
        <w:rPr>
          <w:sz w:val="18"/>
          <w:szCs w:val="18"/>
        </w:rPr>
        <w:t xml:space="preserve">Wholesale </w:t>
      </w:r>
      <w:r w:rsidRPr="004073CB">
        <w:rPr>
          <w:sz w:val="18"/>
          <w:szCs w:val="18"/>
        </w:rPr>
        <w:t xml:space="preserve">Market </w:t>
      </w:r>
      <w:r>
        <w:rPr>
          <w:sz w:val="18"/>
          <w:szCs w:val="18"/>
        </w:rPr>
        <w:t>Risk</w:t>
      </w:r>
      <w:r w:rsidRPr="004073CB">
        <w:rPr>
          <w:sz w:val="18"/>
          <w:szCs w:val="18"/>
        </w:rPr>
        <w:t>, for additional detail.</w:t>
      </w:r>
    </w:p>
  </w:footnote>
  <w:footnote w:id="6">
    <w:p w:rsidR="00741B6D" w:rsidRPr="00AA3748" w:rsidRDefault="00741B6D" w:rsidP="00AA3748">
      <w:pPr>
        <w:pStyle w:val="IRPfooter"/>
        <w:rPr>
          <w:sz w:val="18"/>
          <w:szCs w:val="18"/>
        </w:rPr>
      </w:pPr>
      <w:r w:rsidRPr="00AA3748">
        <w:rPr>
          <w:rStyle w:val="FootnoteReference"/>
          <w:sz w:val="18"/>
          <w:szCs w:val="18"/>
          <w:vertAlign w:val="baseline"/>
        </w:rPr>
        <w:footnoteRef/>
      </w:r>
      <w:r w:rsidRPr="00AA3748">
        <w:rPr>
          <w:sz w:val="18"/>
          <w:szCs w:val="18"/>
        </w:rPr>
        <w:t xml:space="preserve"> / To reduce renewable resource costs to the point where they can compete with market energy in this part of the country will require significant advances, because of the amount of low variable cost hydro generation available in the Pacific Northwest. </w:t>
      </w:r>
    </w:p>
  </w:footnote>
  <w:footnote w:id="7">
    <w:p w:rsidR="00741B6D" w:rsidRPr="00844B36" w:rsidRDefault="00741B6D" w:rsidP="00844B36">
      <w:pPr>
        <w:pStyle w:val="IRPfooter"/>
        <w:rPr>
          <w:sz w:val="18"/>
          <w:szCs w:val="18"/>
        </w:rPr>
      </w:pPr>
      <w:r w:rsidRPr="00844B36">
        <w:rPr>
          <w:rStyle w:val="FootnoteReference"/>
          <w:sz w:val="18"/>
          <w:szCs w:val="18"/>
          <w:vertAlign w:val="baseline"/>
        </w:rPr>
        <w:footnoteRef/>
      </w:r>
      <w:r w:rsidRPr="00844B36">
        <w:rPr>
          <w:sz w:val="18"/>
          <w:szCs w:val="18"/>
        </w:rPr>
        <w:t xml:space="preserve"> / Chapter 6 presents a comprehensive analysis demonstrating that back-up fuel for existing dual-fuel units is sufficient—firm pipeline capacity does not appear to be needed.</w:t>
      </w:r>
    </w:p>
  </w:footnote>
  <w:footnote w:id="8">
    <w:p w:rsidR="00741B6D" w:rsidRDefault="00741B6D" w:rsidP="00844B36">
      <w:pPr>
        <w:pStyle w:val="IRPfooter"/>
      </w:pPr>
      <w:r w:rsidRPr="00844B36">
        <w:rPr>
          <w:rStyle w:val="FootnoteReference"/>
          <w:sz w:val="18"/>
          <w:szCs w:val="18"/>
          <w:vertAlign w:val="baseline"/>
        </w:rPr>
        <w:footnoteRef/>
      </w:r>
      <w:r w:rsidRPr="00844B36">
        <w:rPr>
          <w:sz w:val="18"/>
          <w:szCs w:val="18"/>
        </w:rPr>
        <w:t xml:space="preserve"> / Net generation cost is calculated by subtracting the operating margin (electric price minus variable operating cost) calculated hourly, in each simulation from the fixed cost of the plant.</w:t>
      </w:r>
      <w:r>
        <w:t xml:space="preserve">  </w:t>
      </w:r>
    </w:p>
  </w:footnote>
  <w:footnote w:id="9">
    <w:p w:rsidR="00741B6D" w:rsidRPr="00E91F51" w:rsidRDefault="00741B6D" w:rsidP="00E91F51">
      <w:pPr>
        <w:pStyle w:val="IRPfooter"/>
        <w:rPr>
          <w:sz w:val="18"/>
          <w:szCs w:val="18"/>
        </w:rPr>
      </w:pPr>
      <w:r w:rsidRPr="00E91F51">
        <w:rPr>
          <w:rStyle w:val="FootnoteReference"/>
          <w:sz w:val="18"/>
          <w:szCs w:val="18"/>
          <w:vertAlign w:val="baseline"/>
        </w:rPr>
        <w:footnoteRef/>
      </w:r>
      <w:r w:rsidRPr="00E91F51">
        <w:rPr>
          <w:sz w:val="18"/>
          <w:szCs w:val="18"/>
        </w:rPr>
        <w:t xml:space="preserve"> / The High Scenario had High CO2 prices.</w:t>
      </w:r>
    </w:p>
  </w:footnote>
  <w:footnote w:id="10">
    <w:p w:rsidR="00741B6D" w:rsidRDefault="00741B6D" w:rsidP="00E91F51">
      <w:pPr>
        <w:pStyle w:val="IRPfooter"/>
      </w:pPr>
      <w:r w:rsidRPr="00E91F51">
        <w:rPr>
          <w:rStyle w:val="FootnoteReference"/>
          <w:sz w:val="18"/>
          <w:szCs w:val="18"/>
          <w:vertAlign w:val="baseline"/>
        </w:rPr>
        <w:footnoteRef/>
      </w:r>
      <w:r w:rsidRPr="00E91F51">
        <w:rPr>
          <w:sz w:val="18"/>
          <w:szCs w:val="18"/>
        </w:rPr>
        <w:t xml:space="preserve"> / The Low Scenario had zero CO2 prices.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B6D" w:rsidRDefault="00602C1D">
    <w:pPr>
      <w:pStyle w:val="Header"/>
    </w:pPr>
    <w:r>
      <w:rPr>
        <w:noProof/>
        <w:lang w:eastAsia="en-US"/>
      </w:rPr>
      <mc:AlternateContent>
        <mc:Choice Requires="wps">
          <w:drawing>
            <wp:anchor distT="0" distB="0" distL="114300" distR="114300" simplePos="0" relativeHeight="251659264" behindDoc="0" locked="0" layoutInCell="1" allowOverlap="1">
              <wp:simplePos x="0" y="0"/>
              <wp:positionH relativeFrom="column">
                <wp:posOffset>51435</wp:posOffset>
              </wp:positionH>
              <wp:positionV relativeFrom="paragraph">
                <wp:posOffset>2540</wp:posOffset>
              </wp:positionV>
              <wp:extent cx="4343400" cy="457200"/>
              <wp:effectExtent l="0" t="0" r="0" b="0"/>
              <wp:wrapThrough wrapText="bothSides">
                <wp:wrapPolygon edited="0">
                  <wp:start x="126" y="1200"/>
                  <wp:lineTo x="126" y="19200"/>
                  <wp:lineTo x="21347" y="19200"/>
                  <wp:lineTo x="21347" y="1200"/>
                  <wp:lineTo x="126" y="1200"/>
                </wp:wrapPolygon>
              </wp:wrapThrough>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1B6D" w:rsidRPr="00C04720" w:rsidRDefault="00741B6D" w:rsidP="00BC31F5">
                          <w:pPr>
                            <w:pStyle w:val="irpsubsanstext16"/>
                          </w:pPr>
                          <w:r w:rsidRPr="00C04720">
                            <w:t xml:space="preserve">Chapter </w:t>
                          </w:r>
                          <w:r>
                            <w:t>2: Resource Plan Decisions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1" o:spid="_x0000_s1027" type="#_x0000_t202" style="position:absolute;margin-left:4.05pt;margin-top:.2pt;width:342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" filled="f" stroked="f">
              <v:textbox inset=",7.2pt,,7.2pt">
                <w:txbxContent>
                  <w:p w:rsidR="00741B6D" w:rsidRPr="00C04720" w:rsidRDefault="00741B6D" w:rsidP="00BC31F5">
                    <w:pPr>
                      <w:pStyle w:val="irpsubsanstext16"/>
                    </w:pPr>
                    <w:r w:rsidRPr="00C04720">
                      <w:t xml:space="preserve">Chapter </w:t>
                    </w:r>
                    <w:r>
                      <w:t>2: Resource Plan Decisions</w:t>
                    </w:r>
                  </w:p>
                </w:txbxContent>
              </v:textbox>
              <w10:wrap type="through"/>
            </v:shape>
          </w:pict>
        </mc:Fallback>
      </mc:AlternateContent>
    </w:r>
    <w:r w:rsidR="00741B6D">
      <w:rPr>
        <w:noProof/>
        <w:lang w:eastAsia="en-US"/>
      </w:rPr>
      <w:drawing>
        <wp:inline distT="0" distB="0" distL="0" distR="0">
          <wp:extent cx="5418455" cy="451538"/>
          <wp:effectExtent l="0" t="0" r="0" b="5715"/>
          <wp:docPr id="24" name="Picture 24" descr="Macintosh HD:Users:annrhodes:Documents:01 RHODES-D-SIGNS:PSE_IRP2015:Title bands:title_greydk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acintosh HD:Users:annrhodes:Documents:01 RHODES-D-SIGNS:PSE_IRP2015:Title bands:title_greydkte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8455" cy="451538"/>
                  </a:xfrm>
                  <a:prstGeom prst="rect">
                    <a:avLst/>
                  </a:prstGeom>
                  <a:noFill/>
                  <a:ln>
                    <a:noFill/>
                  </a:ln>
                </pic:spPr>
              </pic:pic>
            </a:graphicData>
          </a:graphic>
        </wp:inline>
      </w:drawing>
    </w:r>
  </w:p>
  <w:p w:rsidR="00741B6D" w:rsidRPr="00764552" w:rsidRDefault="00741B6D">
    <w:pPr>
      <w:pStyle w:val="Header"/>
      <w:rPr>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97DE4"/>
    <w:multiLevelType w:val="hybridMultilevel"/>
    <w:tmpl w:val="AEB4C20A"/>
    <w:lvl w:ilvl="0" w:tplc="3FA2A3CA">
      <w:start w:val="1"/>
      <w:numFmt w:val="bullet"/>
      <w:lvlText w:val=""/>
      <w:lvlJc w:val="left"/>
      <w:pPr>
        <w:tabs>
          <w:tab w:val="num" w:pos="360"/>
        </w:tabs>
        <w:ind w:left="360"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846382"/>
    <w:multiLevelType w:val="hybridMultilevel"/>
    <w:tmpl w:val="D5048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EF53E7"/>
    <w:multiLevelType w:val="hybridMultilevel"/>
    <w:tmpl w:val="3850C1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6B1669"/>
    <w:multiLevelType w:val="hybridMultilevel"/>
    <w:tmpl w:val="023E57D8"/>
    <w:lvl w:ilvl="0" w:tplc="C65ACF4A">
      <w:start w:val="1"/>
      <w:numFmt w:val="bullet"/>
      <w:pStyle w:val="IRP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4">
    <w:nsid w:val="447F7C2D"/>
    <w:multiLevelType w:val="hybridMultilevel"/>
    <w:tmpl w:val="43CA0786"/>
    <w:lvl w:ilvl="0" w:tplc="3FA2A3CA">
      <w:start w:val="1"/>
      <w:numFmt w:val="bullet"/>
      <w:lvlText w:val=""/>
      <w:lvlJc w:val="left"/>
      <w:pPr>
        <w:tabs>
          <w:tab w:val="num" w:pos="360"/>
        </w:tabs>
        <w:ind w:left="360"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C21E81"/>
    <w:multiLevelType w:val="hybridMultilevel"/>
    <w:tmpl w:val="C708F9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num>
  <w:num w:numId="6">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E72"/>
    <w:rsid w:val="000048F7"/>
    <w:rsid w:val="00022AE1"/>
    <w:rsid w:val="00032C11"/>
    <w:rsid w:val="00045148"/>
    <w:rsid w:val="00061941"/>
    <w:rsid w:val="000811E5"/>
    <w:rsid w:val="000B7150"/>
    <w:rsid w:val="000D3DFF"/>
    <w:rsid w:val="000E3017"/>
    <w:rsid w:val="000E4936"/>
    <w:rsid w:val="000E6293"/>
    <w:rsid w:val="000F2D1D"/>
    <w:rsid w:val="000F320C"/>
    <w:rsid w:val="00124C14"/>
    <w:rsid w:val="00151CD4"/>
    <w:rsid w:val="00155762"/>
    <w:rsid w:val="001836D9"/>
    <w:rsid w:val="001A2229"/>
    <w:rsid w:val="001B5F2B"/>
    <w:rsid w:val="001C6E84"/>
    <w:rsid w:val="001D052C"/>
    <w:rsid w:val="001D3877"/>
    <w:rsid w:val="001D4E32"/>
    <w:rsid w:val="001D628F"/>
    <w:rsid w:val="0020632A"/>
    <w:rsid w:val="00217498"/>
    <w:rsid w:val="00234579"/>
    <w:rsid w:val="00234C3C"/>
    <w:rsid w:val="00255AA2"/>
    <w:rsid w:val="00255D45"/>
    <w:rsid w:val="00261C33"/>
    <w:rsid w:val="00261F11"/>
    <w:rsid w:val="00273555"/>
    <w:rsid w:val="002818CC"/>
    <w:rsid w:val="00293A4E"/>
    <w:rsid w:val="002B3AD4"/>
    <w:rsid w:val="002B4198"/>
    <w:rsid w:val="002B629E"/>
    <w:rsid w:val="002C1ECE"/>
    <w:rsid w:val="002F487B"/>
    <w:rsid w:val="002F77B4"/>
    <w:rsid w:val="00307C88"/>
    <w:rsid w:val="00316F97"/>
    <w:rsid w:val="00380699"/>
    <w:rsid w:val="00382146"/>
    <w:rsid w:val="00386666"/>
    <w:rsid w:val="0039474D"/>
    <w:rsid w:val="00397EFC"/>
    <w:rsid w:val="003A0016"/>
    <w:rsid w:val="003B77A4"/>
    <w:rsid w:val="003C667F"/>
    <w:rsid w:val="003E7037"/>
    <w:rsid w:val="004073CB"/>
    <w:rsid w:val="00427D40"/>
    <w:rsid w:val="00440047"/>
    <w:rsid w:val="00445061"/>
    <w:rsid w:val="004574CF"/>
    <w:rsid w:val="00486450"/>
    <w:rsid w:val="00496991"/>
    <w:rsid w:val="004A41CE"/>
    <w:rsid w:val="004B442A"/>
    <w:rsid w:val="004C668B"/>
    <w:rsid w:val="004D0808"/>
    <w:rsid w:val="004E19B5"/>
    <w:rsid w:val="004E423F"/>
    <w:rsid w:val="005015F8"/>
    <w:rsid w:val="00521E04"/>
    <w:rsid w:val="005250B5"/>
    <w:rsid w:val="00554CB0"/>
    <w:rsid w:val="00555205"/>
    <w:rsid w:val="005676D4"/>
    <w:rsid w:val="00571E09"/>
    <w:rsid w:val="00580237"/>
    <w:rsid w:val="005A081F"/>
    <w:rsid w:val="005B05E2"/>
    <w:rsid w:val="005B2E02"/>
    <w:rsid w:val="005F721A"/>
    <w:rsid w:val="00601E72"/>
    <w:rsid w:val="00602C1D"/>
    <w:rsid w:val="00615718"/>
    <w:rsid w:val="0063113C"/>
    <w:rsid w:val="0065383B"/>
    <w:rsid w:val="00670EF9"/>
    <w:rsid w:val="00674AD7"/>
    <w:rsid w:val="00676673"/>
    <w:rsid w:val="006766F4"/>
    <w:rsid w:val="00681421"/>
    <w:rsid w:val="0068280F"/>
    <w:rsid w:val="0069404B"/>
    <w:rsid w:val="00694DA4"/>
    <w:rsid w:val="006A7FDA"/>
    <w:rsid w:val="006B7A5D"/>
    <w:rsid w:val="006D4575"/>
    <w:rsid w:val="00713242"/>
    <w:rsid w:val="00723DEC"/>
    <w:rsid w:val="007247D3"/>
    <w:rsid w:val="0073074B"/>
    <w:rsid w:val="00741B6D"/>
    <w:rsid w:val="007477FF"/>
    <w:rsid w:val="00764552"/>
    <w:rsid w:val="00766C30"/>
    <w:rsid w:val="0077237B"/>
    <w:rsid w:val="00785483"/>
    <w:rsid w:val="00785A65"/>
    <w:rsid w:val="007E49E8"/>
    <w:rsid w:val="007F2129"/>
    <w:rsid w:val="007F2800"/>
    <w:rsid w:val="008067ED"/>
    <w:rsid w:val="00811DF7"/>
    <w:rsid w:val="008139F0"/>
    <w:rsid w:val="00816B3B"/>
    <w:rsid w:val="008249EB"/>
    <w:rsid w:val="00844B36"/>
    <w:rsid w:val="008461CB"/>
    <w:rsid w:val="008507B6"/>
    <w:rsid w:val="00880E40"/>
    <w:rsid w:val="00882098"/>
    <w:rsid w:val="00890504"/>
    <w:rsid w:val="008C277C"/>
    <w:rsid w:val="008D10CC"/>
    <w:rsid w:val="008D302A"/>
    <w:rsid w:val="008D3F1F"/>
    <w:rsid w:val="008F3D71"/>
    <w:rsid w:val="00901686"/>
    <w:rsid w:val="00906A0A"/>
    <w:rsid w:val="00927EA3"/>
    <w:rsid w:val="009522DE"/>
    <w:rsid w:val="00974679"/>
    <w:rsid w:val="009774F8"/>
    <w:rsid w:val="009826AA"/>
    <w:rsid w:val="0098435E"/>
    <w:rsid w:val="00984B6B"/>
    <w:rsid w:val="0099541C"/>
    <w:rsid w:val="009A60C3"/>
    <w:rsid w:val="009C0BDA"/>
    <w:rsid w:val="009E301C"/>
    <w:rsid w:val="009F37D7"/>
    <w:rsid w:val="009F6E33"/>
    <w:rsid w:val="00A075A9"/>
    <w:rsid w:val="00A157B1"/>
    <w:rsid w:val="00A3646D"/>
    <w:rsid w:val="00A44B48"/>
    <w:rsid w:val="00A47D61"/>
    <w:rsid w:val="00A7100C"/>
    <w:rsid w:val="00A75AB8"/>
    <w:rsid w:val="00A76BAA"/>
    <w:rsid w:val="00AA3748"/>
    <w:rsid w:val="00AE6946"/>
    <w:rsid w:val="00AF5574"/>
    <w:rsid w:val="00B12366"/>
    <w:rsid w:val="00B230F8"/>
    <w:rsid w:val="00B66EDF"/>
    <w:rsid w:val="00B7196F"/>
    <w:rsid w:val="00B72944"/>
    <w:rsid w:val="00B800A1"/>
    <w:rsid w:val="00B81A87"/>
    <w:rsid w:val="00B82F6C"/>
    <w:rsid w:val="00BC31F5"/>
    <w:rsid w:val="00BE01D8"/>
    <w:rsid w:val="00BF45F8"/>
    <w:rsid w:val="00C04720"/>
    <w:rsid w:val="00C12FBA"/>
    <w:rsid w:val="00C7681D"/>
    <w:rsid w:val="00C84D6A"/>
    <w:rsid w:val="00C93FB1"/>
    <w:rsid w:val="00CA1290"/>
    <w:rsid w:val="00CD2543"/>
    <w:rsid w:val="00CD72DE"/>
    <w:rsid w:val="00CD78F5"/>
    <w:rsid w:val="00CE0ADC"/>
    <w:rsid w:val="00CE5FD8"/>
    <w:rsid w:val="00D21EAA"/>
    <w:rsid w:val="00D34598"/>
    <w:rsid w:val="00D510B2"/>
    <w:rsid w:val="00DC0D6B"/>
    <w:rsid w:val="00DC16C8"/>
    <w:rsid w:val="00DC72BC"/>
    <w:rsid w:val="00E11FE6"/>
    <w:rsid w:val="00E16024"/>
    <w:rsid w:val="00E203E5"/>
    <w:rsid w:val="00E51DDB"/>
    <w:rsid w:val="00E52BCA"/>
    <w:rsid w:val="00E62204"/>
    <w:rsid w:val="00E72663"/>
    <w:rsid w:val="00E87BB5"/>
    <w:rsid w:val="00E91F51"/>
    <w:rsid w:val="00E96667"/>
    <w:rsid w:val="00EA303E"/>
    <w:rsid w:val="00EC4408"/>
    <w:rsid w:val="00EC49E8"/>
    <w:rsid w:val="00ED056D"/>
    <w:rsid w:val="00F133C9"/>
    <w:rsid w:val="00F35EE8"/>
    <w:rsid w:val="00F4756C"/>
    <w:rsid w:val="00F76A40"/>
    <w:rsid w:val="00FD3681"/>
    <w:rsid w:val="00FE2582"/>
    <w:rsid w:val="00FF515B"/>
    <w:rsid w:val="00FF73E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E72"/>
    <w:rPr>
      <w:rFonts w:eastAsia="MS Mincho"/>
    </w:rPr>
  </w:style>
  <w:style w:type="paragraph" w:styleId="Heading1">
    <w:name w:val="heading 1"/>
    <w:basedOn w:val="Normal"/>
    <w:next w:val="Normal"/>
    <w:link w:val="Heading1Char"/>
    <w:uiPriority w:val="1"/>
    <w:qFormat/>
    <w:rsid w:val="001D4E3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qFormat/>
    <w:rsid w:val="00234579"/>
    <w:pPr>
      <w:keepNext/>
      <w:keepLines/>
      <w:spacing w:before="200" w:line="276" w:lineRule="auto"/>
      <w:outlineLvl w:val="1"/>
    </w:pPr>
    <w:rPr>
      <w:rFonts w:ascii="Garamond" w:eastAsia="Times New Roman" w:hAnsi="Garamond"/>
      <w:b/>
      <w:bCs/>
      <w:color w:val="4F81BD"/>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601E72"/>
    <w:rPr>
      <w:rFonts w:ascii="Lucida Grande" w:hAnsi="Lucida Grande" w:cs="Lucida Grande"/>
      <w:sz w:val="18"/>
      <w:szCs w:val="18"/>
    </w:rPr>
  </w:style>
  <w:style w:type="character" w:customStyle="1" w:styleId="BalloonTextChar">
    <w:name w:val="Balloon Text Char"/>
    <w:basedOn w:val="DefaultParagraphFont"/>
    <w:uiPriority w:val="99"/>
    <w:semiHidden/>
    <w:rsid w:val="00CB1DEA"/>
    <w:rPr>
      <w:rFonts w:ascii="Lucida Grande" w:hAnsi="Lucida Grande" w:cs="Lucida Grande"/>
      <w:sz w:val="18"/>
      <w:szCs w:val="18"/>
    </w:rPr>
  </w:style>
  <w:style w:type="character" w:customStyle="1" w:styleId="BalloonTextChar0">
    <w:name w:val="Balloon Text Char"/>
    <w:basedOn w:val="DefaultParagraphFont"/>
    <w:uiPriority w:val="99"/>
    <w:semiHidden/>
    <w:rsid w:val="00EF13A4"/>
    <w:rPr>
      <w:rFonts w:ascii="Lucida Grande" w:hAnsi="Lucida Grande" w:cs="Lucida Grande"/>
      <w:sz w:val="18"/>
      <w:szCs w:val="18"/>
    </w:rPr>
  </w:style>
  <w:style w:type="character" w:customStyle="1" w:styleId="BalloonTextChar2">
    <w:name w:val="Balloon Text Char"/>
    <w:basedOn w:val="DefaultParagraphFont"/>
    <w:uiPriority w:val="99"/>
    <w:semiHidden/>
    <w:rsid w:val="00EF13A4"/>
    <w:rPr>
      <w:rFonts w:ascii="Lucida Grande" w:hAnsi="Lucida Grande" w:cs="Lucida Grande"/>
      <w:sz w:val="18"/>
      <w:szCs w:val="18"/>
    </w:rPr>
  </w:style>
  <w:style w:type="character" w:customStyle="1" w:styleId="BalloonTextChar3">
    <w:name w:val="Balloon Text Char"/>
    <w:basedOn w:val="DefaultParagraphFont"/>
    <w:uiPriority w:val="99"/>
    <w:semiHidden/>
    <w:rsid w:val="00EF13A4"/>
    <w:rPr>
      <w:rFonts w:ascii="Lucida Grande" w:hAnsi="Lucida Grande" w:cs="Lucida Grande"/>
      <w:sz w:val="18"/>
      <w:szCs w:val="18"/>
    </w:rPr>
  </w:style>
  <w:style w:type="character" w:customStyle="1" w:styleId="BalloonTextChar4">
    <w:name w:val="Balloon Text Char"/>
    <w:basedOn w:val="DefaultParagraphFont"/>
    <w:uiPriority w:val="99"/>
    <w:semiHidden/>
    <w:rsid w:val="001337BF"/>
    <w:rPr>
      <w:rFonts w:ascii="Lucida Grande" w:hAnsi="Lucida Grande" w:cs="Lucida Grande"/>
      <w:sz w:val="18"/>
      <w:szCs w:val="18"/>
    </w:rPr>
  </w:style>
  <w:style w:type="character" w:customStyle="1" w:styleId="BalloonTextChar5">
    <w:name w:val="Balloon Text Char"/>
    <w:basedOn w:val="DefaultParagraphFont"/>
    <w:uiPriority w:val="99"/>
    <w:semiHidden/>
    <w:rsid w:val="001337BF"/>
    <w:rPr>
      <w:rFonts w:ascii="Lucida Grande" w:hAnsi="Lucida Grande" w:cs="Lucida Grande"/>
      <w:sz w:val="18"/>
      <w:szCs w:val="18"/>
    </w:rPr>
  </w:style>
  <w:style w:type="character" w:customStyle="1" w:styleId="Heading1Char">
    <w:name w:val="Heading 1 Char"/>
    <w:basedOn w:val="DefaultParagraphFont"/>
    <w:link w:val="Heading1"/>
    <w:rsid w:val="001D4E32"/>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234579"/>
    <w:rPr>
      <w:rFonts w:ascii="Garamond" w:eastAsia="Times New Roman" w:hAnsi="Garamond"/>
      <w:b/>
      <w:bCs/>
      <w:color w:val="4F81BD"/>
      <w:sz w:val="26"/>
      <w:szCs w:val="26"/>
      <w:lang w:eastAsia="en-US"/>
    </w:rPr>
  </w:style>
  <w:style w:type="paragraph" w:customStyle="1" w:styleId="IRPsanstext">
    <w:name w:val="IRPsanstext"/>
    <w:basedOn w:val="Normal"/>
    <w:link w:val="IRPsanstextChar1"/>
    <w:rsid w:val="005B05E2"/>
    <w:pPr>
      <w:spacing w:line="320" w:lineRule="exact"/>
    </w:pPr>
    <w:rPr>
      <w:rFonts w:ascii="Arial" w:hAnsi="Arial"/>
      <w:sz w:val="20"/>
      <w:szCs w:val="20"/>
    </w:rPr>
  </w:style>
  <w:style w:type="character" w:customStyle="1" w:styleId="IRPsanstextChar1">
    <w:name w:val="IRPsanstext Char1"/>
    <w:link w:val="IRPsanstext"/>
    <w:locked/>
    <w:rsid w:val="005B05E2"/>
    <w:rPr>
      <w:rFonts w:ascii="Arial" w:eastAsia="MS Mincho" w:hAnsi="Arial"/>
      <w:sz w:val="20"/>
      <w:szCs w:val="20"/>
    </w:rPr>
  </w:style>
  <w:style w:type="paragraph" w:customStyle="1" w:styleId="IRPsecthead1serif">
    <w:name w:val="IRPsecthead1serif"/>
    <w:basedOn w:val="Normal"/>
    <w:rsid w:val="00F133C9"/>
    <w:rPr>
      <w:rFonts w:ascii="Arial" w:hAnsi="Arial" w:cs="Arial"/>
      <w:color w:val="000000"/>
      <w:sz w:val="32"/>
      <w:szCs w:val="32"/>
    </w:rPr>
  </w:style>
  <w:style w:type="paragraph" w:customStyle="1" w:styleId="IRPsecthead2sans">
    <w:name w:val="IRPsecthead2sans"/>
    <w:basedOn w:val="IRPsecthead1serif"/>
    <w:uiPriority w:val="99"/>
    <w:rsid w:val="00601E72"/>
    <w:rPr>
      <w:b/>
      <w:color w:val="006C71"/>
    </w:rPr>
  </w:style>
  <w:style w:type="paragraph" w:customStyle="1" w:styleId="IRPseriftextbig">
    <w:name w:val="IRPseriftextbig"/>
    <w:basedOn w:val="Normal"/>
    <w:rsid w:val="00601E72"/>
    <w:pPr>
      <w:spacing w:line="360" w:lineRule="auto"/>
    </w:pPr>
    <w:rPr>
      <w:rFonts w:ascii="Palatino" w:hAnsi="Palatino"/>
      <w:i/>
      <w:sz w:val="28"/>
      <w:szCs w:val="28"/>
    </w:rPr>
  </w:style>
  <w:style w:type="paragraph" w:customStyle="1" w:styleId="IRPtitl">
    <w:name w:val="IRPtitl"/>
    <w:basedOn w:val="Normal"/>
    <w:rsid w:val="00555205"/>
    <w:pPr>
      <w:ind w:left="576" w:hanging="576"/>
    </w:pPr>
    <w:rPr>
      <w:rFonts w:ascii="Arial" w:hAnsi="Arial" w:cs="Arial"/>
      <w:color w:val="156570"/>
      <w:sz w:val="32"/>
      <w:szCs w:val="32"/>
    </w:rPr>
  </w:style>
  <w:style w:type="paragraph" w:customStyle="1" w:styleId="IRPsub1">
    <w:name w:val="IRPsub1"/>
    <w:basedOn w:val="Normal"/>
    <w:rsid w:val="00601E72"/>
    <w:pPr>
      <w:spacing w:before="40" w:after="40"/>
    </w:pPr>
    <w:rPr>
      <w:rFonts w:ascii="Arial" w:hAnsi="Arial"/>
      <w:i/>
      <w:color w:val="FFFFFF" w:themeColor="background1"/>
      <w:sz w:val="22"/>
      <w:szCs w:val="22"/>
    </w:rPr>
  </w:style>
  <w:style w:type="paragraph" w:styleId="Header">
    <w:name w:val="header"/>
    <w:basedOn w:val="Normal"/>
    <w:link w:val="HeaderChar"/>
    <w:uiPriority w:val="99"/>
    <w:unhideWhenUsed/>
    <w:rsid w:val="00601E72"/>
    <w:pPr>
      <w:tabs>
        <w:tab w:val="center" w:pos="4320"/>
        <w:tab w:val="right" w:pos="8640"/>
      </w:tabs>
    </w:pPr>
  </w:style>
  <w:style w:type="character" w:customStyle="1" w:styleId="HeaderChar">
    <w:name w:val="Header Char"/>
    <w:basedOn w:val="DefaultParagraphFont"/>
    <w:link w:val="Header"/>
    <w:uiPriority w:val="99"/>
    <w:rsid w:val="00601E72"/>
    <w:rPr>
      <w:rFonts w:eastAsia="MS Mincho"/>
    </w:rPr>
  </w:style>
  <w:style w:type="paragraph" w:styleId="Footer">
    <w:name w:val="footer"/>
    <w:basedOn w:val="Normal"/>
    <w:link w:val="FooterChar"/>
    <w:uiPriority w:val="99"/>
    <w:unhideWhenUsed/>
    <w:rsid w:val="00601E72"/>
    <w:pPr>
      <w:tabs>
        <w:tab w:val="center" w:pos="4320"/>
        <w:tab w:val="right" w:pos="8640"/>
      </w:tabs>
    </w:pPr>
  </w:style>
  <w:style w:type="character" w:customStyle="1" w:styleId="FooterChar">
    <w:name w:val="Footer Char"/>
    <w:basedOn w:val="DefaultParagraphFont"/>
    <w:link w:val="Footer"/>
    <w:uiPriority w:val="99"/>
    <w:rsid w:val="00601E72"/>
    <w:rPr>
      <w:rFonts w:eastAsia="MS Mincho"/>
    </w:rPr>
  </w:style>
  <w:style w:type="character" w:customStyle="1" w:styleId="BalloonTextChar1">
    <w:name w:val="Balloon Text Char1"/>
    <w:basedOn w:val="DefaultParagraphFont"/>
    <w:link w:val="BalloonText"/>
    <w:uiPriority w:val="99"/>
    <w:semiHidden/>
    <w:rsid w:val="00601E72"/>
    <w:rPr>
      <w:rFonts w:ascii="Lucida Grande" w:eastAsia="MS Mincho" w:hAnsi="Lucida Grande" w:cs="Lucida Grande"/>
      <w:sz w:val="18"/>
      <w:szCs w:val="18"/>
    </w:rPr>
  </w:style>
  <w:style w:type="paragraph" w:customStyle="1" w:styleId="irpsubsanstext16">
    <w:name w:val="irpsub_sanstext16"/>
    <w:basedOn w:val="Normal"/>
    <w:next w:val="Normal"/>
    <w:autoRedefine/>
    <w:rsid w:val="00BC31F5"/>
    <w:pPr>
      <w:spacing w:after="120"/>
    </w:pPr>
    <w:rPr>
      <w:rFonts w:ascii="Arial" w:eastAsia="Times New Roman" w:hAnsi="Arial" w:cs="Arial"/>
      <w:bCs/>
      <w:iCs/>
      <w:color w:val="FFFFFF" w:themeColor="background1"/>
      <w:sz w:val="28"/>
      <w:szCs w:val="28"/>
      <w:lang w:eastAsia="en-US"/>
    </w:rPr>
  </w:style>
  <w:style w:type="paragraph" w:customStyle="1" w:styleId="IRPFigureSub">
    <w:name w:val="IRPFigureSub"/>
    <w:basedOn w:val="IRPsanstext"/>
    <w:link w:val="IRPFigureSubChar"/>
    <w:uiPriority w:val="99"/>
    <w:qFormat/>
    <w:rsid w:val="00B12366"/>
    <w:pPr>
      <w:jc w:val="center"/>
    </w:pPr>
    <w:rPr>
      <w:i/>
      <w:szCs w:val="22"/>
    </w:rPr>
  </w:style>
  <w:style w:type="character" w:customStyle="1" w:styleId="IRPFigureSubChar">
    <w:name w:val="IRPFigureSub Char"/>
    <w:link w:val="IRPFigureSub"/>
    <w:uiPriority w:val="99"/>
    <w:rsid w:val="00B12366"/>
    <w:rPr>
      <w:rFonts w:ascii="Arial" w:eastAsia="MS Mincho" w:hAnsi="Arial"/>
      <w:i/>
      <w:szCs w:val="22"/>
    </w:rPr>
  </w:style>
  <w:style w:type="paragraph" w:customStyle="1" w:styleId="IRPbullet">
    <w:name w:val="IRPbullet"/>
    <w:basedOn w:val="Normal"/>
    <w:uiPriority w:val="99"/>
    <w:rsid w:val="00B12366"/>
    <w:pPr>
      <w:numPr>
        <w:numId w:val="1"/>
      </w:numPr>
      <w:spacing w:beforeAutospacing="1" w:afterAutospacing="1" w:line="360" w:lineRule="auto"/>
    </w:pPr>
    <w:rPr>
      <w:rFonts w:ascii="Arial" w:hAnsi="Arial"/>
    </w:rPr>
  </w:style>
  <w:style w:type="paragraph" w:customStyle="1" w:styleId="IRPfooter">
    <w:name w:val="IRPfooter"/>
    <w:basedOn w:val="Footer"/>
    <w:uiPriority w:val="99"/>
    <w:rsid w:val="00B12366"/>
    <w:rPr>
      <w:rFonts w:ascii="Palatino" w:hAnsi="Palatino"/>
      <w:i/>
    </w:rPr>
  </w:style>
  <w:style w:type="paragraph" w:customStyle="1" w:styleId="IRPtitle">
    <w:name w:val="IRPtitle"/>
    <w:basedOn w:val="Normal"/>
    <w:uiPriority w:val="99"/>
    <w:rsid w:val="00B12366"/>
    <w:pPr>
      <w:ind w:left="576" w:hanging="576"/>
    </w:pPr>
    <w:rPr>
      <w:rFonts w:ascii="Palatino" w:hAnsi="Palatino"/>
      <w:sz w:val="40"/>
    </w:rPr>
  </w:style>
  <w:style w:type="character" w:styleId="FootnoteReference">
    <w:name w:val="footnote reference"/>
    <w:basedOn w:val="DefaultParagraphFont"/>
    <w:uiPriority w:val="99"/>
    <w:rsid w:val="00B12366"/>
    <w:rPr>
      <w:rFonts w:cs="Times New Roman"/>
      <w:vertAlign w:val="superscript"/>
    </w:rPr>
  </w:style>
  <w:style w:type="character" w:styleId="PageNumber">
    <w:name w:val="page number"/>
    <w:basedOn w:val="DefaultParagraphFont"/>
    <w:uiPriority w:val="99"/>
    <w:rsid w:val="0020632A"/>
    <w:rPr>
      <w:rFonts w:cs="Times New Roman"/>
    </w:rPr>
  </w:style>
  <w:style w:type="paragraph" w:styleId="FootnoteText">
    <w:name w:val="footnote text"/>
    <w:basedOn w:val="Normal"/>
    <w:link w:val="FootnoteTextChar"/>
    <w:uiPriority w:val="99"/>
    <w:rsid w:val="00C12FBA"/>
    <w:rPr>
      <w:rFonts w:ascii="Garamond" w:eastAsia="Garamond" w:hAnsi="Garamond"/>
      <w:lang w:eastAsia="en-US"/>
    </w:rPr>
  </w:style>
  <w:style w:type="character" w:customStyle="1" w:styleId="FootnoteTextChar">
    <w:name w:val="Footnote Text Char"/>
    <w:basedOn w:val="DefaultParagraphFont"/>
    <w:link w:val="FootnoteText"/>
    <w:uiPriority w:val="99"/>
    <w:rsid w:val="00C12FBA"/>
    <w:rPr>
      <w:rFonts w:ascii="Garamond" w:eastAsia="Garamond" w:hAnsi="Garamond"/>
      <w:lang w:eastAsia="en-US"/>
    </w:rPr>
  </w:style>
  <w:style w:type="character" w:styleId="IntenseEmphasis">
    <w:name w:val="Intense Emphasis"/>
    <w:uiPriority w:val="21"/>
    <w:qFormat/>
    <w:rsid w:val="00234579"/>
    <w:rPr>
      <w:b/>
      <w:bCs/>
      <w:i/>
      <w:iCs/>
      <w:color w:val="4F81BD"/>
    </w:rPr>
  </w:style>
  <w:style w:type="paragraph" w:styleId="Subtitle">
    <w:name w:val="Subtitle"/>
    <w:basedOn w:val="Normal"/>
    <w:next w:val="Normal"/>
    <w:link w:val="SubtitleChar"/>
    <w:uiPriority w:val="11"/>
    <w:qFormat/>
    <w:rsid w:val="00555205"/>
    <w:pPr>
      <w:numPr>
        <w:ilvl w:val="1"/>
      </w:numPr>
      <w:spacing w:after="200" w:line="276" w:lineRule="auto"/>
    </w:pPr>
    <w:rPr>
      <w:rFonts w:ascii="Garamond" w:eastAsia="Times New Roman" w:hAnsi="Garamond"/>
      <w:i/>
      <w:iCs/>
      <w:color w:val="4F81BD"/>
      <w:spacing w:val="15"/>
      <w:lang w:eastAsia="en-US"/>
    </w:rPr>
  </w:style>
  <w:style w:type="character" w:customStyle="1" w:styleId="SubtitleChar">
    <w:name w:val="Subtitle Char"/>
    <w:basedOn w:val="DefaultParagraphFont"/>
    <w:link w:val="Subtitle"/>
    <w:uiPriority w:val="11"/>
    <w:rsid w:val="00555205"/>
    <w:rPr>
      <w:rFonts w:ascii="Garamond" w:eastAsia="Times New Roman" w:hAnsi="Garamond"/>
      <w:i/>
      <w:iCs/>
      <w:color w:val="4F81BD"/>
      <w:spacing w:val="15"/>
      <w:sz w:val="24"/>
      <w:szCs w:val="24"/>
      <w:lang w:eastAsia="en-US"/>
    </w:rPr>
  </w:style>
  <w:style w:type="paragraph" w:customStyle="1" w:styleId="Highhead">
    <w:name w:val="Highhead"/>
    <w:basedOn w:val="IRPtitle"/>
    <w:rsid w:val="005B05E2"/>
    <w:rPr>
      <w:i/>
      <w:color w:val="008000"/>
      <w:sz w:val="32"/>
      <w:szCs w:val="40"/>
    </w:rPr>
  </w:style>
  <w:style w:type="paragraph" w:customStyle="1" w:styleId="IRPseriftext">
    <w:name w:val="IRPseriftext"/>
    <w:basedOn w:val="Normal"/>
    <w:rsid w:val="00307C88"/>
    <w:pPr>
      <w:spacing w:line="320" w:lineRule="exact"/>
      <w:ind w:left="720"/>
    </w:pPr>
    <w:rPr>
      <w:rFonts w:ascii="Palatino" w:hAnsi="Palatino"/>
      <w:i/>
    </w:rPr>
  </w:style>
  <w:style w:type="character" w:styleId="CommentReference">
    <w:name w:val="annotation reference"/>
    <w:uiPriority w:val="99"/>
    <w:semiHidden/>
    <w:rsid w:val="00307C88"/>
    <w:rPr>
      <w:sz w:val="16"/>
      <w:szCs w:val="16"/>
    </w:rPr>
  </w:style>
  <w:style w:type="paragraph" w:styleId="CommentText">
    <w:name w:val="annotation text"/>
    <w:basedOn w:val="Normal"/>
    <w:link w:val="CommentTextChar"/>
    <w:uiPriority w:val="99"/>
    <w:semiHidden/>
    <w:rsid w:val="00307C88"/>
  </w:style>
  <w:style w:type="character" w:customStyle="1" w:styleId="CommentTextChar">
    <w:name w:val="Comment Text Char"/>
    <w:basedOn w:val="DefaultParagraphFont"/>
    <w:link w:val="CommentText"/>
    <w:uiPriority w:val="99"/>
    <w:semiHidden/>
    <w:rsid w:val="00307C88"/>
    <w:rPr>
      <w:rFonts w:eastAsia="MS Mincho"/>
    </w:rPr>
  </w:style>
  <w:style w:type="paragraph" w:customStyle="1" w:styleId="IRPfiguresub0">
    <w:name w:val="IRPfiguresub"/>
    <w:basedOn w:val="BodyText"/>
    <w:uiPriority w:val="99"/>
    <w:rsid w:val="004D0808"/>
    <w:pPr>
      <w:spacing w:beforeAutospacing="1" w:after="0" w:afterAutospacing="1"/>
    </w:pPr>
    <w:rPr>
      <w:rFonts w:ascii="Arial" w:eastAsia="Times New Roman" w:hAnsi="Arial"/>
      <w:b/>
      <w:sz w:val="20"/>
    </w:rPr>
  </w:style>
  <w:style w:type="paragraph" w:styleId="BodyText">
    <w:name w:val="Body Text"/>
    <w:basedOn w:val="Normal"/>
    <w:link w:val="BodyTextChar"/>
    <w:uiPriority w:val="99"/>
    <w:unhideWhenUsed/>
    <w:qFormat/>
    <w:rsid w:val="004D0808"/>
    <w:pPr>
      <w:spacing w:after="120"/>
    </w:pPr>
  </w:style>
  <w:style w:type="character" w:customStyle="1" w:styleId="BodyTextChar">
    <w:name w:val="Body Text Char"/>
    <w:basedOn w:val="DefaultParagraphFont"/>
    <w:link w:val="BodyText"/>
    <w:uiPriority w:val="99"/>
    <w:rsid w:val="004D0808"/>
    <w:rPr>
      <w:rFonts w:eastAsia="MS Mincho"/>
    </w:rPr>
  </w:style>
  <w:style w:type="paragraph" w:styleId="ListParagraph">
    <w:name w:val="List Paragraph"/>
    <w:basedOn w:val="Normal"/>
    <w:uiPriority w:val="99"/>
    <w:qFormat/>
    <w:rsid w:val="00674AD7"/>
    <w:pPr>
      <w:widowControl w:val="0"/>
    </w:pPr>
    <w:rPr>
      <w:rFonts w:asciiTheme="minorHAnsi" w:eastAsiaTheme="minorHAnsi" w:hAnsiTheme="minorHAnsi" w:cstheme="minorBidi"/>
      <w:sz w:val="22"/>
      <w:szCs w:val="22"/>
      <w:lang w:eastAsia="en-US"/>
    </w:rPr>
  </w:style>
  <w:style w:type="paragraph" w:customStyle="1" w:styleId="TableParagraph">
    <w:name w:val="Table Paragraph"/>
    <w:basedOn w:val="Normal"/>
    <w:uiPriority w:val="1"/>
    <w:qFormat/>
    <w:rsid w:val="00674AD7"/>
    <w:pPr>
      <w:widowControl w:val="0"/>
    </w:pPr>
    <w:rPr>
      <w:rFonts w:asciiTheme="minorHAnsi" w:eastAsiaTheme="minorHAnsi" w:hAnsiTheme="minorHAnsi" w:cstheme="minorBidi"/>
      <w:sz w:val="22"/>
      <w:szCs w:val="22"/>
      <w:lang w:eastAsia="en-US"/>
    </w:rPr>
  </w:style>
  <w:style w:type="character" w:customStyle="1" w:styleId="CommentSubjectChar">
    <w:name w:val="Comment Subject Char"/>
    <w:basedOn w:val="CommentTextChar"/>
    <w:link w:val="CommentSubject"/>
    <w:uiPriority w:val="99"/>
    <w:semiHidden/>
    <w:rsid w:val="00674AD7"/>
    <w:rPr>
      <w:rFonts w:asciiTheme="minorHAnsi" w:eastAsiaTheme="minorHAnsi" w:hAnsiTheme="minorHAnsi" w:cstheme="minorBidi"/>
      <w:b/>
      <w:bCs/>
      <w:sz w:val="20"/>
      <w:szCs w:val="20"/>
      <w:lang w:eastAsia="en-US"/>
    </w:rPr>
  </w:style>
  <w:style w:type="paragraph" w:styleId="CommentSubject">
    <w:name w:val="annotation subject"/>
    <w:basedOn w:val="CommentText"/>
    <w:next w:val="CommentText"/>
    <w:link w:val="CommentSubjectChar"/>
    <w:uiPriority w:val="99"/>
    <w:semiHidden/>
    <w:unhideWhenUsed/>
    <w:rsid w:val="00674AD7"/>
    <w:pPr>
      <w:widowControl w:val="0"/>
    </w:pPr>
    <w:rPr>
      <w:rFonts w:asciiTheme="minorHAnsi" w:eastAsiaTheme="minorHAnsi" w:hAnsiTheme="minorHAnsi" w:cstheme="minorBidi"/>
      <w:b/>
      <w:bCs/>
      <w:sz w:val="20"/>
      <w:szCs w:val="20"/>
      <w:lang w:eastAsia="en-US"/>
    </w:rPr>
  </w:style>
  <w:style w:type="paragraph" w:styleId="Revision">
    <w:name w:val="Revision"/>
    <w:hidden/>
    <w:rsid w:val="00674AD7"/>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98435E"/>
    <w:rPr>
      <w:color w:val="0000FF"/>
      <w:u w:val="single"/>
    </w:rPr>
  </w:style>
  <w:style w:type="character" w:styleId="FollowedHyperlink">
    <w:name w:val="FollowedHyperlink"/>
    <w:basedOn w:val="DefaultParagraphFont"/>
    <w:uiPriority w:val="99"/>
    <w:semiHidden/>
    <w:unhideWhenUsed/>
    <w:rsid w:val="002B3AD4"/>
    <w:rPr>
      <w:color w:val="800080" w:themeColor="followedHyperlink"/>
      <w:u w:val="single"/>
    </w:rPr>
  </w:style>
  <w:style w:type="paragraph" w:customStyle="1" w:styleId="NoParagraphStyle">
    <w:name w:val="[No Paragraph Style]"/>
    <w:rsid w:val="00A7100C"/>
    <w:pPr>
      <w:widowControl w:val="0"/>
      <w:autoSpaceDE w:val="0"/>
      <w:autoSpaceDN w:val="0"/>
      <w:adjustRightInd w:val="0"/>
      <w:spacing w:line="288" w:lineRule="auto"/>
      <w:textAlignment w:val="center"/>
    </w:pPr>
    <w:rPr>
      <w:rFonts w:ascii="Times-Roman" w:eastAsia="Times New Roman" w:hAnsi="Times-Roman" w:cs="Times-Roman"/>
      <w:color w:val="000000"/>
      <w:lang w:eastAsia="en-US"/>
    </w:rPr>
  </w:style>
  <w:style w:type="paragraph" w:customStyle="1" w:styleId="IRPchapname">
    <w:name w:val="IRPchapname"/>
    <w:basedOn w:val="Normal"/>
    <w:uiPriority w:val="99"/>
    <w:rsid w:val="00A7100C"/>
    <w:rPr>
      <w:rFonts w:ascii="Palatino" w:hAnsi="Palatino"/>
      <w:spacing w:val="20"/>
    </w:rPr>
  </w:style>
  <w:style w:type="character" w:customStyle="1" w:styleId="IRPsanstextChar">
    <w:name w:val="IRPsanstext Char"/>
    <w:uiPriority w:val="99"/>
    <w:rsid w:val="00A7100C"/>
    <w:rPr>
      <w:rFonts w:ascii="Arial" w:eastAsia="MS Mincho" w:hAnsi="Arial"/>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E72"/>
    <w:rPr>
      <w:rFonts w:eastAsia="MS Mincho"/>
    </w:rPr>
  </w:style>
  <w:style w:type="paragraph" w:styleId="Heading1">
    <w:name w:val="heading 1"/>
    <w:basedOn w:val="Normal"/>
    <w:next w:val="Normal"/>
    <w:link w:val="Heading1Char"/>
    <w:uiPriority w:val="1"/>
    <w:qFormat/>
    <w:rsid w:val="001D4E3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qFormat/>
    <w:rsid w:val="00234579"/>
    <w:pPr>
      <w:keepNext/>
      <w:keepLines/>
      <w:spacing w:before="200" w:line="276" w:lineRule="auto"/>
      <w:outlineLvl w:val="1"/>
    </w:pPr>
    <w:rPr>
      <w:rFonts w:ascii="Garamond" w:eastAsia="Times New Roman" w:hAnsi="Garamond"/>
      <w:b/>
      <w:bCs/>
      <w:color w:val="4F81BD"/>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601E72"/>
    <w:rPr>
      <w:rFonts w:ascii="Lucida Grande" w:hAnsi="Lucida Grande" w:cs="Lucida Grande"/>
      <w:sz w:val="18"/>
      <w:szCs w:val="18"/>
    </w:rPr>
  </w:style>
  <w:style w:type="character" w:customStyle="1" w:styleId="BalloonTextChar">
    <w:name w:val="Balloon Text Char"/>
    <w:basedOn w:val="DefaultParagraphFont"/>
    <w:uiPriority w:val="99"/>
    <w:semiHidden/>
    <w:rsid w:val="00CB1DEA"/>
    <w:rPr>
      <w:rFonts w:ascii="Lucida Grande" w:hAnsi="Lucida Grande" w:cs="Lucida Grande"/>
      <w:sz w:val="18"/>
      <w:szCs w:val="18"/>
    </w:rPr>
  </w:style>
  <w:style w:type="character" w:customStyle="1" w:styleId="BalloonTextChar0">
    <w:name w:val="Balloon Text Char"/>
    <w:basedOn w:val="DefaultParagraphFont"/>
    <w:uiPriority w:val="99"/>
    <w:semiHidden/>
    <w:rsid w:val="00EF13A4"/>
    <w:rPr>
      <w:rFonts w:ascii="Lucida Grande" w:hAnsi="Lucida Grande" w:cs="Lucida Grande"/>
      <w:sz w:val="18"/>
      <w:szCs w:val="18"/>
    </w:rPr>
  </w:style>
  <w:style w:type="character" w:customStyle="1" w:styleId="BalloonTextChar2">
    <w:name w:val="Balloon Text Char"/>
    <w:basedOn w:val="DefaultParagraphFont"/>
    <w:uiPriority w:val="99"/>
    <w:semiHidden/>
    <w:rsid w:val="00EF13A4"/>
    <w:rPr>
      <w:rFonts w:ascii="Lucida Grande" w:hAnsi="Lucida Grande" w:cs="Lucida Grande"/>
      <w:sz w:val="18"/>
      <w:szCs w:val="18"/>
    </w:rPr>
  </w:style>
  <w:style w:type="character" w:customStyle="1" w:styleId="BalloonTextChar3">
    <w:name w:val="Balloon Text Char"/>
    <w:basedOn w:val="DefaultParagraphFont"/>
    <w:uiPriority w:val="99"/>
    <w:semiHidden/>
    <w:rsid w:val="00EF13A4"/>
    <w:rPr>
      <w:rFonts w:ascii="Lucida Grande" w:hAnsi="Lucida Grande" w:cs="Lucida Grande"/>
      <w:sz w:val="18"/>
      <w:szCs w:val="18"/>
    </w:rPr>
  </w:style>
  <w:style w:type="character" w:customStyle="1" w:styleId="BalloonTextChar4">
    <w:name w:val="Balloon Text Char"/>
    <w:basedOn w:val="DefaultParagraphFont"/>
    <w:uiPriority w:val="99"/>
    <w:semiHidden/>
    <w:rsid w:val="001337BF"/>
    <w:rPr>
      <w:rFonts w:ascii="Lucida Grande" w:hAnsi="Lucida Grande" w:cs="Lucida Grande"/>
      <w:sz w:val="18"/>
      <w:szCs w:val="18"/>
    </w:rPr>
  </w:style>
  <w:style w:type="character" w:customStyle="1" w:styleId="BalloonTextChar5">
    <w:name w:val="Balloon Text Char"/>
    <w:basedOn w:val="DefaultParagraphFont"/>
    <w:uiPriority w:val="99"/>
    <w:semiHidden/>
    <w:rsid w:val="001337BF"/>
    <w:rPr>
      <w:rFonts w:ascii="Lucida Grande" w:hAnsi="Lucida Grande" w:cs="Lucida Grande"/>
      <w:sz w:val="18"/>
      <w:szCs w:val="18"/>
    </w:rPr>
  </w:style>
  <w:style w:type="character" w:customStyle="1" w:styleId="Heading1Char">
    <w:name w:val="Heading 1 Char"/>
    <w:basedOn w:val="DefaultParagraphFont"/>
    <w:link w:val="Heading1"/>
    <w:rsid w:val="001D4E32"/>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234579"/>
    <w:rPr>
      <w:rFonts w:ascii="Garamond" w:eastAsia="Times New Roman" w:hAnsi="Garamond"/>
      <w:b/>
      <w:bCs/>
      <w:color w:val="4F81BD"/>
      <w:sz w:val="26"/>
      <w:szCs w:val="26"/>
      <w:lang w:eastAsia="en-US"/>
    </w:rPr>
  </w:style>
  <w:style w:type="paragraph" w:customStyle="1" w:styleId="IRPsanstext">
    <w:name w:val="IRPsanstext"/>
    <w:basedOn w:val="Normal"/>
    <w:link w:val="IRPsanstextChar1"/>
    <w:rsid w:val="005B05E2"/>
    <w:pPr>
      <w:spacing w:line="320" w:lineRule="exact"/>
    </w:pPr>
    <w:rPr>
      <w:rFonts w:ascii="Arial" w:hAnsi="Arial"/>
      <w:sz w:val="20"/>
      <w:szCs w:val="20"/>
    </w:rPr>
  </w:style>
  <w:style w:type="character" w:customStyle="1" w:styleId="IRPsanstextChar1">
    <w:name w:val="IRPsanstext Char1"/>
    <w:link w:val="IRPsanstext"/>
    <w:locked/>
    <w:rsid w:val="005B05E2"/>
    <w:rPr>
      <w:rFonts w:ascii="Arial" w:eastAsia="MS Mincho" w:hAnsi="Arial"/>
      <w:sz w:val="20"/>
      <w:szCs w:val="20"/>
    </w:rPr>
  </w:style>
  <w:style w:type="paragraph" w:customStyle="1" w:styleId="IRPsecthead1serif">
    <w:name w:val="IRPsecthead1serif"/>
    <w:basedOn w:val="Normal"/>
    <w:rsid w:val="00F133C9"/>
    <w:rPr>
      <w:rFonts w:ascii="Arial" w:hAnsi="Arial" w:cs="Arial"/>
      <w:color w:val="000000"/>
      <w:sz w:val="32"/>
      <w:szCs w:val="32"/>
    </w:rPr>
  </w:style>
  <w:style w:type="paragraph" w:customStyle="1" w:styleId="IRPsecthead2sans">
    <w:name w:val="IRPsecthead2sans"/>
    <w:basedOn w:val="IRPsecthead1serif"/>
    <w:uiPriority w:val="99"/>
    <w:rsid w:val="00601E72"/>
    <w:rPr>
      <w:b/>
      <w:color w:val="006C71"/>
    </w:rPr>
  </w:style>
  <w:style w:type="paragraph" w:customStyle="1" w:styleId="IRPseriftextbig">
    <w:name w:val="IRPseriftextbig"/>
    <w:basedOn w:val="Normal"/>
    <w:rsid w:val="00601E72"/>
    <w:pPr>
      <w:spacing w:line="360" w:lineRule="auto"/>
    </w:pPr>
    <w:rPr>
      <w:rFonts w:ascii="Palatino" w:hAnsi="Palatino"/>
      <w:i/>
      <w:sz w:val="28"/>
      <w:szCs w:val="28"/>
    </w:rPr>
  </w:style>
  <w:style w:type="paragraph" w:customStyle="1" w:styleId="IRPtitl">
    <w:name w:val="IRPtitl"/>
    <w:basedOn w:val="Normal"/>
    <w:rsid w:val="00555205"/>
    <w:pPr>
      <w:ind w:left="576" w:hanging="576"/>
    </w:pPr>
    <w:rPr>
      <w:rFonts w:ascii="Arial" w:hAnsi="Arial" w:cs="Arial"/>
      <w:color w:val="156570"/>
      <w:sz w:val="32"/>
      <w:szCs w:val="32"/>
    </w:rPr>
  </w:style>
  <w:style w:type="paragraph" w:customStyle="1" w:styleId="IRPsub1">
    <w:name w:val="IRPsub1"/>
    <w:basedOn w:val="Normal"/>
    <w:rsid w:val="00601E72"/>
    <w:pPr>
      <w:spacing w:before="40" w:after="40"/>
    </w:pPr>
    <w:rPr>
      <w:rFonts w:ascii="Arial" w:hAnsi="Arial"/>
      <w:i/>
      <w:color w:val="FFFFFF" w:themeColor="background1"/>
      <w:sz w:val="22"/>
      <w:szCs w:val="22"/>
    </w:rPr>
  </w:style>
  <w:style w:type="paragraph" w:styleId="Header">
    <w:name w:val="header"/>
    <w:basedOn w:val="Normal"/>
    <w:link w:val="HeaderChar"/>
    <w:uiPriority w:val="99"/>
    <w:unhideWhenUsed/>
    <w:rsid w:val="00601E72"/>
    <w:pPr>
      <w:tabs>
        <w:tab w:val="center" w:pos="4320"/>
        <w:tab w:val="right" w:pos="8640"/>
      </w:tabs>
    </w:pPr>
  </w:style>
  <w:style w:type="character" w:customStyle="1" w:styleId="HeaderChar">
    <w:name w:val="Header Char"/>
    <w:basedOn w:val="DefaultParagraphFont"/>
    <w:link w:val="Header"/>
    <w:uiPriority w:val="99"/>
    <w:rsid w:val="00601E72"/>
    <w:rPr>
      <w:rFonts w:eastAsia="MS Mincho"/>
    </w:rPr>
  </w:style>
  <w:style w:type="paragraph" w:styleId="Footer">
    <w:name w:val="footer"/>
    <w:basedOn w:val="Normal"/>
    <w:link w:val="FooterChar"/>
    <w:uiPriority w:val="99"/>
    <w:unhideWhenUsed/>
    <w:rsid w:val="00601E72"/>
    <w:pPr>
      <w:tabs>
        <w:tab w:val="center" w:pos="4320"/>
        <w:tab w:val="right" w:pos="8640"/>
      </w:tabs>
    </w:pPr>
  </w:style>
  <w:style w:type="character" w:customStyle="1" w:styleId="FooterChar">
    <w:name w:val="Footer Char"/>
    <w:basedOn w:val="DefaultParagraphFont"/>
    <w:link w:val="Footer"/>
    <w:uiPriority w:val="99"/>
    <w:rsid w:val="00601E72"/>
    <w:rPr>
      <w:rFonts w:eastAsia="MS Mincho"/>
    </w:rPr>
  </w:style>
  <w:style w:type="character" w:customStyle="1" w:styleId="BalloonTextChar1">
    <w:name w:val="Balloon Text Char1"/>
    <w:basedOn w:val="DefaultParagraphFont"/>
    <w:link w:val="BalloonText"/>
    <w:uiPriority w:val="99"/>
    <w:semiHidden/>
    <w:rsid w:val="00601E72"/>
    <w:rPr>
      <w:rFonts w:ascii="Lucida Grande" w:eastAsia="MS Mincho" w:hAnsi="Lucida Grande" w:cs="Lucida Grande"/>
      <w:sz w:val="18"/>
      <w:szCs w:val="18"/>
    </w:rPr>
  </w:style>
  <w:style w:type="paragraph" w:customStyle="1" w:styleId="irpsubsanstext16">
    <w:name w:val="irpsub_sanstext16"/>
    <w:basedOn w:val="Normal"/>
    <w:next w:val="Normal"/>
    <w:autoRedefine/>
    <w:rsid w:val="00BC31F5"/>
    <w:pPr>
      <w:spacing w:after="120"/>
    </w:pPr>
    <w:rPr>
      <w:rFonts w:ascii="Arial" w:eastAsia="Times New Roman" w:hAnsi="Arial" w:cs="Arial"/>
      <w:bCs/>
      <w:iCs/>
      <w:color w:val="FFFFFF" w:themeColor="background1"/>
      <w:sz w:val="28"/>
      <w:szCs w:val="28"/>
      <w:lang w:eastAsia="en-US"/>
    </w:rPr>
  </w:style>
  <w:style w:type="paragraph" w:customStyle="1" w:styleId="IRPFigureSub">
    <w:name w:val="IRPFigureSub"/>
    <w:basedOn w:val="IRPsanstext"/>
    <w:link w:val="IRPFigureSubChar"/>
    <w:uiPriority w:val="99"/>
    <w:qFormat/>
    <w:rsid w:val="00B12366"/>
    <w:pPr>
      <w:jc w:val="center"/>
    </w:pPr>
    <w:rPr>
      <w:i/>
      <w:szCs w:val="22"/>
    </w:rPr>
  </w:style>
  <w:style w:type="character" w:customStyle="1" w:styleId="IRPFigureSubChar">
    <w:name w:val="IRPFigureSub Char"/>
    <w:link w:val="IRPFigureSub"/>
    <w:uiPriority w:val="99"/>
    <w:rsid w:val="00B12366"/>
    <w:rPr>
      <w:rFonts w:ascii="Arial" w:eastAsia="MS Mincho" w:hAnsi="Arial"/>
      <w:i/>
      <w:szCs w:val="22"/>
    </w:rPr>
  </w:style>
  <w:style w:type="paragraph" w:customStyle="1" w:styleId="IRPbullet">
    <w:name w:val="IRPbullet"/>
    <w:basedOn w:val="Normal"/>
    <w:uiPriority w:val="99"/>
    <w:rsid w:val="00B12366"/>
    <w:pPr>
      <w:numPr>
        <w:numId w:val="1"/>
      </w:numPr>
      <w:spacing w:beforeAutospacing="1" w:afterAutospacing="1" w:line="360" w:lineRule="auto"/>
    </w:pPr>
    <w:rPr>
      <w:rFonts w:ascii="Arial" w:hAnsi="Arial"/>
    </w:rPr>
  </w:style>
  <w:style w:type="paragraph" w:customStyle="1" w:styleId="IRPfooter">
    <w:name w:val="IRPfooter"/>
    <w:basedOn w:val="Footer"/>
    <w:uiPriority w:val="99"/>
    <w:rsid w:val="00B12366"/>
    <w:rPr>
      <w:rFonts w:ascii="Palatino" w:hAnsi="Palatino"/>
      <w:i/>
    </w:rPr>
  </w:style>
  <w:style w:type="paragraph" w:customStyle="1" w:styleId="IRPtitle">
    <w:name w:val="IRPtitle"/>
    <w:basedOn w:val="Normal"/>
    <w:uiPriority w:val="99"/>
    <w:rsid w:val="00B12366"/>
    <w:pPr>
      <w:ind w:left="576" w:hanging="576"/>
    </w:pPr>
    <w:rPr>
      <w:rFonts w:ascii="Palatino" w:hAnsi="Palatino"/>
      <w:sz w:val="40"/>
    </w:rPr>
  </w:style>
  <w:style w:type="character" w:styleId="FootnoteReference">
    <w:name w:val="footnote reference"/>
    <w:basedOn w:val="DefaultParagraphFont"/>
    <w:uiPriority w:val="99"/>
    <w:rsid w:val="00B12366"/>
    <w:rPr>
      <w:rFonts w:cs="Times New Roman"/>
      <w:vertAlign w:val="superscript"/>
    </w:rPr>
  </w:style>
  <w:style w:type="character" w:styleId="PageNumber">
    <w:name w:val="page number"/>
    <w:basedOn w:val="DefaultParagraphFont"/>
    <w:uiPriority w:val="99"/>
    <w:rsid w:val="0020632A"/>
    <w:rPr>
      <w:rFonts w:cs="Times New Roman"/>
    </w:rPr>
  </w:style>
  <w:style w:type="paragraph" w:styleId="FootnoteText">
    <w:name w:val="footnote text"/>
    <w:basedOn w:val="Normal"/>
    <w:link w:val="FootnoteTextChar"/>
    <w:uiPriority w:val="99"/>
    <w:rsid w:val="00C12FBA"/>
    <w:rPr>
      <w:rFonts w:ascii="Garamond" w:eastAsia="Garamond" w:hAnsi="Garamond"/>
      <w:lang w:eastAsia="en-US"/>
    </w:rPr>
  </w:style>
  <w:style w:type="character" w:customStyle="1" w:styleId="FootnoteTextChar">
    <w:name w:val="Footnote Text Char"/>
    <w:basedOn w:val="DefaultParagraphFont"/>
    <w:link w:val="FootnoteText"/>
    <w:uiPriority w:val="99"/>
    <w:rsid w:val="00C12FBA"/>
    <w:rPr>
      <w:rFonts w:ascii="Garamond" w:eastAsia="Garamond" w:hAnsi="Garamond"/>
      <w:lang w:eastAsia="en-US"/>
    </w:rPr>
  </w:style>
  <w:style w:type="character" w:styleId="IntenseEmphasis">
    <w:name w:val="Intense Emphasis"/>
    <w:uiPriority w:val="21"/>
    <w:qFormat/>
    <w:rsid w:val="00234579"/>
    <w:rPr>
      <w:b/>
      <w:bCs/>
      <w:i/>
      <w:iCs/>
      <w:color w:val="4F81BD"/>
    </w:rPr>
  </w:style>
  <w:style w:type="paragraph" w:styleId="Subtitle">
    <w:name w:val="Subtitle"/>
    <w:basedOn w:val="Normal"/>
    <w:next w:val="Normal"/>
    <w:link w:val="SubtitleChar"/>
    <w:uiPriority w:val="11"/>
    <w:qFormat/>
    <w:rsid w:val="00555205"/>
    <w:pPr>
      <w:numPr>
        <w:ilvl w:val="1"/>
      </w:numPr>
      <w:spacing w:after="200" w:line="276" w:lineRule="auto"/>
    </w:pPr>
    <w:rPr>
      <w:rFonts w:ascii="Garamond" w:eastAsia="Times New Roman" w:hAnsi="Garamond"/>
      <w:i/>
      <w:iCs/>
      <w:color w:val="4F81BD"/>
      <w:spacing w:val="15"/>
      <w:lang w:eastAsia="en-US"/>
    </w:rPr>
  </w:style>
  <w:style w:type="character" w:customStyle="1" w:styleId="SubtitleChar">
    <w:name w:val="Subtitle Char"/>
    <w:basedOn w:val="DefaultParagraphFont"/>
    <w:link w:val="Subtitle"/>
    <w:uiPriority w:val="11"/>
    <w:rsid w:val="00555205"/>
    <w:rPr>
      <w:rFonts w:ascii="Garamond" w:eastAsia="Times New Roman" w:hAnsi="Garamond"/>
      <w:i/>
      <w:iCs/>
      <w:color w:val="4F81BD"/>
      <w:spacing w:val="15"/>
      <w:sz w:val="24"/>
      <w:szCs w:val="24"/>
      <w:lang w:eastAsia="en-US"/>
    </w:rPr>
  </w:style>
  <w:style w:type="paragraph" w:customStyle="1" w:styleId="Highhead">
    <w:name w:val="Highhead"/>
    <w:basedOn w:val="IRPtitle"/>
    <w:rsid w:val="005B05E2"/>
    <w:rPr>
      <w:i/>
      <w:color w:val="008000"/>
      <w:sz w:val="32"/>
      <w:szCs w:val="40"/>
    </w:rPr>
  </w:style>
  <w:style w:type="paragraph" w:customStyle="1" w:styleId="IRPseriftext">
    <w:name w:val="IRPseriftext"/>
    <w:basedOn w:val="Normal"/>
    <w:rsid w:val="00307C88"/>
    <w:pPr>
      <w:spacing w:line="320" w:lineRule="exact"/>
      <w:ind w:left="720"/>
    </w:pPr>
    <w:rPr>
      <w:rFonts w:ascii="Palatino" w:hAnsi="Palatino"/>
      <w:i/>
    </w:rPr>
  </w:style>
  <w:style w:type="character" w:styleId="CommentReference">
    <w:name w:val="annotation reference"/>
    <w:uiPriority w:val="99"/>
    <w:semiHidden/>
    <w:rsid w:val="00307C88"/>
    <w:rPr>
      <w:sz w:val="16"/>
      <w:szCs w:val="16"/>
    </w:rPr>
  </w:style>
  <w:style w:type="paragraph" w:styleId="CommentText">
    <w:name w:val="annotation text"/>
    <w:basedOn w:val="Normal"/>
    <w:link w:val="CommentTextChar"/>
    <w:uiPriority w:val="99"/>
    <w:semiHidden/>
    <w:rsid w:val="00307C88"/>
  </w:style>
  <w:style w:type="character" w:customStyle="1" w:styleId="CommentTextChar">
    <w:name w:val="Comment Text Char"/>
    <w:basedOn w:val="DefaultParagraphFont"/>
    <w:link w:val="CommentText"/>
    <w:uiPriority w:val="99"/>
    <w:semiHidden/>
    <w:rsid w:val="00307C88"/>
    <w:rPr>
      <w:rFonts w:eastAsia="MS Mincho"/>
    </w:rPr>
  </w:style>
  <w:style w:type="paragraph" w:customStyle="1" w:styleId="IRPfiguresub0">
    <w:name w:val="IRPfiguresub"/>
    <w:basedOn w:val="BodyText"/>
    <w:uiPriority w:val="99"/>
    <w:rsid w:val="004D0808"/>
    <w:pPr>
      <w:spacing w:beforeAutospacing="1" w:after="0" w:afterAutospacing="1"/>
    </w:pPr>
    <w:rPr>
      <w:rFonts w:ascii="Arial" w:eastAsia="Times New Roman" w:hAnsi="Arial"/>
      <w:b/>
      <w:sz w:val="20"/>
    </w:rPr>
  </w:style>
  <w:style w:type="paragraph" w:styleId="BodyText">
    <w:name w:val="Body Text"/>
    <w:basedOn w:val="Normal"/>
    <w:link w:val="BodyTextChar"/>
    <w:uiPriority w:val="99"/>
    <w:unhideWhenUsed/>
    <w:qFormat/>
    <w:rsid w:val="004D0808"/>
    <w:pPr>
      <w:spacing w:after="120"/>
    </w:pPr>
  </w:style>
  <w:style w:type="character" w:customStyle="1" w:styleId="BodyTextChar">
    <w:name w:val="Body Text Char"/>
    <w:basedOn w:val="DefaultParagraphFont"/>
    <w:link w:val="BodyText"/>
    <w:uiPriority w:val="99"/>
    <w:rsid w:val="004D0808"/>
    <w:rPr>
      <w:rFonts w:eastAsia="MS Mincho"/>
    </w:rPr>
  </w:style>
  <w:style w:type="paragraph" w:styleId="ListParagraph">
    <w:name w:val="List Paragraph"/>
    <w:basedOn w:val="Normal"/>
    <w:uiPriority w:val="99"/>
    <w:qFormat/>
    <w:rsid w:val="00674AD7"/>
    <w:pPr>
      <w:widowControl w:val="0"/>
    </w:pPr>
    <w:rPr>
      <w:rFonts w:asciiTheme="minorHAnsi" w:eastAsiaTheme="minorHAnsi" w:hAnsiTheme="minorHAnsi" w:cstheme="minorBidi"/>
      <w:sz w:val="22"/>
      <w:szCs w:val="22"/>
      <w:lang w:eastAsia="en-US"/>
    </w:rPr>
  </w:style>
  <w:style w:type="paragraph" w:customStyle="1" w:styleId="TableParagraph">
    <w:name w:val="Table Paragraph"/>
    <w:basedOn w:val="Normal"/>
    <w:uiPriority w:val="1"/>
    <w:qFormat/>
    <w:rsid w:val="00674AD7"/>
    <w:pPr>
      <w:widowControl w:val="0"/>
    </w:pPr>
    <w:rPr>
      <w:rFonts w:asciiTheme="minorHAnsi" w:eastAsiaTheme="minorHAnsi" w:hAnsiTheme="minorHAnsi" w:cstheme="minorBidi"/>
      <w:sz w:val="22"/>
      <w:szCs w:val="22"/>
      <w:lang w:eastAsia="en-US"/>
    </w:rPr>
  </w:style>
  <w:style w:type="character" w:customStyle="1" w:styleId="CommentSubjectChar">
    <w:name w:val="Comment Subject Char"/>
    <w:basedOn w:val="CommentTextChar"/>
    <w:link w:val="CommentSubject"/>
    <w:uiPriority w:val="99"/>
    <w:semiHidden/>
    <w:rsid w:val="00674AD7"/>
    <w:rPr>
      <w:rFonts w:asciiTheme="minorHAnsi" w:eastAsiaTheme="minorHAnsi" w:hAnsiTheme="minorHAnsi" w:cstheme="minorBidi"/>
      <w:b/>
      <w:bCs/>
      <w:sz w:val="20"/>
      <w:szCs w:val="20"/>
      <w:lang w:eastAsia="en-US"/>
    </w:rPr>
  </w:style>
  <w:style w:type="paragraph" w:styleId="CommentSubject">
    <w:name w:val="annotation subject"/>
    <w:basedOn w:val="CommentText"/>
    <w:next w:val="CommentText"/>
    <w:link w:val="CommentSubjectChar"/>
    <w:uiPriority w:val="99"/>
    <w:semiHidden/>
    <w:unhideWhenUsed/>
    <w:rsid w:val="00674AD7"/>
    <w:pPr>
      <w:widowControl w:val="0"/>
    </w:pPr>
    <w:rPr>
      <w:rFonts w:asciiTheme="minorHAnsi" w:eastAsiaTheme="minorHAnsi" w:hAnsiTheme="minorHAnsi" w:cstheme="minorBidi"/>
      <w:b/>
      <w:bCs/>
      <w:sz w:val="20"/>
      <w:szCs w:val="20"/>
      <w:lang w:eastAsia="en-US"/>
    </w:rPr>
  </w:style>
  <w:style w:type="paragraph" w:styleId="Revision">
    <w:name w:val="Revision"/>
    <w:hidden/>
    <w:rsid w:val="00674AD7"/>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98435E"/>
    <w:rPr>
      <w:color w:val="0000FF"/>
      <w:u w:val="single"/>
    </w:rPr>
  </w:style>
  <w:style w:type="character" w:styleId="FollowedHyperlink">
    <w:name w:val="FollowedHyperlink"/>
    <w:basedOn w:val="DefaultParagraphFont"/>
    <w:uiPriority w:val="99"/>
    <w:semiHidden/>
    <w:unhideWhenUsed/>
    <w:rsid w:val="002B3AD4"/>
    <w:rPr>
      <w:color w:val="800080" w:themeColor="followedHyperlink"/>
      <w:u w:val="single"/>
    </w:rPr>
  </w:style>
  <w:style w:type="paragraph" w:customStyle="1" w:styleId="NoParagraphStyle">
    <w:name w:val="[No Paragraph Style]"/>
    <w:rsid w:val="00A7100C"/>
    <w:pPr>
      <w:widowControl w:val="0"/>
      <w:autoSpaceDE w:val="0"/>
      <w:autoSpaceDN w:val="0"/>
      <w:adjustRightInd w:val="0"/>
      <w:spacing w:line="288" w:lineRule="auto"/>
      <w:textAlignment w:val="center"/>
    </w:pPr>
    <w:rPr>
      <w:rFonts w:ascii="Times-Roman" w:eastAsia="Times New Roman" w:hAnsi="Times-Roman" w:cs="Times-Roman"/>
      <w:color w:val="000000"/>
      <w:lang w:eastAsia="en-US"/>
    </w:rPr>
  </w:style>
  <w:style w:type="paragraph" w:customStyle="1" w:styleId="IRPchapname">
    <w:name w:val="IRPchapname"/>
    <w:basedOn w:val="Normal"/>
    <w:uiPriority w:val="99"/>
    <w:rsid w:val="00A7100C"/>
    <w:rPr>
      <w:rFonts w:ascii="Palatino" w:hAnsi="Palatino"/>
      <w:spacing w:val="20"/>
    </w:rPr>
  </w:style>
  <w:style w:type="character" w:customStyle="1" w:styleId="IRPsanstextChar">
    <w:name w:val="IRPsanstext Char"/>
    <w:uiPriority w:val="99"/>
    <w:rsid w:val="00A7100C"/>
    <w:rPr>
      <w:rFonts w:ascii="Arial" w:eastAsia="MS Mincho" w:hAnsi="Arial"/>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1589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customXml" Target="../customXml/item5.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Plan</DocumentSetType>
    <IsConfidential xmlns="dc463f71-b30c-4ab2-9473-d307f9d35888">false</IsConfidential>
    <AgendaOrder xmlns="dc463f71-b30c-4ab2-9473-d307f9d35888">false</AgendaOrder>
    <CaseType xmlns="dc463f71-b30c-4ab2-9473-d307f9d35888">Staff Investigation</CaseType>
    <IndustryCode xmlns="dc463f71-b30c-4ab2-9473-d307f9d35888">150</IndustryCode>
    <CaseStatus xmlns="dc463f71-b30c-4ab2-9473-d307f9d35888">Closed</CaseStatus>
    <OpenedDate xmlns="dc463f71-b30c-4ab2-9473-d307f9d35888">2014-05-29T07:00:00+00:00</OpenedDate>
    <Date1 xmlns="dc463f71-b30c-4ab2-9473-d307f9d35888">2015-11-25T08:00:00+00:00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141169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D7830C01A199B4B9669B9266D9E57D0" ma:contentTypeVersion="175" ma:contentTypeDescription="" ma:contentTypeScope="" ma:versionID="267235b268ef2103aa72b6bb0c12b36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C9D7D9B-9940-4BC0-8645-826461BE4DFC}"/>
</file>

<file path=customXml/itemProps2.xml><?xml version="1.0" encoding="utf-8"?>
<ds:datastoreItem xmlns:ds="http://schemas.openxmlformats.org/officeDocument/2006/customXml" ds:itemID="{ECB7BAD5-329C-4143-8BA9-9359B5916907}"/>
</file>

<file path=customXml/itemProps3.xml><?xml version="1.0" encoding="utf-8"?>
<ds:datastoreItem xmlns:ds="http://schemas.openxmlformats.org/officeDocument/2006/customXml" ds:itemID="{97F67212-33B5-4DB5-9E9F-8539E98B11FC}"/>
</file>

<file path=customXml/itemProps4.xml><?xml version="1.0" encoding="utf-8"?>
<ds:datastoreItem xmlns:ds="http://schemas.openxmlformats.org/officeDocument/2006/customXml" ds:itemID="{EA2DEA1A-391C-4DD6-B59D-D295AAC93C0C}"/>
</file>

<file path=customXml/itemProps5.xml><?xml version="1.0" encoding="utf-8"?>
<ds:datastoreItem xmlns:ds="http://schemas.openxmlformats.org/officeDocument/2006/customXml" ds:itemID="{E3848D15-C7BF-42F6-BB91-4951CA3BBD12}"/>
</file>

<file path=docProps/app.xml><?xml version="1.0" encoding="utf-8"?>
<Properties xmlns="http://schemas.openxmlformats.org/officeDocument/2006/extended-properties" xmlns:vt="http://schemas.openxmlformats.org/officeDocument/2006/docPropsVTypes">
  <Template>Normal.dotm</Template>
  <TotalTime>0</TotalTime>
  <Pages>25</Pages>
  <Words>6547</Words>
  <Characters>37323</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43783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Rhodes User</dc:creator>
  <cp:lastModifiedBy>Kacee Chandler</cp:lastModifiedBy>
  <cp:revision>2</cp:revision>
  <cp:lastPrinted>2015-11-06T18:05:00Z</cp:lastPrinted>
  <dcterms:created xsi:type="dcterms:W3CDTF">2015-11-19T23:22:00Z</dcterms:created>
  <dcterms:modified xsi:type="dcterms:W3CDTF">2015-11-19T23:22:00Z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0x0101006E56B4D1795A2E4DB2F0B01679ED314A00CD7830C01A199B4B9669B9266D9E57D0</vt:lpwstr>
  </property>
  <property fmtid="{D5CDD505-2E9C-101B-9397-08002B2CF9AE}" pid="3" name="_docset_NoMedatataSyncRequired">
    <vt:lpwstr>False</vt:lpwstr>
  </property>
</Properties>
</file>