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38F8" w14:textId="741B605B" w:rsidR="007F4E19" w:rsidRPr="006A10CF" w:rsidRDefault="006000C7" w:rsidP="00A469D0">
      <w:pPr>
        <w:pStyle w:val="NoSpacing"/>
        <w:spacing w:line="240" w:lineRule="exact"/>
      </w:pPr>
      <w:bookmarkStart w:id="0" w:name="_GoBack"/>
      <w:bookmarkEnd w:id="0"/>
      <w:r>
        <w:t>October 5</w:t>
      </w:r>
      <w:r w:rsidR="007F4E19" w:rsidRPr="001E095C">
        <w:t>, 2012</w:t>
      </w:r>
    </w:p>
    <w:p w14:paraId="3F525CD5" w14:textId="77777777" w:rsidR="007F4E19" w:rsidRPr="001E095C" w:rsidRDefault="007F4E19" w:rsidP="00A469D0">
      <w:pPr>
        <w:pStyle w:val="NoSpacing"/>
        <w:spacing w:line="240" w:lineRule="exact"/>
      </w:pPr>
    </w:p>
    <w:p w14:paraId="55C02FF1" w14:textId="77777777" w:rsidR="007F4E19" w:rsidRPr="001E095C" w:rsidRDefault="007F4E19" w:rsidP="00A469D0">
      <w:pPr>
        <w:pStyle w:val="NoSpacing"/>
        <w:spacing w:line="240" w:lineRule="exact"/>
      </w:pPr>
      <w:r w:rsidRPr="001E095C">
        <w:t>David Danner</w:t>
      </w:r>
    </w:p>
    <w:p w14:paraId="48FC2537" w14:textId="77777777" w:rsidR="007F4E19" w:rsidRPr="001E095C" w:rsidRDefault="007F4E19" w:rsidP="00A469D0">
      <w:pPr>
        <w:pStyle w:val="NoSpacing"/>
        <w:spacing w:line="240" w:lineRule="exact"/>
      </w:pPr>
      <w:r w:rsidRPr="001E095C">
        <w:t>Executive Director and Executive Secretary</w:t>
      </w:r>
    </w:p>
    <w:p w14:paraId="0C2C81B4" w14:textId="77777777" w:rsidR="007F4E19" w:rsidRPr="001E095C" w:rsidRDefault="007F4E19" w:rsidP="00A469D0">
      <w:pPr>
        <w:pStyle w:val="NoSpacing"/>
        <w:spacing w:line="240" w:lineRule="exact"/>
      </w:pPr>
      <w:r w:rsidRPr="001E095C">
        <w:t>Washington Utilities and Transportation Commission</w:t>
      </w:r>
    </w:p>
    <w:p w14:paraId="22789E40" w14:textId="77777777" w:rsidR="007F4E19" w:rsidRPr="001E095C" w:rsidRDefault="007F4E19" w:rsidP="00A469D0">
      <w:pPr>
        <w:pStyle w:val="NoSpacing"/>
        <w:spacing w:line="240" w:lineRule="exact"/>
      </w:pPr>
      <w:r w:rsidRPr="001E095C">
        <w:t>1300 S. Evergreen Park Dr. S.W.</w:t>
      </w:r>
    </w:p>
    <w:p w14:paraId="085BB826" w14:textId="77777777" w:rsidR="007F4E19" w:rsidRPr="001E095C" w:rsidRDefault="007F4E19" w:rsidP="00A469D0">
      <w:pPr>
        <w:pStyle w:val="NoSpacing"/>
        <w:spacing w:line="240" w:lineRule="exact"/>
      </w:pPr>
      <w:r w:rsidRPr="001E095C">
        <w:t>PO Box 47250</w:t>
      </w:r>
    </w:p>
    <w:p w14:paraId="41B43470" w14:textId="77777777" w:rsidR="007F4E19" w:rsidRPr="001E095C" w:rsidRDefault="007F4E19" w:rsidP="00A469D0">
      <w:pPr>
        <w:pStyle w:val="NoSpacing"/>
        <w:spacing w:line="240" w:lineRule="exact"/>
      </w:pPr>
      <w:r w:rsidRPr="001E095C">
        <w:t>Olympia, WA 98504-7250</w:t>
      </w:r>
    </w:p>
    <w:p w14:paraId="394C9417" w14:textId="77777777" w:rsidR="007F4E19" w:rsidRPr="001E095C" w:rsidRDefault="007F4E19" w:rsidP="00A469D0">
      <w:pPr>
        <w:pStyle w:val="NoSpacing"/>
        <w:spacing w:line="240" w:lineRule="exact"/>
      </w:pPr>
    </w:p>
    <w:p w14:paraId="49DA034E" w14:textId="77777777" w:rsidR="007F4E19" w:rsidRPr="001E095C" w:rsidRDefault="007F4E19" w:rsidP="00A469D0">
      <w:pPr>
        <w:pStyle w:val="NoSpacing"/>
        <w:spacing w:line="240" w:lineRule="exact"/>
        <w:ind w:firstLine="720"/>
        <w:rPr>
          <w:rFonts w:eastAsia="Times New Roman"/>
          <w:sz w:val="20"/>
          <w:szCs w:val="20"/>
        </w:rPr>
      </w:pPr>
      <w:r w:rsidRPr="001E095C">
        <w:t xml:space="preserve">RE: </w:t>
      </w:r>
      <w:r w:rsidR="008E2643">
        <w:t>UG</w:t>
      </w:r>
      <w:r>
        <w:t>-1</w:t>
      </w:r>
      <w:r w:rsidR="008E2643">
        <w:t>21207</w:t>
      </w:r>
      <w:r w:rsidRPr="001E095C">
        <w:t xml:space="preserve">, </w:t>
      </w:r>
      <w:r w:rsidR="008E2643">
        <w:t>Commission Investigation into Natural Gas Conservation Programs</w:t>
      </w:r>
    </w:p>
    <w:p w14:paraId="7656F54E" w14:textId="77777777" w:rsidR="00CC35E9" w:rsidRDefault="00CC35E9" w:rsidP="00A469D0">
      <w:pPr>
        <w:pStyle w:val="NoSpacing"/>
        <w:spacing w:line="240" w:lineRule="exact"/>
      </w:pPr>
    </w:p>
    <w:p w14:paraId="3E297C9A" w14:textId="77777777" w:rsidR="009A3135" w:rsidRDefault="009A3135" w:rsidP="00A469D0">
      <w:pPr>
        <w:pStyle w:val="NoSpacing"/>
        <w:spacing w:line="240" w:lineRule="exact"/>
      </w:pPr>
    </w:p>
    <w:p w14:paraId="010D985E" w14:textId="371B8FBA" w:rsidR="00CC35E9" w:rsidRPr="009A3135" w:rsidRDefault="009A3135" w:rsidP="00A469D0">
      <w:pPr>
        <w:pStyle w:val="NoSpacing"/>
        <w:spacing w:line="240" w:lineRule="exact"/>
        <w:rPr>
          <w:u w:val="single"/>
        </w:rPr>
      </w:pPr>
      <w:r w:rsidRPr="009A3135">
        <w:rPr>
          <w:u w:val="single"/>
        </w:rPr>
        <w:t>Introduction</w:t>
      </w:r>
    </w:p>
    <w:p w14:paraId="7500B48E" w14:textId="77777777" w:rsidR="009A3135" w:rsidRDefault="009A3135" w:rsidP="00A469D0">
      <w:pPr>
        <w:pStyle w:val="NoSpacing"/>
        <w:spacing w:line="240" w:lineRule="exact"/>
      </w:pPr>
    </w:p>
    <w:p w14:paraId="3765B69A" w14:textId="39743E81" w:rsidR="009A3135" w:rsidRDefault="009A3135" w:rsidP="00A469D0">
      <w:pPr>
        <w:pStyle w:val="NoSpacing"/>
        <w:spacing w:line="240" w:lineRule="exact"/>
      </w:pPr>
      <w:r>
        <w:t xml:space="preserve">The following </w:t>
      </w:r>
      <w:r w:rsidR="00DE3892">
        <w:t xml:space="preserve">reply </w:t>
      </w:r>
      <w:r>
        <w:t xml:space="preserve">comments are provided by the NW Energy Coalition (“Coalition”) in response to the Commission’s July 31, 2012 Notice of Opportunity to File Written Comments and an Optional Statement of Proposed Issues on the Commission Investigation into Natural Gas Conservation Programs.  </w:t>
      </w:r>
    </w:p>
    <w:p w14:paraId="76A02108" w14:textId="77777777" w:rsidR="009A3135" w:rsidRDefault="009A3135" w:rsidP="00A469D0">
      <w:pPr>
        <w:pStyle w:val="NoSpacing"/>
        <w:spacing w:line="240" w:lineRule="exact"/>
      </w:pPr>
    </w:p>
    <w:p w14:paraId="47B582F7" w14:textId="3258A688" w:rsidR="00024762" w:rsidRDefault="00024762" w:rsidP="00024762">
      <w:pPr>
        <w:pStyle w:val="NoSpacing"/>
        <w:spacing w:line="240" w:lineRule="exact"/>
      </w:pPr>
      <w:r>
        <w:t>Energy efficiency is an important hedging mechanism against gas price volatility and remains a good investment despite unsustainably low gas prices.  Because of this, t</w:t>
      </w:r>
      <w:r w:rsidR="00C52F2B">
        <w:t xml:space="preserve">he Coalition is </w:t>
      </w:r>
      <w:r w:rsidR="006008DE">
        <w:t>committed to</w:t>
      </w:r>
      <w:r w:rsidR="00C52F2B">
        <w:t xml:space="preserve"> </w:t>
      </w:r>
      <w:r w:rsidR="006008DE">
        <w:t xml:space="preserve">developing </w:t>
      </w:r>
      <w:r w:rsidR="00C52F2B">
        <w:t xml:space="preserve">creative solutions that </w:t>
      </w:r>
      <w:r w:rsidR="006008DE">
        <w:t xml:space="preserve">ensure </w:t>
      </w:r>
      <w:r w:rsidR="00C52F2B">
        <w:t xml:space="preserve">conservation programs </w:t>
      </w:r>
      <w:r w:rsidR="006008DE">
        <w:t xml:space="preserve">continue </w:t>
      </w:r>
      <w:r w:rsidR="00C52F2B">
        <w:t xml:space="preserve">for the benefit of </w:t>
      </w:r>
      <w:r w:rsidR="006008DE">
        <w:t xml:space="preserve">utilities and their </w:t>
      </w:r>
      <w:r w:rsidR="00C52F2B">
        <w:t>customers.</w:t>
      </w:r>
      <w:r w:rsidR="00A6364D">
        <w:t xml:space="preserve">  In doing so</w:t>
      </w:r>
      <w:r>
        <w:t>, the Coalition supports approaches that still robustly consider conservation program costs and benefits.</w:t>
      </w:r>
    </w:p>
    <w:p w14:paraId="2B49D45E" w14:textId="77777777" w:rsidR="00A6364D" w:rsidRDefault="00A6364D" w:rsidP="00024762">
      <w:pPr>
        <w:pStyle w:val="NoSpacing"/>
        <w:spacing w:line="240" w:lineRule="exact"/>
      </w:pPr>
    </w:p>
    <w:p w14:paraId="78201A00" w14:textId="7EE5582F" w:rsidR="009A3135" w:rsidRDefault="00A6364D" w:rsidP="00A469D0">
      <w:pPr>
        <w:pStyle w:val="NoSpacing"/>
        <w:spacing w:line="240" w:lineRule="exact"/>
      </w:pPr>
      <w:r>
        <w:t>There are several different ways to address the challenge determining cost effectiveness, all of which will likely take time and further research.  Because of the complexity involved in any policy changes</w:t>
      </w:r>
      <w:r w:rsidR="00D04D19">
        <w:t xml:space="preserve"> and the </w:t>
      </w:r>
      <w:r w:rsidR="00F84B06">
        <w:t>desire to implement changes that are not overly unwieldy or burdensome to utilities</w:t>
      </w:r>
      <w:r>
        <w:t>, the Coalition recommends adopting the same approach as Oregon’s proposed 2-year waiver</w:t>
      </w:r>
      <w:r>
        <w:rPr>
          <w:rStyle w:val="FootnoteReference"/>
        </w:rPr>
        <w:footnoteReference w:id="2"/>
      </w:r>
      <w:r w:rsidR="00F84B06">
        <w:t>.  Doing so would preserve the many benefits of gas conservation programs while providing the time necessary to develop a workable solution that is amenable to all parties.</w:t>
      </w:r>
    </w:p>
    <w:p w14:paraId="0DF96CB3" w14:textId="77777777" w:rsidR="00A6364D" w:rsidRDefault="00A6364D" w:rsidP="00A469D0">
      <w:pPr>
        <w:pStyle w:val="NoSpacing"/>
        <w:spacing w:line="240" w:lineRule="exact"/>
      </w:pPr>
    </w:p>
    <w:p w14:paraId="34CBD8D5" w14:textId="77777777" w:rsidR="00A6364D" w:rsidRDefault="00A6364D" w:rsidP="00A469D0">
      <w:pPr>
        <w:pStyle w:val="NoSpacing"/>
        <w:spacing w:line="240" w:lineRule="exact"/>
      </w:pPr>
    </w:p>
    <w:p w14:paraId="541AF83A" w14:textId="20F13D3B" w:rsidR="009A3135" w:rsidRPr="009A3135" w:rsidRDefault="009A3135" w:rsidP="00A469D0">
      <w:pPr>
        <w:pStyle w:val="NoSpacing"/>
        <w:spacing w:line="240" w:lineRule="exact"/>
        <w:rPr>
          <w:u w:val="single"/>
        </w:rPr>
      </w:pPr>
      <w:r w:rsidRPr="009A3135">
        <w:rPr>
          <w:u w:val="single"/>
        </w:rPr>
        <w:t>Discussion</w:t>
      </w:r>
    </w:p>
    <w:p w14:paraId="29B1B172" w14:textId="77777777" w:rsidR="009A3135" w:rsidRDefault="009A3135" w:rsidP="00A469D0">
      <w:pPr>
        <w:pStyle w:val="NoSpacing"/>
        <w:spacing w:line="240" w:lineRule="exact"/>
      </w:pPr>
    </w:p>
    <w:p w14:paraId="345AFBF7" w14:textId="77777777" w:rsidR="00A13738" w:rsidRDefault="00D1172B" w:rsidP="00A13738">
      <w:pPr>
        <w:pStyle w:val="NoSpacing"/>
        <w:spacing w:line="240" w:lineRule="exact"/>
      </w:pPr>
      <w:r>
        <w:t xml:space="preserve">The Coalition disagrees with the </w:t>
      </w:r>
      <w:r w:rsidR="00D04D19">
        <w:t xml:space="preserve">Northwest Industrial Gas Users’ </w:t>
      </w:r>
      <w:r>
        <w:t>assertion</w:t>
      </w:r>
      <w:r w:rsidR="00D04D19">
        <w:t xml:space="preserve"> that “</w:t>
      </w:r>
      <w:r w:rsidR="00D04D19" w:rsidRPr="00D04D19">
        <w:t>Alterations to avoided cost calculations could mask or s</w:t>
      </w:r>
      <w:r w:rsidR="00D04D19">
        <w:t>kew the cost-ef</w:t>
      </w:r>
      <w:r w:rsidR="00B918B9">
        <w:t xml:space="preserve">fective basis of [conservation] </w:t>
      </w:r>
      <w:r w:rsidR="00D04D19" w:rsidRPr="00D04D19">
        <w:t>programs and, therefore, run the risk of preventing all utility customers from realizing the economic benefits o</w:t>
      </w:r>
      <w:r w:rsidR="00D04D19">
        <w:t>f the current market conditions.”</w:t>
      </w:r>
      <w:r w:rsidR="00B918B9">
        <w:t xml:space="preserve">  There are arguments to be made that avoided cost calculations already mask or skew the cost-effectiveness of programs because they employ an overly high discount rate and do not include factors such as non-energy benefits.  Moreover, this statement acknowledges the benefits to current market conditions while overlooking the inherent risks </w:t>
      </w:r>
      <w:r w:rsidR="00A13738">
        <w:t>that accompany it.</w:t>
      </w:r>
      <w:r w:rsidR="00A13738" w:rsidRPr="00A13738">
        <w:t xml:space="preserve"> </w:t>
      </w:r>
    </w:p>
    <w:p w14:paraId="2B595FDC" w14:textId="77777777" w:rsidR="00A13738" w:rsidRDefault="00A13738" w:rsidP="00A13738">
      <w:pPr>
        <w:pStyle w:val="NoSpacing"/>
        <w:spacing w:line="240" w:lineRule="exact"/>
      </w:pPr>
    </w:p>
    <w:p w14:paraId="2AB29402" w14:textId="21811184" w:rsidR="00A13738" w:rsidRDefault="00A13738" w:rsidP="00A13738">
      <w:pPr>
        <w:pStyle w:val="NoSpacing"/>
        <w:spacing w:line="240" w:lineRule="exact"/>
      </w:pPr>
      <w:r>
        <w:t xml:space="preserve">Natural gas prices have been volatile and are likely to remain so despite the advent of hydraulic fracturing.  This is because natural gas is still subject to a number of vulnerabilities, including interruptions from accidents, weather changes, pipeline disruptions, storage constraints and pending </w:t>
      </w:r>
      <w:r>
        <w:lastRenderedPageBreak/>
        <w:t>environmental regulations.</w:t>
      </w:r>
      <w:r>
        <w:rPr>
          <w:rStyle w:val="FootnoteReference"/>
        </w:rPr>
        <w:footnoteReference w:id="3"/>
      </w:r>
      <w:r>
        <w:t xml:space="preserve">  A complex array of price dichotomies such as access to global markets and alternative fuel prices further add to the confusion.</w:t>
      </w:r>
      <w:r>
        <w:rPr>
          <w:rStyle w:val="FootnoteReference"/>
        </w:rPr>
        <w:footnoteReference w:id="4"/>
      </w:r>
      <w:r>
        <w:t xml:space="preserve">  As the graph below demonstrates, forecasting prices is often trickier than it looks:</w:t>
      </w:r>
    </w:p>
    <w:p w14:paraId="1FE4CE52" w14:textId="77777777" w:rsidR="00A13738" w:rsidRDefault="00A13738" w:rsidP="00A13738">
      <w:pPr>
        <w:pStyle w:val="NoSpacing"/>
        <w:spacing w:line="240" w:lineRule="exact"/>
      </w:pPr>
    </w:p>
    <w:p w14:paraId="7FEA5DCE" w14:textId="77777777" w:rsidR="00A13738" w:rsidRDefault="00A13738" w:rsidP="00A13738">
      <w:pPr>
        <w:keepNext/>
      </w:pPr>
      <w:r>
        <w:rPr>
          <w:rFonts w:ascii="Times" w:eastAsia="Times New Roman" w:hAnsi="Times"/>
          <w:noProof/>
        </w:rPr>
        <w:drawing>
          <wp:inline distT="0" distB="0" distL="0" distR="0" wp14:anchorId="482AA6FA" wp14:editId="27549BBD">
            <wp:extent cx="5943600" cy="3417570"/>
            <wp:effectExtent l="25400" t="25400" r="25400" b="368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62012_blog_graph.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417570"/>
                    </a:xfrm>
                    <a:prstGeom prst="rect">
                      <a:avLst/>
                    </a:prstGeom>
                    <a:ln>
                      <a:solidFill>
                        <a:schemeClr val="tx1"/>
                      </a:solidFill>
                    </a:ln>
                  </pic:spPr>
                </pic:pic>
              </a:graphicData>
            </a:graphic>
          </wp:inline>
        </w:drawing>
      </w:r>
    </w:p>
    <w:p w14:paraId="5D1D9FA5" w14:textId="77777777" w:rsidR="00A13738" w:rsidRPr="00B458DA" w:rsidRDefault="00A13738" w:rsidP="00A13738">
      <w:pPr>
        <w:pStyle w:val="Caption"/>
        <w:rPr>
          <w:rFonts w:ascii="Times" w:eastAsia="Times New Roman" w:hAnsi="Times"/>
          <w:color w:val="auto"/>
        </w:rPr>
      </w:pPr>
      <w:r w:rsidRPr="00B458DA">
        <w:rPr>
          <w:color w:val="auto"/>
        </w:rPr>
        <w:t xml:space="preserve">Rocky Mountain Institute, </w:t>
      </w:r>
      <w:r w:rsidRPr="00B458DA">
        <w:rPr>
          <w:i/>
          <w:color w:val="auto"/>
        </w:rPr>
        <w:t>RMI Outlet</w:t>
      </w:r>
      <w:r>
        <w:rPr>
          <w:color w:val="auto"/>
        </w:rPr>
        <w:t>, September 6, 2012</w:t>
      </w:r>
    </w:p>
    <w:p w14:paraId="548267DD" w14:textId="77777777" w:rsidR="00A13738" w:rsidRDefault="00A13738" w:rsidP="00A13738">
      <w:pPr>
        <w:pStyle w:val="NoSpacing"/>
        <w:spacing w:line="240" w:lineRule="exact"/>
      </w:pPr>
    </w:p>
    <w:p w14:paraId="29D76AD8" w14:textId="77777777" w:rsidR="00A13738" w:rsidRDefault="00A13738" w:rsidP="00A13738">
      <w:pPr>
        <w:pStyle w:val="NoSpacing"/>
        <w:spacing w:line="240" w:lineRule="exact"/>
      </w:pPr>
      <w:r>
        <w:t>In contrast, energy efficiency programs are a lot more stable.  At least 95% of the time, conservation ends up being a better deal for customers and the utility on a levelized life-cycle basis.  This concept was recently illustrated by the Northwest Power and Conservation Council in a graph contrasting the average cost of utility acquired s</w:t>
      </w:r>
      <w:r w:rsidRPr="00374F69">
        <w:t xml:space="preserve">avings </w:t>
      </w:r>
      <w:r>
        <w:t>with wholesale market electricity prices.  While natural gas is not depicted explicitly below, it expresses a similar pattern due to its influence on electric prices:</w:t>
      </w:r>
    </w:p>
    <w:p w14:paraId="50543A0E" w14:textId="7F378828" w:rsidR="00D1172B" w:rsidRDefault="00D1172B" w:rsidP="00A469D0">
      <w:pPr>
        <w:pStyle w:val="NoSpacing"/>
        <w:spacing w:line="240" w:lineRule="exact"/>
      </w:pPr>
    </w:p>
    <w:p w14:paraId="0A87B60C" w14:textId="77777777" w:rsidR="00A13738" w:rsidRDefault="00A13738" w:rsidP="00A13738">
      <w:pPr>
        <w:keepNext/>
      </w:pPr>
      <w:r>
        <w:rPr>
          <w:noProof/>
        </w:rPr>
        <w:lastRenderedPageBreak/>
        <w:drawing>
          <wp:inline distT="0" distB="0" distL="0" distR="0" wp14:anchorId="2FE49ABC" wp14:editId="7010F3A3">
            <wp:extent cx="5542532" cy="3525973"/>
            <wp:effectExtent l="25400" t="25400" r="20320" b="304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ervation.png"/>
                    <pic:cNvPicPr/>
                  </pic:nvPicPr>
                  <pic:blipFill rotWithShape="1">
                    <a:blip r:embed="rId10">
                      <a:extLst>
                        <a:ext uri="{28A0092B-C50C-407E-A947-70E740481C1C}">
                          <a14:useLocalDpi xmlns:a14="http://schemas.microsoft.com/office/drawing/2010/main" val="0"/>
                        </a:ext>
                      </a:extLst>
                    </a:blip>
                    <a:srcRect l="-1190" t="-2211" r="137" b="-3929"/>
                    <a:stretch/>
                  </pic:blipFill>
                  <pic:spPr bwMode="auto">
                    <a:xfrm>
                      <a:off x="0" y="0"/>
                      <a:ext cx="5544134" cy="352699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35FA76E" w14:textId="77777777" w:rsidR="00A13738" w:rsidRPr="00B458DA" w:rsidRDefault="00A13738" w:rsidP="00A13738">
      <w:pPr>
        <w:pStyle w:val="Caption"/>
        <w:rPr>
          <w:color w:val="auto"/>
        </w:rPr>
      </w:pPr>
      <w:r w:rsidRPr="00374F69">
        <w:rPr>
          <w:color w:val="auto"/>
        </w:rPr>
        <w:t xml:space="preserve">NW Power and Conservation Council, </w:t>
      </w:r>
      <w:r w:rsidRPr="00374F69">
        <w:rPr>
          <w:i/>
          <w:color w:val="auto"/>
        </w:rPr>
        <w:t>Progress Towards the 6th Plan's Conservation Goals</w:t>
      </w:r>
      <w:r>
        <w:rPr>
          <w:color w:val="auto"/>
        </w:rPr>
        <w:t>, 2012</w:t>
      </w:r>
    </w:p>
    <w:p w14:paraId="57A6DBDC" w14:textId="77777777" w:rsidR="00A13738" w:rsidRDefault="00A13738" w:rsidP="00A13738">
      <w:pPr>
        <w:pStyle w:val="NoSpacing"/>
        <w:spacing w:line="240" w:lineRule="exact"/>
      </w:pPr>
    </w:p>
    <w:p w14:paraId="374D69E7" w14:textId="77777777" w:rsidR="00A13738" w:rsidRDefault="00A13738" w:rsidP="00A13738">
      <w:pPr>
        <w:pStyle w:val="NoSpacing"/>
        <w:spacing w:line="240" w:lineRule="exact"/>
      </w:pPr>
      <w:r>
        <w:t>This stability confers critical risk hedging benefits for both utilities and their customers.  Conservation programs also incur less financial risk than supply-side resources because they typically do not require utilities to raise capital.  One possible way to better reflect these benefits within the guise of the TRC would be to lower the discount rate being applied.  The Coalition supports the use of a low-risk, long-term customer/societal cost discount rate when evaluating the costs of conservation.</w:t>
      </w:r>
    </w:p>
    <w:p w14:paraId="33A7C1ED" w14:textId="77777777" w:rsidR="00001DE3" w:rsidRDefault="00001DE3" w:rsidP="00A13738">
      <w:pPr>
        <w:pStyle w:val="NoSpacing"/>
        <w:spacing w:line="240" w:lineRule="exact"/>
      </w:pPr>
    </w:p>
    <w:p w14:paraId="13FE9B74" w14:textId="77777777" w:rsidR="00001DE3" w:rsidRDefault="00001DE3" w:rsidP="00001DE3">
      <w:pPr>
        <w:pStyle w:val="NoSpacing"/>
        <w:spacing w:line="240" w:lineRule="exact"/>
      </w:pPr>
      <w:r>
        <w:t>The Coalition agrees with the Northwest Industrial Gas Users that f</w:t>
      </w:r>
      <w:r w:rsidRPr="009676DF">
        <w:t xml:space="preserve">uel switching </w:t>
      </w:r>
      <w:r>
        <w:t>can be an important service to offer, particularly when high efficiency equipment is used.  That said</w:t>
      </w:r>
      <w:proofErr w:type="gramStart"/>
      <w:r>
        <w:t>,</w:t>
      </w:r>
      <w:proofErr w:type="gramEnd"/>
      <w:r>
        <w:t xml:space="preserve"> </w:t>
      </w:r>
      <w:r w:rsidRPr="009676DF">
        <w:t>it is not appropriate to push for increased use of natural gas without energy efficiency programs to ensure that customers have opportunities to lower their bills over the long-term.</w:t>
      </w:r>
      <w:r>
        <w:t xml:space="preserve">  </w:t>
      </w:r>
    </w:p>
    <w:p w14:paraId="3E7DDC70" w14:textId="77777777" w:rsidR="00001DE3" w:rsidRDefault="00001DE3" w:rsidP="00001DE3">
      <w:pPr>
        <w:pStyle w:val="NoSpacing"/>
        <w:spacing w:line="240" w:lineRule="exact"/>
      </w:pPr>
    </w:p>
    <w:p w14:paraId="21EC9517" w14:textId="299E71BB" w:rsidR="00001DE3" w:rsidRDefault="00001DE3" w:rsidP="00001DE3">
      <w:pPr>
        <w:pStyle w:val="NoSpacing"/>
        <w:spacing w:line="240" w:lineRule="exact"/>
      </w:pPr>
      <w:r>
        <w:t>Natural gas prices cannot remain as low as they are because they do not cover the current average cost of exploration and production.  The lower than normal prices that we are seeing today are attributable to an unusually warm winter that reduced demand and maximized storage capacity at the same time that lease terms created market pressure to produce more supply.</w:t>
      </w:r>
      <w:r>
        <w:rPr>
          <w:rStyle w:val="FootnoteReference"/>
        </w:rPr>
        <w:footnoteReference w:id="5"/>
      </w:r>
      <w:r>
        <w:t xml:space="preserve">  Production has already declined in response to these conditions and industry analysts project that gas prices will rise to somewhere between $5-7 MMBtu over the next 3 to 5 years.</w:t>
      </w:r>
      <w:r>
        <w:rPr>
          <w:rStyle w:val="FootnoteReference"/>
        </w:rPr>
        <w:footnoteReference w:id="6"/>
      </w:r>
      <w:r>
        <w:t xml:space="preserve">  </w:t>
      </w:r>
    </w:p>
    <w:p w14:paraId="3F632EF1" w14:textId="64E0DF8A" w:rsidR="00001DE3" w:rsidRPr="009676DF" w:rsidRDefault="00001DE3" w:rsidP="00001DE3">
      <w:pPr>
        <w:pStyle w:val="NoSpacing"/>
        <w:spacing w:line="240" w:lineRule="exact"/>
      </w:pPr>
    </w:p>
    <w:p w14:paraId="24CC4D66" w14:textId="55C5274C" w:rsidR="003F1C76" w:rsidRDefault="00A13738" w:rsidP="00A13738">
      <w:pPr>
        <w:pStyle w:val="NoSpacing"/>
        <w:spacing w:line="240" w:lineRule="exact"/>
      </w:pPr>
      <w:r>
        <w:t xml:space="preserve">The Coalition agrees with NW Natural that “stopping and starting energy efficiency programs as gas prices rise and fall may have…unintended consequences.”  </w:t>
      </w:r>
      <w:r w:rsidR="00832B4E">
        <w:t xml:space="preserve">Cutting conservation programs prematurely would force utilities to incur extra administrative costs associated with ramping down and then </w:t>
      </w:r>
      <w:r w:rsidR="00832B4E">
        <w:lastRenderedPageBreak/>
        <w:t xml:space="preserve">restarting programs while placing additional strain on </w:t>
      </w:r>
      <w:r w:rsidR="009F6758">
        <w:t>their</w:t>
      </w:r>
      <w:r w:rsidR="00832B4E">
        <w:t xml:space="preserve"> trade ally network.  It would also generate confusion for customers as programs are withdrawn and the message to conserve and increase efficiency goes away.  </w:t>
      </w:r>
      <w:r w:rsidR="00990345">
        <w:t>Additionally</w:t>
      </w:r>
      <w:r w:rsidR="009F6758">
        <w:t>, there are lost opportunities during those stopped periods when customers install gas technology that isn’t energy efficient.  Pushing retrofits or second investments back on customers at a future date is costly and counterproductive.</w:t>
      </w:r>
    </w:p>
    <w:p w14:paraId="4B4DCD8A" w14:textId="77777777" w:rsidR="003F1C76" w:rsidRDefault="003F1C76" w:rsidP="00A13738">
      <w:pPr>
        <w:pStyle w:val="NoSpacing"/>
        <w:spacing w:line="240" w:lineRule="exact"/>
      </w:pPr>
    </w:p>
    <w:p w14:paraId="2CB6536D" w14:textId="69B02947" w:rsidR="00A13738" w:rsidRDefault="00AE7632" w:rsidP="00A13738">
      <w:pPr>
        <w:pStyle w:val="NoSpacing"/>
        <w:spacing w:line="240" w:lineRule="exact"/>
      </w:pPr>
      <w:r>
        <w:t xml:space="preserve">The Commission has the expertise and authority to address the challenges posed by variable market prices and should do so with eyes toward </w:t>
      </w:r>
      <w:r w:rsidR="008344CE">
        <w:t xml:space="preserve">holistic </w:t>
      </w:r>
      <w:r>
        <w:t xml:space="preserve">policy that impacts all the gas utilities it regulates. </w:t>
      </w:r>
      <w:r w:rsidR="00990345">
        <w:t>There are several different approaches that the Commission may wish to consider, each of which has its own set of advantages and drawbacks:</w:t>
      </w:r>
    </w:p>
    <w:p w14:paraId="0D767416" w14:textId="77777777" w:rsidR="00990345" w:rsidRDefault="00990345" w:rsidP="00A13738">
      <w:pPr>
        <w:pStyle w:val="NoSpacing"/>
        <w:spacing w:line="240" w:lineRule="exact"/>
      </w:pPr>
    </w:p>
    <w:tbl>
      <w:tblPr>
        <w:tblStyle w:val="MediumGrid3-Accent1"/>
        <w:tblW w:w="9360" w:type="dxa"/>
        <w:tblInd w:w="108" w:type="dxa"/>
        <w:tblLook w:val="06A0" w:firstRow="1" w:lastRow="0" w:firstColumn="1" w:lastColumn="0" w:noHBand="1" w:noVBand="1"/>
      </w:tblPr>
      <w:tblGrid>
        <w:gridCol w:w="3192"/>
        <w:gridCol w:w="3192"/>
        <w:gridCol w:w="2976"/>
      </w:tblGrid>
      <w:tr w:rsidR="00990345" w14:paraId="583FB1C0" w14:textId="77777777" w:rsidTr="00A84C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1158201" w14:textId="391B0E33" w:rsidR="00990345" w:rsidRDefault="00990345" w:rsidP="00A13738">
            <w:pPr>
              <w:pStyle w:val="NoSpacing"/>
              <w:spacing w:line="240" w:lineRule="exact"/>
            </w:pPr>
            <w:r>
              <w:t>Options</w:t>
            </w:r>
          </w:p>
        </w:tc>
        <w:tc>
          <w:tcPr>
            <w:tcW w:w="3192" w:type="dxa"/>
          </w:tcPr>
          <w:p w14:paraId="21292021" w14:textId="5DFC8AED" w:rsidR="00990345" w:rsidRDefault="00990345" w:rsidP="00A13738">
            <w:pPr>
              <w:pStyle w:val="NoSpacing"/>
              <w:spacing w:line="240" w:lineRule="exact"/>
              <w:cnfStyle w:val="100000000000" w:firstRow="1" w:lastRow="0" w:firstColumn="0" w:lastColumn="0" w:oddVBand="0" w:evenVBand="0" w:oddHBand="0" w:evenHBand="0" w:firstRowFirstColumn="0" w:firstRowLastColumn="0" w:lastRowFirstColumn="0" w:lastRowLastColumn="0"/>
            </w:pPr>
            <w:r>
              <w:t>Advantages</w:t>
            </w:r>
          </w:p>
        </w:tc>
        <w:tc>
          <w:tcPr>
            <w:tcW w:w="2976" w:type="dxa"/>
          </w:tcPr>
          <w:p w14:paraId="41C25B91" w14:textId="3C6A7C1E" w:rsidR="00990345" w:rsidRDefault="00990345" w:rsidP="00A13738">
            <w:pPr>
              <w:pStyle w:val="NoSpacing"/>
              <w:spacing w:line="240" w:lineRule="exact"/>
              <w:cnfStyle w:val="100000000000" w:firstRow="1" w:lastRow="0" w:firstColumn="0" w:lastColumn="0" w:oddVBand="0" w:evenVBand="0" w:oddHBand="0" w:evenHBand="0" w:firstRowFirstColumn="0" w:firstRowLastColumn="0" w:lastRowFirstColumn="0" w:lastRowLastColumn="0"/>
            </w:pPr>
            <w:r>
              <w:t>Drawbacks</w:t>
            </w:r>
          </w:p>
        </w:tc>
      </w:tr>
      <w:tr w:rsidR="00990345" w14:paraId="44F2C193" w14:textId="77777777" w:rsidTr="00A55477">
        <w:trPr>
          <w:trHeight w:val="1083"/>
        </w:trPr>
        <w:tc>
          <w:tcPr>
            <w:cnfStyle w:val="001000000000" w:firstRow="0" w:lastRow="0" w:firstColumn="1" w:lastColumn="0" w:oddVBand="0" w:evenVBand="0" w:oddHBand="0" w:evenHBand="0" w:firstRowFirstColumn="0" w:firstRowLastColumn="0" w:lastRowFirstColumn="0" w:lastRowLastColumn="0"/>
            <w:tcW w:w="3192" w:type="dxa"/>
          </w:tcPr>
          <w:p w14:paraId="1E92F80E" w14:textId="481434C1" w:rsidR="00990345" w:rsidRDefault="00A84CB9" w:rsidP="00A13738">
            <w:pPr>
              <w:pStyle w:val="NoSpacing"/>
              <w:spacing w:line="240" w:lineRule="exact"/>
            </w:pPr>
            <w:r>
              <w:t xml:space="preserve">Modify cost tests to </w:t>
            </w:r>
            <w:r w:rsidR="0032548F">
              <w:t xml:space="preserve">adjust the discount rate and </w:t>
            </w:r>
            <w:r>
              <w:t>include additional factors, including non-energy benefits</w:t>
            </w:r>
            <w:r w:rsidR="00117F69">
              <w:t xml:space="preserve"> </w:t>
            </w:r>
          </w:p>
        </w:tc>
        <w:tc>
          <w:tcPr>
            <w:tcW w:w="3192" w:type="dxa"/>
          </w:tcPr>
          <w:p w14:paraId="0742FABF" w14:textId="15B6DD9C" w:rsidR="00990345" w:rsidRDefault="00A84CB9" w:rsidP="00A13738">
            <w:pPr>
              <w:pStyle w:val="NoSpacing"/>
              <w:spacing w:line="240" w:lineRule="exact"/>
              <w:cnfStyle w:val="000000000000" w:firstRow="0" w:lastRow="0" w:firstColumn="0" w:lastColumn="0" w:oddVBand="0" w:evenVBand="0" w:oddHBand="0" w:evenHBand="0" w:firstRowFirstColumn="0" w:firstRowLastColumn="0" w:lastRowFirstColumn="0" w:lastRowLastColumn="0"/>
            </w:pPr>
            <w:r>
              <w:t>A more accurate and robust analysis of costs and benefits would strengthen cost effectiveness tests.</w:t>
            </w:r>
          </w:p>
        </w:tc>
        <w:tc>
          <w:tcPr>
            <w:tcW w:w="2976" w:type="dxa"/>
          </w:tcPr>
          <w:p w14:paraId="2F9A13B5" w14:textId="17B896B7" w:rsidR="00990345" w:rsidRDefault="00A84CB9">
            <w:pPr>
              <w:pStyle w:val="NoSpacing"/>
              <w:spacing w:line="240" w:lineRule="exact"/>
              <w:cnfStyle w:val="000000000000" w:firstRow="0" w:lastRow="0" w:firstColumn="0" w:lastColumn="0" w:oddVBand="0" w:evenVBand="0" w:oddHBand="0" w:evenHBand="0" w:firstRowFirstColumn="0" w:firstRowLastColumn="0" w:lastRowFirstColumn="0" w:lastRowLastColumn="0"/>
            </w:pPr>
            <w:r>
              <w:t xml:space="preserve">Hard-to-quantify factors </w:t>
            </w:r>
            <w:r w:rsidR="00117F69">
              <w:t xml:space="preserve">may lead to the use of proxy values. </w:t>
            </w:r>
          </w:p>
        </w:tc>
      </w:tr>
      <w:tr w:rsidR="00990345" w14:paraId="09DE882E" w14:textId="77777777" w:rsidTr="00D0614A">
        <w:trPr>
          <w:trHeight w:val="1065"/>
        </w:trPr>
        <w:tc>
          <w:tcPr>
            <w:cnfStyle w:val="001000000000" w:firstRow="0" w:lastRow="0" w:firstColumn="1" w:lastColumn="0" w:oddVBand="0" w:evenVBand="0" w:oddHBand="0" w:evenHBand="0" w:firstRowFirstColumn="0" w:firstRowLastColumn="0" w:lastRowFirstColumn="0" w:lastRowLastColumn="0"/>
            <w:tcW w:w="3192" w:type="dxa"/>
          </w:tcPr>
          <w:p w14:paraId="2FF8EE6F" w14:textId="44775456" w:rsidR="00990345" w:rsidRDefault="00A84CB9" w:rsidP="00F569A7">
            <w:pPr>
              <w:pStyle w:val="NoSpacing"/>
              <w:spacing w:line="240" w:lineRule="exact"/>
            </w:pPr>
            <w:r>
              <w:t xml:space="preserve">Employ a social adder similar to </w:t>
            </w:r>
            <w:r w:rsidR="002366EF">
              <w:t xml:space="preserve">the model used in </w:t>
            </w:r>
            <w:r w:rsidR="0032548F">
              <w:t>Vermont</w:t>
            </w:r>
            <w:r w:rsidR="00F34C1A">
              <w:rPr>
                <w:rStyle w:val="FootnoteReference"/>
              </w:rPr>
              <w:footnoteReference w:id="7"/>
            </w:r>
            <w:r w:rsidR="00A55477">
              <w:t xml:space="preserve"> </w:t>
            </w:r>
            <w:r w:rsidR="002366EF">
              <w:t>(this could be temporary)</w:t>
            </w:r>
          </w:p>
        </w:tc>
        <w:tc>
          <w:tcPr>
            <w:tcW w:w="3192" w:type="dxa"/>
          </w:tcPr>
          <w:p w14:paraId="7BDFDD7B" w14:textId="27ADFE36" w:rsidR="00990345" w:rsidRDefault="002366EF" w:rsidP="00A13738">
            <w:pPr>
              <w:pStyle w:val="NoSpacing"/>
              <w:spacing w:line="240" w:lineRule="exact"/>
              <w:cnfStyle w:val="000000000000" w:firstRow="0" w:lastRow="0" w:firstColumn="0" w:lastColumn="0" w:oddVBand="0" w:evenVBand="0" w:oddHBand="0" w:evenHBand="0" w:firstRowFirstColumn="0" w:firstRowLastColumn="0" w:lastRowFirstColumn="0" w:lastRowLastColumn="0"/>
            </w:pPr>
            <w:r>
              <w:t>This approach acknowledges many of the hard-to-quantify benefits in a manner that is simpler to implement.</w:t>
            </w:r>
          </w:p>
        </w:tc>
        <w:tc>
          <w:tcPr>
            <w:tcW w:w="2976" w:type="dxa"/>
          </w:tcPr>
          <w:p w14:paraId="5640AA9F" w14:textId="1F7A9711" w:rsidR="00990345" w:rsidRDefault="0032548F" w:rsidP="00A13738">
            <w:pPr>
              <w:pStyle w:val="NoSpacing"/>
              <w:spacing w:line="240" w:lineRule="exact"/>
              <w:cnfStyle w:val="000000000000" w:firstRow="0" w:lastRow="0" w:firstColumn="0" w:lastColumn="0" w:oddVBand="0" w:evenVBand="0" w:oddHBand="0" w:evenHBand="0" w:firstRowFirstColumn="0" w:firstRowLastColumn="0" w:lastRowFirstColumn="0" w:lastRowLastColumn="0"/>
            </w:pPr>
            <w:r>
              <w:t>Setting the adder could be controversial.</w:t>
            </w:r>
          </w:p>
        </w:tc>
      </w:tr>
      <w:tr w:rsidR="002366EF" w14:paraId="40FE9B26" w14:textId="77777777" w:rsidTr="00A55477">
        <w:trPr>
          <w:trHeight w:val="1344"/>
        </w:trPr>
        <w:tc>
          <w:tcPr>
            <w:cnfStyle w:val="001000000000" w:firstRow="0" w:lastRow="0" w:firstColumn="1" w:lastColumn="0" w:oddVBand="0" w:evenVBand="0" w:oddHBand="0" w:evenHBand="0" w:firstRowFirstColumn="0" w:firstRowLastColumn="0" w:lastRowFirstColumn="0" w:lastRowLastColumn="0"/>
            <w:tcW w:w="3192" w:type="dxa"/>
          </w:tcPr>
          <w:p w14:paraId="375BBF2A" w14:textId="7553DB53" w:rsidR="002366EF" w:rsidRDefault="002366EF" w:rsidP="00A13738">
            <w:pPr>
              <w:pStyle w:val="NoSpacing"/>
              <w:spacing w:line="240" w:lineRule="exact"/>
            </w:pPr>
            <w:r>
              <w:t>Lower the TRC ratio requirement when gas prices fall below a set price</w:t>
            </w:r>
          </w:p>
        </w:tc>
        <w:tc>
          <w:tcPr>
            <w:tcW w:w="3192" w:type="dxa"/>
          </w:tcPr>
          <w:p w14:paraId="55C19090" w14:textId="2D11E4E8" w:rsidR="002366EF" w:rsidRDefault="002366EF" w:rsidP="00A13738">
            <w:pPr>
              <w:pStyle w:val="NoSpacing"/>
              <w:spacing w:line="240" w:lineRule="exact"/>
              <w:cnfStyle w:val="000000000000" w:firstRow="0" w:lastRow="0" w:firstColumn="0" w:lastColumn="0" w:oddVBand="0" w:evenVBand="0" w:oddHBand="0" w:evenHBand="0" w:firstRowFirstColumn="0" w:firstRowLastColumn="0" w:lastRowFirstColumn="0" w:lastRowLastColumn="0"/>
            </w:pPr>
            <w:r>
              <w:t>This approach preserves the benefits of conservation programs without altering the inputs to cost-effectiveness tests.</w:t>
            </w:r>
          </w:p>
        </w:tc>
        <w:tc>
          <w:tcPr>
            <w:tcW w:w="2976" w:type="dxa"/>
          </w:tcPr>
          <w:p w14:paraId="7DD3CA23" w14:textId="3C7BE6BB" w:rsidR="002366EF" w:rsidRDefault="0032548F" w:rsidP="00A13738">
            <w:pPr>
              <w:pStyle w:val="NoSpacing"/>
              <w:spacing w:line="240" w:lineRule="exact"/>
              <w:cnfStyle w:val="000000000000" w:firstRow="0" w:lastRow="0" w:firstColumn="0" w:lastColumn="0" w:oddVBand="0" w:evenVBand="0" w:oddHBand="0" w:evenHBand="0" w:firstRowFirstColumn="0" w:firstRowLastColumn="0" w:lastRowFirstColumn="0" w:lastRowLastColumn="0"/>
            </w:pPr>
            <w:r>
              <w:t>Must be coupled with prudence determination that holds utilities accountable for program achievement at lower TRC level.</w:t>
            </w:r>
          </w:p>
        </w:tc>
      </w:tr>
      <w:tr w:rsidR="002366EF" w14:paraId="50434353" w14:textId="77777777" w:rsidTr="00A84CB9">
        <w:tc>
          <w:tcPr>
            <w:cnfStyle w:val="001000000000" w:firstRow="0" w:lastRow="0" w:firstColumn="1" w:lastColumn="0" w:oddVBand="0" w:evenVBand="0" w:oddHBand="0" w:evenHBand="0" w:firstRowFirstColumn="0" w:firstRowLastColumn="0" w:lastRowFirstColumn="0" w:lastRowLastColumn="0"/>
            <w:tcW w:w="3192" w:type="dxa"/>
          </w:tcPr>
          <w:p w14:paraId="2D730C24" w14:textId="558B5187" w:rsidR="002366EF" w:rsidRDefault="002366EF" w:rsidP="00535359">
            <w:pPr>
              <w:pStyle w:val="NoSpacing"/>
              <w:spacing w:line="240" w:lineRule="exact"/>
            </w:pPr>
            <w:r>
              <w:t>Waive TRC requirements for a set period of time, possibly</w:t>
            </w:r>
            <w:r w:rsidR="00535359">
              <w:t xml:space="preserve"> two</w:t>
            </w:r>
            <w:r>
              <w:t xml:space="preserve"> years</w:t>
            </w:r>
          </w:p>
        </w:tc>
        <w:tc>
          <w:tcPr>
            <w:tcW w:w="3192" w:type="dxa"/>
          </w:tcPr>
          <w:p w14:paraId="31A59D04" w14:textId="7683C208" w:rsidR="002366EF" w:rsidRDefault="00535359" w:rsidP="00535359">
            <w:pPr>
              <w:pStyle w:val="NoSpacing"/>
              <w:spacing w:line="240" w:lineRule="exact"/>
              <w:cnfStyle w:val="000000000000" w:firstRow="0" w:lastRow="0" w:firstColumn="0" w:lastColumn="0" w:oddVBand="0" w:evenVBand="0" w:oddHBand="0" w:evenHBand="0" w:firstRowFirstColumn="0" w:firstRowLastColumn="0" w:lastRowFirstColumn="0" w:lastRowLastColumn="0"/>
            </w:pPr>
            <w:r>
              <w:t>It took British Columbia nearly a year to develop its Modified TRC</w:t>
            </w:r>
            <w:r>
              <w:rPr>
                <w:rStyle w:val="FootnoteReference"/>
              </w:rPr>
              <w:footnoteReference w:id="8"/>
            </w:r>
            <w:r>
              <w:t>.  Further research may be required and crafting stakeholder agreement takes time.  A temporary waiver allows utilities to avoid prudency concerns while the Commission investigates further.</w:t>
            </w:r>
          </w:p>
        </w:tc>
        <w:tc>
          <w:tcPr>
            <w:tcW w:w="2976" w:type="dxa"/>
          </w:tcPr>
          <w:p w14:paraId="3985776C" w14:textId="37B79163" w:rsidR="002366EF" w:rsidRDefault="00535359" w:rsidP="00A13738">
            <w:pPr>
              <w:pStyle w:val="NoSpacing"/>
              <w:spacing w:line="240" w:lineRule="exact"/>
              <w:cnfStyle w:val="000000000000" w:firstRow="0" w:lastRow="0" w:firstColumn="0" w:lastColumn="0" w:oddVBand="0" w:evenVBand="0" w:oddHBand="0" w:evenHBand="0" w:firstRowFirstColumn="0" w:firstRowLastColumn="0" w:lastRowFirstColumn="0" w:lastRowLastColumn="0"/>
            </w:pPr>
            <w:r>
              <w:t>Other parties may wish for a swifter resolution to the issues at hand.</w:t>
            </w:r>
          </w:p>
        </w:tc>
      </w:tr>
    </w:tbl>
    <w:p w14:paraId="6D8861D3" w14:textId="77777777" w:rsidR="00A13738" w:rsidRDefault="00A13738" w:rsidP="00A469D0">
      <w:pPr>
        <w:pStyle w:val="NoSpacing"/>
        <w:spacing w:line="240" w:lineRule="exact"/>
      </w:pPr>
    </w:p>
    <w:p w14:paraId="45BD72A6" w14:textId="77777777" w:rsidR="009F6758" w:rsidRDefault="009F6758" w:rsidP="00A469D0">
      <w:pPr>
        <w:pStyle w:val="NoSpacing"/>
        <w:spacing w:line="240" w:lineRule="exact"/>
      </w:pPr>
    </w:p>
    <w:p w14:paraId="19151540" w14:textId="4443F03C" w:rsidR="0043532B" w:rsidRPr="00535359" w:rsidRDefault="0043532B" w:rsidP="0043532B">
      <w:pPr>
        <w:pStyle w:val="NoSpacing"/>
        <w:spacing w:line="240" w:lineRule="exact"/>
        <w:rPr>
          <w:u w:val="single"/>
        </w:rPr>
      </w:pPr>
      <w:r w:rsidRPr="00535359">
        <w:rPr>
          <w:u w:val="single"/>
        </w:rPr>
        <w:t>C</w:t>
      </w:r>
      <w:r w:rsidR="00535359">
        <w:rPr>
          <w:u w:val="single"/>
        </w:rPr>
        <w:t>onclusion</w:t>
      </w:r>
    </w:p>
    <w:p w14:paraId="42895E5C" w14:textId="77777777" w:rsidR="002366EF" w:rsidRDefault="002366EF" w:rsidP="002366EF">
      <w:pPr>
        <w:pStyle w:val="NoSpacing"/>
        <w:spacing w:line="240" w:lineRule="exact"/>
      </w:pPr>
    </w:p>
    <w:p w14:paraId="06479B62" w14:textId="37A4A4B3" w:rsidR="002366EF" w:rsidRDefault="002366EF" w:rsidP="002366EF">
      <w:pPr>
        <w:pStyle w:val="NoSpacing"/>
        <w:spacing w:line="240" w:lineRule="exact"/>
      </w:pPr>
      <w:r>
        <w:t xml:space="preserve">Given all of the considerations listed above, the Coalition recommends the Commission </w:t>
      </w:r>
      <w:r w:rsidR="0032548F">
        <w:t xml:space="preserve">continue the workshop process and </w:t>
      </w:r>
      <w:r>
        <w:t>pursue further study</w:t>
      </w:r>
      <w:r w:rsidR="0032548F">
        <w:t xml:space="preserve">. </w:t>
      </w:r>
    </w:p>
    <w:p w14:paraId="09F60DD3" w14:textId="77777777" w:rsidR="00161FF6" w:rsidRDefault="00161FF6" w:rsidP="00A469D0">
      <w:pPr>
        <w:pStyle w:val="NoSpacing"/>
        <w:spacing w:line="240" w:lineRule="exact"/>
      </w:pPr>
    </w:p>
    <w:p w14:paraId="7EBE7397" w14:textId="544C9754" w:rsidR="00161FF6" w:rsidRDefault="0037400D" w:rsidP="00A469D0">
      <w:pPr>
        <w:pStyle w:val="NoSpacing"/>
        <w:spacing w:line="240" w:lineRule="exact"/>
      </w:pPr>
      <w:r>
        <w:t xml:space="preserve">Coalition staff plans to participate in the </w:t>
      </w:r>
      <w:r w:rsidR="005E03B2">
        <w:t xml:space="preserve">stakeholder </w:t>
      </w:r>
      <w:r>
        <w:t xml:space="preserve">workshop </w:t>
      </w:r>
      <w:r w:rsidR="005E03B2">
        <w:t>scheduled for</w:t>
      </w:r>
      <w:r w:rsidR="0032548F">
        <w:t xml:space="preserve"> November 16</w:t>
      </w:r>
      <w:r w:rsidR="005E03B2">
        <w:t>.</w:t>
      </w:r>
      <w:r w:rsidR="004C0C2F">
        <w:t xml:space="preserve">  Any questions regarding this submission should be directed to Lynne Dial, 206-621-0094 or lynne@nwenergy.org</w:t>
      </w:r>
      <w:r w:rsidR="0079297B">
        <w:t>.</w:t>
      </w:r>
    </w:p>
    <w:sectPr w:rsidR="00161FF6" w:rsidSect="00747C67">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54CED" w14:textId="77777777" w:rsidR="00F425D3" w:rsidRDefault="00F425D3" w:rsidP="009A3135">
      <w:pPr>
        <w:spacing w:after="0" w:line="240" w:lineRule="auto"/>
      </w:pPr>
      <w:r>
        <w:separator/>
      </w:r>
    </w:p>
  </w:endnote>
  <w:endnote w:type="continuationSeparator" w:id="0">
    <w:p w14:paraId="01DCC000" w14:textId="77777777" w:rsidR="00F425D3" w:rsidRDefault="00F425D3" w:rsidP="009A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0209D" w14:textId="77777777" w:rsidR="00F425D3" w:rsidRDefault="00F425D3" w:rsidP="00BB3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21F5E7" w14:textId="49A12DFE" w:rsidR="00F425D3" w:rsidRDefault="00063D0C" w:rsidP="00A7190F">
    <w:pPr>
      <w:pStyle w:val="Footer"/>
      <w:ind w:right="360"/>
    </w:pPr>
    <w:sdt>
      <w:sdtPr>
        <w:id w:val="969400743"/>
        <w:placeholder>
          <w:docPart w:val="3838195FA3BE8C42818B5DB221FCC205"/>
        </w:placeholder>
        <w:temporary/>
        <w:showingPlcHdr/>
      </w:sdtPr>
      <w:sdtEndPr/>
      <w:sdtContent>
        <w:r w:rsidR="00F425D3">
          <w:t>[Type text]</w:t>
        </w:r>
      </w:sdtContent>
    </w:sdt>
    <w:r w:rsidR="00F425D3">
      <w:ptab w:relativeTo="margin" w:alignment="center" w:leader="none"/>
    </w:r>
    <w:sdt>
      <w:sdtPr>
        <w:id w:val="969400748"/>
        <w:placeholder>
          <w:docPart w:val="B24F1B9AACDEAE4D963F6A3EA0E14D66"/>
        </w:placeholder>
        <w:temporary/>
        <w:showingPlcHdr/>
      </w:sdtPr>
      <w:sdtEndPr/>
      <w:sdtContent>
        <w:r w:rsidR="00F425D3">
          <w:t>[Type text]</w:t>
        </w:r>
      </w:sdtContent>
    </w:sdt>
    <w:r w:rsidR="00F425D3">
      <w:ptab w:relativeTo="margin" w:alignment="right" w:leader="none"/>
    </w:r>
    <w:sdt>
      <w:sdtPr>
        <w:id w:val="969400753"/>
        <w:placeholder>
          <w:docPart w:val="D88CDC1DDB6DE9489DAEC4E6DFD0ED4C"/>
        </w:placeholder>
        <w:temporary/>
        <w:showingPlcHdr/>
      </w:sdtPr>
      <w:sdtEndPr/>
      <w:sdtContent>
        <w:r w:rsidR="00F425D3">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FFF3A" w14:textId="77777777" w:rsidR="00F425D3" w:rsidRPr="009E1A48" w:rsidRDefault="00F425D3" w:rsidP="00BB39B4">
    <w:pPr>
      <w:pStyle w:val="Footer"/>
      <w:framePr w:wrap="around" w:vAnchor="text" w:hAnchor="margin" w:xAlign="right" w:y="1"/>
      <w:rPr>
        <w:rStyle w:val="PageNumber"/>
      </w:rPr>
    </w:pPr>
    <w:r w:rsidRPr="009E1A48">
      <w:rPr>
        <w:rStyle w:val="PageNumber"/>
      </w:rPr>
      <w:fldChar w:fldCharType="begin"/>
    </w:r>
    <w:r w:rsidRPr="009E1A48">
      <w:rPr>
        <w:rStyle w:val="PageNumber"/>
      </w:rPr>
      <w:instrText xml:space="preserve">PAGE  </w:instrText>
    </w:r>
    <w:r w:rsidRPr="009E1A48">
      <w:rPr>
        <w:rStyle w:val="PageNumber"/>
      </w:rPr>
      <w:fldChar w:fldCharType="separate"/>
    </w:r>
    <w:r w:rsidR="00063D0C">
      <w:rPr>
        <w:rStyle w:val="PageNumber"/>
        <w:noProof/>
      </w:rPr>
      <w:t>4</w:t>
    </w:r>
    <w:r w:rsidRPr="009E1A48">
      <w:rPr>
        <w:rStyle w:val="PageNumber"/>
      </w:rPr>
      <w:fldChar w:fldCharType="end"/>
    </w:r>
  </w:p>
  <w:p w14:paraId="5DB90FFC" w14:textId="0C3F7911" w:rsidR="00F425D3" w:rsidRDefault="00063D0C" w:rsidP="00A7190F">
    <w:pPr>
      <w:pStyle w:val="Footer"/>
      <w:ind w:right="360"/>
    </w:pPr>
    <w:r>
      <w:pict w14:anchorId="4D95E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6594B616" w14:textId="540C6DDA" w:rsidR="00F425D3" w:rsidRDefault="00F425D3">
    <w:pPr>
      <w:pStyle w:val="Footer"/>
    </w:pPr>
    <w:r>
      <w:t>UG-121207, Comments of the NW Energy Coalition, submitted October 5,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B8EE5" w14:textId="77777777" w:rsidR="00F425D3" w:rsidRDefault="00F425D3" w:rsidP="009A3135">
      <w:pPr>
        <w:spacing w:after="0" w:line="240" w:lineRule="auto"/>
      </w:pPr>
      <w:r>
        <w:separator/>
      </w:r>
    </w:p>
  </w:footnote>
  <w:footnote w:type="continuationSeparator" w:id="0">
    <w:p w14:paraId="639BB7F6" w14:textId="77777777" w:rsidR="00F425D3" w:rsidRDefault="00F425D3" w:rsidP="009A3135">
      <w:pPr>
        <w:spacing w:after="0" w:line="240" w:lineRule="auto"/>
      </w:pPr>
      <w:r>
        <w:continuationSeparator/>
      </w:r>
    </w:p>
  </w:footnote>
  <w:footnote w:type="continuationNotice" w:id="1">
    <w:p w14:paraId="37F12931" w14:textId="77777777" w:rsidR="00F425D3" w:rsidRDefault="00F425D3">
      <w:pPr>
        <w:spacing w:after="0" w:line="240" w:lineRule="auto"/>
      </w:pPr>
    </w:p>
  </w:footnote>
  <w:footnote w:id="2">
    <w:p w14:paraId="482EB953" w14:textId="77777777" w:rsidR="00F425D3" w:rsidRPr="0079297B" w:rsidRDefault="00F425D3" w:rsidP="00A6364D">
      <w:pPr>
        <w:pStyle w:val="FootnoteText"/>
        <w:rPr>
          <w:sz w:val="20"/>
          <w:szCs w:val="20"/>
        </w:rPr>
      </w:pPr>
      <w:r w:rsidRPr="0079297B">
        <w:rPr>
          <w:rStyle w:val="FootnoteReference"/>
          <w:sz w:val="20"/>
          <w:szCs w:val="20"/>
        </w:rPr>
        <w:footnoteRef/>
      </w:r>
      <w:r w:rsidRPr="0079297B">
        <w:rPr>
          <w:sz w:val="20"/>
          <w:szCs w:val="20"/>
        </w:rPr>
        <w:t xml:space="preserve"> </w:t>
      </w:r>
      <w:r>
        <w:rPr>
          <w:sz w:val="20"/>
          <w:szCs w:val="20"/>
        </w:rPr>
        <w:t>On August 2, 2012, t</w:t>
      </w:r>
      <w:r w:rsidRPr="0079297B">
        <w:rPr>
          <w:sz w:val="20"/>
          <w:szCs w:val="20"/>
        </w:rPr>
        <w:t>he Energy Tr</w:t>
      </w:r>
      <w:r>
        <w:rPr>
          <w:sz w:val="20"/>
          <w:szCs w:val="20"/>
        </w:rPr>
        <w:t>ust of Oregon (ETO) filed a request for exceptions to cost effectiveness s</w:t>
      </w:r>
      <w:r w:rsidRPr="0079297B">
        <w:rPr>
          <w:sz w:val="20"/>
          <w:szCs w:val="20"/>
        </w:rPr>
        <w:t>tandards for natural gas weatherization programs.</w:t>
      </w:r>
      <w:r>
        <w:rPr>
          <w:sz w:val="20"/>
          <w:szCs w:val="20"/>
        </w:rPr>
        <w:t xml:space="preserve"> (UM 1622)</w:t>
      </w:r>
      <w:r w:rsidRPr="00C67AFC">
        <w:rPr>
          <w:sz w:val="20"/>
          <w:szCs w:val="20"/>
        </w:rPr>
        <w:t xml:space="preserve"> </w:t>
      </w:r>
      <w:r>
        <w:rPr>
          <w:sz w:val="20"/>
          <w:szCs w:val="20"/>
        </w:rPr>
        <w:t>ETO</w:t>
      </w:r>
      <w:r w:rsidRPr="0079297B">
        <w:rPr>
          <w:sz w:val="20"/>
          <w:szCs w:val="20"/>
        </w:rPr>
        <w:t xml:space="preserve"> requested a two-year suspension of its 1.0 benefit/cost ratio requirement for several natural gas measures, citing “lower-than expected savings from evaluations, higher than expected project costs for several measures, and lower avoided cost forecasts due to changes in market fundamentals.”  In doing so, the </w:t>
      </w:r>
      <w:r>
        <w:rPr>
          <w:sz w:val="20"/>
          <w:szCs w:val="20"/>
        </w:rPr>
        <w:t>ETO</w:t>
      </w:r>
      <w:r w:rsidRPr="0079297B">
        <w:rPr>
          <w:sz w:val="20"/>
          <w:szCs w:val="20"/>
        </w:rPr>
        <w:t xml:space="preserve"> aims to maintain program stability while working on solutions to manage these challenges.</w:t>
      </w:r>
    </w:p>
  </w:footnote>
  <w:footnote w:id="3">
    <w:p w14:paraId="27CBDF1B" w14:textId="77777777" w:rsidR="00F425D3" w:rsidRPr="00E43DEF" w:rsidRDefault="00F425D3" w:rsidP="00A13738">
      <w:pPr>
        <w:pStyle w:val="FootnoteText"/>
        <w:rPr>
          <w:sz w:val="20"/>
          <w:szCs w:val="20"/>
        </w:rPr>
      </w:pPr>
      <w:r w:rsidRPr="00E43DEF">
        <w:rPr>
          <w:rStyle w:val="FootnoteReference"/>
          <w:sz w:val="20"/>
          <w:szCs w:val="20"/>
        </w:rPr>
        <w:footnoteRef/>
      </w:r>
      <w:r w:rsidRPr="00E43DEF">
        <w:rPr>
          <w:sz w:val="20"/>
          <w:szCs w:val="20"/>
        </w:rPr>
        <w:t xml:space="preserve"> American Council for an Energy-Efficient Economy, </w:t>
      </w:r>
      <w:hyperlink r:id="rId1" w:history="1">
        <w:r w:rsidRPr="00E43DEF">
          <w:rPr>
            <w:rStyle w:val="Hyperlink"/>
            <w:i/>
            <w:sz w:val="20"/>
            <w:szCs w:val="20"/>
          </w:rPr>
          <w:t>Saving Money and Reducing Risk: How Energy Efficiency Enhances the Benefits of the Natural Gas Boom</w:t>
        </w:r>
      </w:hyperlink>
      <w:r w:rsidRPr="00E43DEF">
        <w:rPr>
          <w:sz w:val="20"/>
          <w:szCs w:val="20"/>
        </w:rPr>
        <w:t>, September 13, 2012</w:t>
      </w:r>
    </w:p>
  </w:footnote>
  <w:footnote w:id="4">
    <w:p w14:paraId="533AD4F1" w14:textId="77777777" w:rsidR="00F425D3" w:rsidRPr="00000FFD" w:rsidRDefault="00F425D3" w:rsidP="00A13738">
      <w:pPr>
        <w:pStyle w:val="FootnoteText"/>
        <w:rPr>
          <w:sz w:val="20"/>
          <w:szCs w:val="20"/>
        </w:rPr>
      </w:pPr>
      <w:r w:rsidRPr="00000FFD">
        <w:rPr>
          <w:rStyle w:val="FootnoteReference"/>
          <w:sz w:val="20"/>
          <w:szCs w:val="20"/>
        </w:rPr>
        <w:footnoteRef/>
      </w:r>
      <w:r w:rsidRPr="00000FFD">
        <w:rPr>
          <w:sz w:val="20"/>
          <w:szCs w:val="20"/>
        </w:rPr>
        <w:t xml:space="preserve"> Center for Climate and Energy Solutions, </w:t>
      </w:r>
      <w:hyperlink r:id="rId2" w:history="1">
        <w:r w:rsidRPr="00000FFD">
          <w:rPr>
            <w:rStyle w:val="Hyperlink"/>
            <w:i/>
            <w:sz w:val="20"/>
            <w:szCs w:val="20"/>
          </w:rPr>
          <w:t>The Looming Natural Gas Transition in the United States</w:t>
        </w:r>
      </w:hyperlink>
      <w:r w:rsidRPr="00000FFD">
        <w:rPr>
          <w:sz w:val="20"/>
          <w:szCs w:val="20"/>
        </w:rPr>
        <w:t>, May 2012</w:t>
      </w:r>
    </w:p>
  </w:footnote>
  <w:footnote w:id="5">
    <w:p w14:paraId="0C2052AC" w14:textId="77777777" w:rsidR="00F425D3" w:rsidRPr="005900B7" w:rsidRDefault="00F425D3" w:rsidP="00001DE3">
      <w:pPr>
        <w:pStyle w:val="FootnoteText"/>
        <w:rPr>
          <w:sz w:val="20"/>
          <w:szCs w:val="20"/>
        </w:rPr>
      </w:pPr>
      <w:r w:rsidRPr="005900B7">
        <w:rPr>
          <w:rStyle w:val="FootnoteReference"/>
          <w:sz w:val="20"/>
          <w:szCs w:val="20"/>
        </w:rPr>
        <w:footnoteRef/>
      </w:r>
      <w:r w:rsidRPr="005900B7">
        <w:rPr>
          <w:sz w:val="20"/>
          <w:szCs w:val="20"/>
        </w:rPr>
        <w:t xml:space="preserve"> </w:t>
      </w:r>
      <w:proofErr w:type="spellStart"/>
      <w:r w:rsidRPr="005900B7">
        <w:rPr>
          <w:sz w:val="20"/>
          <w:szCs w:val="20"/>
        </w:rPr>
        <w:t>Businessweek</w:t>
      </w:r>
      <w:proofErr w:type="spellEnd"/>
      <w:r w:rsidRPr="005900B7">
        <w:rPr>
          <w:sz w:val="20"/>
          <w:szCs w:val="20"/>
        </w:rPr>
        <w:t xml:space="preserve">, </w:t>
      </w:r>
      <w:hyperlink r:id="rId3" w:history="1">
        <w:r w:rsidRPr="005900B7">
          <w:rPr>
            <w:rStyle w:val="Hyperlink"/>
            <w:i/>
            <w:sz w:val="20"/>
            <w:szCs w:val="20"/>
          </w:rPr>
          <w:t>Is Natural Gas too Cheap to Drill?</w:t>
        </w:r>
      </w:hyperlink>
      <w:r w:rsidRPr="005900B7">
        <w:rPr>
          <w:sz w:val="20"/>
          <w:szCs w:val="20"/>
        </w:rPr>
        <w:t>, April 17, 2012</w:t>
      </w:r>
    </w:p>
  </w:footnote>
  <w:footnote w:id="6">
    <w:p w14:paraId="4F10569E" w14:textId="77777777" w:rsidR="00F425D3" w:rsidRPr="00E744C9" w:rsidRDefault="00F425D3" w:rsidP="00001DE3">
      <w:pPr>
        <w:pStyle w:val="FootnoteText"/>
        <w:rPr>
          <w:sz w:val="20"/>
          <w:szCs w:val="20"/>
        </w:rPr>
      </w:pPr>
      <w:r w:rsidRPr="00E744C9">
        <w:rPr>
          <w:rStyle w:val="FootnoteReference"/>
          <w:sz w:val="20"/>
          <w:szCs w:val="20"/>
        </w:rPr>
        <w:footnoteRef/>
      </w:r>
      <w:r w:rsidRPr="00E744C9">
        <w:rPr>
          <w:sz w:val="20"/>
          <w:szCs w:val="20"/>
        </w:rPr>
        <w:t xml:space="preserve"> American Council for an Energy-Efficient Economy, </w:t>
      </w:r>
      <w:hyperlink r:id="rId4" w:history="1">
        <w:r w:rsidRPr="000636DB">
          <w:rPr>
            <w:rStyle w:val="Hyperlink"/>
            <w:i/>
            <w:sz w:val="20"/>
            <w:szCs w:val="20"/>
          </w:rPr>
          <w:t>Saving Money and Reducing Risk: How Energy Efficiency Enhances the Benefits of the Natural Gas Boom</w:t>
        </w:r>
      </w:hyperlink>
      <w:r w:rsidRPr="00E744C9">
        <w:rPr>
          <w:sz w:val="20"/>
          <w:szCs w:val="20"/>
        </w:rPr>
        <w:t>, September 13, 2012</w:t>
      </w:r>
    </w:p>
  </w:footnote>
  <w:footnote w:id="7">
    <w:p w14:paraId="5B448295" w14:textId="33CF5AEB" w:rsidR="00F425D3" w:rsidRPr="00F34C1A" w:rsidRDefault="00F425D3">
      <w:pPr>
        <w:pStyle w:val="FootnoteText"/>
        <w:rPr>
          <w:sz w:val="20"/>
          <w:szCs w:val="20"/>
        </w:rPr>
      </w:pPr>
      <w:r w:rsidRPr="00F34C1A">
        <w:rPr>
          <w:rStyle w:val="FootnoteReference"/>
          <w:sz w:val="20"/>
          <w:szCs w:val="20"/>
        </w:rPr>
        <w:footnoteRef/>
      </w:r>
      <w:r w:rsidRPr="00F34C1A">
        <w:rPr>
          <w:sz w:val="20"/>
          <w:szCs w:val="20"/>
        </w:rPr>
        <w:t xml:space="preserve"> Order Re Cost-Effectiveness Screening Of Heating and Process-Fuel Efficiency Measures and Modifications to State Cost-Effectiveness Screening Tool, </w:t>
      </w:r>
      <w:hyperlink r:id="rId5" w:history="1">
        <w:r w:rsidRPr="00F34C1A">
          <w:rPr>
            <w:rStyle w:val="Hyperlink"/>
            <w:sz w:val="20"/>
            <w:szCs w:val="20"/>
          </w:rPr>
          <w:t>Vermont Public Service Board</w:t>
        </w:r>
      </w:hyperlink>
      <w:r w:rsidR="00F569A7">
        <w:rPr>
          <w:sz w:val="20"/>
          <w:szCs w:val="20"/>
        </w:rPr>
        <w:t>, February 7, 2012</w:t>
      </w:r>
    </w:p>
  </w:footnote>
  <w:footnote w:id="8">
    <w:p w14:paraId="0F2588FC" w14:textId="34DFAF0E" w:rsidR="00F425D3" w:rsidRPr="0079297B" w:rsidRDefault="00F425D3" w:rsidP="00535359">
      <w:pPr>
        <w:pStyle w:val="FootnoteText"/>
        <w:rPr>
          <w:sz w:val="20"/>
          <w:szCs w:val="20"/>
        </w:rPr>
      </w:pPr>
      <w:r w:rsidRPr="0079297B">
        <w:rPr>
          <w:rStyle w:val="FootnoteReference"/>
          <w:sz w:val="20"/>
          <w:szCs w:val="20"/>
        </w:rPr>
        <w:footnoteRef/>
      </w:r>
      <w:r w:rsidRPr="0079297B">
        <w:rPr>
          <w:sz w:val="20"/>
          <w:szCs w:val="20"/>
        </w:rPr>
        <w:t xml:space="preserve"> </w:t>
      </w:r>
      <w:r>
        <w:rPr>
          <w:sz w:val="20"/>
          <w:szCs w:val="20"/>
        </w:rPr>
        <w:t>“</w:t>
      </w:r>
      <w:r w:rsidRPr="0079297B">
        <w:rPr>
          <w:sz w:val="20"/>
          <w:szCs w:val="20"/>
        </w:rPr>
        <w:t xml:space="preserve">Adventures in </w:t>
      </w:r>
      <w:r>
        <w:rPr>
          <w:sz w:val="20"/>
          <w:szCs w:val="20"/>
        </w:rPr>
        <w:t xml:space="preserve">Tweaking the TRC: Experiences from British Columbia”, </w:t>
      </w:r>
      <w:hyperlink r:id="rId6" w:anchor="page=1" w:history="1">
        <w:r w:rsidRPr="0079297B">
          <w:rPr>
            <w:rStyle w:val="Hyperlink"/>
            <w:sz w:val="20"/>
            <w:szCs w:val="20"/>
          </w:rPr>
          <w:t>2012 ACEEE Summer Study on Energy Efficiency in Buildings</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7226"/>
    <w:multiLevelType w:val="hybridMultilevel"/>
    <w:tmpl w:val="6B82C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efaultTabStop w:val="720"/>
  <w:characterSpacingControl w:val="doNotCompress"/>
  <w:hdrShapeDefaults>
    <o:shapedefaults v:ext="edit" spidmax="1433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F6"/>
    <w:rsid w:val="00001DE3"/>
    <w:rsid w:val="00024762"/>
    <w:rsid w:val="00044047"/>
    <w:rsid w:val="00063D0C"/>
    <w:rsid w:val="00084697"/>
    <w:rsid w:val="00091F6E"/>
    <w:rsid w:val="0009330B"/>
    <w:rsid w:val="00117F69"/>
    <w:rsid w:val="00161FF6"/>
    <w:rsid w:val="00186BDC"/>
    <w:rsid w:val="00194E46"/>
    <w:rsid w:val="001A5747"/>
    <w:rsid w:val="001E4288"/>
    <w:rsid w:val="0021552F"/>
    <w:rsid w:val="002366EF"/>
    <w:rsid w:val="00237D5D"/>
    <w:rsid w:val="00241740"/>
    <w:rsid w:val="00270A50"/>
    <w:rsid w:val="00270F02"/>
    <w:rsid w:val="002C6EFC"/>
    <w:rsid w:val="002E6609"/>
    <w:rsid w:val="00310F85"/>
    <w:rsid w:val="0032548F"/>
    <w:rsid w:val="00343306"/>
    <w:rsid w:val="0035763D"/>
    <w:rsid w:val="0037400D"/>
    <w:rsid w:val="003F1C76"/>
    <w:rsid w:val="0043532B"/>
    <w:rsid w:val="004537F9"/>
    <w:rsid w:val="0045528A"/>
    <w:rsid w:val="00485413"/>
    <w:rsid w:val="004879BE"/>
    <w:rsid w:val="004B19BF"/>
    <w:rsid w:val="004C0C2F"/>
    <w:rsid w:val="004F77EC"/>
    <w:rsid w:val="00531BF9"/>
    <w:rsid w:val="00535359"/>
    <w:rsid w:val="005446EE"/>
    <w:rsid w:val="005E03B2"/>
    <w:rsid w:val="006000C7"/>
    <w:rsid w:val="006008DE"/>
    <w:rsid w:val="00627804"/>
    <w:rsid w:val="006545FA"/>
    <w:rsid w:val="006E1C0F"/>
    <w:rsid w:val="006E45EA"/>
    <w:rsid w:val="006F26F3"/>
    <w:rsid w:val="00747C67"/>
    <w:rsid w:val="0079297B"/>
    <w:rsid w:val="007F4E19"/>
    <w:rsid w:val="008325DB"/>
    <w:rsid w:val="00832B4E"/>
    <w:rsid w:val="008344CE"/>
    <w:rsid w:val="00844FAE"/>
    <w:rsid w:val="00872348"/>
    <w:rsid w:val="0088291D"/>
    <w:rsid w:val="008B0246"/>
    <w:rsid w:val="008E2643"/>
    <w:rsid w:val="008F08B6"/>
    <w:rsid w:val="00900D08"/>
    <w:rsid w:val="00933AE4"/>
    <w:rsid w:val="00980780"/>
    <w:rsid w:val="00990345"/>
    <w:rsid w:val="009A3135"/>
    <w:rsid w:val="009E1A48"/>
    <w:rsid w:val="009F6036"/>
    <w:rsid w:val="009F6758"/>
    <w:rsid w:val="00A13738"/>
    <w:rsid w:val="00A21596"/>
    <w:rsid w:val="00A242A6"/>
    <w:rsid w:val="00A40876"/>
    <w:rsid w:val="00A469D0"/>
    <w:rsid w:val="00A55477"/>
    <w:rsid w:val="00A6364D"/>
    <w:rsid w:val="00A7190F"/>
    <w:rsid w:val="00A84CB9"/>
    <w:rsid w:val="00AD67F9"/>
    <w:rsid w:val="00AE7632"/>
    <w:rsid w:val="00AF71B2"/>
    <w:rsid w:val="00B66B9A"/>
    <w:rsid w:val="00B82A86"/>
    <w:rsid w:val="00B918B9"/>
    <w:rsid w:val="00BB39B4"/>
    <w:rsid w:val="00BB5177"/>
    <w:rsid w:val="00BE25E0"/>
    <w:rsid w:val="00C03AB3"/>
    <w:rsid w:val="00C07F83"/>
    <w:rsid w:val="00C22D0B"/>
    <w:rsid w:val="00C52F2B"/>
    <w:rsid w:val="00C67AFC"/>
    <w:rsid w:val="00CC35E9"/>
    <w:rsid w:val="00CE4F39"/>
    <w:rsid w:val="00CF0006"/>
    <w:rsid w:val="00CF4F4B"/>
    <w:rsid w:val="00D04D19"/>
    <w:rsid w:val="00D05A8D"/>
    <w:rsid w:val="00D0614A"/>
    <w:rsid w:val="00D1172B"/>
    <w:rsid w:val="00DE3892"/>
    <w:rsid w:val="00E155C8"/>
    <w:rsid w:val="00E24512"/>
    <w:rsid w:val="00E33B43"/>
    <w:rsid w:val="00E77FAF"/>
    <w:rsid w:val="00E804C1"/>
    <w:rsid w:val="00E83B85"/>
    <w:rsid w:val="00F34C1A"/>
    <w:rsid w:val="00F425D3"/>
    <w:rsid w:val="00F569A7"/>
    <w:rsid w:val="00F609E7"/>
    <w:rsid w:val="00F808E3"/>
    <w:rsid w:val="00F84B06"/>
    <w:rsid w:val="00F93CDD"/>
    <w:rsid w:val="00FA7A2F"/>
    <w:rsid w:val="00FB1800"/>
    <w:rsid w:val="00FC604C"/>
    <w:rsid w:val="00FD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9"/>
    <o:shapelayout v:ext="edit">
      <o:idmap v:ext="edit" data="1"/>
    </o:shapelayout>
  </w:shapeDefaults>
  <w:decimalSymbol w:val="."/>
  <w:listSeparator w:val=","/>
  <w14:docId w14:val="5259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1FF6"/>
    <w:pPr>
      <w:spacing w:after="0" w:line="240" w:lineRule="auto"/>
    </w:pPr>
  </w:style>
  <w:style w:type="paragraph" w:styleId="Header">
    <w:name w:val="header"/>
    <w:basedOn w:val="Normal"/>
    <w:link w:val="HeaderChar"/>
    <w:uiPriority w:val="99"/>
    <w:unhideWhenUsed/>
    <w:rsid w:val="009A313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3135"/>
  </w:style>
  <w:style w:type="paragraph" w:styleId="Footer">
    <w:name w:val="footer"/>
    <w:basedOn w:val="Normal"/>
    <w:link w:val="FooterChar"/>
    <w:uiPriority w:val="99"/>
    <w:unhideWhenUsed/>
    <w:rsid w:val="009A313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3135"/>
  </w:style>
  <w:style w:type="paragraph" w:styleId="FootnoteText">
    <w:name w:val="footnote text"/>
    <w:basedOn w:val="Normal"/>
    <w:link w:val="FootnoteTextChar"/>
    <w:uiPriority w:val="99"/>
    <w:unhideWhenUsed/>
    <w:rsid w:val="008325DB"/>
    <w:pPr>
      <w:spacing w:after="0" w:line="240" w:lineRule="auto"/>
    </w:pPr>
    <w:rPr>
      <w:sz w:val="24"/>
      <w:szCs w:val="24"/>
    </w:rPr>
  </w:style>
  <w:style w:type="character" w:customStyle="1" w:styleId="FootnoteTextChar">
    <w:name w:val="Footnote Text Char"/>
    <w:basedOn w:val="DefaultParagraphFont"/>
    <w:link w:val="FootnoteText"/>
    <w:uiPriority w:val="99"/>
    <w:rsid w:val="008325DB"/>
    <w:rPr>
      <w:sz w:val="24"/>
      <w:szCs w:val="24"/>
    </w:rPr>
  </w:style>
  <w:style w:type="character" w:styleId="FootnoteReference">
    <w:name w:val="footnote reference"/>
    <w:basedOn w:val="DefaultParagraphFont"/>
    <w:uiPriority w:val="99"/>
    <w:unhideWhenUsed/>
    <w:rsid w:val="008325DB"/>
    <w:rPr>
      <w:vertAlign w:val="superscript"/>
    </w:rPr>
  </w:style>
  <w:style w:type="character" w:styleId="Hyperlink">
    <w:name w:val="Hyperlink"/>
    <w:basedOn w:val="DefaultParagraphFont"/>
    <w:uiPriority w:val="99"/>
    <w:unhideWhenUsed/>
    <w:rsid w:val="00872348"/>
    <w:rPr>
      <w:color w:val="0000FF" w:themeColor="hyperlink"/>
      <w:u w:val="single"/>
    </w:rPr>
  </w:style>
  <w:style w:type="character" w:styleId="PageNumber">
    <w:name w:val="page number"/>
    <w:basedOn w:val="DefaultParagraphFont"/>
    <w:uiPriority w:val="99"/>
    <w:semiHidden/>
    <w:unhideWhenUsed/>
    <w:rsid w:val="00A7190F"/>
  </w:style>
  <w:style w:type="character" w:styleId="FollowedHyperlink">
    <w:name w:val="FollowedHyperlink"/>
    <w:basedOn w:val="DefaultParagraphFont"/>
    <w:uiPriority w:val="99"/>
    <w:semiHidden/>
    <w:unhideWhenUsed/>
    <w:rsid w:val="00C67AFC"/>
    <w:rPr>
      <w:color w:val="800080" w:themeColor="followedHyperlink"/>
      <w:u w:val="single"/>
    </w:rPr>
  </w:style>
  <w:style w:type="paragraph" w:styleId="BalloonText">
    <w:name w:val="Balloon Text"/>
    <w:basedOn w:val="Normal"/>
    <w:link w:val="BalloonTextChar"/>
    <w:uiPriority w:val="99"/>
    <w:semiHidden/>
    <w:unhideWhenUsed/>
    <w:rsid w:val="00237D5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37D5D"/>
    <w:rPr>
      <w:rFonts w:ascii="Lucida Grande" w:hAnsi="Lucida Grande"/>
      <w:sz w:val="18"/>
      <w:szCs w:val="18"/>
    </w:rPr>
  </w:style>
  <w:style w:type="paragraph" w:styleId="Caption">
    <w:name w:val="caption"/>
    <w:basedOn w:val="Normal"/>
    <w:next w:val="Normal"/>
    <w:uiPriority w:val="35"/>
    <w:unhideWhenUsed/>
    <w:qFormat/>
    <w:rsid w:val="0043532B"/>
    <w:pPr>
      <w:spacing w:line="240" w:lineRule="auto"/>
    </w:pPr>
    <w:rPr>
      <w:b/>
      <w:bCs/>
      <w:color w:val="4F81BD" w:themeColor="accent1"/>
      <w:sz w:val="18"/>
      <w:szCs w:val="18"/>
    </w:rPr>
  </w:style>
  <w:style w:type="table" w:styleId="TableGrid">
    <w:name w:val="Table Grid"/>
    <w:basedOn w:val="TableNormal"/>
    <w:uiPriority w:val="59"/>
    <w:rsid w:val="00990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uiPriority w:val="73"/>
    <w:rsid w:val="0099034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99034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1FF6"/>
    <w:pPr>
      <w:spacing w:after="0" w:line="240" w:lineRule="auto"/>
    </w:pPr>
  </w:style>
  <w:style w:type="paragraph" w:styleId="Header">
    <w:name w:val="header"/>
    <w:basedOn w:val="Normal"/>
    <w:link w:val="HeaderChar"/>
    <w:uiPriority w:val="99"/>
    <w:unhideWhenUsed/>
    <w:rsid w:val="009A313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3135"/>
  </w:style>
  <w:style w:type="paragraph" w:styleId="Footer">
    <w:name w:val="footer"/>
    <w:basedOn w:val="Normal"/>
    <w:link w:val="FooterChar"/>
    <w:uiPriority w:val="99"/>
    <w:unhideWhenUsed/>
    <w:rsid w:val="009A313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3135"/>
  </w:style>
  <w:style w:type="paragraph" w:styleId="FootnoteText">
    <w:name w:val="footnote text"/>
    <w:basedOn w:val="Normal"/>
    <w:link w:val="FootnoteTextChar"/>
    <w:uiPriority w:val="99"/>
    <w:unhideWhenUsed/>
    <w:rsid w:val="008325DB"/>
    <w:pPr>
      <w:spacing w:after="0" w:line="240" w:lineRule="auto"/>
    </w:pPr>
    <w:rPr>
      <w:sz w:val="24"/>
      <w:szCs w:val="24"/>
    </w:rPr>
  </w:style>
  <w:style w:type="character" w:customStyle="1" w:styleId="FootnoteTextChar">
    <w:name w:val="Footnote Text Char"/>
    <w:basedOn w:val="DefaultParagraphFont"/>
    <w:link w:val="FootnoteText"/>
    <w:uiPriority w:val="99"/>
    <w:rsid w:val="008325DB"/>
    <w:rPr>
      <w:sz w:val="24"/>
      <w:szCs w:val="24"/>
    </w:rPr>
  </w:style>
  <w:style w:type="character" w:styleId="FootnoteReference">
    <w:name w:val="footnote reference"/>
    <w:basedOn w:val="DefaultParagraphFont"/>
    <w:uiPriority w:val="99"/>
    <w:unhideWhenUsed/>
    <w:rsid w:val="008325DB"/>
    <w:rPr>
      <w:vertAlign w:val="superscript"/>
    </w:rPr>
  </w:style>
  <w:style w:type="character" w:styleId="Hyperlink">
    <w:name w:val="Hyperlink"/>
    <w:basedOn w:val="DefaultParagraphFont"/>
    <w:uiPriority w:val="99"/>
    <w:unhideWhenUsed/>
    <w:rsid w:val="00872348"/>
    <w:rPr>
      <w:color w:val="0000FF" w:themeColor="hyperlink"/>
      <w:u w:val="single"/>
    </w:rPr>
  </w:style>
  <w:style w:type="character" w:styleId="PageNumber">
    <w:name w:val="page number"/>
    <w:basedOn w:val="DefaultParagraphFont"/>
    <w:uiPriority w:val="99"/>
    <w:semiHidden/>
    <w:unhideWhenUsed/>
    <w:rsid w:val="00A7190F"/>
  </w:style>
  <w:style w:type="character" w:styleId="FollowedHyperlink">
    <w:name w:val="FollowedHyperlink"/>
    <w:basedOn w:val="DefaultParagraphFont"/>
    <w:uiPriority w:val="99"/>
    <w:semiHidden/>
    <w:unhideWhenUsed/>
    <w:rsid w:val="00C67AFC"/>
    <w:rPr>
      <w:color w:val="800080" w:themeColor="followedHyperlink"/>
      <w:u w:val="single"/>
    </w:rPr>
  </w:style>
  <w:style w:type="paragraph" w:styleId="BalloonText">
    <w:name w:val="Balloon Text"/>
    <w:basedOn w:val="Normal"/>
    <w:link w:val="BalloonTextChar"/>
    <w:uiPriority w:val="99"/>
    <w:semiHidden/>
    <w:unhideWhenUsed/>
    <w:rsid w:val="00237D5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37D5D"/>
    <w:rPr>
      <w:rFonts w:ascii="Lucida Grande" w:hAnsi="Lucida Grande"/>
      <w:sz w:val="18"/>
      <w:szCs w:val="18"/>
    </w:rPr>
  </w:style>
  <w:style w:type="paragraph" w:styleId="Caption">
    <w:name w:val="caption"/>
    <w:basedOn w:val="Normal"/>
    <w:next w:val="Normal"/>
    <w:uiPriority w:val="35"/>
    <w:unhideWhenUsed/>
    <w:qFormat/>
    <w:rsid w:val="0043532B"/>
    <w:pPr>
      <w:spacing w:line="240" w:lineRule="auto"/>
    </w:pPr>
    <w:rPr>
      <w:b/>
      <w:bCs/>
      <w:color w:val="4F81BD" w:themeColor="accent1"/>
      <w:sz w:val="18"/>
      <w:szCs w:val="18"/>
    </w:rPr>
  </w:style>
  <w:style w:type="table" w:styleId="TableGrid">
    <w:name w:val="Table Grid"/>
    <w:basedOn w:val="TableNormal"/>
    <w:uiPriority w:val="59"/>
    <w:rsid w:val="00990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uiPriority w:val="73"/>
    <w:rsid w:val="0099034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99034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2.xml"/><Relationship Id="rId7" Type="http://schemas.openxmlformats.org/officeDocument/2006/relationships/footnotes" Target="foot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customXml" Target="../customXml/item5.xml"/><Relationship Id="rId14"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footnotes.xml.rels><?xml version="1.0" encoding="UTF-8" standalone="yes"?>
<Relationships xmlns="http://schemas.openxmlformats.org/package/2006/relationships"><Relationship Id="rId3" Type="http://schemas.openxmlformats.org/officeDocument/2006/relationships/hyperlink" Target="http://www.businessweek.com/articles/2012-04-17/is-natural-gas-too-cheap-to-drill" TargetMode="External"/><Relationship Id="rId4" Type="http://schemas.openxmlformats.org/officeDocument/2006/relationships/hyperlink" Target="http://aceee.org/white-paper/saving-money-and-reducing-risk" TargetMode="External"/><Relationship Id="rId5" Type="http://schemas.openxmlformats.org/officeDocument/2006/relationships/hyperlink" Target="http://psb.vermont.gov/sites/psb/files/orders/2012/2012-4/OrderReCostEffectivenessScreeningofHeating.pdf" TargetMode="External"/><Relationship Id="rId6" Type="http://schemas.openxmlformats.org/officeDocument/2006/relationships/hyperlink" Target="http://www.aceee.org/files/proceedings/2012/data/papers/0193-000258.pdf" TargetMode="External"/><Relationship Id="rId1" Type="http://schemas.openxmlformats.org/officeDocument/2006/relationships/hyperlink" Target="http://aceee.org/white-paper/saving-money-and-reducing-risk" TargetMode="External"/><Relationship Id="rId2" Type="http://schemas.openxmlformats.org/officeDocument/2006/relationships/hyperlink" Target="http://www.c2es.org/docUploads/natural-gas-transition-us.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38195FA3BE8C42818B5DB221FCC205"/>
        <w:category>
          <w:name w:val="General"/>
          <w:gallery w:val="placeholder"/>
        </w:category>
        <w:types>
          <w:type w:val="bbPlcHdr"/>
        </w:types>
        <w:behaviors>
          <w:behavior w:val="content"/>
        </w:behaviors>
        <w:guid w:val="{FF38800D-E349-5542-B0AB-E216D2FC6705}"/>
      </w:docPartPr>
      <w:docPartBody>
        <w:p w14:paraId="6AF0FEFE" w14:textId="247DFC6C" w:rsidR="00860E0C" w:rsidRDefault="00860E0C" w:rsidP="00860E0C">
          <w:pPr>
            <w:pStyle w:val="3838195FA3BE8C42818B5DB221FCC205"/>
          </w:pPr>
          <w:r>
            <w:t>[Type text]</w:t>
          </w:r>
        </w:p>
      </w:docPartBody>
    </w:docPart>
    <w:docPart>
      <w:docPartPr>
        <w:name w:val="B24F1B9AACDEAE4D963F6A3EA0E14D66"/>
        <w:category>
          <w:name w:val="General"/>
          <w:gallery w:val="placeholder"/>
        </w:category>
        <w:types>
          <w:type w:val="bbPlcHdr"/>
        </w:types>
        <w:behaviors>
          <w:behavior w:val="content"/>
        </w:behaviors>
        <w:guid w:val="{AA04E4AB-B62B-EA4D-9A70-818E7436B2CE}"/>
      </w:docPartPr>
      <w:docPartBody>
        <w:p w14:paraId="42288066" w14:textId="00243833" w:rsidR="00860E0C" w:rsidRDefault="00860E0C" w:rsidP="00860E0C">
          <w:pPr>
            <w:pStyle w:val="B24F1B9AACDEAE4D963F6A3EA0E14D66"/>
          </w:pPr>
          <w:r>
            <w:t>[Type text]</w:t>
          </w:r>
        </w:p>
      </w:docPartBody>
    </w:docPart>
    <w:docPart>
      <w:docPartPr>
        <w:name w:val="D88CDC1DDB6DE9489DAEC4E6DFD0ED4C"/>
        <w:category>
          <w:name w:val="General"/>
          <w:gallery w:val="placeholder"/>
        </w:category>
        <w:types>
          <w:type w:val="bbPlcHdr"/>
        </w:types>
        <w:behaviors>
          <w:behavior w:val="content"/>
        </w:behaviors>
        <w:guid w:val="{DBE5642C-B7C9-4940-92B9-1B537D924508}"/>
      </w:docPartPr>
      <w:docPartBody>
        <w:p w14:paraId="30A44B6B" w14:textId="3E399BDA" w:rsidR="00860E0C" w:rsidRDefault="00860E0C" w:rsidP="00860E0C">
          <w:pPr>
            <w:pStyle w:val="D88CDC1DDB6DE9489DAEC4E6DFD0ED4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E0C"/>
    <w:rsid w:val="001D1DF7"/>
    <w:rsid w:val="00434CEE"/>
    <w:rsid w:val="004B64A1"/>
    <w:rsid w:val="00860E0C"/>
    <w:rsid w:val="009F1617"/>
    <w:rsid w:val="00CB6E67"/>
    <w:rsid w:val="00D97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38195FA3BE8C42818B5DB221FCC205">
    <w:name w:val="3838195FA3BE8C42818B5DB221FCC205"/>
    <w:rsid w:val="00860E0C"/>
  </w:style>
  <w:style w:type="paragraph" w:customStyle="1" w:styleId="B24F1B9AACDEAE4D963F6A3EA0E14D66">
    <w:name w:val="B24F1B9AACDEAE4D963F6A3EA0E14D66"/>
    <w:rsid w:val="00860E0C"/>
  </w:style>
  <w:style w:type="paragraph" w:customStyle="1" w:styleId="D88CDC1DDB6DE9489DAEC4E6DFD0ED4C">
    <w:name w:val="D88CDC1DDB6DE9489DAEC4E6DFD0ED4C"/>
    <w:rsid w:val="00860E0C"/>
  </w:style>
  <w:style w:type="paragraph" w:customStyle="1" w:styleId="61C17C56F3A3DD40BE052E77458DBD12">
    <w:name w:val="61C17C56F3A3DD40BE052E77458DBD12"/>
    <w:rsid w:val="00860E0C"/>
  </w:style>
  <w:style w:type="paragraph" w:customStyle="1" w:styleId="6310F87F73AB9A49B4AFF7B6243784F5">
    <w:name w:val="6310F87F73AB9A49B4AFF7B6243784F5"/>
    <w:rsid w:val="00860E0C"/>
  </w:style>
  <w:style w:type="paragraph" w:customStyle="1" w:styleId="ED54D37C6BECD046ACBB85823454B028">
    <w:name w:val="ED54D37C6BECD046ACBB85823454B028"/>
    <w:rsid w:val="00860E0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38195FA3BE8C42818B5DB221FCC205">
    <w:name w:val="3838195FA3BE8C42818B5DB221FCC205"/>
    <w:rsid w:val="00860E0C"/>
  </w:style>
  <w:style w:type="paragraph" w:customStyle="1" w:styleId="B24F1B9AACDEAE4D963F6A3EA0E14D66">
    <w:name w:val="B24F1B9AACDEAE4D963F6A3EA0E14D66"/>
    <w:rsid w:val="00860E0C"/>
  </w:style>
  <w:style w:type="paragraph" w:customStyle="1" w:styleId="D88CDC1DDB6DE9489DAEC4E6DFD0ED4C">
    <w:name w:val="D88CDC1DDB6DE9489DAEC4E6DFD0ED4C"/>
    <w:rsid w:val="00860E0C"/>
  </w:style>
  <w:style w:type="paragraph" w:customStyle="1" w:styleId="61C17C56F3A3DD40BE052E77458DBD12">
    <w:name w:val="61C17C56F3A3DD40BE052E77458DBD12"/>
    <w:rsid w:val="00860E0C"/>
  </w:style>
  <w:style w:type="paragraph" w:customStyle="1" w:styleId="6310F87F73AB9A49B4AFF7B6243784F5">
    <w:name w:val="6310F87F73AB9A49B4AFF7B6243784F5"/>
    <w:rsid w:val="00860E0C"/>
  </w:style>
  <w:style w:type="paragraph" w:customStyle="1" w:styleId="ED54D37C6BECD046ACBB85823454B028">
    <w:name w:val="ED54D37C6BECD046ACBB85823454B028"/>
    <w:rsid w:val="00860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150</IndustryCode>
    <CaseStatus xmlns="dc463f71-b30c-4ab2-9473-d307f9d35888">Pending</CaseStatus>
    <OpenedDate xmlns="dc463f71-b30c-4ab2-9473-d307f9d35888">2012-07-20T07:00:00+00:00</OpenedDate>
    <Date1 xmlns="dc463f71-b30c-4ab2-9473-d307f9d35888">2012-10-05T07:00:00+00:00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69DF439E91CC498A0358A75D779F91" ma:contentTypeVersion="139" ma:contentTypeDescription="" ma:contentTypeScope="" ma:versionID="3deab1e24ae15a9d4f350e9ab809c7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8EBE701-5402-49C4-BDF5-648099A1DF7B}"/>
</file>

<file path=customXml/itemProps2.xml><?xml version="1.0" encoding="utf-8"?>
<ds:datastoreItem xmlns:ds="http://schemas.openxmlformats.org/officeDocument/2006/customXml" ds:itemID="{D90ED37F-535A-4247-9F84-05CAA8B21440}"/>
</file>

<file path=customXml/itemProps3.xml><?xml version="1.0" encoding="utf-8"?>
<ds:datastoreItem xmlns:ds="http://schemas.openxmlformats.org/officeDocument/2006/customXml" ds:itemID="{B97367A4-3862-4654-82DB-2567DEDB624E}"/>
</file>

<file path=customXml/itemProps4.xml><?xml version="1.0" encoding="utf-8"?>
<ds:datastoreItem xmlns:ds="http://schemas.openxmlformats.org/officeDocument/2006/customXml" ds:itemID="{196BA2C0-DADC-1C44-90E7-5EACD269C2D9}"/>
</file>

<file path=customXml/itemProps5.xml><?xml version="1.0" encoding="utf-8"?>
<ds:datastoreItem xmlns:ds="http://schemas.openxmlformats.org/officeDocument/2006/customXml" ds:itemID="{E679C0BB-87F7-4EF5-85E6-74D204BA9756}"/>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6510</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ladial</dc:creator>
  <cp:lastModifiedBy>Lynne Dial</cp:lastModifiedBy>
  <cp:revision>2</cp:revision>
  <cp:lastPrinted>2012-10-05T23:31:00Z</cp:lastPrinted>
  <dcterms:created xsi:type="dcterms:W3CDTF">2012-10-06T00:08:00Z</dcterms:created>
  <dcterms:modified xsi:type="dcterms:W3CDTF">2012-10-06T00:08:00Z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0x0101006E56B4D1795A2E4DB2F0B01679ED314A00D569DF439E91CC498A0358A75D779F91</vt:lpwstr>
  </property>
  <property fmtid="{D5CDD505-2E9C-101B-9397-08002B2CF9AE}" pid="3" name="_docset_NoMedatataSyncRequired">
    <vt:lpwstr>False</vt:lpwstr>
  </property>
</Properties>
</file>