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E5" w:rsidRDefault="008F29E5" w:rsidP="008F29E5">
      <w:pPr>
        <w:tabs>
          <w:tab w:val="center" w:pos="4680"/>
        </w:tabs>
        <w:ind w:right="-108" w:hanging="180"/>
        <w:jc w:val="both"/>
      </w:pPr>
    </w:p>
    <w:p w:rsidR="008F29E5" w:rsidRDefault="008F29E5" w:rsidP="008F29E5">
      <w:pPr>
        <w:tabs>
          <w:tab w:val="center" w:pos="4680"/>
        </w:tabs>
        <w:ind w:right="-108" w:hanging="180"/>
        <w:jc w:val="both"/>
      </w:pPr>
    </w:p>
    <w:p w:rsidR="008F29E5" w:rsidRDefault="008F29E5" w:rsidP="008F29E5">
      <w:pPr>
        <w:tabs>
          <w:tab w:val="center" w:pos="4680"/>
        </w:tabs>
        <w:ind w:right="-108" w:hanging="180"/>
        <w:jc w:val="both"/>
      </w:pPr>
    </w:p>
    <w:p w:rsidR="008F29E5" w:rsidRDefault="008F29E5" w:rsidP="008F29E5">
      <w:pPr>
        <w:tabs>
          <w:tab w:val="center" w:pos="4680"/>
        </w:tabs>
        <w:ind w:right="-108" w:hanging="180"/>
        <w:jc w:val="both"/>
      </w:pPr>
    </w:p>
    <w:p w:rsidR="008F29E5" w:rsidRDefault="008F29E5" w:rsidP="008F29E5">
      <w:pPr>
        <w:tabs>
          <w:tab w:val="center" w:pos="4680"/>
        </w:tabs>
        <w:ind w:right="-108" w:hanging="180"/>
        <w:jc w:val="both"/>
      </w:pPr>
    </w:p>
    <w:p w:rsidR="008F29E5" w:rsidRPr="004A2910" w:rsidRDefault="008F29E5" w:rsidP="00F77913">
      <w:pPr>
        <w:tabs>
          <w:tab w:val="center" w:pos="4680"/>
        </w:tabs>
        <w:ind w:right="-108" w:hanging="180"/>
        <w:jc w:val="center"/>
      </w:pPr>
      <w:r w:rsidRPr="004A2910">
        <w:t xml:space="preserve">BEFORE THE </w:t>
      </w:r>
      <w:smartTag w:uri="urn:schemas-microsoft-com:office:smarttags" w:element="PostalCode">
        <w:smartTag w:uri="urn:schemas-microsoft-com:office:smarttags" w:element="place">
          <w:r w:rsidRPr="004A2910">
            <w:t>WASHINGTON</w:t>
          </w:r>
        </w:smartTag>
      </w:smartTag>
      <w:r w:rsidRPr="004A2910">
        <w:t xml:space="preserve"> UTILITIES AND TRANSPORTATION COMMISSION</w:t>
      </w:r>
    </w:p>
    <w:p w:rsidR="008F29E5" w:rsidRPr="004A2910" w:rsidRDefault="008F29E5" w:rsidP="008F29E5">
      <w:pPr>
        <w:jc w:val="both"/>
      </w:pPr>
    </w:p>
    <w:p w:rsidR="008F29E5" w:rsidRPr="004A2910" w:rsidRDefault="008F29E5" w:rsidP="008F29E5">
      <w:pPr>
        <w:jc w:val="both"/>
      </w:pPr>
    </w:p>
    <w:tbl>
      <w:tblPr>
        <w:tblW w:w="0" w:type="auto"/>
        <w:tblInd w:w="124" w:type="dxa"/>
        <w:tblLayout w:type="fixed"/>
        <w:tblCellMar>
          <w:left w:w="124" w:type="dxa"/>
          <w:right w:w="124" w:type="dxa"/>
        </w:tblCellMar>
        <w:tblLook w:val="0000"/>
      </w:tblPr>
      <w:tblGrid>
        <w:gridCol w:w="4590"/>
        <w:gridCol w:w="4590"/>
      </w:tblGrid>
      <w:tr w:rsidR="008F29E5" w:rsidRPr="004A2910" w:rsidTr="008F29E5">
        <w:tc>
          <w:tcPr>
            <w:tcW w:w="4590" w:type="dxa"/>
            <w:tcBorders>
              <w:top w:val="single" w:sz="6" w:space="0" w:color="FFFFFF"/>
              <w:left w:val="single" w:sz="6" w:space="0" w:color="FFFFFF"/>
              <w:bottom w:val="single" w:sz="7" w:space="0" w:color="000000"/>
              <w:right w:val="single" w:sz="6" w:space="0" w:color="FFFFFF"/>
            </w:tcBorders>
          </w:tcPr>
          <w:p w:rsidR="008F29E5" w:rsidRPr="00E369F1" w:rsidRDefault="008F29E5" w:rsidP="008F29E5">
            <w:pPr>
              <w:tabs>
                <w:tab w:val="left" w:pos="-720"/>
              </w:tabs>
              <w:suppressAutoHyphens/>
            </w:pPr>
            <w:r w:rsidRPr="00E369F1">
              <w:t>WASHINGTON STATE ATTORNEY GENERAL’S OFFICE</w:t>
            </w:r>
            <w:r>
              <w:t xml:space="preserve"> AND THE INDUSTRIAL CUSTOMERS OF NORTHWEST UTILITIES</w:t>
            </w:r>
            <w:r w:rsidRPr="00E369F1">
              <w:t>,</w:t>
            </w:r>
          </w:p>
          <w:p w:rsidR="008F29E5" w:rsidRPr="00E369F1" w:rsidRDefault="008F29E5" w:rsidP="008F29E5">
            <w:pPr>
              <w:tabs>
                <w:tab w:val="left" w:pos="-720"/>
              </w:tabs>
              <w:suppressAutoHyphens/>
            </w:pPr>
          </w:p>
          <w:p w:rsidR="008F29E5" w:rsidRPr="00E369F1" w:rsidRDefault="008F29E5" w:rsidP="008F29E5">
            <w:pPr>
              <w:tabs>
                <w:tab w:val="left" w:pos="-720"/>
              </w:tabs>
              <w:suppressAutoHyphens/>
            </w:pPr>
            <w:r w:rsidRPr="00E369F1">
              <w:tab/>
            </w:r>
            <w:r w:rsidRPr="00E369F1">
              <w:tab/>
            </w:r>
            <w:r w:rsidRPr="00E369F1">
              <w:tab/>
            </w:r>
            <w:r>
              <w:t xml:space="preserve">Joint </w:t>
            </w:r>
            <w:r w:rsidRPr="00E369F1">
              <w:t>Complainant</w:t>
            </w:r>
            <w:r>
              <w:t>s</w:t>
            </w:r>
            <w:r w:rsidRPr="00E369F1">
              <w:t>,</w:t>
            </w:r>
          </w:p>
          <w:p w:rsidR="008F29E5" w:rsidRPr="00E369F1" w:rsidRDefault="008F29E5" w:rsidP="008F29E5">
            <w:pPr>
              <w:tabs>
                <w:tab w:val="left" w:pos="-720"/>
              </w:tabs>
              <w:suppressAutoHyphens/>
            </w:pPr>
          </w:p>
          <w:p w:rsidR="008F29E5" w:rsidRPr="00E369F1" w:rsidRDefault="008F29E5" w:rsidP="008F29E5">
            <w:pPr>
              <w:tabs>
                <w:tab w:val="left" w:pos="-720"/>
              </w:tabs>
              <w:suppressAutoHyphens/>
            </w:pPr>
            <w:r w:rsidRPr="00E369F1">
              <w:t>v.</w:t>
            </w:r>
          </w:p>
          <w:p w:rsidR="008F29E5" w:rsidRPr="00E369F1" w:rsidRDefault="008F29E5" w:rsidP="008F29E5">
            <w:pPr>
              <w:tabs>
                <w:tab w:val="left" w:pos="-720"/>
              </w:tabs>
              <w:suppressAutoHyphens/>
            </w:pPr>
          </w:p>
          <w:p w:rsidR="008F29E5" w:rsidRPr="00E369F1" w:rsidRDefault="00F77913" w:rsidP="008F29E5">
            <w:pPr>
              <w:tabs>
                <w:tab w:val="left" w:pos="-720"/>
              </w:tabs>
              <w:suppressAutoHyphens/>
              <w:rPr>
                <w:caps/>
              </w:rPr>
            </w:pPr>
            <w:r>
              <w:t>PACIFICORP</w:t>
            </w:r>
            <w:bookmarkStart w:id="0" w:name="_GoBack"/>
            <w:bookmarkEnd w:id="0"/>
            <w:r w:rsidR="008F29E5" w:rsidRPr="00E369F1">
              <w:t xml:space="preserve"> d/b/a PACIFIC POWER &amp; LIGHT CORP.</w:t>
            </w:r>
          </w:p>
          <w:p w:rsidR="008F29E5" w:rsidRPr="00E369F1" w:rsidRDefault="008F29E5" w:rsidP="008F29E5">
            <w:pPr>
              <w:tabs>
                <w:tab w:val="left" w:pos="-720"/>
              </w:tabs>
              <w:suppressAutoHyphens/>
            </w:pPr>
          </w:p>
          <w:p w:rsidR="008F29E5" w:rsidRPr="004A2910" w:rsidRDefault="008F29E5" w:rsidP="008F29E5">
            <w:pPr>
              <w:spacing w:after="19"/>
            </w:pPr>
            <w:r w:rsidRPr="00E369F1">
              <w:tab/>
            </w:r>
            <w:r w:rsidRPr="00E369F1">
              <w:tab/>
            </w:r>
            <w:r w:rsidRPr="00E369F1">
              <w:tab/>
              <w:t>Respondents</w:t>
            </w:r>
          </w:p>
        </w:tc>
        <w:tc>
          <w:tcPr>
            <w:tcW w:w="4590" w:type="dxa"/>
            <w:tcBorders>
              <w:top w:val="single" w:sz="6" w:space="0" w:color="FFFFFF"/>
              <w:left w:val="single" w:sz="7" w:space="0" w:color="000000"/>
              <w:bottom w:val="single" w:sz="6" w:space="0" w:color="FFFFFF"/>
              <w:right w:val="single" w:sz="6" w:space="0" w:color="FFFFFF"/>
            </w:tcBorders>
          </w:tcPr>
          <w:p w:rsidR="008F29E5" w:rsidRPr="00E369F1" w:rsidRDefault="008F29E5" w:rsidP="00F77913">
            <w:pPr>
              <w:pStyle w:val="normalblock"/>
              <w:ind w:left="416"/>
            </w:pPr>
            <w:r w:rsidRPr="00E369F1">
              <w:t>DOCKET NO. UE-</w:t>
            </w:r>
            <w:r>
              <w:t>110070</w:t>
            </w:r>
          </w:p>
          <w:p w:rsidR="008F29E5" w:rsidRPr="00E369F1" w:rsidRDefault="008F29E5" w:rsidP="00F77913">
            <w:pPr>
              <w:pStyle w:val="normalblock"/>
              <w:ind w:left="416"/>
            </w:pPr>
          </w:p>
          <w:p w:rsidR="008F29E5" w:rsidRPr="00E369F1" w:rsidRDefault="008F29E5" w:rsidP="00F77913">
            <w:pPr>
              <w:pStyle w:val="normalblock"/>
              <w:ind w:left="416"/>
            </w:pPr>
          </w:p>
          <w:p w:rsidR="008F29E5" w:rsidRPr="00E369F1" w:rsidRDefault="008F29E5" w:rsidP="00F77913">
            <w:pPr>
              <w:pStyle w:val="normalblock"/>
              <w:ind w:left="416"/>
            </w:pPr>
          </w:p>
          <w:p w:rsidR="008F29E5" w:rsidRPr="00E369F1" w:rsidRDefault="008F29E5" w:rsidP="00F77913">
            <w:pPr>
              <w:pStyle w:val="normalblock"/>
              <w:ind w:left="416"/>
            </w:pPr>
          </w:p>
          <w:p w:rsidR="008F29E5" w:rsidRPr="004A2910" w:rsidRDefault="008F29E5" w:rsidP="00F77913">
            <w:pPr>
              <w:spacing w:after="19"/>
              <w:ind w:left="416"/>
            </w:pPr>
            <w:r>
              <w:t>RESPONSE OF BEHALF OF COMMISSION STAFF TO PACIFICORP’S MOTION TO DISMISS COMPLAINT</w:t>
            </w:r>
          </w:p>
        </w:tc>
      </w:tr>
    </w:tbl>
    <w:p w:rsidR="008F29E5" w:rsidRDefault="008F29E5" w:rsidP="008F29E5">
      <w:pPr>
        <w:jc w:val="both"/>
      </w:pPr>
    </w:p>
    <w:p w:rsidR="00D25153" w:rsidRPr="00CC350F" w:rsidRDefault="00D25153" w:rsidP="00D25153">
      <w:pPr>
        <w:jc w:val="center"/>
        <w:rPr>
          <w:b/>
        </w:rPr>
      </w:pPr>
      <w:r>
        <w:rPr>
          <w:b/>
        </w:rPr>
        <w:t>I</w:t>
      </w:r>
      <w:r w:rsidRPr="00D25153">
        <w:rPr>
          <w:b/>
        </w:rPr>
        <w:t>.</w:t>
      </w:r>
      <w:r w:rsidRPr="00D25153">
        <w:rPr>
          <w:b/>
        </w:rPr>
        <w:tab/>
      </w:r>
      <w:r w:rsidR="00E56366">
        <w:rPr>
          <w:b/>
        </w:rPr>
        <w:t>THE COMPLAINT</w:t>
      </w:r>
      <w:r w:rsidR="00CC350F" w:rsidRPr="00CC350F">
        <w:rPr>
          <w:b/>
        </w:rPr>
        <w:t xml:space="preserve"> </w:t>
      </w:r>
    </w:p>
    <w:p w:rsidR="00D25153" w:rsidRDefault="00D25153">
      <w:pPr>
        <w:rPr>
          <w:b/>
        </w:rPr>
      </w:pPr>
    </w:p>
    <w:p w:rsidR="007058D8" w:rsidRDefault="008F29E5" w:rsidP="008F29E5">
      <w:pPr>
        <w:pStyle w:val="ListParagraph"/>
        <w:numPr>
          <w:ilvl w:val="0"/>
          <w:numId w:val="2"/>
        </w:numPr>
        <w:spacing w:line="480" w:lineRule="auto"/>
      </w:pPr>
      <w:r>
        <w:tab/>
      </w:r>
      <w:r w:rsidR="007073FD">
        <w:t>T</w:t>
      </w:r>
      <w:r w:rsidR="007058D8" w:rsidRPr="007058D8">
        <w:t>h</w:t>
      </w:r>
      <w:r w:rsidR="007058D8">
        <w:t xml:space="preserve">e </w:t>
      </w:r>
      <w:r w:rsidR="00DE2645">
        <w:t>“</w:t>
      </w:r>
      <w:r w:rsidR="00D04B52">
        <w:t xml:space="preserve">Joint </w:t>
      </w:r>
      <w:r w:rsidR="007058D8">
        <w:t xml:space="preserve">Complaint </w:t>
      </w:r>
      <w:r w:rsidR="00D04B52">
        <w:t>of ICNU</w:t>
      </w:r>
      <w:r w:rsidR="00DE2645">
        <w:t xml:space="preserve"> and </w:t>
      </w:r>
      <w:r w:rsidR="00D04B52">
        <w:t>Public Counsel</w:t>
      </w:r>
      <w:r w:rsidR="00DE2645">
        <w:t>”</w:t>
      </w:r>
      <w:r w:rsidR="00D04B52">
        <w:t xml:space="preserve"> (Complaint) </w:t>
      </w:r>
      <w:r w:rsidR="007058D8">
        <w:t xml:space="preserve">alleges the </w:t>
      </w:r>
      <w:r w:rsidR="00443D0A">
        <w:t xml:space="preserve">rates the Commission set in </w:t>
      </w:r>
      <w:r w:rsidR="007058D8">
        <w:t>Docket UE-090205 (</w:t>
      </w:r>
      <w:r w:rsidR="007058D8" w:rsidRPr="008F29E5">
        <w:rPr>
          <w:i/>
        </w:rPr>
        <w:t>2009 GRC</w:t>
      </w:r>
      <w:r w:rsidR="007058D8">
        <w:t>)</w:t>
      </w:r>
      <w:r w:rsidR="00443D0A">
        <w:t xml:space="preserve"> are excessive</w:t>
      </w:r>
      <w:r w:rsidR="00D77A33">
        <w:t>.</w:t>
      </w:r>
      <w:r w:rsidR="00443D0A" w:rsidRPr="00443D0A">
        <w:rPr>
          <w:vertAlign w:val="superscript"/>
        </w:rPr>
        <w:footnoteReference w:id="1"/>
      </w:r>
      <w:r w:rsidR="00443D0A">
        <w:t xml:space="preserve"> </w:t>
      </w:r>
      <w:r w:rsidR="00D77A33">
        <w:t xml:space="preserve"> ICNU/Public Counsel </w:t>
      </w:r>
      <w:r w:rsidR="00DD5DAA">
        <w:t xml:space="preserve">say </w:t>
      </w:r>
      <w:r w:rsidR="00D77A33">
        <w:t xml:space="preserve">the reason </w:t>
      </w:r>
      <w:r w:rsidR="00EC672C">
        <w:t xml:space="preserve">those </w:t>
      </w:r>
      <w:r w:rsidR="00D77A33">
        <w:t xml:space="preserve">rates are excessive is </w:t>
      </w:r>
      <w:r w:rsidR="00443D0A">
        <w:t xml:space="preserve">because </w:t>
      </w:r>
      <w:r w:rsidR="00F832F6">
        <w:t xml:space="preserve">in that prior docket, </w:t>
      </w:r>
      <w:r w:rsidR="00443D0A">
        <w:t>the</w:t>
      </w:r>
      <w:r w:rsidR="00443D0A" w:rsidRPr="00443D0A">
        <w:t xml:space="preserve"> Company </w:t>
      </w:r>
      <w:r w:rsidR="00DD5DAA">
        <w:t xml:space="preserve">allegedly </w:t>
      </w:r>
      <w:r w:rsidR="00443D0A" w:rsidRPr="00443D0A">
        <w:t>failed to</w:t>
      </w:r>
      <w:r w:rsidR="00CC350F">
        <w:t xml:space="preserve"> </w:t>
      </w:r>
      <w:r w:rsidR="007058D8">
        <w:t>supplement data responses</w:t>
      </w:r>
      <w:r w:rsidR="000B0070">
        <w:t>,</w:t>
      </w:r>
      <w:r w:rsidR="007058D8">
        <w:rPr>
          <w:rStyle w:val="FootnoteReference"/>
        </w:rPr>
        <w:footnoteReference w:id="2"/>
      </w:r>
      <w:r w:rsidR="007058D8">
        <w:t xml:space="preserve"> </w:t>
      </w:r>
      <w:r w:rsidR="000B0070">
        <w:t>provided in</w:t>
      </w:r>
      <w:r w:rsidR="007058D8">
        <w:t>accurate data request responses</w:t>
      </w:r>
      <w:r w:rsidR="000B0070">
        <w:t>,</w:t>
      </w:r>
      <w:r w:rsidR="007058D8">
        <w:rPr>
          <w:rStyle w:val="FootnoteReference"/>
        </w:rPr>
        <w:footnoteReference w:id="3"/>
      </w:r>
      <w:r w:rsidR="007058D8">
        <w:t xml:space="preserve"> and propos</w:t>
      </w:r>
      <w:r w:rsidR="00DD5DAA">
        <w:t>e</w:t>
      </w:r>
      <w:r w:rsidR="000B0070">
        <w:t>d</w:t>
      </w:r>
      <w:r w:rsidR="007058D8">
        <w:t xml:space="preserve"> an improper pro forma adjustment</w:t>
      </w:r>
      <w:r w:rsidR="00F832F6">
        <w:t>.</w:t>
      </w:r>
      <w:r w:rsidR="007058D8">
        <w:rPr>
          <w:rStyle w:val="FootnoteReference"/>
        </w:rPr>
        <w:footnoteReference w:id="4"/>
      </w:r>
    </w:p>
    <w:p w:rsidR="00E56366" w:rsidRPr="00E56366" w:rsidRDefault="00E56366" w:rsidP="00E56366">
      <w:pPr>
        <w:pStyle w:val="ListParagraph"/>
        <w:spacing w:line="480" w:lineRule="auto"/>
        <w:ind w:left="0"/>
        <w:jc w:val="center"/>
        <w:rPr>
          <w:b/>
        </w:rPr>
      </w:pPr>
      <w:r>
        <w:rPr>
          <w:b/>
        </w:rPr>
        <w:t>II.</w:t>
      </w:r>
      <w:r>
        <w:rPr>
          <w:b/>
        </w:rPr>
        <w:tab/>
      </w:r>
      <w:r w:rsidR="004A5822">
        <w:rPr>
          <w:b/>
        </w:rPr>
        <w:t xml:space="preserve">RESPONSE TO </w:t>
      </w:r>
      <w:r>
        <w:rPr>
          <w:b/>
        </w:rPr>
        <w:t>PACIFICORP’S MOTION TO DISMISS</w:t>
      </w:r>
    </w:p>
    <w:p w:rsidR="00E56366" w:rsidRDefault="00E56366" w:rsidP="008F29E5">
      <w:pPr>
        <w:pStyle w:val="ListParagraph"/>
        <w:numPr>
          <w:ilvl w:val="0"/>
          <w:numId w:val="2"/>
        </w:numPr>
        <w:spacing w:line="480" w:lineRule="auto"/>
      </w:pPr>
      <w:r>
        <w:tab/>
        <w:t>PacifiCorp’s Motion to Dismiss raises several arguments, to which Staff responds as follows:</w:t>
      </w:r>
    </w:p>
    <w:p w:rsidR="004D4D6A" w:rsidRDefault="004D4D6A">
      <w:pPr>
        <w:rPr>
          <w:b/>
        </w:rPr>
      </w:pPr>
      <w:r>
        <w:rPr>
          <w:b/>
        </w:rPr>
        <w:br w:type="page"/>
      </w:r>
    </w:p>
    <w:p w:rsidR="00E56366" w:rsidRDefault="00E56366" w:rsidP="00E56366">
      <w:pPr>
        <w:spacing w:line="480" w:lineRule="auto"/>
        <w:rPr>
          <w:b/>
        </w:rPr>
      </w:pPr>
      <w:r>
        <w:rPr>
          <w:b/>
        </w:rPr>
        <w:lastRenderedPageBreak/>
        <w:t>A.</w:t>
      </w:r>
      <w:r>
        <w:rPr>
          <w:b/>
        </w:rPr>
        <w:tab/>
        <w:t>The Commission Should Grant PacifiCorp’s Motion as to RCW 80.04.230</w:t>
      </w:r>
    </w:p>
    <w:p w:rsidR="00E56366" w:rsidRDefault="00E56366" w:rsidP="00E56366">
      <w:pPr>
        <w:pStyle w:val="ListParagraph"/>
        <w:numPr>
          <w:ilvl w:val="0"/>
          <w:numId w:val="2"/>
        </w:numPr>
        <w:spacing w:line="480" w:lineRule="auto"/>
      </w:pPr>
      <w:r>
        <w:tab/>
      </w:r>
      <w:r w:rsidRPr="007073FD">
        <w:t>PacifiCorp</w:t>
      </w:r>
      <w:r>
        <w:t xml:space="preserve"> correctly argues that </w:t>
      </w:r>
      <w:r w:rsidR="001079E1">
        <w:t>ICNU</w:t>
      </w:r>
      <w:r>
        <w:t>/Public Counsel are not entitled to relief under RCW 80.04.230 because that section applies only to charges in excess of the lawful (i.e., published) rate.</w:t>
      </w:r>
      <w:r>
        <w:rPr>
          <w:rStyle w:val="FootnoteReference"/>
        </w:rPr>
        <w:footnoteReference w:id="5"/>
      </w:r>
      <w:r>
        <w:t xml:space="preserve">  </w:t>
      </w:r>
      <w:r w:rsidR="000B0070">
        <w:t>T</w:t>
      </w:r>
      <w:r>
        <w:t xml:space="preserve">he Complaint </w:t>
      </w:r>
      <w:r w:rsidR="000B0070">
        <w:t xml:space="preserve">fails to </w:t>
      </w:r>
      <w:r>
        <w:t>alleg</w:t>
      </w:r>
      <w:r w:rsidR="000B0070">
        <w:t>e</w:t>
      </w:r>
      <w:r>
        <w:t xml:space="preserve"> PacifiCorp charged a rate other than </w:t>
      </w:r>
      <w:r w:rsidR="000B0070">
        <w:t xml:space="preserve">the </w:t>
      </w:r>
      <w:r w:rsidR="00217957">
        <w:t xml:space="preserve">filed </w:t>
      </w:r>
      <w:r>
        <w:t>tariff</w:t>
      </w:r>
      <w:r w:rsidR="000B0070">
        <w:t xml:space="preserve"> rate</w:t>
      </w:r>
      <w:r w:rsidR="00EC672C">
        <w:t xml:space="preserve">, </w:t>
      </w:r>
      <w:r w:rsidR="000B0070">
        <w:t xml:space="preserve">so </w:t>
      </w:r>
      <w:r w:rsidR="00EC672C">
        <w:t>t</w:t>
      </w:r>
      <w:r>
        <w:t xml:space="preserve">he Commission should </w:t>
      </w:r>
      <w:r w:rsidR="00EC672C">
        <w:t>dismiss</w:t>
      </w:r>
      <w:r>
        <w:t xml:space="preserve"> the claim for relief under RCW 80.04.230.</w:t>
      </w:r>
    </w:p>
    <w:p w:rsidR="00E56366" w:rsidRDefault="00E56366" w:rsidP="00E56366">
      <w:pPr>
        <w:ind w:left="720" w:hanging="720"/>
        <w:rPr>
          <w:b/>
        </w:rPr>
      </w:pPr>
      <w:r>
        <w:rPr>
          <w:b/>
        </w:rPr>
        <w:t>B.</w:t>
      </w:r>
      <w:r>
        <w:rPr>
          <w:b/>
        </w:rPr>
        <w:tab/>
        <w:t xml:space="preserve">PacifiCorp is Correct in its Legal Analysis of the Limitations Period in RCW 80.04.230; Applying the </w:t>
      </w:r>
      <w:r w:rsidR="00F832F6">
        <w:rPr>
          <w:b/>
        </w:rPr>
        <w:t xml:space="preserve">Law to the </w:t>
      </w:r>
      <w:r>
        <w:rPr>
          <w:b/>
        </w:rPr>
        <w:t>Facts is Difficult</w:t>
      </w:r>
    </w:p>
    <w:p w:rsidR="00E56366" w:rsidRDefault="00E56366" w:rsidP="00E56366">
      <w:pPr>
        <w:ind w:left="720" w:hanging="720"/>
        <w:rPr>
          <w:b/>
        </w:rPr>
      </w:pPr>
    </w:p>
    <w:p w:rsidR="00E56366" w:rsidRDefault="00E56366" w:rsidP="00E56366">
      <w:pPr>
        <w:pStyle w:val="ListParagraph"/>
        <w:numPr>
          <w:ilvl w:val="0"/>
          <w:numId w:val="2"/>
        </w:numPr>
        <w:spacing w:line="480" w:lineRule="auto"/>
      </w:pPr>
      <w:r>
        <w:tab/>
        <w:t xml:space="preserve">PacifiCorp argues the Commission should dismiss the Complaint because </w:t>
      </w:r>
      <w:r w:rsidRPr="00CA1CA7">
        <w:t>RCW 80.04.240</w:t>
      </w:r>
      <w:r>
        <w:t xml:space="preserve"> sets a six-month limitation period for filing an unreasonable rates claim, and ICNU and Public Counsel were aware of the facts underlying their claim, or should have been aware of those facts, more than six months before the</w:t>
      </w:r>
      <w:r w:rsidR="004D4D6A">
        <w:t xml:space="preserve">y filed the </w:t>
      </w:r>
      <w:r>
        <w:t>Complaint.</w:t>
      </w:r>
      <w:r>
        <w:rPr>
          <w:rStyle w:val="FootnoteReference"/>
        </w:rPr>
        <w:footnoteReference w:id="6"/>
      </w:r>
      <w:r>
        <w:t xml:space="preserve">   </w:t>
      </w:r>
    </w:p>
    <w:p w:rsidR="004D4D6A" w:rsidRDefault="00E56366" w:rsidP="00E56366">
      <w:pPr>
        <w:pStyle w:val="ListParagraph"/>
        <w:numPr>
          <w:ilvl w:val="0"/>
          <w:numId w:val="2"/>
        </w:numPr>
        <w:spacing w:line="480" w:lineRule="auto"/>
      </w:pPr>
      <w:r>
        <w:tab/>
        <w:t>Staff agrees with PacifiCorp’s legal analysis, i.e.</w:t>
      </w:r>
      <w:r w:rsidR="009E6A64">
        <w:t>,</w:t>
      </w:r>
      <w:r>
        <w:t xml:space="preserve"> </w:t>
      </w:r>
      <w:r w:rsidR="000B0070">
        <w:t>a</w:t>
      </w:r>
      <w:r>
        <w:t xml:space="preserve"> six-month limitation period applies; and </w:t>
      </w:r>
      <w:r w:rsidR="009E6A64">
        <w:t>it</w:t>
      </w:r>
      <w:r>
        <w:t xml:space="preserve"> runs from the date ICNU and Public Counsel reasonably should have known about the REC information in controversy.  More difficult is the factual </w:t>
      </w:r>
      <w:r w:rsidR="00736D11">
        <w:t xml:space="preserve">question:  </w:t>
      </w:r>
      <w:r>
        <w:t xml:space="preserve">when </w:t>
      </w:r>
      <w:r w:rsidR="00736D11">
        <w:t xml:space="preserve">did </w:t>
      </w:r>
      <w:r>
        <w:t xml:space="preserve">ICNU or Public Counsel </w:t>
      </w:r>
      <w:r w:rsidR="00736D11">
        <w:t xml:space="preserve">know, or when should they </w:t>
      </w:r>
      <w:r>
        <w:t>reasonably have known about the REC information in controversy</w:t>
      </w:r>
      <w:r w:rsidR="00736D11">
        <w:t>?</w:t>
      </w:r>
      <w:r>
        <w:t xml:space="preserve">  </w:t>
      </w:r>
    </w:p>
    <w:p w:rsidR="00C85559" w:rsidRDefault="004D4D6A" w:rsidP="00E56366">
      <w:pPr>
        <w:pStyle w:val="ListParagraph"/>
        <w:numPr>
          <w:ilvl w:val="0"/>
          <w:numId w:val="2"/>
        </w:numPr>
        <w:spacing w:line="480" w:lineRule="auto"/>
      </w:pPr>
      <w:r>
        <w:tab/>
      </w:r>
      <w:r w:rsidR="00E56366" w:rsidRPr="00CC350F">
        <w:t>PacifiCorp says the REC information in controversy was contained in its April 30, 2010, Commission-basis report.</w:t>
      </w:r>
      <w:r w:rsidR="00E56366">
        <w:rPr>
          <w:rStyle w:val="FootnoteReference"/>
        </w:rPr>
        <w:footnoteReference w:id="7"/>
      </w:r>
      <w:r w:rsidR="00E56366">
        <w:t xml:space="preserve">  </w:t>
      </w:r>
      <w:r w:rsidR="00E56366" w:rsidRPr="00CC350F">
        <w:t xml:space="preserve">However, </w:t>
      </w:r>
      <w:r w:rsidR="000B0070">
        <w:t xml:space="preserve">no one </w:t>
      </w:r>
      <w:r w:rsidR="00E56366">
        <w:t>has a duty to audit th</w:t>
      </w:r>
      <w:r w:rsidR="00EC672C">
        <w:t xml:space="preserve">at </w:t>
      </w:r>
      <w:r w:rsidR="00E56366">
        <w:t>report</w:t>
      </w:r>
      <w:r w:rsidR="009E6A64">
        <w:t xml:space="preserve"> (</w:t>
      </w:r>
      <w:r w:rsidR="009E6A64" w:rsidRPr="009E6A64">
        <w:t>which runs several hundred pages</w:t>
      </w:r>
      <w:r w:rsidR="00F832F6">
        <w:rPr>
          <w:rStyle w:val="FootnoteReference"/>
        </w:rPr>
        <w:footnoteReference w:id="8"/>
      </w:r>
      <w:r w:rsidR="009E6A64">
        <w:t>)</w:t>
      </w:r>
      <w:r w:rsidR="009E6A64" w:rsidRPr="009E6A64">
        <w:t xml:space="preserve"> </w:t>
      </w:r>
      <w:r w:rsidR="009E6A64">
        <w:t>in an attempt to discern that information</w:t>
      </w:r>
      <w:r w:rsidR="00E56366">
        <w:t xml:space="preserve">.  </w:t>
      </w:r>
    </w:p>
    <w:p w:rsidR="00E56366" w:rsidRDefault="00C85559" w:rsidP="00E56366">
      <w:pPr>
        <w:pStyle w:val="ListParagraph"/>
        <w:numPr>
          <w:ilvl w:val="0"/>
          <w:numId w:val="2"/>
        </w:numPr>
        <w:spacing w:line="480" w:lineRule="auto"/>
      </w:pPr>
      <w:r>
        <w:tab/>
        <w:t xml:space="preserve">However, </w:t>
      </w:r>
      <w:r w:rsidR="00E56366">
        <w:t xml:space="preserve">PacifiCorp </w:t>
      </w:r>
      <w:r>
        <w:t xml:space="preserve">is correct that its direct evidence in the </w:t>
      </w:r>
      <w:r>
        <w:rPr>
          <w:i/>
        </w:rPr>
        <w:t xml:space="preserve">2009 GRC </w:t>
      </w:r>
      <w:r w:rsidRPr="00C85559">
        <w:t>(filed May 4, 2010)</w:t>
      </w:r>
      <w:r>
        <w:rPr>
          <w:i/>
        </w:rPr>
        <w:t xml:space="preserve"> </w:t>
      </w:r>
      <w:r>
        <w:t xml:space="preserve">showed significantly higher </w:t>
      </w:r>
      <w:r w:rsidR="00E56366">
        <w:t xml:space="preserve">REC </w:t>
      </w:r>
      <w:r>
        <w:t xml:space="preserve">revenues for </w:t>
      </w:r>
      <w:r w:rsidR="00E56366">
        <w:t xml:space="preserve">the </w:t>
      </w:r>
      <w:r>
        <w:t>calendar year 2009 test year than were contained in the settlement filed and approved in that case.</w:t>
      </w:r>
      <w:r w:rsidR="00E56366">
        <w:rPr>
          <w:rStyle w:val="FootnoteReference"/>
        </w:rPr>
        <w:footnoteReference w:id="9"/>
      </w:r>
      <w:r w:rsidR="00E56366">
        <w:t xml:space="preserve">  </w:t>
      </w:r>
    </w:p>
    <w:p w:rsidR="00E56366" w:rsidRDefault="00E56366" w:rsidP="00E56366">
      <w:pPr>
        <w:pStyle w:val="ListParagraph"/>
        <w:numPr>
          <w:ilvl w:val="0"/>
          <w:numId w:val="2"/>
        </w:numPr>
        <w:spacing w:line="480" w:lineRule="auto"/>
      </w:pPr>
      <w:r>
        <w:lastRenderedPageBreak/>
        <w:tab/>
        <w:t xml:space="preserve">PacifiCorp </w:t>
      </w:r>
      <w:r w:rsidR="00C85559">
        <w:t>also</w:t>
      </w:r>
      <w:r w:rsidR="00217957">
        <w:t xml:space="preserve"> </w:t>
      </w:r>
      <w:r>
        <w:t xml:space="preserve">argues the </w:t>
      </w:r>
      <w:r w:rsidRPr="00553C40">
        <w:t xml:space="preserve">Commission should impute knowledge to the Public Counsel </w:t>
      </w:r>
      <w:r>
        <w:t xml:space="preserve">Section of the Washington Attorney General’s Office </w:t>
      </w:r>
      <w:r w:rsidRPr="00553C40">
        <w:t xml:space="preserve">based on </w:t>
      </w:r>
      <w:r w:rsidR="000B0070">
        <w:t xml:space="preserve">information </w:t>
      </w:r>
      <w:r w:rsidR="00F848CD">
        <w:t xml:space="preserve">allegedly </w:t>
      </w:r>
      <w:r w:rsidR="000B0070">
        <w:t xml:space="preserve">known to </w:t>
      </w:r>
      <w:r w:rsidRPr="00553C40">
        <w:t>the Utah Office of Consumer Services</w:t>
      </w:r>
      <w:r>
        <w:t>,</w:t>
      </w:r>
      <w:r>
        <w:rPr>
          <w:rStyle w:val="FootnoteReference"/>
        </w:rPr>
        <w:footnoteReference w:id="10"/>
      </w:r>
      <w:r>
        <w:t xml:space="preserve"> but that is </w:t>
      </w:r>
      <w:r w:rsidR="00736D11">
        <w:t xml:space="preserve">obviously </w:t>
      </w:r>
      <w:r>
        <w:t xml:space="preserve">wrong </w:t>
      </w:r>
      <w:r w:rsidRPr="00553C40">
        <w:t>because th</w:t>
      </w:r>
      <w:r w:rsidR="000B0070">
        <w:t>ose</w:t>
      </w:r>
      <w:r w:rsidRPr="00553C40">
        <w:t xml:space="preserve"> are two </w:t>
      </w:r>
      <w:r>
        <w:t xml:space="preserve">entirely </w:t>
      </w:r>
      <w:r w:rsidRPr="00553C40">
        <w:t>different entities.</w:t>
      </w:r>
      <w:r>
        <w:t xml:space="preserve">  Also </w:t>
      </w:r>
      <w:r w:rsidR="00EA10E4">
        <w:t xml:space="preserve">wrong </w:t>
      </w:r>
      <w:r>
        <w:t xml:space="preserve">is PacifiCorp’s attempt to impute to ICNU </w:t>
      </w:r>
      <w:r w:rsidRPr="00553C40">
        <w:t xml:space="preserve">the knowledge Mr. Falkenburg </w:t>
      </w:r>
      <w:r>
        <w:t xml:space="preserve">may have had available to him when he </w:t>
      </w:r>
      <w:r w:rsidRPr="00553C40">
        <w:t xml:space="preserve">appeared for </w:t>
      </w:r>
      <w:r w:rsidR="00EA10E4">
        <w:t>someone else</w:t>
      </w:r>
      <w:r w:rsidRPr="00553C40">
        <w:t xml:space="preserve"> in Utah.</w:t>
      </w:r>
      <w:r>
        <w:rPr>
          <w:rStyle w:val="FootnoteReference"/>
        </w:rPr>
        <w:footnoteReference w:id="11"/>
      </w:r>
      <w:r w:rsidRPr="00553C40">
        <w:t xml:space="preserve">  On the other hand, it </w:t>
      </w:r>
      <w:r w:rsidR="00736D11">
        <w:t xml:space="preserve">may be </w:t>
      </w:r>
      <w:r w:rsidRPr="00553C40">
        <w:t xml:space="preserve">fair to impute to ICNU </w:t>
      </w:r>
      <w:r w:rsidR="009E6A64">
        <w:t xml:space="preserve">knowledge </w:t>
      </w:r>
      <w:r w:rsidRPr="00553C40">
        <w:t xml:space="preserve">acquired </w:t>
      </w:r>
      <w:r w:rsidR="00736D11">
        <w:t xml:space="preserve">by </w:t>
      </w:r>
      <w:r w:rsidRPr="00553C40">
        <w:t>Mr. Falkenburg</w:t>
      </w:r>
      <w:r w:rsidR="00736D11">
        <w:t xml:space="preserve"> during his </w:t>
      </w:r>
      <w:r w:rsidRPr="00553C40">
        <w:t>work for ICNU in Oregon.</w:t>
      </w:r>
      <w:r>
        <w:rPr>
          <w:rStyle w:val="FootnoteReference"/>
        </w:rPr>
        <w:footnoteReference w:id="12"/>
      </w:r>
      <w:r w:rsidRPr="00553C40">
        <w:t xml:space="preserve">  </w:t>
      </w:r>
    </w:p>
    <w:p w:rsidR="00E56366" w:rsidRPr="00CA1CA7" w:rsidRDefault="00E56366" w:rsidP="00E56366">
      <w:pPr>
        <w:pStyle w:val="ListParagraph"/>
        <w:numPr>
          <w:ilvl w:val="0"/>
          <w:numId w:val="2"/>
        </w:numPr>
        <w:spacing w:line="480" w:lineRule="auto"/>
      </w:pPr>
      <w:r>
        <w:tab/>
        <w:t xml:space="preserve">Despite the foregoing comments, </w:t>
      </w:r>
      <w:r w:rsidRPr="00C80424">
        <w:t>Staff does not have the benefit of ICNU</w:t>
      </w:r>
      <w:r w:rsidR="00FC12F3">
        <w:t>/</w:t>
      </w:r>
      <w:r w:rsidRPr="00C80424">
        <w:t xml:space="preserve">Public Counsel’s </w:t>
      </w:r>
      <w:r>
        <w:t xml:space="preserve">view of these matters.  We trust the Commission will carefully consider their view in reaching a decision whether the </w:t>
      </w:r>
      <w:r w:rsidR="00EA10E4">
        <w:t>Complaint is untimely</w:t>
      </w:r>
      <w:r w:rsidRPr="00C80424">
        <w:t xml:space="preserve">.  </w:t>
      </w:r>
      <w:r>
        <w:t xml:space="preserve">  </w:t>
      </w:r>
    </w:p>
    <w:p w:rsidR="00E56366" w:rsidRDefault="00E56366" w:rsidP="00E56366">
      <w:pPr>
        <w:rPr>
          <w:b/>
          <w:i/>
        </w:rPr>
      </w:pPr>
      <w:r>
        <w:rPr>
          <w:b/>
        </w:rPr>
        <w:t>C.</w:t>
      </w:r>
      <w:r>
        <w:rPr>
          <w:b/>
        </w:rPr>
        <w:tab/>
        <w:t xml:space="preserve">The Commission Should Deny PacifiCorp’s Motion Regarding the Request to </w:t>
      </w:r>
      <w:r>
        <w:rPr>
          <w:b/>
        </w:rPr>
        <w:tab/>
        <w:t xml:space="preserve">Amend the Commission’s Order in the </w:t>
      </w:r>
      <w:r>
        <w:rPr>
          <w:b/>
          <w:i/>
        </w:rPr>
        <w:t>2009 GRC</w:t>
      </w:r>
    </w:p>
    <w:p w:rsidR="00E56366" w:rsidRDefault="00E56366" w:rsidP="00E56366">
      <w:pPr>
        <w:pStyle w:val="ListParagraph"/>
        <w:ind w:left="0"/>
      </w:pPr>
      <w:r>
        <w:tab/>
      </w:r>
    </w:p>
    <w:p w:rsidR="00E56366" w:rsidRDefault="00E56366" w:rsidP="00E56366">
      <w:pPr>
        <w:pStyle w:val="ListParagraph"/>
        <w:numPr>
          <w:ilvl w:val="0"/>
          <w:numId w:val="2"/>
        </w:numPr>
        <w:spacing w:line="480" w:lineRule="auto"/>
      </w:pPr>
      <w:r>
        <w:tab/>
        <w:t xml:space="preserve">PacifiCorp argues the Commission should dismiss the Complaint to the extent it seeks to amend the Commission’s order in the </w:t>
      </w:r>
      <w:r w:rsidRPr="00E56366">
        <w:rPr>
          <w:i/>
        </w:rPr>
        <w:t>2009 GRC</w:t>
      </w:r>
      <w:r>
        <w:t xml:space="preserve">, and </w:t>
      </w:r>
      <w:r w:rsidR="00736D11">
        <w:t>the Company offers</w:t>
      </w:r>
      <w:r>
        <w:t xml:space="preserve"> three reasons why amending that order would be bad policy.</w:t>
      </w:r>
      <w:r>
        <w:rPr>
          <w:rStyle w:val="FootnoteReference"/>
        </w:rPr>
        <w:footnoteReference w:id="13"/>
      </w:r>
      <w:r>
        <w:t xml:space="preserve">  However, PacifiCorp has </w:t>
      </w:r>
      <w:r w:rsidR="00982808">
        <w:t xml:space="preserve">not sustained its </w:t>
      </w:r>
      <w:r>
        <w:t>burden to show the</w:t>
      </w:r>
      <w:r w:rsidR="00982808">
        <w:t xml:space="preserve">re is no set of facts under which the </w:t>
      </w:r>
      <w:r>
        <w:t xml:space="preserve">Commission </w:t>
      </w:r>
      <w:r w:rsidR="00982808">
        <w:t xml:space="preserve">could apply a different policy, </w:t>
      </w:r>
      <w:r w:rsidR="00217957">
        <w:t xml:space="preserve">the same policy differently, or </w:t>
      </w:r>
      <w:r w:rsidR="00982808">
        <w:t xml:space="preserve">is otherwise </w:t>
      </w:r>
      <w:r>
        <w:t>powerless to amend that order.  Therefore, the Commission should deny the Motion on this issue.</w:t>
      </w:r>
      <w:r>
        <w:rPr>
          <w:rStyle w:val="FootnoteReference"/>
        </w:rPr>
        <w:footnoteReference w:id="14"/>
      </w:r>
    </w:p>
    <w:p w:rsidR="00EC5A4E" w:rsidRDefault="00EC5A4E" w:rsidP="00E56366">
      <w:pPr>
        <w:pStyle w:val="ListParagraph"/>
        <w:numPr>
          <w:ilvl w:val="0"/>
          <w:numId w:val="2"/>
        </w:numPr>
        <w:spacing w:line="480" w:lineRule="auto"/>
      </w:pPr>
      <w:r>
        <w:tab/>
        <w:t>PacifiCorp goes on to make a</w:t>
      </w:r>
      <w:r w:rsidR="009E6A64">
        <w:t xml:space="preserve"> formalistic </w:t>
      </w:r>
      <w:r w:rsidR="00217957">
        <w:t xml:space="preserve">point </w:t>
      </w:r>
      <w:r>
        <w:t>that a request to amend an order is distinct from a complaint,</w:t>
      </w:r>
      <w:r>
        <w:rPr>
          <w:rStyle w:val="FootnoteReference"/>
        </w:rPr>
        <w:footnoteReference w:id="15"/>
      </w:r>
      <w:r>
        <w:t xml:space="preserve"> and </w:t>
      </w:r>
      <w:r w:rsidR="00EC672C">
        <w:t>the</w:t>
      </w:r>
      <w:r w:rsidR="00217957">
        <w:t>n uses that point to argue that</w:t>
      </w:r>
      <w:r>
        <w:t xml:space="preserve"> IC</w:t>
      </w:r>
      <w:r w:rsidR="001079E1">
        <w:t>N</w:t>
      </w:r>
      <w:r>
        <w:t xml:space="preserve">U/Public Counsel’s alternative </w:t>
      </w:r>
      <w:r>
        <w:lastRenderedPageBreak/>
        <w:t xml:space="preserve">request to amend </w:t>
      </w:r>
      <w:r w:rsidR="004A5822">
        <w:t xml:space="preserve">the Commission’s order in the </w:t>
      </w:r>
      <w:r w:rsidR="004A5822">
        <w:rPr>
          <w:i/>
        </w:rPr>
        <w:t xml:space="preserve">2009 GRC </w:t>
      </w:r>
      <w:r w:rsidR="00736D11">
        <w:t xml:space="preserve">must be </w:t>
      </w:r>
      <w:r>
        <w:t>an improper collateral attack on th</w:t>
      </w:r>
      <w:r w:rsidR="004A5822">
        <w:t>at</w:t>
      </w:r>
      <w:r>
        <w:t xml:space="preserve"> order.</w:t>
      </w:r>
      <w:r>
        <w:rPr>
          <w:rStyle w:val="FootnoteReference"/>
        </w:rPr>
        <w:footnoteReference w:id="16"/>
      </w:r>
      <w:r>
        <w:t xml:space="preserve">  The Commission should </w:t>
      </w:r>
      <w:r w:rsidR="00C83470">
        <w:t xml:space="preserve">elevate substance over form and </w:t>
      </w:r>
      <w:r>
        <w:t>reject this argument because the Commission construes pleadings liberally,</w:t>
      </w:r>
      <w:r>
        <w:rPr>
          <w:rStyle w:val="FootnoteReference"/>
        </w:rPr>
        <w:footnoteReference w:id="17"/>
      </w:r>
      <w:r>
        <w:t xml:space="preserve"> </w:t>
      </w:r>
      <w:r w:rsidRPr="00EC5A4E">
        <w:t>the issue here is notice, and PacifiCorp has notice.</w:t>
      </w:r>
      <w:r>
        <w:t xml:space="preserve">  </w:t>
      </w:r>
    </w:p>
    <w:p w:rsidR="00E911C0" w:rsidRDefault="00E911C0" w:rsidP="00E56366">
      <w:pPr>
        <w:ind w:left="720" w:hanging="720"/>
      </w:pPr>
      <w:r w:rsidRPr="00DD5DAA">
        <w:rPr>
          <w:b/>
        </w:rPr>
        <w:t>D.</w:t>
      </w:r>
      <w:r w:rsidRPr="00DD5DAA">
        <w:rPr>
          <w:b/>
        </w:rPr>
        <w:tab/>
      </w:r>
      <w:r w:rsidR="00E56366">
        <w:rPr>
          <w:b/>
        </w:rPr>
        <w:t xml:space="preserve">The Commission Should Grant PacifiCorp’s Motion to Dismiss </w:t>
      </w:r>
      <w:r w:rsidRPr="00DD5DAA">
        <w:rPr>
          <w:b/>
        </w:rPr>
        <w:t>Claim</w:t>
      </w:r>
      <w:r w:rsidR="00E56366">
        <w:rPr>
          <w:b/>
        </w:rPr>
        <w:t xml:space="preserve">s </w:t>
      </w:r>
      <w:r w:rsidR="00217957">
        <w:rPr>
          <w:b/>
        </w:rPr>
        <w:t xml:space="preserve">for </w:t>
      </w:r>
      <w:r w:rsidRPr="00DD5DAA">
        <w:rPr>
          <w:b/>
        </w:rPr>
        <w:t>Violations of Commission Statutes and Rules</w:t>
      </w:r>
      <w:r w:rsidR="00E56366">
        <w:rPr>
          <w:b/>
        </w:rPr>
        <w:t xml:space="preserve"> </w:t>
      </w:r>
      <w:r w:rsidR="00F848CD">
        <w:rPr>
          <w:b/>
        </w:rPr>
        <w:t xml:space="preserve">Because </w:t>
      </w:r>
      <w:r w:rsidR="00E56366">
        <w:rPr>
          <w:b/>
        </w:rPr>
        <w:t>Those Violations Are Irrelevant to an Excessive Rates Claim</w:t>
      </w:r>
      <w:r w:rsidRPr="00DD5DAA">
        <w:rPr>
          <w:b/>
        </w:rPr>
        <w:t xml:space="preserve"> </w:t>
      </w:r>
      <w:r>
        <w:t xml:space="preserve"> </w:t>
      </w:r>
    </w:p>
    <w:p w:rsidR="00E56366" w:rsidRDefault="00E56366" w:rsidP="00E56366">
      <w:pPr>
        <w:pStyle w:val="ListParagraph"/>
        <w:ind w:left="0"/>
      </w:pPr>
    </w:p>
    <w:p w:rsidR="00C83470" w:rsidRDefault="00E56366" w:rsidP="00D426AA">
      <w:pPr>
        <w:pStyle w:val="ListParagraph"/>
        <w:numPr>
          <w:ilvl w:val="0"/>
          <w:numId w:val="2"/>
        </w:numPr>
        <w:spacing w:line="480" w:lineRule="auto"/>
      </w:pPr>
      <w:r>
        <w:tab/>
      </w:r>
      <w:r w:rsidR="00E911C0">
        <w:t xml:space="preserve">PacifiCorp asks the Commission to dismiss </w:t>
      </w:r>
      <w:r w:rsidR="00DD5DAA">
        <w:t xml:space="preserve">on their merits </w:t>
      </w:r>
      <w:r w:rsidR="00E911C0">
        <w:t xml:space="preserve">the claims </w:t>
      </w:r>
      <w:r w:rsidR="00DD5DAA">
        <w:t xml:space="preserve">in the Complaint </w:t>
      </w:r>
      <w:r w:rsidR="00EC672C">
        <w:t xml:space="preserve">alleging </w:t>
      </w:r>
      <w:r w:rsidR="00E911C0">
        <w:t xml:space="preserve">violations of specific rules regarding pro forma adjustments, accuracy of data request responses, and </w:t>
      </w:r>
      <w:r w:rsidR="000B0070">
        <w:t xml:space="preserve">the obligation </w:t>
      </w:r>
      <w:r w:rsidR="00E911C0">
        <w:t>to supplement data request responses.</w:t>
      </w:r>
      <w:r w:rsidR="00E911C0">
        <w:rPr>
          <w:rStyle w:val="FootnoteReference"/>
        </w:rPr>
        <w:footnoteReference w:id="18"/>
      </w:r>
      <w:r w:rsidR="00D77A33">
        <w:t xml:space="preserve">  </w:t>
      </w:r>
      <w:r w:rsidR="000B0070">
        <w:t xml:space="preserve">The Company makes </w:t>
      </w:r>
      <w:r w:rsidR="00C83470">
        <w:t xml:space="preserve">various </w:t>
      </w:r>
      <w:r w:rsidR="0086194E">
        <w:t>fact</w:t>
      </w:r>
      <w:r w:rsidR="00C83470">
        <w:t xml:space="preserve">ual and legal </w:t>
      </w:r>
      <w:r w:rsidR="0086194E">
        <w:t>arguments</w:t>
      </w:r>
      <w:r w:rsidR="004D4D6A">
        <w:t>,</w:t>
      </w:r>
      <w:r w:rsidR="0086194E">
        <w:t xml:space="preserve"> and </w:t>
      </w:r>
      <w:r w:rsidR="00C83470">
        <w:t>we</w:t>
      </w:r>
      <w:r w:rsidR="009E6A64">
        <w:t xml:space="preserve"> assume ICNU/Public Counsel will contest </w:t>
      </w:r>
      <w:r w:rsidR="00C83470">
        <w:t>them</w:t>
      </w:r>
      <w:r w:rsidR="009E6A64">
        <w:t>.</w:t>
      </w:r>
      <w:r w:rsidR="0086194E">
        <w:t xml:space="preserve">  </w:t>
      </w:r>
      <w:r w:rsidR="00C83470">
        <w:t>The more direct route is to</w:t>
      </w:r>
      <w:r w:rsidR="00736D11">
        <w:t xml:space="preserve"> </w:t>
      </w:r>
      <w:r w:rsidR="001079E1">
        <w:t xml:space="preserve">dismiss </w:t>
      </w:r>
      <w:r w:rsidR="00DD5DAA">
        <w:t>these violations</w:t>
      </w:r>
      <w:r>
        <w:t xml:space="preserve"> </w:t>
      </w:r>
      <w:r w:rsidR="001079E1">
        <w:t xml:space="preserve">claims </w:t>
      </w:r>
      <w:r w:rsidR="00736D11">
        <w:t xml:space="preserve">because they </w:t>
      </w:r>
      <w:r w:rsidR="0048408B">
        <w:t xml:space="preserve">are </w:t>
      </w:r>
      <w:r w:rsidR="00DD5DAA">
        <w:t>irrelevant</w:t>
      </w:r>
      <w:r w:rsidR="009E6A64">
        <w:t xml:space="preserve">.  </w:t>
      </w:r>
    </w:p>
    <w:p w:rsidR="0048408B" w:rsidRDefault="00C83470" w:rsidP="00D426AA">
      <w:pPr>
        <w:pStyle w:val="ListParagraph"/>
        <w:numPr>
          <w:ilvl w:val="0"/>
          <w:numId w:val="2"/>
        </w:numPr>
        <w:spacing w:line="480" w:lineRule="auto"/>
      </w:pPr>
      <w:r>
        <w:tab/>
      </w:r>
      <w:r w:rsidR="00736D11">
        <w:t xml:space="preserve">Evidence is relevant if it </w:t>
      </w:r>
      <w:r w:rsidR="009E6A64">
        <w:t>makes the existence of a fact “more probable or less probable than it would be without the evidence.”</w:t>
      </w:r>
      <w:r w:rsidR="009E6A64">
        <w:rPr>
          <w:rStyle w:val="FootnoteReference"/>
        </w:rPr>
        <w:footnoteReference w:id="19"/>
      </w:r>
      <w:r w:rsidR="009E6A64">
        <w:t xml:space="preserve"> </w:t>
      </w:r>
      <w:r w:rsidR="0048408B">
        <w:t xml:space="preserve"> </w:t>
      </w:r>
      <w:r w:rsidR="009E6A64">
        <w:t xml:space="preserve">This case is </w:t>
      </w:r>
      <w:r w:rsidR="00EC672C">
        <w:t>an excessive rates complaint</w:t>
      </w:r>
      <w:r w:rsidR="009E6A64">
        <w:t>, and</w:t>
      </w:r>
      <w:r w:rsidR="00EA10E4" w:rsidRPr="00EA10E4">
        <w:t xml:space="preserve"> </w:t>
      </w:r>
      <w:r w:rsidR="00F848CD">
        <w:t xml:space="preserve">the issue is </w:t>
      </w:r>
      <w:r w:rsidR="0048408B">
        <w:t xml:space="preserve">what </w:t>
      </w:r>
      <w:r w:rsidR="00EA10E4" w:rsidRPr="00EA10E4">
        <w:t xml:space="preserve">rates </w:t>
      </w:r>
      <w:r w:rsidR="009E6A64">
        <w:t>are</w:t>
      </w:r>
      <w:r w:rsidR="00EA10E4" w:rsidRPr="00EA10E4">
        <w:t xml:space="preserve"> fair, just and reasonable, and </w:t>
      </w:r>
      <w:r w:rsidR="00736D11">
        <w:t xml:space="preserve">by how much (if any) do the </w:t>
      </w:r>
      <w:r w:rsidR="00F848CD">
        <w:t xml:space="preserve">filed </w:t>
      </w:r>
      <w:r w:rsidR="00EA10E4" w:rsidRPr="00EA10E4">
        <w:t>rates exceed th</w:t>
      </w:r>
      <w:r w:rsidR="00736D11">
        <w:t>ose</w:t>
      </w:r>
      <w:r w:rsidR="00EA10E4" w:rsidRPr="00EA10E4">
        <w:t xml:space="preserve"> </w:t>
      </w:r>
      <w:r w:rsidR="009E6A64">
        <w:t xml:space="preserve">fair, just and reasonable </w:t>
      </w:r>
      <w:r w:rsidR="0048408B">
        <w:t>rate</w:t>
      </w:r>
      <w:r w:rsidR="00736D11">
        <w:t>s</w:t>
      </w:r>
      <w:r w:rsidR="00EA10E4" w:rsidRPr="00EA10E4">
        <w:t>.</w:t>
      </w:r>
      <w:r w:rsidR="0048408B">
        <w:t xml:space="preserve">  </w:t>
      </w:r>
      <w:r>
        <w:t xml:space="preserve">If </w:t>
      </w:r>
      <w:r w:rsidR="00E56366">
        <w:t>PacifiCorp violated a rule</w:t>
      </w:r>
      <w:r>
        <w:t xml:space="preserve">, that does </w:t>
      </w:r>
      <w:r w:rsidR="00F848CD">
        <w:t xml:space="preserve">not </w:t>
      </w:r>
      <w:r w:rsidR="009E6A64">
        <w:t xml:space="preserve">make </w:t>
      </w:r>
      <w:r w:rsidR="0048408B">
        <w:t xml:space="preserve">a particular level of rates more </w:t>
      </w:r>
      <w:r w:rsidR="009E6A64">
        <w:t>probable or less probable</w:t>
      </w:r>
      <w:r w:rsidR="0048408B">
        <w:t xml:space="preserve">, nor does </w:t>
      </w:r>
      <w:r>
        <w:t>a rule violation</w:t>
      </w:r>
      <w:r w:rsidR="0048408B">
        <w:t xml:space="preserve"> </w:t>
      </w:r>
      <w:r>
        <w:t xml:space="preserve">make more or less probable </w:t>
      </w:r>
      <w:r w:rsidR="0048408B">
        <w:t xml:space="preserve">the </w:t>
      </w:r>
      <w:r w:rsidR="00736D11">
        <w:t>amount by which existing rates exceed reasonable rates</w:t>
      </w:r>
      <w:r w:rsidR="0048408B">
        <w:t xml:space="preserve">.  </w:t>
      </w:r>
    </w:p>
    <w:p w:rsidR="00C83470" w:rsidRDefault="0048408B" w:rsidP="00EA10E4">
      <w:pPr>
        <w:pStyle w:val="ListParagraph"/>
        <w:numPr>
          <w:ilvl w:val="0"/>
          <w:numId w:val="2"/>
        </w:numPr>
        <w:spacing w:line="480" w:lineRule="auto"/>
      </w:pPr>
      <w:r>
        <w:tab/>
      </w:r>
      <w:r w:rsidR="00F848CD">
        <w:t>T</w:t>
      </w:r>
      <w:r w:rsidR="00E56366">
        <w:t xml:space="preserve">herefore, </w:t>
      </w:r>
      <w:r w:rsidR="001079E1">
        <w:t xml:space="preserve">ICNU/Public Counsel’s </w:t>
      </w:r>
      <w:r w:rsidR="009E6A64">
        <w:t xml:space="preserve">rule and statute violations </w:t>
      </w:r>
      <w:r w:rsidR="00F848CD">
        <w:t>claims</w:t>
      </w:r>
      <w:r w:rsidR="00C83470">
        <w:t xml:space="preserve"> are irrelevant and the Commission should dismiss them for that reason</w:t>
      </w:r>
      <w:r w:rsidR="00E56366">
        <w:t>.</w:t>
      </w:r>
      <w:r w:rsidR="00736D11">
        <w:t xml:space="preserve">  </w:t>
      </w:r>
    </w:p>
    <w:p w:rsidR="004A5822" w:rsidRDefault="00C83470" w:rsidP="00EA10E4">
      <w:pPr>
        <w:pStyle w:val="ListParagraph"/>
        <w:numPr>
          <w:ilvl w:val="0"/>
          <w:numId w:val="2"/>
        </w:numPr>
        <w:spacing w:line="480" w:lineRule="auto"/>
      </w:pPr>
      <w:r>
        <w:tab/>
      </w:r>
      <w:r w:rsidR="00EA10E4">
        <w:t xml:space="preserve">Staff observes at this juncture that </w:t>
      </w:r>
      <w:r w:rsidR="0048408B">
        <w:t xml:space="preserve">it appears </w:t>
      </w:r>
      <w:r w:rsidR="00EA10E4" w:rsidRPr="00DD5DAA">
        <w:t>IC</w:t>
      </w:r>
      <w:r w:rsidR="001079E1">
        <w:t>N</w:t>
      </w:r>
      <w:r w:rsidR="00EA10E4" w:rsidRPr="00DD5DAA">
        <w:t xml:space="preserve">U/Public Counsel </w:t>
      </w:r>
      <w:r w:rsidR="0048408B">
        <w:t>intend to</w:t>
      </w:r>
      <w:r w:rsidR="00EA10E4" w:rsidRPr="00DD5DAA">
        <w:t xml:space="preserve"> </w:t>
      </w:r>
      <w:r w:rsidR="00EC5A4E">
        <w:t xml:space="preserve">prove </w:t>
      </w:r>
      <w:r w:rsidR="0048408B">
        <w:t xml:space="preserve">PacifiCorp’s current </w:t>
      </w:r>
      <w:r w:rsidR="00EC5A4E">
        <w:t xml:space="preserve">rates are excessive based on </w:t>
      </w:r>
      <w:r w:rsidR="0048408B">
        <w:t xml:space="preserve">an </w:t>
      </w:r>
      <w:r w:rsidR="00EC5A4E">
        <w:t xml:space="preserve">assumption that </w:t>
      </w:r>
      <w:r w:rsidR="00EA10E4" w:rsidRPr="00DD5DAA">
        <w:t xml:space="preserve">the settlement in the </w:t>
      </w:r>
      <w:r w:rsidR="00EA10E4" w:rsidRPr="00736D11">
        <w:rPr>
          <w:i/>
        </w:rPr>
        <w:t xml:space="preserve">2009 </w:t>
      </w:r>
      <w:r w:rsidR="00EA10E4" w:rsidRPr="00736D11">
        <w:rPr>
          <w:i/>
        </w:rPr>
        <w:lastRenderedPageBreak/>
        <w:t>GRC</w:t>
      </w:r>
      <w:r w:rsidR="00EC5A4E" w:rsidRPr="00736D11">
        <w:rPr>
          <w:i/>
        </w:rPr>
        <w:t xml:space="preserve"> </w:t>
      </w:r>
      <w:r w:rsidR="00EC5A4E">
        <w:t>wo</w:t>
      </w:r>
      <w:r w:rsidR="00EC672C">
        <w:t>u</w:t>
      </w:r>
      <w:r w:rsidR="00EC5A4E">
        <w:t xml:space="preserve">ld have been different had different facts </w:t>
      </w:r>
      <w:r w:rsidR="00EC672C">
        <w:t xml:space="preserve">earlier </w:t>
      </w:r>
      <w:r w:rsidR="00EC5A4E">
        <w:t>come to light</w:t>
      </w:r>
      <w:r w:rsidR="00EA10E4" w:rsidRPr="00736D11">
        <w:rPr>
          <w:i/>
        </w:rPr>
        <w:t>.</w:t>
      </w:r>
      <w:r w:rsidR="00EA10E4" w:rsidRPr="00DD5DAA">
        <w:rPr>
          <w:vertAlign w:val="superscript"/>
        </w:rPr>
        <w:footnoteReference w:id="20"/>
      </w:r>
      <w:r w:rsidR="00EA10E4" w:rsidRPr="00DD5DAA">
        <w:t xml:space="preserve"> </w:t>
      </w:r>
      <w:r w:rsidR="00217957">
        <w:t xml:space="preserve"> </w:t>
      </w:r>
      <w:r w:rsidR="004A5822">
        <w:t>I</w:t>
      </w:r>
      <w:r w:rsidR="00217957">
        <w:t>f th</w:t>
      </w:r>
      <w:r w:rsidR="004A5822">
        <w:t>at</w:t>
      </w:r>
      <w:r w:rsidR="00217957">
        <w:t xml:space="preserve"> is </w:t>
      </w:r>
      <w:r w:rsidR="0048408B">
        <w:t xml:space="preserve">indeed </w:t>
      </w:r>
      <w:r w:rsidR="000B0070">
        <w:t xml:space="preserve">the basis for </w:t>
      </w:r>
      <w:r w:rsidR="00217957">
        <w:t xml:space="preserve">their </w:t>
      </w:r>
      <w:r w:rsidR="000B0070">
        <w:t>excessive rates claim</w:t>
      </w:r>
      <w:r w:rsidR="00217957">
        <w:t>,</w:t>
      </w:r>
      <w:r w:rsidR="000B0070">
        <w:rPr>
          <w:rStyle w:val="FootnoteReference"/>
        </w:rPr>
        <w:footnoteReference w:id="21"/>
      </w:r>
      <w:r w:rsidR="00217957">
        <w:t xml:space="preserve"> </w:t>
      </w:r>
      <w:r w:rsidR="00EC5A4E">
        <w:t xml:space="preserve">ICNU/Public Counsel </w:t>
      </w:r>
      <w:r w:rsidR="0048408B">
        <w:t xml:space="preserve">will not able to rely on </w:t>
      </w:r>
      <w:r w:rsidR="003828A8">
        <w:t>that</w:t>
      </w:r>
      <w:r w:rsidR="0048408B">
        <w:t xml:space="preserve"> assumption; they </w:t>
      </w:r>
      <w:r w:rsidR="004A5822">
        <w:t xml:space="preserve">will need to prove </w:t>
      </w:r>
      <w:r w:rsidR="00EA10E4" w:rsidRPr="00DD5DAA">
        <w:t xml:space="preserve">every other party would have exercised their discretion </w:t>
      </w:r>
      <w:r w:rsidR="0048408B">
        <w:t xml:space="preserve">the same way and </w:t>
      </w:r>
      <w:r w:rsidR="00EA10E4" w:rsidRPr="00DD5DAA">
        <w:t xml:space="preserve">signed </w:t>
      </w:r>
      <w:r w:rsidR="0048408B">
        <w:t>a different</w:t>
      </w:r>
      <w:r w:rsidR="00EA10E4" w:rsidRPr="00DD5DAA">
        <w:t xml:space="preserve"> settlement, and the Commission would have exercised its discretion to approve it.  </w:t>
      </w:r>
      <w:r w:rsidR="0048408B">
        <w:t>Obviously, t</w:t>
      </w:r>
      <w:r w:rsidR="004A5822">
        <w:t xml:space="preserve">hat </w:t>
      </w:r>
      <w:r>
        <w:t>is</w:t>
      </w:r>
      <w:r w:rsidR="0048408B">
        <w:t xml:space="preserve"> </w:t>
      </w:r>
      <w:r w:rsidR="004A5822">
        <w:t>a very difficult</w:t>
      </w:r>
      <w:r w:rsidR="004D4D6A">
        <w:t xml:space="preserve"> (if not impossible) task</w:t>
      </w:r>
      <w:r w:rsidR="00EC5A4E">
        <w:t>.</w:t>
      </w:r>
      <w:r w:rsidR="00EA10E4" w:rsidRPr="00EA10E4">
        <w:rPr>
          <w:vertAlign w:val="superscript"/>
        </w:rPr>
        <w:footnoteReference w:id="22"/>
      </w:r>
    </w:p>
    <w:p w:rsidR="00EA10E4" w:rsidRPr="004A5822" w:rsidRDefault="004A5822" w:rsidP="004A5822">
      <w:pPr>
        <w:pStyle w:val="ListParagraph"/>
        <w:spacing w:line="480" w:lineRule="auto"/>
        <w:ind w:left="0"/>
        <w:jc w:val="center"/>
        <w:rPr>
          <w:b/>
        </w:rPr>
      </w:pPr>
      <w:r>
        <w:rPr>
          <w:b/>
        </w:rPr>
        <w:t>III.</w:t>
      </w:r>
      <w:r>
        <w:rPr>
          <w:b/>
        </w:rPr>
        <w:tab/>
        <w:t>CONCLUSION</w:t>
      </w:r>
    </w:p>
    <w:p w:rsidR="00DE2645" w:rsidRPr="00DE2645" w:rsidRDefault="00EA10E4" w:rsidP="00D426AA">
      <w:pPr>
        <w:pStyle w:val="ListParagraph"/>
        <w:numPr>
          <w:ilvl w:val="0"/>
          <w:numId w:val="2"/>
        </w:numPr>
        <w:spacing w:line="480" w:lineRule="auto"/>
      </w:pPr>
      <w:r>
        <w:tab/>
      </w:r>
      <w:r w:rsidR="001079E1" w:rsidRPr="001079E1">
        <w:t xml:space="preserve">Should </w:t>
      </w:r>
      <w:r w:rsidR="00C83470">
        <w:t xml:space="preserve">ICNU/Public Counsel’s </w:t>
      </w:r>
      <w:r w:rsidR="001079E1" w:rsidRPr="001079E1">
        <w:t xml:space="preserve">excessive rates claim survive PacifiCorp’s Motion to Dismiss, the Commission should set a date for ICNU/Public Counsel to file their direct evidence supporting their claim for excessive rates.  At that time, </w:t>
      </w:r>
      <w:r w:rsidR="00C83470">
        <w:t>we</w:t>
      </w:r>
      <w:r w:rsidR="001079E1" w:rsidRPr="001079E1">
        <w:t xml:space="preserve"> will be able to discern whether ICNU/Public Counsel </w:t>
      </w:r>
      <w:r w:rsidR="00FC12F3">
        <w:t xml:space="preserve">can make </w:t>
      </w:r>
      <w:r w:rsidR="001079E1" w:rsidRPr="001079E1">
        <w:t xml:space="preserve">a </w:t>
      </w:r>
      <w:r w:rsidR="001079E1" w:rsidRPr="001079E1">
        <w:rPr>
          <w:i/>
        </w:rPr>
        <w:t xml:space="preserve">prima facie </w:t>
      </w:r>
      <w:r w:rsidR="001079E1" w:rsidRPr="001079E1">
        <w:t xml:space="preserve">showing of excessive rates.  </w:t>
      </w:r>
      <w:r>
        <w:t xml:space="preserve">  </w:t>
      </w:r>
    </w:p>
    <w:p w:rsidR="008F29E5" w:rsidRDefault="008F29E5" w:rsidP="008F29E5">
      <w:pPr>
        <w:ind w:left="720"/>
      </w:pPr>
      <w:r w:rsidRPr="004A2910">
        <w:t xml:space="preserve">DATED this </w:t>
      </w:r>
      <w:r w:rsidR="00D426AA">
        <w:t>28</w:t>
      </w:r>
      <w:r w:rsidR="00D426AA">
        <w:rPr>
          <w:vertAlign w:val="superscript"/>
        </w:rPr>
        <w:t>th</w:t>
      </w:r>
      <w:r w:rsidRPr="004A2910">
        <w:t xml:space="preserve"> day of </w:t>
      </w:r>
      <w:r w:rsidR="00D426AA">
        <w:t>February</w:t>
      </w:r>
      <w:r w:rsidRPr="004A2910">
        <w:t xml:space="preserve"> 20</w:t>
      </w:r>
      <w:r>
        <w:t>1</w:t>
      </w:r>
      <w:r w:rsidR="00D426AA">
        <w:t>1</w:t>
      </w:r>
      <w:r w:rsidRPr="004A2910">
        <w:t>.</w:t>
      </w:r>
    </w:p>
    <w:p w:rsidR="008F29E5" w:rsidRDefault="008F29E5" w:rsidP="008F29E5">
      <w:pPr>
        <w:ind w:left="720"/>
      </w:pPr>
    </w:p>
    <w:p w:rsidR="008F29E5" w:rsidRPr="004A2910" w:rsidRDefault="008F29E5" w:rsidP="008F29E5">
      <w:pPr>
        <w:ind w:left="720"/>
      </w:pPr>
      <w:r>
        <w:tab/>
      </w:r>
      <w:r>
        <w:tab/>
      </w:r>
      <w:r>
        <w:tab/>
      </w:r>
      <w:r>
        <w:tab/>
      </w:r>
      <w:r>
        <w:tab/>
      </w:r>
      <w:r>
        <w:tab/>
        <w:t xml:space="preserve">Respectfully submitted, </w:t>
      </w:r>
    </w:p>
    <w:p w:rsidR="008F29E5" w:rsidRPr="004A2910" w:rsidRDefault="008F29E5" w:rsidP="008F29E5">
      <w:pPr>
        <w:pStyle w:val="BodyTextIndent2"/>
        <w:rPr>
          <w:rFonts w:ascii="Times New Roman" w:hAnsi="Times New Roman"/>
        </w:rPr>
      </w:pPr>
    </w:p>
    <w:p w:rsidR="008F29E5" w:rsidRPr="004A2910" w:rsidRDefault="008F29E5" w:rsidP="008F29E5">
      <w:pPr>
        <w:ind w:left="5040"/>
        <w:jc w:val="both"/>
      </w:pPr>
      <w:r w:rsidRPr="004A2910">
        <w:t>ROB</w:t>
      </w:r>
      <w:r>
        <w:t>ERT M.</w:t>
      </w:r>
      <w:r w:rsidRPr="004A2910">
        <w:t xml:space="preserve"> MCKENNA </w:t>
      </w:r>
    </w:p>
    <w:p w:rsidR="008F29E5" w:rsidRPr="004A2910" w:rsidRDefault="008F29E5" w:rsidP="008F29E5">
      <w:pPr>
        <w:ind w:firstLine="5040"/>
        <w:jc w:val="both"/>
      </w:pPr>
      <w:r w:rsidRPr="004A2910">
        <w:t>Attorney General</w:t>
      </w:r>
    </w:p>
    <w:p w:rsidR="008F29E5" w:rsidRPr="004A2910" w:rsidRDefault="008F29E5" w:rsidP="008F29E5">
      <w:pPr>
        <w:jc w:val="both"/>
      </w:pPr>
    </w:p>
    <w:p w:rsidR="00C83470" w:rsidRDefault="00C83470" w:rsidP="008F29E5">
      <w:pPr>
        <w:ind w:left="1440" w:firstLine="3600"/>
        <w:jc w:val="both"/>
      </w:pPr>
    </w:p>
    <w:p w:rsidR="008F29E5" w:rsidRPr="004A2910" w:rsidRDefault="008F29E5" w:rsidP="008F29E5">
      <w:pPr>
        <w:ind w:left="1440" w:firstLine="3600"/>
        <w:jc w:val="both"/>
      </w:pPr>
      <w:r w:rsidRPr="004A2910">
        <w:t>______________________________</w:t>
      </w:r>
    </w:p>
    <w:p w:rsidR="008F29E5" w:rsidRPr="004A2910" w:rsidRDefault="00D426AA" w:rsidP="008F29E5">
      <w:pPr>
        <w:ind w:firstLine="5040"/>
        <w:jc w:val="both"/>
      </w:pPr>
      <w:r>
        <w:t xml:space="preserve">DONALD T. TROTTER </w:t>
      </w:r>
    </w:p>
    <w:p w:rsidR="008F29E5" w:rsidRPr="004A2910" w:rsidRDefault="008F29E5" w:rsidP="008F29E5">
      <w:pPr>
        <w:ind w:left="1440" w:firstLine="3600"/>
        <w:jc w:val="both"/>
      </w:pPr>
      <w:r w:rsidRPr="004A2910">
        <w:t>Assistant Attorney General</w:t>
      </w:r>
    </w:p>
    <w:p w:rsidR="008F29E5" w:rsidRPr="004A2910" w:rsidRDefault="008F29E5" w:rsidP="008F29E5">
      <w:pPr>
        <w:ind w:left="2160" w:firstLine="2880"/>
        <w:jc w:val="both"/>
      </w:pPr>
      <w:r w:rsidRPr="004A2910">
        <w:t xml:space="preserve">Counsel for </w:t>
      </w:r>
      <w:smartTag w:uri="urn:schemas-microsoft-com:office:smarttags" w:element="place">
        <w:smartTag w:uri="urn:schemas-microsoft-com:office:smarttags" w:element="PostalCode">
          <w:r w:rsidRPr="004A2910">
            <w:t>Washington</w:t>
          </w:r>
        </w:smartTag>
      </w:smartTag>
      <w:r w:rsidRPr="004A2910">
        <w:t xml:space="preserve"> Utilities and</w:t>
      </w:r>
    </w:p>
    <w:p w:rsidR="0013719C" w:rsidRDefault="008F29E5" w:rsidP="00D426AA">
      <w:pPr>
        <w:ind w:left="2880" w:firstLine="2160"/>
        <w:jc w:val="both"/>
      </w:pPr>
      <w:r>
        <w:t>Transportation Commission Staff</w:t>
      </w:r>
    </w:p>
    <w:sectPr w:rsidR="0013719C" w:rsidSect="00CB1F5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470" w:rsidRDefault="00C83470" w:rsidP="0013719C">
      <w:r>
        <w:separator/>
      </w:r>
    </w:p>
  </w:endnote>
  <w:endnote w:type="continuationSeparator" w:id="0">
    <w:p w:rsidR="00C83470" w:rsidRDefault="00C83470" w:rsidP="00137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70" w:rsidRPr="008F29E5" w:rsidRDefault="00C83470">
    <w:pPr>
      <w:pStyle w:val="Footer"/>
      <w:rPr>
        <w:sz w:val="20"/>
      </w:rPr>
    </w:pPr>
  </w:p>
  <w:p w:rsidR="00C83470" w:rsidRDefault="00C83470">
    <w:pPr>
      <w:pStyle w:val="Footer"/>
      <w:rPr>
        <w:sz w:val="20"/>
      </w:rPr>
    </w:pPr>
    <w:r w:rsidRPr="008F29E5">
      <w:rPr>
        <w:sz w:val="20"/>
      </w:rPr>
      <w:t xml:space="preserve">RESPONSE OF BEHALF OF COMMISSION STAFF </w:t>
    </w:r>
  </w:p>
  <w:p w:rsidR="00C83470" w:rsidRPr="008F29E5" w:rsidRDefault="00C83470">
    <w:pPr>
      <w:pStyle w:val="Footer"/>
      <w:rPr>
        <w:sz w:val="20"/>
      </w:rPr>
    </w:pPr>
    <w:r w:rsidRPr="008F29E5">
      <w:rPr>
        <w:sz w:val="20"/>
      </w:rPr>
      <w:t xml:space="preserve">TO PACIFICORP’S MOTION TO DISMISS COMPLAINT - </w:t>
    </w:r>
    <w:r w:rsidR="00E778EE" w:rsidRPr="008F29E5">
      <w:rPr>
        <w:sz w:val="20"/>
      </w:rPr>
      <w:fldChar w:fldCharType="begin"/>
    </w:r>
    <w:r w:rsidRPr="008F29E5">
      <w:rPr>
        <w:sz w:val="20"/>
      </w:rPr>
      <w:instrText xml:space="preserve"> PAGE   \* MERGEFORMAT </w:instrText>
    </w:r>
    <w:r w:rsidR="00E778EE" w:rsidRPr="008F29E5">
      <w:rPr>
        <w:sz w:val="20"/>
      </w:rPr>
      <w:fldChar w:fldCharType="separate"/>
    </w:r>
    <w:r w:rsidR="00C85559">
      <w:rPr>
        <w:noProof/>
        <w:sz w:val="20"/>
      </w:rPr>
      <w:t>4</w:t>
    </w:r>
    <w:r w:rsidR="00E778EE" w:rsidRPr="008F29E5">
      <w:rP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470" w:rsidRDefault="00C83470" w:rsidP="0013719C">
      <w:r>
        <w:separator/>
      </w:r>
    </w:p>
  </w:footnote>
  <w:footnote w:type="continuationSeparator" w:id="0">
    <w:p w:rsidR="00C83470" w:rsidRDefault="00C83470" w:rsidP="0013719C">
      <w:r>
        <w:continuationSeparator/>
      </w:r>
    </w:p>
  </w:footnote>
  <w:footnote w:id="1">
    <w:p w:rsidR="00C83470" w:rsidRDefault="00C83470" w:rsidP="00443D0A">
      <w:pPr>
        <w:pStyle w:val="FootnoteText"/>
      </w:pPr>
      <w:r>
        <w:rPr>
          <w:rStyle w:val="FootnoteReference"/>
        </w:rPr>
        <w:footnoteRef/>
      </w:r>
      <w:r>
        <w:t xml:space="preserve"> E.g., The Complaint </w:t>
      </w:r>
      <w:r w:rsidR="002D455E">
        <w:t>alleges</w:t>
      </w:r>
      <w:r>
        <w:t xml:space="preserve"> “excessive” charges (Complaint at 5, ¶ 6)</w:t>
      </w:r>
      <w:r w:rsidR="002D455E">
        <w:t xml:space="preserve"> and</w:t>
      </w:r>
      <w:r>
        <w:t xml:space="preserve"> “unreasonable rates” (id. at 4, ¶ 4), and </w:t>
      </w:r>
      <w:r w:rsidR="00FC12F3">
        <w:t xml:space="preserve">relies on </w:t>
      </w:r>
      <w:r>
        <w:t xml:space="preserve">the reparations statute (id. at 3, ¶ 2 &amp; at </w:t>
      </w:r>
      <w:r w:rsidRPr="00217957">
        <w:t>13, ¶ 25</w:t>
      </w:r>
      <w:r>
        <w:t>).</w:t>
      </w:r>
    </w:p>
  </w:footnote>
  <w:footnote w:id="2">
    <w:p w:rsidR="00C83470" w:rsidRDefault="00C83470">
      <w:pPr>
        <w:pStyle w:val="FootnoteText"/>
      </w:pPr>
      <w:r>
        <w:rPr>
          <w:rStyle w:val="FootnoteReference"/>
        </w:rPr>
        <w:footnoteRef/>
      </w:r>
      <w:r>
        <w:t xml:space="preserve"> Joint Complaint at 12-13, ¶ 24.</w:t>
      </w:r>
    </w:p>
  </w:footnote>
  <w:footnote w:id="3">
    <w:p w:rsidR="00C83470" w:rsidRDefault="00C83470">
      <w:pPr>
        <w:pStyle w:val="FootnoteText"/>
      </w:pPr>
      <w:r>
        <w:rPr>
          <w:rStyle w:val="FootnoteReference"/>
        </w:rPr>
        <w:footnoteRef/>
      </w:r>
      <w:r>
        <w:t xml:space="preserve"> </w:t>
      </w:r>
      <w:r w:rsidRPr="007058D8">
        <w:t>Joint Complaint at 1</w:t>
      </w:r>
      <w:r>
        <w:t>0-12</w:t>
      </w:r>
      <w:r w:rsidRPr="007058D8">
        <w:t>, ¶</w:t>
      </w:r>
      <w:r>
        <w:t>¶</w:t>
      </w:r>
      <w:r w:rsidRPr="007058D8">
        <w:t xml:space="preserve"> </w:t>
      </w:r>
      <w:r>
        <w:t>21-23</w:t>
      </w:r>
      <w:r w:rsidRPr="007058D8">
        <w:t>.</w:t>
      </w:r>
    </w:p>
  </w:footnote>
  <w:footnote w:id="4">
    <w:p w:rsidR="00C83470" w:rsidRDefault="00C83470">
      <w:pPr>
        <w:pStyle w:val="FootnoteText"/>
      </w:pPr>
      <w:r>
        <w:rPr>
          <w:rStyle w:val="FootnoteReference"/>
        </w:rPr>
        <w:footnoteRef/>
      </w:r>
      <w:r>
        <w:t xml:space="preserve"> </w:t>
      </w:r>
      <w:r w:rsidRPr="007058D8">
        <w:t xml:space="preserve">Joint Complaint at </w:t>
      </w:r>
      <w:r>
        <w:t xml:space="preserve">9-10, </w:t>
      </w:r>
      <w:r w:rsidRPr="007058D8">
        <w:t>¶</w:t>
      </w:r>
      <w:r>
        <w:t>¶ 19-20</w:t>
      </w:r>
      <w:r w:rsidRPr="003B6051">
        <w:t>, plus the un-numbered paragraph after ¶ 20.</w:t>
      </w:r>
      <w:r w:rsidRPr="007058D8">
        <w:t xml:space="preserve"> </w:t>
      </w:r>
    </w:p>
  </w:footnote>
  <w:footnote w:id="5">
    <w:p w:rsidR="00C83470" w:rsidRDefault="00C83470" w:rsidP="00E56366">
      <w:pPr>
        <w:pStyle w:val="FootnoteText"/>
      </w:pPr>
      <w:r>
        <w:rPr>
          <w:rStyle w:val="FootnoteReference"/>
        </w:rPr>
        <w:footnoteRef/>
      </w:r>
      <w:r>
        <w:t xml:space="preserve"> PacifiCorp Motion at 16, ¶ 42-43.</w:t>
      </w:r>
    </w:p>
  </w:footnote>
  <w:footnote w:id="6">
    <w:p w:rsidR="00C83470" w:rsidRDefault="00C83470" w:rsidP="00E56366">
      <w:pPr>
        <w:pStyle w:val="FootnoteText"/>
      </w:pPr>
      <w:r>
        <w:rPr>
          <w:rStyle w:val="FootnoteReference"/>
        </w:rPr>
        <w:footnoteRef/>
      </w:r>
      <w:r>
        <w:t xml:space="preserve"> PacifiCorp Motion at 11-16, ¶¶ 30-41.</w:t>
      </w:r>
    </w:p>
  </w:footnote>
  <w:footnote w:id="7">
    <w:p w:rsidR="00C83470" w:rsidRDefault="00C83470" w:rsidP="00E56366">
      <w:pPr>
        <w:pStyle w:val="FootnoteText"/>
      </w:pPr>
      <w:r>
        <w:rPr>
          <w:rStyle w:val="FootnoteReference"/>
        </w:rPr>
        <w:footnoteRef/>
      </w:r>
      <w:r>
        <w:t xml:space="preserve"> </w:t>
      </w:r>
      <w:r w:rsidRPr="00CC350F">
        <w:t>PacifiCorp Motion at 10, ¶ 27.</w:t>
      </w:r>
    </w:p>
  </w:footnote>
  <w:footnote w:id="8">
    <w:p w:rsidR="00F832F6" w:rsidRDefault="00F832F6">
      <w:pPr>
        <w:pStyle w:val="FootnoteText"/>
      </w:pPr>
      <w:r>
        <w:rPr>
          <w:rStyle w:val="FootnoteReference"/>
        </w:rPr>
        <w:footnoteRef/>
      </w:r>
      <w:r>
        <w:t xml:space="preserve"> PacifiCorp fails to tell us where in that two inch thick document we might find the REC information at issue.  </w:t>
      </w:r>
    </w:p>
  </w:footnote>
  <w:footnote w:id="9">
    <w:p w:rsidR="00C83470" w:rsidRDefault="00C83470" w:rsidP="00E56366">
      <w:pPr>
        <w:pStyle w:val="FootnoteText"/>
      </w:pPr>
      <w:r>
        <w:rPr>
          <w:rStyle w:val="FootnoteReference"/>
        </w:rPr>
        <w:footnoteRef/>
      </w:r>
      <w:r>
        <w:t xml:space="preserve"> PacifiCorp Motion at 14, ¶ 39.  </w:t>
      </w:r>
    </w:p>
  </w:footnote>
  <w:footnote w:id="10">
    <w:p w:rsidR="00C83470" w:rsidRDefault="00C83470" w:rsidP="00E56366">
      <w:pPr>
        <w:pStyle w:val="FootnoteText"/>
      </w:pPr>
      <w:r>
        <w:rPr>
          <w:rStyle w:val="FootnoteReference"/>
        </w:rPr>
        <w:footnoteRef/>
      </w:r>
      <w:r>
        <w:t xml:space="preserve"> </w:t>
      </w:r>
      <w:r w:rsidRPr="00553C40">
        <w:t>PacifiCorp Motion at 8, ¶ 23</w:t>
      </w:r>
      <w:r>
        <w:t>.</w:t>
      </w:r>
    </w:p>
  </w:footnote>
  <w:footnote w:id="11">
    <w:p w:rsidR="00C83470" w:rsidRDefault="00C83470" w:rsidP="00E56366">
      <w:pPr>
        <w:pStyle w:val="FootnoteText"/>
      </w:pPr>
      <w:r>
        <w:rPr>
          <w:rStyle w:val="FootnoteReference"/>
        </w:rPr>
        <w:footnoteRef/>
      </w:r>
      <w:r>
        <w:t xml:space="preserve"> </w:t>
      </w:r>
      <w:r w:rsidRPr="00553C40">
        <w:t>PacifiCorp Motion at 8-9, ¶ 24</w:t>
      </w:r>
      <w:r>
        <w:t>.</w:t>
      </w:r>
    </w:p>
  </w:footnote>
  <w:footnote w:id="12">
    <w:p w:rsidR="00C83470" w:rsidRDefault="00C83470" w:rsidP="00E56366">
      <w:pPr>
        <w:pStyle w:val="FootnoteText"/>
      </w:pPr>
      <w:r>
        <w:rPr>
          <w:rStyle w:val="FootnoteReference"/>
        </w:rPr>
        <w:footnoteRef/>
      </w:r>
      <w:r>
        <w:t xml:space="preserve"> </w:t>
      </w:r>
      <w:r w:rsidRPr="00553C40">
        <w:t>PacifiCorp Motion at 9, ¶ 25.</w:t>
      </w:r>
    </w:p>
  </w:footnote>
  <w:footnote w:id="13">
    <w:p w:rsidR="00C83470" w:rsidRDefault="00C83470" w:rsidP="00E56366">
      <w:pPr>
        <w:pStyle w:val="FootnoteText"/>
      </w:pPr>
      <w:r>
        <w:rPr>
          <w:rStyle w:val="FootnoteReference"/>
        </w:rPr>
        <w:footnoteRef/>
      </w:r>
      <w:r>
        <w:t xml:space="preserve"> PacifiCorp Motion at 16-19, ¶¶ 44-49.</w:t>
      </w:r>
    </w:p>
  </w:footnote>
  <w:footnote w:id="14">
    <w:p w:rsidR="00C83470" w:rsidRDefault="00C83470" w:rsidP="0086194E">
      <w:pPr>
        <w:pStyle w:val="FootnoteText"/>
      </w:pPr>
      <w:r>
        <w:rPr>
          <w:rStyle w:val="FootnoteReference"/>
        </w:rPr>
        <w:footnoteRef/>
      </w:r>
      <w:r>
        <w:t xml:space="preserve"> </w:t>
      </w:r>
      <w:r w:rsidRPr="00DD5DAA">
        <w:t xml:space="preserve">Staff </w:t>
      </w:r>
      <w:r>
        <w:t xml:space="preserve">agrees with PacifiCorp </w:t>
      </w:r>
      <w:r w:rsidRPr="00DD5DAA">
        <w:t>th</w:t>
      </w:r>
      <w:r>
        <w:t xml:space="preserve">at the soon to be issued </w:t>
      </w:r>
      <w:r w:rsidRPr="00DD5DAA">
        <w:t xml:space="preserve">Commission </w:t>
      </w:r>
      <w:r>
        <w:t xml:space="preserve">final </w:t>
      </w:r>
      <w:r w:rsidRPr="00DD5DAA">
        <w:t xml:space="preserve">order in the current rate case, Docket UE-100749, </w:t>
      </w:r>
      <w:r>
        <w:t xml:space="preserve">likely </w:t>
      </w:r>
      <w:r w:rsidR="00FC12F3">
        <w:t xml:space="preserve">will </w:t>
      </w:r>
      <w:r w:rsidRPr="00DD5DAA">
        <w:t>moot this particular claim for relief.  Still, that is an argument for a later day.</w:t>
      </w:r>
    </w:p>
  </w:footnote>
  <w:footnote w:id="15">
    <w:p w:rsidR="00C83470" w:rsidRDefault="00C83470">
      <w:pPr>
        <w:pStyle w:val="FootnoteText"/>
      </w:pPr>
      <w:r>
        <w:rPr>
          <w:rStyle w:val="FootnoteReference"/>
        </w:rPr>
        <w:footnoteRef/>
      </w:r>
      <w:r>
        <w:t xml:space="preserve"> PacifiCorp Motion at 17, ¶ 45.</w:t>
      </w:r>
    </w:p>
  </w:footnote>
  <w:footnote w:id="16">
    <w:p w:rsidR="00C83470" w:rsidRDefault="00C83470">
      <w:pPr>
        <w:pStyle w:val="FootnoteText"/>
      </w:pPr>
      <w:r>
        <w:rPr>
          <w:rStyle w:val="FootnoteReference"/>
        </w:rPr>
        <w:footnoteRef/>
      </w:r>
      <w:r>
        <w:t xml:space="preserve"> Id.</w:t>
      </w:r>
    </w:p>
  </w:footnote>
  <w:footnote w:id="17">
    <w:p w:rsidR="00C83470" w:rsidRDefault="00C83470">
      <w:pPr>
        <w:pStyle w:val="FootnoteText"/>
      </w:pPr>
      <w:r>
        <w:rPr>
          <w:rStyle w:val="FootnoteReference"/>
        </w:rPr>
        <w:footnoteRef/>
      </w:r>
      <w:r>
        <w:t xml:space="preserve"> WAC 480-09-395(4).</w:t>
      </w:r>
    </w:p>
  </w:footnote>
  <w:footnote w:id="18">
    <w:p w:rsidR="00C83470" w:rsidRDefault="00C83470">
      <w:pPr>
        <w:pStyle w:val="FootnoteText"/>
      </w:pPr>
      <w:r>
        <w:rPr>
          <w:rStyle w:val="FootnoteReference"/>
        </w:rPr>
        <w:footnoteRef/>
      </w:r>
      <w:r>
        <w:t xml:space="preserve"> PacifiCorp Motion at 19-23, ¶¶ 50-62.</w:t>
      </w:r>
    </w:p>
  </w:footnote>
  <w:footnote w:id="19">
    <w:p w:rsidR="00C83470" w:rsidRDefault="00C83470">
      <w:pPr>
        <w:pStyle w:val="FootnoteText"/>
      </w:pPr>
      <w:r>
        <w:rPr>
          <w:rStyle w:val="FootnoteReference"/>
        </w:rPr>
        <w:footnoteRef/>
      </w:r>
      <w:r>
        <w:t xml:space="preserve"> ER 401.</w:t>
      </w:r>
    </w:p>
  </w:footnote>
  <w:footnote w:id="20">
    <w:p w:rsidR="00C83470" w:rsidRDefault="00C83470" w:rsidP="00EA10E4">
      <w:pPr>
        <w:pStyle w:val="FootnoteText"/>
      </w:pPr>
      <w:r>
        <w:rPr>
          <w:rStyle w:val="FootnoteReference"/>
        </w:rPr>
        <w:footnoteRef/>
      </w:r>
      <w:r>
        <w:t xml:space="preserve"> ICNU/Public Counsel</w:t>
      </w:r>
      <w:r w:rsidRPr="00DD5DAA">
        <w:t xml:space="preserve"> identify a level of REC revenues and </w:t>
      </w:r>
      <w:r>
        <w:t xml:space="preserve">say </w:t>
      </w:r>
      <w:r w:rsidRPr="00DD5DAA">
        <w:t xml:space="preserve">the difference between that amount and $657,755 </w:t>
      </w:r>
      <w:r>
        <w:t xml:space="preserve">(the amount listed in the </w:t>
      </w:r>
      <w:r>
        <w:rPr>
          <w:i/>
        </w:rPr>
        <w:t xml:space="preserve">2009 GRC </w:t>
      </w:r>
      <w:r>
        <w:t xml:space="preserve">settlement) must </w:t>
      </w:r>
      <w:r w:rsidRPr="00DD5DAA">
        <w:t>be given back to ratepayers.</w:t>
      </w:r>
      <w:r>
        <w:t xml:space="preserve">  </w:t>
      </w:r>
      <w:r w:rsidRPr="00443D0A">
        <w:t xml:space="preserve">Complaint at 4, ¶ 4, last sentence.  </w:t>
      </w:r>
    </w:p>
  </w:footnote>
  <w:footnote w:id="21">
    <w:p w:rsidR="00C83470" w:rsidRDefault="00C83470">
      <w:pPr>
        <w:pStyle w:val="FootnoteText"/>
      </w:pPr>
      <w:r>
        <w:rPr>
          <w:rStyle w:val="FootnoteReference"/>
        </w:rPr>
        <w:footnoteRef/>
      </w:r>
      <w:r>
        <w:t xml:space="preserve"> A</w:t>
      </w:r>
      <w:r w:rsidRPr="000B0070">
        <w:t xml:space="preserve">s an alternative, ICNU/Public Counsel could </w:t>
      </w:r>
      <w:r>
        <w:t xml:space="preserve">make a rate case-type </w:t>
      </w:r>
      <w:r w:rsidRPr="000B0070">
        <w:t xml:space="preserve">presentation demonstrating by how much the rates set in the </w:t>
      </w:r>
      <w:r w:rsidRPr="000B0070">
        <w:rPr>
          <w:i/>
        </w:rPr>
        <w:t xml:space="preserve">2009 GRC </w:t>
      </w:r>
      <w:r w:rsidRPr="000B0070">
        <w:t xml:space="preserve">exceed a fair and reasonable rate.  However, the Complaint does not suggest a present </w:t>
      </w:r>
      <w:r>
        <w:t xml:space="preserve">intent or </w:t>
      </w:r>
      <w:r w:rsidRPr="000B0070">
        <w:t>willingness to do that.</w:t>
      </w:r>
    </w:p>
  </w:footnote>
  <w:footnote w:id="22">
    <w:p w:rsidR="00C83470" w:rsidRPr="00DD5DAA" w:rsidRDefault="00C83470" w:rsidP="00EA10E4">
      <w:pPr>
        <w:pStyle w:val="FootnoteText"/>
      </w:pPr>
      <w:r>
        <w:rPr>
          <w:rStyle w:val="FootnoteReference"/>
        </w:rPr>
        <w:footnoteRef/>
      </w:r>
      <w:r>
        <w:t xml:space="preserve"> </w:t>
      </w:r>
      <w:r w:rsidRPr="00217957">
        <w:t xml:space="preserve">We seriously doubt </w:t>
      </w:r>
      <w:r>
        <w:t xml:space="preserve">ICNU/Public Counsel </w:t>
      </w:r>
      <w:r w:rsidRPr="00217957">
        <w:t>can prove these discretionary acts would in fact have occurred, and that may be the subject of a future motion.</w:t>
      </w:r>
      <w:r>
        <w:t xml:space="preserve">  For example, PacifiCorp simply could assert in good faith it would not have signed a settlement </w:t>
      </w:r>
      <w:r w:rsidR="00FC12F3">
        <w:t xml:space="preserve">in the form </w:t>
      </w:r>
      <w:r>
        <w:t xml:space="preserve">ICNU/Public Counsel posit.  </w:t>
      </w:r>
      <w:r w:rsidR="002D455E">
        <w:t>In any event</w:t>
      </w:r>
      <w:r>
        <w:t xml:space="preserve">, we cannot </w:t>
      </w:r>
      <w:r w:rsidR="002D455E">
        <w:t>conceive</w:t>
      </w:r>
      <w:r>
        <w:t xml:space="preserve"> how ICNU/Public Counsel </w:t>
      </w:r>
      <w:r w:rsidR="002D455E">
        <w:t xml:space="preserve">will </w:t>
      </w:r>
      <w:r>
        <w:t>prove what the Commission would have done had it been presented a different settlement on a different record, neither of which exist.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5FD"/>
    <w:multiLevelType w:val="hybridMultilevel"/>
    <w:tmpl w:val="A3965D06"/>
    <w:lvl w:ilvl="0" w:tplc="7D90907C">
      <w:start w:val="1"/>
      <w:numFmt w:val="decimal"/>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EC39CD"/>
    <w:multiLevelType w:val="hybridMultilevel"/>
    <w:tmpl w:val="39CE0EEA"/>
    <w:lvl w:ilvl="0" w:tplc="7D90907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13719C"/>
    <w:rsid w:val="0001281D"/>
    <w:rsid w:val="00091598"/>
    <w:rsid w:val="00092CA8"/>
    <w:rsid w:val="000B0070"/>
    <w:rsid w:val="000B4D9F"/>
    <w:rsid w:val="001079E1"/>
    <w:rsid w:val="001267A9"/>
    <w:rsid w:val="0013719C"/>
    <w:rsid w:val="00217957"/>
    <w:rsid w:val="002D455E"/>
    <w:rsid w:val="00311B1A"/>
    <w:rsid w:val="00312BAD"/>
    <w:rsid w:val="003828A8"/>
    <w:rsid w:val="003B6051"/>
    <w:rsid w:val="00443D0A"/>
    <w:rsid w:val="0048408B"/>
    <w:rsid w:val="004A5822"/>
    <w:rsid w:val="004D4D6A"/>
    <w:rsid w:val="005357B2"/>
    <w:rsid w:val="00541ED0"/>
    <w:rsid w:val="0054279C"/>
    <w:rsid w:val="00553C40"/>
    <w:rsid w:val="00616BC1"/>
    <w:rsid w:val="006E0D04"/>
    <w:rsid w:val="007058D8"/>
    <w:rsid w:val="007073FD"/>
    <w:rsid w:val="00736D11"/>
    <w:rsid w:val="007F51A0"/>
    <w:rsid w:val="00851FFB"/>
    <w:rsid w:val="0086194E"/>
    <w:rsid w:val="008F29E5"/>
    <w:rsid w:val="00982808"/>
    <w:rsid w:val="009852D6"/>
    <w:rsid w:val="009E6A64"/>
    <w:rsid w:val="00A6230A"/>
    <w:rsid w:val="00AF766F"/>
    <w:rsid w:val="00BC662D"/>
    <w:rsid w:val="00C05852"/>
    <w:rsid w:val="00C80424"/>
    <w:rsid w:val="00C83470"/>
    <w:rsid w:val="00C85559"/>
    <w:rsid w:val="00CA1CA7"/>
    <w:rsid w:val="00CB1F51"/>
    <w:rsid w:val="00CC350F"/>
    <w:rsid w:val="00D04B52"/>
    <w:rsid w:val="00D25153"/>
    <w:rsid w:val="00D426AA"/>
    <w:rsid w:val="00D77A33"/>
    <w:rsid w:val="00DD5DAA"/>
    <w:rsid w:val="00DE2645"/>
    <w:rsid w:val="00E56366"/>
    <w:rsid w:val="00E778EE"/>
    <w:rsid w:val="00E911C0"/>
    <w:rsid w:val="00EA10E4"/>
    <w:rsid w:val="00EC5A4E"/>
    <w:rsid w:val="00EC672C"/>
    <w:rsid w:val="00F76780"/>
    <w:rsid w:val="00F77913"/>
    <w:rsid w:val="00F832F6"/>
    <w:rsid w:val="00F848CD"/>
    <w:rsid w:val="00FC12F3"/>
    <w:rsid w:val="00FC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5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3719C"/>
    <w:rPr>
      <w:sz w:val="20"/>
    </w:rPr>
  </w:style>
  <w:style w:type="character" w:customStyle="1" w:styleId="FootnoteTextChar">
    <w:name w:val="Footnote Text Char"/>
    <w:basedOn w:val="DefaultParagraphFont"/>
    <w:link w:val="FootnoteText"/>
    <w:semiHidden/>
    <w:rsid w:val="0013719C"/>
    <w:rPr>
      <w:sz w:val="20"/>
    </w:rPr>
  </w:style>
  <w:style w:type="character" w:styleId="FootnoteReference">
    <w:name w:val="footnote reference"/>
    <w:basedOn w:val="DefaultParagraphFont"/>
    <w:semiHidden/>
    <w:unhideWhenUsed/>
    <w:rsid w:val="0013719C"/>
    <w:rPr>
      <w:vertAlign w:val="superscript"/>
    </w:rPr>
  </w:style>
  <w:style w:type="paragraph" w:styleId="BodyTextIndent2">
    <w:name w:val="Body Text Indent 2"/>
    <w:basedOn w:val="Normal"/>
    <w:link w:val="BodyTextIndent2Char"/>
    <w:rsid w:val="008F29E5"/>
    <w:pPr>
      <w:ind w:left="686"/>
    </w:pPr>
    <w:rPr>
      <w:rFonts w:ascii="Palatino Linotype" w:eastAsia="Times New Roman" w:hAnsi="Palatino Linotype"/>
      <w:szCs w:val="24"/>
    </w:rPr>
  </w:style>
  <w:style w:type="character" w:customStyle="1" w:styleId="BodyTextIndent2Char">
    <w:name w:val="Body Text Indent 2 Char"/>
    <w:basedOn w:val="DefaultParagraphFont"/>
    <w:link w:val="BodyTextIndent2"/>
    <w:rsid w:val="008F29E5"/>
    <w:rPr>
      <w:rFonts w:ascii="Palatino Linotype" w:eastAsia="Times New Roman" w:hAnsi="Palatino Linotype"/>
      <w:szCs w:val="24"/>
    </w:rPr>
  </w:style>
  <w:style w:type="paragraph" w:customStyle="1" w:styleId="normalblock">
    <w:name w:val="normal block"/>
    <w:basedOn w:val="Normal"/>
    <w:uiPriority w:val="99"/>
    <w:rsid w:val="008F29E5"/>
    <w:pPr>
      <w:widowControl w:val="0"/>
      <w:spacing w:line="240" w:lineRule="exact"/>
    </w:pPr>
    <w:rPr>
      <w:rFonts w:eastAsia="Times New Roman"/>
      <w:szCs w:val="24"/>
    </w:rPr>
  </w:style>
  <w:style w:type="paragraph" w:styleId="Header">
    <w:name w:val="header"/>
    <w:basedOn w:val="Normal"/>
    <w:link w:val="HeaderChar"/>
    <w:uiPriority w:val="99"/>
    <w:unhideWhenUsed/>
    <w:rsid w:val="008F29E5"/>
    <w:pPr>
      <w:tabs>
        <w:tab w:val="center" w:pos="4680"/>
        <w:tab w:val="right" w:pos="9360"/>
      </w:tabs>
    </w:pPr>
  </w:style>
  <w:style w:type="character" w:customStyle="1" w:styleId="HeaderChar">
    <w:name w:val="Header Char"/>
    <w:basedOn w:val="DefaultParagraphFont"/>
    <w:link w:val="Header"/>
    <w:uiPriority w:val="99"/>
    <w:rsid w:val="008F29E5"/>
  </w:style>
  <w:style w:type="paragraph" w:styleId="Footer">
    <w:name w:val="footer"/>
    <w:basedOn w:val="Normal"/>
    <w:link w:val="FooterChar"/>
    <w:uiPriority w:val="99"/>
    <w:unhideWhenUsed/>
    <w:rsid w:val="008F29E5"/>
    <w:pPr>
      <w:tabs>
        <w:tab w:val="center" w:pos="4680"/>
        <w:tab w:val="right" w:pos="9360"/>
      </w:tabs>
    </w:pPr>
  </w:style>
  <w:style w:type="character" w:customStyle="1" w:styleId="FooterChar">
    <w:name w:val="Footer Char"/>
    <w:basedOn w:val="DefaultParagraphFont"/>
    <w:link w:val="Footer"/>
    <w:uiPriority w:val="99"/>
    <w:rsid w:val="008F29E5"/>
  </w:style>
  <w:style w:type="paragraph" w:styleId="ListParagraph">
    <w:name w:val="List Paragraph"/>
    <w:basedOn w:val="Normal"/>
    <w:uiPriority w:val="34"/>
    <w:qFormat/>
    <w:rsid w:val="008F29E5"/>
    <w:pPr>
      <w:ind w:left="720"/>
      <w:contextualSpacing/>
    </w:pPr>
  </w:style>
  <w:style w:type="paragraph" w:styleId="BalloonText">
    <w:name w:val="Balloon Text"/>
    <w:basedOn w:val="Normal"/>
    <w:link w:val="BalloonTextChar"/>
    <w:uiPriority w:val="99"/>
    <w:semiHidden/>
    <w:unhideWhenUsed/>
    <w:rsid w:val="00DD5DAA"/>
    <w:rPr>
      <w:rFonts w:ascii="Tahoma" w:hAnsi="Tahoma" w:cs="Tahoma"/>
      <w:sz w:val="16"/>
      <w:szCs w:val="16"/>
    </w:rPr>
  </w:style>
  <w:style w:type="character" w:customStyle="1" w:styleId="BalloonTextChar">
    <w:name w:val="Balloon Text Char"/>
    <w:basedOn w:val="DefaultParagraphFont"/>
    <w:link w:val="BalloonText"/>
    <w:uiPriority w:val="99"/>
    <w:semiHidden/>
    <w:rsid w:val="00DD5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2011-01-07T08:00:00+00:00</OpenedDate>
    <Date1 xmlns="dc463f71-b30c-4ab2-9473-d307f9d35888">2011-02-28T08:00:00+00:00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110070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C0E9C7957A1B4CA7AB95FA2B0867F3" ma:contentTypeVersion="143" ma:contentTypeDescription="" ma:contentTypeScope="" ma:versionID="a7b013c0c69e28a52bdd45f8f51e84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518190-E20C-4032-821C-CF49DDE6023D}"/>
</file>

<file path=customXml/itemProps2.xml><?xml version="1.0" encoding="utf-8"?>
<ds:datastoreItem xmlns:ds="http://schemas.openxmlformats.org/officeDocument/2006/customXml" ds:itemID="{2D51A991-9771-434D-B82C-CF7A802D41E1}"/>
</file>

<file path=customXml/itemProps3.xml><?xml version="1.0" encoding="utf-8"?>
<ds:datastoreItem xmlns:ds="http://schemas.openxmlformats.org/officeDocument/2006/customXml" ds:itemID="{DAF6341F-7DB2-47FC-ADA7-2567F49FA75C}"/>
</file>

<file path=customXml/itemProps4.xml><?xml version="1.0" encoding="utf-8"?>
<ds:datastoreItem xmlns:ds="http://schemas.openxmlformats.org/officeDocument/2006/customXml" ds:itemID="{CED1CDEE-222B-4CFE-9F3A-D8BF17FC86E8}"/>
</file>

<file path=customXml/itemProps5.xml><?xml version="1.0" encoding="utf-8"?>
<ds:datastoreItem xmlns:ds="http://schemas.openxmlformats.org/officeDocument/2006/customXml" ds:itemID="{29D496E0-8170-4CE5-8737-09A8E8177A74}"/>
</file>

<file path=docProps/app.xml><?xml version="1.0" encoding="utf-8"?>
<Properties xmlns="http://schemas.openxmlformats.org/officeDocument/2006/extended-properties" xmlns:vt="http://schemas.openxmlformats.org/officeDocument/2006/docPropsVTypes">
  <Template>Normal.dotm</Template>
  <TotalTime>6</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dc:creator>
  <cp:keywords/>
  <dc:description/>
  <cp:lastModifiedBy>chester</cp:lastModifiedBy>
  <cp:revision>2</cp:revision>
  <cp:lastPrinted>2011-02-23T18:25:00Z</cp:lastPrinted>
  <dcterms:created xsi:type="dcterms:W3CDTF">2011-02-28T21:44:00Z</dcterms:created>
  <dcterms:modified xsi:type="dcterms:W3CDTF">2011-02-28T21:44:00Z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0x0101006E56B4D1795A2E4DB2F0B01679ED314A00C9C0E9C7957A1B4CA7AB95FA2B0867F3</vt:lpwstr>
  </property>
  <property fmtid="{D5CDD505-2E9C-101B-9397-08002B2CF9AE}" pid="3" name="_docset_NoMedatataSyncRequired">
    <vt:lpwstr>False</vt:lpwstr>
  </property>
</Properties>
</file>