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00C" w:rsidRPr="00CD3CD7" w:rsidRDefault="0045500C" w:rsidP="00982307">
      <w:pPr>
        <w:pStyle w:val="Heading3"/>
        <w:spacing w:before="120" w:after="120" w:line="240" w:lineRule="auto"/>
      </w:pPr>
      <w:r w:rsidRPr="00CD3CD7">
        <w:t>Agenda Date:</w:t>
      </w:r>
      <w:r w:rsidR="001E641B" w:rsidRPr="00CD3CD7">
        <w:tab/>
      </w:r>
      <w:r w:rsidRPr="00CD3CD7">
        <w:tab/>
      </w:r>
      <w:r w:rsidR="008D54A7">
        <w:t>September 30, 2010</w:t>
      </w:r>
      <w:r w:rsidR="00957836" w:rsidRPr="00CD3CD7">
        <w:tab/>
      </w:r>
    </w:p>
    <w:p w:rsidR="0045500C" w:rsidRPr="00CD3CD7" w:rsidRDefault="002520CC" w:rsidP="002933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u w:val="single"/>
        </w:rPr>
      </w:pPr>
      <w:r w:rsidRPr="00CD3CD7">
        <w:rPr>
          <w:sz w:val="24"/>
        </w:rPr>
        <w:t>Item Number:</w:t>
      </w:r>
      <w:r w:rsidRPr="00CD3CD7">
        <w:rPr>
          <w:sz w:val="24"/>
        </w:rPr>
        <w:tab/>
      </w:r>
      <w:r w:rsidRPr="00CD3CD7">
        <w:rPr>
          <w:sz w:val="24"/>
        </w:rPr>
        <w:tab/>
      </w:r>
      <w:r w:rsidR="00A82C41">
        <w:rPr>
          <w:sz w:val="24"/>
        </w:rPr>
        <w:t>C1</w:t>
      </w:r>
    </w:p>
    <w:p w:rsidR="0045500C" w:rsidRPr="00CD3CD7" w:rsidRDefault="0045500C" w:rsidP="002933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b/>
          <w:bCs/>
          <w:sz w:val="24"/>
        </w:rPr>
      </w:pPr>
      <w:r w:rsidRPr="00CD3CD7">
        <w:rPr>
          <w:b/>
          <w:bCs/>
          <w:sz w:val="24"/>
        </w:rPr>
        <w:t xml:space="preserve">Docket: </w:t>
      </w:r>
      <w:r w:rsidRPr="00CD3CD7">
        <w:rPr>
          <w:b/>
          <w:bCs/>
          <w:sz w:val="24"/>
        </w:rPr>
        <w:tab/>
      </w:r>
      <w:r w:rsidRPr="00CD3CD7">
        <w:rPr>
          <w:b/>
          <w:bCs/>
          <w:sz w:val="24"/>
        </w:rPr>
        <w:tab/>
      </w:r>
      <w:r w:rsidR="0029330E">
        <w:rPr>
          <w:rFonts w:ascii="Palatino Linotype" w:hAnsi="Palatino Linotype"/>
          <w:b/>
          <w:bCs/>
          <w:sz w:val="24"/>
        </w:rPr>
        <w:t>A-042090</w:t>
      </w:r>
    </w:p>
    <w:p w:rsidR="0029330E" w:rsidRPr="0029330E" w:rsidRDefault="0045500C" w:rsidP="00FB26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3CD7">
        <w:rPr>
          <w:sz w:val="24"/>
        </w:rPr>
        <w:t>Company Name:</w:t>
      </w:r>
      <w:r w:rsidRPr="00CD3CD7">
        <w:rPr>
          <w:sz w:val="24"/>
        </w:rPr>
        <w:tab/>
      </w:r>
      <w:r w:rsidR="0029330E" w:rsidRPr="0029330E">
        <w:rPr>
          <w:sz w:val="24"/>
        </w:rPr>
        <w:t>Auto Transportation – General</w:t>
      </w:r>
    </w:p>
    <w:p w:rsidR="0029330E" w:rsidRPr="0029330E" w:rsidRDefault="0029330E" w:rsidP="00FB26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9330E">
        <w:rPr>
          <w:sz w:val="24"/>
        </w:rPr>
        <w:tab/>
      </w:r>
      <w:r>
        <w:rPr>
          <w:sz w:val="24"/>
        </w:rPr>
        <w:tab/>
      </w:r>
      <w:r>
        <w:rPr>
          <w:sz w:val="24"/>
        </w:rPr>
        <w:tab/>
      </w:r>
      <w:r w:rsidRPr="0029330E">
        <w:rPr>
          <w:sz w:val="24"/>
        </w:rPr>
        <w:t>Commercial Ferries – General</w:t>
      </w:r>
    </w:p>
    <w:p w:rsidR="0045500C" w:rsidRDefault="0029330E" w:rsidP="00FB26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Pr="0029330E">
        <w:rPr>
          <w:sz w:val="24"/>
        </w:rPr>
        <w:t>Household Goods – General</w:t>
      </w:r>
    </w:p>
    <w:p w:rsidR="0011619E" w:rsidRDefault="0011619E" w:rsidP="00FB26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t>Solid Waste - General</w:t>
      </w:r>
    </w:p>
    <w:p w:rsidR="00982307" w:rsidRDefault="00982307" w:rsidP="00FB26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rsidR="0045500C" w:rsidRPr="00CD3CD7" w:rsidRDefault="0045500C" w:rsidP="00FB26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3CD7">
        <w:rPr>
          <w:sz w:val="24"/>
          <w:u w:val="single"/>
        </w:rPr>
        <w:t>Staff:</w:t>
      </w:r>
      <w:r w:rsidRPr="00CD3CD7">
        <w:rPr>
          <w:sz w:val="24"/>
        </w:rPr>
        <w:tab/>
      </w:r>
      <w:r w:rsidRPr="00CD3CD7">
        <w:rPr>
          <w:sz w:val="24"/>
        </w:rPr>
        <w:tab/>
      </w:r>
      <w:r w:rsidRPr="00CD3CD7">
        <w:rPr>
          <w:sz w:val="24"/>
        </w:rPr>
        <w:tab/>
      </w:r>
      <w:r w:rsidR="0029330E">
        <w:rPr>
          <w:sz w:val="24"/>
        </w:rPr>
        <w:t>Anne Solwick</w:t>
      </w:r>
      <w:r w:rsidRPr="00CD3CD7">
        <w:rPr>
          <w:sz w:val="24"/>
        </w:rPr>
        <w:t xml:space="preserve">, </w:t>
      </w:r>
      <w:r w:rsidR="00A402AD">
        <w:rPr>
          <w:sz w:val="24"/>
        </w:rPr>
        <w:t>Director</w:t>
      </w:r>
      <w:r w:rsidR="0029330E">
        <w:rPr>
          <w:sz w:val="24"/>
        </w:rPr>
        <w:t xml:space="preserve"> – Regulatory Services</w:t>
      </w:r>
    </w:p>
    <w:p w:rsidR="0052310E" w:rsidRDefault="00DE1D10" w:rsidP="00FB26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3CD7">
        <w:rPr>
          <w:sz w:val="24"/>
        </w:rPr>
        <w:tab/>
      </w:r>
      <w:r w:rsidRPr="00CD3CD7">
        <w:rPr>
          <w:sz w:val="24"/>
        </w:rPr>
        <w:tab/>
      </w:r>
      <w:r w:rsidRPr="00CD3CD7">
        <w:rPr>
          <w:sz w:val="24"/>
        </w:rPr>
        <w:tab/>
      </w:r>
      <w:r w:rsidR="00A402AD">
        <w:rPr>
          <w:sz w:val="24"/>
        </w:rPr>
        <w:t>David Gomez</w:t>
      </w:r>
      <w:r w:rsidRPr="00CD3CD7">
        <w:rPr>
          <w:sz w:val="24"/>
        </w:rPr>
        <w:t xml:space="preserve">, </w:t>
      </w:r>
      <w:r w:rsidR="00A402AD">
        <w:rPr>
          <w:sz w:val="24"/>
        </w:rPr>
        <w:t>Deputy Assistant Director</w:t>
      </w:r>
      <w:r w:rsidR="0029330E">
        <w:rPr>
          <w:sz w:val="24"/>
        </w:rPr>
        <w:t xml:space="preserve"> - </w:t>
      </w:r>
      <w:r w:rsidR="0029330E" w:rsidRPr="0029330E">
        <w:rPr>
          <w:sz w:val="24"/>
        </w:rPr>
        <w:t>Transportation and Water</w:t>
      </w:r>
      <w:r w:rsidR="00407C56">
        <w:rPr>
          <w:sz w:val="24"/>
        </w:rPr>
        <w:br/>
      </w:r>
      <w:r w:rsidR="00407C56">
        <w:rPr>
          <w:sz w:val="24"/>
        </w:rPr>
        <w:tab/>
      </w:r>
      <w:r w:rsidR="00407C56">
        <w:rPr>
          <w:sz w:val="24"/>
        </w:rPr>
        <w:tab/>
      </w:r>
      <w:r w:rsidR="00407C56">
        <w:rPr>
          <w:sz w:val="24"/>
        </w:rPr>
        <w:tab/>
        <w:t xml:space="preserve">Roger Kouchi – </w:t>
      </w:r>
      <w:r w:rsidR="004649EC">
        <w:rPr>
          <w:sz w:val="24"/>
        </w:rPr>
        <w:t>Consumer Protection Staff</w:t>
      </w:r>
    </w:p>
    <w:p w:rsidR="00407C56" w:rsidRPr="00CD3CD7" w:rsidRDefault="00407C56" w:rsidP="00FB26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A20A6" w:rsidRDefault="000A20A6" w:rsidP="002933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b/>
          <w:sz w:val="24"/>
          <w:u w:val="single"/>
        </w:rPr>
      </w:pPr>
      <w:r w:rsidRPr="00C1160D">
        <w:rPr>
          <w:b/>
          <w:sz w:val="24"/>
          <w:u w:val="single"/>
        </w:rPr>
        <w:t>Recommendation</w:t>
      </w:r>
    </w:p>
    <w:p w:rsidR="000A20A6" w:rsidRPr="00C1160D" w:rsidRDefault="008D54A7" w:rsidP="002933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Pr>
          <w:sz w:val="24"/>
        </w:rPr>
        <w:t xml:space="preserve">Rescind </w:t>
      </w:r>
      <w:r w:rsidRPr="008D54A7">
        <w:rPr>
          <w:sz w:val="24"/>
        </w:rPr>
        <w:t xml:space="preserve">Order 02, Docket No. A-042090, dated April 27, 2005, </w:t>
      </w:r>
      <w:r>
        <w:rPr>
          <w:sz w:val="24"/>
        </w:rPr>
        <w:t xml:space="preserve">which </w:t>
      </w:r>
      <w:r w:rsidRPr="008D54A7">
        <w:rPr>
          <w:sz w:val="24"/>
        </w:rPr>
        <w:t>authoriz</w:t>
      </w:r>
      <w:r>
        <w:rPr>
          <w:sz w:val="24"/>
        </w:rPr>
        <w:t>ed</w:t>
      </w:r>
      <w:r w:rsidRPr="008D54A7">
        <w:rPr>
          <w:sz w:val="24"/>
        </w:rPr>
        <w:t xml:space="preserve"> the Secretary of the </w:t>
      </w:r>
      <w:r w:rsidR="00CA7097">
        <w:rPr>
          <w:sz w:val="24"/>
        </w:rPr>
        <w:t xml:space="preserve">Utilities and Transportation </w:t>
      </w:r>
      <w:r w:rsidRPr="008D54A7">
        <w:rPr>
          <w:sz w:val="24"/>
        </w:rPr>
        <w:t xml:space="preserve">Commission </w:t>
      </w:r>
      <w:r w:rsidR="006B7F3B">
        <w:rPr>
          <w:sz w:val="24"/>
        </w:rPr>
        <w:t>(</w:t>
      </w:r>
      <w:r w:rsidR="00CA7097">
        <w:rPr>
          <w:sz w:val="24"/>
        </w:rPr>
        <w:t>commission</w:t>
      </w:r>
      <w:r w:rsidR="006B7F3B">
        <w:rPr>
          <w:sz w:val="24"/>
        </w:rPr>
        <w:t xml:space="preserve">) </w:t>
      </w:r>
      <w:r w:rsidRPr="008D54A7">
        <w:rPr>
          <w:sz w:val="24"/>
        </w:rPr>
        <w:t>to order temporary fuel surcharges for</w:t>
      </w:r>
      <w:r>
        <w:rPr>
          <w:sz w:val="24"/>
        </w:rPr>
        <w:t xml:space="preserve"> </w:t>
      </w:r>
      <w:r w:rsidRPr="008D54A7">
        <w:rPr>
          <w:sz w:val="24"/>
        </w:rPr>
        <w:t>auto transportation, commercial ferr</w:t>
      </w:r>
      <w:r>
        <w:rPr>
          <w:sz w:val="24"/>
        </w:rPr>
        <w:t>y</w:t>
      </w:r>
      <w:r w:rsidRPr="008D54A7">
        <w:rPr>
          <w:sz w:val="24"/>
        </w:rPr>
        <w:t xml:space="preserve"> and household goods companies</w:t>
      </w:r>
      <w:r w:rsidR="00023953">
        <w:rPr>
          <w:sz w:val="24"/>
        </w:rPr>
        <w:t>,</w:t>
      </w:r>
      <w:r w:rsidRPr="008D54A7">
        <w:rPr>
          <w:sz w:val="24"/>
        </w:rPr>
        <w:t xml:space="preserve"> effective </w:t>
      </w:r>
      <w:r w:rsidR="00982307">
        <w:rPr>
          <w:sz w:val="24"/>
        </w:rPr>
        <w:t xml:space="preserve">    </w:t>
      </w:r>
      <w:r w:rsidRPr="008D54A7">
        <w:rPr>
          <w:sz w:val="24"/>
        </w:rPr>
        <w:t>November 30, 2010.</w:t>
      </w:r>
    </w:p>
    <w:p w:rsidR="000A20A6" w:rsidRPr="00C1160D" w:rsidRDefault="000A20A6" w:rsidP="002933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b/>
          <w:bCs/>
          <w:sz w:val="24"/>
          <w:u w:val="single"/>
        </w:rPr>
      </w:pPr>
      <w:r w:rsidRPr="00C1160D">
        <w:rPr>
          <w:b/>
          <w:bCs/>
          <w:sz w:val="24"/>
          <w:u w:val="single"/>
        </w:rPr>
        <w:t>Background</w:t>
      </w:r>
    </w:p>
    <w:p w:rsidR="0030456A" w:rsidRDefault="008D54A7" w:rsidP="008D54A7">
      <w:pPr>
        <w:spacing w:before="120" w:after="120"/>
        <w:rPr>
          <w:sz w:val="24"/>
        </w:rPr>
      </w:pPr>
      <w:r w:rsidRPr="008D54A7">
        <w:rPr>
          <w:sz w:val="24"/>
        </w:rPr>
        <w:t xml:space="preserve">On April 27, 2005, the </w:t>
      </w:r>
      <w:r>
        <w:rPr>
          <w:sz w:val="24"/>
        </w:rPr>
        <w:t>c</w:t>
      </w:r>
      <w:r w:rsidRPr="008D54A7">
        <w:rPr>
          <w:sz w:val="24"/>
        </w:rPr>
        <w:t>ommission</w:t>
      </w:r>
      <w:r>
        <w:rPr>
          <w:sz w:val="24"/>
        </w:rPr>
        <w:t xml:space="preserve"> </w:t>
      </w:r>
      <w:r w:rsidRPr="008D54A7">
        <w:rPr>
          <w:sz w:val="24"/>
        </w:rPr>
        <w:t>issued Order 02</w:t>
      </w:r>
      <w:r w:rsidR="00022DC8">
        <w:rPr>
          <w:sz w:val="24"/>
        </w:rPr>
        <w:t>, which simplified and expedited the process for petitioning and granting a fuel surcharge. Order 02</w:t>
      </w:r>
      <w:r w:rsidRPr="008D54A7">
        <w:rPr>
          <w:sz w:val="24"/>
        </w:rPr>
        <w:t xml:space="preserve"> authoriz</w:t>
      </w:r>
      <w:r w:rsidR="00022DC8">
        <w:rPr>
          <w:sz w:val="24"/>
        </w:rPr>
        <w:t>ed</w:t>
      </w:r>
      <w:r w:rsidRPr="008D54A7">
        <w:rPr>
          <w:sz w:val="24"/>
        </w:rPr>
        <w:t xml:space="preserve"> the </w:t>
      </w:r>
      <w:r w:rsidR="006B7F3B">
        <w:rPr>
          <w:sz w:val="24"/>
        </w:rPr>
        <w:t>secretary</w:t>
      </w:r>
      <w:r w:rsidRPr="008D54A7">
        <w:rPr>
          <w:sz w:val="24"/>
        </w:rPr>
        <w:t>, pursuant to RCW 80.01.030, to order temporary fuel surcharges for</w:t>
      </w:r>
      <w:r w:rsidR="0030456A">
        <w:rPr>
          <w:sz w:val="24"/>
        </w:rPr>
        <w:t xml:space="preserve"> </w:t>
      </w:r>
      <w:r w:rsidR="0030456A" w:rsidRPr="008D54A7">
        <w:rPr>
          <w:sz w:val="24"/>
        </w:rPr>
        <w:t>auto transportation, commercial ferr</w:t>
      </w:r>
      <w:r w:rsidR="0030456A">
        <w:rPr>
          <w:sz w:val="24"/>
        </w:rPr>
        <w:t>y</w:t>
      </w:r>
      <w:r w:rsidR="0030456A" w:rsidRPr="008D54A7">
        <w:rPr>
          <w:sz w:val="24"/>
        </w:rPr>
        <w:t xml:space="preserve"> and household goods companies</w:t>
      </w:r>
      <w:r w:rsidR="00022DC8">
        <w:rPr>
          <w:sz w:val="24"/>
        </w:rPr>
        <w:t xml:space="preserve"> </w:t>
      </w:r>
      <w:r w:rsidR="00022DC8" w:rsidRPr="008D54A7">
        <w:rPr>
          <w:sz w:val="24"/>
        </w:rPr>
        <w:t>on less than statutory notice</w:t>
      </w:r>
      <w:r w:rsidR="00022DC8">
        <w:rPr>
          <w:sz w:val="24"/>
        </w:rPr>
        <w:t xml:space="preserve"> and without notice to customers provided the </w:t>
      </w:r>
      <w:r w:rsidR="0030456A">
        <w:rPr>
          <w:sz w:val="24"/>
        </w:rPr>
        <w:t>companies file</w:t>
      </w:r>
      <w:r w:rsidR="00022DC8">
        <w:rPr>
          <w:sz w:val="24"/>
        </w:rPr>
        <w:t>d</w:t>
      </w:r>
      <w:r w:rsidR="0030456A">
        <w:rPr>
          <w:sz w:val="24"/>
        </w:rPr>
        <w:t xml:space="preserve"> </w:t>
      </w:r>
      <w:r w:rsidR="00022DC8">
        <w:rPr>
          <w:sz w:val="24"/>
        </w:rPr>
        <w:t>required</w:t>
      </w:r>
      <w:r w:rsidR="0030456A">
        <w:rPr>
          <w:sz w:val="24"/>
        </w:rPr>
        <w:t xml:space="preserve"> documents to support the calculation of the proposed fuel surcharge</w:t>
      </w:r>
      <w:r w:rsidR="00A82C41">
        <w:rPr>
          <w:sz w:val="24"/>
        </w:rPr>
        <w:t xml:space="preserve">. </w:t>
      </w:r>
    </w:p>
    <w:p w:rsidR="00A82C41" w:rsidRDefault="0030456A" w:rsidP="008D54A7">
      <w:pPr>
        <w:spacing w:before="120" w:after="120"/>
        <w:rPr>
          <w:sz w:val="24"/>
        </w:rPr>
      </w:pPr>
      <w:r>
        <w:rPr>
          <w:sz w:val="24"/>
        </w:rPr>
        <w:t>A similar simplified process was informally adopted for solid waste companies at an open meeting held on October 26, 2005.</w:t>
      </w:r>
    </w:p>
    <w:p w:rsidR="00982307" w:rsidRDefault="00982307" w:rsidP="008D54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b/>
          <w:bCs/>
          <w:sz w:val="24"/>
          <w:u w:val="single"/>
        </w:rPr>
      </w:pPr>
    </w:p>
    <w:p w:rsidR="008D54A7" w:rsidRPr="00C1160D" w:rsidRDefault="008D54A7" w:rsidP="008D54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b/>
          <w:bCs/>
          <w:sz w:val="24"/>
          <w:u w:val="single"/>
        </w:rPr>
      </w:pPr>
      <w:r>
        <w:rPr>
          <w:b/>
          <w:bCs/>
          <w:sz w:val="24"/>
          <w:u w:val="single"/>
        </w:rPr>
        <w:t>Discussion</w:t>
      </w:r>
    </w:p>
    <w:p w:rsidR="00EA184F" w:rsidRPr="00EA184F" w:rsidRDefault="00EA184F" w:rsidP="00982307">
      <w:pPr>
        <w:rPr>
          <w:sz w:val="24"/>
        </w:rPr>
      </w:pPr>
      <w:r w:rsidRPr="00EA184F">
        <w:rPr>
          <w:sz w:val="24"/>
        </w:rPr>
        <w:t xml:space="preserve">The process allowed in Order 02 </w:t>
      </w:r>
      <w:r>
        <w:rPr>
          <w:sz w:val="24"/>
        </w:rPr>
        <w:t xml:space="preserve">and informally following the open meeting held on October 26, 2005, </w:t>
      </w:r>
      <w:r w:rsidRPr="00EA184F">
        <w:rPr>
          <w:sz w:val="24"/>
        </w:rPr>
        <w:t xml:space="preserve">for granting fuel surcharges simplified the administrative burden for both the companies and the Commission. The rationale for the simplification was that, in 2005, rates charged by the companies could not keep pace with rapidly rising and fluctuating fuel prices.   </w:t>
      </w:r>
    </w:p>
    <w:p w:rsidR="004B2DED" w:rsidRDefault="00BF1000" w:rsidP="00BF1000">
      <w:pPr>
        <w:keepNext/>
        <w:spacing w:before="120" w:after="120"/>
        <w:rPr>
          <w:sz w:val="24"/>
        </w:rPr>
      </w:pPr>
      <w:r w:rsidRPr="00EA184F">
        <w:rPr>
          <w:sz w:val="24"/>
        </w:rPr>
        <w:t xml:space="preserve">Since 2006, the </w:t>
      </w:r>
      <w:r w:rsidR="006E7498" w:rsidRPr="00EA184F">
        <w:rPr>
          <w:sz w:val="24"/>
        </w:rPr>
        <w:t>c</w:t>
      </w:r>
      <w:r w:rsidRPr="00EA184F">
        <w:rPr>
          <w:sz w:val="24"/>
        </w:rPr>
        <w:t>ommission has approved over 700 separate fuel surcharge</w:t>
      </w:r>
      <w:r w:rsidR="00EA184F">
        <w:rPr>
          <w:sz w:val="24"/>
        </w:rPr>
        <w:t xml:space="preserve"> petitions under the simplified process</w:t>
      </w:r>
      <w:r w:rsidR="00510880" w:rsidRPr="00EA184F">
        <w:rPr>
          <w:sz w:val="24"/>
        </w:rPr>
        <w:t xml:space="preserve">. </w:t>
      </w:r>
      <w:r w:rsidRPr="00EA184F">
        <w:rPr>
          <w:sz w:val="24"/>
        </w:rPr>
        <w:t xml:space="preserve">The majority of filings, </w:t>
      </w:r>
      <w:r w:rsidR="00E46587" w:rsidRPr="00EA184F">
        <w:rPr>
          <w:sz w:val="24"/>
        </w:rPr>
        <w:t>two-thirds</w:t>
      </w:r>
      <w:r w:rsidRPr="00EA184F">
        <w:rPr>
          <w:sz w:val="24"/>
        </w:rPr>
        <w:t xml:space="preserve">, were from solid waste companies followed by auto transportation with 33 percent. Commercial ferry companies comprise </w:t>
      </w:r>
      <w:r w:rsidR="00E46587" w:rsidRPr="00EA184F">
        <w:rPr>
          <w:sz w:val="24"/>
        </w:rPr>
        <w:t xml:space="preserve">the remaining two </w:t>
      </w:r>
      <w:r w:rsidRPr="00EA184F">
        <w:rPr>
          <w:sz w:val="24"/>
        </w:rPr>
        <w:t>percent of fuel surcharge filings.</w:t>
      </w:r>
    </w:p>
    <w:p w:rsidR="00D6544B" w:rsidRDefault="00D6544B" w:rsidP="00D6544B">
      <w:pPr>
        <w:widowControl/>
        <w:autoSpaceDE/>
        <w:autoSpaceDN/>
        <w:adjustRightInd/>
        <w:rPr>
          <w:sz w:val="24"/>
        </w:rPr>
      </w:pPr>
    </w:p>
    <w:p w:rsidR="00407C56" w:rsidRDefault="004B2DED" w:rsidP="004B2DED">
      <w:pPr>
        <w:keepNext/>
        <w:spacing w:before="120" w:after="120"/>
        <w:rPr>
          <w:sz w:val="24"/>
        </w:rPr>
      </w:pPr>
      <w:r>
        <w:rPr>
          <w:sz w:val="24"/>
        </w:rPr>
        <w:lastRenderedPageBreak/>
        <w:t>In Table 1, for the year 2010</w:t>
      </w:r>
      <w:r w:rsidR="00407C56">
        <w:rPr>
          <w:sz w:val="24"/>
        </w:rPr>
        <w:t xml:space="preserve"> up to September 14, the date that notice of this proposed rescinding was issued</w:t>
      </w:r>
      <w:r>
        <w:rPr>
          <w:sz w:val="24"/>
        </w:rPr>
        <w:t xml:space="preserve">, we show that a total </w:t>
      </w:r>
      <w:r w:rsidR="00407C56">
        <w:rPr>
          <w:sz w:val="24"/>
        </w:rPr>
        <w:t xml:space="preserve">of </w:t>
      </w:r>
      <w:r>
        <w:rPr>
          <w:sz w:val="24"/>
        </w:rPr>
        <w:t xml:space="preserve">16 solid waste and auto transportation companies filed for </w:t>
      </w:r>
      <w:r w:rsidR="00407C56">
        <w:rPr>
          <w:sz w:val="24"/>
        </w:rPr>
        <w:t xml:space="preserve">a </w:t>
      </w:r>
      <w:r>
        <w:rPr>
          <w:sz w:val="24"/>
        </w:rPr>
        <w:t xml:space="preserve">fuel surcharge. Of those 16, only four have filed </w:t>
      </w:r>
      <w:r w:rsidR="00407C56">
        <w:rPr>
          <w:sz w:val="24"/>
        </w:rPr>
        <w:t xml:space="preserve">a </w:t>
      </w:r>
      <w:r>
        <w:rPr>
          <w:sz w:val="24"/>
        </w:rPr>
        <w:t xml:space="preserve">general rate case within the last five years. </w:t>
      </w:r>
    </w:p>
    <w:p w:rsidR="00D6544B" w:rsidRDefault="00D6544B" w:rsidP="004B2DED">
      <w:pPr>
        <w:keepNext/>
        <w:spacing w:before="120" w:after="120"/>
        <w:rPr>
          <w:sz w:val="24"/>
        </w:rPr>
      </w:pPr>
    </w:p>
    <w:p w:rsidR="00982307" w:rsidRDefault="00982307" w:rsidP="004B2DED">
      <w:pPr>
        <w:keepNext/>
        <w:spacing w:before="120" w:after="120"/>
        <w:rPr>
          <w:sz w:val="24"/>
        </w:rPr>
      </w:pPr>
    </w:p>
    <w:tbl>
      <w:tblPr>
        <w:tblW w:w="6750" w:type="dxa"/>
        <w:jc w:val="center"/>
        <w:tblInd w:w="638" w:type="dxa"/>
        <w:tblLook w:val="04A0"/>
      </w:tblPr>
      <w:tblGrid>
        <w:gridCol w:w="2040"/>
        <w:gridCol w:w="960"/>
        <w:gridCol w:w="960"/>
        <w:gridCol w:w="960"/>
        <w:gridCol w:w="960"/>
        <w:gridCol w:w="870"/>
      </w:tblGrid>
      <w:tr w:rsidR="004C0E3B" w:rsidRPr="004C0E3B" w:rsidTr="004649EC">
        <w:trPr>
          <w:trHeight w:val="223"/>
          <w:jc w:val="center"/>
        </w:trPr>
        <w:tc>
          <w:tcPr>
            <w:tcW w:w="6750" w:type="dxa"/>
            <w:gridSpan w:val="6"/>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4C0E3B" w:rsidRPr="004649EC" w:rsidRDefault="004C0E3B" w:rsidP="004C0E3B">
            <w:pPr>
              <w:widowControl/>
              <w:autoSpaceDE/>
              <w:autoSpaceDN/>
              <w:adjustRightInd/>
              <w:jc w:val="center"/>
              <w:rPr>
                <w:b/>
                <w:bCs/>
                <w:color w:val="000000"/>
                <w:szCs w:val="20"/>
              </w:rPr>
            </w:pPr>
            <w:r w:rsidRPr="004649EC">
              <w:rPr>
                <w:b/>
                <w:bCs/>
                <w:color w:val="000000"/>
                <w:szCs w:val="20"/>
              </w:rPr>
              <w:t>Fuel Surcharges</w:t>
            </w:r>
          </w:p>
        </w:tc>
      </w:tr>
      <w:tr w:rsidR="004C0E3B" w:rsidRPr="004C0E3B" w:rsidTr="00A357C6">
        <w:trPr>
          <w:trHeight w:val="205"/>
          <w:jc w:val="center"/>
        </w:trPr>
        <w:tc>
          <w:tcPr>
            <w:tcW w:w="2040" w:type="dxa"/>
            <w:vMerge w:val="restart"/>
            <w:tcBorders>
              <w:top w:val="nil"/>
              <w:left w:val="single" w:sz="8" w:space="0" w:color="auto"/>
              <w:bottom w:val="single" w:sz="8" w:space="0" w:color="000000"/>
              <w:right w:val="single" w:sz="8" w:space="0" w:color="auto"/>
            </w:tcBorders>
            <w:shd w:val="clear" w:color="000000" w:fill="F3F3F3"/>
            <w:hideMark/>
          </w:tcPr>
          <w:p w:rsidR="004C0E3B" w:rsidRPr="004649EC" w:rsidRDefault="004C0E3B" w:rsidP="004C0E3B">
            <w:pPr>
              <w:widowControl/>
              <w:autoSpaceDE/>
              <w:autoSpaceDN/>
              <w:adjustRightInd/>
              <w:jc w:val="center"/>
              <w:rPr>
                <w:b/>
                <w:bCs/>
                <w:color w:val="000000"/>
                <w:szCs w:val="20"/>
              </w:rPr>
            </w:pPr>
            <w:r w:rsidRPr="004649EC">
              <w:rPr>
                <w:b/>
                <w:bCs/>
                <w:color w:val="000000"/>
                <w:szCs w:val="20"/>
              </w:rPr>
              <w:t xml:space="preserve">Industry </w:t>
            </w:r>
          </w:p>
        </w:tc>
        <w:tc>
          <w:tcPr>
            <w:tcW w:w="960" w:type="dxa"/>
            <w:tcBorders>
              <w:top w:val="nil"/>
              <w:left w:val="nil"/>
              <w:bottom w:val="single" w:sz="8" w:space="0" w:color="auto"/>
              <w:right w:val="single" w:sz="8" w:space="0" w:color="auto"/>
            </w:tcBorders>
            <w:shd w:val="clear" w:color="000000" w:fill="F3F3F3"/>
            <w:hideMark/>
          </w:tcPr>
          <w:p w:rsidR="004C0E3B" w:rsidRPr="004649EC" w:rsidRDefault="004C0E3B" w:rsidP="004C0E3B">
            <w:pPr>
              <w:widowControl/>
              <w:autoSpaceDE/>
              <w:autoSpaceDN/>
              <w:adjustRightInd/>
              <w:jc w:val="center"/>
              <w:rPr>
                <w:b/>
                <w:bCs/>
                <w:color w:val="000000"/>
                <w:szCs w:val="20"/>
              </w:rPr>
            </w:pPr>
            <w:r w:rsidRPr="004649EC">
              <w:rPr>
                <w:b/>
                <w:bCs/>
                <w:color w:val="000000"/>
                <w:szCs w:val="20"/>
              </w:rPr>
              <w:t>2006</w:t>
            </w:r>
          </w:p>
        </w:tc>
        <w:tc>
          <w:tcPr>
            <w:tcW w:w="960" w:type="dxa"/>
            <w:tcBorders>
              <w:top w:val="nil"/>
              <w:left w:val="nil"/>
              <w:bottom w:val="single" w:sz="8" w:space="0" w:color="auto"/>
              <w:right w:val="single" w:sz="8" w:space="0" w:color="auto"/>
            </w:tcBorders>
            <w:shd w:val="clear" w:color="000000" w:fill="F3F3F3"/>
            <w:hideMark/>
          </w:tcPr>
          <w:p w:rsidR="004C0E3B" w:rsidRPr="004649EC" w:rsidRDefault="004C0E3B" w:rsidP="004C0E3B">
            <w:pPr>
              <w:widowControl/>
              <w:autoSpaceDE/>
              <w:autoSpaceDN/>
              <w:adjustRightInd/>
              <w:jc w:val="center"/>
              <w:rPr>
                <w:b/>
                <w:bCs/>
                <w:color w:val="000000"/>
                <w:szCs w:val="20"/>
              </w:rPr>
            </w:pPr>
            <w:r w:rsidRPr="004649EC">
              <w:rPr>
                <w:b/>
                <w:bCs/>
                <w:color w:val="000000"/>
                <w:szCs w:val="20"/>
              </w:rPr>
              <w:t>2007</w:t>
            </w:r>
          </w:p>
        </w:tc>
        <w:tc>
          <w:tcPr>
            <w:tcW w:w="960" w:type="dxa"/>
            <w:tcBorders>
              <w:top w:val="nil"/>
              <w:left w:val="nil"/>
              <w:bottom w:val="single" w:sz="8" w:space="0" w:color="auto"/>
              <w:right w:val="single" w:sz="8" w:space="0" w:color="auto"/>
            </w:tcBorders>
            <w:shd w:val="clear" w:color="000000" w:fill="F3F3F3"/>
            <w:hideMark/>
          </w:tcPr>
          <w:p w:rsidR="004C0E3B" w:rsidRPr="004649EC" w:rsidRDefault="004C0E3B" w:rsidP="004C0E3B">
            <w:pPr>
              <w:widowControl/>
              <w:autoSpaceDE/>
              <w:autoSpaceDN/>
              <w:adjustRightInd/>
              <w:jc w:val="center"/>
              <w:rPr>
                <w:b/>
                <w:bCs/>
                <w:color w:val="000000"/>
                <w:szCs w:val="20"/>
              </w:rPr>
            </w:pPr>
            <w:r w:rsidRPr="004649EC">
              <w:rPr>
                <w:b/>
                <w:bCs/>
                <w:color w:val="000000"/>
                <w:szCs w:val="20"/>
              </w:rPr>
              <w:t>2008</w:t>
            </w:r>
          </w:p>
        </w:tc>
        <w:tc>
          <w:tcPr>
            <w:tcW w:w="960" w:type="dxa"/>
            <w:tcBorders>
              <w:top w:val="nil"/>
              <w:left w:val="nil"/>
              <w:bottom w:val="single" w:sz="8" w:space="0" w:color="auto"/>
              <w:right w:val="single" w:sz="8" w:space="0" w:color="auto"/>
            </w:tcBorders>
            <w:shd w:val="clear" w:color="000000" w:fill="F3F3F3"/>
            <w:hideMark/>
          </w:tcPr>
          <w:p w:rsidR="004C0E3B" w:rsidRPr="004649EC" w:rsidRDefault="004C0E3B" w:rsidP="004C0E3B">
            <w:pPr>
              <w:widowControl/>
              <w:autoSpaceDE/>
              <w:autoSpaceDN/>
              <w:adjustRightInd/>
              <w:jc w:val="center"/>
              <w:rPr>
                <w:b/>
                <w:bCs/>
                <w:color w:val="000000"/>
                <w:szCs w:val="20"/>
              </w:rPr>
            </w:pPr>
            <w:r w:rsidRPr="004649EC">
              <w:rPr>
                <w:b/>
                <w:bCs/>
                <w:color w:val="000000"/>
                <w:szCs w:val="20"/>
              </w:rPr>
              <w:t>2009</w:t>
            </w:r>
          </w:p>
        </w:tc>
        <w:tc>
          <w:tcPr>
            <w:tcW w:w="870" w:type="dxa"/>
            <w:tcBorders>
              <w:top w:val="nil"/>
              <w:left w:val="nil"/>
              <w:bottom w:val="single" w:sz="8" w:space="0" w:color="auto"/>
              <w:right w:val="single" w:sz="8" w:space="0" w:color="auto"/>
            </w:tcBorders>
            <w:shd w:val="clear" w:color="000000" w:fill="F3F3F3"/>
            <w:hideMark/>
          </w:tcPr>
          <w:p w:rsidR="004C0E3B" w:rsidRPr="004649EC" w:rsidRDefault="004C0E3B" w:rsidP="004C0E3B">
            <w:pPr>
              <w:widowControl/>
              <w:autoSpaceDE/>
              <w:autoSpaceDN/>
              <w:adjustRightInd/>
              <w:jc w:val="center"/>
              <w:rPr>
                <w:b/>
                <w:bCs/>
                <w:color w:val="000000"/>
                <w:szCs w:val="20"/>
              </w:rPr>
            </w:pPr>
            <w:r w:rsidRPr="004649EC">
              <w:rPr>
                <w:b/>
                <w:bCs/>
                <w:color w:val="000000"/>
                <w:szCs w:val="20"/>
              </w:rPr>
              <w:t>2010</w:t>
            </w:r>
          </w:p>
        </w:tc>
      </w:tr>
      <w:tr w:rsidR="004C0E3B" w:rsidRPr="004C0E3B" w:rsidTr="00A357C6">
        <w:trPr>
          <w:trHeight w:val="268"/>
          <w:jc w:val="center"/>
        </w:trPr>
        <w:tc>
          <w:tcPr>
            <w:tcW w:w="2040" w:type="dxa"/>
            <w:vMerge/>
            <w:tcBorders>
              <w:top w:val="nil"/>
              <w:left w:val="single" w:sz="8" w:space="0" w:color="auto"/>
              <w:bottom w:val="single" w:sz="8" w:space="0" w:color="000000"/>
              <w:right w:val="single" w:sz="8" w:space="0" w:color="auto"/>
            </w:tcBorders>
            <w:vAlign w:val="center"/>
            <w:hideMark/>
          </w:tcPr>
          <w:p w:rsidR="004C0E3B" w:rsidRPr="004649EC" w:rsidRDefault="004C0E3B" w:rsidP="004C0E3B">
            <w:pPr>
              <w:widowControl/>
              <w:autoSpaceDE/>
              <w:autoSpaceDN/>
              <w:adjustRightInd/>
              <w:rPr>
                <w:b/>
                <w:bCs/>
                <w:color w:val="000000"/>
                <w:szCs w:val="20"/>
              </w:rPr>
            </w:pPr>
          </w:p>
        </w:tc>
        <w:tc>
          <w:tcPr>
            <w:tcW w:w="4710" w:type="dxa"/>
            <w:gridSpan w:val="5"/>
            <w:tcBorders>
              <w:top w:val="nil"/>
              <w:left w:val="nil"/>
              <w:bottom w:val="single" w:sz="8" w:space="0" w:color="auto"/>
              <w:right w:val="single" w:sz="8" w:space="0" w:color="000000"/>
            </w:tcBorders>
            <w:shd w:val="clear" w:color="000000" w:fill="F3F3F3"/>
            <w:hideMark/>
          </w:tcPr>
          <w:p w:rsidR="004C0E3B" w:rsidRPr="004649EC" w:rsidRDefault="004C0E3B" w:rsidP="004C0E3B">
            <w:pPr>
              <w:widowControl/>
              <w:autoSpaceDE/>
              <w:autoSpaceDN/>
              <w:adjustRightInd/>
              <w:jc w:val="center"/>
              <w:rPr>
                <w:b/>
                <w:bCs/>
                <w:color w:val="000000"/>
                <w:szCs w:val="20"/>
              </w:rPr>
            </w:pPr>
            <w:r w:rsidRPr="004649EC">
              <w:rPr>
                <w:b/>
                <w:bCs/>
                <w:color w:val="000000"/>
                <w:szCs w:val="20"/>
              </w:rPr>
              <w:t># of companies/dockets</w:t>
            </w:r>
          </w:p>
        </w:tc>
      </w:tr>
      <w:tr w:rsidR="004C0E3B" w:rsidRPr="004C0E3B" w:rsidTr="00A357C6">
        <w:trPr>
          <w:trHeight w:val="268"/>
          <w:jc w:val="center"/>
        </w:trPr>
        <w:tc>
          <w:tcPr>
            <w:tcW w:w="2040" w:type="dxa"/>
            <w:tcBorders>
              <w:top w:val="nil"/>
              <w:left w:val="single" w:sz="8" w:space="0" w:color="auto"/>
              <w:bottom w:val="single" w:sz="8" w:space="0" w:color="auto"/>
              <w:right w:val="single" w:sz="8" w:space="0" w:color="auto"/>
            </w:tcBorders>
            <w:shd w:val="clear" w:color="auto" w:fill="auto"/>
            <w:hideMark/>
          </w:tcPr>
          <w:p w:rsidR="004C0E3B" w:rsidRPr="004649EC" w:rsidRDefault="004C0E3B" w:rsidP="00A357C6">
            <w:pPr>
              <w:widowControl/>
              <w:autoSpaceDE/>
              <w:autoSpaceDN/>
              <w:adjustRightInd/>
              <w:jc w:val="right"/>
              <w:rPr>
                <w:color w:val="000000"/>
                <w:szCs w:val="20"/>
              </w:rPr>
            </w:pPr>
            <w:r w:rsidRPr="004649EC">
              <w:rPr>
                <w:color w:val="000000"/>
                <w:szCs w:val="20"/>
              </w:rPr>
              <w:t>Commercial Ferries</w:t>
            </w:r>
          </w:p>
        </w:tc>
        <w:tc>
          <w:tcPr>
            <w:tcW w:w="96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1/1</w:t>
            </w:r>
          </w:p>
        </w:tc>
        <w:tc>
          <w:tcPr>
            <w:tcW w:w="96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1/3</w:t>
            </w:r>
          </w:p>
        </w:tc>
        <w:tc>
          <w:tcPr>
            <w:tcW w:w="96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2/16</w:t>
            </w:r>
          </w:p>
        </w:tc>
        <w:tc>
          <w:tcPr>
            <w:tcW w:w="96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0/0</w:t>
            </w:r>
          </w:p>
        </w:tc>
        <w:tc>
          <w:tcPr>
            <w:tcW w:w="87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0/0</w:t>
            </w:r>
          </w:p>
        </w:tc>
      </w:tr>
      <w:tr w:rsidR="004C0E3B" w:rsidRPr="004C0E3B" w:rsidTr="00A357C6">
        <w:trPr>
          <w:trHeight w:val="250"/>
          <w:jc w:val="center"/>
        </w:trPr>
        <w:tc>
          <w:tcPr>
            <w:tcW w:w="2040" w:type="dxa"/>
            <w:tcBorders>
              <w:top w:val="nil"/>
              <w:left w:val="single" w:sz="8" w:space="0" w:color="auto"/>
              <w:bottom w:val="single" w:sz="8" w:space="0" w:color="auto"/>
              <w:right w:val="single" w:sz="8" w:space="0" w:color="auto"/>
            </w:tcBorders>
            <w:shd w:val="clear" w:color="auto" w:fill="auto"/>
            <w:hideMark/>
          </w:tcPr>
          <w:p w:rsidR="004C0E3B" w:rsidRPr="004649EC" w:rsidRDefault="004C0E3B" w:rsidP="00A357C6">
            <w:pPr>
              <w:widowControl/>
              <w:autoSpaceDE/>
              <w:autoSpaceDN/>
              <w:adjustRightInd/>
              <w:jc w:val="right"/>
              <w:rPr>
                <w:color w:val="000000"/>
                <w:szCs w:val="20"/>
              </w:rPr>
            </w:pPr>
            <w:r w:rsidRPr="004649EC">
              <w:rPr>
                <w:color w:val="000000"/>
                <w:szCs w:val="20"/>
              </w:rPr>
              <w:t>Solid Waste</w:t>
            </w:r>
          </w:p>
        </w:tc>
        <w:tc>
          <w:tcPr>
            <w:tcW w:w="96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15/20</w:t>
            </w:r>
          </w:p>
        </w:tc>
        <w:tc>
          <w:tcPr>
            <w:tcW w:w="96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22/129</w:t>
            </w:r>
          </w:p>
        </w:tc>
        <w:tc>
          <w:tcPr>
            <w:tcW w:w="96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35/225</w:t>
            </w:r>
          </w:p>
        </w:tc>
        <w:tc>
          <w:tcPr>
            <w:tcW w:w="96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10/30</w:t>
            </w:r>
          </w:p>
        </w:tc>
        <w:tc>
          <w:tcPr>
            <w:tcW w:w="87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11/52</w:t>
            </w:r>
          </w:p>
        </w:tc>
      </w:tr>
      <w:tr w:rsidR="004C0E3B" w:rsidRPr="004C0E3B" w:rsidTr="00A357C6">
        <w:trPr>
          <w:trHeight w:val="250"/>
          <w:jc w:val="center"/>
        </w:trPr>
        <w:tc>
          <w:tcPr>
            <w:tcW w:w="2040" w:type="dxa"/>
            <w:tcBorders>
              <w:top w:val="nil"/>
              <w:left w:val="single" w:sz="8" w:space="0" w:color="auto"/>
              <w:bottom w:val="single" w:sz="8" w:space="0" w:color="auto"/>
              <w:right w:val="single" w:sz="8" w:space="0" w:color="auto"/>
            </w:tcBorders>
            <w:shd w:val="clear" w:color="auto" w:fill="auto"/>
            <w:hideMark/>
          </w:tcPr>
          <w:p w:rsidR="004C0E3B" w:rsidRPr="004649EC" w:rsidRDefault="004C0E3B" w:rsidP="00A357C6">
            <w:pPr>
              <w:widowControl/>
              <w:autoSpaceDE/>
              <w:autoSpaceDN/>
              <w:adjustRightInd/>
              <w:jc w:val="right"/>
              <w:rPr>
                <w:color w:val="000000"/>
                <w:szCs w:val="20"/>
              </w:rPr>
            </w:pPr>
            <w:r w:rsidRPr="004649EC">
              <w:rPr>
                <w:color w:val="000000"/>
                <w:szCs w:val="20"/>
              </w:rPr>
              <w:t>Auto Transportation</w:t>
            </w:r>
          </w:p>
        </w:tc>
        <w:tc>
          <w:tcPr>
            <w:tcW w:w="96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5/8</w:t>
            </w:r>
          </w:p>
        </w:tc>
        <w:tc>
          <w:tcPr>
            <w:tcW w:w="96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6/63</w:t>
            </w:r>
          </w:p>
        </w:tc>
        <w:tc>
          <w:tcPr>
            <w:tcW w:w="96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7/68</w:t>
            </w:r>
          </w:p>
        </w:tc>
        <w:tc>
          <w:tcPr>
            <w:tcW w:w="96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5/45</w:t>
            </w:r>
          </w:p>
        </w:tc>
        <w:tc>
          <w:tcPr>
            <w:tcW w:w="87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5/41</w:t>
            </w:r>
          </w:p>
        </w:tc>
      </w:tr>
      <w:tr w:rsidR="004C0E3B" w:rsidRPr="004C0E3B" w:rsidTr="00A357C6">
        <w:trPr>
          <w:trHeight w:val="250"/>
          <w:jc w:val="center"/>
        </w:trPr>
        <w:tc>
          <w:tcPr>
            <w:tcW w:w="2040" w:type="dxa"/>
            <w:tcBorders>
              <w:top w:val="nil"/>
              <w:left w:val="single" w:sz="8" w:space="0" w:color="auto"/>
              <w:bottom w:val="single" w:sz="8" w:space="0" w:color="auto"/>
              <w:right w:val="single" w:sz="8" w:space="0" w:color="auto"/>
            </w:tcBorders>
            <w:shd w:val="clear" w:color="auto" w:fill="auto"/>
            <w:hideMark/>
          </w:tcPr>
          <w:p w:rsidR="004C0E3B" w:rsidRPr="004649EC" w:rsidRDefault="004C0E3B" w:rsidP="00A357C6">
            <w:pPr>
              <w:widowControl/>
              <w:autoSpaceDE/>
              <w:autoSpaceDN/>
              <w:adjustRightInd/>
              <w:jc w:val="right"/>
              <w:rPr>
                <w:color w:val="000000"/>
                <w:szCs w:val="20"/>
              </w:rPr>
            </w:pPr>
            <w:r w:rsidRPr="004649EC">
              <w:rPr>
                <w:color w:val="000000"/>
                <w:szCs w:val="20"/>
              </w:rPr>
              <w:t>Household Goods</w:t>
            </w:r>
          </w:p>
        </w:tc>
        <w:tc>
          <w:tcPr>
            <w:tcW w:w="96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0/0</w:t>
            </w:r>
          </w:p>
        </w:tc>
        <w:tc>
          <w:tcPr>
            <w:tcW w:w="96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0/0</w:t>
            </w:r>
          </w:p>
        </w:tc>
        <w:tc>
          <w:tcPr>
            <w:tcW w:w="96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0/0</w:t>
            </w:r>
          </w:p>
        </w:tc>
        <w:tc>
          <w:tcPr>
            <w:tcW w:w="96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0/0</w:t>
            </w:r>
          </w:p>
        </w:tc>
        <w:tc>
          <w:tcPr>
            <w:tcW w:w="870" w:type="dxa"/>
            <w:tcBorders>
              <w:top w:val="nil"/>
              <w:left w:val="nil"/>
              <w:bottom w:val="single" w:sz="8" w:space="0" w:color="auto"/>
              <w:right w:val="single" w:sz="8" w:space="0" w:color="auto"/>
            </w:tcBorders>
            <w:shd w:val="clear" w:color="auto" w:fill="auto"/>
            <w:hideMark/>
          </w:tcPr>
          <w:p w:rsidR="004C0E3B" w:rsidRPr="004649EC" w:rsidRDefault="004C0E3B" w:rsidP="004C0E3B">
            <w:pPr>
              <w:widowControl/>
              <w:autoSpaceDE/>
              <w:autoSpaceDN/>
              <w:adjustRightInd/>
              <w:jc w:val="center"/>
              <w:rPr>
                <w:color w:val="000000"/>
                <w:szCs w:val="20"/>
              </w:rPr>
            </w:pPr>
            <w:r w:rsidRPr="004649EC">
              <w:rPr>
                <w:color w:val="000000"/>
                <w:szCs w:val="20"/>
              </w:rPr>
              <w:t>0/0</w:t>
            </w:r>
          </w:p>
        </w:tc>
      </w:tr>
      <w:tr w:rsidR="004C0E3B" w:rsidRPr="004C0E3B" w:rsidTr="00A357C6">
        <w:trPr>
          <w:trHeight w:val="250"/>
          <w:jc w:val="center"/>
        </w:trPr>
        <w:tc>
          <w:tcPr>
            <w:tcW w:w="2040" w:type="dxa"/>
            <w:tcBorders>
              <w:top w:val="nil"/>
              <w:left w:val="single" w:sz="8" w:space="0" w:color="auto"/>
              <w:bottom w:val="single" w:sz="8" w:space="0" w:color="auto"/>
              <w:right w:val="single" w:sz="8" w:space="0" w:color="auto"/>
            </w:tcBorders>
            <w:shd w:val="clear" w:color="000000" w:fill="F3F3F3"/>
            <w:hideMark/>
          </w:tcPr>
          <w:p w:rsidR="004C0E3B" w:rsidRPr="004649EC" w:rsidRDefault="004C0E3B" w:rsidP="004C0E3B">
            <w:pPr>
              <w:widowControl/>
              <w:autoSpaceDE/>
              <w:autoSpaceDN/>
              <w:adjustRightInd/>
              <w:jc w:val="right"/>
              <w:rPr>
                <w:b/>
                <w:bCs/>
                <w:color w:val="000000"/>
                <w:szCs w:val="20"/>
              </w:rPr>
            </w:pPr>
            <w:r w:rsidRPr="004649EC">
              <w:rPr>
                <w:b/>
                <w:bCs/>
                <w:color w:val="000000"/>
                <w:szCs w:val="20"/>
              </w:rPr>
              <w:t xml:space="preserve">Total </w:t>
            </w:r>
          </w:p>
        </w:tc>
        <w:tc>
          <w:tcPr>
            <w:tcW w:w="960" w:type="dxa"/>
            <w:tcBorders>
              <w:top w:val="nil"/>
              <w:left w:val="nil"/>
              <w:bottom w:val="single" w:sz="8" w:space="0" w:color="auto"/>
              <w:right w:val="single" w:sz="8" w:space="0" w:color="auto"/>
            </w:tcBorders>
            <w:shd w:val="clear" w:color="000000" w:fill="F3F3F3"/>
            <w:hideMark/>
          </w:tcPr>
          <w:p w:rsidR="004C0E3B" w:rsidRPr="004649EC" w:rsidRDefault="004C0E3B" w:rsidP="004C0E3B">
            <w:pPr>
              <w:widowControl/>
              <w:autoSpaceDE/>
              <w:autoSpaceDN/>
              <w:adjustRightInd/>
              <w:jc w:val="center"/>
              <w:rPr>
                <w:b/>
                <w:bCs/>
                <w:color w:val="000000"/>
                <w:szCs w:val="20"/>
              </w:rPr>
            </w:pPr>
            <w:r w:rsidRPr="004649EC">
              <w:rPr>
                <w:b/>
                <w:bCs/>
                <w:color w:val="000000"/>
                <w:szCs w:val="20"/>
              </w:rPr>
              <w:t>21/29</w:t>
            </w:r>
          </w:p>
        </w:tc>
        <w:tc>
          <w:tcPr>
            <w:tcW w:w="960" w:type="dxa"/>
            <w:tcBorders>
              <w:top w:val="nil"/>
              <w:left w:val="nil"/>
              <w:bottom w:val="single" w:sz="8" w:space="0" w:color="auto"/>
              <w:right w:val="single" w:sz="8" w:space="0" w:color="auto"/>
            </w:tcBorders>
            <w:shd w:val="clear" w:color="000000" w:fill="F3F3F3"/>
            <w:hideMark/>
          </w:tcPr>
          <w:p w:rsidR="004C0E3B" w:rsidRPr="004649EC" w:rsidRDefault="004C0E3B" w:rsidP="004C0E3B">
            <w:pPr>
              <w:widowControl/>
              <w:autoSpaceDE/>
              <w:autoSpaceDN/>
              <w:adjustRightInd/>
              <w:jc w:val="center"/>
              <w:rPr>
                <w:b/>
                <w:bCs/>
                <w:color w:val="000000"/>
                <w:szCs w:val="20"/>
              </w:rPr>
            </w:pPr>
            <w:r w:rsidRPr="004649EC">
              <w:rPr>
                <w:b/>
                <w:bCs/>
                <w:color w:val="000000"/>
                <w:szCs w:val="20"/>
              </w:rPr>
              <w:t>29/195</w:t>
            </w:r>
          </w:p>
        </w:tc>
        <w:tc>
          <w:tcPr>
            <w:tcW w:w="960" w:type="dxa"/>
            <w:tcBorders>
              <w:top w:val="nil"/>
              <w:left w:val="nil"/>
              <w:bottom w:val="single" w:sz="8" w:space="0" w:color="auto"/>
              <w:right w:val="single" w:sz="8" w:space="0" w:color="auto"/>
            </w:tcBorders>
            <w:shd w:val="clear" w:color="000000" w:fill="F3F3F3"/>
            <w:hideMark/>
          </w:tcPr>
          <w:p w:rsidR="004C0E3B" w:rsidRPr="004649EC" w:rsidRDefault="004C0E3B" w:rsidP="004C0E3B">
            <w:pPr>
              <w:widowControl/>
              <w:autoSpaceDE/>
              <w:autoSpaceDN/>
              <w:adjustRightInd/>
              <w:jc w:val="center"/>
              <w:rPr>
                <w:b/>
                <w:bCs/>
                <w:color w:val="000000"/>
                <w:szCs w:val="20"/>
              </w:rPr>
            </w:pPr>
            <w:r w:rsidRPr="004649EC">
              <w:rPr>
                <w:b/>
                <w:bCs/>
                <w:color w:val="000000"/>
                <w:szCs w:val="20"/>
              </w:rPr>
              <w:t>44/309</w:t>
            </w:r>
          </w:p>
        </w:tc>
        <w:tc>
          <w:tcPr>
            <w:tcW w:w="960" w:type="dxa"/>
            <w:tcBorders>
              <w:top w:val="nil"/>
              <w:left w:val="nil"/>
              <w:bottom w:val="single" w:sz="8" w:space="0" w:color="auto"/>
              <w:right w:val="single" w:sz="8" w:space="0" w:color="auto"/>
            </w:tcBorders>
            <w:shd w:val="clear" w:color="000000" w:fill="F3F3F3"/>
            <w:hideMark/>
          </w:tcPr>
          <w:p w:rsidR="004C0E3B" w:rsidRPr="004649EC" w:rsidRDefault="004C0E3B" w:rsidP="004C0E3B">
            <w:pPr>
              <w:widowControl/>
              <w:autoSpaceDE/>
              <w:autoSpaceDN/>
              <w:adjustRightInd/>
              <w:jc w:val="center"/>
              <w:rPr>
                <w:b/>
                <w:bCs/>
                <w:color w:val="000000"/>
                <w:szCs w:val="20"/>
              </w:rPr>
            </w:pPr>
            <w:r w:rsidRPr="004649EC">
              <w:rPr>
                <w:b/>
                <w:bCs/>
                <w:color w:val="000000"/>
                <w:szCs w:val="20"/>
              </w:rPr>
              <w:t>15/75</w:t>
            </w:r>
          </w:p>
        </w:tc>
        <w:tc>
          <w:tcPr>
            <w:tcW w:w="870" w:type="dxa"/>
            <w:tcBorders>
              <w:top w:val="nil"/>
              <w:left w:val="nil"/>
              <w:bottom w:val="single" w:sz="8" w:space="0" w:color="auto"/>
              <w:right w:val="single" w:sz="8" w:space="0" w:color="auto"/>
            </w:tcBorders>
            <w:shd w:val="clear" w:color="000000" w:fill="F3F3F3"/>
            <w:hideMark/>
          </w:tcPr>
          <w:p w:rsidR="004C0E3B" w:rsidRPr="004649EC" w:rsidRDefault="004C0E3B" w:rsidP="004C0E3B">
            <w:pPr>
              <w:widowControl/>
              <w:autoSpaceDE/>
              <w:autoSpaceDN/>
              <w:adjustRightInd/>
              <w:jc w:val="center"/>
              <w:rPr>
                <w:b/>
                <w:bCs/>
                <w:color w:val="000000"/>
                <w:szCs w:val="20"/>
              </w:rPr>
            </w:pPr>
            <w:r w:rsidRPr="004649EC">
              <w:rPr>
                <w:b/>
                <w:bCs/>
                <w:color w:val="000000"/>
                <w:szCs w:val="20"/>
              </w:rPr>
              <w:t>16/93</w:t>
            </w:r>
          </w:p>
        </w:tc>
      </w:tr>
    </w:tbl>
    <w:p w:rsidR="00101488" w:rsidRDefault="00101488" w:rsidP="004649EC">
      <w:pPr>
        <w:pStyle w:val="Caption"/>
        <w:spacing w:before="60"/>
        <w:jc w:val="center"/>
        <w:rPr>
          <w:sz w:val="24"/>
        </w:rPr>
      </w:pPr>
      <w:r>
        <w:t xml:space="preserve">Table </w:t>
      </w:r>
      <w:r w:rsidR="001705A8">
        <w:fldChar w:fldCharType="begin"/>
      </w:r>
      <w:r w:rsidR="003E1C52">
        <w:instrText xml:space="preserve"> SEQ Table \* ARABIC </w:instrText>
      </w:r>
      <w:r w:rsidR="001705A8">
        <w:fldChar w:fldCharType="separate"/>
      </w:r>
      <w:r w:rsidR="00516CB4">
        <w:rPr>
          <w:noProof/>
        </w:rPr>
        <w:t>1</w:t>
      </w:r>
      <w:r w:rsidR="001705A8">
        <w:fldChar w:fldCharType="end"/>
      </w:r>
      <w:r>
        <w:t>, Fuel Surcharge Dockets (2006 to Present)</w:t>
      </w:r>
    </w:p>
    <w:p w:rsidR="00D6544B" w:rsidRDefault="00D6544B" w:rsidP="004B2DED">
      <w:pPr>
        <w:keepNext/>
        <w:spacing w:before="120"/>
        <w:rPr>
          <w:sz w:val="24"/>
        </w:rPr>
      </w:pPr>
    </w:p>
    <w:p w:rsidR="00E9691E" w:rsidRDefault="00407C56" w:rsidP="004B2DED">
      <w:pPr>
        <w:keepNext/>
        <w:spacing w:before="120"/>
        <w:rPr>
          <w:sz w:val="24"/>
        </w:rPr>
      </w:pPr>
      <w:r>
        <w:rPr>
          <w:sz w:val="24"/>
        </w:rPr>
        <w:t xml:space="preserve">With the passage of over five years, </w:t>
      </w:r>
      <w:r w:rsidR="00BE0709">
        <w:rPr>
          <w:sz w:val="24"/>
        </w:rPr>
        <w:t xml:space="preserve">staff </w:t>
      </w:r>
      <w:r>
        <w:rPr>
          <w:sz w:val="24"/>
        </w:rPr>
        <w:t xml:space="preserve">is concerned that </w:t>
      </w:r>
      <w:r w:rsidR="006C11D4">
        <w:rPr>
          <w:sz w:val="24"/>
        </w:rPr>
        <w:t xml:space="preserve">continued </w:t>
      </w:r>
      <w:r w:rsidR="00AA7150">
        <w:rPr>
          <w:sz w:val="24"/>
        </w:rPr>
        <w:t xml:space="preserve">granting </w:t>
      </w:r>
      <w:r w:rsidR="006C11D4">
        <w:rPr>
          <w:sz w:val="24"/>
        </w:rPr>
        <w:t xml:space="preserve">of </w:t>
      </w:r>
      <w:r w:rsidR="00AA7150">
        <w:rPr>
          <w:sz w:val="24"/>
        </w:rPr>
        <w:t xml:space="preserve">short-term fuel surcharges results in rates and fares that </w:t>
      </w:r>
      <w:r>
        <w:rPr>
          <w:sz w:val="24"/>
        </w:rPr>
        <w:t>may not be</w:t>
      </w:r>
      <w:r w:rsidR="00AA7150">
        <w:rPr>
          <w:sz w:val="24"/>
        </w:rPr>
        <w:t xml:space="preserve"> fair, just</w:t>
      </w:r>
      <w:r w:rsidR="00A357C6">
        <w:rPr>
          <w:sz w:val="24"/>
        </w:rPr>
        <w:t>,</w:t>
      </w:r>
      <w:r w:rsidR="00AA7150">
        <w:rPr>
          <w:sz w:val="24"/>
        </w:rPr>
        <w:t xml:space="preserve"> reasonable and sufficient</w:t>
      </w:r>
      <w:r>
        <w:rPr>
          <w:sz w:val="24"/>
        </w:rPr>
        <w:t>.</w:t>
      </w:r>
      <w:r w:rsidR="00AA7150">
        <w:rPr>
          <w:sz w:val="24"/>
        </w:rPr>
        <w:t xml:space="preserve"> Histor</w:t>
      </w:r>
      <w:r w:rsidR="00E9691E">
        <w:rPr>
          <w:sz w:val="24"/>
        </w:rPr>
        <w:t>ically, fuel</w:t>
      </w:r>
      <w:r>
        <w:rPr>
          <w:sz w:val="24"/>
        </w:rPr>
        <w:t xml:space="preserve"> cost</w:t>
      </w:r>
      <w:r w:rsidR="004526BE">
        <w:rPr>
          <w:sz w:val="24"/>
        </w:rPr>
        <w:t>s</w:t>
      </w:r>
      <w:r>
        <w:rPr>
          <w:sz w:val="24"/>
        </w:rPr>
        <w:t xml:space="preserve"> equal </w:t>
      </w:r>
      <w:r w:rsidR="00E9691E">
        <w:rPr>
          <w:sz w:val="24"/>
        </w:rPr>
        <w:t>around seven to nine percent</w:t>
      </w:r>
      <w:r>
        <w:rPr>
          <w:sz w:val="24"/>
        </w:rPr>
        <w:t xml:space="preserve"> of c</w:t>
      </w:r>
      <w:r w:rsidR="004526BE">
        <w:rPr>
          <w:sz w:val="24"/>
        </w:rPr>
        <w:t>o</w:t>
      </w:r>
      <w:r>
        <w:rPr>
          <w:sz w:val="24"/>
        </w:rPr>
        <w:t>mpanies’ total operating expenses. Without periodic examination of thos</w:t>
      </w:r>
      <w:r w:rsidR="004526BE">
        <w:rPr>
          <w:sz w:val="24"/>
        </w:rPr>
        <w:t>e</w:t>
      </w:r>
      <w:r>
        <w:rPr>
          <w:sz w:val="24"/>
        </w:rPr>
        <w:t xml:space="preserve"> operating expenses, single-item adjustments to rates may result in rates that are not in the public interest</w:t>
      </w:r>
      <w:r w:rsidR="00E9691E">
        <w:rPr>
          <w:sz w:val="24"/>
        </w:rPr>
        <w:t>.</w:t>
      </w:r>
      <w:r w:rsidR="00A3218F">
        <w:rPr>
          <w:sz w:val="24"/>
        </w:rPr>
        <w:t xml:space="preserve"> </w:t>
      </w:r>
      <w:r w:rsidR="00A27EB9">
        <w:rPr>
          <w:sz w:val="24"/>
        </w:rPr>
        <w:t xml:space="preserve">  </w:t>
      </w:r>
      <w:r w:rsidR="00E9691E">
        <w:rPr>
          <w:sz w:val="24"/>
        </w:rPr>
        <w:t xml:space="preserve">  </w:t>
      </w:r>
    </w:p>
    <w:p w:rsidR="00D6544B" w:rsidRDefault="00D6544B" w:rsidP="004B2DED">
      <w:pPr>
        <w:keepNext/>
        <w:spacing w:before="120"/>
        <w:rPr>
          <w:sz w:val="24"/>
        </w:rPr>
      </w:pPr>
    </w:p>
    <w:p w:rsidR="00D463C4" w:rsidRDefault="00D463C4" w:rsidP="006432B0">
      <w:pPr>
        <w:keepNext/>
        <w:spacing w:before="120" w:after="120"/>
        <w:jc w:val="center"/>
      </w:pPr>
      <w:r w:rsidRPr="00D463C4">
        <w:rPr>
          <w:noProof/>
        </w:rPr>
        <w:drawing>
          <wp:inline distT="0" distB="0" distL="0" distR="0">
            <wp:extent cx="4219575" cy="2962275"/>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219575" cy="2962275"/>
                    </a:xfrm>
                    <a:prstGeom prst="rect">
                      <a:avLst/>
                    </a:prstGeom>
                    <a:noFill/>
                    <a:ln w="9525">
                      <a:noFill/>
                      <a:miter lim="800000"/>
                      <a:headEnd/>
                      <a:tailEnd/>
                    </a:ln>
                  </pic:spPr>
                </pic:pic>
              </a:graphicData>
            </a:graphic>
          </wp:inline>
        </w:drawing>
      </w:r>
    </w:p>
    <w:p w:rsidR="00D463C4" w:rsidRDefault="00D463C4" w:rsidP="00D463C4">
      <w:pPr>
        <w:pStyle w:val="Caption"/>
        <w:jc w:val="center"/>
      </w:pPr>
      <w:r>
        <w:t xml:space="preserve">Figure </w:t>
      </w:r>
      <w:r w:rsidR="001705A8">
        <w:fldChar w:fldCharType="begin"/>
      </w:r>
      <w:r w:rsidR="003E1C52">
        <w:instrText xml:space="preserve"> SEQ Figure \* ARABIC </w:instrText>
      </w:r>
      <w:r w:rsidR="001705A8">
        <w:fldChar w:fldCharType="separate"/>
      </w:r>
      <w:r w:rsidR="00516CB4">
        <w:rPr>
          <w:noProof/>
        </w:rPr>
        <w:t>1</w:t>
      </w:r>
      <w:r w:rsidR="001705A8">
        <w:fldChar w:fldCharType="end"/>
      </w:r>
      <w:r>
        <w:t xml:space="preserve">, Fuel Surcharge Dockets </w:t>
      </w:r>
      <w:r w:rsidR="006432B0">
        <w:t>versus</w:t>
      </w:r>
      <w:r>
        <w:t xml:space="preserve"> </w:t>
      </w:r>
      <w:r>
        <w:rPr>
          <w:noProof/>
        </w:rPr>
        <w:t>Price Comparison</w:t>
      </w:r>
    </w:p>
    <w:p w:rsidR="00FB262A" w:rsidRPr="00BF1000" w:rsidRDefault="00FB262A" w:rsidP="00FB262A">
      <w:pPr>
        <w:keepNext/>
        <w:spacing w:before="120" w:after="120"/>
        <w:rPr>
          <w:sz w:val="24"/>
        </w:rPr>
      </w:pPr>
      <w:r w:rsidRPr="00BF1000">
        <w:rPr>
          <w:sz w:val="24"/>
        </w:rPr>
        <w:t>Fuel prices have remained steady since June 2009 and are predicted to remain so for the foreseeable future</w:t>
      </w:r>
      <w:r>
        <w:rPr>
          <w:sz w:val="24"/>
        </w:rPr>
        <w:t>,</w:t>
      </w:r>
      <w:r w:rsidRPr="00BF1000">
        <w:rPr>
          <w:sz w:val="24"/>
        </w:rPr>
        <w:t xml:space="preserve"> given current economic conditions and weaker demand. </w:t>
      </w:r>
      <w:r>
        <w:rPr>
          <w:sz w:val="24"/>
        </w:rPr>
        <w:t>Figure 1 illustrates that the steep month</w:t>
      </w:r>
      <w:r w:rsidR="006C11D4">
        <w:rPr>
          <w:sz w:val="24"/>
        </w:rPr>
        <w:t>-to-</w:t>
      </w:r>
      <w:r>
        <w:rPr>
          <w:sz w:val="24"/>
        </w:rPr>
        <w:t xml:space="preserve">month changes </w:t>
      </w:r>
      <w:r w:rsidR="006C11D4">
        <w:rPr>
          <w:sz w:val="24"/>
        </w:rPr>
        <w:t xml:space="preserve">that were </w:t>
      </w:r>
      <w:r>
        <w:rPr>
          <w:sz w:val="24"/>
        </w:rPr>
        <w:t xml:space="preserve">seen from January 2007 through June 2009 are no longer present. </w:t>
      </w:r>
      <w:r w:rsidR="004B2DED">
        <w:rPr>
          <w:sz w:val="24"/>
        </w:rPr>
        <w:t xml:space="preserve">These steep increases were the impetus for creating the </w:t>
      </w:r>
      <w:r w:rsidR="009C0263">
        <w:rPr>
          <w:sz w:val="24"/>
        </w:rPr>
        <w:t xml:space="preserve">simplified </w:t>
      </w:r>
      <w:r w:rsidR="004B2DED">
        <w:rPr>
          <w:sz w:val="24"/>
        </w:rPr>
        <w:t xml:space="preserve">process back in 2005. </w:t>
      </w:r>
      <w:r w:rsidRPr="00BF1000">
        <w:rPr>
          <w:sz w:val="24"/>
        </w:rPr>
        <w:t xml:space="preserve">Consequently, the </w:t>
      </w:r>
      <w:r>
        <w:rPr>
          <w:sz w:val="24"/>
        </w:rPr>
        <w:t>need for a</w:t>
      </w:r>
      <w:r w:rsidR="009C0263">
        <w:rPr>
          <w:sz w:val="24"/>
        </w:rPr>
        <w:t xml:space="preserve"> simplified </w:t>
      </w:r>
      <w:r w:rsidRPr="00BF1000">
        <w:rPr>
          <w:sz w:val="24"/>
        </w:rPr>
        <w:t xml:space="preserve">process to grant fuel surcharges by </w:t>
      </w:r>
      <w:r w:rsidRPr="00BF1000">
        <w:rPr>
          <w:sz w:val="24"/>
        </w:rPr>
        <w:lastRenderedPageBreak/>
        <w:t xml:space="preserve">delegating the authority to </w:t>
      </w:r>
      <w:r>
        <w:rPr>
          <w:sz w:val="24"/>
        </w:rPr>
        <w:t>the secretary no longer exists.</w:t>
      </w:r>
    </w:p>
    <w:p w:rsidR="005A453B" w:rsidRDefault="004526BE" w:rsidP="008D54A7">
      <w:pPr>
        <w:spacing w:before="120" w:after="120"/>
        <w:rPr>
          <w:sz w:val="24"/>
        </w:rPr>
      </w:pPr>
      <w:r>
        <w:rPr>
          <w:sz w:val="24"/>
        </w:rPr>
        <w:t xml:space="preserve">In the absence of the </w:t>
      </w:r>
      <w:r w:rsidR="009C0263">
        <w:rPr>
          <w:sz w:val="24"/>
        </w:rPr>
        <w:t xml:space="preserve">simplified </w:t>
      </w:r>
      <w:r>
        <w:rPr>
          <w:sz w:val="24"/>
        </w:rPr>
        <w:t>process c</w:t>
      </w:r>
      <w:r w:rsidR="008D54A7" w:rsidRPr="008D54A7">
        <w:rPr>
          <w:sz w:val="24"/>
        </w:rPr>
        <w:t>ompanies wishing to increase rates must show that the proposed rates are just, fair, reasonable, and sufficient</w:t>
      </w:r>
      <w:r>
        <w:rPr>
          <w:sz w:val="24"/>
        </w:rPr>
        <w:t xml:space="preserve"> as required by RCW 81.28.010</w:t>
      </w:r>
      <w:r w:rsidR="008D54A7" w:rsidRPr="008D54A7">
        <w:rPr>
          <w:sz w:val="24"/>
        </w:rPr>
        <w:t>.</w:t>
      </w:r>
      <w:r w:rsidR="00CA7097">
        <w:rPr>
          <w:sz w:val="24"/>
        </w:rPr>
        <w:t xml:space="preserve"> Solid waste</w:t>
      </w:r>
      <w:r w:rsidR="005A1B05">
        <w:rPr>
          <w:sz w:val="24"/>
        </w:rPr>
        <w:t xml:space="preserve"> compan</w:t>
      </w:r>
      <w:r w:rsidR="00CA7097">
        <w:rPr>
          <w:sz w:val="24"/>
        </w:rPr>
        <w:t>ies</w:t>
      </w:r>
      <w:r w:rsidR="005A1B05">
        <w:rPr>
          <w:sz w:val="24"/>
        </w:rPr>
        <w:t xml:space="preserve"> </w:t>
      </w:r>
      <w:r w:rsidR="006C11D4">
        <w:rPr>
          <w:sz w:val="24"/>
        </w:rPr>
        <w:t xml:space="preserve">may file </w:t>
      </w:r>
      <w:r w:rsidR="00CA7097">
        <w:rPr>
          <w:sz w:val="24"/>
        </w:rPr>
        <w:t xml:space="preserve">for </w:t>
      </w:r>
      <w:r w:rsidR="005A1B05">
        <w:rPr>
          <w:sz w:val="24"/>
        </w:rPr>
        <w:t xml:space="preserve">a general rate </w:t>
      </w:r>
      <w:r w:rsidR="00CA7097">
        <w:rPr>
          <w:sz w:val="24"/>
        </w:rPr>
        <w:t>increase by</w:t>
      </w:r>
      <w:r w:rsidR="005A1B05">
        <w:rPr>
          <w:sz w:val="24"/>
        </w:rPr>
        <w:t xml:space="preserve"> providing the minimum information required </w:t>
      </w:r>
      <w:r w:rsidR="004B2DED">
        <w:rPr>
          <w:sz w:val="24"/>
        </w:rPr>
        <w:t>by</w:t>
      </w:r>
      <w:r w:rsidR="005A1B05">
        <w:rPr>
          <w:sz w:val="24"/>
        </w:rPr>
        <w:t xml:space="preserve"> WAC 480-07-520.</w:t>
      </w:r>
      <w:r w:rsidR="004649EC">
        <w:rPr>
          <w:sz w:val="24"/>
        </w:rPr>
        <w:t xml:space="preserve"> </w:t>
      </w:r>
      <w:r w:rsidR="00CA7097">
        <w:rPr>
          <w:sz w:val="24"/>
        </w:rPr>
        <w:t xml:space="preserve">The minimum requirements for a general rate increase requested by an auto transportation company are found in WAC 480-30-426. </w:t>
      </w:r>
      <w:r w:rsidR="005A1B05">
        <w:rPr>
          <w:sz w:val="24"/>
        </w:rPr>
        <w:t xml:space="preserve">Alternatively, </w:t>
      </w:r>
      <w:r w:rsidR="00CA7097">
        <w:rPr>
          <w:sz w:val="24"/>
        </w:rPr>
        <w:t xml:space="preserve">any company may petition the commission </w:t>
      </w:r>
      <w:r w:rsidR="005A1B05">
        <w:rPr>
          <w:sz w:val="24"/>
        </w:rPr>
        <w:t>for an exemption to the rule</w:t>
      </w:r>
      <w:r w:rsidR="00CA7097">
        <w:rPr>
          <w:sz w:val="24"/>
        </w:rPr>
        <w:t>s</w:t>
      </w:r>
      <w:r w:rsidR="004B2DED">
        <w:rPr>
          <w:sz w:val="24"/>
        </w:rPr>
        <w:t xml:space="preserve"> as allowed in WAC 480-07-110. </w:t>
      </w:r>
      <w:r w:rsidR="008D54A7" w:rsidRPr="008D54A7">
        <w:rPr>
          <w:sz w:val="24"/>
        </w:rPr>
        <w:t xml:space="preserve">In order to allow affected companies sufficient time to plan, staff recommends that the </w:t>
      </w:r>
      <w:r>
        <w:rPr>
          <w:sz w:val="24"/>
        </w:rPr>
        <w:t xml:space="preserve">expedited process </w:t>
      </w:r>
      <w:r w:rsidR="008D54A7" w:rsidRPr="008D54A7">
        <w:rPr>
          <w:sz w:val="24"/>
        </w:rPr>
        <w:t>remain in place through November 30, 2010.</w:t>
      </w:r>
      <w:r w:rsidR="005A453B" w:rsidRPr="00C1160D">
        <w:rPr>
          <w:sz w:val="24"/>
        </w:rPr>
        <w:t xml:space="preserve"> </w:t>
      </w:r>
    </w:p>
    <w:p w:rsidR="00982307" w:rsidRDefault="00982307" w:rsidP="008D54A7">
      <w:pPr>
        <w:spacing w:before="120" w:after="120"/>
        <w:rPr>
          <w:b/>
          <w:sz w:val="24"/>
          <w:u w:val="single"/>
        </w:rPr>
      </w:pPr>
    </w:p>
    <w:p w:rsidR="004526BE" w:rsidRDefault="004526BE" w:rsidP="008D54A7">
      <w:pPr>
        <w:spacing w:before="120" w:after="120"/>
        <w:rPr>
          <w:b/>
          <w:sz w:val="24"/>
          <w:u w:val="single"/>
        </w:rPr>
      </w:pPr>
      <w:r>
        <w:rPr>
          <w:b/>
          <w:sz w:val="24"/>
          <w:u w:val="single"/>
        </w:rPr>
        <w:t>Public Comment</w:t>
      </w:r>
    </w:p>
    <w:p w:rsidR="00022DC8" w:rsidRDefault="00022DC8" w:rsidP="00022DC8">
      <w:pPr>
        <w:rPr>
          <w:sz w:val="24"/>
        </w:rPr>
      </w:pPr>
      <w:r>
        <w:rPr>
          <w:sz w:val="24"/>
        </w:rPr>
        <w:t>On September 14, 2010, commission staff notified affected companies by mail and electronic mail of proposed changes to the fuel surcharge process. The commission received two company comments on the filings; one opposed and one undecided.</w:t>
      </w:r>
    </w:p>
    <w:p w:rsidR="009C0263" w:rsidRDefault="009C0263" w:rsidP="00022DC8">
      <w:pPr>
        <w:rPr>
          <w:sz w:val="24"/>
        </w:rPr>
      </w:pPr>
    </w:p>
    <w:p w:rsidR="00022DC8" w:rsidRDefault="00022DC8" w:rsidP="00022DC8">
      <w:pPr>
        <w:rPr>
          <w:sz w:val="24"/>
        </w:rPr>
      </w:pPr>
      <w:r>
        <w:rPr>
          <w:sz w:val="24"/>
        </w:rPr>
        <w:t xml:space="preserve">Consumer Protection staff advised customers that they may access company documents about this rate case at </w:t>
      </w:r>
      <w:hyperlink r:id="rId12" w:history="1">
        <w:r w:rsidRPr="004374C7">
          <w:rPr>
            <w:rStyle w:val="Hyperlink"/>
            <w:sz w:val="24"/>
          </w:rPr>
          <w:t>www.utc.wa.gov</w:t>
        </w:r>
      </w:hyperlink>
      <w:r>
        <w:rPr>
          <w:sz w:val="24"/>
        </w:rPr>
        <w:t>, and that they may contact Roger Kouchi at 1-888-333-9882.</w:t>
      </w:r>
    </w:p>
    <w:p w:rsidR="00022DC8" w:rsidRDefault="00022DC8" w:rsidP="00022DC8">
      <w:pPr>
        <w:rPr>
          <w:sz w:val="24"/>
        </w:rPr>
      </w:pPr>
    </w:p>
    <w:p w:rsidR="00022DC8" w:rsidRDefault="00022DC8" w:rsidP="00022DC8">
      <w:pPr>
        <w:rPr>
          <w:sz w:val="24"/>
        </w:rPr>
      </w:pPr>
      <w:r>
        <w:rPr>
          <w:b/>
          <w:sz w:val="24"/>
        </w:rPr>
        <w:t>Business Practice Comments</w:t>
      </w:r>
    </w:p>
    <w:p w:rsidR="00022DC8" w:rsidRPr="00887721" w:rsidRDefault="00022DC8" w:rsidP="00022DC8">
      <w:pPr>
        <w:pStyle w:val="ListParagraph"/>
        <w:numPr>
          <w:ilvl w:val="0"/>
          <w:numId w:val="16"/>
        </w:numPr>
        <w:spacing w:after="0" w:line="240" w:lineRule="auto"/>
        <w:rPr>
          <w:rFonts w:ascii="Times New Roman" w:hAnsi="Times New Roman" w:cs="Times New Roman"/>
          <w:b/>
          <w:sz w:val="24"/>
          <w:szCs w:val="24"/>
        </w:rPr>
      </w:pPr>
      <w:r w:rsidRPr="00887721">
        <w:rPr>
          <w:rFonts w:ascii="Times New Roman" w:hAnsi="Times New Roman" w:cs="Times New Roman"/>
          <w:sz w:val="24"/>
          <w:szCs w:val="24"/>
        </w:rPr>
        <w:t>Consumer wanted a copy of all the documentation regarding staff’s review.</w:t>
      </w:r>
    </w:p>
    <w:p w:rsidR="00022DC8" w:rsidRPr="00887721" w:rsidRDefault="00022DC8" w:rsidP="00022DC8">
      <w:pPr>
        <w:ind w:left="360"/>
        <w:rPr>
          <w:b/>
          <w:sz w:val="24"/>
        </w:rPr>
      </w:pPr>
    </w:p>
    <w:p w:rsidR="00022DC8" w:rsidRDefault="00022DC8" w:rsidP="00022DC8">
      <w:pPr>
        <w:pStyle w:val="ListParagraph"/>
        <w:numPr>
          <w:ilvl w:val="0"/>
          <w:numId w:val="16"/>
        </w:numPr>
        <w:spacing w:after="0" w:line="240" w:lineRule="auto"/>
        <w:rPr>
          <w:rFonts w:ascii="Times New Roman" w:hAnsi="Times New Roman" w:cs="Times New Roman"/>
          <w:b/>
          <w:sz w:val="24"/>
          <w:szCs w:val="24"/>
        </w:rPr>
      </w:pPr>
      <w:r w:rsidRPr="00887721">
        <w:rPr>
          <w:rFonts w:ascii="Times New Roman" w:hAnsi="Times New Roman" w:cs="Times New Roman"/>
          <w:b/>
          <w:sz w:val="24"/>
          <w:szCs w:val="24"/>
        </w:rPr>
        <w:t>Staff Response</w:t>
      </w:r>
    </w:p>
    <w:p w:rsidR="00022DC8" w:rsidRDefault="00022DC8" w:rsidP="00022DC8">
      <w:pPr>
        <w:ind w:left="720"/>
        <w:rPr>
          <w:sz w:val="24"/>
        </w:rPr>
      </w:pPr>
      <w:r>
        <w:rPr>
          <w:sz w:val="24"/>
        </w:rPr>
        <w:t>Staff provided the requested documents to the company. Staff also provided an explanation of a general rate case process.</w:t>
      </w:r>
    </w:p>
    <w:p w:rsidR="00022DC8" w:rsidRDefault="00022DC8" w:rsidP="00022DC8">
      <w:pPr>
        <w:rPr>
          <w:b/>
          <w:sz w:val="24"/>
        </w:rPr>
      </w:pPr>
    </w:p>
    <w:p w:rsidR="00022DC8" w:rsidRPr="00E67D39" w:rsidRDefault="00022DC8" w:rsidP="00022DC8">
      <w:pPr>
        <w:rPr>
          <w:sz w:val="24"/>
        </w:rPr>
      </w:pPr>
      <w:r>
        <w:rPr>
          <w:b/>
          <w:sz w:val="24"/>
        </w:rPr>
        <w:t>General Comments</w:t>
      </w:r>
    </w:p>
    <w:p w:rsidR="009C0263" w:rsidRDefault="00022DC8" w:rsidP="009C0263">
      <w:pPr>
        <w:pStyle w:val="ListParagraph"/>
        <w:numPr>
          <w:ilvl w:val="0"/>
          <w:numId w:val="15"/>
        </w:numPr>
        <w:spacing w:after="0" w:line="240" w:lineRule="auto"/>
        <w:ind w:left="720"/>
        <w:rPr>
          <w:rFonts w:ascii="Times New Roman" w:hAnsi="Times New Roman" w:cs="Times New Roman"/>
          <w:b/>
          <w:sz w:val="24"/>
          <w:szCs w:val="24"/>
        </w:rPr>
      </w:pPr>
      <w:r w:rsidRPr="009C0263">
        <w:rPr>
          <w:rFonts w:ascii="Times New Roman" w:hAnsi="Times New Roman" w:cs="Times New Roman"/>
          <w:sz w:val="24"/>
          <w:szCs w:val="24"/>
        </w:rPr>
        <w:t>Company opposed any changes to the current fuel surcharge process. The company believes that the current fuel charge process is working satisfactorily and reverting back to the process of submitting petitions or general rate requests would be burdensome.</w:t>
      </w:r>
      <w:r w:rsidRPr="009C0263">
        <w:rPr>
          <w:rFonts w:ascii="Times New Roman" w:hAnsi="Times New Roman" w:cs="Times New Roman"/>
          <w:b/>
          <w:sz w:val="24"/>
          <w:szCs w:val="24"/>
        </w:rPr>
        <w:t xml:space="preserve"> </w:t>
      </w:r>
      <w:r w:rsidR="009C0263">
        <w:rPr>
          <w:rFonts w:ascii="Times New Roman" w:hAnsi="Times New Roman" w:cs="Times New Roman"/>
          <w:b/>
          <w:sz w:val="24"/>
          <w:szCs w:val="24"/>
        </w:rPr>
        <w:br/>
      </w:r>
    </w:p>
    <w:p w:rsidR="00022DC8" w:rsidRPr="009C0263" w:rsidRDefault="00022DC8" w:rsidP="009C0263">
      <w:pPr>
        <w:pStyle w:val="ListParagraph"/>
        <w:numPr>
          <w:ilvl w:val="0"/>
          <w:numId w:val="15"/>
        </w:numPr>
        <w:spacing w:after="0" w:line="240" w:lineRule="auto"/>
        <w:ind w:left="360" w:firstLine="0"/>
        <w:rPr>
          <w:rFonts w:ascii="Times New Roman" w:hAnsi="Times New Roman" w:cs="Times New Roman"/>
          <w:b/>
          <w:sz w:val="24"/>
          <w:szCs w:val="24"/>
        </w:rPr>
      </w:pPr>
      <w:r w:rsidRPr="009C0263">
        <w:rPr>
          <w:rFonts w:ascii="Times New Roman" w:hAnsi="Times New Roman" w:cs="Times New Roman"/>
          <w:b/>
          <w:sz w:val="24"/>
          <w:szCs w:val="24"/>
        </w:rPr>
        <w:t>Staff Response</w:t>
      </w:r>
    </w:p>
    <w:p w:rsidR="004526BE" w:rsidRPr="00A71004" w:rsidRDefault="00022DC8" w:rsidP="00A71004">
      <w:pPr>
        <w:ind w:left="720"/>
        <w:rPr>
          <w:sz w:val="24"/>
        </w:rPr>
      </w:pPr>
      <w:r>
        <w:rPr>
          <w:sz w:val="24"/>
        </w:rPr>
        <w:t>State law requires rates to be fair and reasonable, and sufficient to allow the company the opportunity to recover reasonable operating expenses and earn a reasonable return on investment. Staff provided company background documentation of the fuel surcharge expedited process and a summary of the rate making process. Staff informed the company of the public comment process and the date of the open meeting.</w:t>
      </w:r>
    </w:p>
    <w:p w:rsidR="000A20A6" w:rsidRPr="00C1160D" w:rsidRDefault="000A20A6" w:rsidP="0029330E">
      <w:pPr>
        <w:spacing w:before="120" w:after="120"/>
        <w:rPr>
          <w:b/>
          <w:sz w:val="24"/>
          <w:u w:val="single"/>
        </w:rPr>
      </w:pPr>
      <w:r w:rsidRPr="00C1160D">
        <w:rPr>
          <w:b/>
          <w:sz w:val="24"/>
          <w:u w:val="single"/>
        </w:rPr>
        <w:t>Conclusion</w:t>
      </w:r>
    </w:p>
    <w:p w:rsidR="009831A6" w:rsidRDefault="00510880" w:rsidP="002933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510880">
        <w:rPr>
          <w:sz w:val="24"/>
        </w:rPr>
        <w:t xml:space="preserve">Staff </w:t>
      </w:r>
      <w:r w:rsidR="00A357C6">
        <w:rPr>
          <w:sz w:val="24"/>
        </w:rPr>
        <w:t>recommends</w:t>
      </w:r>
      <w:r w:rsidRPr="00510880">
        <w:rPr>
          <w:sz w:val="24"/>
        </w:rPr>
        <w:t xml:space="preserve"> that </w:t>
      </w:r>
      <w:r w:rsidR="00C316D6">
        <w:rPr>
          <w:sz w:val="24"/>
        </w:rPr>
        <w:t xml:space="preserve">the </w:t>
      </w:r>
      <w:r w:rsidRPr="00510880">
        <w:rPr>
          <w:sz w:val="24"/>
        </w:rPr>
        <w:t xml:space="preserve">delegation of authority to approve fuel surcharge requests </w:t>
      </w:r>
      <w:r>
        <w:rPr>
          <w:sz w:val="24"/>
        </w:rPr>
        <w:t xml:space="preserve">is no longer necessary and that the commission rescind </w:t>
      </w:r>
      <w:r w:rsidRPr="008D54A7">
        <w:rPr>
          <w:sz w:val="24"/>
        </w:rPr>
        <w:t>Order 02, Docket No. A-042090, dated April 27, 2005</w:t>
      </w:r>
      <w:r w:rsidR="00C316D6">
        <w:rPr>
          <w:sz w:val="24"/>
        </w:rPr>
        <w:t>,</w:t>
      </w:r>
      <w:r w:rsidRPr="008D54A7">
        <w:rPr>
          <w:sz w:val="24"/>
        </w:rPr>
        <w:t xml:space="preserve"> effective November 30, 2010.</w:t>
      </w:r>
      <w:r w:rsidR="00A71004">
        <w:rPr>
          <w:sz w:val="24"/>
        </w:rPr>
        <w:t xml:space="preserve"> Staff further recommends that the simplified process informally adopted for solid waste companies </w:t>
      </w:r>
      <w:r w:rsidR="00C316D6">
        <w:rPr>
          <w:sz w:val="24"/>
        </w:rPr>
        <w:t xml:space="preserve">no longer be offered. </w:t>
      </w:r>
    </w:p>
    <w:sectPr w:rsidR="009831A6" w:rsidSect="004B2DED">
      <w:headerReference w:type="default" r:id="rId13"/>
      <w:endnotePr>
        <w:numFmt w:val="decimal"/>
      </w:endnotePr>
      <w:pgSz w:w="12240" w:h="15840" w:code="1"/>
      <w:pgMar w:top="1170" w:right="1440" w:bottom="900" w:left="1440" w:header="5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F70" w:rsidRDefault="005B0F70">
      <w:r>
        <w:separator/>
      </w:r>
    </w:p>
  </w:endnote>
  <w:endnote w:type="continuationSeparator" w:id="0">
    <w:p w:rsidR="005B0F70" w:rsidRDefault="005B0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F70" w:rsidRDefault="005B0F70">
      <w:r>
        <w:separator/>
      </w:r>
    </w:p>
  </w:footnote>
  <w:footnote w:type="continuationSeparator" w:id="0">
    <w:p w:rsidR="005B0F70" w:rsidRDefault="005B0F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4AA" w:rsidRPr="001E37F0" w:rsidRDefault="007F04AA">
    <w:pPr>
      <w:spacing w:line="238" w:lineRule="auto"/>
    </w:pPr>
    <w:r w:rsidRPr="001E37F0">
      <w:t xml:space="preserve">Docket </w:t>
    </w:r>
    <w:r w:rsidR="003A6AEB">
      <w:t>A-042090</w:t>
    </w:r>
  </w:p>
  <w:p w:rsidR="007F04AA" w:rsidRDefault="003A6AEB">
    <w:pPr>
      <w:spacing w:line="238" w:lineRule="auto"/>
    </w:pPr>
    <w:r>
      <w:t>September</w:t>
    </w:r>
    <w:r w:rsidR="00DB49F4">
      <w:t xml:space="preserve"> 30</w:t>
    </w:r>
    <w:r w:rsidR="007F04AA" w:rsidRPr="001E37F0">
      <w:t>, 20</w:t>
    </w:r>
    <w:r>
      <w:t>10</w:t>
    </w:r>
  </w:p>
  <w:p w:rsidR="007F04AA" w:rsidRDefault="007F04AA" w:rsidP="008171DD">
    <w:pPr>
      <w:spacing w:line="238" w:lineRule="auto"/>
      <w:rPr>
        <w:rStyle w:val="PageNumber"/>
      </w:rPr>
    </w:pPr>
    <w:r w:rsidRPr="001E37F0">
      <w:t xml:space="preserve">Page </w:t>
    </w:r>
    <w:r w:rsidR="001705A8" w:rsidRPr="001E37F0">
      <w:rPr>
        <w:rStyle w:val="PageNumber"/>
      </w:rPr>
      <w:fldChar w:fldCharType="begin"/>
    </w:r>
    <w:r w:rsidRPr="001E37F0">
      <w:rPr>
        <w:rStyle w:val="PageNumber"/>
      </w:rPr>
      <w:instrText xml:space="preserve"> PAGE </w:instrText>
    </w:r>
    <w:r w:rsidR="001705A8" w:rsidRPr="001E37F0">
      <w:rPr>
        <w:rStyle w:val="PageNumber"/>
      </w:rPr>
      <w:fldChar w:fldCharType="separate"/>
    </w:r>
    <w:r w:rsidR="00A42B7D">
      <w:rPr>
        <w:rStyle w:val="PageNumber"/>
        <w:noProof/>
      </w:rPr>
      <w:t>3</w:t>
    </w:r>
    <w:r w:rsidR="001705A8" w:rsidRPr="001E37F0">
      <w:rPr>
        <w:rStyle w:val="PageNumber"/>
      </w:rPr>
      <w:fldChar w:fldCharType="end"/>
    </w:r>
  </w:p>
  <w:p w:rsidR="007F04AA" w:rsidRDefault="007F04AA" w:rsidP="008171DD">
    <w:pPr>
      <w:spacing w:line="238" w:lineRule="auto"/>
    </w:pPr>
  </w:p>
  <w:p w:rsidR="007F04AA" w:rsidRPr="001E37F0" w:rsidRDefault="007F04AA" w:rsidP="008171DD">
    <w:pPr>
      <w:spacing w:line="238"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DA2"/>
    <w:multiLevelType w:val="hybridMultilevel"/>
    <w:tmpl w:val="AE6CE71C"/>
    <w:lvl w:ilvl="0" w:tplc="9A74CA24">
      <w:start w:val="1"/>
      <w:numFmt w:val="lowerLetter"/>
      <w:lvlText w:val="%1."/>
      <w:lvlJc w:val="left"/>
      <w:pPr>
        <w:tabs>
          <w:tab w:val="num" w:pos="1800"/>
        </w:tabs>
        <w:ind w:left="1800" w:hanging="360"/>
      </w:pPr>
      <w:rPr>
        <w:rFonts w:hint="default"/>
        <w:b w:val="0"/>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A3414EB"/>
    <w:multiLevelType w:val="hybridMultilevel"/>
    <w:tmpl w:val="5A8C0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F05CF"/>
    <w:multiLevelType w:val="hybridMultilevel"/>
    <w:tmpl w:val="86C0D5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FD1212"/>
    <w:multiLevelType w:val="hybridMultilevel"/>
    <w:tmpl w:val="7F90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E1AD1"/>
    <w:multiLevelType w:val="hybridMultilevel"/>
    <w:tmpl w:val="E9FCFB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C06873"/>
    <w:multiLevelType w:val="hybridMultilevel"/>
    <w:tmpl w:val="B4385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8E2B15"/>
    <w:multiLevelType w:val="hybridMultilevel"/>
    <w:tmpl w:val="8B385032"/>
    <w:lvl w:ilvl="0" w:tplc="FFFFFFFF">
      <w:start w:val="1"/>
      <w:numFmt w:val="decimal"/>
      <w:lvlText w:val="%1"/>
      <w:lvlJc w:val="left"/>
      <w:pPr>
        <w:tabs>
          <w:tab w:val="num" w:pos="0"/>
        </w:tabs>
        <w:ind w:left="0" w:hanging="720"/>
      </w:pPr>
      <w:rPr>
        <w:rFonts w:ascii="Times New Roman" w:hAnsi="Times New Roman" w:hint="default"/>
        <w:b w:val="0"/>
        <w:i/>
        <w:sz w:val="20"/>
      </w:rPr>
    </w:lvl>
    <w:lvl w:ilvl="1" w:tplc="E01088DC">
      <w:start w:val="3"/>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CA816B8"/>
    <w:multiLevelType w:val="hybridMultilevel"/>
    <w:tmpl w:val="6FFA465C"/>
    <w:lvl w:ilvl="0" w:tplc="3BB62828">
      <w:start w:val="1"/>
      <w:numFmt w:val="bullet"/>
      <w:lvlText w:val=""/>
      <w:lvlJc w:val="left"/>
      <w:pPr>
        <w:tabs>
          <w:tab w:val="num" w:pos="1440"/>
        </w:tabs>
        <w:ind w:left="144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774A3A"/>
    <w:multiLevelType w:val="hybridMultilevel"/>
    <w:tmpl w:val="D088A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25F28"/>
    <w:multiLevelType w:val="hybridMultilevel"/>
    <w:tmpl w:val="5DB6AC36"/>
    <w:lvl w:ilvl="0" w:tplc="6464D1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D83E65"/>
    <w:multiLevelType w:val="hybridMultilevel"/>
    <w:tmpl w:val="8A0EDCA0"/>
    <w:lvl w:ilvl="0" w:tplc="04090005">
      <w:start w:val="1"/>
      <w:numFmt w:val="bullet"/>
      <w:lvlText w:val=""/>
      <w:lvlJc w:val="left"/>
      <w:pPr>
        <w:ind w:left="5400" w:hanging="360"/>
      </w:pPr>
      <w:rPr>
        <w:rFonts w:ascii="Wingdings" w:hAnsi="Wingdings"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2">
    <w:nsid w:val="56B8235F"/>
    <w:multiLevelType w:val="hybridMultilevel"/>
    <w:tmpl w:val="3D72B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EB2476"/>
    <w:multiLevelType w:val="hybridMultilevel"/>
    <w:tmpl w:val="02D26C0A"/>
    <w:lvl w:ilvl="0" w:tplc="04090011">
      <w:start w:val="1"/>
      <w:numFmt w:val="decimal"/>
      <w:lvlText w:val="%1)"/>
      <w:lvlJc w:val="left"/>
      <w:pPr>
        <w:tabs>
          <w:tab w:val="num" w:pos="1080"/>
        </w:tabs>
        <w:ind w:left="108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E46A43"/>
    <w:multiLevelType w:val="hybridMultilevel"/>
    <w:tmpl w:val="70C01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7361F2"/>
    <w:multiLevelType w:val="multilevel"/>
    <w:tmpl w:val="20A474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2142C3D"/>
    <w:multiLevelType w:val="hybridMultilevel"/>
    <w:tmpl w:val="C3485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9"/>
  </w:num>
  <w:num w:numId="4">
    <w:abstractNumId w:val="6"/>
  </w:num>
  <w:num w:numId="5">
    <w:abstractNumId w:val="5"/>
  </w:num>
  <w:num w:numId="6">
    <w:abstractNumId w:val="13"/>
  </w:num>
  <w:num w:numId="7">
    <w:abstractNumId w:val="0"/>
  </w:num>
  <w:num w:numId="8">
    <w:abstractNumId w:val="15"/>
  </w:num>
  <w:num w:numId="9">
    <w:abstractNumId w:val="12"/>
  </w:num>
  <w:num w:numId="10">
    <w:abstractNumId w:val="7"/>
  </w:num>
  <w:num w:numId="11">
    <w:abstractNumId w:val="1"/>
  </w:num>
  <w:num w:numId="12">
    <w:abstractNumId w:val="2"/>
  </w:num>
  <w:num w:numId="13">
    <w:abstractNumId w:val="3"/>
  </w:num>
  <w:num w:numId="14">
    <w:abstractNumId w:val="14"/>
  </w:num>
  <w:num w:numId="15">
    <w:abstractNumId w:val="11"/>
  </w:num>
  <w:num w:numId="16">
    <w:abstractNumId w:val="8"/>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activeWritingStyle w:appName="MSWord" w:lang="en-US" w:vendorID="64" w:dllVersion="131078" w:nlCheck="1" w:checkStyle="1"/>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7155BE"/>
    <w:rsid w:val="0000098F"/>
    <w:rsid w:val="00000B7A"/>
    <w:rsid w:val="00013191"/>
    <w:rsid w:val="00015D37"/>
    <w:rsid w:val="00016719"/>
    <w:rsid w:val="00022DC8"/>
    <w:rsid w:val="00023953"/>
    <w:rsid w:val="00025A02"/>
    <w:rsid w:val="0003247B"/>
    <w:rsid w:val="00036644"/>
    <w:rsid w:val="000400A1"/>
    <w:rsid w:val="00041309"/>
    <w:rsid w:val="00055129"/>
    <w:rsid w:val="000636C2"/>
    <w:rsid w:val="000642F2"/>
    <w:rsid w:val="00072E8D"/>
    <w:rsid w:val="000818C9"/>
    <w:rsid w:val="00084B3B"/>
    <w:rsid w:val="00085B6B"/>
    <w:rsid w:val="0009264D"/>
    <w:rsid w:val="000A065E"/>
    <w:rsid w:val="000A20A6"/>
    <w:rsid w:val="000A2DEB"/>
    <w:rsid w:val="000A2FD7"/>
    <w:rsid w:val="000A300D"/>
    <w:rsid w:val="000A7F44"/>
    <w:rsid w:val="000B200E"/>
    <w:rsid w:val="000E40CC"/>
    <w:rsid w:val="000E67FF"/>
    <w:rsid w:val="000F2262"/>
    <w:rsid w:val="000F23B0"/>
    <w:rsid w:val="00101488"/>
    <w:rsid w:val="00102FB7"/>
    <w:rsid w:val="00111729"/>
    <w:rsid w:val="0011619E"/>
    <w:rsid w:val="0012383D"/>
    <w:rsid w:val="00137FE5"/>
    <w:rsid w:val="001415EA"/>
    <w:rsid w:val="001444E9"/>
    <w:rsid w:val="001456C2"/>
    <w:rsid w:val="001576B4"/>
    <w:rsid w:val="00157E3E"/>
    <w:rsid w:val="00161E35"/>
    <w:rsid w:val="00162DA6"/>
    <w:rsid w:val="00164BEE"/>
    <w:rsid w:val="001705A8"/>
    <w:rsid w:val="00175973"/>
    <w:rsid w:val="00180222"/>
    <w:rsid w:val="001A140C"/>
    <w:rsid w:val="001A5D17"/>
    <w:rsid w:val="001A6427"/>
    <w:rsid w:val="001C606E"/>
    <w:rsid w:val="001D24B6"/>
    <w:rsid w:val="001D28F3"/>
    <w:rsid w:val="001D7AF0"/>
    <w:rsid w:val="001E213D"/>
    <w:rsid w:val="001E37F0"/>
    <w:rsid w:val="001E641B"/>
    <w:rsid w:val="001F1C4B"/>
    <w:rsid w:val="001F2F15"/>
    <w:rsid w:val="00207C1E"/>
    <w:rsid w:val="00210646"/>
    <w:rsid w:val="00223D3B"/>
    <w:rsid w:val="00230D79"/>
    <w:rsid w:val="00233E81"/>
    <w:rsid w:val="002348E0"/>
    <w:rsid w:val="0023529F"/>
    <w:rsid w:val="00244C8C"/>
    <w:rsid w:val="0025081B"/>
    <w:rsid w:val="00250844"/>
    <w:rsid w:val="002520CC"/>
    <w:rsid w:val="00257EB7"/>
    <w:rsid w:val="00260D5A"/>
    <w:rsid w:val="002764F3"/>
    <w:rsid w:val="00277817"/>
    <w:rsid w:val="00292A63"/>
    <w:rsid w:val="00292B0C"/>
    <w:rsid w:val="0029330E"/>
    <w:rsid w:val="0029365C"/>
    <w:rsid w:val="0029535A"/>
    <w:rsid w:val="00296277"/>
    <w:rsid w:val="002A1B14"/>
    <w:rsid w:val="002A56ED"/>
    <w:rsid w:val="002A5D58"/>
    <w:rsid w:val="002B0D1E"/>
    <w:rsid w:val="002C1D40"/>
    <w:rsid w:val="002C4E20"/>
    <w:rsid w:val="002D483C"/>
    <w:rsid w:val="002D7C21"/>
    <w:rsid w:val="002E5D1D"/>
    <w:rsid w:val="002F173E"/>
    <w:rsid w:val="002F1D4A"/>
    <w:rsid w:val="002F3C9B"/>
    <w:rsid w:val="003019AC"/>
    <w:rsid w:val="0030456A"/>
    <w:rsid w:val="003050B8"/>
    <w:rsid w:val="00306892"/>
    <w:rsid w:val="00317CAB"/>
    <w:rsid w:val="00321120"/>
    <w:rsid w:val="00324205"/>
    <w:rsid w:val="00341F82"/>
    <w:rsid w:val="00342233"/>
    <w:rsid w:val="003429C9"/>
    <w:rsid w:val="0034620C"/>
    <w:rsid w:val="003653E6"/>
    <w:rsid w:val="0038242B"/>
    <w:rsid w:val="00394527"/>
    <w:rsid w:val="00397A66"/>
    <w:rsid w:val="003A0CDA"/>
    <w:rsid w:val="003A5C3A"/>
    <w:rsid w:val="003A6AEB"/>
    <w:rsid w:val="003C1361"/>
    <w:rsid w:val="003C45CA"/>
    <w:rsid w:val="003D7349"/>
    <w:rsid w:val="003E1C52"/>
    <w:rsid w:val="003E4343"/>
    <w:rsid w:val="003F1F7D"/>
    <w:rsid w:val="003F58E1"/>
    <w:rsid w:val="004038B0"/>
    <w:rsid w:val="00407C56"/>
    <w:rsid w:val="0042096A"/>
    <w:rsid w:val="004428A2"/>
    <w:rsid w:val="00444C41"/>
    <w:rsid w:val="004526BE"/>
    <w:rsid w:val="004536CB"/>
    <w:rsid w:val="0045500C"/>
    <w:rsid w:val="004572AC"/>
    <w:rsid w:val="004649EC"/>
    <w:rsid w:val="00471221"/>
    <w:rsid w:val="004721BB"/>
    <w:rsid w:val="004733E4"/>
    <w:rsid w:val="00473625"/>
    <w:rsid w:val="004827C9"/>
    <w:rsid w:val="004841B5"/>
    <w:rsid w:val="004854A3"/>
    <w:rsid w:val="004B2DED"/>
    <w:rsid w:val="004C0E3B"/>
    <w:rsid w:val="004C340D"/>
    <w:rsid w:val="004D32D9"/>
    <w:rsid w:val="004D73A5"/>
    <w:rsid w:val="004F2CFD"/>
    <w:rsid w:val="004F67A4"/>
    <w:rsid w:val="0050786E"/>
    <w:rsid w:val="00510880"/>
    <w:rsid w:val="00516CB4"/>
    <w:rsid w:val="0052285A"/>
    <w:rsid w:val="0052310E"/>
    <w:rsid w:val="0053304C"/>
    <w:rsid w:val="00533112"/>
    <w:rsid w:val="005357F1"/>
    <w:rsid w:val="00551F5D"/>
    <w:rsid w:val="00561A13"/>
    <w:rsid w:val="005770E2"/>
    <w:rsid w:val="00591778"/>
    <w:rsid w:val="005A1B05"/>
    <w:rsid w:val="005A20AE"/>
    <w:rsid w:val="005A25E6"/>
    <w:rsid w:val="005A453B"/>
    <w:rsid w:val="005A6542"/>
    <w:rsid w:val="005B0F70"/>
    <w:rsid w:val="005C0529"/>
    <w:rsid w:val="005C27C6"/>
    <w:rsid w:val="005D418F"/>
    <w:rsid w:val="005D5BC1"/>
    <w:rsid w:val="005E22C9"/>
    <w:rsid w:val="005F65F4"/>
    <w:rsid w:val="005F766C"/>
    <w:rsid w:val="00604395"/>
    <w:rsid w:val="00612BCF"/>
    <w:rsid w:val="00622159"/>
    <w:rsid w:val="0062425F"/>
    <w:rsid w:val="006432B0"/>
    <w:rsid w:val="006539DB"/>
    <w:rsid w:val="00656733"/>
    <w:rsid w:val="00663672"/>
    <w:rsid w:val="00665D84"/>
    <w:rsid w:val="00670A0B"/>
    <w:rsid w:val="00674E59"/>
    <w:rsid w:val="0067567B"/>
    <w:rsid w:val="00683625"/>
    <w:rsid w:val="00690460"/>
    <w:rsid w:val="006957B1"/>
    <w:rsid w:val="006A6116"/>
    <w:rsid w:val="006B56F6"/>
    <w:rsid w:val="006B71F2"/>
    <w:rsid w:val="006B7F3B"/>
    <w:rsid w:val="006C11D4"/>
    <w:rsid w:val="006C46E4"/>
    <w:rsid w:val="006C47CD"/>
    <w:rsid w:val="006C5719"/>
    <w:rsid w:val="006D05F0"/>
    <w:rsid w:val="006D077C"/>
    <w:rsid w:val="006D1C3C"/>
    <w:rsid w:val="006E00BF"/>
    <w:rsid w:val="006E2212"/>
    <w:rsid w:val="006E63F7"/>
    <w:rsid w:val="006E7498"/>
    <w:rsid w:val="007101D8"/>
    <w:rsid w:val="007155BE"/>
    <w:rsid w:val="0073318B"/>
    <w:rsid w:val="00741E8E"/>
    <w:rsid w:val="00746213"/>
    <w:rsid w:val="00756531"/>
    <w:rsid w:val="00767C0A"/>
    <w:rsid w:val="00771414"/>
    <w:rsid w:val="007752E5"/>
    <w:rsid w:val="00781341"/>
    <w:rsid w:val="00785BD8"/>
    <w:rsid w:val="00787514"/>
    <w:rsid w:val="00792C9E"/>
    <w:rsid w:val="00796486"/>
    <w:rsid w:val="007A05DD"/>
    <w:rsid w:val="007B2A50"/>
    <w:rsid w:val="007C4560"/>
    <w:rsid w:val="007D3905"/>
    <w:rsid w:val="007D6F2E"/>
    <w:rsid w:val="007E6FA5"/>
    <w:rsid w:val="007F001E"/>
    <w:rsid w:val="007F04AA"/>
    <w:rsid w:val="007F0A9C"/>
    <w:rsid w:val="007F0C55"/>
    <w:rsid w:val="007F158A"/>
    <w:rsid w:val="00804E02"/>
    <w:rsid w:val="00816051"/>
    <w:rsid w:val="008171DD"/>
    <w:rsid w:val="00817B7D"/>
    <w:rsid w:val="00821861"/>
    <w:rsid w:val="00823DFD"/>
    <w:rsid w:val="008264A4"/>
    <w:rsid w:val="00832AA3"/>
    <w:rsid w:val="00840205"/>
    <w:rsid w:val="00842072"/>
    <w:rsid w:val="008428DC"/>
    <w:rsid w:val="00843752"/>
    <w:rsid w:val="008506EB"/>
    <w:rsid w:val="00867CEF"/>
    <w:rsid w:val="00891FDB"/>
    <w:rsid w:val="00893EC3"/>
    <w:rsid w:val="00896A32"/>
    <w:rsid w:val="008A4827"/>
    <w:rsid w:val="008A5620"/>
    <w:rsid w:val="008A674C"/>
    <w:rsid w:val="008B3A07"/>
    <w:rsid w:val="008B496C"/>
    <w:rsid w:val="008B66BD"/>
    <w:rsid w:val="008D54A7"/>
    <w:rsid w:val="008D6D44"/>
    <w:rsid w:val="008E13CC"/>
    <w:rsid w:val="008E1E32"/>
    <w:rsid w:val="008E33F2"/>
    <w:rsid w:val="008E3AB8"/>
    <w:rsid w:val="009010CA"/>
    <w:rsid w:val="00903495"/>
    <w:rsid w:val="009034DF"/>
    <w:rsid w:val="00907374"/>
    <w:rsid w:val="00921DA3"/>
    <w:rsid w:val="009232AA"/>
    <w:rsid w:val="009368BC"/>
    <w:rsid w:val="00936ABC"/>
    <w:rsid w:val="00941AF1"/>
    <w:rsid w:val="00944F01"/>
    <w:rsid w:val="00945BB8"/>
    <w:rsid w:val="00946438"/>
    <w:rsid w:val="00952BAE"/>
    <w:rsid w:val="00954BFA"/>
    <w:rsid w:val="00957836"/>
    <w:rsid w:val="00977FA5"/>
    <w:rsid w:val="00982158"/>
    <w:rsid w:val="00982307"/>
    <w:rsid w:val="009831A6"/>
    <w:rsid w:val="0098429F"/>
    <w:rsid w:val="00984E6C"/>
    <w:rsid w:val="0098531D"/>
    <w:rsid w:val="0099250D"/>
    <w:rsid w:val="00996CD3"/>
    <w:rsid w:val="009974FD"/>
    <w:rsid w:val="009A5489"/>
    <w:rsid w:val="009B0CE4"/>
    <w:rsid w:val="009B596F"/>
    <w:rsid w:val="009C0263"/>
    <w:rsid w:val="009C3CC3"/>
    <w:rsid w:val="009D4EB4"/>
    <w:rsid w:val="009D4F84"/>
    <w:rsid w:val="009D5E74"/>
    <w:rsid w:val="009E53E4"/>
    <w:rsid w:val="009E7650"/>
    <w:rsid w:val="009F13F4"/>
    <w:rsid w:val="00A012C9"/>
    <w:rsid w:val="00A025C6"/>
    <w:rsid w:val="00A02603"/>
    <w:rsid w:val="00A05C2B"/>
    <w:rsid w:val="00A069DA"/>
    <w:rsid w:val="00A22F65"/>
    <w:rsid w:val="00A27EB9"/>
    <w:rsid w:val="00A3218F"/>
    <w:rsid w:val="00A32EBE"/>
    <w:rsid w:val="00A33083"/>
    <w:rsid w:val="00A357C6"/>
    <w:rsid w:val="00A376DA"/>
    <w:rsid w:val="00A402AD"/>
    <w:rsid w:val="00A42B7D"/>
    <w:rsid w:val="00A57B8A"/>
    <w:rsid w:val="00A71004"/>
    <w:rsid w:val="00A71768"/>
    <w:rsid w:val="00A717DA"/>
    <w:rsid w:val="00A748BC"/>
    <w:rsid w:val="00A75384"/>
    <w:rsid w:val="00A75A8F"/>
    <w:rsid w:val="00A8224D"/>
    <w:rsid w:val="00A82C41"/>
    <w:rsid w:val="00A84A6B"/>
    <w:rsid w:val="00A85B4D"/>
    <w:rsid w:val="00A930E1"/>
    <w:rsid w:val="00A96F39"/>
    <w:rsid w:val="00AA352E"/>
    <w:rsid w:val="00AA6637"/>
    <w:rsid w:val="00AA7150"/>
    <w:rsid w:val="00AB26C2"/>
    <w:rsid w:val="00AB44ED"/>
    <w:rsid w:val="00AB4E4B"/>
    <w:rsid w:val="00AC2338"/>
    <w:rsid w:val="00AC7EC8"/>
    <w:rsid w:val="00AD0B59"/>
    <w:rsid w:val="00AD5C4A"/>
    <w:rsid w:val="00AE3BFA"/>
    <w:rsid w:val="00AE62A0"/>
    <w:rsid w:val="00AF210F"/>
    <w:rsid w:val="00AF38E1"/>
    <w:rsid w:val="00B02AE2"/>
    <w:rsid w:val="00B046DE"/>
    <w:rsid w:val="00B052E0"/>
    <w:rsid w:val="00B149EE"/>
    <w:rsid w:val="00B21AEC"/>
    <w:rsid w:val="00B24F80"/>
    <w:rsid w:val="00B35A9D"/>
    <w:rsid w:val="00B35EA6"/>
    <w:rsid w:val="00B41C8D"/>
    <w:rsid w:val="00B4311E"/>
    <w:rsid w:val="00B5177D"/>
    <w:rsid w:val="00B67A7C"/>
    <w:rsid w:val="00B83433"/>
    <w:rsid w:val="00B84D22"/>
    <w:rsid w:val="00B868FB"/>
    <w:rsid w:val="00B87DC5"/>
    <w:rsid w:val="00B87F9F"/>
    <w:rsid w:val="00B91248"/>
    <w:rsid w:val="00B94DB6"/>
    <w:rsid w:val="00B96533"/>
    <w:rsid w:val="00BA4915"/>
    <w:rsid w:val="00BB38FA"/>
    <w:rsid w:val="00BB3EC6"/>
    <w:rsid w:val="00BC0396"/>
    <w:rsid w:val="00BC0B69"/>
    <w:rsid w:val="00BC0CD9"/>
    <w:rsid w:val="00BC43A6"/>
    <w:rsid w:val="00BC6433"/>
    <w:rsid w:val="00BE0709"/>
    <w:rsid w:val="00BE0A92"/>
    <w:rsid w:val="00BE2F95"/>
    <w:rsid w:val="00BE3EC2"/>
    <w:rsid w:val="00BF0FB9"/>
    <w:rsid w:val="00BF1000"/>
    <w:rsid w:val="00C012C5"/>
    <w:rsid w:val="00C035BF"/>
    <w:rsid w:val="00C0735C"/>
    <w:rsid w:val="00C316D6"/>
    <w:rsid w:val="00C33121"/>
    <w:rsid w:val="00C35D1D"/>
    <w:rsid w:val="00C44264"/>
    <w:rsid w:val="00C46332"/>
    <w:rsid w:val="00C540BD"/>
    <w:rsid w:val="00C60754"/>
    <w:rsid w:val="00C6134E"/>
    <w:rsid w:val="00C77F73"/>
    <w:rsid w:val="00C83F63"/>
    <w:rsid w:val="00C85133"/>
    <w:rsid w:val="00C855C0"/>
    <w:rsid w:val="00C937DF"/>
    <w:rsid w:val="00C96F4F"/>
    <w:rsid w:val="00CA7097"/>
    <w:rsid w:val="00CB34E5"/>
    <w:rsid w:val="00CB56B3"/>
    <w:rsid w:val="00CD3CD7"/>
    <w:rsid w:val="00CD6A67"/>
    <w:rsid w:val="00CD6BE3"/>
    <w:rsid w:val="00CF2C03"/>
    <w:rsid w:val="00D100EE"/>
    <w:rsid w:val="00D142A5"/>
    <w:rsid w:val="00D1435E"/>
    <w:rsid w:val="00D1580C"/>
    <w:rsid w:val="00D203AF"/>
    <w:rsid w:val="00D21FBD"/>
    <w:rsid w:val="00D262AC"/>
    <w:rsid w:val="00D30485"/>
    <w:rsid w:val="00D40A4F"/>
    <w:rsid w:val="00D463C4"/>
    <w:rsid w:val="00D515B5"/>
    <w:rsid w:val="00D63396"/>
    <w:rsid w:val="00D6544B"/>
    <w:rsid w:val="00D67298"/>
    <w:rsid w:val="00D725AC"/>
    <w:rsid w:val="00D727E2"/>
    <w:rsid w:val="00D769CC"/>
    <w:rsid w:val="00D81363"/>
    <w:rsid w:val="00D85988"/>
    <w:rsid w:val="00D861A7"/>
    <w:rsid w:val="00D87F7C"/>
    <w:rsid w:val="00D942DC"/>
    <w:rsid w:val="00D962D9"/>
    <w:rsid w:val="00DA02AC"/>
    <w:rsid w:val="00DA0F00"/>
    <w:rsid w:val="00DB49F4"/>
    <w:rsid w:val="00DC3E4F"/>
    <w:rsid w:val="00DC55CE"/>
    <w:rsid w:val="00DC5F91"/>
    <w:rsid w:val="00DD6D79"/>
    <w:rsid w:val="00DE1D10"/>
    <w:rsid w:val="00DE7B06"/>
    <w:rsid w:val="00DE7B79"/>
    <w:rsid w:val="00DF102E"/>
    <w:rsid w:val="00E11F27"/>
    <w:rsid w:val="00E25CDB"/>
    <w:rsid w:val="00E300CF"/>
    <w:rsid w:val="00E37052"/>
    <w:rsid w:val="00E43D9B"/>
    <w:rsid w:val="00E44508"/>
    <w:rsid w:val="00E46587"/>
    <w:rsid w:val="00E505D1"/>
    <w:rsid w:val="00E511C1"/>
    <w:rsid w:val="00E7074E"/>
    <w:rsid w:val="00E754AB"/>
    <w:rsid w:val="00E77DB7"/>
    <w:rsid w:val="00E82723"/>
    <w:rsid w:val="00E85A0E"/>
    <w:rsid w:val="00E939B1"/>
    <w:rsid w:val="00E94ABF"/>
    <w:rsid w:val="00E9691E"/>
    <w:rsid w:val="00EA184F"/>
    <w:rsid w:val="00EA1DD3"/>
    <w:rsid w:val="00EA5348"/>
    <w:rsid w:val="00EB3383"/>
    <w:rsid w:val="00EB3969"/>
    <w:rsid w:val="00EB43DD"/>
    <w:rsid w:val="00EB7E5A"/>
    <w:rsid w:val="00EC1DDF"/>
    <w:rsid w:val="00EC30CC"/>
    <w:rsid w:val="00EC4102"/>
    <w:rsid w:val="00EC634E"/>
    <w:rsid w:val="00EC73D9"/>
    <w:rsid w:val="00ED1D84"/>
    <w:rsid w:val="00EF341E"/>
    <w:rsid w:val="00F02E4F"/>
    <w:rsid w:val="00F24E36"/>
    <w:rsid w:val="00F32820"/>
    <w:rsid w:val="00F358D5"/>
    <w:rsid w:val="00F366C8"/>
    <w:rsid w:val="00F415C0"/>
    <w:rsid w:val="00F50FD9"/>
    <w:rsid w:val="00F57329"/>
    <w:rsid w:val="00F61761"/>
    <w:rsid w:val="00F71070"/>
    <w:rsid w:val="00F719B9"/>
    <w:rsid w:val="00F720D5"/>
    <w:rsid w:val="00F816AC"/>
    <w:rsid w:val="00F8227F"/>
    <w:rsid w:val="00F879A2"/>
    <w:rsid w:val="00F90897"/>
    <w:rsid w:val="00FA378D"/>
    <w:rsid w:val="00FA4C0E"/>
    <w:rsid w:val="00FB262A"/>
    <w:rsid w:val="00FB612A"/>
    <w:rsid w:val="00FB7A2C"/>
    <w:rsid w:val="00FC06AF"/>
    <w:rsid w:val="00FC3325"/>
    <w:rsid w:val="00FC369F"/>
    <w:rsid w:val="00FC3E00"/>
    <w:rsid w:val="00FC4708"/>
    <w:rsid w:val="00FD47B2"/>
    <w:rsid w:val="00FD739B"/>
    <w:rsid w:val="00FE4703"/>
    <w:rsid w:val="00FE58E9"/>
    <w:rsid w:val="00FF0794"/>
    <w:rsid w:val="00FF2C63"/>
    <w:rsid w:val="00FF5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7F7C"/>
    <w:pPr>
      <w:widowControl w:val="0"/>
      <w:autoSpaceDE w:val="0"/>
      <w:autoSpaceDN w:val="0"/>
      <w:adjustRightInd w:val="0"/>
    </w:pPr>
    <w:rPr>
      <w:szCs w:val="24"/>
    </w:rPr>
  </w:style>
  <w:style w:type="paragraph" w:styleId="Heading1">
    <w:name w:val="heading 1"/>
    <w:basedOn w:val="Normal"/>
    <w:next w:val="Normal"/>
    <w:qFormat/>
    <w:rsid w:val="00D87F7C"/>
    <w:pPr>
      <w:keepNext/>
      <w:jc w:val="center"/>
      <w:outlineLvl w:val="0"/>
    </w:pPr>
    <w:rPr>
      <w:sz w:val="24"/>
    </w:rPr>
  </w:style>
  <w:style w:type="paragraph" w:styleId="Heading2">
    <w:name w:val="heading 2"/>
    <w:basedOn w:val="Normal"/>
    <w:next w:val="Normal"/>
    <w:qFormat/>
    <w:rsid w:val="00D87F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3">
    <w:name w:val="heading 3"/>
    <w:basedOn w:val="Normal"/>
    <w:next w:val="Normal"/>
    <w:qFormat/>
    <w:rsid w:val="00B21AE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2"/>
    </w:pPr>
    <w:rPr>
      <w:sz w:val="24"/>
    </w:rPr>
  </w:style>
  <w:style w:type="paragraph" w:styleId="Heading7">
    <w:name w:val="heading 7"/>
    <w:basedOn w:val="Normal"/>
    <w:next w:val="Normal"/>
    <w:qFormat/>
    <w:rsid w:val="00D87F7C"/>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7F7C"/>
  </w:style>
  <w:style w:type="paragraph" w:styleId="BodyText">
    <w:name w:val="Body Text"/>
    <w:basedOn w:val="Normal"/>
    <w:rsid w:val="00D87F7C"/>
    <w:rPr>
      <w:rFonts w:ascii="Courier" w:hAnsi="Courier"/>
      <w:sz w:val="24"/>
    </w:rPr>
  </w:style>
  <w:style w:type="paragraph" w:styleId="Header">
    <w:name w:val="header"/>
    <w:basedOn w:val="Normal"/>
    <w:rsid w:val="00D87F7C"/>
    <w:pPr>
      <w:tabs>
        <w:tab w:val="center" w:pos="4320"/>
        <w:tab w:val="right" w:pos="8640"/>
      </w:tabs>
    </w:pPr>
  </w:style>
  <w:style w:type="paragraph" w:styleId="Footer">
    <w:name w:val="footer"/>
    <w:basedOn w:val="Normal"/>
    <w:rsid w:val="00D87F7C"/>
    <w:pPr>
      <w:tabs>
        <w:tab w:val="center" w:pos="4320"/>
        <w:tab w:val="right" w:pos="8640"/>
      </w:tabs>
    </w:pPr>
  </w:style>
  <w:style w:type="character" w:styleId="PageNumber">
    <w:name w:val="page number"/>
    <w:basedOn w:val="DefaultParagraphFont"/>
    <w:rsid w:val="00D87F7C"/>
  </w:style>
  <w:style w:type="paragraph" w:styleId="BodyText2">
    <w:name w:val="Body Text 2"/>
    <w:basedOn w:val="Normal"/>
    <w:rsid w:val="00D87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customStyle="1" w:styleId="Normal12pt">
    <w:name w:val="Normal + 12 pt"/>
    <w:basedOn w:val="Normal"/>
    <w:rsid w:val="00891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FootnoteText">
    <w:name w:val="footnote text"/>
    <w:basedOn w:val="Normal"/>
    <w:link w:val="FootnoteTextChar"/>
    <w:rsid w:val="000A20A6"/>
    <w:rPr>
      <w:szCs w:val="20"/>
    </w:rPr>
  </w:style>
  <w:style w:type="character" w:customStyle="1" w:styleId="FootnoteTextChar">
    <w:name w:val="Footnote Text Char"/>
    <w:basedOn w:val="DefaultParagraphFont"/>
    <w:link w:val="FootnoteText"/>
    <w:rsid w:val="000A20A6"/>
  </w:style>
  <w:style w:type="paragraph" w:styleId="Caption">
    <w:name w:val="caption"/>
    <w:basedOn w:val="Normal"/>
    <w:next w:val="Normal"/>
    <w:unhideWhenUsed/>
    <w:qFormat/>
    <w:rsid w:val="004D73A5"/>
    <w:rPr>
      <w:b/>
      <w:bCs/>
      <w:szCs w:val="20"/>
    </w:rPr>
  </w:style>
  <w:style w:type="character" w:styleId="Hyperlink">
    <w:name w:val="Hyperlink"/>
    <w:basedOn w:val="DefaultParagraphFont"/>
    <w:uiPriority w:val="99"/>
    <w:unhideWhenUsed/>
    <w:rsid w:val="00022DC8"/>
    <w:rPr>
      <w:color w:val="0000FF" w:themeColor="hyperlink"/>
      <w:u w:val="single"/>
    </w:rPr>
  </w:style>
  <w:style w:type="paragraph" w:styleId="ListParagraph">
    <w:name w:val="List Paragraph"/>
    <w:basedOn w:val="Normal"/>
    <w:uiPriority w:val="34"/>
    <w:qFormat/>
    <w:rsid w:val="00022DC8"/>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68870528">
      <w:bodyDiv w:val="1"/>
      <w:marLeft w:val="0"/>
      <w:marRight w:val="0"/>
      <w:marTop w:val="0"/>
      <w:marBottom w:val="0"/>
      <w:divBdr>
        <w:top w:val="none" w:sz="0" w:space="0" w:color="auto"/>
        <w:left w:val="none" w:sz="0" w:space="0" w:color="auto"/>
        <w:bottom w:val="none" w:sz="0" w:space="0" w:color="auto"/>
        <w:right w:val="none" w:sz="0" w:space="0" w:color="auto"/>
      </w:divBdr>
    </w:div>
    <w:div w:id="745999683">
      <w:bodyDiv w:val="1"/>
      <w:marLeft w:val="0"/>
      <w:marRight w:val="0"/>
      <w:marTop w:val="0"/>
      <w:marBottom w:val="0"/>
      <w:divBdr>
        <w:top w:val="none" w:sz="0" w:space="0" w:color="auto"/>
        <w:left w:val="none" w:sz="0" w:space="0" w:color="auto"/>
        <w:bottom w:val="none" w:sz="0" w:space="0" w:color="auto"/>
        <w:right w:val="none" w:sz="0" w:space="0" w:color="auto"/>
      </w:divBdr>
    </w:div>
    <w:div w:id="1040667281">
      <w:bodyDiv w:val="1"/>
      <w:marLeft w:val="0"/>
      <w:marRight w:val="0"/>
      <w:marTop w:val="0"/>
      <w:marBottom w:val="0"/>
      <w:divBdr>
        <w:top w:val="none" w:sz="0" w:space="0" w:color="auto"/>
        <w:left w:val="none" w:sz="0" w:space="0" w:color="auto"/>
        <w:bottom w:val="none" w:sz="0" w:space="0" w:color="auto"/>
        <w:right w:val="none" w:sz="0" w:space="0" w:color="auto"/>
      </w:divBdr>
    </w:div>
    <w:div w:id="14823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A</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2010-09-30T07:00:00+00:00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AC02A-243E-41D1-A599-640981E5F530}"/>
</file>

<file path=customXml/itemProps2.xml><?xml version="1.0" encoding="utf-8"?>
<ds:datastoreItem xmlns:ds="http://schemas.openxmlformats.org/officeDocument/2006/customXml" ds:itemID="{F3409109-0EB8-4CA8-87A4-566CD79D1B22}"/>
</file>

<file path=customXml/itemProps3.xml><?xml version="1.0" encoding="utf-8"?>
<ds:datastoreItem xmlns:ds="http://schemas.openxmlformats.org/officeDocument/2006/customXml" ds:itemID="{87B64830-D0A3-42EC-8952-188ED9E9DEDF}"/>
</file>

<file path=customXml/itemProps4.xml><?xml version="1.0" encoding="utf-8"?>
<ds:datastoreItem xmlns:ds="http://schemas.openxmlformats.org/officeDocument/2006/customXml" ds:itemID="{A9F75C4F-0A9F-4C8E-B8B9-19FD64DDB1F2}"/>
</file>

<file path=customXml/itemProps5.xml><?xml version="1.0" encoding="utf-8"?>
<ds:datastoreItem xmlns:ds="http://schemas.openxmlformats.org/officeDocument/2006/customXml" ds:itemID="{7EB063E3-E81C-477A-814B-CE5B2CB3970B}"/>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Agenda Date:</vt:lpstr>
    </vt:vector>
  </TitlesOfParts>
  <Company>WUTC</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Date:</dc:title>
  <dc:subject/>
  <dc:creator>Information Services</dc:creator>
  <cp:keywords/>
  <dc:description/>
  <cp:lastModifiedBy>Lisa Wyse, Records Manager</cp:lastModifiedBy>
  <cp:revision>2</cp:revision>
  <cp:lastPrinted>2010-09-27T17:35:00Z</cp:lastPrinted>
  <dcterms:created xsi:type="dcterms:W3CDTF">2010-09-27T21:45:00Z</dcterms:created>
  <dcterms:modified xsi:type="dcterms:W3CDTF">2010-09-27T21:45:00Z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