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A" w:rsidRDefault="00EC4ECA" w:rsidP="00EC4ECA">
      <w:pPr>
        <w:jc w:val="center"/>
        <w:rPr>
          <w:rFonts w:ascii="Times New Roman" w:hAnsi="Times New Roman"/>
        </w:rPr>
      </w:pPr>
    </w:p>
    <w:p w:rsidR="00EC4ECA" w:rsidRPr="005F45AB" w:rsidRDefault="00EC4ECA" w:rsidP="00EC4ECA">
      <w:pPr>
        <w:jc w:val="center"/>
        <w:rPr>
          <w:rFonts w:ascii="Times New Roman" w:hAnsi="Times New Roman"/>
        </w:rPr>
      </w:pPr>
      <w:r w:rsidRPr="005F45AB">
        <w:rPr>
          <w:rFonts w:ascii="Times New Roman" w:hAnsi="Times New Roman"/>
        </w:rPr>
        <w:t>BEFORE THE WASHINGTON STATE</w:t>
      </w:r>
    </w:p>
    <w:p w:rsidR="00EC4ECA" w:rsidRPr="005F45AB" w:rsidRDefault="00EC4ECA" w:rsidP="00EC4ECA">
      <w:pPr>
        <w:jc w:val="center"/>
        <w:rPr>
          <w:rFonts w:ascii="Times New Roman" w:hAnsi="Times New Roman"/>
        </w:rPr>
      </w:pPr>
    </w:p>
    <w:p w:rsidR="00EC4ECA" w:rsidRPr="005F45AB" w:rsidRDefault="00EC4ECA" w:rsidP="00EC4ECA">
      <w:pPr>
        <w:jc w:val="center"/>
        <w:rPr>
          <w:rFonts w:ascii="Times New Roman" w:hAnsi="Times New Roman"/>
        </w:rPr>
      </w:pPr>
      <w:r w:rsidRPr="005F45AB">
        <w:rPr>
          <w:rFonts w:ascii="Times New Roman" w:hAnsi="Times New Roman"/>
        </w:rPr>
        <w:t>UTILITIES AND TRANSPORTATION COMMISSION</w:t>
      </w:r>
    </w:p>
    <w:p w:rsidR="00EC4ECA" w:rsidRPr="005F45AB" w:rsidRDefault="00EC4ECA" w:rsidP="00EC4ECA">
      <w:pPr>
        <w:rPr>
          <w:rFonts w:ascii="Times New Roman" w:hAnsi="Times New Roman"/>
        </w:rPr>
      </w:pPr>
    </w:p>
    <w:p w:rsidR="00EC4ECA" w:rsidRDefault="00EC4ECA" w:rsidP="00EC4ECA">
      <w:pPr>
        <w:rPr>
          <w:rFonts w:ascii="Times New Roman" w:hAnsi="Times New Roman"/>
        </w:rPr>
      </w:pPr>
    </w:p>
    <w:p w:rsidR="00EC4ECA" w:rsidRPr="005F45AB" w:rsidRDefault="00EC4ECA" w:rsidP="00EC4ECA">
      <w:pPr>
        <w:rPr>
          <w:rFonts w:ascii="Times New Roman" w:hAnsi="Times New Roman"/>
        </w:rPr>
      </w:pPr>
      <w:r w:rsidRPr="005F45AB">
        <w:rPr>
          <w:rFonts w:ascii="Times New Roman" w:hAnsi="Times New Roman"/>
        </w:rPr>
        <w:t>WASHINGTON UTILITIES AND</w:t>
      </w:r>
      <w:r w:rsidRPr="005F45AB">
        <w:rPr>
          <w:rFonts w:ascii="Times New Roman" w:hAnsi="Times New Roman"/>
        </w:rPr>
        <w:tab/>
      </w:r>
      <w:r w:rsidRPr="005F45AB">
        <w:rPr>
          <w:rFonts w:ascii="Times New Roman" w:hAnsi="Times New Roman"/>
        </w:rPr>
        <w:tab/>
        <w:t>)</w:t>
      </w:r>
      <w:r w:rsidRPr="005F45AB">
        <w:rPr>
          <w:rFonts w:ascii="Times New Roman" w:hAnsi="Times New Roman"/>
        </w:rPr>
        <w:tab/>
        <w:t>DOCKET NO. UE-100749</w:t>
      </w:r>
    </w:p>
    <w:p w:rsidR="00EC4ECA" w:rsidRPr="005F45AB" w:rsidRDefault="00EC4ECA" w:rsidP="00EC4ECA">
      <w:pPr>
        <w:rPr>
          <w:rFonts w:ascii="Times New Roman" w:hAnsi="Times New Roman"/>
        </w:rPr>
      </w:pPr>
      <w:r w:rsidRPr="005F45AB">
        <w:rPr>
          <w:rFonts w:ascii="Times New Roman" w:hAnsi="Times New Roman"/>
        </w:rPr>
        <w:t>TRANSPORTATION COMMISSION</w:t>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t>Complainant,</w:t>
      </w:r>
      <w:r w:rsidRPr="005F45AB">
        <w:rPr>
          <w:rFonts w:ascii="Times New Roman" w:hAnsi="Times New Roman"/>
        </w:rPr>
        <w:tab/>
      </w:r>
      <w:r w:rsidRPr="005F45AB">
        <w:rPr>
          <w:rFonts w:ascii="Times New Roman" w:hAnsi="Times New Roman"/>
        </w:rPr>
        <w:tab/>
        <w:t>)</w:t>
      </w:r>
      <w:r w:rsidRPr="005F45AB">
        <w:rPr>
          <w:rFonts w:ascii="Times New Roman" w:hAnsi="Times New Roman"/>
        </w:rPr>
        <w:tab/>
      </w:r>
    </w:p>
    <w:p w:rsidR="00EC4ECA" w:rsidRPr="005F45AB" w:rsidRDefault="00233709" w:rsidP="00EC4EC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p>
    <w:p w:rsidR="00EC4ECA" w:rsidRPr="005F45AB" w:rsidRDefault="00EC4ECA" w:rsidP="00EC4ECA">
      <w:pPr>
        <w:rPr>
          <w:rFonts w:ascii="Times New Roman" w:hAnsi="Times New Roman"/>
        </w:rPr>
      </w:pPr>
      <w:proofErr w:type="gramStart"/>
      <w:r w:rsidRPr="005F45AB">
        <w:rPr>
          <w:rFonts w:ascii="Times New Roman" w:hAnsi="Times New Roman"/>
        </w:rPr>
        <w:t>v</w:t>
      </w:r>
      <w:proofErr w:type="gramEnd"/>
      <w:r w:rsidRPr="005F45AB">
        <w:rPr>
          <w:rFonts w:ascii="Times New Roman" w:hAnsi="Times New Roman"/>
        </w:rPr>
        <w:t>.</w:t>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PACIFICORP d/b/a/ PACIFIC POWER &amp;</w:t>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LIGHT COMPANY</w:t>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ab/>
      </w:r>
      <w:r w:rsidRPr="005F45AB">
        <w:rPr>
          <w:rFonts w:ascii="Times New Roman" w:hAnsi="Times New Roman"/>
        </w:rPr>
        <w:tab/>
      </w:r>
      <w:r w:rsidRPr="005F45AB">
        <w:rPr>
          <w:rFonts w:ascii="Times New Roman" w:hAnsi="Times New Roman"/>
        </w:rPr>
        <w:tab/>
        <w:t>Respondent.</w:t>
      </w:r>
      <w:r w:rsidRPr="005F45AB">
        <w:rPr>
          <w:rFonts w:ascii="Times New Roman" w:hAnsi="Times New Roman"/>
        </w:rPr>
        <w:tab/>
      </w:r>
      <w:r w:rsidRPr="005F45AB">
        <w:rPr>
          <w:rFonts w:ascii="Times New Roman" w:hAnsi="Times New Roman"/>
        </w:rPr>
        <w:tab/>
        <w:t>)</w:t>
      </w:r>
    </w:p>
    <w:p w:rsidR="00EC4ECA" w:rsidRPr="005F45AB" w:rsidRDefault="00EC4ECA" w:rsidP="00EC4ECA">
      <w:pPr>
        <w:rPr>
          <w:rFonts w:ascii="Times New Roman" w:hAnsi="Times New Roman"/>
        </w:rPr>
      </w:pPr>
      <w:r w:rsidRPr="005F45AB">
        <w:rPr>
          <w:rFonts w:ascii="Times New Roman" w:hAnsi="Times New Roman"/>
        </w:rPr>
        <w:t>. . . . . . . . . . . . . . . . . . . . . . . . . . . . . . . . . . . . )</w:t>
      </w:r>
    </w:p>
    <w:p w:rsidR="00EC4ECA" w:rsidRDefault="00EC4ECA" w:rsidP="00EC4ECA">
      <w:pPr>
        <w:pStyle w:val="Title"/>
        <w:jc w:val="left"/>
        <w:rPr>
          <w:sz w:val="26"/>
          <w:szCs w:val="26"/>
        </w:rPr>
      </w:pPr>
    </w:p>
    <w:p w:rsidR="00EC4ECA" w:rsidRPr="00C3667C" w:rsidRDefault="00EC4ECA" w:rsidP="00EC4ECA">
      <w:pPr>
        <w:autoSpaceDE w:val="0"/>
        <w:autoSpaceDN w:val="0"/>
        <w:adjustRightInd w:val="0"/>
        <w:ind w:right="-432"/>
        <w:rPr>
          <w:rFonts w:ascii="Times New Roman" w:hAnsi="Times New Roman"/>
        </w:rPr>
      </w:pPr>
    </w:p>
    <w:p w:rsidR="00EC4ECA" w:rsidRDefault="00EC4ECA" w:rsidP="00EC4ECA">
      <w:pPr>
        <w:autoSpaceDE w:val="0"/>
        <w:autoSpaceDN w:val="0"/>
        <w:adjustRightInd w:val="0"/>
        <w:ind w:right="-720"/>
        <w:rPr>
          <w:rFonts w:ascii="Times New Roman" w:hAnsi="Times New Roman"/>
          <w:bCs/>
        </w:rPr>
      </w:pPr>
    </w:p>
    <w:p w:rsidR="00EC4ECA" w:rsidRDefault="0027590B" w:rsidP="00EC4ECA">
      <w:pPr>
        <w:autoSpaceDE w:val="0"/>
        <w:autoSpaceDN w:val="0"/>
        <w:adjustRightInd w:val="0"/>
        <w:ind w:right="-720"/>
        <w:jc w:val="center"/>
        <w:rPr>
          <w:rFonts w:ascii="Times New Roman" w:hAnsi="Times New Roman"/>
          <w:bCs/>
        </w:rPr>
      </w:pPr>
      <w:r>
        <w:rPr>
          <w:rFonts w:ascii="Times New Roman" w:hAnsi="Times New Roman"/>
          <w:bCs/>
        </w:rPr>
        <w:t xml:space="preserve">PREFILED </w:t>
      </w:r>
      <w:r w:rsidR="00837DA9">
        <w:rPr>
          <w:rFonts w:ascii="Times New Roman" w:hAnsi="Times New Roman"/>
          <w:bCs/>
        </w:rPr>
        <w:t>C</w:t>
      </w:r>
      <w:r w:rsidR="0017316D">
        <w:rPr>
          <w:rFonts w:ascii="Times New Roman" w:hAnsi="Times New Roman"/>
          <w:bCs/>
        </w:rPr>
        <w:t>ROSS-</w:t>
      </w:r>
      <w:r w:rsidR="00837DA9">
        <w:rPr>
          <w:rFonts w:ascii="Times New Roman" w:hAnsi="Times New Roman"/>
          <w:bCs/>
        </w:rPr>
        <w:t>ANSWERING</w:t>
      </w:r>
      <w:r w:rsidR="00EC4ECA">
        <w:rPr>
          <w:rFonts w:ascii="Times New Roman" w:hAnsi="Times New Roman"/>
          <w:bCs/>
        </w:rPr>
        <w:t xml:space="preserve"> TESTIMONY OF</w:t>
      </w:r>
    </w:p>
    <w:p w:rsidR="00EC4ECA" w:rsidRDefault="00EC4ECA" w:rsidP="00EC4ECA">
      <w:pPr>
        <w:autoSpaceDE w:val="0"/>
        <w:autoSpaceDN w:val="0"/>
        <w:adjustRightInd w:val="0"/>
        <w:ind w:right="-720"/>
        <w:jc w:val="center"/>
        <w:rPr>
          <w:rFonts w:ascii="Times New Roman" w:hAnsi="Times New Roman"/>
          <w:bCs/>
        </w:rPr>
      </w:pPr>
      <w:r>
        <w:rPr>
          <w:rFonts w:ascii="Times New Roman" w:hAnsi="Times New Roman"/>
          <w:bCs/>
        </w:rPr>
        <w:t>CHARLES EBERDT ON BEHALF OF</w:t>
      </w:r>
    </w:p>
    <w:p w:rsidR="00EC4ECA" w:rsidRDefault="00EC4ECA" w:rsidP="00EC4ECA">
      <w:pPr>
        <w:autoSpaceDE w:val="0"/>
        <w:autoSpaceDN w:val="0"/>
        <w:adjustRightInd w:val="0"/>
        <w:ind w:right="-720"/>
        <w:jc w:val="center"/>
        <w:rPr>
          <w:rFonts w:ascii="Times New Roman" w:hAnsi="Times New Roman"/>
          <w:bCs/>
        </w:rPr>
      </w:pPr>
      <w:r>
        <w:rPr>
          <w:rFonts w:ascii="Times New Roman" w:hAnsi="Times New Roman"/>
          <w:bCs/>
        </w:rPr>
        <w:t>THE ENERGY PROJECT</w:t>
      </w:r>
    </w:p>
    <w:p w:rsidR="00EC4ECA" w:rsidRDefault="00D76EDF" w:rsidP="00D76EDF">
      <w:pPr>
        <w:ind w:left="2880"/>
      </w:pPr>
      <w:r>
        <w:rPr>
          <w:rFonts w:ascii="Times New Roman" w:hAnsi="Times New Roman"/>
          <w:bCs/>
        </w:rPr>
        <w:t xml:space="preserve">        </w:t>
      </w:r>
      <w:r w:rsidR="00EC4ECA">
        <w:rPr>
          <w:rFonts w:ascii="Times New Roman" w:hAnsi="Times New Roman"/>
          <w:bCs/>
        </w:rPr>
        <w:t>Exhibit No. ____(CME-</w:t>
      </w:r>
      <w:r w:rsidR="00837DA9">
        <w:rPr>
          <w:rFonts w:ascii="Times New Roman" w:hAnsi="Times New Roman"/>
          <w:bCs/>
        </w:rPr>
        <w:t>5</w:t>
      </w:r>
      <w:r w:rsidR="00EC4ECA">
        <w:rPr>
          <w:rFonts w:ascii="Times New Roman" w:hAnsi="Times New Roman"/>
          <w:bCs/>
        </w:rPr>
        <w:t>T)</w:t>
      </w:r>
    </w:p>
    <w:p w:rsidR="00ED3AA5" w:rsidRPr="00D35CD3" w:rsidRDefault="00EC4ECA" w:rsidP="00ED3AA5">
      <w:pPr>
        <w:spacing w:line="508" w:lineRule="exact"/>
        <w:ind w:left="720" w:right="-720" w:hanging="720"/>
        <w:jc w:val="center"/>
        <w:rPr>
          <w:rFonts w:ascii="Times New Roman" w:hAnsi="Times New Roman" w:cs="TimesNewRomanPS-BoldMT"/>
          <w:b/>
        </w:rPr>
      </w:pPr>
      <w:r>
        <w:rPr>
          <w:rFonts w:ascii="Times New Roman" w:hAnsi="Times New Roman" w:cs="TimesNewRomanPS-BoldMT"/>
          <w:b/>
        </w:rPr>
        <w:br w:type="page"/>
      </w:r>
      <w:r w:rsidR="00ED3AA5">
        <w:rPr>
          <w:rFonts w:ascii="Times New Roman" w:hAnsi="Times New Roman" w:cs="TimesNewRomanPS-BoldMT"/>
          <w:b/>
        </w:rPr>
        <w:lastRenderedPageBreak/>
        <w:t>I.</w:t>
      </w:r>
      <w:r w:rsidR="00ED3AA5">
        <w:rPr>
          <w:rFonts w:ascii="Times New Roman" w:hAnsi="Times New Roman" w:cs="TimesNewRomanPS-BoldMT"/>
          <w:b/>
        </w:rPr>
        <w:tab/>
        <w:t>SUMMARY</w:t>
      </w:r>
    </w:p>
    <w:p w:rsidR="00ED3AA5" w:rsidRDefault="00ED3AA5" w:rsidP="00ED3AA5">
      <w:pPr>
        <w:spacing w:line="508" w:lineRule="exact"/>
        <w:ind w:left="720" w:righ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Would you please identify yourself?</w:t>
      </w:r>
    </w:p>
    <w:p w:rsidR="00ED3AA5" w:rsidRDefault="00ED3AA5" w:rsidP="00ED3AA5">
      <w:pPr>
        <w:spacing w:line="508" w:lineRule="exact"/>
        <w:ind w:left="720" w:right="-720" w:hanging="720"/>
        <w:rPr>
          <w:rFonts w:ascii="Times New Roman" w:hAnsi="Times New Roman"/>
          <w:bCs/>
        </w:rPr>
      </w:pPr>
      <w:r>
        <w:rPr>
          <w:rFonts w:ascii="Times New Roman" w:hAnsi="Times New Roman" w:cs="TimesNewRomanPS-BoldMT"/>
          <w:b/>
        </w:rPr>
        <w:t>A</w:t>
      </w:r>
      <w:r w:rsidRPr="00211B22">
        <w:rPr>
          <w:rFonts w:ascii="Times New Roman" w:hAnsi="Times New Roman" w:cs="TimesNewRomanPS-BoldMT"/>
        </w:rPr>
        <w:t>.</w:t>
      </w:r>
      <w:r>
        <w:rPr>
          <w:rFonts w:ascii="Times New Roman" w:hAnsi="Times New Roman" w:cs="TimesNewRomanPS-BoldMT"/>
        </w:rPr>
        <w:tab/>
        <w:t xml:space="preserve">My name is Charles Eberdt.  </w:t>
      </w:r>
      <w:r>
        <w:rPr>
          <w:rFonts w:ascii="Times New Roman" w:hAnsi="Times New Roman"/>
          <w:bCs/>
        </w:rPr>
        <w:t>I am the Director of the Energy Project, 3406 Redwood Avenue, Bellingham, WA 98225.</w:t>
      </w:r>
    </w:p>
    <w:p w:rsidR="00ED3AA5" w:rsidRDefault="00ED3AA5" w:rsidP="00ED3AA5">
      <w:pPr>
        <w:spacing w:line="508" w:lineRule="exact"/>
        <w:ind w:left="720" w:righ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Have you previously filed testimony in this proceeding?</w:t>
      </w:r>
    </w:p>
    <w:p w:rsidR="00ED3AA5" w:rsidRDefault="00ED3AA5" w:rsidP="00ED3AA5">
      <w:pPr>
        <w:spacing w:line="508" w:lineRule="exact"/>
        <w:ind w:left="720" w:righ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Yes.  I previously </w:t>
      </w:r>
      <w:proofErr w:type="spellStart"/>
      <w:r>
        <w:rPr>
          <w:rFonts w:ascii="Times New Roman" w:hAnsi="Times New Roman" w:cs="TimesNewRomanPS-BoldMT"/>
        </w:rPr>
        <w:t>prefiled</w:t>
      </w:r>
      <w:proofErr w:type="spellEnd"/>
      <w:r>
        <w:rPr>
          <w:rFonts w:ascii="Times New Roman" w:hAnsi="Times New Roman" w:cs="TimesNewRomanPS-BoldMT"/>
        </w:rPr>
        <w:t xml:space="preserve"> direct testimony in this matter on October 5, 2010.</w:t>
      </w:r>
    </w:p>
    <w:p w:rsidR="00ED3AA5" w:rsidRDefault="00ED3AA5" w:rsidP="00ED3AA5">
      <w:pPr>
        <w:spacing w:line="508" w:lineRule="exact"/>
        <w:ind w:left="720" w:righ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What is the purpose of this testimony?</w:t>
      </w:r>
    </w:p>
    <w:p w:rsidR="00ED3AA5" w:rsidRDefault="00ED3AA5" w:rsidP="00ED3AA5">
      <w:pPr>
        <w:spacing w:line="508" w:lineRule="exact"/>
        <w:ind w:left="720" w:righ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I am responding to and partially rebutting the </w:t>
      </w:r>
      <w:proofErr w:type="spellStart"/>
      <w:r>
        <w:rPr>
          <w:rFonts w:ascii="Times New Roman" w:hAnsi="Times New Roman" w:cs="TimesNewRomanPS-BoldMT"/>
        </w:rPr>
        <w:t>prefiled</w:t>
      </w:r>
      <w:proofErr w:type="spellEnd"/>
      <w:r>
        <w:rPr>
          <w:rFonts w:ascii="Times New Roman" w:hAnsi="Times New Roman" w:cs="TimesNewRomanPS-BoldMT"/>
        </w:rPr>
        <w:t xml:space="preserve"> direct testimony of Commission Staff witness, Mr. Thomas </w:t>
      </w:r>
      <w:proofErr w:type="spellStart"/>
      <w:r>
        <w:rPr>
          <w:rFonts w:ascii="Times New Roman" w:hAnsi="Times New Roman" w:cs="TimesNewRomanPS-BoldMT"/>
        </w:rPr>
        <w:t>Schooley</w:t>
      </w:r>
      <w:proofErr w:type="spellEnd"/>
      <w:r>
        <w:rPr>
          <w:rFonts w:ascii="Times New Roman" w:hAnsi="Times New Roman" w:cs="TimesNewRomanPS-BoldMT"/>
        </w:rPr>
        <w:t>.</w:t>
      </w:r>
    </w:p>
    <w:p w:rsidR="00ED3AA5" w:rsidRDefault="00ED3AA5" w:rsidP="00ED3AA5">
      <w:pPr>
        <w:spacing w:line="508" w:lineRule="exact"/>
        <w:ind w:left="720" w:righ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Please summarize your testimony.</w:t>
      </w:r>
    </w:p>
    <w:p w:rsidR="00B92153" w:rsidRDefault="00ED3AA5" w:rsidP="00B92153">
      <w:pPr>
        <w:spacing w:line="508" w:lineRule="exact"/>
        <w:ind w:left="720" w:righ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I oppose Mr. </w:t>
      </w:r>
      <w:proofErr w:type="spellStart"/>
      <w:r>
        <w:rPr>
          <w:rFonts w:ascii="Times New Roman" w:hAnsi="Times New Roman" w:cs="TimesNewRomanPS-BoldMT"/>
        </w:rPr>
        <w:t>Schooley’s</w:t>
      </w:r>
      <w:proofErr w:type="spellEnd"/>
      <w:r>
        <w:rPr>
          <w:rFonts w:ascii="Times New Roman" w:hAnsi="Times New Roman" w:cs="TimesNewRomanPS-BoldMT"/>
        </w:rPr>
        <w:t xml:space="preserve"> proposal to increase the residential basic charge from $6.00 to $7.50.  I agree that LIBA funding should be increased, but oppose certain aspects of Mr. </w:t>
      </w:r>
      <w:proofErr w:type="spellStart"/>
      <w:r>
        <w:rPr>
          <w:rFonts w:ascii="Times New Roman" w:hAnsi="Times New Roman" w:cs="TimesNewRomanPS-BoldMT"/>
        </w:rPr>
        <w:t>Schooley’s</w:t>
      </w:r>
      <w:proofErr w:type="spellEnd"/>
      <w:r>
        <w:rPr>
          <w:rFonts w:ascii="Times New Roman" w:hAnsi="Times New Roman" w:cs="TimesNewRomanPS-BoldMT"/>
        </w:rPr>
        <w:t xml:space="preserve"> testimony regarding LIBA funding.  Specifically, </w:t>
      </w:r>
      <w:r w:rsidR="00B92153">
        <w:rPr>
          <w:rFonts w:ascii="Times New Roman" w:hAnsi="Times New Roman" w:cs="TimesNewRomanPS-BoldMT"/>
        </w:rPr>
        <w:t xml:space="preserve">I have concerns about the implementation costs of serving more customers, which relates to the proposed use of the 70%/30% split of any incremental increase, the number of additional customers to be served and increasing the eligibility to 150% FPL.  Finally, </w:t>
      </w:r>
      <w:r>
        <w:rPr>
          <w:rFonts w:ascii="Times New Roman" w:hAnsi="Times New Roman" w:cs="TimesNewRomanPS-BoldMT"/>
        </w:rPr>
        <w:t>I also oppose his support for an every other year LIBA certification</w:t>
      </w:r>
      <w:r w:rsidR="00B92153">
        <w:rPr>
          <w:rFonts w:ascii="Times New Roman" w:hAnsi="Times New Roman" w:cs="TimesNewRomanPS-BoldMT"/>
        </w:rPr>
        <w:t>.</w:t>
      </w:r>
      <w:r>
        <w:rPr>
          <w:rFonts w:ascii="Times New Roman" w:hAnsi="Times New Roman" w:cs="TimesNewRomanPS-BoldMT"/>
        </w:rPr>
        <w:t xml:space="preserve"> </w:t>
      </w:r>
    </w:p>
    <w:p w:rsidR="00B92153" w:rsidRDefault="00B92153" w:rsidP="00B92153">
      <w:pPr>
        <w:spacing w:line="508" w:lineRule="exact"/>
        <w:ind w:left="720" w:right="-720" w:hanging="720"/>
        <w:rPr>
          <w:rFonts w:ascii="Times New Roman" w:hAnsi="Times New Roman" w:cs="TimesNewRomanPS-BoldMT"/>
        </w:rPr>
      </w:pPr>
    </w:p>
    <w:p w:rsidR="00ED3AA5" w:rsidRPr="00D35CD3" w:rsidRDefault="00ED3AA5" w:rsidP="00B92153">
      <w:pPr>
        <w:spacing w:line="508" w:lineRule="exact"/>
        <w:ind w:left="720" w:right="-720" w:hanging="720"/>
        <w:rPr>
          <w:rFonts w:ascii="Times New Roman" w:hAnsi="Times New Roman" w:cs="TimesNewRomanPS-BoldMT"/>
          <w:b/>
        </w:rPr>
      </w:pPr>
      <w:r>
        <w:rPr>
          <w:rFonts w:ascii="Times New Roman" w:hAnsi="Times New Roman" w:cs="TimesNewRomanPS-BoldMT"/>
          <w:b/>
        </w:rPr>
        <w:t>II.</w:t>
      </w:r>
      <w:r>
        <w:rPr>
          <w:rFonts w:ascii="Times New Roman" w:hAnsi="Times New Roman" w:cs="TimesNewRomanPS-BoldMT"/>
          <w:b/>
        </w:rPr>
        <w:tab/>
        <w:t>Basic Charge</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Q.</w:t>
      </w:r>
      <w:r w:rsidRPr="00211B22">
        <w:rPr>
          <w:rFonts w:ascii="Times New Roman" w:hAnsi="Times New Roman"/>
        </w:rPr>
        <w:tab/>
        <w:t>Are you aware of the Company’s proposal to increase the monthly basic charge from $6.00 to $9.00?</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Yes.</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Q.</w:t>
      </w:r>
      <w:r w:rsidRPr="00211B22">
        <w:rPr>
          <w:rFonts w:ascii="Times New Roman" w:hAnsi="Times New Roman"/>
        </w:rPr>
        <w:tab/>
        <w:t xml:space="preserve">And have you read Staff witness Mr. </w:t>
      </w:r>
      <w:proofErr w:type="spellStart"/>
      <w:r w:rsidRPr="00211B22">
        <w:rPr>
          <w:rFonts w:ascii="Times New Roman" w:hAnsi="Times New Roman"/>
        </w:rPr>
        <w:t>Schooley’s</w:t>
      </w:r>
      <w:proofErr w:type="spellEnd"/>
      <w:r w:rsidRPr="00211B22">
        <w:rPr>
          <w:rFonts w:ascii="Times New Roman" w:hAnsi="Times New Roman"/>
        </w:rPr>
        <w:t xml:space="preserve"> counter proposal to limit that increase to $1.50 rather than the $3.00 the Company proposed?</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 xml:space="preserve">A. </w:t>
      </w:r>
      <w:r w:rsidRPr="00211B22">
        <w:rPr>
          <w:rFonts w:ascii="Times New Roman" w:hAnsi="Times New Roman"/>
        </w:rPr>
        <w:tab/>
        <w:t>Yes.</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lastRenderedPageBreak/>
        <w:t>Q.</w:t>
      </w:r>
      <w:r w:rsidRPr="00211B22">
        <w:rPr>
          <w:rFonts w:ascii="Times New Roman" w:hAnsi="Times New Roman"/>
        </w:rPr>
        <w:tab/>
        <w:t xml:space="preserve">Do you agree with Mr. </w:t>
      </w:r>
      <w:proofErr w:type="spellStart"/>
      <w:r w:rsidRPr="00211B22">
        <w:rPr>
          <w:rFonts w:ascii="Times New Roman" w:hAnsi="Times New Roman"/>
        </w:rPr>
        <w:t>Schooley’s</w:t>
      </w:r>
      <w:proofErr w:type="spellEnd"/>
      <w:r w:rsidRPr="00211B22">
        <w:rPr>
          <w:rFonts w:ascii="Times New Roman" w:hAnsi="Times New Roman"/>
        </w:rPr>
        <w:t xml:space="preserve"> more modest proposal?</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 xml:space="preserve">No I do not.  While I appreciate Staff’s efforts to reduce the requested overall revenue increase and I recognize that the $1.50 increase </w:t>
      </w:r>
      <w:r>
        <w:rPr>
          <w:rFonts w:ascii="Times New Roman" w:hAnsi="Times New Roman"/>
        </w:rPr>
        <w:t>might appear</w:t>
      </w:r>
      <w:r w:rsidRPr="00211B22">
        <w:rPr>
          <w:rFonts w:ascii="Times New Roman" w:hAnsi="Times New Roman"/>
        </w:rPr>
        <w:t xml:space="preserve"> “modest” as </w:t>
      </w:r>
      <w:r>
        <w:rPr>
          <w:rFonts w:ascii="Times New Roman" w:hAnsi="Times New Roman"/>
        </w:rPr>
        <w:t>he</w:t>
      </w:r>
      <w:r w:rsidRPr="00211B22">
        <w:rPr>
          <w:rFonts w:ascii="Times New Roman" w:hAnsi="Times New Roman"/>
        </w:rPr>
        <w:t xml:space="preserve"> put it, I still believe it is not the proper policy call.</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 xml:space="preserve">Q. </w:t>
      </w:r>
      <w:r w:rsidRPr="00211B22">
        <w:rPr>
          <w:rFonts w:ascii="Times New Roman" w:hAnsi="Times New Roman"/>
        </w:rPr>
        <w:tab/>
        <w:t>Why is that?</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I think it is the wrong policy call, because it sends the wrong price signal – it punishes customers for being low users while rewarding customers who use excessive amounts of electricity.  Given the overall need not just to use energy more efficiently but to actually reduce consumption, I think this is not the way to adjust the rates.</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Q.</w:t>
      </w:r>
      <w:r w:rsidRPr="00211B22">
        <w:rPr>
          <w:rFonts w:ascii="Times New Roman" w:hAnsi="Times New Roman"/>
        </w:rPr>
        <w:tab/>
        <w:t xml:space="preserve">Mr. </w:t>
      </w:r>
      <w:proofErr w:type="spellStart"/>
      <w:r w:rsidRPr="00211B22">
        <w:rPr>
          <w:rFonts w:ascii="Times New Roman" w:hAnsi="Times New Roman"/>
        </w:rPr>
        <w:t>Schooley</w:t>
      </w:r>
      <w:proofErr w:type="spellEnd"/>
      <w:r w:rsidRPr="00211B22">
        <w:rPr>
          <w:rFonts w:ascii="Times New Roman" w:hAnsi="Times New Roman"/>
        </w:rPr>
        <w:t xml:space="preserve"> points to low-income customers as being high users; aren’t you concerned about low-income bills?  Wouldn’t this give those low-income high users a break and make their bill more affordable?</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 xml:space="preserve">Unfortunately, Mr. </w:t>
      </w:r>
      <w:proofErr w:type="spellStart"/>
      <w:r w:rsidRPr="00211B22">
        <w:rPr>
          <w:rFonts w:ascii="Times New Roman" w:hAnsi="Times New Roman"/>
        </w:rPr>
        <w:t>Schooley</w:t>
      </w:r>
      <w:proofErr w:type="spellEnd"/>
      <w:r w:rsidRPr="00211B22">
        <w:rPr>
          <w:rFonts w:ascii="Times New Roman" w:hAnsi="Times New Roman"/>
        </w:rPr>
        <w:t xml:space="preserve"> does not provide any data to support his suggestion that the low-income population as a whole benefits rather than is harmed by the </w:t>
      </w:r>
      <w:r>
        <w:rPr>
          <w:rFonts w:ascii="Times New Roman" w:hAnsi="Times New Roman"/>
        </w:rPr>
        <w:t>proposed change</w:t>
      </w:r>
      <w:r w:rsidRPr="00211B22">
        <w:rPr>
          <w:rFonts w:ascii="Times New Roman" w:hAnsi="Times New Roman"/>
        </w:rPr>
        <w:t>.</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Q.</w:t>
      </w:r>
      <w:r w:rsidRPr="00211B22">
        <w:rPr>
          <w:rFonts w:ascii="Times New Roman" w:hAnsi="Times New Roman"/>
        </w:rPr>
        <w:tab/>
        <w:t xml:space="preserve">In providing his example Mr. </w:t>
      </w:r>
      <w:proofErr w:type="spellStart"/>
      <w:r w:rsidRPr="00211B22">
        <w:rPr>
          <w:rFonts w:ascii="Times New Roman" w:hAnsi="Times New Roman"/>
        </w:rPr>
        <w:t>Schooley</w:t>
      </w:r>
      <w:proofErr w:type="spellEnd"/>
      <w:r w:rsidRPr="00211B22">
        <w:rPr>
          <w:rFonts w:ascii="Times New Roman" w:hAnsi="Times New Roman"/>
        </w:rPr>
        <w:t xml:space="preserve"> uses a customer with a 3000 kWh usage, do you disagree that this could be a low-income household’s usage?</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No, I know it very well could be a low-income household’s usage.</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Q.</w:t>
      </w:r>
      <w:r w:rsidRPr="00211B22">
        <w:rPr>
          <w:rFonts w:ascii="Times New Roman" w:hAnsi="Times New Roman"/>
        </w:rPr>
        <w:tab/>
        <w:t xml:space="preserve">Why do you disagree with Mr. </w:t>
      </w:r>
      <w:proofErr w:type="spellStart"/>
      <w:r w:rsidRPr="00211B22">
        <w:rPr>
          <w:rFonts w:ascii="Times New Roman" w:hAnsi="Times New Roman"/>
        </w:rPr>
        <w:t>Schooley’s</w:t>
      </w:r>
      <w:proofErr w:type="spellEnd"/>
      <w:r w:rsidRPr="00211B22">
        <w:rPr>
          <w:rFonts w:ascii="Times New Roman" w:hAnsi="Times New Roman"/>
        </w:rPr>
        <w:t xml:space="preserve"> proposal then?</w:t>
      </w:r>
    </w:p>
    <w:p w:rsidR="00ED3AA5"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 xml:space="preserve">In characterizing the situation Mr. </w:t>
      </w:r>
      <w:proofErr w:type="spellStart"/>
      <w:r w:rsidRPr="00211B22">
        <w:rPr>
          <w:rFonts w:ascii="Times New Roman" w:hAnsi="Times New Roman"/>
        </w:rPr>
        <w:t>Schooley</w:t>
      </w:r>
      <w:proofErr w:type="spellEnd"/>
      <w:r w:rsidRPr="00211B22">
        <w:rPr>
          <w:rFonts w:ascii="Times New Roman" w:hAnsi="Times New Roman"/>
        </w:rPr>
        <w:t xml:space="preserve"> states that “many” low-income households could live in this situation, while stating that “some” low-income customers are low-use customers </w:t>
      </w:r>
      <w:proofErr w:type="spellStart"/>
      <w:r>
        <w:rPr>
          <w:rFonts w:ascii="Times New Roman" w:hAnsi="Times New Roman"/>
          <w:i/>
        </w:rPr>
        <w:t>Schooley</w:t>
      </w:r>
      <w:proofErr w:type="spellEnd"/>
      <w:r>
        <w:rPr>
          <w:rFonts w:ascii="Times New Roman" w:hAnsi="Times New Roman"/>
          <w:i/>
        </w:rPr>
        <w:t xml:space="preserve">, p. 39, </w:t>
      </w:r>
      <w:proofErr w:type="gramStart"/>
      <w:r>
        <w:rPr>
          <w:rFonts w:ascii="Times New Roman" w:hAnsi="Times New Roman"/>
          <w:i/>
        </w:rPr>
        <w:t>ll.,</w:t>
      </w:r>
      <w:proofErr w:type="gramEnd"/>
      <w:r>
        <w:rPr>
          <w:rFonts w:ascii="Times New Roman" w:hAnsi="Times New Roman"/>
          <w:i/>
        </w:rPr>
        <w:t xml:space="preserve"> 1-8.</w:t>
      </w:r>
      <w:r w:rsidRPr="00211B22">
        <w:rPr>
          <w:rFonts w:ascii="Times New Roman" w:hAnsi="Times New Roman"/>
        </w:rPr>
        <w:t xml:space="preserve">  I would contend that reality is probably more like the opposite: “some” low-income customers will fall in the group of high-users, while “many” are not.  Generally speaking, usage increases with income, with house size, or with the number of bedrooms.  As you go up those scales, you are moving away from </w:t>
      </w:r>
      <w:r w:rsidRPr="00211B22">
        <w:rPr>
          <w:rFonts w:ascii="Times New Roman" w:hAnsi="Times New Roman"/>
        </w:rPr>
        <w:lastRenderedPageBreak/>
        <w:t xml:space="preserve">low-income customers.  Nevertheless, we do not have the data to show exactly what the impact would be. </w:t>
      </w:r>
    </w:p>
    <w:p w:rsidR="00ED3AA5" w:rsidRPr="00211B22" w:rsidRDefault="00ED3AA5" w:rsidP="00ED3AA5">
      <w:pPr>
        <w:spacing w:line="508" w:lineRule="exact"/>
        <w:ind w:left="720" w:right="-720" w:hanging="720"/>
        <w:rPr>
          <w:rFonts w:ascii="Times New Roman" w:hAnsi="Times New Roman"/>
        </w:rPr>
      </w:pPr>
      <w:r w:rsidRPr="00211B22">
        <w:rPr>
          <w:rFonts w:ascii="Times New Roman" w:hAnsi="Times New Roman"/>
        </w:rPr>
        <w:t>Q.</w:t>
      </w:r>
      <w:r w:rsidRPr="00211B22">
        <w:rPr>
          <w:rFonts w:ascii="Times New Roman" w:hAnsi="Times New Roman"/>
        </w:rPr>
        <w:tab/>
        <w:t xml:space="preserve">So you completely disagree with Mr. </w:t>
      </w:r>
      <w:proofErr w:type="spellStart"/>
      <w:r w:rsidRPr="00211B22">
        <w:rPr>
          <w:rFonts w:ascii="Times New Roman" w:hAnsi="Times New Roman"/>
        </w:rPr>
        <w:t>Schooley’s</w:t>
      </w:r>
      <w:proofErr w:type="spellEnd"/>
      <w:r w:rsidRPr="00211B22">
        <w:rPr>
          <w:rFonts w:ascii="Times New Roman" w:hAnsi="Times New Roman"/>
        </w:rPr>
        <w:t xml:space="preserve"> testimony then?</w:t>
      </w:r>
    </w:p>
    <w:p w:rsidR="00ED3AA5" w:rsidRDefault="00ED3AA5" w:rsidP="00ED3AA5">
      <w:pPr>
        <w:spacing w:line="508" w:lineRule="exact"/>
        <w:ind w:left="720" w:right="-720" w:hanging="720"/>
        <w:rPr>
          <w:rFonts w:ascii="Times New Roman" w:hAnsi="Times New Roman"/>
        </w:rPr>
      </w:pPr>
      <w:r w:rsidRPr="00211B22">
        <w:rPr>
          <w:rFonts w:ascii="Times New Roman" w:hAnsi="Times New Roman"/>
        </w:rPr>
        <w:t>A.</w:t>
      </w:r>
      <w:r w:rsidRPr="00211B22">
        <w:rPr>
          <w:rFonts w:ascii="Times New Roman" w:hAnsi="Times New Roman"/>
        </w:rPr>
        <w:tab/>
        <w:t xml:space="preserve">Not completely.  I disagree with his proposal to increase the base charge and the rationale used to argue that it benefits low-income customers.  I completely agree with his statement that many a low-income family is living in an “all electric house that is poorly insulated.”  The solution isn’t to make it easier for them to use more electricity, but to address the energy efficiency of the structure and the inhabitants so that their bills go down.  Saving them that same 50 kWh that Mr. </w:t>
      </w:r>
      <w:proofErr w:type="spellStart"/>
      <w:r w:rsidRPr="00211B22">
        <w:rPr>
          <w:rFonts w:ascii="Times New Roman" w:hAnsi="Times New Roman"/>
        </w:rPr>
        <w:t>Schooley</w:t>
      </w:r>
      <w:proofErr w:type="spellEnd"/>
      <w:r w:rsidRPr="00211B22">
        <w:rPr>
          <w:rFonts w:ascii="Times New Roman" w:hAnsi="Times New Roman"/>
        </w:rPr>
        <w:t xml:space="preserve"> used in his example would </w:t>
      </w:r>
      <w:r w:rsidRPr="00F80642">
        <w:rPr>
          <w:rFonts w:ascii="Times New Roman" w:hAnsi="Times New Roman"/>
          <w:u w:val="single"/>
        </w:rPr>
        <w:t>reduce</w:t>
      </w:r>
      <w:r w:rsidRPr="00211B22">
        <w:rPr>
          <w:rFonts w:ascii="Times New Roman" w:hAnsi="Times New Roman"/>
        </w:rPr>
        <w:t xml:space="preserve"> their bill by $4.25/month and adds to the indirect benefit that conservation provides all rate payers.</w:t>
      </w:r>
    </w:p>
    <w:p w:rsidR="00ED3AA5" w:rsidRDefault="00ED3AA5" w:rsidP="00ED3AA5">
      <w:pPr>
        <w:spacing w:line="508" w:lineRule="exact"/>
        <w:ind w:left="720" w:right="-720" w:hanging="720"/>
        <w:jc w:val="center"/>
        <w:rPr>
          <w:rFonts w:ascii="Times New Roman" w:hAnsi="Times New Roman"/>
          <w:b/>
        </w:rPr>
      </w:pPr>
      <w:r>
        <w:rPr>
          <w:rFonts w:ascii="Times New Roman" w:hAnsi="Times New Roman"/>
          <w:b/>
        </w:rPr>
        <w:t>III.</w:t>
      </w:r>
      <w:r>
        <w:rPr>
          <w:rFonts w:ascii="Times New Roman" w:hAnsi="Times New Roman"/>
          <w:b/>
        </w:rPr>
        <w:tab/>
        <w:t>LIBA FUNDING</w:t>
      </w:r>
    </w:p>
    <w:p w:rsidR="00ED3AA5" w:rsidRDefault="00ED3AA5" w:rsidP="00ED3AA5">
      <w:pPr>
        <w:spacing w:line="508" w:lineRule="exact"/>
        <w:ind w:left="720" w:right="-720" w:hanging="720"/>
        <w:rPr>
          <w:rFonts w:ascii="Times New Roman" w:hAnsi="Times New Roman"/>
          <w:b/>
        </w:rPr>
      </w:pPr>
      <w:r>
        <w:rPr>
          <w:rFonts w:ascii="Times New Roman" w:hAnsi="Times New Roman"/>
          <w:b/>
        </w:rPr>
        <w:tab/>
        <w:t>A.</w:t>
      </w:r>
      <w:r>
        <w:rPr>
          <w:rFonts w:ascii="Times New Roman" w:hAnsi="Times New Roman"/>
          <w:b/>
        </w:rPr>
        <w:tab/>
        <w:t>Overall Funding Increase</w:t>
      </w:r>
    </w:p>
    <w:p w:rsidR="00ED3AA5" w:rsidRDefault="00ED3AA5" w:rsidP="00ED3AA5">
      <w:pPr>
        <w:spacing w:line="508" w:lineRule="exact"/>
        <w:ind w:left="720" w:right="-720" w:hanging="720"/>
        <w:rPr>
          <w:rFonts w:ascii="Times New Roman" w:hAnsi="Times New Roman"/>
        </w:rPr>
      </w:pPr>
      <w:r w:rsidRPr="0049272A">
        <w:rPr>
          <w:rFonts w:ascii="Times New Roman" w:hAnsi="Times New Roman"/>
          <w:b/>
        </w:rPr>
        <w:t>Q.</w:t>
      </w:r>
      <w:r>
        <w:rPr>
          <w:rFonts w:ascii="Times New Roman" w:hAnsi="Times New Roman"/>
        </w:rPr>
        <w:tab/>
        <w:t xml:space="preserve">What aspects of Mr. </w:t>
      </w:r>
      <w:proofErr w:type="spellStart"/>
      <w:r>
        <w:rPr>
          <w:rFonts w:ascii="Times New Roman" w:hAnsi="Times New Roman"/>
        </w:rPr>
        <w:t>Schooley’s</w:t>
      </w:r>
      <w:proofErr w:type="spellEnd"/>
      <w:r>
        <w:rPr>
          <w:rFonts w:ascii="Times New Roman" w:hAnsi="Times New Roman"/>
        </w:rPr>
        <w:t xml:space="preserve"> testimony do you disagree with?</w:t>
      </w:r>
    </w:p>
    <w:p w:rsidR="00ED3AA5" w:rsidRDefault="00ED3AA5" w:rsidP="00ED3AA5">
      <w:pPr>
        <w:spacing w:line="508" w:lineRule="exact"/>
        <w:ind w:left="720" w:right="-720" w:hanging="720"/>
        <w:rPr>
          <w:rFonts w:ascii="Times New Roman" w:hAnsi="Times New Roman"/>
        </w:rPr>
      </w:pPr>
      <w:r>
        <w:rPr>
          <w:rFonts w:ascii="Times New Roman" w:hAnsi="Times New Roman"/>
          <w:b/>
        </w:rPr>
        <w:t>A.</w:t>
      </w:r>
      <w:r>
        <w:rPr>
          <w:rFonts w:ascii="Times New Roman" w:hAnsi="Times New Roman"/>
        </w:rPr>
        <w:tab/>
        <w:t xml:space="preserve">First, I take exception with Mr. </w:t>
      </w:r>
      <w:proofErr w:type="spellStart"/>
      <w:r>
        <w:rPr>
          <w:rFonts w:ascii="Times New Roman" w:hAnsi="Times New Roman"/>
        </w:rPr>
        <w:t>Schooley’s</w:t>
      </w:r>
      <w:proofErr w:type="spellEnd"/>
      <w:r>
        <w:rPr>
          <w:rFonts w:ascii="Times New Roman" w:hAnsi="Times New Roman"/>
        </w:rPr>
        <w:t xml:space="preserve"> characterization of LIBA as a “tax.” </w:t>
      </w:r>
      <w:proofErr w:type="spellStart"/>
      <w:proofErr w:type="gramStart"/>
      <w:r>
        <w:rPr>
          <w:rFonts w:ascii="Times New Roman" w:hAnsi="Times New Roman"/>
          <w:i/>
        </w:rPr>
        <w:t>Schooley</w:t>
      </w:r>
      <w:proofErr w:type="spellEnd"/>
      <w:r>
        <w:rPr>
          <w:rFonts w:ascii="Times New Roman" w:hAnsi="Times New Roman"/>
          <w:i/>
        </w:rPr>
        <w:t>, p.41</w:t>
      </w:r>
      <w:r>
        <w:rPr>
          <w:rFonts w:ascii="Times New Roman" w:hAnsi="Times New Roman"/>
        </w:rPr>
        <w:t>.</w:t>
      </w:r>
      <w:proofErr w:type="gramEnd"/>
      <w:r>
        <w:rPr>
          <w:rFonts w:ascii="Times New Roman" w:hAnsi="Times New Roman"/>
        </w:rPr>
        <w:t xml:space="preserve">  LIBA is a program proven to have more than societal benefits.  Helping those customers living at the economic margin of society provides system-wide benefits in the form of enhanced cash flow, reduction in bad debt related expenses and, reduced collection costs.  I contend that keeping the household connected to and at least partially paying for this vital service is a more practical approach than repeatedly dunning them for payment, turning them over to bill collectors and ultimately writing off the bad debt, all of which falls on the shoulders of other ratepayers in the end.  Mr. </w:t>
      </w:r>
      <w:proofErr w:type="spellStart"/>
      <w:r>
        <w:rPr>
          <w:rFonts w:ascii="Times New Roman" w:hAnsi="Times New Roman"/>
        </w:rPr>
        <w:t>Schooley</w:t>
      </w:r>
      <w:proofErr w:type="spellEnd"/>
      <w:r>
        <w:rPr>
          <w:rFonts w:ascii="Times New Roman" w:hAnsi="Times New Roman"/>
        </w:rPr>
        <w:t xml:space="preserve"> does not seem to take this fact into consideration in his apparent philosophical opposition to LIBA.</w:t>
      </w:r>
    </w:p>
    <w:p w:rsidR="00ED3AA5" w:rsidRDefault="00ED3AA5" w:rsidP="00ED3AA5">
      <w:pPr>
        <w:spacing w:line="508" w:lineRule="exact"/>
        <w:ind w:left="720" w:right="-720" w:hanging="720"/>
        <w:rPr>
          <w:rFonts w:ascii="Times New Roman" w:hAnsi="Times New Roman"/>
        </w:rPr>
      </w:pPr>
      <w:r>
        <w:rPr>
          <w:rFonts w:ascii="Times New Roman" w:hAnsi="Times New Roman"/>
          <w:b/>
        </w:rPr>
        <w:t>Q.</w:t>
      </w:r>
      <w:r>
        <w:rPr>
          <w:rFonts w:ascii="Times New Roman" w:hAnsi="Times New Roman"/>
        </w:rPr>
        <w:tab/>
        <w:t xml:space="preserve">Regarding PacifiCorp’s level of LIBA funding, Mr. </w:t>
      </w:r>
      <w:proofErr w:type="spellStart"/>
      <w:r>
        <w:rPr>
          <w:rFonts w:ascii="Times New Roman" w:hAnsi="Times New Roman"/>
        </w:rPr>
        <w:t>Schooley</w:t>
      </w:r>
      <w:proofErr w:type="spellEnd"/>
      <w:r>
        <w:rPr>
          <w:rFonts w:ascii="Times New Roman" w:hAnsi="Times New Roman"/>
        </w:rPr>
        <w:t xml:space="preserve"> testifies that “it is evident that PacifiCorp’s customers incur a lower ‘tax’ for income assistance than the other </w:t>
      </w:r>
      <w:r>
        <w:rPr>
          <w:rFonts w:ascii="Times New Roman" w:hAnsi="Times New Roman"/>
        </w:rPr>
        <w:lastRenderedPageBreak/>
        <w:t xml:space="preserve">electric utilities.” </w:t>
      </w:r>
      <w:proofErr w:type="spellStart"/>
      <w:proofErr w:type="gramStart"/>
      <w:r>
        <w:rPr>
          <w:rFonts w:ascii="Times New Roman" w:hAnsi="Times New Roman"/>
          <w:i/>
        </w:rPr>
        <w:t>Schooley</w:t>
      </w:r>
      <w:proofErr w:type="spellEnd"/>
      <w:r>
        <w:rPr>
          <w:rFonts w:ascii="Times New Roman" w:hAnsi="Times New Roman"/>
          <w:i/>
        </w:rPr>
        <w:t xml:space="preserve"> at p.41.</w:t>
      </w:r>
      <w:proofErr w:type="gramEnd"/>
      <w:r>
        <w:rPr>
          <w:rFonts w:ascii="Times New Roman" w:hAnsi="Times New Roman"/>
        </w:rPr>
        <w:t xml:space="preserve">  Mr. </w:t>
      </w:r>
      <w:proofErr w:type="spellStart"/>
      <w:r>
        <w:rPr>
          <w:rFonts w:ascii="Times New Roman" w:hAnsi="Times New Roman"/>
        </w:rPr>
        <w:t>Schooley</w:t>
      </w:r>
      <w:proofErr w:type="spellEnd"/>
      <w:r>
        <w:rPr>
          <w:rFonts w:ascii="Times New Roman" w:hAnsi="Times New Roman"/>
        </w:rPr>
        <w:t xml:space="preserve"> further notes that if the Company’s proposed LIBA funding increase is granted, this would bring it a “smidgeon” closer to PSE and ABVISTA. </w:t>
      </w:r>
      <w:r>
        <w:rPr>
          <w:rFonts w:ascii="Times New Roman" w:hAnsi="Times New Roman"/>
          <w:i/>
        </w:rPr>
        <w:t>Id.</w:t>
      </w:r>
      <w:r>
        <w:rPr>
          <w:rFonts w:ascii="Times New Roman" w:hAnsi="Times New Roman"/>
        </w:rPr>
        <w:t xml:space="preserve">  What is your response to these statements?</w:t>
      </w:r>
    </w:p>
    <w:p w:rsidR="00ED3AA5" w:rsidRDefault="00ED3AA5" w:rsidP="00ED3AA5">
      <w:pPr>
        <w:spacing w:line="508" w:lineRule="exact"/>
        <w:ind w:left="720" w:right="-720" w:hanging="720"/>
        <w:rPr>
          <w:rFonts w:ascii="Times New Roman" w:hAnsi="Times New Roman"/>
        </w:rPr>
      </w:pPr>
      <w:r>
        <w:rPr>
          <w:rFonts w:ascii="Times New Roman" w:hAnsi="Times New Roman"/>
          <w:b/>
        </w:rPr>
        <w:t>A.</w:t>
      </w:r>
      <w:r>
        <w:rPr>
          <w:rFonts w:ascii="Times New Roman" w:hAnsi="Times New Roman"/>
        </w:rPr>
        <w:tab/>
        <w:t xml:space="preserve">Again, if one starts with the presumption that LIBA is an evil to be endured, then Mr. </w:t>
      </w:r>
      <w:proofErr w:type="spellStart"/>
      <w:r>
        <w:rPr>
          <w:rFonts w:ascii="Times New Roman" w:hAnsi="Times New Roman"/>
        </w:rPr>
        <w:t>Schooley’s</w:t>
      </w:r>
      <w:proofErr w:type="spellEnd"/>
      <w:r>
        <w:rPr>
          <w:rFonts w:ascii="Times New Roman" w:hAnsi="Times New Roman"/>
        </w:rPr>
        <w:t xml:space="preserve"> comparison to PSE and AVISTA makes sense.  If you accept, however, that LIBA is something that not only serves its obvious purpose but also provides benefits to other customers, then there is simply no logical rationale for allowing PacifiCorp to continue funding LIBA at levels substantially lower than PSE or AVISTA.  The principle of fairness supports the Energy Project’s position that there is no reason PacifiCorp should not be funding at a more comparable level than Washington’s two other largest investor</w:t>
      </w:r>
      <w:r w:rsidR="005419F7">
        <w:rPr>
          <w:rFonts w:ascii="Times New Roman" w:hAnsi="Times New Roman"/>
        </w:rPr>
        <w:t>-owned utilities.  As I</w:t>
      </w:r>
      <w:r>
        <w:rPr>
          <w:rFonts w:ascii="Times New Roman" w:hAnsi="Times New Roman"/>
        </w:rPr>
        <w:t xml:space="preserve"> pointed out in my initial, responsive testimony, PacifiCorp’s Washington service territory has some of the highest poverty indicators in the state which suggests that the Company’s program should be performing at a higher level, compared to PSE or AVISTA.</w:t>
      </w:r>
      <w:r>
        <w:rPr>
          <w:rFonts w:ascii="Times New Roman" w:hAnsi="Times New Roman"/>
          <w:b/>
        </w:rPr>
        <w:tab/>
      </w:r>
    </w:p>
    <w:p w:rsidR="00ED3AA5" w:rsidRDefault="00ED3AA5" w:rsidP="00ED3AA5">
      <w:pPr>
        <w:spacing w:line="508" w:lineRule="exact"/>
        <w:ind w:left="720" w:right="-720" w:hanging="720"/>
        <w:rPr>
          <w:rFonts w:ascii="Times New Roman" w:hAnsi="Times New Roman"/>
        </w:rPr>
      </w:pPr>
      <w:r>
        <w:rPr>
          <w:rFonts w:ascii="Times New Roman" w:hAnsi="Times New Roman"/>
        </w:rPr>
        <w:t>Q.</w:t>
      </w:r>
      <w:r>
        <w:rPr>
          <w:rFonts w:ascii="Times New Roman" w:hAnsi="Times New Roman"/>
        </w:rPr>
        <w:tab/>
        <w:t>There seems to be confusion regarding whether you are proposing a level of funding tied to whatever rate increase the Commission might ultimately award PPL.  Would you please clarify?</w:t>
      </w:r>
    </w:p>
    <w:p w:rsidR="00ED3AA5" w:rsidRDefault="00ED3AA5" w:rsidP="00ED3AA5">
      <w:pPr>
        <w:spacing w:line="508" w:lineRule="exact"/>
        <w:ind w:left="720" w:right="-720" w:hanging="720"/>
        <w:rPr>
          <w:rFonts w:ascii="Times New Roman" w:hAnsi="Times New Roman"/>
        </w:rPr>
      </w:pPr>
      <w:r>
        <w:rPr>
          <w:rFonts w:ascii="Times New Roman" w:hAnsi="Times New Roman"/>
        </w:rPr>
        <w:t>A.</w:t>
      </w:r>
      <w:r>
        <w:rPr>
          <w:rFonts w:ascii="Times New Roman" w:hAnsi="Times New Roman"/>
        </w:rPr>
        <w:tab/>
        <w:t xml:space="preserve">Yes.  In my responsive testimony, I did make the point that the LIBA funding level should certainly be increased to cover whatever increase might be imposed on PacifiCorp’s residential customer class, I acknowledged the Company’s proposal to increase LIBA funding by 21% and agree </w:t>
      </w:r>
      <w:r w:rsidR="00C42E6F">
        <w:rPr>
          <w:rFonts w:ascii="Times New Roman" w:hAnsi="Times New Roman"/>
        </w:rPr>
        <w:t>to</w:t>
      </w:r>
      <w:r>
        <w:rPr>
          <w:rFonts w:ascii="Times New Roman" w:hAnsi="Times New Roman"/>
        </w:rPr>
        <w:t xml:space="preserve"> this increase regardless of the Commission’s final revenue requirement decision. </w:t>
      </w:r>
      <w:r>
        <w:rPr>
          <w:rFonts w:ascii="Times New Roman" w:hAnsi="Times New Roman"/>
          <w:i/>
        </w:rPr>
        <w:t xml:space="preserve">See, Testimony of Charles </w:t>
      </w:r>
      <w:proofErr w:type="spellStart"/>
      <w:r>
        <w:rPr>
          <w:rFonts w:ascii="Times New Roman" w:hAnsi="Times New Roman"/>
          <w:i/>
        </w:rPr>
        <w:t>Eberdt</w:t>
      </w:r>
      <w:proofErr w:type="spellEnd"/>
      <w:r>
        <w:rPr>
          <w:rFonts w:ascii="Times New Roman" w:hAnsi="Times New Roman"/>
          <w:i/>
        </w:rPr>
        <w:t xml:space="preserve">, p.16, </w:t>
      </w:r>
      <w:proofErr w:type="spellStart"/>
      <w:r>
        <w:rPr>
          <w:rFonts w:ascii="Times New Roman" w:hAnsi="Times New Roman"/>
          <w:i/>
        </w:rPr>
        <w:t>ln</w:t>
      </w:r>
      <w:proofErr w:type="spellEnd"/>
      <w:r>
        <w:rPr>
          <w:rFonts w:ascii="Times New Roman" w:hAnsi="Times New Roman"/>
          <w:i/>
        </w:rPr>
        <w:t>. 17.</w:t>
      </w:r>
      <w:r>
        <w:rPr>
          <w:rFonts w:ascii="Times New Roman" w:hAnsi="Times New Roman"/>
        </w:rPr>
        <w:t xml:space="preserve">  </w:t>
      </w:r>
      <w:r w:rsidR="00C42E6F">
        <w:rPr>
          <w:rFonts w:ascii="Times New Roman" w:hAnsi="Times New Roman"/>
        </w:rPr>
        <w:t xml:space="preserve">To the extent my testimony has been interpreted as proposing a tie-in of an increase in LIBA funding to a final revenue requirement order by the Commission, my intention was to indicate that increasing the LIBA funding a percentage equal to the increase applied to </w:t>
      </w:r>
      <w:r w:rsidR="00C42E6F">
        <w:rPr>
          <w:rFonts w:ascii="Times New Roman" w:hAnsi="Times New Roman"/>
        </w:rPr>
        <w:lastRenderedPageBreak/>
        <w:t>residential rates only keeps the existing program “treading water” as it were.  That is, it will allow the existing number of customers to receive the same relative benefit, though they will see more out of pocket expense for the part of their bill the LIBA program does not cover.</w:t>
      </w:r>
    </w:p>
    <w:p w:rsidR="00ED3AA5" w:rsidRDefault="00ED3AA5" w:rsidP="00ED3AA5">
      <w:pPr>
        <w:spacing w:line="508" w:lineRule="exact"/>
        <w:ind w:left="720" w:right="-720" w:hanging="720"/>
        <w:rPr>
          <w:rFonts w:ascii="Times New Roman" w:hAnsi="Times New Roman"/>
        </w:rPr>
      </w:pPr>
      <w:r>
        <w:rPr>
          <w:rFonts w:ascii="Times New Roman" w:hAnsi="Times New Roman"/>
        </w:rPr>
        <w:t>Q.</w:t>
      </w:r>
      <w:r>
        <w:rPr>
          <w:rFonts w:ascii="Times New Roman" w:hAnsi="Times New Roman"/>
        </w:rPr>
        <w:tab/>
        <w:t>So, what is your position regarding LIBA funding?</w:t>
      </w:r>
    </w:p>
    <w:p w:rsidR="00EE5238" w:rsidRDefault="00ED3AA5" w:rsidP="00D35CD3">
      <w:pPr>
        <w:spacing w:line="508" w:lineRule="exact"/>
        <w:ind w:left="720" w:right="-720" w:hanging="720"/>
        <w:rPr>
          <w:rFonts w:ascii="Times New Roman" w:hAnsi="Times New Roman"/>
        </w:rPr>
      </w:pPr>
      <w:r>
        <w:rPr>
          <w:rFonts w:ascii="Times New Roman" w:hAnsi="Times New Roman"/>
        </w:rPr>
        <w:t>A.</w:t>
      </w:r>
      <w:r>
        <w:rPr>
          <w:rFonts w:ascii="Times New Roman" w:hAnsi="Times New Roman"/>
        </w:rPr>
        <w:tab/>
        <w:t xml:space="preserve">The Energy Project contends that in order for the LIBA program to </w:t>
      </w:r>
      <w:r w:rsidR="00C42E6F">
        <w:rPr>
          <w:rFonts w:ascii="Times New Roman" w:hAnsi="Times New Roman"/>
        </w:rPr>
        <w:t>maintain the same</w:t>
      </w:r>
      <w:r>
        <w:rPr>
          <w:rFonts w:ascii="Times New Roman" w:hAnsi="Times New Roman"/>
        </w:rPr>
        <w:t xml:space="preserve"> effective</w:t>
      </w:r>
      <w:r w:rsidR="00C42E6F">
        <w:rPr>
          <w:rFonts w:ascii="Times New Roman" w:hAnsi="Times New Roman"/>
        </w:rPr>
        <w:t>ness, the funding must increase by at least the same per cent that residential rates increase, all other things being equal.  If your customers are to be served, a greater percentage increase is needed.</w:t>
      </w:r>
    </w:p>
    <w:p w:rsidR="00EE5238" w:rsidRDefault="00EE5238" w:rsidP="00D35CD3">
      <w:pPr>
        <w:spacing w:line="508" w:lineRule="exact"/>
        <w:ind w:left="720" w:right="-720" w:hanging="720"/>
        <w:rPr>
          <w:rFonts w:ascii="Times New Roman" w:hAnsi="Times New Roman"/>
        </w:rPr>
      </w:pPr>
      <w:r>
        <w:rPr>
          <w:rFonts w:ascii="Times New Roman" w:hAnsi="Times New Roman"/>
        </w:rPr>
        <w:t xml:space="preserve">Q. </w:t>
      </w:r>
      <w:r>
        <w:rPr>
          <w:rFonts w:ascii="Times New Roman" w:hAnsi="Times New Roman"/>
        </w:rPr>
        <w:tab/>
        <w:t xml:space="preserve">Mr. </w:t>
      </w:r>
      <w:proofErr w:type="spellStart"/>
      <w:r>
        <w:rPr>
          <w:rFonts w:ascii="Times New Roman" w:hAnsi="Times New Roman"/>
        </w:rPr>
        <w:t>Schooley</w:t>
      </w:r>
      <w:proofErr w:type="spellEnd"/>
      <w:r>
        <w:rPr>
          <w:rFonts w:ascii="Times New Roman" w:hAnsi="Times New Roman"/>
        </w:rPr>
        <w:t xml:space="preserve"> indicated that the agencies agreed with various aspects of the Company’s proposal with</w:t>
      </w:r>
      <w:r w:rsidR="005536E2">
        <w:rPr>
          <w:rFonts w:ascii="Times New Roman" w:hAnsi="Times New Roman"/>
        </w:rPr>
        <w:t xml:space="preserve"> which he agrees, in particular</w:t>
      </w:r>
      <w:r>
        <w:rPr>
          <w:rFonts w:ascii="Times New Roman" w:hAnsi="Times New Roman"/>
        </w:rPr>
        <w:t xml:space="preserve"> the 70</w:t>
      </w:r>
      <w:r w:rsidR="005536E2">
        <w:rPr>
          <w:rFonts w:ascii="Times New Roman" w:hAnsi="Times New Roman"/>
        </w:rPr>
        <w:t>%</w:t>
      </w:r>
      <w:r>
        <w:rPr>
          <w:rFonts w:ascii="Times New Roman" w:hAnsi="Times New Roman"/>
        </w:rPr>
        <w:t>/30</w:t>
      </w:r>
      <w:r w:rsidR="005536E2">
        <w:rPr>
          <w:rFonts w:ascii="Times New Roman" w:hAnsi="Times New Roman"/>
        </w:rPr>
        <w:t>%</w:t>
      </w:r>
      <w:r>
        <w:rPr>
          <w:rFonts w:ascii="Times New Roman" w:hAnsi="Times New Roman"/>
        </w:rPr>
        <w:t xml:space="preserve"> split and the eligibility increase to 150% FPL.  You stated that you have concerns about them.   </w:t>
      </w:r>
      <w:proofErr w:type="gramStart"/>
      <w:r>
        <w:rPr>
          <w:rFonts w:ascii="Times New Roman" w:hAnsi="Times New Roman"/>
        </w:rPr>
        <w:t>Could</w:t>
      </w:r>
      <w:proofErr w:type="gramEnd"/>
      <w:r>
        <w:rPr>
          <w:rFonts w:ascii="Times New Roman" w:hAnsi="Times New Roman"/>
        </w:rPr>
        <w:t xml:space="preserve"> please elaborate your concerns.</w:t>
      </w:r>
    </w:p>
    <w:p w:rsidR="005536E2" w:rsidRDefault="00EE5238" w:rsidP="00D35CD3">
      <w:pPr>
        <w:spacing w:line="508" w:lineRule="exact"/>
        <w:ind w:left="720" w:right="-720" w:hanging="720"/>
        <w:rPr>
          <w:rFonts w:ascii="Times New Roman" w:hAnsi="Times New Roman"/>
        </w:rPr>
      </w:pPr>
      <w:r>
        <w:rPr>
          <w:rFonts w:ascii="Times New Roman" w:hAnsi="Times New Roman"/>
        </w:rPr>
        <w:t>A.</w:t>
      </w:r>
      <w:r>
        <w:rPr>
          <w:rFonts w:ascii="Times New Roman" w:hAnsi="Times New Roman"/>
        </w:rPr>
        <w:tab/>
        <w:t xml:space="preserve">Certainly.  Whenever funding is increased there is a desire to serve more customers.  The agencies are well aware that they serve only a fraction of eligible customers, so they want to serve more as well.  However, serving more customers can actually be at the expense of the customers who would participate in the program.  That is to say, if the funding increase isn’t enough to accommodate additional customers without taking funds that would be used to bring the existing number of participants up equal to the rate increase, the existing number of customers are seeing a relatively lower benefit.  The actual dollar amount may be higher than what they received previously, but the increase in rates will surpass the increase an average customer would seen in benefit because some of that money is carved off to serve new customers.  This is always the tension agencies feel.  It is particularly a concern in this case because the average benefit level in LIBA is so low as compared to other program, as was pointed out in the Energy Project’s </w:t>
      </w:r>
      <w:proofErr w:type="spellStart"/>
      <w:r>
        <w:rPr>
          <w:rFonts w:ascii="Times New Roman" w:hAnsi="Times New Roman"/>
        </w:rPr>
        <w:t>prefiled</w:t>
      </w:r>
      <w:proofErr w:type="spellEnd"/>
      <w:r>
        <w:rPr>
          <w:rFonts w:ascii="Times New Roman" w:hAnsi="Times New Roman"/>
        </w:rPr>
        <w:t xml:space="preserve"> direct </w:t>
      </w:r>
      <w:r>
        <w:rPr>
          <w:rFonts w:ascii="Times New Roman" w:hAnsi="Times New Roman"/>
        </w:rPr>
        <w:lastRenderedPageBreak/>
        <w:t>testimony.</w:t>
      </w:r>
      <w:r w:rsidR="005536E2">
        <w:rPr>
          <w:rFonts w:ascii="Times New Roman" w:hAnsi="Times New Roman"/>
        </w:rPr>
        <w:t xml:space="preserve"> Of course, serving more customers increases the cost to implement the program.  When the agencies discussed using some of the funds to serve additional customers, they proposed exploring a different program designs that would have lower implementation costs.  There was no discussion, let alone agreement, specifically of serving 245 additional customers, as Mr. </w:t>
      </w:r>
      <w:proofErr w:type="spellStart"/>
      <w:r w:rsidR="005536E2">
        <w:rPr>
          <w:rFonts w:ascii="Times New Roman" w:hAnsi="Times New Roman"/>
        </w:rPr>
        <w:t>Schooley</w:t>
      </w:r>
      <w:proofErr w:type="spellEnd"/>
      <w:r w:rsidR="005536E2">
        <w:rPr>
          <w:rFonts w:ascii="Times New Roman" w:hAnsi="Times New Roman"/>
        </w:rPr>
        <w:t xml:space="preserve"> asserts.  It was not a negotiation; it was a discussion of possible program improvements</w:t>
      </w:r>
    </w:p>
    <w:p w:rsidR="005536E2" w:rsidRDefault="005536E2" w:rsidP="00D35CD3">
      <w:pPr>
        <w:spacing w:line="508" w:lineRule="exact"/>
        <w:ind w:left="720" w:right="-720" w:hanging="720"/>
        <w:rPr>
          <w:rFonts w:ascii="Times New Roman" w:hAnsi="Times New Roman"/>
        </w:rPr>
      </w:pPr>
      <w:r>
        <w:rPr>
          <w:rFonts w:ascii="Times New Roman" w:hAnsi="Times New Roman"/>
        </w:rPr>
        <w:t>Q.</w:t>
      </w:r>
      <w:r>
        <w:rPr>
          <w:rFonts w:ascii="Times New Roman" w:hAnsi="Times New Roman"/>
        </w:rPr>
        <w:tab/>
        <w:t>Was increasing eligibility to 150% one of those improvements?</w:t>
      </w:r>
    </w:p>
    <w:p w:rsidR="005536E2" w:rsidRDefault="005536E2" w:rsidP="00D35CD3">
      <w:pPr>
        <w:spacing w:line="508" w:lineRule="exact"/>
        <w:ind w:left="720" w:right="-720" w:hanging="720"/>
        <w:rPr>
          <w:rFonts w:ascii="Times New Roman" w:hAnsi="Times New Roman"/>
        </w:rPr>
      </w:pPr>
      <w:r>
        <w:rPr>
          <w:rFonts w:ascii="Times New Roman" w:hAnsi="Times New Roman"/>
        </w:rPr>
        <w:t>A.</w:t>
      </w:r>
      <w:r>
        <w:rPr>
          <w:rFonts w:ascii="Times New Roman" w:hAnsi="Times New Roman"/>
        </w:rPr>
        <w:tab/>
        <w:t xml:space="preserve">Yes it was.  The agencies realize, as the Company does, that there </w:t>
      </w:r>
      <w:r w:rsidR="0035344C">
        <w:rPr>
          <w:rFonts w:ascii="Times New Roman" w:hAnsi="Times New Roman"/>
        </w:rPr>
        <w:t xml:space="preserve">are a lot of customers </w:t>
      </w:r>
      <w:r>
        <w:rPr>
          <w:rFonts w:ascii="Times New Roman" w:hAnsi="Times New Roman"/>
        </w:rPr>
        <w:t>need</w:t>
      </w:r>
      <w:r w:rsidR="0035344C">
        <w:rPr>
          <w:rFonts w:ascii="Times New Roman" w:hAnsi="Times New Roman"/>
        </w:rPr>
        <w:t>ing</w:t>
      </w:r>
      <w:r>
        <w:rPr>
          <w:rFonts w:ascii="Times New Roman" w:hAnsi="Times New Roman"/>
        </w:rPr>
        <w:t xml:space="preserve"> help who just miss the eligibility cut.  </w:t>
      </w:r>
      <w:r w:rsidR="0035344C">
        <w:rPr>
          <w:rFonts w:ascii="Times New Roman" w:hAnsi="Times New Roman"/>
        </w:rPr>
        <w:t>Serving them will</w:t>
      </w:r>
      <w:r>
        <w:rPr>
          <w:rFonts w:ascii="Times New Roman" w:hAnsi="Times New Roman"/>
        </w:rPr>
        <w:t xml:space="preserve"> impact the cost of implementation, however, because the agencies will have to see more customers in order to allocate the same amount of direct service funds.  </w:t>
      </w:r>
      <w:r w:rsidR="0035344C">
        <w:rPr>
          <w:rFonts w:ascii="Times New Roman" w:hAnsi="Times New Roman"/>
        </w:rPr>
        <w:t>Since the per capita certification fee is insufficient as was pointed out in our direct testimony, this would only make it more difficult for the agencies to maintain the program.</w:t>
      </w:r>
    </w:p>
    <w:p w:rsidR="00D35CD3" w:rsidRDefault="00D35CD3" w:rsidP="00D35CD3">
      <w:pPr>
        <w:spacing w:line="508" w:lineRule="exact"/>
        <w:ind w:left="720" w:right="-720" w:hanging="720"/>
        <w:rPr>
          <w:rFonts w:ascii="Times New Roman" w:hAnsi="Times New Roman"/>
        </w:rPr>
      </w:pPr>
      <w:r>
        <w:rPr>
          <w:rFonts w:ascii="Times New Roman" w:hAnsi="Times New Roman"/>
        </w:rPr>
        <w:tab/>
      </w:r>
      <w:r>
        <w:rPr>
          <w:rFonts w:ascii="Times New Roman" w:hAnsi="Times New Roman"/>
          <w:b/>
        </w:rPr>
        <w:t>B.</w:t>
      </w:r>
      <w:r>
        <w:rPr>
          <w:rFonts w:ascii="Times New Roman" w:hAnsi="Times New Roman"/>
          <w:b/>
        </w:rPr>
        <w:tab/>
      </w:r>
      <w:r w:rsidR="004E0D41">
        <w:rPr>
          <w:rFonts w:ascii="Times New Roman" w:hAnsi="Times New Roman"/>
          <w:b/>
        </w:rPr>
        <w:t>LIBA Certification</w:t>
      </w:r>
    </w:p>
    <w:p w:rsidR="009034AB" w:rsidRDefault="004E0D41" w:rsidP="009034AB">
      <w:pPr>
        <w:spacing w:line="508" w:lineRule="exact"/>
        <w:ind w:left="720" w:right="-720" w:hanging="720"/>
        <w:rPr>
          <w:rFonts w:ascii="Times New Roman" w:hAnsi="Times New Roman"/>
        </w:rPr>
      </w:pPr>
      <w:r w:rsidRPr="0049272A">
        <w:rPr>
          <w:rFonts w:ascii="Times New Roman" w:hAnsi="Times New Roman"/>
          <w:b/>
        </w:rPr>
        <w:t>Q.</w:t>
      </w:r>
      <w:r w:rsidRPr="0049272A">
        <w:rPr>
          <w:rFonts w:ascii="Times New Roman" w:hAnsi="Times New Roman"/>
          <w:b/>
        </w:rPr>
        <w:tab/>
      </w:r>
      <w:r w:rsidR="009034AB">
        <w:rPr>
          <w:rFonts w:ascii="Times New Roman" w:hAnsi="Times New Roman"/>
        </w:rPr>
        <w:t xml:space="preserve">What portion of Mr. </w:t>
      </w:r>
      <w:proofErr w:type="spellStart"/>
      <w:r w:rsidR="009034AB">
        <w:rPr>
          <w:rFonts w:ascii="Times New Roman" w:hAnsi="Times New Roman"/>
        </w:rPr>
        <w:t>Schooley’s</w:t>
      </w:r>
      <w:proofErr w:type="spellEnd"/>
      <w:r w:rsidR="009034AB">
        <w:rPr>
          <w:rFonts w:ascii="Times New Roman" w:hAnsi="Times New Roman"/>
        </w:rPr>
        <w:t xml:space="preserve"> testimony concerning LIBA certification do you rebut?</w:t>
      </w:r>
    </w:p>
    <w:p w:rsidR="009034AB" w:rsidRDefault="009034AB" w:rsidP="009034AB">
      <w:pPr>
        <w:spacing w:line="508" w:lineRule="exact"/>
        <w:ind w:left="720" w:right="-720" w:hanging="720"/>
        <w:rPr>
          <w:rFonts w:ascii="Times New Roman" w:hAnsi="Times New Roman"/>
        </w:rPr>
      </w:pPr>
      <w:r>
        <w:rPr>
          <w:rFonts w:ascii="Times New Roman" w:hAnsi="Times New Roman"/>
          <w:b/>
        </w:rPr>
        <w:t>A.</w:t>
      </w:r>
      <w:r>
        <w:rPr>
          <w:rFonts w:ascii="Times New Roman" w:hAnsi="Times New Roman"/>
        </w:rPr>
        <w:tab/>
        <w:t xml:space="preserve">Mr. </w:t>
      </w:r>
      <w:proofErr w:type="spellStart"/>
      <w:r>
        <w:rPr>
          <w:rFonts w:ascii="Times New Roman" w:hAnsi="Times New Roman"/>
        </w:rPr>
        <w:t>Schooley</w:t>
      </w:r>
      <w:proofErr w:type="spellEnd"/>
      <w:r>
        <w:rPr>
          <w:rFonts w:ascii="Times New Roman" w:hAnsi="Times New Roman"/>
        </w:rPr>
        <w:t xml:space="preserve"> proposes that PacifiCorp should conduct its LIBA certification every other year, as opposed to the existing annual certification.  </w:t>
      </w:r>
      <w:proofErr w:type="gramStart"/>
      <w:r>
        <w:rPr>
          <w:rFonts w:ascii="Times New Roman" w:hAnsi="Times New Roman"/>
        </w:rPr>
        <w:t>As I stated in my initial responsive testimony, this both financially problematic for the Community Action Agencies, as well as impractical from an administrative standpoint.</w:t>
      </w:r>
      <w:proofErr w:type="gramEnd"/>
    </w:p>
    <w:p w:rsidR="0035344C" w:rsidRDefault="009034AB" w:rsidP="009034AB">
      <w:pPr>
        <w:spacing w:line="508" w:lineRule="exact"/>
        <w:ind w:left="720" w:right="-720" w:hanging="720"/>
        <w:rPr>
          <w:rFonts w:ascii="Times New Roman" w:hAnsi="Times New Roman"/>
        </w:rPr>
      </w:pPr>
      <w:r>
        <w:rPr>
          <w:rFonts w:ascii="Times New Roman" w:hAnsi="Times New Roman"/>
          <w:b/>
        </w:rPr>
        <w:t>Q.</w:t>
      </w:r>
      <w:r>
        <w:rPr>
          <w:rFonts w:ascii="Times New Roman" w:hAnsi="Times New Roman"/>
        </w:rPr>
        <w:tab/>
        <w:t>Please explain what you mean by this?</w:t>
      </w:r>
    </w:p>
    <w:p w:rsidR="0035344C" w:rsidRPr="0035344C" w:rsidRDefault="0035344C" w:rsidP="0035344C">
      <w:pPr>
        <w:spacing w:line="508" w:lineRule="exact"/>
        <w:ind w:left="720" w:right="-720" w:hanging="720"/>
        <w:rPr>
          <w:rFonts w:ascii="Times New Roman" w:hAnsi="Times New Roman"/>
        </w:rPr>
      </w:pPr>
      <w:r w:rsidRPr="0035344C">
        <w:rPr>
          <w:rFonts w:ascii="Times New Roman" w:hAnsi="Times New Roman"/>
        </w:rPr>
        <w:t>A.</w:t>
      </w:r>
      <w:r w:rsidRPr="0035344C">
        <w:rPr>
          <w:rFonts w:ascii="Times New Roman" w:hAnsi="Times New Roman"/>
        </w:rPr>
        <w:tab/>
        <w:t xml:space="preserve">As is indicated in our direct testimony, the agencies indicate that the per capita fee to qualify customers for the LIBA program does not cover their costs to do the work.  At one point, Mr. </w:t>
      </w:r>
      <w:proofErr w:type="spellStart"/>
      <w:r w:rsidRPr="0035344C">
        <w:rPr>
          <w:rFonts w:ascii="Times New Roman" w:hAnsi="Times New Roman"/>
        </w:rPr>
        <w:t>Schooley</w:t>
      </w:r>
      <w:proofErr w:type="spellEnd"/>
      <w:r w:rsidRPr="0035344C">
        <w:rPr>
          <w:rFonts w:ascii="Times New Roman" w:hAnsi="Times New Roman"/>
        </w:rPr>
        <w:t xml:space="preserve"> suggests that, if the agencies need more support funds, then perhaps they should advocate </w:t>
      </w:r>
      <w:proofErr w:type="gramStart"/>
      <w:r w:rsidRPr="0035344C">
        <w:rPr>
          <w:rFonts w:ascii="Times New Roman" w:hAnsi="Times New Roman"/>
        </w:rPr>
        <w:t>to serve</w:t>
      </w:r>
      <w:proofErr w:type="gramEnd"/>
      <w:r w:rsidRPr="0035344C">
        <w:rPr>
          <w:rFonts w:ascii="Times New Roman" w:hAnsi="Times New Roman"/>
        </w:rPr>
        <w:t xml:space="preserve"> more customers.  In my limited economic experience, however, if you aren’t covering costs on an individual “item” basis, you don’t </w:t>
      </w:r>
      <w:r w:rsidRPr="0035344C">
        <w:rPr>
          <w:rFonts w:ascii="Times New Roman" w:hAnsi="Times New Roman"/>
        </w:rPr>
        <w:lastRenderedPageBreak/>
        <w:t xml:space="preserve">make it up on volume.  Nevertheless, the point is that the fee to cover program implementation does not cover the cost.  On the other hand there are logistical considerations that aren’t immediately obvious from a simplistic economic analysis that says if we take money from “X”, we will have more to spend on “Y”.  </w:t>
      </w:r>
    </w:p>
    <w:p w:rsidR="0035344C" w:rsidRDefault="0035344C" w:rsidP="0035344C">
      <w:pPr>
        <w:spacing w:line="508" w:lineRule="exact"/>
        <w:ind w:left="720" w:right="-720" w:hanging="720"/>
        <w:rPr>
          <w:rFonts w:ascii="Times New Roman" w:hAnsi="Times New Roman"/>
        </w:rPr>
      </w:pPr>
      <w:r>
        <w:rPr>
          <w:rFonts w:ascii="Times New Roman" w:hAnsi="Times New Roman"/>
        </w:rPr>
        <w:t>Q.</w:t>
      </w:r>
      <w:r>
        <w:rPr>
          <w:rFonts w:ascii="Times New Roman" w:hAnsi="Times New Roman"/>
        </w:rPr>
        <w:tab/>
        <w:t>What effect would shifting to two-year certification have?</w:t>
      </w:r>
    </w:p>
    <w:p w:rsidR="008B0589" w:rsidRDefault="0035344C" w:rsidP="0035344C">
      <w:pPr>
        <w:spacing w:line="508" w:lineRule="exact"/>
        <w:ind w:left="720" w:right="-720" w:hanging="720"/>
        <w:rPr>
          <w:rFonts w:ascii="Times New Roman" w:hAnsi="Times New Roman"/>
        </w:rPr>
      </w:pPr>
      <w:r>
        <w:rPr>
          <w:rFonts w:ascii="Times New Roman" w:hAnsi="Times New Roman"/>
        </w:rPr>
        <w:t>A.</w:t>
      </w:r>
      <w:r>
        <w:rPr>
          <w:rFonts w:ascii="Times New Roman" w:hAnsi="Times New Roman"/>
        </w:rPr>
        <w:tab/>
        <w:t xml:space="preserve">Financially, it would further undercut the agencies’ ability to maintain the program.  Simply put, the intake workers who qualify customers required training or skills that aren’t </w:t>
      </w:r>
      <w:r w:rsidR="008B0589">
        <w:rPr>
          <w:rFonts w:ascii="Times New Roman" w:hAnsi="Times New Roman"/>
        </w:rPr>
        <w:t>necessarily readily available.  The positions are frequently part-time or the person works this program just during the intake season, then works in some other capacity the rest of the year.  Cutting that program support in half makes this more difficult to support, will increase turn over, and increases training costs.</w:t>
      </w:r>
    </w:p>
    <w:p w:rsidR="008B0589" w:rsidRDefault="008B0589" w:rsidP="0035344C">
      <w:pPr>
        <w:spacing w:line="508" w:lineRule="exact"/>
        <w:ind w:left="720" w:right="-720" w:hanging="720"/>
        <w:rPr>
          <w:rFonts w:ascii="Times New Roman" w:hAnsi="Times New Roman"/>
        </w:rPr>
      </w:pPr>
      <w:r>
        <w:rPr>
          <w:rFonts w:ascii="Times New Roman" w:hAnsi="Times New Roman"/>
        </w:rPr>
        <w:t>Q.</w:t>
      </w:r>
      <w:r>
        <w:rPr>
          <w:rFonts w:ascii="Times New Roman" w:hAnsi="Times New Roman"/>
        </w:rPr>
        <w:tab/>
        <w:t>Are there other considerations?</w:t>
      </w:r>
    </w:p>
    <w:p w:rsidR="008B0589" w:rsidRDefault="008B0589" w:rsidP="0035344C">
      <w:pPr>
        <w:spacing w:line="508" w:lineRule="exact"/>
        <w:ind w:left="720" w:right="-720" w:hanging="720"/>
        <w:rPr>
          <w:rFonts w:ascii="Times New Roman" w:hAnsi="Times New Roman"/>
        </w:rPr>
      </w:pPr>
      <w:r>
        <w:rPr>
          <w:rFonts w:ascii="Times New Roman" w:hAnsi="Times New Roman"/>
        </w:rPr>
        <w:t>A.</w:t>
      </w:r>
      <w:r>
        <w:rPr>
          <w:rFonts w:ascii="Times New Roman" w:hAnsi="Times New Roman"/>
        </w:rPr>
        <w:tab/>
        <w:t xml:space="preserve">Yes.  Since LIBA doesn’t serve everyone who needs assistance, the participants are not the same every year. Circumstances change for the customers as well.  Families who did not need assistance suddenly do; someone who has had assistance gets a job or moves and no longer needs assistance.  Agencies will still have people coming to the door even if the program is not offered that year.  Agencies have no way of tracking whether someone’s income has changed enough that they should be moved off the program.  </w:t>
      </w:r>
    </w:p>
    <w:p w:rsidR="008B0589" w:rsidRPr="008B0589" w:rsidRDefault="008B0589" w:rsidP="008B0589">
      <w:pPr>
        <w:spacing w:line="508" w:lineRule="exact"/>
        <w:ind w:left="720" w:right="-720" w:hanging="720"/>
        <w:rPr>
          <w:rFonts w:ascii="Times New Roman" w:hAnsi="Times New Roman"/>
        </w:rPr>
      </w:pPr>
      <w:r w:rsidRPr="008B0589">
        <w:rPr>
          <w:rFonts w:ascii="Times New Roman" w:hAnsi="Times New Roman"/>
        </w:rPr>
        <w:t>Q.</w:t>
      </w:r>
      <w:r w:rsidRPr="008B0589">
        <w:rPr>
          <w:rFonts w:ascii="Times New Roman" w:hAnsi="Times New Roman"/>
        </w:rPr>
        <w:tab/>
        <w:t>What would you propose differently?</w:t>
      </w:r>
    </w:p>
    <w:p w:rsidR="008B0589" w:rsidRPr="008B0589" w:rsidRDefault="008B0589" w:rsidP="008B0589">
      <w:pPr>
        <w:spacing w:line="508" w:lineRule="exact"/>
        <w:ind w:left="720" w:right="-720" w:hanging="720"/>
        <w:rPr>
          <w:rFonts w:ascii="Times New Roman" w:hAnsi="Times New Roman"/>
        </w:rPr>
      </w:pPr>
      <w:r w:rsidRPr="008B0589">
        <w:rPr>
          <w:rFonts w:ascii="Times New Roman" w:hAnsi="Times New Roman"/>
        </w:rPr>
        <w:t>A.</w:t>
      </w:r>
      <w:r w:rsidRPr="008B0589">
        <w:rPr>
          <w:rFonts w:ascii="Times New Roman" w:hAnsi="Times New Roman"/>
        </w:rPr>
        <w:tab/>
        <w:t xml:space="preserve">Certification for the LIBA program should continue on an annual basis in order for the limited budget to reach the changing population and maintain the agencies’ ability to support trained staff.  In addition, the per capita fee to qualify customers should be increased to more closely cover the cost of service.  This will mean that the program funding overall has to increase somewhat more than a percentage commensurate with the </w:t>
      </w:r>
      <w:r w:rsidRPr="008B0589">
        <w:rPr>
          <w:rFonts w:ascii="Times New Roman" w:hAnsi="Times New Roman"/>
        </w:rPr>
        <w:lastRenderedPageBreak/>
        <w:t xml:space="preserve">residential rate increase, if the same number of customers are to be served at relatively the same benefit level as in previous years.  </w:t>
      </w:r>
    </w:p>
    <w:p w:rsidR="004E0D41" w:rsidRDefault="009034AB" w:rsidP="0035344C">
      <w:pPr>
        <w:spacing w:line="508" w:lineRule="exact"/>
        <w:ind w:left="720" w:right="-720" w:hanging="720"/>
        <w:rPr>
          <w:rFonts w:ascii="Times New Roman" w:hAnsi="Times New Roman"/>
        </w:rPr>
      </w:pPr>
      <w:r>
        <w:rPr>
          <w:rFonts w:ascii="Times New Roman" w:hAnsi="Times New Roman"/>
          <w:b/>
        </w:rPr>
        <w:t>A.</w:t>
      </w:r>
      <w:r>
        <w:rPr>
          <w:rFonts w:ascii="Times New Roman" w:hAnsi="Times New Roman"/>
        </w:rPr>
        <w:tab/>
      </w:r>
      <w:r w:rsidR="004E0D41">
        <w:rPr>
          <w:rFonts w:ascii="Times New Roman" w:hAnsi="Times New Roman"/>
          <w:b/>
        </w:rPr>
        <w:t>IV.</w:t>
      </w:r>
      <w:r w:rsidR="004E0D41">
        <w:rPr>
          <w:rFonts w:ascii="Times New Roman" w:hAnsi="Times New Roman"/>
          <w:b/>
        </w:rPr>
        <w:tab/>
        <w:t>CONCLUSION</w:t>
      </w:r>
    </w:p>
    <w:p w:rsidR="004E0D41" w:rsidRDefault="004E0D41" w:rsidP="00D35CD3">
      <w:pPr>
        <w:spacing w:line="508" w:lineRule="exact"/>
        <w:ind w:left="720" w:right="-720" w:hanging="720"/>
        <w:rPr>
          <w:rFonts w:ascii="Times New Roman" w:hAnsi="Times New Roman"/>
        </w:rPr>
      </w:pPr>
      <w:r w:rsidRPr="0049272A">
        <w:rPr>
          <w:rFonts w:ascii="Times New Roman" w:hAnsi="Times New Roman"/>
          <w:b/>
        </w:rPr>
        <w:t>Q.</w:t>
      </w:r>
      <w:r w:rsidRPr="0049272A">
        <w:rPr>
          <w:rFonts w:ascii="Times New Roman" w:hAnsi="Times New Roman"/>
          <w:b/>
        </w:rPr>
        <w:tab/>
      </w:r>
      <w:r w:rsidR="00C22FA2">
        <w:rPr>
          <w:rFonts w:ascii="Times New Roman" w:hAnsi="Times New Roman"/>
        </w:rPr>
        <w:t xml:space="preserve">Would you please offer your conclusions in response to Mr. </w:t>
      </w:r>
      <w:proofErr w:type="spellStart"/>
      <w:r w:rsidR="00C22FA2">
        <w:rPr>
          <w:rFonts w:ascii="Times New Roman" w:hAnsi="Times New Roman"/>
        </w:rPr>
        <w:t>Schooley’s</w:t>
      </w:r>
      <w:proofErr w:type="spellEnd"/>
      <w:r w:rsidR="00C22FA2">
        <w:rPr>
          <w:rFonts w:ascii="Times New Roman" w:hAnsi="Times New Roman"/>
        </w:rPr>
        <w:t xml:space="preserve"> testimony?</w:t>
      </w:r>
    </w:p>
    <w:p w:rsidR="008B0589" w:rsidRPr="008B0589" w:rsidRDefault="008B0589" w:rsidP="008B0589">
      <w:pPr>
        <w:spacing w:line="508" w:lineRule="exact"/>
        <w:ind w:left="720" w:right="-720" w:hanging="720"/>
        <w:rPr>
          <w:rFonts w:ascii="Times New Roman" w:hAnsi="Times New Roman"/>
        </w:rPr>
      </w:pPr>
      <w:r w:rsidRPr="008B0589">
        <w:rPr>
          <w:rFonts w:ascii="Times New Roman" w:hAnsi="Times New Roman"/>
        </w:rPr>
        <w:t>A.</w:t>
      </w:r>
      <w:r w:rsidRPr="008B0589">
        <w:rPr>
          <w:rFonts w:ascii="Times New Roman" w:hAnsi="Times New Roman"/>
        </w:rPr>
        <w:tab/>
        <w:t xml:space="preserve">First, the Energy Project contends that Mr. </w:t>
      </w:r>
      <w:proofErr w:type="spellStart"/>
      <w:r w:rsidRPr="008B0589">
        <w:rPr>
          <w:rFonts w:ascii="Times New Roman" w:hAnsi="Times New Roman"/>
        </w:rPr>
        <w:t>Schooley’s</w:t>
      </w:r>
      <w:proofErr w:type="spellEnd"/>
      <w:r w:rsidRPr="008B0589">
        <w:rPr>
          <w:rFonts w:ascii="Times New Roman" w:hAnsi="Times New Roman"/>
        </w:rPr>
        <w:t xml:space="preserve"> logic that increasing the basic charge with a resultant decrease in the variable rates would benefit low-income customers is questionable, if not faulty, and that the policy is actually regressive because it is anti-conservation.  Low-income customers would be better served by a more aggressive low-income energy efficiency budget, as the Energy Project proposed in our direct testimony, noting that budget has not increased in ten years.</w:t>
      </w:r>
    </w:p>
    <w:p w:rsidR="008B0589" w:rsidRPr="008B0589" w:rsidRDefault="008B0589" w:rsidP="008B0589">
      <w:pPr>
        <w:spacing w:line="508" w:lineRule="exact"/>
        <w:ind w:left="720" w:right="-720" w:hanging="720"/>
        <w:rPr>
          <w:rFonts w:ascii="Times New Roman" w:hAnsi="Times New Roman"/>
        </w:rPr>
      </w:pPr>
      <w:r w:rsidRPr="008B0589">
        <w:rPr>
          <w:rFonts w:ascii="Times New Roman" w:hAnsi="Times New Roman"/>
        </w:rPr>
        <w:tab/>
        <w:t xml:space="preserve">Second, the Energy Project agrees that deepening the discount levels in the existing LIBA program is in order and that the agencies would like to serve additional customers, but we believe that 1) the lower benefit that customers in LIBA program receive compared to LHEAP and 2) PacifiCorp’s relatively lower program commitment compared to PSE and Avista, which Mr. </w:t>
      </w:r>
      <w:proofErr w:type="spellStart"/>
      <w:r w:rsidRPr="008B0589">
        <w:rPr>
          <w:rFonts w:ascii="Times New Roman" w:hAnsi="Times New Roman"/>
        </w:rPr>
        <w:t>Schooley</w:t>
      </w:r>
      <w:proofErr w:type="spellEnd"/>
      <w:r w:rsidRPr="008B0589">
        <w:rPr>
          <w:rFonts w:ascii="Times New Roman" w:hAnsi="Times New Roman"/>
        </w:rPr>
        <w:t xml:space="preserve"> noted, indicate a need to increase the program funding at some degree greater than a percentage equal to the residential rate increase that is ultimately approved.</w:t>
      </w:r>
    </w:p>
    <w:p w:rsidR="008B0589" w:rsidRPr="008B0589" w:rsidRDefault="008B0589" w:rsidP="008B0589">
      <w:pPr>
        <w:spacing w:line="508" w:lineRule="exact"/>
        <w:ind w:left="720" w:right="-720" w:hanging="720"/>
        <w:rPr>
          <w:rFonts w:ascii="Times New Roman" w:hAnsi="Times New Roman"/>
        </w:rPr>
      </w:pPr>
      <w:r w:rsidRPr="008B0589">
        <w:rPr>
          <w:rFonts w:ascii="Times New Roman" w:hAnsi="Times New Roman"/>
        </w:rPr>
        <w:tab/>
        <w:t xml:space="preserve">Third, the Commission should not ignore practical considerations in program design and funding.  It is necessary to have trained personnel to implement the program.  An increase to the number of participants or a wholesale shift of funds from implementation to direct service that does not attend to these practical considerations is not wise.  In that regard, the Energy Project believes the 30% for “new” customers proposed in the Company’s 70%/30% split of any incremental increase should be used to implement an alternative program design that could actually have lower administrative costs, rather than simply add more customers.  We believe the same consideration should be given to </w:t>
      </w:r>
      <w:r w:rsidRPr="008B0589">
        <w:rPr>
          <w:rFonts w:ascii="Times New Roman" w:hAnsi="Times New Roman"/>
        </w:rPr>
        <w:lastRenderedPageBreak/>
        <w:t>expanding eligibility to 150% FPL income levels.  We are not opposed to the move, but believe it needs to recognize the implementation cost impacts.  The Energy Project and the agencies would like to develop an alternative more fully with the Company and other interested parties, should the Commission feel the idea has merit.</w:t>
      </w:r>
    </w:p>
    <w:p w:rsidR="008B0589" w:rsidRPr="008B0589" w:rsidRDefault="008B0589" w:rsidP="008B0589">
      <w:pPr>
        <w:tabs>
          <w:tab w:val="left" w:pos="1120"/>
        </w:tabs>
        <w:spacing w:line="508" w:lineRule="exact"/>
        <w:ind w:left="720" w:right="-720" w:hanging="720"/>
        <w:rPr>
          <w:rFonts w:ascii="Times New Roman" w:hAnsi="Times New Roman"/>
        </w:rPr>
      </w:pPr>
      <w:r w:rsidRPr="008B0589">
        <w:rPr>
          <w:rFonts w:ascii="Times New Roman" w:hAnsi="Times New Roman"/>
        </w:rPr>
        <w:tab/>
        <w:t>Finally, the Energy Project contends that shifting certification to every other year would mean a less responsive program and less effective use of the direct service funds as well as undercutting the agencies’ abilities to maintain the program.  We would again point to the 30% split as a means to explore an alternative program design that could have lower administrative costs.</w:t>
      </w:r>
    </w:p>
    <w:p w:rsidR="00211B22" w:rsidRDefault="00211B22" w:rsidP="00211B22">
      <w:pPr>
        <w:spacing w:line="480" w:lineRule="auto"/>
        <w:ind w:left="720" w:right="-720" w:hanging="720"/>
      </w:pPr>
    </w:p>
    <w:p w:rsidR="00211B22" w:rsidRDefault="00211B22" w:rsidP="00211B22">
      <w:pPr>
        <w:spacing w:line="480" w:lineRule="auto"/>
        <w:ind w:left="720" w:right="-720" w:hanging="720"/>
      </w:pPr>
    </w:p>
    <w:p w:rsidR="00C44448" w:rsidRDefault="00C44448" w:rsidP="00211B22">
      <w:pPr>
        <w:tabs>
          <w:tab w:val="left" w:pos="720"/>
        </w:tabs>
        <w:autoSpaceDE w:val="0"/>
        <w:autoSpaceDN w:val="0"/>
        <w:adjustRightInd w:val="0"/>
        <w:spacing w:line="480" w:lineRule="auto"/>
        <w:ind w:left="720" w:right="-720" w:hanging="720"/>
        <w:rPr>
          <w:rFonts w:ascii="Times New Roman" w:hAnsi="Times New Roman" w:cs="TimesNewRomanPS-BoldMT"/>
          <w:b/>
        </w:rPr>
      </w:pPr>
    </w:p>
    <w:p w:rsidR="0017316D" w:rsidRDefault="0017316D" w:rsidP="00211B22">
      <w:pPr>
        <w:tabs>
          <w:tab w:val="left" w:pos="720"/>
        </w:tabs>
        <w:autoSpaceDE w:val="0"/>
        <w:autoSpaceDN w:val="0"/>
        <w:adjustRightInd w:val="0"/>
        <w:spacing w:line="480" w:lineRule="auto"/>
        <w:ind w:left="720" w:right="-720" w:hanging="720"/>
        <w:jc w:val="center"/>
        <w:rPr>
          <w:rFonts w:ascii="Times New Roman" w:hAnsi="Times New Roman" w:cs="TimesNewRomanPS-BoldMT"/>
        </w:rPr>
      </w:pPr>
    </w:p>
    <w:p w:rsidR="001D40EA" w:rsidRPr="00452B28" w:rsidRDefault="002E4706" w:rsidP="001D40EA">
      <w:pPr>
        <w:jc w:val="center"/>
        <w:rPr>
          <w:rFonts w:ascii="Times New Roman" w:hAnsi="Times New Roman"/>
        </w:rPr>
      </w:pPr>
      <w:r>
        <w:rPr>
          <w:rFonts w:ascii="Times New Roman" w:hAnsi="Times New Roman" w:cs="TimesNewRomanPS-BoldMT"/>
        </w:rPr>
        <w:br w:type="page"/>
      </w:r>
      <w:r w:rsidR="001D40EA" w:rsidRPr="00452B28">
        <w:rPr>
          <w:rFonts w:ascii="Times New Roman" w:hAnsi="Times New Roman"/>
        </w:rPr>
        <w:lastRenderedPageBreak/>
        <w:t>CERTIFICATE OF SERVICE</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ab/>
        <w:t>I hereby certify that on the 5th</w:t>
      </w:r>
      <w:r>
        <w:rPr>
          <w:rFonts w:ascii="Times New Roman" w:hAnsi="Times New Roman"/>
        </w:rPr>
        <w:t xml:space="preserve"> day of November</w:t>
      </w:r>
      <w:r w:rsidRPr="00452B28">
        <w:rPr>
          <w:rFonts w:ascii="Times New Roman" w:hAnsi="Times New Roman"/>
        </w:rPr>
        <w:t>, 20</w:t>
      </w:r>
      <w:r>
        <w:rPr>
          <w:rFonts w:ascii="Times New Roman" w:hAnsi="Times New Roman"/>
        </w:rPr>
        <w:t>10</w:t>
      </w:r>
      <w:r w:rsidRPr="00452B28">
        <w:rPr>
          <w:rFonts w:ascii="Times New Roman" w:hAnsi="Times New Roman"/>
        </w:rPr>
        <w:t>, I served the foregoing document(s) on the following individuals via email and U.S. Mail at the addresses shown.</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WUTC</w:t>
      </w:r>
    </w:p>
    <w:p w:rsidR="001D40EA" w:rsidRPr="00452B28" w:rsidRDefault="001D40EA" w:rsidP="001D40EA">
      <w:pPr>
        <w:rPr>
          <w:rFonts w:ascii="Times New Roman" w:hAnsi="Times New Roman"/>
        </w:rPr>
      </w:pPr>
      <w:r w:rsidRPr="00452B28">
        <w:rPr>
          <w:rFonts w:ascii="Times New Roman" w:hAnsi="Times New Roman"/>
        </w:rPr>
        <w:t>Records Center</w:t>
      </w:r>
    </w:p>
    <w:p w:rsidR="001D40EA" w:rsidRPr="00452B28" w:rsidRDefault="001D40EA" w:rsidP="001D40EA">
      <w:pPr>
        <w:rPr>
          <w:rFonts w:ascii="Times New Roman" w:hAnsi="Times New Roman"/>
        </w:rPr>
      </w:pPr>
      <w:r w:rsidRPr="00452B28">
        <w:rPr>
          <w:rFonts w:ascii="Times New Roman" w:hAnsi="Times New Roman"/>
        </w:rPr>
        <w:t>1300 S. Evergreen Dr. SW</w:t>
      </w:r>
    </w:p>
    <w:p w:rsidR="001D40EA" w:rsidRPr="00452B28" w:rsidRDefault="001D40EA" w:rsidP="001D40EA">
      <w:pPr>
        <w:rPr>
          <w:rFonts w:ascii="Times New Roman" w:hAnsi="Times New Roman"/>
        </w:rPr>
      </w:pPr>
      <w:r w:rsidRPr="00452B28">
        <w:rPr>
          <w:rFonts w:ascii="Times New Roman" w:hAnsi="Times New Roman"/>
        </w:rPr>
        <w:t>Olympia, WA 98504-7250</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Katherine A. McDowell</w:t>
      </w:r>
    </w:p>
    <w:p w:rsidR="001D40EA" w:rsidRPr="00452B28" w:rsidRDefault="001D40EA" w:rsidP="001D40EA">
      <w:pPr>
        <w:rPr>
          <w:rFonts w:ascii="Times New Roman" w:hAnsi="Times New Roman"/>
        </w:rPr>
      </w:pPr>
      <w:r w:rsidRPr="00452B28">
        <w:rPr>
          <w:rFonts w:ascii="Times New Roman" w:hAnsi="Times New Roman"/>
        </w:rPr>
        <w:t xml:space="preserve">McDowall </w:t>
      </w:r>
      <w:proofErr w:type="spellStart"/>
      <w:r w:rsidRPr="00452B28">
        <w:rPr>
          <w:rFonts w:ascii="Times New Roman" w:hAnsi="Times New Roman"/>
        </w:rPr>
        <w:t>Rackner</w:t>
      </w:r>
      <w:proofErr w:type="spellEnd"/>
      <w:r w:rsidRPr="00452B28">
        <w:rPr>
          <w:rFonts w:ascii="Times New Roman" w:hAnsi="Times New Roman"/>
        </w:rPr>
        <w:t xml:space="preserve"> &amp; Gibson</w:t>
      </w:r>
    </w:p>
    <w:p w:rsidR="001D40EA" w:rsidRPr="00452B28" w:rsidRDefault="001D40EA" w:rsidP="001D40EA">
      <w:pPr>
        <w:rPr>
          <w:rFonts w:ascii="Times New Roman" w:hAnsi="Times New Roman"/>
        </w:rPr>
      </w:pPr>
      <w:r w:rsidRPr="00452B28">
        <w:rPr>
          <w:rFonts w:ascii="Times New Roman" w:hAnsi="Times New Roman"/>
        </w:rPr>
        <w:t>520 SW 6</w:t>
      </w:r>
      <w:r w:rsidRPr="00452B28">
        <w:rPr>
          <w:rFonts w:ascii="Times New Roman" w:hAnsi="Times New Roman"/>
          <w:vertAlign w:val="superscript"/>
        </w:rPr>
        <w:t>th</w:t>
      </w:r>
      <w:r w:rsidRPr="00452B28">
        <w:rPr>
          <w:rFonts w:ascii="Times New Roman" w:hAnsi="Times New Roman"/>
        </w:rPr>
        <w:t xml:space="preserve"> Avenue, Suite 830</w:t>
      </w:r>
    </w:p>
    <w:p w:rsidR="001D40EA" w:rsidRPr="00452B28" w:rsidRDefault="001D40EA" w:rsidP="001D40EA">
      <w:pPr>
        <w:rPr>
          <w:rFonts w:ascii="Times New Roman" w:hAnsi="Times New Roman"/>
        </w:rPr>
      </w:pPr>
      <w:r w:rsidRPr="00452B28">
        <w:rPr>
          <w:rFonts w:ascii="Times New Roman" w:hAnsi="Times New Roman"/>
        </w:rPr>
        <w:t>Portland, OR  97204</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Donald T. Trotter</w:t>
      </w:r>
    </w:p>
    <w:p w:rsidR="001D40EA" w:rsidRPr="00452B28" w:rsidRDefault="001D40EA" w:rsidP="001D40EA">
      <w:pPr>
        <w:rPr>
          <w:rFonts w:ascii="Times New Roman" w:hAnsi="Times New Roman"/>
        </w:rPr>
      </w:pPr>
      <w:r w:rsidRPr="00452B28">
        <w:rPr>
          <w:rFonts w:ascii="Times New Roman" w:hAnsi="Times New Roman"/>
        </w:rPr>
        <w:t>Assistant Attorney General</w:t>
      </w:r>
    </w:p>
    <w:p w:rsidR="001D40EA" w:rsidRPr="00452B28" w:rsidRDefault="001D40EA" w:rsidP="001D40EA">
      <w:pPr>
        <w:rPr>
          <w:rFonts w:ascii="Times New Roman" w:hAnsi="Times New Roman"/>
        </w:rPr>
      </w:pPr>
      <w:r w:rsidRPr="00452B28">
        <w:rPr>
          <w:rFonts w:ascii="Times New Roman" w:hAnsi="Times New Roman"/>
        </w:rPr>
        <w:t>1400 S. Evergreen Park Dr. SW</w:t>
      </w:r>
    </w:p>
    <w:p w:rsidR="001D40EA" w:rsidRPr="00452B28" w:rsidRDefault="001D40EA" w:rsidP="001D40EA">
      <w:pPr>
        <w:rPr>
          <w:rFonts w:ascii="Times New Roman" w:hAnsi="Times New Roman"/>
        </w:rPr>
      </w:pPr>
      <w:r w:rsidRPr="00452B28">
        <w:rPr>
          <w:rFonts w:ascii="Times New Roman" w:hAnsi="Times New Roman"/>
        </w:rPr>
        <w:t>P.O. Box 40128</w:t>
      </w:r>
    </w:p>
    <w:p w:rsidR="001D40EA" w:rsidRPr="00452B28" w:rsidRDefault="001D40EA" w:rsidP="001D40EA">
      <w:pPr>
        <w:rPr>
          <w:rFonts w:ascii="Times New Roman" w:hAnsi="Times New Roman"/>
        </w:rPr>
      </w:pPr>
      <w:r w:rsidRPr="00452B28">
        <w:rPr>
          <w:rFonts w:ascii="Times New Roman" w:hAnsi="Times New Roman"/>
        </w:rPr>
        <w:t>Olympia, WA 98504</w:t>
      </w:r>
      <w:r>
        <w:rPr>
          <w:rFonts w:ascii="Times New Roman" w:hAnsi="Times New Roman"/>
        </w:rPr>
        <w:t>-0128</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 xml:space="preserve">Sarah </w:t>
      </w:r>
      <w:proofErr w:type="spellStart"/>
      <w:r w:rsidRPr="00452B28">
        <w:rPr>
          <w:rFonts w:ascii="Times New Roman" w:hAnsi="Times New Roman"/>
        </w:rPr>
        <w:t>Shifley</w:t>
      </w:r>
      <w:proofErr w:type="spellEnd"/>
    </w:p>
    <w:p w:rsidR="001D40EA" w:rsidRPr="00452B28" w:rsidRDefault="001D40EA" w:rsidP="001D40EA">
      <w:pPr>
        <w:rPr>
          <w:rFonts w:ascii="Times New Roman" w:hAnsi="Times New Roman"/>
        </w:rPr>
      </w:pPr>
      <w:r w:rsidRPr="00452B28">
        <w:rPr>
          <w:rFonts w:ascii="Times New Roman" w:hAnsi="Times New Roman"/>
        </w:rPr>
        <w:t>Public Counsel Section</w:t>
      </w:r>
    </w:p>
    <w:p w:rsidR="001D40EA" w:rsidRPr="00452B28" w:rsidRDefault="001D40EA" w:rsidP="001D40EA">
      <w:pPr>
        <w:rPr>
          <w:rFonts w:ascii="Times New Roman" w:hAnsi="Times New Roman"/>
        </w:rPr>
      </w:pPr>
      <w:r w:rsidRPr="00452B28">
        <w:rPr>
          <w:rFonts w:ascii="Times New Roman" w:hAnsi="Times New Roman"/>
        </w:rPr>
        <w:t>Office of Attorney General</w:t>
      </w:r>
    </w:p>
    <w:p w:rsidR="001D40EA" w:rsidRPr="00452B28" w:rsidRDefault="001D40EA" w:rsidP="001D40EA">
      <w:pPr>
        <w:rPr>
          <w:rFonts w:ascii="Times New Roman" w:hAnsi="Times New Roman"/>
        </w:rPr>
      </w:pPr>
      <w:r w:rsidRPr="00452B28">
        <w:rPr>
          <w:rFonts w:ascii="Times New Roman" w:hAnsi="Times New Roman"/>
        </w:rPr>
        <w:t>800 Fifth Avenue, Suite 2000</w:t>
      </w:r>
    </w:p>
    <w:p w:rsidR="001D40EA" w:rsidRPr="00452B28" w:rsidRDefault="001D40EA" w:rsidP="001D40EA">
      <w:pPr>
        <w:rPr>
          <w:rFonts w:ascii="Times New Roman" w:hAnsi="Times New Roman"/>
        </w:rPr>
      </w:pPr>
      <w:r w:rsidRPr="00452B28">
        <w:rPr>
          <w:rFonts w:ascii="Times New Roman" w:hAnsi="Times New Roman"/>
        </w:rPr>
        <w:t>Seattle, WA 98104-3188</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Arthur A. Butler</w:t>
      </w:r>
    </w:p>
    <w:p w:rsidR="001D40EA" w:rsidRPr="00452B28" w:rsidRDefault="001D40EA" w:rsidP="001D40EA">
      <w:pPr>
        <w:rPr>
          <w:rFonts w:ascii="Times New Roman" w:hAnsi="Times New Roman"/>
        </w:rPr>
      </w:pPr>
      <w:proofErr w:type="spellStart"/>
      <w:r w:rsidRPr="00452B28">
        <w:rPr>
          <w:rFonts w:ascii="Times New Roman" w:hAnsi="Times New Roman"/>
        </w:rPr>
        <w:t>Ater</w:t>
      </w:r>
      <w:proofErr w:type="spellEnd"/>
      <w:r w:rsidRPr="00452B28">
        <w:rPr>
          <w:rFonts w:ascii="Times New Roman" w:hAnsi="Times New Roman"/>
        </w:rPr>
        <w:t xml:space="preserve"> Wynne LLP</w:t>
      </w:r>
    </w:p>
    <w:p w:rsidR="001D40EA" w:rsidRPr="00452B28" w:rsidRDefault="001D40EA" w:rsidP="001D40EA">
      <w:pPr>
        <w:rPr>
          <w:rFonts w:ascii="Times New Roman" w:hAnsi="Times New Roman"/>
        </w:rPr>
      </w:pPr>
      <w:r w:rsidRPr="00452B28">
        <w:rPr>
          <w:rFonts w:ascii="Times New Roman" w:hAnsi="Times New Roman"/>
        </w:rPr>
        <w:t>601 Union Street, Suite 1501</w:t>
      </w:r>
    </w:p>
    <w:p w:rsidR="001D40EA" w:rsidRPr="00452B28" w:rsidRDefault="001D40EA" w:rsidP="001D40EA">
      <w:pPr>
        <w:rPr>
          <w:rFonts w:ascii="Times New Roman" w:hAnsi="Times New Roman"/>
        </w:rPr>
      </w:pPr>
      <w:r w:rsidRPr="00452B28">
        <w:rPr>
          <w:rFonts w:ascii="Times New Roman" w:hAnsi="Times New Roman"/>
        </w:rPr>
        <w:t>Seattle, WA  98101-3981</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Judith Kim</w:t>
      </w:r>
    </w:p>
    <w:p w:rsidR="001D40EA" w:rsidRPr="00452B28" w:rsidRDefault="001D40EA" w:rsidP="001D40EA">
      <w:pPr>
        <w:rPr>
          <w:rFonts w:ascii="Times New Roman" w:hAnsi="Times New Roman"/>
        </w:rPr>
      </w:pPr>
      <w:r w:rsidRPr="00452B28">
        <w:rPr>
          <w:rFonts w:ascii="Times New Roman" w:hAnsi="Times New Roman"/>
        </w:rPr>
        <w:t>2001 S.E. 10</w:t>
      </w:r>
      <w:r w:rsidRPr="00452B28">
        <w:rPr>
          <w:rFonts w:ascii="Times New Roman" w:hAnsi="Times New Roman"/>
          <w:vertAlign w:val="superscript"/>
        </w:rPr>
        <w:t>th</w:t>
      </w:r>
      <w:r w:rsidRPr="00452B28">
        <w:rPr>
          <w:rFonts w:ascii="Times New Roman" w:hAnsi="Times New Roman"/>
        </w:rPr>
        <w:t xml:space="preserve"> St.</w:t>
      </w:r>
    </w:p>
    <w:p w:rsidR="001D40EA" w:rsidRPr="00452B28" w:rsidRDefault="001D40EA" w:rsidP="001D40EA">
      <w:pPr>
        <w:rPr>
          <w:rFonts w:ascii="Times New Roman" w:hAnsi="Times New Roman"/>
        </w:rPr>
      </w:pPr>
      <w:r w:rsidRPr="00452B28">
        <w:rPr>
          <w:rFonts w:ascii="Times New Roman" w:hAnsi="Times New Roman"/>
        </w:rPr>
        <w:t>Wal-Mart U.S. Legal</w:t>
      </w:r>
    </w:p>
    <w:p w:rsidR="001D40EA" w:rsidRPr="00452B28" w:rsidRDefault="001D40EA" w:rsidP="001D40EA">
      <w:pPr>
        <w:rPr>
          <w:rFonts w:ascii="Times New Roman" w:hAnsi="Times New Roman"/>
        </w:rPr>
      </w:pPr>
      <w:r w:rsidRPr="00452B28">
        <w:rPr>
          <w:rFonts w:ascii="Times New Roman" w:hAnsi="Times New Roman"/>
        </w:rPr>
        <w:t>Dept. #8989</w:t>
      </w:r>
    </w:p>
    <w:p w:rsidR="001D40EA" w:rsidRPr="00452B28" w:rsidRDefault="001D40EA" w:rsidP="001D40EA">
      <w:pPr>
        <w:rPr>
          <w:rFonts w:ascii="Times New Roman" w:hAnsi="Times New Roman"/>
        </w:rPr>
      </w:pPr>
      <w:r w:rsidRPr="00452B28">
        <w:rPr>
          <w:rFonts w:ascii="Times New Roman" w:hAnsi="Times New Roman"/>
        </w:rPr>
        <w:t xml:space="preserve">Bentonville, </w:t>
      </w:r>
      <w:proofErr w:type="gramStart"/>
      <w:r w:rsidRPr="00452B28">
        <w:rPr>
          <w:rFonts w:ascii="Times New Roman" w:hAnsi="Times New Roman"/>
        </w:rPr>
        <w:t>AR  727716</w:t>
      </w:r>
      <w:proofErr w:type="gramEnd"/>
      <w:r w:rsidRPr="00452B28">
        <w:rPr>
          <w:rFonts w:ascii="Times New Roman" w:hAnsi="Times New Roman"/>
        </w:rPr>
        <w:t>-0550</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Irion Sanger &amp; Melinda Davison</w:t>
      </w:r>
    </w:p>
    <w:p w:rsidR="001D40EA" w:rsidRPr="00452B28" w:rsidRDefault="001D40EA" w:rsidP="001D40EA">
      <w:pPr>
        <w:rPr>
          <w:rFonts w:ascii="Times New Roman" w:hAnsi="Times New Roman"/>
        </w:rPr>
      </w:pPr>
      <w:r w:rsidRPr="00452B28">
        <w:rPr>
          <w:rFonts w:ascii="Times New Roman" w:hAnsi="Times New Roman"/>
        </w:rPr>
        <w:t>Davison Van Cleve, P.C.</w:t>
      </w:r>
    </w:p>
    <w:p w:rsidR="001D40EA" w:rsidRPr="00452B28" w:rsidRDefault="001D40EA" w:rsidP="001D40EA">
      <w:pPr>
        <w:rPr>
          <w:rFonts w:ascii="Times New Roman" w:hAnsi="Times New Roman"/>
        </w:rPr>
      </w:pPr>
      <w:r w:rsidRPr="00452B28">
        <w:rPr>
          <w:rFonts w:ascii="Times New Roman" w:hAnsi="Times New Roman"/>
        </w:rPr>
        <w:t>333 S.W. Taylor, Suite 400</w:t>
      </w:r>
    </w:p>
    <w:p w:rsidR="001D40EA" w:rsidRPr="00452B28" w:rsidRDefault="001D40EA" w:rsidP="001D40EA">
      <w:pPr>
        <w:rPr>
          <w:rFonts w:ascii="Times New Roman" w:hAnsi="Times New Roman"/>
        </w:rPr>
      </w:pPr>
      <w:r w:rsidRPr="00452B28">
        <w:rPr>
          <w:rFonts w:ascii="Times New Roman" w:hAnsi="Times New Roman"/>
        </w:rPr>
        <w:t>Portland, OR  97204</w:t>
      </w: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p>
    <w:p w:rsidR="001D40EA" w:rsidRPr="00452B28" w:rsidRDefault="001D40EA" w:rsidP="001D40EA">
      <w:pPr>
        <w:rPr>
          <w:rFonts w:ascii="Times New Roman" w:hAnsi="Times New Roman"/>
        </w:rPr>
      </w:pP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p>
    <w:p w:rsidR="001D40EA" w:rsidRDefault="001D40EA" w:rsidP="001D40EA">
      <w:pPr>
        <w:rPr>
          <w:rFonts w:ascii="Times New Roman" w:hAnsi="Times New Roman"/>
        </w:rPr>
      </w:pP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p>
    <w:p w:rsidR="001D40EA" w:rsidRDefault="001D40EA" w:rsidP="001D40EA">
      <w:pPr>
        <w:ind w:left="3600" w:firstLine="1440"/>
        <w:rPr>
          <w:rFonts w:ascii="Times New Roman" w:hAnsi="Times New Roman"/>
        </w:rPr>
      </w:pPr>
    </w:p>
    <w:p w:rsidR="001D40EA" w:rsidRPr="00452B28" w:rsidRDefault="001D40EA" w:rsidP="001D40EA">
      <w:pPr>
        <w:ind w:left="3600" w:firstLine="1440"/>
        <w:rPr>
          <w:rFonts w:ascii="Times New Roman" w:hAnsi="Times New Roman"/>
        </w:rPr>
      </w:pPr>
      <w:r w:rsidRPr="00452B28">
        <w:rPr>
          <w:rFonts w:ascii="Times New Roman" w:hAnsi="Times New Roman"/>
        </w:rPr>
        <w:t>______________________________</w:t>
      </w:r>
    </w:p>
    <w:p w:rsidR="001D40EA" w:rsidRPr="00452B28" w:rsidRDefault="001D40EA" w:rsidP="001D40EA">
      <w:pPr>
        <w:rPr>
          <w:rFonts w:ascii="Times New Roman" w:hAnsi="Times New Roman"/>
        </w:rPr>
      </w:pP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r>
      <w:r w:rsidRPr="00452B28">
        <w:rPr>
          <w:rFonts w:ascii="Times New Roman" w:hAnsi="Times New Roman"/>
        </w:rPr>
        <w:tab/>
        <w:t>Brad M. Purdy</w:t>
      </w:r>
    </w:p>
    <w:p w:rsidR="00C44448" w:rsidRDefault="001D40EA" w:rsidP="001D40EA">
      <w:pPr>
        <w:spacing w:line="480" w:lineRule="auto"/>
        <w:ind w:left="720" w:right="-720" w:hanging="720"/>
        <w:jc w:val="center"/>
        <w:rPr>
          <w:rFonts w:ascii="Times New Roman" w:hAnsi="Times New Roman" w:cs="TimesNewRomanPS-BoldMT"/>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452B28">
        <w:rPr>
          <w:rFonts w:ascii="Times New Roman" w:hAnsi="Times New Roman"/>
        </w:rPr>
        <w:t>Attorney for the Energy Project</w:t>
      </w:r>
      <w:r>
        <w:rPr>
          <w:rFonts w:ascii="Times New Roman" w:hAnsi="Times New Roman" w:cs="TimesNewRomanPS-BoldMT"/>
          <w:b/>
        </w:rPr>
        <w:t xml:space="preserve"> </w:t>
      </w:r>
    </w:p>
    <w:p w:rsidR="00B828B8" w:rsidRPr="00B828B8" w:rsidRDefault="00B828B8" w:rsidP="00B828B8">
      <w:pPr>
        <w:spacing w:line="480" w:lineRule="auto"/>
        <w:ind w:left="720" w:hanging="720"/>
        <w:rPr>
          <w:rFonts w:ascii="Times New Roman" w:hAnsi="Times New Roman"/>
          <w:b/>
        </w:rPr>
      </w:pPr>
    </w:p>
    <w:sectPr w:rsidR="00B828B8" w:rsidRPr="00B828B8" w:rsidSect="0017316D">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lnNumType w:countBy="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B2" w:rsidRDefault="008222B2" w:rsidP="00956EE4">
      <w:r>
        <w:separator/>
      </w:r>
    </w:p>
  </w:endnote>
  <w:endnote w:type="continuationSeparator" w:id="0">
    <w:p w:rsidR="008222B2" w:rsidRDefault="008222B2" w:rsidP="00956E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89" w:rsidRDefault="004C53B9" w:rsidP="001D3843">
    <w:pPr>
      <w:pStyle w:val="Footer"/>
      <w:framePr w:wrap="around" w:vAnchor="text" w:hAnchor="margin" w:xAlign="right" w:y="1"/>
      <w:rPr>
        <w:rStyle w:val="PageNumber"/>
      </w:rPr>
    </w:pPr>
    <w:r>
      <w:rPr>
        <w:rStyle w:val="PageNumber"/>
      </w:rPr>
      <w:fldChar w:fldCharType="begin"/>
    </w:r>
    <w:r w:rsidR="008B0589">
      <w:rPr>
        <w:rStyle w:val="PageNumber"/>
      </w:rPr>
      <w:instrText xml:space="preserve">PAGE  </w:instrText>
    </w:r>
    <w:r>
      <w:rPr>
        <w:rStyle w:val="PageNumber"/>
      </w:rPr>
      <w:fldChar w:fldCharType="end"/>
    </w:r>
  </w:p>
  <w:p w:rsidR="008B0589" w:rsidRDefault="008B0589" w:rsidP="002C3D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6843"/>
      <w:docPartObj>
        <w:docPartGallery w:val="Page Numbers (Bottom of Page)"/>
        <w:docPartUnique/>
      </w:docPartObj>
    </w:sdtPr>
    <w:sdtContent>
      <w:p w:rsidR="008B0589" w:rsidRDefault="008B0589" w:rsidP="002C4A32">
        <w:pPr>
          <w:pStyle w:val="Footer"/>
        </w:pPr>
        <w:r>
          <w:t>PREFILED CROSS-ANSWERING TESTIMONY OF CHARLES M. EBERDT</w:t>
        </w:r>
        <w:r>
          <w:tab/>
        </w:r>
        <w:fldSimple w:instr=" PAGE   \* MERGEFORMAT ">
          <w:r w:rsidR="001D40EA">
            <w:rPr>
              <w:noProof/>
            </w:rPr>
            <w:t>10</w:t>
          </w:r>
        </w:fldSimple>
      </w:p>
    </w:sdtContent>
  </w:sdt>
  <w:p w:rsidR="008B0589" w:rsidRDefault="008B0589" w:rsidP="002C3D21">
    <w:pPr>
      <w:pStyle w:val="Hea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89" w:rsidRDefault="008B0589" w:rsidP="00A45642">
    <w:pPr>
      <w:pStyle w:val="Footer"/>
      <w:tabs>
        <w:tab w:val="clear" w:pos="4320"/>
        <w:tab w:val="left" w:pos="77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B2" w:rsidRDefault="008222B2" w:rsidP="00956EE4">
      <w:r>
        <w:separator/>
      </w:r>
    </w:p>
  </w:footnote>
  <w:footnote w:type="continuationSeparator" w:id="0">
    <w:p w:rsidR="008222B2" w:rsidRDefault="008222B2" w:rsidP="00956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89" w:rsidRDefault="008B0589">
    <w:pPr>
      <w:pStyle w:val="Header"/>
    </w:pPr>
    <w:r>
      <w:tab/>
    </w:r>
    <w:r>
      <w:tab/>
      <w:t>Exhibit No. CME__-5T</w:t>
    </w:r>
  </w:p>
  <w:p w:rsidR="008B0589" w:rsidRDefault="008B0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8B0589" w:rsidRDefault="008B0589">
        <w:pPr>
          <w:pStyle w:val="Header"/>
        </w:pPr>
        <w:r>
          <w:t>[Type text]</w:t>
        </w:r>
      </w:p>
    </w:sdtContent>
  </w:sdt>
  <w:p w:rsidR="008B0589" w:rsidRDefault="008B05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95C94"/>
    <w:rsid w:val="000023D0"/>
    <w:rsid w:val="0002457C"/>
    <w:rsid w:val="00031AB8"/>
    <w:rsid w:val="00032CCE"/>
    <w:rsid w:val="00055663"/>
    <w:rsid w:val="0009487B"/>
    <w:rsid w:val="00096F38"/>
    <w:rsid w:val="000A4909"/>
    <w:rsid w:val="000B2A32"/>
    <w:rsid w:val="000B7773"/>
    <w:rsid w:val="000D2DC3"/>
    <w:rsid w:val="000D3F78"/>
    <w:rsid w:val="001105F5"/>
    <w:rsid w:val="00114A84"/>
    <w:rsid w:val="00121DD2"/>
    <w:rsid w:val="001317D0"/>
    <w:rsid w:val="00150C69"/>
    <w:rsid w:val="00160D89"/>
    <w:rsid w:val="00164E3D"/>
    <w:rsid w:val="0017316D"/>
    <w:rsid w:val="00191E49"/>
    <w:rsid w:val="001927E4"/>
    <w:rsid w:val="001D2A14"/>
    <w:rsid w:val="001D2E39"/>
    <w:rsid w:val="001D3843"/>
    <w:rsid w:val="001D40EA"/>
    <w:rsid w:val="001E26AE"/>
    <w:rsid w:val="001E3BD2"/>
    <w:rsid w:val="001E7010"/>
    <w:rsid w:val="00211B22"/>
    <w:rsid w:val="00212CA3"/>
    <w:rsid w:val="00214956"/>
    <w:rsid w:val="00217214"/>
    <w:rsid w:val="00233709"/>
    <w:rsid w:val="0027590B"/>
    <w:rsid w:val="00275B32"/>
    <w:rsid w:val="002800B8"/>
    <w:rsid w:val="00295C94"/>
    <w:rsid w:val="00296C37"/>
    <w:rsid w:val="002A3962"/>
    <w:rsid w:val="002B4EB6"/>
    <w:rsid w:val="002C11C3"/>
    <w:rsid w:val="002C3D21"/>
    <w:rsid w:val="002C4A32"/>
    <w:rsid w:val="002D137E"/>
    <w:rsid w:val="002E4706"/>
    <w:rsid w:val="002E6B62"/>
    <w:rsid w:val="002E7A60"/>
    <w:rsid w:val="002F35ED"/>
    <w:rsid w:val="002F783D"/>
    <w:rsid w:val="00300110"/>
    <w:rsid w:val="00307FBF"/>
    <w:rsid w:val="00321453"/>
    <w:rsid w:val="00321642"/>
    <w:rsid w:val="00323873"/>
    <w:rsid w:val="003254F6"/>
    <w:rsid w:val="0035344C"/>
    <w:rsid w:val="00357BA2"/>
    <w:rsid w:val="003674F4"/>
    <w:rsid w:val="00370986"/>
    <w:rsid w:val="0037582D"/>
    <w:rsid w:val="003B4EB9"/>
    <w:rsid w:val="003D46C2"/>
    <w:rsid w:val="003E706D"/>
    <w:rsid w:val="003F0B79"/>
    <w:rsid w:val="003F1E83"/>
    <w:rsid w:val="00404C64"/>
    <w:rsid w:val="004105E5"/>
    <w:rsid w:val="00435106"/>
    <w:rsid w:val="00454686"/>
    <w:rsid w:val="004577E6"/>
    <w:rsid w:val="00465822"/>
    <w:rsid w:val="00471A18"/>
    <w:rsid w:val="00483A1B"/>
    <w:rsid w:val="0049272A"/>
    <w:rsid w:val="004C53B9"/>
    <w:rsid w:val="004C74A3"/>
    <w:rsid w:val="004E0D41"/>
    <w:rsid w:val="0050068E"/>
    <w:rsid w:val="00524073"/>
    <w:rsid w:val="0053635F"/>
    <w:rsid w:val="005419F7"/>
    <w:rsid w:val="00544CB6"/>
    <w:rsid w:val="005536E2"/>
    <w:rsid w:val="00564FB4"/>
    <w:rsid w:val="0056691F"/>
    <w:rsid w:val="00570500"/>
    <w:rsid w:val="005A06C9"/>
    <w:rsid w:val="005A46AE"/>
    <w:rsid w:val="005C6537"/>
    <w:rsid w:val="005C66C2"/>
    <w:rsid w:val="005C7930"/>
    <w:rsid w:val="005D7B3D"/>
    <w:rsid w:val="005E185A"/>
    <w:rsid w:val="005F1451"/>
    <w:rsid w:val="00611C72"/>
    <w:rsid w:val="00623B5A"/>
    <w:rsid w:val="00623F2E"/>
    <w:rsid w:val="006306ED"/>
    <w:rsid w:val="006479C0"/>
    <w:rsid w:val="006561F1"/>
    <w:rsid w:val="0066035E"/>
    <w:rsid w:val="006A13DB"/>
    <w:rsid w:val="006A30B2"/>
    <w:rsid w:val="006A6771"/>
    <w:rsid w:val="006C6409"/>
    <w:rsid w:val="006D4F42"/>
    <w:rsid w:val="006D6661"/>
    <w:rsid w:val="006E627C"/>
    <w:rsid w:val="006F2E8E"/>
    <w:rsid w:val="0071571D"/>
    <w:rsid w:val="00716D32"/>
    <w:rsid w:val="007231D6"/>
    <w:rsid w:val="00731AFB"/>
    <w:rsid w:val="0074217F"/>
    <w:rsid w:val="00742190"/>
    <w:rsid w:val="0074792C"/>
    <w:rsid w:val="0078760F"/>
    <w:rsid w:val="00787CEE"/>
    <w:rsid w:val="007D1A03"/>
    <w:rsid w:val="007D3863"/>
    <w:rsid w:val="007D7C27"/>
    <w:rsid w:val="007F0844"/>
    <w:rsid w:val="007F6DAA"/>
    <w:rsid w:val="007F7791"/>
    <w:rsid w:val="00804268"/>
    <w:rsid w:val="008222B2"/>
    <w:rsid w:val="008327F7"/>
    <w:rsid w:val="008358B4"/>
    <w:rsid w:val="00837DA9"/>
    <w:rsid w:val="00856EF3"/>
    <w:rsid w:val="00874495"/>
    <w:rsid w:val="008757B3"/>
    <w:rsid w:val="00875F3F"/>
    <w:rsid w:val="008812CB"/>
    <w:rsid w:val="008A1D09"/>
    <w:rsid w:val="008A344E"/>
    <w:rsid w:val="008B0589"/>
    <w:rsid w:val="008C6378"/>
    <w:rsid w:val="008D0F00"/>
    <w:rsid w:val="008E7259"/>
    <w:rsid w:val="009034AB"/>
    <w:rsid w:val="00927595"/>
    <w:rsid w:val="00936038"/>
    <w:rsid w:val="00936C32"/>
    <w:rsid w:val="00956EE4"/>
    <w:rsid w:val="00962BE9"/>
    <w:rsid w:val="00975282"/>
    <w:rsid w:val="00997A95"/>
    <w:rsid w:val="009A1B83"/>
    <w:rsid w:val="009A6F36"/>
    <w:rsid w:val="009B4C75"/>
    <w:rsid w:val="009B7DC7"/>
    <w:rsid w:val="009C2FDA"/>
    <w:rsid w:val="009F63DE"/>
    <w:rsid w:val="00A06B69"/>
    <w:rsid w:val="00A14130"/>
    <w:rsid w:val="00A35330"/>
    <w:rsid w:val="00A41DFE"/>
    <w:rsid w:val="00A45642"/>
    <w:rsid w:val="00A51078"/>
    <w:rsid w:val="00A540CD"/>
    <w:rsid w:val="00A8709A"/>
    <w:rsid w:val="00AC1484"/>
    <w:rsid w:val="00AC604D"/>
    <w:rsid w:val="00AD0C85"/>
    <w:rsid w:val="00AE2F77"/>
    <w:rsid w:val="00AF166A"/>
    <w:rsid w:val="00AF6CFA"/>
    <w:rsid w:val="00B22854"/>
    <w:rsid w:val="00B2666C"/>
    <w:rsid w:val="00B26902"/>
    <w:rsid w:val="00B4241C"/>
    <w:rsid w:val="00B45552"/>
    <w:rsid w:val="00B819F0"/>
    <w:rsid w:val="00B828B8"/>
    <w:rsid w:val="00B85259"/>
    <w:rsid w:val="00B92153"/>
    <w:rsid w:val="00BA6DCE"/>
    <w:rsid w:val="00BD373E"/>
    <w:rsid w:val="00C00421"/>
    <w:rsid w:val="00C032E4"/>
    <w:rsid w:val="00C07C5E"/>
    <w:rsid w:val="00C22FA2"/>
    <w:rsid w:val="00C36CC3"/>
    <w:rsid w:val="00C406ED"/>
    <w:rsid w:val="00C42E6F"/>
    <w:rsid w:val="00C44448"/>
    <w:rsid w:val="00C5363A"/>
    <w:rsid w:val="00C81E3E"/>
    <w:rsid w:val="00C92F12"/>
    <w:rsid w:val="00CA18F4"/>
    <w:rsid w:val="00CA788E"/>
    <w:rsid w:val="00CB7722"/>
    <w:rsid w:val="00CD1709"/>
    <w:rsid w:val="00CE7770"/>
    <w:rsid w:val="00D004AD"/>
    <w:rsid w:val="00D35CD3"/>
    <w:rsid w:val="00D44744"/>
    <w:rsid w:val="00D76EDF"/>
    <w:rsid w:val="00D90FBB"/>
    <w:rsid w:val="00D9683C"/>
    <w:rsid w:val="00DA283B"/>
    <w:rsid w:val="00DB1E1E"/>
    <w:rsid w:val="00DC77A9"/>
    <w:rsid w:val="00DD3682"/>
    <w:rsid w:val="00DD6D1D"/>
    <w:rsid w:val="00DD720F"/>
    <w:rsid w:val="00DF7F79"/>
    <w:rsid w:val="00E03471"/>
    <w:rsid w:val="00E1112E"/>
    <w:rsid w:val="00E11EE6"/>
    <w:rsid w:val="00E21F7E"/>
    <w:rsid w:val="00E33602"/>
    <w:rsid w:val="00E46B58"/>
    <w:rsid w:val="00E6484B"/>
    <w:rsid w:val="00E6675B"/>
    <w:rsid w:val="00E814DF"/>
    <w:rsid w:val="00E87CC4"/>
    <w:rsid w:val="00EC4ECA"/>
    <w:rsid w:val="00ED0E60"/>
    <w:rsid w:val="00ED3AA5"/>
    <w:rsid w:val="00EE5238"/>
    <w:rsid w:val="00EF333C"/>
    <w:rsid w:val="00EF3D3D"/>
    <w:rsid w:val="00EF6CD9"/>
    <w:rsid w:val="00F04E2C"/>
    <w:rsid w:val="00F26C31"/>
    <w:rsid w:val="00FC09C2"/>
    <w:rsid w:val="00FC712D"/>
    <w:rsid w:val="00FE3563"/>
    <w:rsid w:val="00FE37A4"/>
    <w:rsid w:val="00FE7AA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Title" w:uiPriority="99" w:qFormat="1"/>
    <w:lsdException w:name="Hyperlink" w:uiPriority="99"/>
    <w:lsdException w:name="No Spacing"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95C94"/>
  </w:style>
  <w:style w:type="paragraph" w:styleId="Header">
    <w:name w:val="header"/>
    <w:basedOn w:val="Normal"/>
    <w:link w:val="HeaderChar"/>
    <w:uiPriority w:val="99"/>
    <w:unhideWhenUsed/>
    <w:rsid w:val="00295C94"/>
    <w:pPr>
      <w:tabs>
        <w:tab w:val="center" w:pos="4320"/>
        <w:tab w:val="right" w:pos="8640"/>
      </w:tabs>
    </w:pPr>
  </w:style>
  <w:style w:type="character" w:customStyle="1" w:styleId="HeaderChar">
    <w:name w:val="Header Char"/>
    <w:basedOn w:val="DefaultParagraphFont"/>
    <w:link w:val="Header"/>
    <w:uiPriority w:val="99"/>
    <w:rsid w:val="00295C94"/>
    <w:rPr>
      <w:sz w:val="24"/>
    </w:rPr>
  </w:style>
  <w:style w:type="paragraph" w:styleId="Footer">
    <w:name w:val="footer"/>
    <w:basedOn w:val="Normal"/>
    <w:link w:val="FooterChar"/>
    <w:uiPriority w:val="99"/>
    <w:unhideWhenUsed/>
    <w:rsid w:val="00295C94"/>
    <w:pPr>
      <w:tabs>
        <w:tab w:val="center" w:pos="4320"/>
        <w:tab w:val="right" w:pos="8640"/>
      </w:tabs>
    </w:pPr>
  </w:style>
  <w:style w:type="character" w:customStyle="1" w:styleId="FooterChar">
    <w:name w:val="Footer Char"/>
    <w:basedOn w:val="DefaultParagraphFont"/>
    <w:link w:val="Footer"/>
    <w:uiPriority w:val="99"/>
    <w:rsid w:val="00295C94"/>
    <w:rPr>
      <w:sz w:val="24"/>
    </w:rPr>
  </w:style>
  <w:style w:type="character" w:styleId="PageNumber">
    <w:name w:val="page number"/>
    <w:basedOn w:val="DefaultParagraphFont"/>
    <w:uiPriority w:val="99"/>
    <w:semiHidden/>
    <w:unhideWhenUsed/>
    <w:rsid w:val="008358B4"/>
  </w:style>
  <w:style w:type="paragraph" w:styleId="FootnoteText">
    <w:name w:val="footnote text"/>
    <w:basedOn w:val="Normal"/>
    <w:link w:val="FootnoteTextChar"/>
    <w:uiPriority w:val="99"/>
    <w:rsid w:val="00DD720F"/>
  </w:style>
  <w:style w:type="character" w:customStyle="1" w:styleId="FootnoteTextChar">
    <w:name w:val="Footnote Text Char"/>
    <w:basedOn w:val="DefaultParagraphFont"/>
    <w:link w:val="FootnoteText"/>
    <w:uiPriority w:val="99"/>
    <w:rsid w:val="00DD720F"/>
  </w:style>
  <w:style w:type="character" w:styleId="FootnoteReference">
    <w:name w:val="footnote reference"/>
    <w:basedOn w:val="DefaultParagraphFont"/>
    <w:uiPriority w:val="99"/>
    <w:rsid w:val="00DD720F"/>
    <w:rPr>
      <w:vertAlign w:val="superscript"/>
    </w:rPr>
  </w:style>
  <w:style w:type="character" w:styleId="Hyperlink">
    <w:name w:val="Hyperlink"/>
    <w:basedOn w:val="DefaultParagraphFont"/>
    <w:uiPriority w:val="99"/>
    <w:rsid w:val="00DD720F"/>
    <w:rPr>
      <w:color w:val="0000FF" w:themeColor="hyperlink"/>
      <w:u w:val="single"/>
    </w:rPr>
  </w:style>
  <w:style w:type="paragraph" w:styleId="NoSpacing">
    <w:name w:val="No Spacing"/>
    <w:link w:val="NoSpacingChar"/>
    <w:qFormat/>
    <w:rsid w:val="002C3D21"/>
    <w:rPr>
      <w:rFonts w:ascii="PMingLiU" w:eastAsiaTheme="minorEastAsia" w:hAnsi="PMingLiU"/>
      <w:sz w:val="22"/>
      <w:szCs w:val="22"/>
    </w:rPr>
  </w:style>
  <w:style w:type="character" w:customStyle="1" w:styleId="NoSpacingChar">
    <w:name w:val="No Spacing Char"/>
    <w:basedOn w:val="DefaultParagraphFont"/>
    <w:link w:val="NoSpacing"/>
    <w:rsid w:val="002C3D21"/>
    <w:rPr>
      <w:rFonts w:ascii="PMingLiU" w:eastAsiaTheme="minorEastAsia" w:hAnsi="PMingLiU"/>
      <w:sz w:val="22"/>
      <w:szCs w:val="22"/>
    </w:rPr>
  </w:style>
  <w:style w:type="paragraph" w:styleId="BalloonText">
    <w:name w:val="Balloon Text"/>
    <w:basedOn w:val="Normal"/>
    <w:link w:val="BalloonTextChar"/>
    <w:rsid w:val="007D7C27"/>
    <w:rPr>
      <w:rFonts w:ascii="Tahoma" w:hAnsi="Tahoma" w:cs="Tahoma"/>
      <w:sz w:val="16"/>
      <w:szCs w:val="16"/>
    </w:rPr>
  </w:style>
  <w:style w:type="character" w:customStyle="1" w:styleId="BalloonTextChar">
    <w:name w:val="Balloon Text Char"/>
    <w:basedOn w:val="DefaultParagraphFont"/>
    <w:link w:val="BalloonText"/>
    <w:rsid w:val="007D7C27"/>
    <w:rPr>
      <w:rFonts w:ascii="Tahoma" w:hAnsi="Tahoma" w:cs="Tahoma"/>
      <w:sz w:val="16"/>
      <w:szCs w:val="16"/>
    </w:rPr>
  </w:style>
  <w:style w:type="character" w:styleId="FollowedHyperlink">
    <w:name w:val="FollowedHyperlink"/>
    <w:basedOn w:val="DefaultParagraphFont"/>
    <w:rsid w:val="002E7A60"/>
    <w:rPr>
      <w:color w:val="800080" w:themeColor="followedHyperlink"/>
      <w:u w:val="single"/>
    </w:rPr>
  </w:style>
  <w:style w:type="paragraph" w:styleId="Title">
    <w:name w:val="Title"/>
    <w:basedOn w:val="Normal"/>
    <w:link w:val="TitleChar"/>
    <w:uiPriority w:val="99"/>
    <w:qFormat/>
    <w:rsid w:val="00EC4ECA"/>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EC4ECA"/>
    <w:rPr>
      <w:rFonts w:ascii="Times New Roman" w:eastAsia="Times New Roman" w:hAnsi="Times New Roman" w:cs="Times New Roman"/>
      <w:b/>
      <w:bCs/>
    </w:rPr>
  </w:style>
  <w:style w:type="paragraph" w:styleId="ListParagraph">
    <w:name w:val="List Paragraph"/>
    <w:basedOn w:val="Normal"/>
    <w:rsid w:val="002E470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9B9CE-F2A4-4BDC-952A-588DD77FC3E0}"/>
</file>

<file path=customXml/itemProps2.xml><?xml version="1.0" encoding="utf-8"?>
<ds:datastoreItem xmlns:ds="http://schemas.openxmlformats.org/officeDocument/2006/customXml" ds:itemID="{88152ABB-48C6-489B-9BA5-71660F984DC2}"/>
</file>

<file path=customXml/itemProps3.xml><?xml version="1.0" encoding="utf-8"?>
<ds:datastoreItem xmlns:ds="http://schemas.openxmlformats.org/officeDocument/2006/customXml" ds:itemID="{E43E95D0-C399-42F8-BC9C-5E30998F86E4}"/>
</file>

<file path=customXml/itemProps4.xml><?xml version="1.0" encoding="utf-8"?>
<ds:datastoreItem xmlns:ds="http://schemas.openxmlformats.org/officeDocument/2006/customXml" ds:itemID="{AD92A1AA-E135-4102-8755-11A38A59B67A}"/>
</file>

<file path=docProps/app.xml><?xml version="1.0" encoding="utf-8"?>
<Properties xmlns="http://schemas.openxmlformats.org/officeDocument/2006/extended-properties" xmlns:vt="http://schemas.openxmlformats.org/officeDocument/2006/docPropsVTypes">
  <Template>Normal</Template>
  <TotalTime>0</TotalTime>
  <Pages>12</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cp:lastModifiedBy>
  <cp:revision>2</cp:revision>
  <cp:lastPrinted>2010-10-03T20:07:00Z</cp:lastPrinted>
  <dcterms:created xsi:type="dcterms:W3CDTF">2010-11-05T22:05:00Z</dcterms:created>
  <dcterms:modified xsi:type="dcterms:W3CDTF">2010-11-05T22:05:00Z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