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783F6C" w:rsidRDefault="00783F6C">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986D38">
        <w:t>6</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783F6C">
          <w:headerReference w:type="default" r:id="rId8"/>
          <w:footerReference w:type="default" r:id="rId9"/>
          <w:headerReference w:type="first" r:id="rId10"/>
          <w:footerReference w:type="first" r:id="rId11"/>
          <w:type w:val="continuous"/>
          <w:pgSz w:w="12240" w:h="15840" w:code="1"/>
          <w:pgMar w:top="1440" w:right="1440" w:bottom="2016"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name is William G. Johnson.  My business address is 1411 East Mission Avenue, Spokane</w:t>
      </w:r>
      <w:r w:rsidR="00553EC1">
        <w:rPr>
          <w:rFonts w:ascii="Times New Roman" w:hAnsi="Times New Roman" w:cs="Times New Roman"/>
        </w:rPr>
        <w:t xml:space="preserve">, </w:t>
      </w:r>
      <w:r w:rsidRPr="00BE21E7">
        <w:rPr>
          <w:rFonts w:ascii="Times New Roman" w:hAnsi="Times New Roman" w:cs="Times New Roman"/>
        </w:rPr>
        <w:t>Washington,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4A789D">
        <w:rPr>
          <w:rFonts w:ascii="Times New Roman" w:hAnsi="Times New Roman" w:cs="Times New Roman"/>
        </w:rPr>
        <w:t>October</w:t>
      </w:r>
      <w:r w:rsidR="00876525">
        <w:rPr>
          <w:rFonts w:ascii="Times New Roman" w:hAnsi="Times New Roman" w:cs="Times New Roman"/>
        </w:rPr>
        <w:t xml:space="preserve"> 20</w:t>
      </w:r>
      <w:r w:rsidR="00593E33">
        <w:rPr>
          <w:rFonts w:ascii="Times New Roman" w:hAnsi="Times New Roman" w:cs="Times New Roman"/>
        </w:rPr>
        <w:t>1</w:t>
      </w:r>
      <w:r w:rsidR="00986D38">
        <w:rPr>
          <w:rFonts w:ascii="Times New Roman" w:hAnsi="Times New Roman" w:cs="Times New Roman"/>
        </w:rPr>
        <w:t>4</w:t>
      </w:r>
      <w:r w:rsidRPr="00BE21E7">
        <w:rPr>
          <w:rFonts w:ascii="Times New Roman" w:hAnsi="Times New Roman" w:cs="Times New Roman"/>
        </w:rPr>
        <w:t xml:space="preserve"> through </w:t>
      </w:r>
      <w:r w:rsidR="004A789D">
        <w:rPr>
          <w:rFonts w:ascii="Times New Roman" w:hAnsi="Times New Roman" w:cs="Times New Roman"/>
        </w:rPr>
        <w:t>September</w:t>
      </w:r>
      <w:r w:rsidRPr="00BE21E7">
        <w:rPr>
          <w:rFonts w:ascii="Times New Roman" w:hAnsi="Times New Roman" w:cs="Times New Roman"/>
        </w:rPr>
        <w:t xml:space="preserve"> 20</w:t>
      </w:r>
      <w:r w:rsidR="00593E33">
        <w:rPr>
          <w:rFonts w:ascii="Times New Roman" w:hAnsi="Times New Roman" w:cs="Times New Roman"/>
        </w:rPr>
        <w:t>1</w:t>
      </w:r>
      <w:r w:rsidR="00986D38">
        <w:rPr>
          <w:rFonts w:ascii="Times New Roman" w:hAnsi="Times New Roman" w:cs="Times New Roman"/>
        </w:rPr>
        <w:t>5</w:t>
      </w:r>
      <w:r w:rsidRPr="00BE21E7">
        <w:rPr>
          <w:rFonts w:ascii="Times New Roman" w:hAnsi="Times New Roman" w:cs="Times New Roman"/>
        </w:rPr>
        <w:t xml:space="preserve"> test period power s</w:t>
      </w:r>
      <w:r w:rsidR="00F134B6">
        <w:rPr>
          <w:rFonts w:ascii="Times New Roman" w:hAnsi="Times New Roman" w:cs="Times New Roman"/>
        </w:rPr>
        <w:t xml:space="preserve">upply revenues and expenses, </w:t>
      </w:r>
      <w:r w:rsidR="0077507E">
        <w:rPr>
          <w:rFonts w:ascii="Times New Roman" w:hAnsi="Times New Roman" w:cs="Times New Roman"/>
        </w:rPr>
        <w:t xml:space="preserve">and </w:t>
      </w:r>
      <w:r w:rsidR="00986D38">
        <w:rPr>
          <w:rFonts w:ascii="Times New Roman" w:hAnsi="Times New Roman" w:cs="Times New Roman"/>
        </w:rPr>
        <w:t>2</w:t>
      </w:r>
      <w:r w:rsidR="0077507E">
        <w:rPr>
          <w:rFonts w:ascii="Times New Roman" w:hAnsi="Times New Roman" w:cs="Times New Roman"/>
        </w:rPr>
        <w:t xml:space="preserve">) </w:t>
      </w:r>
      <w:r w:rsidRPr="00BE21E7">
        <w:rPr>
          <w:rFonts w:ascii="Times New Roman" w:hAnsi="Times New Roman" w:cs="Times New Roman"/>
        </w:rPr>
        <w:t>describe the proposed level of e</w:t>
      </w:r>
      <w:r w:rsidR="001A4335">
        <w:rPr>
          <w:rFonts w:ascii="Times New Roman" w:hAnsi="Times New Roman" w:cs="Times New Roman"/>
        </w:rPr>
        <w:t xml:space="preserve">xpense and </w:t>
      </w:r>
      <w:r w:rsidR="00DA783A">
        <w:rPr>
          <w:rFonts w:ascii="Times New Roman" w:hAnsi="Times New Roman" w:cs="Times New Roman"/>
        </w:rPr>
        <w:t>R</w:t>
      </w:r>
      <w:r w:rsidR="00783F6C">
        <w:rPr>
          <w:rFonts w:ascii="Times New Roman" w:hAnsi="Times New Roman" w:cs="Times New Roman"/>
        </w:rPr>
        <w:t xml:space="preserve">etail </w:t>
      </w:r>
      <w:r w:rsidR="00DA783A">
        <w:rPr>
          <w:rFonts w:ascii="Times New Roman" w:hAnsi="Times New Roman" w:cs="Times New Roman"/>
        </w:rPr>
        <w:t>R</w:t>
      </w:r>
      <w:r w:rsidR="00783F6C">
        <w:rPr>
          <w:rFonts w:ascii="Times New Roman" w:hAnsi="Times New Roman" w:cs="Times New Roman"/>
        </w:rPr>
        <w:t xml:space="preserve">evenue </w:t>
      </w:r>
      <w:r w:rsidR="00DA783A">
        <w:rPr>
          <w:rFonts w:ascii="Times New Roman" w:hAnsi="Times New Roman" w:cs="Times New Roman"/>
        </w:rPr>
        <w:t>A</w:t>
      </w:r>
      <w:r w:rsidR="00783F6C">
        <w:rPr>
          <w:rFonts w:ascii="Times New Roman" w:hAnsi="Times New Roman" w:cs="Times New Roman"/>
        </w:rPr>
        <w:t>djustment</w:t>
      </w:r>
      <w:r w:rsidRPr="00BE21E7">
        <w:rPr>
          <w:rFonts w:ascii="Times New Roman" w:hAnsi="Times New Roman" w:cs="Times New Roman"/>
        </w:rPr>
        <w:t xml:space="preserve"> </w:t>
      </w:r>
      <w:r w:rsidR="00B86B5C">
        <w:rPr>
          <w:rFonts w:ascii="Times New Roman" w:hAnsi="Times New Roman" w:cs="Times New Roman"/>
        </w:rPr>
        <w:t xml:space="preserve">rate </w:t>
      </w:r>
      <w:r w:rsidRPr="00BE21E7">
        <w:rPr>
          <w:rFonts w:ascii="Times New Roman" w:hAnsi="Times New Roman" w:cs="Times New Roman"/>
        </w:rPr>
        <w:t xml:space="preserve">for ERM purposes, using the pro forma costs proposed by the </w:t>
      </w:r>
      <w:r w:rsidR="006C0205">
        <w:rPr>
          <w:rFonts w:ascii="Times New Roman" w:hAnsi="Times New Roman" w:cs="Times New Roman"/>
        </w:rPr>
        <w:t>Company in this filing</w:t>
      </w:r>
      <w:r w:rsidR="00890D94">
        <w:rPr>
          <w:rFonts w:ascii="Times New Roman" w:hAnsi="Times New Roman" w:cs="Times New Roman"/>
        </w:rPr>
        <w:t>.</w:t>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987828"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987828">
        <w:rPr>
          <w:rFonts w:ascii="Times New Roman" w:hAnsi="Times New Roman" w:cs="Times New Roman"/>
        </w:rPr>
        <w:t>_</w:t>
      </w:r>
      <w:r w:rsidR="00987828" w:rsidRPr="00A774E3">
        <w:rPr>
          <w:rFonts w:ascii="Times New Roman" w:hAnsi="Times New Roman" w:cs="Times New Roman"/>
        </w:rPr>
        <w:t xml:space="preserve"> (</w:t>
      </w:r>
      <w:r w:rsidRPr="00A774E3">
        <w:rPr>
          <w:rFonts w:ascii="Times New Roman" w:hAnsi="Times New Roman" w:cs="Times New Roman"/>
        </w:rPr>
        <w:t>WGJ-</w:t>
      </w:r>
      <w:r w:rsidR="005C7A39">
        <w:rPr>
          <w:rFonts w:ascii="Times New Roman" w:hAnsi="Times New Roman" w:cs="Times New Roman"/>
        </w:rPr>
        <w:t>5</w:t>
      </w:r>
      <w:r w:rsidR="00B86B5C">
        <w:rPr>
          <w:rFonts w:ascii="Times New Roman" w:hAnsi="Times New Roman" w:cs="Times New Roman"/>
        </w:rPr>
        <w:t>), which were prepared by me</w:t>
      </w:r>
      <w:r w:rsidRPr="00A774E3">
        <w:rPr>
          <w:rFonts w:ascii="Times New Roman" w:hAnsi="Times New Roman" w:cs="Times New Roman"/>
        </w:rPr>
        <w:t>.</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987828" w:rsidRPr="00A774E3">
        <w:rPr>
          <w:rFonts w:ascii="Times New Roman" w:hAnsi="Times New Roman" w:cs="Times New Roman"/>
        </w:rPr>
        <w:t>_ (</w:t>
      </w:r>
      <w:r w:rsidR="00751E45" w:rsidRPr="00A774E3">
        <w:rPr>
          <w:rFonts w:ascii="Times New Roman" w:hAnsi="Times New Roman" w:cs="Times New Roman"/>
        </w:rPr>
        <w:t xml:space="preserve">WGJ-2) identifies the power supply expense and revenue items that fall within the scope of my testimony. </w:t>
      </w:r>
      <w:r w:rsidR="006E0068">
        <w:rPr>
          <w:rFonts w:ascii="Times New Roman" w:hAnsi="Times New Roman" w:cs="Times New Roman"/>
        </w:rPr>
        <w:t xml:space="preserve"> </w:t>
      </w:r>
      <w:r w:rsidR="00751E45" w:rsidRPr="00A774E3">
        <w:rPr>
          <w:rFonts w:ascii="Times New Roman" w:hAnsi="Times New Roman" w:cs="Times New Roman"/>
        </w:rPr>
        <w:t>A brief description of each adjustment is provided in Exhibit No.</w:t>
      </w:r>
      <w:r w:rsidR="005F4F7A" w:rsidRPr="00A774E3">
        <w:rPr>
          <w:rFonts w:ascii="Times New Roman" w:hAnsi="Times New Roman" w:cs="Times New Roman"/>
        </w:rPr>
        <w:t xml:space="preserve"> __</w:t>
      </w:r>
      <w:r w:rsidR="0012703B" w:rsidRPr="00A774E3">
        <w:rPr>
          <w:rFonts w:ascii="Times New Roman" w:hAnsi="Times New Roman" w:cs="Times New Roman"/>
        </w:rPr>
        <w:t>_(</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5C7A39">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w:t>
      </w:r>
      <w:r w:rsidR="007A04C5">
        <w:rPr>
          <w:rFonts w:ascii="Times New Roman" w:hAnsi="Times New Roman" w:cs="Times New Roman"/>
          <w:bCs/>
        </w:rPr>
        <w:t>broker fees</w:t>
      </w:r>
      <w:r w:rsidR="00553EC1">
        <w:rPr>
          <w:rFonts w:ascii="Times New Roman" w:hAnsi="Times New Roman" w:cs="Times New Roman"/>
          <w:bCs/>
        </w:rPr>
        <w:t xml:space="preserve">, </w:t>
      </w:r>
      <w:r w:rsidR="00F22C09" w:rsidRPr="00A774E3">
        <w:rPr>
          <w:rFonts w:ascii="Times New Roman" w:hAnsi="Times New Roman" w:cs="Times New Roman"/>
          <w:bCs/>
        </w:rPr>
        <w:t xml:space="preserve">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783F6C">
        <w:rPr>
          <w:rFonts w:ascii="Times New Roman" w:hAnsi="Times New Roman" w:cs="Times New Roman"/>
          <w:bCs/>
        </w:rPr>
        <w:t>_</w:t>
      </w:r>
      <w:r w:rsidR="0012703B" w:rsidRPr="00A774E3">
        <w:rPr>
          <w:rFonts w:ascii="Times New Roman" w:hAnsi="Times New Roman" w:cs="Times New Roman"/>
          <w:bCs/>
        </w:rPr>
        <w:t>_(</w:t>
      </w:r>
      <w:r w:rsidR="00F22C09" w:rsidRPr="00A774E3">
        <w:rPr>
          <w:rFonts w:ascii="Times New Roman" w:hAnsi="Times New Roman" w:cs="Times New Roman"/>
          <w:bCs/>
        </w:rPr>
        <w:t>WGJ-</w:t>
      </w:r>
      <w:r w:rsidR="005C7A39">
        <w:rPr>
          <w:rFonts w:ascii="Times New Roman" w:hAnsi="Times New Roman" w:cs="Times New Roman"/>
          <w:bCs/>
        </w:rPr>
        <w:t>5</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r>
        <w:rPr>
          <w:rFonts w:ascii="Times New Roman" w:hAnsi="Times New Roman" w:cs="Times New Roman"/>
          <w:b/>
          <w:bCs/>
        </w:rPr>
        <w:t>other C</w:t>
      </w:r>
      <w:r w:rsidR="00BE21E7" w:rsidRPr="00BE21E7">
        <w:rPr>
          <w:rFonts w:ascii="Times New Roman" w:hAnsi="Times New Roman" w:cs="Times New Roman"/>
          <w:b/>
          <w:bCs/>
        </w:rPr>
        <w:t>ompany witnesses providing testimony regarding issues you are addressing?</w:t>
      </w:r>
    </w:p>
    <w:p w:rsidR="00CC1C97" w:rsidRDefault="00BE21E7" w:rsidP="00F55612">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6E0068" w:rsidRPr="00BE21E7" w:rsidRDefault="006E0068" w:rsidP="00F55612">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w:t>
      </w:r>
      <w:r w:rsidR="00E33341">
        <w:rPr>
          <w:rFonts w:ascii="Times New Roman" w:hAnsi="Times New Roman" w:cs="Times New Roman"/>
        </w:rPr>
        <w:t xml:space="preserve">rate </w:t>
      </w:r>
      <w:r w:rsidRPr="00BE21E7">
        <w:rPr>
          <w:rFonts w:ascii="Times New Roman" w:hAnsi="Times New Roman" w:cs="Times New Roman"/>
        </w:rPr>
        <w:t>period</w:t>
      </w:r>
      <w:r w:rsidR="00986D38">
        <w:rPr>
          <w:rFonts w:ascii="Times New Roman" w:hAnsi="Times New Roman" w:cs="Times New Roman"/>
        </w:rPr>
        <w:t>s</w:t>
      </w:r>
      <w:r w:rsidRPr="00BE21E7">
        <w:rPr>
          <w:rFonts w:ascii="Times New Roman" w:hAnsi="Times New Roman" w:cs="Times New Roman"/>
        </w:rPr>
        <w:t xml:space="preserve"> </w:t>
      </w:r>
      <w:r w:rsidR="00E33341">
        <w:rPr>
          <w:rFonts w:ascii="Times New Roman" w:hAnsi="Times New Roman" w:cs="Times New Roman"/>
        </w:rPr>
        <w:t>(calendar year</w:t>
      </w:r>
      <w:r w:rsidR="00416082">
        <w:rPr>
          <w:rFonts w:ascii="Times New Roman" w:hAnsi="Times New Roman" w:cs="Times New Roman"/>
        </w:rPr>
        <w:t>s</w:t>
      </w:r>
      <w:r w:rsidR="00E33341">
        <w:rPr>
          <w:rFonts w:ascii="Times New Roman" w:hAnsi="Times New Roman" w:cs="Times New Roman"/>
        </w:rPr>
        <w:t xml:space="preserve"> 201</w:t>
      </w:r>
      <w:r w:rsidR="00986D38">
        <w:rPr>
          <w:rFonts w:ascii="Times New Roman" w:hAnsi="Times New Roman" w:cs="Times New Roman"/>
        </w:rPr>
        <w:t xml:space="preserve">7 and </w:t>
      </w:r>
      <w:r w:rsidR="00D84307">
        <w:rPr>
          <w:rFonts w:ascii="Times New Roman" w:hAnsi="Times New Roman" w:cs="Times New Roman"/>
        </w:rPr>
        <w:t>2018</w:t>
      </w:r>
      <w:r w:rsidR="00E33341">
        <w:rPr>
          <w:rFonts w:ascii="Times New Roman" w:hAnsi="Times New Roman" w:cs="Times New Roman"/>
        </w:rPr>
        <w:t xml:space="preserve">) </w:t>
      </w:r>
      <w:r w:rsidRPr="00BE21E7">
        <w:rPr>
          <w:rFonts w:ascii="Times New Roman" w:hAnsi="Times New Roman" w:cs="Times New Roman"/>
        </w:rPr>
        <w:t xml:space="preserve">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w:t>
      </w:r>
      <w:r w:rsidR="00890D94">
        <w:rPr>
          <w:rFonts w:ascii="Times New Roman" w:hAnsi="Times New Roman" w:cs="Times New Roman"/>
        </w:rPr>
        <w:t>Table No. 1</w:t>
      </w:r>
      <w:r w:rsidRPr="00BE21E7">
        <w:rPr>
          <w:rFonts w:ascii="Times New Roman" w:hAnsi="Times New Roman" w:cs="Times New Roman"/>
        </w:rPr>
        <w:t xml:space="preserve"> below shows total </w:t>
      </w:r>
      <w:r w:rsidRPr="00BE21E7">
        <w:rPr>
          <w:rFonts w:ascii="Times New Roman" w:hAnsi="Times New Roman" w:cs="Times New Roman"/>
        </w:rPr>
        <w:lastRenderedPageBreak/>
        <w:t>net power supply expense during the test period and the pro forma period</w:t>
      </w:r>
      <w:r w:rsidR="00EF1339">
        <w:rPr>
          <w:rFonts w:ascii="Times New Roman" w:hAnsi="Times New Roman" w:cs="Times New Roman"/>
        </w:rPr>
        <w:t>s</w:t>
      </w:r>
      <w:r w:rsidRPr="00BE21E7">
        <w:rPr>
          <w:rFonts w:ascii="Times New Roman" w:hAnsi="Times New Roman" w:cs="Times New Roman"/>
        </w:rPr>
        <w:t>.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166263">
        <w:rPr>
          <w:rFonts w:ascii="Times New Roman" w:hAnsi="Times New Roman" w:cs="Times New Roman"/>
        </w:rPr>
        <w:t>rates, which</w:t>
      </w:r>
      <w:r w:rsidR="00166263" w:rsidRPr="00BE21E7">
        <w:rPr>
          <w:rFonts w:ascii="Times New Roman" w:hAnsi="Times New Roman" w:cs="Times New Roman"/>
        </w:rPr>
        <w:t xml:space="preserve"> are</w:t>
      </w:r>
      <w:r w:rsidRPr="00BE21E7">
        <w:rPr>
          <w:rFonts w:ascii="Times New Roman" w:hAnsi="Times New Roman" w:cs="Times New Roman"/>
        </w:rPr>
        <w:t xml:space="preserve"> based on a calendar </w:t>
      </w:r>
      <w:r w:rsidR="00615B6C" w:rsidRPr="00BE21E7">
        <w:rPr>
          <w:rFonts w:ascii="Times New Roman" w:hAnsi="Times New Roman" w:cs="Times New Roman"/>
        </w:rPr>
        <w:t>20</w:t>
      </w:r>
      <w:r w:rsidR="00EF1339">
        <w:rPr>
          <w:rFonts w:ascii="Times New Roman" w:hAnsi="Times New Roman" w:cs="Times New Roman"/>
        </w:rPr>
        <w:t>16</w:t>
      </w:r>
      <w:r w:rsidR="00615B6C" w:rsidRPr="00BE21E7">
        <w:rPr>
          <w:rFonts w:ascii="Times New Roman" w:hAnsi="Times New Roman" w:cs="Times New Roman"/>
        </w:rPr>
        <w:t xml:space="preserve"> </w:t>
      </w:r>
      <w:r w:rsidRPr="00BE21E7">
        <w:rPr>
          <w:rFonts w:ascii="Times New Roman" w:hAnsi="Times New Roman" w:cs="Times New Roman"/>
        </w:rPr>
        <w:t>pro forma period, is also shown.</w:t>
      </w:r>
    </w:p>
    <w:p w:rsidR="00062A6C" w:rsidRDefault="00890D94" w:rsidP="00062A6C">
      <w:pPr>
        <w:pStyle w:val="TestBody"/>
        <w:spacing w:line="480" w:lineRule="auto"/>
        <w:ind w:left="0" w:firstLine="0"/>
        <w:rPr>
          <w:rFonts w:ascii="Times New Roman" w:hAnsi="Times New Roman" w:cs="Times New Roman"/>
          <w:b/>
          <w:u w:val="single"/>
        </w:rPr>
      </w:pPr>
      <w:r w:rsidRPr="00890D94">
        <w:rPr>
          <w:rFonts w:ascii="Times New Roman" w:hAnsi="Times New Roman" w:cs="Times New Roman"/>
          <w:b/>
          <w:u w:val="single"/>
        </w:rPr>
        <w:t>Table No. 1:</w:t>
      </w:r>
    </w:p>
    <w:p w:rsidR="00062A6C" w:rsidRDefault="009C4B6F" w:rsidP="00062A6C">
      <w:pPr>
        <w:pStyle w:val="TestBody"/>
        <w:spacing w:line="480" w:lineRule="auto"/>
        <w:ind w:left="0" w:firstLine="0"/>
        <w:rPr>
          <w:rFonts w:ascii="Times New Roman" w:hAnsi="Times New Roman" w:cs="Times New Roman"/>
          <w:b/>
          <w:u w:val="single"/>
        </w:rPr>
      </w:pPr>
      <w:r>
        <w:rPr>
          <w:rFonts w:ascii="Times New Roman" w:hAnsi="Times New Roman" w:cs="Times New Roman"/>
          <w:noProof/>
        </w:rPr>
        <w:pict>
          <v:group id="_x0000_s1028" editas="canvas" style="position:absolute;left:0;text-align:left;margin-left:-.5pt;margin-top:2.6pt;width:455.5pt;height:249.5pt;z-index:251661312" coordorigin="-9,-9" coordsize="9110,49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top:-9;width:9110;height:4990" o:preferrelative="f">
              <v:fill o:detectmouseclick="t"/>
              <v:path o:extrusionok="t" o:connecttype="none"/>
              <o:lock v:ext="edit" text="t"/>
            </v:shape>
            <v:rect id="_x0000_s1030" style="position:absolute;left:7798;top:493;width:951;height:207;mso-wrap-style:none;v-text-anchor:top" filled="f" stroked="f">
              <v:textbox style="mso-next-textbox:#_x0000_s1030;mso-rotate-with-shape:t;mso-fit-shape-to-text:t" inset="0,0,0,0">
                <w:txbxContent>
                  <w:p w:rsidR="00563D38" w:rsidRDefault="00563D38">
                    <w:r>
                      <w:rPr>
                        <w:rFonts w:ascii="Arial" w:hAnsi="Arial" w:cs="Arial"/>
                        <w:color w:val="000000"/>
                        <w:sz w:val="18"/>
                        <w:szCs w:val="18"/>
                      </w:rPr>
                      <w:t>Washington</w:t>
                    </w:r>
                  </w:p>
                </w:txbxContent>
              </v:textbox>
            </v:rect>
            <v:rect id="_x0000_s1031" style="position:absolute;left:6550;top:721;width:601;height:207;mso-wrap-style:none;v-text-anchor:top" filled="f" stroked="f">
              <v:textbox style="mso-next-textbox:#_x0000_s1031;mso-rotate-with-shape:t;mso-fit-shape-to-text:t" inset="0,0,0,0">
                <w:txbxContent>
                  <w:p w:rsidR="00563D38" w:rsidRDefault="00563D38">
                    <w:r>
                      <w:rPr>
                        <w:rFonts w:ascii="Arial" w:hAnsi="Arial" w:cs="Arial"/>
                        <w:color w:val="000000"/>
                        <w:sz w:val="18"/>
                        <w:szCs w:val="18"/>
                      </w:rPr>
                      <w:t>System</w:t>
                    </w:r>
                  </w:p>
                </w:txbxContent>
              </v:textbox>
            </v:rect>
            <v:rect id="_x0000_s1032" style="position:absolute;left:6550;top:912;width:601;height:9" fillcolor="black" stroked="f"/>
            <v:rect id="_x0000_s1033" style="position:absolute;left:7880;top:721;width:781;height:207;mso-wrap-style:none;v-text-anchor:top" filled="f" stroked="f">
              <v:textbox style="mso-next-textbox:#_x0000_s1033;mso-rotate-with-shape:t;mso-fit-shape-to-text:t" inset="0,0,0,0">
                <w:txbxContent>
                  <w:p w:rsidR="00563D38" w:rsidRDefault="00563D38">
                    <w:r>
                      <w:rPr>
                        <w:rFonts w:ascii="Arial" w:hAnsi="Arial" w:cs="Arial"/>
                        <w:color w:val="000000"/>
                        <w:sz w:val="18"/>
                        <w:szCs w:val="18"/>
                      </w:rPr>
                      <w:t>Allocation</w:t>
                    </w:r>
                  </w:p>
                </w:txbxContent>
              </v:textbox>
            </v:rect>
            <v:rect id="_x0000_s1034" style="position:absolute;left:7880;top:912;width:766;height:9" fillcolor="black" stroked="f"/>
            <v:rect id="_x0000_s1035" style="position:absolute;left:36;top:1058;width:4613;height:207;mso-wrap-style:none;v-text-anchor:top" filled="f" stroked="f">
              <v:textbox style="mso-next-textbox:#_x0000_s1035;mso-rotate-with-shape:t;mso-fit-shape-to-text:t" inset="0,0,0,0">
                <w:txbxContent>
                  <w:p w:rsidR="00563D38" w:rsidRDefault="00563D38">
                    <w:r>
                      <w:rPr>
                        <w:rFonts w:ascii="Arial" w:hAnsi="Arial" w:cs="Arial"/>
                        <w:color w:val="000000"/>
                        <w:sz w:val="18"/>
                        <w:szCs w:val="18"/>
                      </w:rPr>
                      <w:t>Power Supply Expense in Current Rates (2016 pro forma)</w:t>
                    </w:r>
                  </w:p>
                </w:txbxContent>
              </v:textbox>
            </v:rect>
            <v:rect id="_x0000_s1036" style="position:absolute;left:6450;top:1058;width:1102;height:207;mso-wrap-style:none;v-text-anchor:top" filled="f" stroked="f">
              <v:textbox style="mso-next-textbox:#_x0000_s1036;mso-rotate-with-shape:t;mso-fit-shape-to-text:t" inset="0,0,0,0">
                <w:txbxContent>
                  <w:p w:rsidR="00563D38" w:rsidRDefault="00563D38">
                    <w:r>
                      <w:rPr>
                        <w:rFonts w:ascii="Arial" w:hAnsi="Arial" w:cs="Arial"/>
                        <w:color w:val="000000"/>
                        <w:sz w:val="18"/>
                        <w:szCs w:val="18"/>
                      </w:rPr>
                      <w:t>$155,559,000</w:t>
                    </w:r>
                  </w:p>
                </w:txbxContent>
              </v:textbox>
            </v:rect>
            <v:rect id="_x0000_s1037" style="position:absolute;left:7780;top:1058;width:1102;height:207;mso-wrap-style:none;v-text-anchor:top" filled="f" stroked="f">
              <v:textbox style="mso-next-textbox:#_x0000_s1037;mso-rotate-with-shape:t;mso-fit-shape-to-text:t" inset="0,0,0,0">
                <w:txbxContent>
                  <w:p w:rsidR="00563D38" w:rsidRDefault="00563D38">
                    <w:r>
                      <w:rPr>
                        <w:rFonts w:ascii="Arial" w:hAnsi="Arial" w:cs="Arial"/>
                        <w:color w:val="000000"/>
                        <w:sz w:val="18"/>
                        <w:szCs w:val="18"/>
                      </w:rPr>
                      <w:t>$100,662,229</w:t>
                    </w:r>
                  </w:p>
                </w:txbxContent>
              </v:textbox>
            </v:rect>
            <v:rect id="_x0000_s1038" style="position:absolute;left:36;top:1514;width:4123;height:207;mso-wrap-style:none;v-text-anchor:top" filled="f" stroked="f">
              <v:textbox style="mso-next-textbox:#_x0000_s1038;mso-rotate-with-shape:t;mso-fit-shape-to-text:t" inset="0,0,0,0">
                <w:txbxContent>
                  <w:p w:rsidR="00563D38" w:rsidRDefault="00563D38">
                    <w:r>
                      <w:rPr>
                        <w:rFonts w:ascii="Arial" w:hAnsi="Arial" w:cs="Arial"/>
                        <w:color w:val="000000"/>
                        <w:sz w:val="18"/>
                        <w:szCs w:val="18"/>
                      </w:rPr>
                      <w:t>Actual Oct 2014 - Sep 2015 Power Supply Expense</w:t>
                    </w:r>
                  </w:p>
                </w:txbxContent>
              </v:textbox>
            </v:rect>
            <v:rect id="_x0000_s1039" style="position:absolute;left:6450;top:1514;width:1102;height:207;mso-wrap-style:none;v-text-anchor:top" filled="f" stroked="f">
              <v:textbox style="mso-next-textbox:#_x0000_s1039;mso-rotate-with-shape:t;mso-fit-shape-to-text:t" inset="0,0,0,0">
                <w:txbxContent>
                  <w:p w:rsidR="00563D38" w:rsidRDefault="00563D38">
                    <w:r>
                      <w:rPr>
                        <w:rFonts w:ascii="Arial" w:hAnsi="Arial" w:cs="Arial"/>
                        <w:color w:val="000000"/>
                        <w:sz w:val="18"/>
                        <w:szCs w:val="18"/>
                      </w:rPr>
                      <w:t>$168,065,000</w:t>
                    </w:r>
                  </w:p>
                </w:txbxContent>
              </v:textbox>
            </v:rect>
            <v:rect id="_x0000_s1040" style="position:absolute;left:7780;top:1514;width:1102;height:207;mso-wrap-style:none;v-text-anchor:top" filled="f" stroked="f">
              <v:textbox style="mso-next-textbox:#_x0000_s1040;mso-rotate-with-shape:t;mso-fit-shape-to-text:t" inset="0,0,0,0">
                <w:txbxContent>
                  <w:p w:rsidR="00563D38" w:rsidRDefault="00563D38">
                    <w:r>
                      <w:rPr>
                        <w:rFonts w:ascii="Arial" w:hAnsi="Arial" w:cs="Arial"/>
                        <w:color w:val="000000"/>
                        <w:sz w:val="18"/>
                        <w:szCs w:val="18"/>
                      </w:rPr>
                      <w:t>$108,754,862</w:t>
                    </w:r>
                  </w:p>
                </w:txbxContent>
              </v:textbox>
            </v:rect>
            <v:rect id="_x0000_s1041" style="position:absolute;left:36;top:1970;width:3973;height:207;mso-wrap-style:none;v-text-anchor:top" filled="f" stroked="f">
              <v:textbox style="mso-next-textbox:#_x0000_s1041;mso-rotate-with-shape:t;mso-fit-shape-to-text:t" inset="0,0,0,0">
                <w:txbxContent>
                  <w:p w:rsidR="00563D38" w:rsidRDefault="00563D38">
                    <w:r>
                      <w:rPr>
                        <w:rFonts w:ascii="Arial" w:hAnsi="Arial" w:cs="Arial"/>
                        <w:color w:val="000000"/>
                        <w:sz w:val="18"/>
                        <w:szCs w:val="18"/>
                      </w:rPr>
                      <w:t>Proposed 2017 Pro forma Power Supply Expense</w:t>
                    </w:r>
                  </w:p>
                </w:txbxContent>
              </v:textbox>
            </v:rect>
            <v:rect id="_x0000_s1042" style="position:absolute;left:6450;top:1970;width:1102;height:207;mso-wrap-style:none;v-text-anchor:top" filled="f" stroked="f">
              <v:textbox style="mso-next-textbox:#_x0000_s1042;mso-rotate-with-shape:t;mso-fit-shape-to-text:t" inset="0,0,0,0">
                <w:txbxContent>
                  <w:p w:rsidR="00563D38" w:rsidRDefault="00563D38">
                    <w:r>
                      <w:rPr>
                        <w:rFonts w:ascii="Arial" w:hAnsi="Arial" w:cs="Arial"/>
                        <w:color w:val="000000"/>
                        <w:sz w:val="18"/>
                        <w:szCs w:val="18"/>
                      </w:rPr>
                      <w:t>$176,824,000</w:t>
                    </w:r>
                  </w:p>
                </w:txbxContent>
              </v:textbox>
            </v:rect>
            <v:rect id="_x0000_s1043" style="position:absolute;left:7780;top:1970;width:1102;height:207;mso-wrap-style:none;v-text-anchor:top" filled="f" stroked="f">
              <v:textbox style="mso-next-textbox:#_x0000_s1043;mso-rotate-with-shape:t;mso-fit-shape-to-text:t" inset="0,0,0,0">
                <w:txbxContent>
                  <w:p w:rsidR="00563D38" w:rsidRDefault="00563D38">
                    <w:r>
                      <w:rPr>
                        <w:rFonts w:ascii="Arial" w:hAnsi="Arial" w:cs="Arial"/>
                        <w:color w:val="000000"/>
                        <w:sz w:val="18"/>
                        <w:szCs w:val="18"/>
                      </w:rPr>
                      <w:t>$114,422,810</w:t>
                    </w:r>
                  </w:p>
                </w:txbxContent>
              </v:textbox>
            </v:rect>
            <v:rect id="_x0000_s1044" style="position:absolute;left:36;top:2426;width:5244;height:207;mso-wrap-style:none;v-text-anchor:top" filled="f" stroked="f">
              <v:textbox style="mso-next-textbox:#_x0000_s1044;mso-rotate-with-shape:t;mso-fit-shape-to-text:t" inset="0,0,0,0">
                <w:txbxContent>
                  <w:p w:rsidR="00563D38" w:rsidRDefault="00563D38">
                    <w:r>
                      <w:rPr>
                        <w:rFonts w:ascii="Arial" w:hAnsi="Arial" w:cs="Arial"/>
                        <w:color w:val="000000"/>
                        <w:sz w:val="18"/>
                        <w:szCs w:val="18"/>
                      </w:rPr>
                      <w:t>Proposed July 2017-June 2018 Pro forma Power Supply Expense</w:t>
                    </w:r>
                  </w:p>
                </w:txbxContent>
              </v:textbox>
            </v:rect>
            <v:rect id="_x0000_s1045" style="position:absolute;left:6450;top:2426;width:1102;height:207;mso-wrap-style:none;v-text-anchor:top" filled="f" stroked="f">
              <v:textbox style="mso-next-textbox:#_x0000_s1045;mso-rotate-with-shape:t;mso-fit-shape-to-text:t" inset="0,0,0,0">
                <w:txbxContent>
                  <w:p w:rsidR="00563D38" w:rsidRDefault="00563D38">
                    <w:r>
                      <w:rPr>
                        <w:rFonts w:ascii="Arial" w:hAnsi="Arial" w:cs="Arial"/>
                        <w:color w:val="000000"/>
                        <w:sz w:val="18"/>
                        <w:szCs w:val="18"/>
                      </w:rPr>
                      <w:t>$181,129,000</w:t>
                    </w:r>
                  </w:p>
                </w:txbxContent>
              </v:textbox>
            </v:rect>
            <v:rect id="_x0000_s1046" style="position:absolute;left:7780;top:2426;width:1102;height:207;mso-wrap-style:none;v-text-anchor:top" filled="f" stroked="f">
              <v:textbox style="mso-next-textbox:#_x0000_s1046;mso-rotate-with-shape:t;mso-fit-shape-to-text:t" inset="0,0,0,0">
                <w:txbxContent>
                  <w:p w:rsidR="00563D38" w:rsidRDefault="00563D38">
                    <w:r>
                      <w:rPr>
                        <w:rFonts w:ascii="Arial" w:hAnsi="Arial" w:cs="Arial"/>
                        <w:color w:val="000000"/>
                        <w:sz w:val="18"/>
                        <w:szCs w:val="18"/>
                      </w:rPr>
                      <w:t>$117,208,576</w:t>
                    </w:r>
                  </w:p>
                </w:txbxContent>
              </v:textbox>
            </v:rect>
            <v:rect id="_x0000_s1047" style="position:absolute;left:36;top:2883;width:5084;height:207;mso-wrap-style:none;v-text-anchor:top" filled="f" stroked="f">
              <v:textbox style="mso-next-textbox:#_x0000_s1047;mso-rotate-with-shape:t;mso-fit-shape-to-text:t" inset="0,0,0,0">
                <w:txbxContent>
                  <w:p w:rsidR="00563D38" w:rsidRDefault="00563D38">
                    <w:r>
                      <w:rPr>
                        <w:rFonts w:ascii="Arial" w:hAnsi="Arial" w:cs="Arial"/>
                        <w:color w:val="000000"/>
                        <w:sz w:val="18"/>
                        <w:szCs w:val="18"/>
                      </w:rPr>
                      <w:t xml:space="preserve">    Proposed 2017 Expense vs Oct 2014 - Sep 2015 Test Period</w:t>
                    </w:r>
                  </w:p>
                </w:txbxContent>
              </v:textbox>
            </v:rect>
            <v:rect id="_x0000_s1048" style="position:absolute;left:6650;top:2883;width:901;height:207;mso-wrap-style:none;v-text-anchor:top" filled="f" stroked="f">
              <v:textbox style="mso-next-textbox:#_x0000_s1048;mso-rotate-with-shape:t;mso-fit-shape-to-text:t" inset="0,0,0,0">
                <w:txbxContent>
                  <w:p w:rsidR="00563D38" w:rsidRDefault="00563D38">
                    <w:r>
                      <w:rPr>
                        <w:rFonts w:ascii="Arial" w:hAnsi="Arial" w:cs="Arial"/>
                        <w:color w:val="000000"/>
                        <w:sz w:val="18"/>
                        <w:szCs w:val="18"/>
                      </w:rPr>
                      <w:t>$8,759,000</w:t>
                    </w:r>
                  </w:p>
                </w:txbxContent>
              </v:textbox>
            </v:rect>
            <v:rect id="_x0000_s1049" style="position:absolute;left:7980;top:2883;width:901;height:207;mso-wrap-style:none;v-text-anchor:top" filled="f" stroked="f">
              <v:textbox style="mso-next-textbox:#_x0000_s1049;mso-rotate-with-shape:t;mso-fit-shape-to-text:t" inset="0,0,0,0">
                <w:txbxContent>
                  <w:p w:rsidR="00563D38" w:rsidRDefault="00563D38">
                    <w:r>
                      <w:rPr>
                        <w:rFonts w:ascii="Arial" w:hAnsi="Arial" w:cs="Arial"/>
                        <w:color w:val="000000"/>
                        <w:sz w:val="18"/>
                        <w:szCs w:val="18"/>
                      </w:rPr>
                      <w:t>$5,667,949</w:t>
                    </w:r>
                  </w:p>
                </w:txbxContent>
              </v:textbox>
            </v:rect>
            <v:rect id="_x0000_s1050" style="position:absolute;left:36;top:3339;width:5864;height:207;mso-wrap-style:none;v-text-anchor:top" filled="f" stroked="f">
              <v:textbox style="mso-next-textbox:#_x0000_s1050;mso-rotate-with-shape:t;mso-fit-shape-to-text:t" inset="0,0,0,0">
                <w:txbxContent>
                  <w:p w:rsidR="00563D38" w:rsidRDefault="00563D38">
                    <w:r>
                      <w:rPr>
                        <w:rFonts w:ascii="Arial" w:hAnsi="Arial" w:cs="Arial"/>
                        <w:color w:val="000000"/>
                        <w:sz w:val="18"/>
                        <w:szCs w:val="18"/>
                      </w:rPr>
                      <w:t xml:space="preserve">    Proposed Jul 17 - Jun 18 Expense vs Oct 2014 - Sep 2015 Test Period</w:t>
                    </w:r>
                  </w:p>
                </w:txbxContent>
              </v:textbox>
            </v:rect>
            <v:rect id="_x0000_s1051" style="position:absolute;left:6550;top:3339;width:1001;height:207;mso-wrap-style:none;v-text-anchor:top" filled="f" stroked="f">
              <v:textbox style="mso-next-textbox:#_x0000_s1051;mso-rotate-with-shape:t;mso-fit-shape-to-text:t" inset="0,0,0,0">
                <w:txbxContent>
                  <w:p w:rsidR="00563D38" w:rsidRDefault="00563D38">
                    <w:r>
                      <w:rPr>
                        <w:rFonts w:ascii="Arial" w:hAnsi="Arial" w:cs="Arial"/>
                        <w:color w:val="000000"/>
                        <w:sz w:val="18"/>
                        <w:szCs w:val="18"/>
                      </w:rPr>
                      <w:t>$13,064,000</w:t>
                    </w:r>
                  </w:p>
                </w:txbxContent>
              </v:textbox>
            </v:rect>
            <v:rect id="_x0000_s1052" style="position:absolute;left:7980;top:3339;width:901;height:207;mso-wrap-style:none;v-text-anchor:top" filled="f" stroked="f">
              <v:textbox style="mso-next-textbox:#_x0000_s1052;mso-rotate-with-shape:t;mso-fit-shape-to-text:t" inset="0,0,0,0">
                <w:txbxContent>
                  <w:p w:rsidR="00563D38" w:rsidRDefault="00563D38">
                    <w:r>
                      <w:rPr>
                        <w:rFonts w:ascii="Arial" w:hAnsi="Arial" w:cs="Arial"/>
                        <w:color w:val="000000"/>
                        <w:sz w:val="18"/>
                        <w:szCs w:val="18"/>
                      </w:rPr>
                      <w:t>$8,453,714</w:t>
                    </w:r>
                  </w:p>
                </w:txbxContent>
              </v:textbox>
            </v:rect>
            <v:rect id="_x0000_s1053" style="position:absolute;left:36;top:3795;width:3572;height:207;mso-wrap-style:none;v-text-anchor:top" filled="f" stroked="f">
              <v:textbox style="mso-next-textbox:#_x0000_s1053;mso-rotate-with-shape:t;mso-fit-shape-to-text:t" inset="0,0,0,0">
                <w:txbxContent>
                  <w:p w:rsidR="00563D38" w:rsidRDefault="00563D38">
                    <w:r>
                      <w:rPr>
                        <w:rFonts w:ascii="Arial" w:hAnsi="Arial" w:cs="Arial"/>
                        <w:color w:val="000000"/>
                        <w:sz w:val="18"/>
                        <w:szCs w:val="18"/>
                      </w:rPr>
                      <w:t xml:space="preserve">    Proposed 2017 Expense vs Current Rates</w:t>
                    </w:r>
                  </w:p>
                </w:txbxContent>
              </v:textbox>
            </v:rect>
            <v:rect id="_x0000_s1054" style="position:absolute;left:6550;top:3795;width:1001;height:207;mso-wrap-style:none;v-text-anchor:top" filled="f" stroked="f">
              <v:textbox style="mso-next-textbox:#_x0000_s1054;mso-rotate-with-shape:t;mso-fit-shape-to-text:t" inset="0,0,0,0">
                <w:txbxContent>
                  <w:p w:rsidR="00563D38" w:rsidRDefault="00563D38">
                    <w:r>
                      <w:rPr>
                        <w:rFonts w:ascii="Arial" w:hAnsi="Arial" w:cs="Arial"/>
                        <w:color w:val="000000"/>
                        <w:sz w:val="18"/>
                        <w:szCs w:val="18"/>
                      </w:rPr>
                      <w:t>$21,265,000</w:t>
                    </w:r>
                  </w:p>
                </w:txbxContent>
              </v:textbox>
            </v:rect>
            <v:rect id="_x0000_s1055" style="position:absolute;left:7880;top:3795;width:1001;height:207;mso-wrap-style:none;v-text-anchor:top" filled="f" stroked="f">
              <v:textbox style="mso-next-textbox:#_x0000_s1055;mso-rotate-with-shape:t;mso-fit-shape-to-text:t" inset="0,0,0,0">
                <w:txbxContent>
                  <w:p w:rsidR="00563D38" w:rsidRDefault="00563D38">
                    <w:r>
                      <w:rPr>
                        <w:rFonts w:ascii="Arial" w:hAnsi="Arial" w:cs="Arial"/>
                        <w:color w:val="000000"/>
                        <w:sz w:val="18"/>
                        <w:szCs w:val="18"/>
                      </w:rPr>
                      <w:t>$13,760,582</w:t>
                    </w:r>
                  </w:p>
                </w:txbxContent>
              </v:textbox>
            </v:rect>
            <v:rect id="_x0000_s1056" style="position:absolute;left:36;top:4251;width:4853;height:207;mso-wrap-style:none;v-text-anchor:top" filled="f" stroked="f">
              <v:textbox style="mso-next-textbox:#_x0000_s1056;mso-rotate-with-shape:t;mso-fit-shape-to-text:t" inset="0,0,0,0">
                <w:txbxContent>
                  <w:p w:rsidR="00563D38" w:rsidRDefault="00563D38">
                    <w:r>
                      <w:rPr>
                        <w:rFonts w:ascii="Arial" w:hAnsi="Arial" w:cs="Arial"/>
                        <w:color w:val="000000"/>
                        <w:sz w:val="18"/>
                        <w:szCs w:val="18"/>
                      </w:rPr>
                      <w:t xml:space="preserve">    Proposed Jul 2017 - June 2018 Expense vs Current Rates</w:t>
                    </w:r>
                  </w:p>
                </w:txbxContent>
              </v:textbox>
            </v:rect>
            <v:rect id="_x0000_s1057" style="position:absolute;left:6550;top:4251;width:1001;height:207;mso-wrap-style:none;v-text-anchor:top" filled="f" stroked="f">
              <v:textbox style="mso-next-textbox:#_x0000_s1057;mso-rotate-with-shape:t;mso-fit-shape-to-text:t" inset="0,0,0,0">
                <w:txbxContent>
                  <w:p w:rsidR="00563D38" w:rsidRDefault="00563D38">
                    <w:r>
                      <w:rPr>
                        <w:rFonts w:ascii="Arial" w:hAnsi="Arial" w:cs="Arial"/>
                        <w:color w:val="000000"/>
                        <w:sz w:val="18"/>
                        <w:szCs w:val="18"/>
                      </w:rPr>
                      <w:t>$25,570,000</w:t>
                    </w:r>
                  </w:p>
                </w:txbxContent>
              </v:textbox>
            </v:rect>
            <v:rect id="_x0000_s1058" style="position:absolute;left:7880;top:4251;width:1001;height:207;mso-wrap-style:none;v-text-anchor:top" filled="f" stroked="f">
              <v:textbox style="mso-next-textbox:#_x0000_s1058;mso-rotate-with-shape:t;mso-fit-shape-to-text:t" inset="0,0,0,0">
                <w:txbxContent>
                  <w:p w:rsidR="00563D38" w:rsidRDefault="00563D38">
                    <w:r>
                      <w:rPr>
                        <w:rFonts w:ascii="Arial" w:hAnsi="Arial" w:cs="Arial"/>
                        <w:color w:val="000000"/>
                        <w:sz w:val="18"/>
                        <w:szCs w:val="18"/>
                      </w:rPr>
                      <w:t>$16,546,347</w:t>
                    </w:r>
                  </w:p>
                </w:txbxContent>
              </v:textbox>
            </v:rect>
            <v:rect id="_x0000_s1059" style="position:absolute;left:36;top:4707;width:5794;height:207;mso-wrap-style:none;v-text-anchor:top" filled="f" stroked="f">
              <v:textbox style="mso-next-textbox:#_x0000_s1059;mso-rotate-with-shape:t;mso-fit-shape-to-text:t" inset="0,0,0,0">
                <w:txbxContent>
                  <w:p w:rsidR="00563D38" w:rsidRDefault="00563D38">
                    <w:r>
                      <w:rPr>
                        <w:rFonts w:ascii="Arial" w:hAnsi="Arial" w:cs="Arial"/>
                        <w:color w:val="000000"/>
                        <w:sz w:val="18"/>
                        <w:szCs w:val="18"/>
                      </w:rPr>
                      <w:t xml:space="preserve">    Proposed July 2017 - June 2018 Expense vs Proposed 2017 Expense</w:t>
                    </w:r>
                  </w:p>
                </w:txbxContent>
              </v:textbox>
            </v:rect>
            <v:rect id="_x0000_s1060" style="position:absolute;left:6650;top:4707;width:901;height:207;mso-wrap-style:none;v-text-anchor:top" filled="f" stroked="f">
              <v:textbox style="mso-next-textbox:#_x0000_s1060;mso-rotate-with-shape:t;mso-fit-shape-to-text:t" inset="0,0,0,0">
                <w:txbxContent>
                  <w:p w:rsidR="00563D38" w:rsidRDefault="00563D38">
                    <w:r>
                      <w:rPr>
                        <w:rFonts w:ascii="Arial" w:hAnsi="Arial" w:cs="Arial"/>
                        <w:color w:val="000000"/>
                        <w:sz w:val="18"/>
                        <w:szCs w:val="18"/>
                      </w:rPr>
                      <w:t>$4,305,000</w:t>
                    </w:r>
                  </w:p>
                </w:txbxContent>
              </v:textbox>
            </v:rect>
            <v:rect id="_x0000_s1061" style="position:absolute;left:7980;top:4707;width:901;height:207;mso-wrap-style:none;v-text-anchor:top" filled="f" stroked="f">
              <v:textbox style="mso-next-textbox:#_x0000_s1061;mso-rotate-with-shape:t;mso-fit-shape-to-text:t" inset="0,0,0,0">
                <w:txbxContent>
                  <w:p w:rsidR="00563D38" w:rsidRDefault="00563D38">
                    <w:r>
                      <w:rPr>
                        <w:rFonts w:ascii="Arial" w:hAnsi="Arial" w:cs="Arial"/>
                        <w:color w:val="000000"/>
                        <w:sz w:val="18"/>
                        <w:szCs w:val="18"/>
                      </w:rPr>
                      <w:t>$2,785,766</w:t>
                    </w:r>
                  </w:p>
                </w:txbxContent>
              </v:textbox>
            </v:rect>
            <v:rect id="_x0000_s1062" style="position:absolute;left:3261;top:64;width:2641;height:276;mso-wrap-style:none;v-text-anchor:top" filled="f" stroked="f">
              <v:textbox style="mso-next-textbox:#_x0000_s1062;mso-rotate-with-shape:t;mso-fit-shape-to-text:t" inset="0,0,0,0">
                <w:txbxContent>
                  <w:p w:rsidR="00563D38" w:rsidRDefault="00563D38">
                    <w:r>
                      <w:rPr>
                        <w:rFonts w:ascii="Arial" w:hAnsi="Arial" w:cs="Arial"/>
                        <w:b/>
                        <w:bCs/>
                        <w:color w:val="000000"/>
                      </w:rPr>
                      <w:t>Power Supply Expense</w:t>
                    </w:r>
                  </w:p>
                </w:txbxContent>
              </v:textbox>
            </v:rect>
            <v:rect id="_x0000_s1063" style="position:absolute;left:-9;top:-9;width:18;height:4944" fillcolor="black" stroked="f"/>
            <v:rect id="_x0000_s1064" style="position:absolute;left:8910;top:9;width:18;height:4926" fillcolor="black" stroked="f"/>
            <v:rect id="_x0000_s1065" style="position:absolute;left:9;top:-9;width:8919;height:18" fillcolor="black" stroked="f"/>
            <v:rect id="_x0000_s1066" style="position:absolute;left:9;top:4917;width:8919;height:18" fillcolor="black" stroked="f"/>
          </v:group>
        </w:pict>
      </w: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783F6C" w:rsidRDefault="00783F6C" w:rsidP="00062A6C">
      <w:pPr>
        <w:pStyle w:val="TestBody"/>
        <w:spacing w:line="480" w:lineRule="auto"/>
        <w:ind w:left="0" w:firstLine="0"/>
        <w:rPr>
          <w:rFonts w:ascii="Times New Roman" w:hAnsi="Times New Roman" w:cs="Times New Roman"/>
        </w:rPr>
      </w:pPr>
    </w:p>
    <w:p w:rsidR="00783F6C" w:rsidRDefault="00783F6C" w:rsidP="00F438C5">
      <w:pPr>
        <w:pStyle w:val="TestBody"/>
        <w:spacing w:line="480" w:lineRule="auto"/>
        <w:ind w:left="0" w:firstLine="720"/>
        <w:rPr>
          <w:rFonts w:ascii="Times New Roman" w:hAnsi="Times New Roman" w:cs="Times New Roman"/>
        </w:rPr>
      </w:pPr>
    </w:p>
    <w:p w:rsidR="00563D38" w:rsidRDefault="00BE21E7" w:rsidP="00563D38">
      <w:pPr>
        <w:pStyle w:val="TestBody"/>
        <w:spacing w:line="480" w:lineRule="auto"/>
        <w:ind w:left="0" w:firstLine="720"/>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w:t>
      </w:r>
      <w:r w:rsidR="00D63340">
        <w:rPr>
          <w:rFonts w:ascii="Times New Roman" w:hAnsi="Times New Roman" w:cs="Times New Roman"/>
        </w:rPr>
        <w:t>n</w:t>
      </w:r>
      <w:r w:rsidR="00DB55EE">
        <w:rPr>
          <w:rFonts w:ascii="Times New Roman" w:hAnsi="Times New Roman" w:cs="Times New Roman"/>
        </w:rPr>
        <w:t xml:space="preserve"> </w:t>
      </w:r>
      <w:r w:rsidR="00D63340">
        <w:rPr>
          <w:rFonts w:ascii="Times New Roman" w:hAnsi="Times New Roman" w:cs="Times New Roman"/>
        </w:rPr>
        <w:t>in</w:t>
      </w:r>
      <w:r w:rsidR="00DB55EE">
        <w:rPr>
          <w:rFonts w:ascii="Times New Roman" w:hAnsi="Times New Roman" w:cs="Times New Roman"/>
        </w:rPr>
        <w:t>crease</w:t>
      </w:r>
      <w:r w:rsidRPr="00BE21E7">
        <w:rPr>
          <w:rFonts w:ascii="Times New Roman" w:hAnsi="Times New Roman" w:cs="Times New Roman"/>
        </w:rPr>
        <w:t xml:space="preserve"> of </w:t>
      </w:r>
      <w:r w:rsidRPr="0072665A">
        <w:rPr>
          <w:rFonts w:ascii="Times New Roman" w:hAnsi="Times New Roman" w:cs="Times New Roman"/>
        </w:rPr>
        <w:t>$</w:t>
      </w:r>
      <w:r w:rsidR="00092CF9">
        <w:rPr>
          <w:rFonts w:ascii="Times New Roman" w:hAnsi="Times New Roman" w:cs="Times New Roman"/>
        </w:rPr>
        <w:t>8,759</w:t>
      </w:r>
      <w:r w:rsidR="0072665A" w:rsidRPr="0072665A">
        <w:rPr>
          <w:rFonts w:ascii="Times New Roman" w:hAnsi="Times New Roman" w:cs="Times New Roman"/>
        </w:rPr>
        <w:t>,00</w:t>
      </w:r>
      <w:r w:rsidR="00092CF9">
        <w:rPr>
          <w:rFonts w:ascii="Times New Roman" w:hAnsi="Times New Roman" w:cs="Times New Roman"/>
        </w:rPr>
        <w:t>0 ($176,824</w:t>
      </w:r>
      <w:r w:rsidR="00DB55EE">
        <w:rPr>
          <w:rFonts w:ascii="Times New Roman" w:hAnsi="Times New Roman" w:cs="Times New Roman"/>
        </w:rPr>
        <w:t>,000</w:t>
      </w:r>
      <w:r w:rsidRPr="0072665A">
        <w:rPr>
          <w:rFonts w:ascii="Times New Roman" w:hAnsi="Times New Roman" w:cs="Times New Roman"/>
        </w:rPr>
        <w:t xml:space="preserve"> - $</w:t>
      </w:r>
      <w:r w:rsidR="00092CF9">
        <w:rPr>
          <w:rFonts w:ascii="Times New Roman" w:hAnsi="Times New Roman" w:cs="Times New Roman"/>
        </w:rPr>
        <w:t>168,065</w:t>
      </w:r>
      <w:r w:rsidRPr="0072665A">
        <w:rPr>
          <w:rFonts w:ascii="Times New Roman" w:hAnsi="Times New Roman" w:cs="Times New Roman"/>
        </w:rPr>
        <w:t>,000)</w:t>
      </w:r>
      <w:r w:rsidR="00407CC1">
        <w:rPr>
          <w:rFonts w:ascii="Times New Roman" w:hAnsi="Times New Roman" w:cs="Times New Roman"/>
        </w:rPr>
        <w:t xml:space="preserve"> on a system basis</w:t>
      </w:r>
      <w:r w:rsidR="00291602">
        <w:rPr>
          <w:rFonts w:ascii="Times New Roman" w:hAnsi="Times New Roman" w:cs="Times New Roman"/>
        </w:rPr>
        <w:t xml:space="preserve"> and $</w:t>
      </w:r>
      <w:r w:rsidR="00092CF9">
        <w:rPr>
          <w:rFonts w:ascii="Times New Roman" w:hAnsi="Times New Roman" w:cs="Times New Roman"/>
        </w:rPr>
        <w:t>5,667,949</w:t>
      </w:r>
      <w:r w:rsidR="00C55E1F">
        <w:rPr>
          <w:rFonts w:ascii="Times New Roman" w:hAnsi="Times New Roman" w:cs="Times New Roman"/>
        </w:rPr>
        <w:t xml:space="preserve"> Washington allocation</w:t>
      </w:r>
      <w:r w:rsidRPr="00BE21E7">
        <w:rPr>
          <w:rFonts w:ascii="Times New Roman" w:hAnsi="Times New Roman" w:cs="Times New Roman"/>
        </w:rPr>
        <w:t>.</w:t>
      </w:r>
      <w:r w:rsidR="006E0068">
        <w:rPr>
          <w:rFonts w:ascii="Times New Roman" w:hAnsi="Times New Roman" w:cs="Times New Roman"/>
        </w:rPr>
        <w:t xml:space="preserve"> </w:t>
      </w:r>
      <w:r w:rsidRPr="00BE21E7">
        <w:rPr>
          <w:rFonts w:ascii="Times New Roman" w:hAnsi="Times New Roman" w:cs="Times New Roman"/>
        </w:rPr>
        <w:t xml:space="preserve"> </w:t>
      </w:r>
      <w:r w:rsidR="00092CF9">
        <w:rPr>
          <w:rFonts w:ascii="Times New Roman" w:hAnsi="Times New Roman" w:cs="Times New Roman"/>
        </w:rPr>
        <w:t xml:space="preserve">The increased expense </w:t>
      </w:r>
      <w:r w:rsidR="003E7626">
        <w:rPr>
          <w:rFonts w:ascii="Times New Roman" w:hAnsi="Times New Roman" w:cs="Times New Roman"/>
        </w:rPr>
        <w:t xml:space="preserve">in 2017 </w:t>
      </w:r>
      <w:r w:rsidR="00092CF9">
        <w:rPr>
          <w:rFonts w:ascii="Times New Roman" w:hAnsi="Times New Roman" w:cs="Times New Roman"/>
        </w:rPr>
        <w:t>from the level in current base rates is $13,760,582</w:t>
      </w:r>
      <w:r w:rsidR="00B62CE5">
        <w:rPr>
          <w:rFonts w:ascii="Times New Roman" w:hAnsi="Times New Roman" w:cs="Times New Roman"/>
        </w:rPr>
        <w:t xml:space="preserve"> (Washington share)</w:t>
      </w:r>
      <w:r w:rsidR="00092CF9">
        <w:rPr>
          <w:rFonts w:ascii="Times New Roman" w:hAnsi="Times New Roman" w:cs="Times New Roman"/>
        </w:rPr>
        <w:t xml:space="preserve">.  </w:t>
      </w:r>
      <w:r w:rsidR="00AB6768">
        <w:rPr>
          <w:rFonts w:ascii="Times New Roman" w:hAnsi="Times New Roman" w:cs="Times New Roman"/>
        </w:rPr>
        <w:t>Moving out one-</w:t>
      </w:r>
      <w:r w:rsidR="003E7626">
        <w:rPr>
          <w:rFonts w:ascii="Times New Roman" w:hAnsi="Times New Roman" w:cs="Times New Roman"/>
        </w:rPr>
        <w:t>half year to a July 2017 through June</w:t>
      </w:r>
      <w:r w:rsidR="00AB6768">
        <w:rPr>
          <w:rFonts w:ascii="Times New Roman" w:hAnsi="Times New Roman" w:cs="Times New Roman"/>
        </w:rPr>
        <w:t xml:space="preserve"> 2018 pro forma period increases</w:t>
      </w:r>
      <w:r w:rsidR="003E7626">
        <w:rPr>
          <w:rFonts w:ascii="Times New Roman" w:hAnsi="Times New Roman" w:cs="Times New Roman"/>
        </w:rPr>
        <w:t xml:space="preserve"> expense </w:t>
      </w:r>
      <w:r w:rsidR="00416082">
        <w:rPr>
          <w:rFonts w:ascii="Times New Roman" w:hAnsi="Times New Roman" w:cs="Times New Roman"/>
        </w:rPr>
        <w:t xml:space="preserve">by </w:t>
      </w:r>
      <w:r w:rsidR="007F0F71">
        <w:rPr>
          <w:rFonts w:ascii="Times New Roman" w:hAnsi="Times New Roman" w:cs="Times New Roman"/>
        </w:rPr>
        <w:t xml:space="preserve">$2,785,766 </w:t>
      </w:r>
      <w:r w:rsidR="00B62CE5">
        <w:rPr>
          <w:rFonts w:ascii="Times New Roman" w:hAnsi="Times New Roman" w:cs="Times New Roman"/>
        </w:rPr>
        <w:t xml:space="preserve">(Washington share) </w:t>
      </w:r>
      <w:r w:rsidR="003E7626">
        <w:rPr>
          <w:rFonts w:ascii="Times New Roman" w:hAnsi="Times New Roman" w:cs="Times New Roman"/>
        </w:rPr>
        <w:t>over a 2017 pro forma period</w:t>
      </w:r>
      <w:r w:rsidR="007F0F71">
        <w:rPr>
          <w:rFonts w:ascii="Times New Roman" w:hAnsi="Times New Roman" w:cs="Times New Roman"/>
        </w:rPr>
        <w:t>.</w:t>
      </w:r>
      <w:r w:rsidR="00092CF9">
        <w:rPr>
          <w:rFonts w:ascii="Times New Roman" w:hAnsi="Times New Roman" w:cs="Times New Roman"/>
        </w:rPr>
        <w:t xml:space="preserve"> </w:t>
      </w:r>
      <w:r w:rsidR="00563D38">
        <w:rPr>
          <w:rFonts w:ascii="Times New Roman" w:hAnsi="Times New Roman" w:cs="Times New Roman"/>
        </w:rPr>
        <w:br w:type="page"/>
      </w:r>
    </w:p>
    <w:p w:rsidR="00BE21E7" w:rsidRPr="00945166" w:rsidRDefault="00BE21E7" w:rsidP="00945166">
      <w:pPr>
        <w:pStyle w:val="BodyText"/>
        <w:spacing w:line="480" w:lineRule="auto"/>
        <w:ind w:firstLine="720"/>
        <w:rPr>
          <w:bCs w:val="0"/>
          <w:u w:val="single"/>
        </w:rPr>
      </w:pPr>
      <w:r w:rsidRPr="00945166">
        <w:rPr>
          <w:bCs w:val="0"/>
          <w:u w:val="single"/>
        </w:rPr>
        <w:lastRenderedPageBreak/>
        <w:t>III.</w:t>
      </w:r>
      <w:r w:rsidRPr="00945166">
        <w:rPr>
          <w:bCs w:val="0"/>
          <w:u w:val="single"/>
        </w:rPr>
        <w:tab/>
        <w:t>PRO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w:t>
      </w:r>
      <w:r w:rsidRPr="00BE21E7">
        <w:rPr>
          <w:rFonts w:ascii="Times New Roman" w:hAnsi="Times New Roman" w:cs="Times New Roman"/>
        </w:rPr>
        <w:t>WGJ-2) identifies the power supply expense and revenue items that fall within the scope of my testimony.  These revenue and expense items are related to power purchases and sales, fuel e</w:t>
      </w:r>
      <w:r w:rsidR="00D84307">
        <w:rPr>
          <w:rFonts w:ascii="Times New Roman" w:hAnsi="Times New Roman" w:cs="Times New Roman"/>
        </w:rPr>
        <w:t xml:space="preserve">xpenses, transmission expense, </w:t>
      </w:r>
      <w:r w:rsidRPr="00BE21E7">
        <w:rPr>
          <w:rFonts w:ascii="Times New Roman" w:hAnsi="Times New Roman" w:cs="Times New Roman"/>
        </w:rPr>
        <w:t xml:space="preserve">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w:t>
      </w:r>
      <w:r w:rsidR="00416082">
        <w:rPr>
          <w:rFonts w:ascii="Times New Roman" w:hAnsi="Times New Roman" w:cs="Times New Roman"/>
        </w:rPr>
        <w:t>using the AURORA m</w:t>
      </w:r>
      <w:r w:rsidR="007C3FCA">
        <w:rPr>
          <w:rFonts w:ascii="Times New Roman" w:hAnsi="Times New Roman" w:cs="Times New Roman"/>
        </w:rPr>
        <w:t xml:space="preserve">odel </w:t>
      </w:r>
      <w:r w:rsidR="006D5BF7">
        <w:rPr>
          <w:rFonts w:ascii="Times New Roman" w:hAnsi="Times New Roman" w:cs="Times New Roman"/>
        </w:rPr>
        <w:t xml:space="preserve">and </w:t>
      </w:r>
      <w:r w:rsidR="007C3FCA">
        <w:rPr>
          <w:rFonts w:ascii="Times New Roman" w:hAnsi="Times New Roman" w:cs="Times New Roman"/>
        </w:rPr>
        <w:t xml:space="preserve">include </w:t>
      </w:r>
      <w:r w:rsidR="006D5BF7">
        <w:rPr>
          <w:rFonts w:ascii="Times New Roman" w:hAnsi="Times New Roman" w:cs="Times New Roman"/>
        </w:rPr>
        <w:t xml:space="preserve">other </w:t>
      </w:r>
      <w:r w:rsidRPr="00BE21E7">
        <w:rPr>
          <w:rFonts w:ascii="Times New Roman" w:hAnsi="Times New Roman" w:cs="Times New Roman"/>
        </w:rPr>
        <w:t xml:space="preserve">known and measurable changes for the pro forma period.  </w:t>
      </w:r>
      <w:r w:rsidR="007C3FCA">
        <w:rPr>
          <w:rFonts w:ascii="Times New Roman" w:hAnsi="Times New Roman" w:cs="Times New Roman"/>
        </w:rPr>
        <w:t xml:space="preserve">For this filing, both a </w:t>
      </w:r>
      <w:r w:rsidR="00783F6C">
        <w:rPr>
          <w:rFonts w:ascii="Times New Roman" w:hAnsi="Times New Roman" w:cs="Times New Roman"/>
        </w:rPr>
        <w:t xml:space="preserve">calendar </w:t>
      </w:r>
      <w:r w:rsidR="007C3FCA">
        <w:rPr>
          <w:rFonts w:ascii="Times New Roman" w:hAnsi="Times New Roman" w:cs="Times New Roman"/>
        </w:rPr>
        <w:t>2017 pro forma and a July 2017 through June 2018 pro forma were developed.  This was accomplished by developing a 2017 and 2018 pro forma and then including the January 2018 through June 2018 values in the July 2017 through June 2018 pro forma.  The July 2017 through December 2017 values are the same in both pro formas.</w:t>
      </w:r>
    </w:p>
    <w:p w:rsidR="00563D38" w:rsidRDefault="00BE21E7" w:rsidP="00563D38">
      <w:pPr>
        <w:pStyle w:val="TestBody"/>
        <w:tabs>
          <w:tab w:val="num" w:pos="720"/>
        </w:tabs>
        <w:spacing w:line="480" w:lineRule="auto"/>
        <w:ind w:left="0" w:firstLine="720"/>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r w:rsidR="00563D38">
        <w:rPr>
          <w:rFonts w:ascii="Times New Roman" w:hAnsi="Times New Roman" w:cs="Times New Roman"/>
        </w:rPr>
        <w:br w:type="page"/>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Ho</w:t>
      </w:r>
      <w:bookmarkStart w:id="0" w:name="_GoBack"/>
      <w:bookmarkEnd w:id="0"/>
      <w:r w:rsidRPr="00BE21E7">
        <w:rPr>
          <w:rFonts w:ascii="Times New Roman" w:hAnsi="Times New Roman" w:cs="Times New Roman"/>
          <w:b/>
          <w:bCs/>
        </w:rPr>
        <w:t>w are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Long-term power contracts are included in the pro forma by including the energy receipt or obligation associated with the contract in the AURORA</w:t>
      </w:r>
      <w:r w:rsidR="00416082">
        <w:rPr>
          <w:rFonts w:ascii="Times New Roman" w:hAnsi="Times New Roman" w:cs="Times New Roman"/>
        </w:rPr>
        <w:t xml:space="preserve"> M</w:t>
      </w:r>
      <w:r w:rsidRPr="00BE21E7">
        <w:rPr>
          <w:rFonts w:ascii="Times New Roman" w:hAnsi="Times New Roman" w:cs="Times New Roman"/>
        </w:rPr>
        <w:t xml:space="preserve">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D84307" w:rsidRDefault="0049447F" w:rsidP="00D8430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r w:rsidR="00332E92">
        <w:rPr>
          <w:rFonts w:ascii="Times New Roman" w:hAnsi="Times New Roman" w:cs="Times New Roman"/>
        </w:rPr>
        <w:t xml:space="preserve"> </w:t>
      </w:r>
    </w:p>
    <w:p w:rsidR="00BE21E7" w:rsidRPr="00BE21E7" w:rsidRDefault="0049447F" w:rsidP="00BE6D1E">
      <w:pPr>
        <w:pStyle w:val="TestBody"/>
        <w:tabs>
          <w:tab w:val="num" w:pos="0"/>
        </w:tabs>
        <w:spacing w:line="480" w:lineRule="auto"/>
        <w:ind w:left="0" w:firstLine="720"/>
        <w:rPr>
          <w:rFonts w:ascii="Times New Roman" w:hAnsi="Times New Roman" w:cs="Times New Roman"/>
          <w:b/>
        </w:rPr>
      </w:pPr>
      <w:r w:rsidRPr="00F4413D">
        <w:rPr>
          <w:rFonts w:ascii="Times New Roman" w:hAnsi="Times New Roman" w:cs="Times New Roman"/>
          <w:b/>
        </w:rPr>
        <w:t>Q.</w:t>
      </w:r>
      <w:r>
        <w:rPr>
          <w:rFonts w:ascii="Times New Roman" w:hAnsi="Times New Roman" w:cs="Times New Roman"/>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9C4B6F" w:rsidRDefault="00BE21E7" w:rsidP="009C4B6F">
      <w:pPr>
        <w:pStyle w:val="TestBody"/>
        <w:tabs>
          <w:tab w:val="num" w:pos="720"/>
        </w:tabs>
        <w:spacing w:line="480" w:lineRule="auto"/>
        <w:ind w:left="0" w:firstLine="720"/>
      </w:pPr>
      <w:r w:rsidRPr="00BE21E7">
        <w:rPr>
          <w:rFonts w:ascii="Times New Roman" w:hAnsi="Times New Roman" w:cs="Times New Roman"/>
        </w:rPr>
        <w:t>A.</w:t>
      </w:r>
      <w:r w:rsidRPr="00BE21E7">
        <w:rPr>
          <w:rFonts w:ascii="Times New Roman" w:hAnsi="Times New Roman" w:cs="Times New Roman"/>
        </w:rPr>
        <w:tab/>
      </w:r>
      <w:r w:rsidR="00B12AD5">
        <w:rPr>
          <w:rFonts w:ascii="Times New Roman" w:hAnsi="Times New Roman" w:cs="Times New Roman"/>
        </w:rPr>
        <w:t xml:space="preserve">Yes.  </w:t>
      </w:r>
      <w:r w:rsidR="00475AC2">
        <w:rPr>
          <w:rFonts w:ascii="Times New Roman" w:hAnsi="Times New Roman" w:cs="Times New Roman"/>
        </w:rPr>
        <w:t>The Portland Genera</w:t>
      </w:r>
      <w:r w:rsidR="00AB6768">
        <w:rPr>
          <w:rFonts w:ascii="Times New Roman" w:hAnsi="Times New Roman" w:cs="Times New Roman"/>
        </w:rPr>
        <w:t>l Electric capacity sale</w:t>
      </w:r>
      <w:r w:rsidR="00475AC2">
        <w:rPr>
          <w:rFonts w:ascii="Times New Roman" w:hAnsi="Times New Roman" w:cs="Times New Roman"/>
        </w:rPr>
        <w:t xml:space="preserve"> is in current base rates but not in the pro forma period. </w:t>
      </w:r>
      <w:r w:rsidR="002F7570" w:rsidRPr="002F7570">
        <w:rPr>
          <w:rFonts w:ascii="Times New Roman" w:hAnsi="Times New Roman" w:cs="Times New Roman"/>
        </w:rPr>
        <w:t>In 1998 Avista monetized the majority of the revenue from the Portland General Electric capacity sale.  The monetization loan was paid off in January 2015 and the full revenue</w:t>
      </w:r>
      <w:r w:rsidR="006B53F7">
        <w:rPr>
          <w:rFonts w:ascii="Times New Roman" w:hAnsi="Times New Roman" w:cs="Times New Roman"/>
        </w:rPr>
        <w:t xml:space="preserve"> (approximately $19.2</w:t>
      </w:r>
      <w:r w:rsidR="002F7570">
        <w:rPr>
          <w:rFonts w:ascii="Times New Roman" w:hAnsi="Times New Roman" w:cs="Times New Roman"/>
        </w:rPr>
        <w:t xml:space="preserve"> million)</w:t>
      </w:r>
      <w:r w:rsidR="002F7570" w:rsidRPr="002F7570">
        <w:rPr>
          <w:rFonts w:ascii="Times New Roman" w:hAnsi="Times New Roman" w:cs="Times New Roman"/>
        </w:rPr>
        <w:t xml:space="preserve"> from the contract returned to the Company beginning January 2015.  </w:t>
      </w:r>
      <w:r w:rsidR="00475AC2">
        <w:rPr>
          <w:rFonts w:ascii="Times New Roman" w:hAnsi="Times New Roman" w:cs="Times New Roman"/>
        </w:rPr>
        <w:t>Th</w:t>
      </w:r>
      <w:r w:rsidR="002F7570">
        <w:rPr>
          <w:rFonts w:ascii="Times New Roman" w:hAnsi="Times New Roman" w:cs="Times New Roman"/>
        </w:rPr>
        <w:t>at</w:t>
      </w:r>
      <w:r w:rsidR="00475AC2">
        <w:rPr>
          <w:rFonts w:ascii="Times New Roman" w:hAnsi="Times New Roman" w:cs="Times New Roman"/>
        </w:rPr>
        <w:t xml:space="preserve"> contract ends</w:t>
      </w:r>
      <w:r w:rsidR="002F7570">
        <w:rPr>
          <w:rFonts w:ascii="Times New Roman" w:hAnsi="Times New Roman" w:cs="Times New Roman"/>
        </w:rPr>
        <w:t xml:space="preserve"> on</w:t>
      </w:r>
      <w:r w:rsidR="00475AC2">
        <w:rPr>
          <w:rFonts w:ascii="Times New Roman" w:hAnsi="Times New Roman" w:cs="Times New Roman"/>
        </w:rPr>
        <w:t xml:space="preserve"> December 31, 2016.</w:t>
      </w:r>
      <w:r w:rsidR="00366CB4">
        <w:rPr>
          <w:rFonts w:ascii="Times New Roman" w:hAnsi="Times New Roman" w:cs="Times New Roman"/>
        </w:rPr>
        <w:t xml:space="preserve">  </w:t>
      </w:r>
      <w:r w:rsidR="006B53F7">
        <w:rPr>
          <w:rFonts w:ascii="Times New Roman" w:hAnsi="Times New Roman" w:cs="Times New Roman"/>
        </w:rPr>
        <w:t>The sale i</w:t>
      </w:r>
      <w:r w:rsidR="00C7618B">
        <w:rPr>
          <w:rFonts w:ascii="Times New Roman" w:hAnsi="Times New Roman" w:cs="Times New Roman"/>
        </w:rPr>
        <w:t>s a capacity exchange sale where Portland General E</w:t>
      </w:r>
      <w:r w:rsidR="006B53F7">
        <w:rPr>
          <w:rFonts w:ascii="Times New Roman" w:hAnsi="Times New Roman" w:cs="Times New Roman"/>
        </w:rPr>
        <w:t>lectric can</w:t>
      </w:r>
      <w:r w:rsidR="00C7618B">
        <w:rPr>
          <w:rFonts w:ascii="Times New Roman" w:hAnsi="Times New Roman" w:cs="Times New Roman"/>
        </w:rPr>
        <w:t xml:space="preserve"> take 150 MW for 10 hours each day and return the energy on the hours of their choosi</w:t>
      </w:r>
      <w:r w:rsidR="006B53F7">
        <w:rPr>
          <w:rFonts w:ascii="Times New Roman" w:hAnsi="Times New Roman" w:cs="Times New Roman"/>
        </w:rPr>
        <w:t>ng.  The contract also contains</w:t>
      </w:r>
      <w:r w:rsidR="00C7618B">
        <w:rPr>
          <w:rFonts w:ascii="Times New Roman" w:hAnsi="Times New Roman" w:cs="Times New Roman"/>
        </w:rPr>
        <w:t xml:space="preserve"> unique real-time change provisions that are not standard in that type of contract. Current market conditions do not support a capacity sale at similar rates to the expiring contract, nor would Avista desire to enter into a new capacity contract with similar real-time change provisions.</w:t>
      </w:r>
      <w:r w:rsidR="009C4B6F">
        <w:rPr>
          <w:rFonts w:ascii="Times New Roman" w:hAnsi="Times New Roman" w:cs="Times New Roman"/>
        </w:rPr>
        <w:br w:type="page"/>
      </w:r>
    </w:p>
    <w:p w:rsidR="00C507EB" w:rsidRDefault="00366CB4" w:rsidP="00890D94">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lastRenderedPageBreak/>
        <w:t>The increase in power supply expense versus the amount in</w:t>
      </w:r>
      <w:r w:rsidR="00416082">
        <w:rPr>
          <w:rFonts w:ascii="Times New Roman" w:hAnsi="Times New Roman" w:cs="Times New Roman"/>
        </w:rPr>
        <w:t xml:space="preserve"> current base rates is partially</w:t>
      </w:r>
      <w:r>
        <w:rPr>
          <w:rFonts w:ascii="Times New Roman" w:hAnsi="Times New Roman" w:cs="Times New Roman"/>
        </w:rPr>
        <w:t xml:space="preserve"> due to this contract ending.  </w:t>
      </w:r>
      <w:r w:rsidR="002F7570">
        <w:rPr>
          <w:rFonts w:ascii="Times New Roman" w:hAnsi="Times New Roman" w:cs="Times New Roman"/>
        </w:rPr>
        <w:t xml:space="preserve">This equates to approximately $8 million </w:t>
      </w:r>
      <w:r w:rsidR="00C7618B">
        <w:rPr>
          <w:rFonts w:ascii="Times New Roman" w:hAnsi="Times New Roman" w:cs="Times New Roman"/>
        </w:rPr>
        <w:t xml:space="preserve">(Washington share) </w:t>
      </w:r>
      <w:r w:rsidR="002F7570">
        <w:rPr>
          <w:rFonts w:ascii="Times New Roman" w:hAnsi="Times New Roman" w:cs="Times New Roman"/>
        </w:rPr>
        <w:t>of the increased power supply net expense in the Company’s 2017 request.</w:t>
      </w:r>
    </w:p>
    <w:p w:rsidR="00062A6C" w:rsidRDefault="00062A6C" w:rsidP="008527AD">
      <w:pPr>
        <w:pStyle w:val="TestBody"/>
        <w:tabs>
          <w:tab w:val="num" w:pos="72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w:t>
      </w:r>
      <w:r w:rsidR="00BE221B">
        <w:rPr>
          <w:rFonts w:ascii="Times New Roman" w:hAnsi="Times New Roman" w:cs="Times New Roman"/>
        </w:rPr>
        <w:t xml:space="preserve">fixed price </w:t>
      </w:r>
      <w:r w:rsidR="00095636">
        <w:rPr>
          <w:rFonts w:ascii="Times New Roman" w:hAnsi="Times New Roman" w:cs="Times New Roman"/>
        </w:rPr>
        <w:t>financial electric and 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transactions entered into for the 201</w:t>
      </w:r>
      <w:r w:rsidR="004B076E">
        <w:rPr>
          <w:rFonts w:ascii="Times New Roman" w:hAnsi="Times New Roman" w:cs="Times New Roman"/>
        </w:rPr>
        <w:t>7</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r w:rsidR="004B076E">
        <w:rPr>
          <w:rFonts w:ascii="Times New Roman" w:hAnsi="Times New Roman" w:cs="Times New Roman"/>
        </w:rPr>
        <w:t xml:space="preserve">  There are currently no 2018 actual short-term transactions.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Thermal fuel expenses include Colstrip coal costs, Kettle Falls</w:t>
      </w:r>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062A6C" w:rsidRDefault="00062A6C" w:rsidP="008527AD">
      <w:pPr>
        <w:pStyle w:val="TestBody"/>
        <w:tabs>
          <w:tab w:val="num" w:pos="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BE21E7" w:rsidP="00957004">
      <w:pPr>
        <w:pStyle w:val="TestBody"/>
        <w:numPr>
          <w:ilvl w:val="0"/>
          <w:numId w:val="6"/>
        </w:numPr>
        <w:tabs>
          <w:tab w:val="clear" w:pos="1440"/>
        </w:tabs>
        <w:spacing w:line="480" w:lineRule="auto"/>
        <w:ind w:left="0" w:firstLine="720"/>
        <w:rPr>
          <w:rFonts w:ascii="Times New Roman" w:hAnsi="Times New Roman" w:cs="Times New Roman"/>
          <w:b/>
          <w:bCs/>
        </w:rPr>
      </w:pPr>
      <w:r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Pr="00BE21E7">
        <w:rPr>
          <w:rFonts w:ascii="Times New Roman" w:hAnsi="Times New Roman" w:cs="Times New Roman"/>
          <w:b/>
          <w:bCs/>
        </w:rPr>
        <w:t>?</w:t>
      </w:r>
    </w:p>
    <w:p w:rsidR="00563D38" w:rsidRDefault="009C2006" w:rsidP="00563D38">
      <w:pPr>
        <w:pStyle w:val="TestBody"/>
        <w:spacing w:line="480" w:lineRule="auto"/>
        <w:ind w:left="0" w:firstLine="720"/>
      </w:pPr>
      <w:r>
        <w:rPr>
          <w:rFonts w:ascii="Times New Roman" w:hAnsi="Times New Roman" w:cs="Times New Roman"/>
        </w:rPr>
        <w:t>A.</w:t>
      </w:r>
      <w:r>
        <w:rPr>
          <w:rFonts w:ascii="Times New Roman" w:hAnsi="Times New Roman" w:cs="Times New Roman"/>
        </w:rPr>
        <w:tab/>
      </w:r>
      <w:r w:rsidR="004B076E">
        <w:rPr>
          <w:rFonts w:ascii="Times New Roman" w:hAnsi="Times New Roman" w:cs="Times New Roman"/>
        </w:rPr>
        <w:t>BPA’s transmission rates increased October 1, 2015 and those increases are reflected in the 2017 pro forma compared to the test-year.  BPA transmission rates are expected to increase again on October 1, 2017 and those expected increase</w:t>
      </w:r>
      <w:r w:rsidR="00062A6C">
        <w:rPr>
          <w:rFonts w:ascii="Times New Roman" w:hAnsi="Times New Roman" w:cs="Times New Roman"/>
        </w:rPr>
        <w:t>s</w:t>
      </w:r>
      <w:r w:rsidR="004B076E">
        <w:rPr>
          <w:rFonts w:ascii="Times New Roman" w:hAnsi="Times New Roman" w:cs="Times New Roman"/>
        </w:rPr>
        <w:t xml:space="preserve"> are included in the 2017 pro forma and the July 2017 through June 2018 pro forma.</w:t>
      </w:r>
      <w:r w:rsidR="00563D38">
        <w:rPr>
          <w:rFonts w:ascii="Times New Roman" w:hAnsi="Times New Roman" w:cs="Times New Roman"/>
        </w:rPr>
        <w:br w:type="page"/>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lastRenderedPageBreak/>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w:t>
      </w:r>
      <w:r w:rsidR="0080298D">
        <w:rPr>
          <w:rFonts w:ascii="Times New Roman" w:hAnsi="Times New Roman" w:cs="Times New Roman"/>
          <w:b/>
          <w:bCs/>
        </w:rPr>
        <w:t xml:space="preserve"> Company</w:t>
      </w:r>
      <w:r w:rsidR="00F54F39">
        <w:rPr>
          <w:rFonts w:ascii="Times New Roman" w:hAnsi="Times New Roman" w:cs="Times New Roman"/>
          <w:b/>
          <w:bCs/>
        </w:rPr>
        <w:t xml:space="preserve"> witness</w:t>
      </w:r>
      <w:r w:rsidR="0080298D">
        <w:rPr>
          <w:rFonts w:ascii="Times New Roman" w:hAnsi="Times New Roman" w:cs="Times New Roman"/>
          <w:b/>
          <w:bCs/>
        </w:rPr>
        <w:t xml:space="preserve"> Ms.</w:t>
      </w:r>
      <w:r w:rsidR="00F54F39">
        <w:rPr>
          <w:rFonts w:ascii="Times New Roman" w:hAnsi="Times New Roman" w:cs="Times New Roman"/>
          <w:b/>
          <w:bCs/>
        </w:rPr>
        <w:t xml:space="preserve"> Andrews</w:t>
      </w:r>
      <w:r w:rsidR="003749AB">
        <w:rPr>
          <w:rFonts w:ascii="Times New Roman" w:hAnsi="Times New Roman" w:cs="Times New Roman"/>
          <w:b/>
          <w:bCs/>
        </w:rPr>
        <w:t xml:space="preserve"> for the Company</w:t>
      </w:r>
      <w:r w:rsidR="00EA73D4">
        <w:rPr>
          <w:rFonts w:ascii="Times New Roman" w:hAnsi="Times New Roman" w:cs="Times New Roman"/>
          <w:b/>
          <w:bCs/>
        </w:rPr>
        <w:t>’s</w:t>
      </w:r>
      <w:r w:rsidR="003749AB">
        <w:rPr>
          <w:rFonts w:ascii="Times New Roman" w:hAnsi="Times New Roman" w:cs="Times New Roman"/>
          <w:b/>
          <w:bCs/>
        </w:rPr>
        <w:t xml:space="preserve"> electric attrition study.</w:t>
      </w:r>
      <w:r w:rsidR="003749AB">
        <w:rPr>
          <w:rStyle w:val="FootnoteReference"/>
          <w:rFonts w:ascii="Times New Roman" w:hAnsi="Times New Roman"/>
          <w:b/>
          <w:bCs/>
        </w:rPr>
        <w:footnoteReference w:id="2"/>
      </w:r>
    </w:p>
    <w:p w:rsidR="00563D38" w:rsidRDefault="00904869" w:rsidP="00563D38">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proposed pro forma power supply expense as shown in Exhibit No. __</w:t>
      </w:r>
      <w:r w:rsidR="00B417CF">
        <w:rPr>
          <w:rFonts w:ascii="Times New Roman" w:hAnsi="Times New Roman" w:cs="Times New Roman"/>
        </w:rPr>
        <w:t>_ (</w:t>
      </w:r>
      <w:r>
        <w:rPr>
          <w:rFonts w:ascii="Times New Roman" w:hAnsi="Times New Roman" w:cs="Times New Roman"/>
        </w:rPr>
        <w:t xml:space="preserve">WGJ-2) is </w:t>
      </w:r>
      <w:r w:rsidR="00C24431">
        <w:rPr>
          <w:rFonts w:ascii="Times New Roman" w:hAnsi="Times New Roman" w:cs="Times New Roman"/>
        </w:rPr>
        <w:t>an increase</w:t>
      </w:r>
      <w:r w:rsidR="00C24431" w:rsidRPr="00BE21E7">
        <w:rPr>
          <w:rFonts w:ascii="Times New Roman" w:hAnsi="Times New Roman" w:cs="Times New Roman"/>
        </w:rPr>
        <w:t xml:space="preserve"> of </w:t>
      </w:r>
      <w:r w:rsidR="00C24431" w:rsidRPr="0072665A">
        <w:rPr>
          <w:rFonts w:ascii="Times New Roman" w:hAnsi="Times New Roman" w:cs="Times New Roman"/>
        </w:rPr>
        <w:t>$</w:t>
      </w:r>
      <w:r w:rsidR="00C24431">
        <w:rPr>
          <w:rFonts w:ascii="Times New Roman" w:hAnsi="Times New Roman" w:cs="Times New Roman"/>
        </w:rPr>
        <w:t>8,759</w:t>
      </w:r>
      <w:r w:rsidR="00C24431" w:rsidRPr="0072665A">
        <w:rPr>
          <w:rFonts w:ascii="Times New Roman" w:hAnsi="Times New Roman" w:cs="Times New Roman"/>
        </w:rPr>
        <w:t>,00</w:t>
      </w:r>
      <w:r w:rsidR="00C24431">
        <w:rPr>
          <w:rFonts w:ascii="Times New Roman" w:hAnsi="Times New Roman" w:cs="Times New Roman"/>
        </w:rPr>
        <w:t>0 ($176,824,000</w:t>
      </w:r>
      <w:r w:rsidR="00C24431" w:rsidRPr="0072665A">
        <w:rPr>
          <w:rFonts w:ascii="Times New Roman" w:hAnsi="Times New Roman" w:cs="Times New Roman"/>
        </w:rPr>
        <w:t xml:space="preserve"> - $</w:t>
      </w:r>
      <w:r w:rsidR="00C24431">
        <w:rPr>
          <w:rFonts w:ascii="Times New Roman" w:hAnsi="Times New Roman" w:cs="Times New Roman"/>
        </w:rPr>
        <w:t>168,065</w:t>
      </w:r>
      <w:r w:rsidR="00C24431" w:rsidRPr="0072665A">
        <w:rPr>
          <w:rFonts w:ascii="Times New Roman" w:hAnsi="Times New Roman" w:cs="Times New Roman"/>
        </w:rPr>
        <w:t>,000)</w:t>
      </w:r>
      <w:r w:rsidR="00C24431">
        <w:rPr>
          <w:rFonts w:ascii="Times New Roman" w:hAnsi="Times New Roman" w:cs="Times New Roman"/>
        </w:rPr>
        <w:t xml:space="preserve"> on a system basis and $5,667,949 Washington allocation</w:t>
      </w:r>
      <w:r w:rsidR="00C24431" w:rsidRPr="00BE21E7">
        <w:rPr>
          <w:rFonts w:ascii="Times New Roman" w:hAnsi="Times New Roman" w:cs="Times New Roman"/>
        </w:rPr>
        <w:t>.</w:t>
      </w:r>
      <w:r w:rsidR="00C24431">
        <w:rPr>
          <w:rFonts w:ascii="Times New Roman" w:hAnsi="Times New Roman" w:cs="Times New Roman"/>
        </w:rPr>
        <w:t xml:space="preserve"> </w:t>
      </w:r>
      <w:r w:rsidR="00C24431" w:rsidRPr="00BE21E7">
        <w:rPr>
          <w:rFonts w:ascii="Times New Roman" w:hAnsi="Times New Roman" w:cs="Times New Roman"/>
        </w:rPr>
        <w:t xml:space="preserve"> </w:t>
      </w:r>
      <w:r w:rsidR="00AB6768">
        <w:rPr>
          <w:rFonts w:ascii="Times New Roman" w:hAnsi="Times New Roman" w:cs="Times New Roman"/>
        </w:rPr>
        <w:t>The increased expense in 2017 from the level in current base rates is $13,760,582</w:t>
      </w:r>
      <w:r w:rsidR="00356BB0">
        <w:rPr>
          <w:rFonts w:ascii="Times New Roman" w:hAnsi="Times New Roman" w:cs="Times New Roman"/>
        </w:rPr>
        <w:t xml:space="preserve"> (Washington share)</w:t>
      </w:r>
      <w:r w:rsidR="00AB6768">
        <w:rPr>
          <w:rFonts w:ascii="Times New Roman" w:hAnsi="Times New Roman" w:cs="Times New Roman"/>
        </w:rPr>
        <w:t xml:space="preserve">.  Moving out one-half year to a July 2017 through June 2018 pro forma period increases expense $2,785,766 </w:t>
      </w:r>
      <w:r w:rsidR="00356BB0">
        <w:rPr>
          <w:rFonts w:ascii="Times New Roman" w:hAnsi="Times New Roman" w:cs="Times New Roman"/>
        </w:rPr>
        <w:t xml:space="preserve">(Washington share) </w:t>
      </w:r>
      <w:r w:rsidR="00AB6768">
        <w:rPr>
          <w:rFonts w:ascii="Times New Roman" w:hAnsi="Times New Roman" w:cs="Times New Roman"/>
        </w:rPr>
        <w:t xml:space="preserve">over </w:t>
      </w:r>
      <w:r w:rsidR="00AA3687">
        <w:rPr>
          <w:rFonts w:ascii="Times New Roman" w:hAnsi="Times New Roman" w:cs="Times New Roman"/>
        </w:rPr>
        <w:t>the</w:t>
      </w:r>
      <w:r w:rsidR="00AB6768">
        <w:rPr>
          <w:rFonts w:ascii="Times New Roman" w:hAnsi="Times New Roman" w:cs="Times New Roman"/>
        </w:rPr>
        <w:t xml:space="preserve"> 2017 pro forma period.</w:t>
      </w:r>
    </w:p>
    <w:p w:rsidR="00BE21E7" w:rsidRPr="00BE21E7" w:rsidRDefault="002B0E4E" w:rsidP="007E493D">
      <w:pPr>
        <w:pStyle w:val="BodyText"/>
        <w:tabs>
          <w:tab w:val="num" w:pos="0"/>
        </w:tabs>
        <w:spacing w:line="480" w:lineRule="auto"/>
        <w:rPr>
          <w:bCs w:val="0"/>
          <w:u w:val="single"/>
        </w:rPr>
      </w:pPr>
      <w:r>
        <w:rPr>
          <w:bCs w:val="0"/>
          <w:u w:val="single"/>
        </w:rPr>
        <w:t>I</w:t>
      </w:r>
      <w:r w:rsidR="007E493D">
        <w:rPr>
          <w:bCs w:val="0"/>
          <w:u w:val="single"/>
        </w:rPr>
        <w:t>V.</w:t>
      </w:r>
      <w:r w:rsidR="007E493D">
        <w:rPr>
          <w:bCs w:val="0"/>
          <w:u w:val="single"/>
        </w:rPr>
        <w:tab/>
      </w:r>
      <w:r w:rsidR="00975878">
        <w:rPr>
          <w:bCs w:val="0"/>
          <w:u w:val="single"/>
        </w:rPr>
        <w:t xml:space="preserve">ERM AUTHORIZED </w:t>
      </w:r>
      <w:r w:rsidR="00647807">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D96A42">
        <w:rPr>
          <w:b w:val="0"/>
          <w:bCs w:val="0"/>
        </w:rPr>
        <w:t>159,881,830 for</w:t>
      </w:r>
      <w:r w:rsidR="00A12B79">
        <w:rPr>
          <w:b w:val="0"/>
          <w:bCs w:val="0"/>
        </w:rPr>
        <w:t xml:space="preserve"> the 2017 pro forma period and 164,551,092 for the July 2017 through June 2018 pro forma period</w:t>
      </w:r>
      <w:r w:rsidRPr="00BE21E7">
        <w:rPr>
          <w:b w:val="0"/>
          <w:bCs w:val="0"/>
        </w:rPr>
        <w:t>.  This is the sum of Accounts 555 (Purchased Power), 501 (Thermal Fuel), 547 (Fuel), less Account 447 (Sale</w:t>
      </w:r>
      <w:r w:rsidR="00557BA6">
        <w:rPr>
          <w:b w:val="0"/>
          <w:bCs w:val="0"/>
        </w:rPr>
        <w:t xml:space="preserve"> for Resale).</w:t>
      </w:r>
      <w:r w:rsidR="00253EEF">
        <w:rPr>
          <w:b w:val="0"/>
          <w:bCs w:val="0"/>
        </w:rPr>
        <w:t xml:space="preserve"> It also includes transmission expense, transmission revenue and broker fee expense</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w:t>
      </w:r>
      <w:r w:rsidR="00DA783A">
        <w:t>Retail Revenue Adjustment</w:t>
      </w:r>
      <w:r>
        <w:t xml:space="preserve"> </w:t>
      </w:r>
      <w:r w:rsidR="00356BB0">
        <w:t xml:space="preserve">rate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E81AD1">
        <w:rPr>
          <w:b w:val="0"/>
          <w:bCs w:val="0"/>
        </w:rPr>
        <w:t>October</w:t>
      </w:r>
      <w:r w:rsidR="00E81AD1" w:rsidRPr="00BE21E7">
        <w:rPr>
          <w:b w:val="0"/>
          <w:bCs w:val="0"/>
        </w:rPr>
        <w:t xml:space="preserve"> </w:t>
      </w:r>
      <w:r w:rsidR="00BE21E7" w:rsidRPr="00BE21E7">
        <w:rPr>
          <w:b w:val="0"/>
          <w:bCs w:val="0"/>
        </w:rPr>
        <w:t>201</w:t>
      </w:r>
      <w:r w:rsidR="00C24431">
        <w:rPr>
          <w:b w:val="0"/>
          <w:bCs w:val="0"/>
        </w:rPr>
        <w:t>4</w:t>
      </w:r>
      <w:r w:rsidR="00BE21E7" w:rsidRPr="00BE21E7">
        <w:rPr>
          <w:b w:val="0"/>
          <w:bCs w:val="0"/>
        </w:rPr>
        <w:t xml:space="preserve"> through </w:t>
      </w:r>
      <w:r w:rsidR="00E81AD1">
        <w:rPr>
          <w:b w:val="0"/>
          <w:bCs w:val="0"/>
        </w:rPr>
        <w:t>September</w:t>
      </w:r>
      <w:r w:rsidR="00D13452">
        <w:rPr>
          <w:b w:val="0"/>
          <w:bCs w:val="0"/>
        </w:rPr>
        <w:t xml:space="preserve"> 201</w:t>
      </w:r>
      <w:r w:rsidR="00C24431">
        <w:rPr>
          <w:b w:val="0"/>
          <w:bCs w:val="0"/>
        </w:rPr>
        <w:t>5</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6E0068">
        <w:rPr>
          <w:b w:val="0"/>
          <w:bCs w:val="0"/>
        </w:rPr>
        <w:t>.</w:t>
      </w:r>
      <w:r w:rsidR="00BE21E7" w:rsidRPr="00BE21E7">
        <w:rPr>
          <w:b w:val="0"/>
          <w:bCs w:val="0"/>
        </w:rPr>
        <w:t xml:space="preserve">  The </w:t>
      </w:r>
      <w:r w:rsidR="00BE21E7" w:rsidRPr="00BE21E7">
        <w:rPr>
          <w:b w:val="0"/>
          <w:bCs w:val="0"/>
        </w:rPr>
        <w:lastRenderedPageBreak/>
        <w:t>pr</w:t>
      </w:r>
      <w:r w:rsidR="00D15846">
        <w:rPr>
          <w:b w:val="0"/>
          <w:bCs w:val="0"/>
        </w:rPr>
        <w:t xml:space="preserve">oposed </w:t>
      </w:r>
      <w:r w:rsidR="00DA783A">
        <w:rPr>
          <w:b w:val="0"/>
          <w:bCs w:val="0"/>
        </w:rPr>
        <w:t>Retail Revenue Adjustment</w:t>
      </w:r>
      <w:r w:rsidR="00057F2E">
        <w:rPr>
          <w:b w:val="0"/>
          <w:bCs w:val="0"/>
        </w:rPr>
        <w:t xml:space="preserve"> </w:t>
      </w:r>
      <w:r w:rsidR="00356BB0">
        <w:rPr>
          <w:b w:val="0"/>
          <w:bCs w:val="0"/>
        </w:rPr>
        <w:t xml:space="preserve">rate </w:t>
      </w:r>
      <w:r w:rsidR="00D15846">
        <w:rPr>
          <w:b w:val="0"/>
          <w:bCs w:val="0"/>
        </w:rPr>
        <w:t xml:space="preserve">is </w:t>
      </w:r>
      <w:r w:rsidR="00647807">
        <w:rPr>
          <w:b w:val="0"/>
          <w:bCs w:val="0"/>
        </w:rPr>
        <w:t>$</w:t>
      </w:r>
      <w:r w:rsidR="00C24431">
        <w:rPr>
          <w:b w:val="0"/>
          <w:bCs w:val="0"/>
        </w:rPr>
        <w:t>18.1</w:t>
      </w:r>
      <w:r w:rsidR="00D96A42">
        <w:rPr>
          <w:b w:val="0"/>
          <w:bCs w:val="0"/>
        </w:rPr>
        <w:t>9</w:t>
      </w:r>
      <w:r w:rsidR="00C24431">
        <w:rPr>
          <w:b w:val="0"/>
          <w:bCs w:val="0"/>
        </w:rPr>
        <w:t>/</w:t>
      </w:r>
      <w:r w:rsidR="00BE21E7" w:rsidRPr="00647807">
        <w:rPr>
          <w:b w:val="0"/>
          <w:bCs w:val="0"/>
        </w:rPr>
        <w:t>MWh</w:t>
      </w:r>
      <w:r w:rsidR="00A12B79">
        <w:rPr>
          <w:b w:val="0"/>
          <w:bCs w:val="0"/>
        </w:rPr>
        <w:t xml:space="preserve"> for the </w:t>
      </w:r>
      <w:r w:rsidR="00D96A42">
        <w:rPr>
          <w:b w:val="0"/>
          <w:bCs w:val="0"/>
        </w:rPr>
        <w:t>2017 pro forma period and $18.72</w:t>
      </w:r>
      <w:r w:rsidR="00A12B79">
        <w:rPr>
          <w:b w:val="0"/>
          <w:bCs w:val="0"/>
        </w:rPr>
        <w:t>/MWh for the July 2017 through June 2018 pro forma period</w:t>
      </w:r>
      <w:r w:rsidR="00BE21E7" w:rsidRPr="00BE21E7">
        <w:rPr>
          <w:b w:val="0"/>
          <w:bCs w:val="0"/>
        </w:rPr>
        <w:t>, which is the</w:t>
      </w:r>
      <w:r w:rsidR="00C24431">
        <w:rPr>
          <w:b w:val="0"/>
          <w:bCs w:val="0"/>
        </w:rPr>
        <w:t xml:space="preserve"> FERC account average cost </w:t>
      </w:r>
      <w:r w:rsidR="00E81AD1">
        <w:rPr>
          <w:b w:val="0"/>
          <w:bCs w:val="0"/>
        </w:rPr>
        <w:t xml:space="preserve">in the </w:t>
      </w:r>
      <w:r w:rsidR="0029173E">
        <w:rPr>
          <w:b w:val="0"/>
          <w:bCs w:val="0"/>
        </w:rPr>
        <w:t xml:space="preserve">power supply </w:t>
      </w:r>
      <w:r w:rsidR="008A66AA">
        <w:rPr>
          <w:b w:val="0"/>
          <w:bCs w:val="0"/>
        </w:rPr>
        <w:t>pro forma</w:t>
      </w:r>
      <w:r w:rsidR="00BE21E7" w:rsidRPr="00BE21E7">
        <w:rPr>
          <w:b w:val="0"/>
          <w:bCs w:val="0"/>
        </w:rPr>
        <w:t>.</w:t>
      </w:r>
    </w:p>
    <w:p w:rsidR="00BE21E7" w:rsidRPr="00C468A9" w:rsidRDefault="00BE21E7" w:rsidP="00EA2384">
      <w:pPr>
        <w:pStyle w:val="BodyText"/>
        <w:tabs>
          <w:tab w:val="num" w:pos="0"/>
        </w:tabs>
        <w:spacing w:line="480" w:lineRule="auto"/>
        <w:ind w:firstLine="720"/>
        <w:jc w:val="both"/>
        <w:rPr>
          <w:b w:val="0"/>
          <w:bCs w:val="0"/>
        </w:rPr>
      </w:pPr>
      <w:r w:rsidRPr="00BE21E7">
        <w:rPr>
          <w:b w:val="0"/>
          <w:bCs w:val="0"/>
        </w:rPr>
        <w:t xml:space="preserve">The </w:t>
      </w:r>
      <w:r w:rsidRPr="00C468A9">
        <w:rPr>
          <w:b w:val="0"/>
          <w:bCs w:val="0"/>
        </w:rPr>
        <w:t xml:space="preserve">proposed authorized ERM power supply expense and revenue, transmission expense and revenue, and </w:t>
      </w:r>
      <w:r w:rsidR="00C43FEC" w:rsidRPr="00C468A9">
        <w:rPr>
          <w:b w:val="0"/>
          <w:bCs w:val="0"/>
        </w:rPr>
        <w:t>retail sales are</w:t>
      </w:r>
      <w:r w:rsidRPr="00C468A9">
        <w:rPr>
          <w:b w:val="0"/>
          <w:bCs w:val="0"/>
        </w:rPr>
        <w:t xml:space="preserve"> shown in Exhibit No.</w:t>
      </w:r>
      <w:r w:rsidR="00A55DD3" w:rsidRPr="00C468A9">
        <w:rPr>
          <w:b w:val="0"/>
          <w:bCs w:val="0"/>
        </w:rPr>
        <w:t>__</w:t>
      </w:r>
      <w:r w:rsidR="00822FCE" w:rsidRPr="00C468A9">
        <w:rPr>
          <w:b w:val="0"/>
          <w:bCs w:val="0"/>
        </w:rPr>
        <w:t>_ (</w:t>
      </w:r>
      <w:r w:rsidRPr="00C468A9">
        <w:rPr>
          <w:b w:val="0"/>
          <w:bCs w:val="0"/>
        </w:rPr>
        <w:t>WGJ-</w:t>
      </w:r>
      <w:r w:rsidR="00F3495A" w:rsidRPr="00C468A9">
        <w:rPr>
          <w:b w:val="0"/>
          <w:bCs w:val="0"/>
        </w:rPr>
        <w:t>5</w:t>
      </w:r>
      <w:r w:rsidRPr="00C468A9">
        <w:rPr>
          <w:b w:val="0"/>
          <w:bCs w:val="0"/>
        </w:rPr>
        <w:t>).</w:t>
      </w:r>
    </w:p>
    <w:p w:rsidR="00EA2384" w:rsidRDefault="00F83A83" w:rsidP="00EA2384">
      <w:pPr>
        <w:tabs>
          <w:tab w:val="left" w:pos="0"/>
        </w:tabs>
        <w:spacing w:line="480" w:lineRule="auto"/>
        <w:ind w:firstLine="720"/>
        <w:jc w:val="both"/>
        <w:rPr>
          <w:b/>
          <w:bCs/>
        </w:rPr>
      </w:pPr>
      <w:r>
        <w:rPr>
          <w:b/>
          <w:bCs/>
        </w:rPr>
        <w:t>Q.</w:t>
      </w:r>
      <w:r>
        <w:rPr>
          <w:b/>
          <w:bCs/>
        </w:rPr>
        <w:tab/>
        <w:t>Is the Company proposing</w:t>
      </w:r>
      <w:r w:rsidR="00EA2384">
        <w:rPr>
          <w:b/>
          <w:bCs/>
        </w:rPr>
        <w:t xml:space="preserve"> to update power supply costs prior to the requested effective dates?</w:t>
      </w:r>
    </w:p>
    <w:p w:rsidR="00987828" w:rsidRDefault="00EA2384" w:rsidP="00EA2384">
      <w:pPr>
        <w:tabs>
          <w:tab w:val="left" w:pos="0"/>
        </w:tabs>
        <w:spacing w:line="480" w:lineRule="auto"/>
        <w:ind w:firstLine="720"/>
        <w:jc w:val="both"/>
      </w:pPr>
      <w:r w:rsidRPr="00D53C40">
        <w:rPr>
          <w:bCs/>
        </w:rPr>
        <w:t>A.</w:t>
      </w:r>
      <w:r w:rsidRPr="00D53C40">
        <w:rPr>
          <w:bCs/>
        </w:rPr>
        <w:tab/>
      </w:r>
      <w:r>
        <w:rPr>
          <w:bCs/>
        </w:rPr>
        <w:t>Yes.  As stated by Company witness Mr. Morris, the Company proposes to update its power supply costs sixty (60) days prior to new ra</w:t>
      </w:r>
      <w:r w:rsidR="00F83A83">
        <w:rPr>
          <w:bCs/>
        </w:rPr>
        <w:t xml:space="preserve">tes going into effect in </w:t>
      </w:r>
      <w:r w:rsidR="00987828">
        <w:rPr>
          <w:bCs/>
        </w:rPr>
        <w:t>January 2017</w:t>
      </w:r>
      <w:r w:rsidR="00F83A83">
        <w:rPr>
          <w:bCs/>
        </w:rPr>
        <w:t>, as well as January</w:t>
      </w:r>
      <w:r>
        <w:rPr>
          <w:bCs/>
        </w:rPr>
        <w:t xml:space="preserve"> 2018.</w:t>
      </w:r>
      <w:r w:rsidR="00F83A83">
        <w:rPr>
          <w:bCs/>
        </w:rPr>
        <w:t xml:space="preserve">  </w:t>
      </w:r>
      <w:r w:rsidR="00987828">
        <w:t>As in prior cases, this update in power supply costs, just before new base retail rates go into effect, will reflect the most recent information available for power supply costs.</w:t>
      </w:r>
      <w:r w:rsidR="00563D38">
        <w:t xml:space="preserve"> </w:t>
      </w:r>
      <w:r w:rsidR="00987828">
        <w:t xml:space="preserve"> The updated power supply cost data will not only be reflected in the base rate adjustment, but will also reset the base for the ERM calculations for the future rate period.  </w:t>
      </w:r>
    </w:p>
    <w:p w:rsidR="00EA2384" w:rsidRPr="00D53C40" w:rsidRDefault="00F83A83" w:rsidP="00EA2384">
      <w:pPr>
        <w:tabs>
          <w:tab w:val="left" w:pos="0"/>
        </w:tabs>
        <w:spacing w:line="480" w:lineRule="auto"/>
        <w:ind w:firstLine="720"/>
        <w:jc w:val="both"/>
        <w:rPr>
          <w:bCs/>
        </w:rPr>
      </w:pPr>
      <w:r>
        <w:t>As in past proceedings, the purpose of this power supply update would be to: 1) update the three-month average of natural gas and electricity market prices; 2) include new short-term contracts for gas and electric; and 3) update or correct power and transmission service contracts fo</w:t>
      </w:r>
      <w:r w:rsidR="00563D38">
        <w:t xml:space="preserve">r the 2017 and 2018 rate years. </w:t>
      </w:r>
      <w:r>
        <w:t xml:space="preserve"> The Parties to </w:t>
      </w:r>
      <w:r w:rsidR="00563D38">
        <w:t xml:space="preserve">this case would be able to </w:t>
      </w:r>
      <w:r>
        <w:t>seek discovery on, and examine the prudence of, the updated power supply items identified above.</w:t>
      </w:r>
    </w:p>
    <w:p w:rsidR="00BE21E7" w:rsidRPr="00BE21E7" w:rsidRDefault="00BE21E7" w:rsidP="00EA2384">
      <w:pPr>
        <w:pStyle w:val="TestBody"/>
        <w:spacing w:line="480" w:lineRule="auto"/>
        <w:ind w:left="0" w:firstLine="720"/>
        <w:rPr>
          <w:rFonts w:ascii="Times New Roman" w:hAnsi="Times New Roman" w:cs="Times New Roman"/>
          <w:b/>
          <w:bCs/>
        </w:rPr>
      </w:pPr>
      <w:r w:rsidRPr="00C468A9">
        <w:rPr>
          <w:rFonts w:ascii="Times New Roman" w:hAnsi="Times New Roman" w:cs="Times New Roman"/>
          <w:b/>
          <w:bCs/>
        </w:rPr>
        <w:t>Q.</w:t>
      </w:r>
      <w:r w:rsidRPr="00C468A9">
        <w:rPr>
          <w:rFonts w:ascii="Times New Roman" w:hAnsi="Times New Roman" w:cs="Times New Roman"/>
          <w:b/>
          <w:bCs/>
        </w:rPr>
        <w:tab/>
        <w:t>Does that</w:t>
      </w:r>
      <w:r w:rsidRPr="00BE21E7">
        <w:rPr>
          <w:rFonts w:ascii="Times New Roman" w:hAnsi="Times New Roman" w:cs="Times New Roman"/>
          <w:b/>
          <w:bCs/>
        </w:rPr>
        <w:t xml:space="preserve"> conclude your pre-filed direct testimony?</w:t>
      </w:r>
    </w:p>
    <w:p w:rsidR="00182994" w:rsidRDefault="00BE21E7" w:rsidP="00EA2384">
      <w:pPr>
        <w:pStyle w:val="BodyText2"/>
        <w:tabs>
          <w:tab w:val="left" w:pos="1440"/>
        </w:tabs>
        <w:ind w:firstLine="720"/>
      </w:pPr>
      <w:r w:rsidRPr="00BE21E7">
        <w:t>A.</w:t>
      </w:r>
      <w:r w:rsidRPr="00BE21E7">
        <w:tab/>
        <w:t xml:space="preserve">Yes. </w:t>
      </w:r>
    </w:p>
    <w:sectPr w:rsidR="00182994" w:rsidSect="00783F6C">
      <w:pgSz w:w="12240" w:h="15840" w:code="1"/>
      <w:pgMar w:top="1440" w:right="1440" w:bottom="2016" w:left="1872" w:header="720" w:footer="84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9A" w:rsidRDefault="00BC1D9A">
      <w:r>
        <w:separator/>
      </w:r>
    </w:p>
  </w:endnote>
  <w:endnote w:type="continuationSeparator" w:id="0">
    <w:p w:rsidR="00BC1D9A" w:rsidRDefault="00BC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Pr="006E0068" w:rsidRDefault="00987828">
    <w:pPr>
      <w:pStyle w:val="Footer"/>
      <w:tabs>
        <w:tab w:val="clear" w:pos="4320"/>
        <w:tab w:val="clear" w:pos="8640"/>
        <w:tab w:val="left" w:pos="180"/>
        <w:tab w:val="right" w:pos="9360"/>
      </w:tabs>
    </w:pPr>
    <w:r w:rsidRPr="006E0068">
      <w:t>Direct Testimony of William G. Johnson</w:t>
    </w:r>
  </w:p>
  <w:p w:rsidR="00987828" w:rsidRPr="006E0068" w:rsidRDefault="00987828">
    <w:pPr>
      <w:pStyle w:val="Footer"/>
      <w:tabs>
        <w:tab w:val="clear" w:pos="4320"/>
        <w:tab w:val="clear" w:pos="8640"/>
        <w:tab w:val="left" w:pos="180"/>
        <w:tab w:val="right" w:pos="9360"/>
      </w:tabs>
      <w:rPr>
        <w:lang w:val="fr-FR"/>
      </w:rPr>
    </w:pPr>
    <w:r w:rsidRPr="006E0068">
      <w:rPr>
        <w:lang w:val="fr-FR"/>
      </w:rPr>
      <w:t>Avista Corporation</w:t>
    </w:r>
  </w:p>
  <w:p w:rsidR="00987828" w:rsidRDefault="00987828">
    <w:pPr>
      <w:pStyle w:val="Footer"/>
      <w:tabs>
        <w:tab w:val="clear" w:pos="4320"/>
        <w:tab w:val="clear" w:pos="8640"/>
        <w:tab w:val="left" w:pos="180"/>
        <w:tab w:val="right" w:pos="9360"/>
      </w:tabs>
      <w:rPr>
        <w:lang w:val="fr-FR"/>
      </w:rPr>
    </w:pPr>
    <w:r w:rsidRPr="006E0068">
      <w:rPr>
        <w:lang w:val="fr-FR"/>
      </w:rPr>
      <w:t>Docket No. UE-1</w:t>
    </w:r>
    <w:r>
      <w:rPr>
        <w:lang w:val="fr-FR"/>
      </w:rPr>
      <w:t>6</w:t>
    </w:r>
    <w:r w:rsidRPr="006E0068">
      <w:rPr>
        <w:lang w:val="fr-FR"/>
      </w:rPr>
      <w:t>____</w:t>
    </w:r>
    <w:r w:rsidRPr="00BE21E7">
      <w:rPr>
        <w:lang w:val="fr-FR"/>
      </w:rPr>
      <w:tab/>
      <w:t>Page</w:t>
    </w:r>
    <w:r w:rsidRPr="00BE21E7">
      <w:rPr>
        <w:rFonts w:ascii="Palatino Linotype" w:hAnsi="Palatino Linotype" w:cs="Palatino Linotype"/>
        <w:lang w:val="fr-FR"/>
      </w:rPr>
      <w:t xml:space="preserve"> </w:t>
    </w:r>
    <w:r w:rsidR="003B6374">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3B6374">
      <w:rPr>
        <w:rStyle w:val="PageNumber"/>
        <w:rFonts w:ascii="Palatino Linotype" w:hAnsi="Palatino Linotype" w:cs="Palatino Linotype"/>
      </w:rPr>
      <w:fldChar w:fldCharType="separate"/>
    </w:r>
    <w:r w:rsidR="009C4B6F">
      <w:rPr>
        <w:rStyle w:val="PageNumber"/>
        <w:rFonts w:ascii="Palatino Linotype" w:hAnsi="Palatino Linotype" w:cs="Palatino Linotype"/>
        <w:noProof/>
        <w:lang w:val="fr-FR"/>
      </w:rPr>
      <w:t>5</w:t>
    </w:r>
    <w:r w:rsidR="003B6374">
      <w:rPr>
        <w:rStyle w:val="PageNumber"/>
        <w:rFonts w:ascii="Palatino Linotype" w:hAnsi="Palatino Linotype" w:cs="Palatino Linoty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9A" w:rsidRDefault="00BC1D9A">
      <w:r>
        <w:separator/>
      </w:r>
    </w:p>
  </w:footnote>
  <w:footnote w:type="continuationSeparator" w:id="0">
    <w:p w:rsidR="00BC1D9A" w:rsidRDefault="00BC1D9A">
      <w:r>
        <w:continuationSeparator/>
      </w:r>
    </w:p>
  </w:footnote>
  <w:footnote w:id="1">
    <w:p w:rsidR="00987828" w:rsidRDefault="00987828" w:rsidP="00890D94">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987828" w:rsidRDefault="00987828" w:rsidP="00890D94">
      <w:pPr>
        <w:pStyle w:val="FootnoteText"/>
        <w:jc w:val="both"/>
      </w:pPr>
      <w:r>
        <w:rPr>
          <w:rStyle w:val="FootnoteReference"/>
        </w:rPr>
        <w:footnoteRef/>
      </w:r>
      <w:r>
        <w:t xml:space="preserve"> The pro forma power supply expense was also provided to Company witness Ms. Smith for the electric pro forma and cross check 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pPr>
      <w:pStyle w:val="Header"/>
      <w:jc w:val="right"/>
    </w:pPr>
    <w:r>
      <w:t>Exhibit No. ___ (WGJ-1T)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rsidP="006E0068">
    <w:pPr>
      <w:pStyle w:val="Header"/>
      <w:jc w:val="right"/>
    </w:pPr>
    <w:r>
      <w:t>Exhibit No. ___ (WGJ-1T)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15:restartNumberingAfterBreak="0">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15:restartNumberingAfterBreak="0">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15:restartNumberingAfterBreak="0">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15:restartNumberingAfterBreak="0">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15:restartNumberingAfterBreak="0">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15:restartNumberingAfterBreak="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994"/>
    <w:rsid w:val="0000152E"/>
    <w:rsid w:val="00006315"/>
    <w:rsid w:val="00022CA6"/>
    <w:rsid w:val="0003296D"/>
    <w:rsid w:val="00036DBA"/>
    <w:rsid w:val="00037B2A"/>
    <w:rsid w:val="00044806"/>
    <w:rsid w:val="000519D7"/>
    <w:rsid w:val="0005483B"/>
    <w:rsid w:val="00055978"/>
    <w:rsid w:val="00057F2E"/>
    <w:rsid w:val="00062317"/>
    <w:rsid w:val="00062A6C"/>
    <w:rsid w:val="00067E1A"/>
    <w:rsid w:val="00071F0A"/>
    <w:rsid w:val="00076370"/>
    <w:rsid w:val="000773D0"/>
    <w:rsid w:val="00087628"/>
    <w:rsid w:val="00087A02"/>
    <w:rsid w:val="00087BD0"/>
    <w:rsid w:val="00092CF9"/>
    <w:rsid w:val="00092D05"/>
    <w:rsid w:val="00095636"/>
    <w:rsid w:val="000A2769"/>
    <w:rsid w:val="000B1526"/>
    <w:rsid w:val="000B57DD"/>
    <w:rsid w:val="000B7F16"/>
    <w:rsid w:val="000C6001"/>
    <w:rsid w:val="000C64AF"/>
    <w:rsid w:val="000C6A35"/>
    <w:rsid w:val="000E01AF"/>
    <w:rsid w:val="000E42F0"/>
    <w:rsid w:val="000F27C0"/>
    <w:rsid w:val="000F40A2"/>
    <w:rsid w:val="00102CD7"/>
    <w:rsid w:val="00105104"/>
    <w:rsid w:val="001177A0"/>
    <w:rsid w:val="001245BE"/>
    <w:rsid w:val="0012703B"/>
    <w:rsid w:val="00127C1C"/>
    <w:rsid w:val="00127FE2"/>
    <w:rsid w:val="0013441E"/>
    <w:rsid w:val="00137F9D"/>
    <w:rsid w:val="00147465"/>
    <w:rsid w:val="00166263"/>
    <w:rsid w:val="001665E9"/>
    <w:rsid w:val="001705BE"/>
    <w:rsid w:val="00182994"/>
    <w:rsid w:val="00184A88"/>
    <w:rsid w:val="00187892"/>
    <w:rsid w:val="00190B9E"/>
    <w:rsid w:val="001947A1"/>
    <w:rsid w:val="001951A0"/>
    <w:rsid w:val="001973DE"/>
    <w:rsid w:val="00197849"/>
    <w:rsid w:val="001A4335"/>
    <w:rsid w:val="001B0749"/>
    <w:rsid w:val="001B0DAD"/>
    <w:rsid w:val="001B25B7"/>
    <w:rsid w:val="001B4D44"/>
    <w:rsid w:val="001C4C68"/>
    <w:rsid w:val="001D0EAD"/>
    <w:rsid w:val="001D1466"/>
    <w:rsid w:val="001D2067"/>
    <w:rsid w:val="001E1555"/>
    <w:rsid w:val="001F1D02"/>
    <w:rsid w:val="001F2B04"/>
    <w:rsid w:val="001F351E"/>
    <w:rsid w:val="001F37AE"/>
    <w:rsid w:val="001F3D71"/>
    <w:rsid w:val="001F4990"/>
    <w:rsid w:val="001F63E1"/>
    <w:rsid w:val="001F7A60"/>
    <w:rsid w:val="00200197"/>
    <w:rsid w:val="00201A6E"/>
    <w:rsid w:val="00201AC3"/>
    <w:rsid w:val="002034E5"/>
    <w:rsid w:val="002069D0"/>
    <w:rsid w:val="00212289"/>
    <w:rsid w:val="002276E4"/>
    <w:rsid w:val="00230CF6"/>
    <w:rsid w:val="00231AD4"/>
    <w:rsid w:val="00233C14"/>
    <w:rsid w:val="002477D3"/>
    <w:rsid w:val="00251070"/>
    <w:rsid w:val="00253EEF"/>
    <w:rsid w:val="0025436C"/>
    <w:rsid w:val="00254D97"/>
    <w:rsid w:val="002562C3"/>
    <w:rsid w:val="00267481"/>
    <w:rsid w:val="0027382E"/>
    <w:rsid w:val="00291043"/>
    <w:rsid w:val="00291602"/>
    <w:rsid w:val="0029173E"/>
    <w:rsid w:val="002A0F23"/>
    <w:rsid w:val="002A2261"/>
    <w:rsid w:val="002A24F7"/>
    <w:rsid w:val="002A4C87"/>
    <w:rsid w:val="002B0E4E"/>
    <w:rsid w:val="002B6E04"/>
    <w:rsid w:val="002C2686"/>
    <w:rsid w:val="002D06C3"/>
    <w:rsid w:val="002D0C51"/>
    <w:rsid w:val="002D7756"/>
    <w:rsid w:val="002E5016"/>
    <w:rsid w:val="002F1C20"/>
    <w:rsid w:val="002F6EB0"/>
    <w:rsid w:val="002F7570"/>
    <w:rsid w:val="00301D3F"/>
    <w:rsid w:val="00304235"/>
    <w:rsid w:val="00305307"/>
    <w:rsid w:val="00320963"/>
    <w:rsid w:val="003214E3"/>
    <w:rsid w:val="00321801"/>
    <w:rsid w:val="00326EEB"/>
    <w:rsid w:val="00330FD2"/>
    <w:rsid w:val="00332E92"/>
    <w:rsid w:val="00334E47"/>
    <w:rsid w:val="00335253"/>
    <w:rsid w:val="0033668A"/>
    <w:rsid w:val="0035252D"/>
    <w:rsid w:val="00353674"/>
    <w:rsid w:val="00356BB0"/>
    <w:rsid w:val="00363D96"/>
    <w:rsid w:val="00366CB4"/>
    <w:rsid w:val="003749AB"/>
    <w:rsid w:val="00380D3E"/>
    <w:rsid w:val="0038309E"/>
    <w:rsid w:val="00387A30"/>
    <w:rsid w:val="003932C2"/>
    <w:rsid w:val="00393612"/>
    <w:rsid w:val="003A18AD"/>
    <w:rsid w:val="003A2C17"/>
    <w:rsid w:val="003A768F"/>
    <w:rsid w:val="003B2A55"/>
    <w:rsid w:val="003B5B38"/>
    <w:rsid w:val="003B6374"/>
    <w:rsid w:val="003C2A70"/>
    <w:rsid w:val="003D15A9"/>
    <w:rsid w:val="003D76A3"/>
    <w:rsid w:val="003E7626"/>
    <w:rsid w:val="003F0DD4"/>
    <w:rsid w:val="003F3CBF"/>
    <w:rsid w:val="003F55FA"/>
    <w:rsid w:val="004007BE"/>
    <w:rsid w:val="00406185"/>
    <w:rsid w:val="00407CC1"/>
    <w:rsid w:val="004131C2"/>
    <w:rsid w:val="00414AC3"/>
    <w:rsid w:val="00414DD7"/>
    <w:rsid w:val="00416082"/>
    <w:rsid w:val="00427ED8"/>
    <w:rsid w:val="00431EB0"/>
    <w:rsid w:val="00434B9F"/>
    <w:rsid w:val="00435577"/>
    <w:rsid w:val="00444B3E"/>
    <w:rsid w:val="0044617E"/>
    <w:rsid w:val="0044625D"/>
    <w:rsid w:val="00446DA3"/>
    <w:rsid w:val="00452AA7"/>
    <w:rsid w:val="00460A0B"/>
    <w:rsid w:val="00460B02"/>
    <w:rsid w:val="004628CA"/>
    <w:rsid w:val="00465735"/>
    <w:rsid w:val="00465B31"/>
    <w:rsid w:val="004704D9"/>
    <w:rsid w:val="00470FE7"/>
    <w:rsid w:val="004716D2"/>
    <w:rsid w:val="00472C4D"/>
    <w:rsid w:val="0047521C"/>
    <w:rsid w:val="00475AC2"/>
    <w:rsid w:val="00476EBC"/>
    <w:rsid w:val="004936A1"/>
    <w:rsid w:val="00493E0D"/>
    <w:rsid w:val="0049447F"/>
    <w:rsid w:val="00496490"/>
    <w:rsid w:val="004967E7"/>
    <w:rsid w:val="004A135E"/>
    <w:rsid w:val="004A3454"/>
    <w:rsid w:val="004A789D"/>
    <w:rsid w:val="004B076E"/>
    <w:rsid w:val="004B4163"/>
    <w:rsid w:val="004B4C41"/>
    <w:rsid w:val="004C0725"/>
    <w:rsid w:val="004C0A1A"/>
    <w:rsid w:val="004C2BF7"/>
    <w:rsid w:val="004C3981"/>
    <w:rsid w:val="004D3D45"/>
    <w:rsid w:val="004D52D2"/>
    <w:rsid w:val="004D5669"/>
    <w:rsid w:val="004E1917"/>
    <w:rsid w:val="004E686C"/>
    <w:rsid w:val="004E6CF8"/>
    <w:rsid w:val="004E7A16"/>
    <w:rsid w:val="004F4DA3"/>
    <w:rsid w:val="004F74FC"/>
    <w:rsid w:val="004F758B"/>
    <w:rsid w:val="00506FC8"/>
    <w:rsid w:val="005108F2"/>
    <w:rsid w:val="005145D4"/>
    <w:rsid w:val="00514AC4"/>
    <w:rsid w:val="005265AF"/>
    <w:rsid w:val="0053057E"/>
    <w:rsid w:val="00541D93"/>
    <w:rsid w:val="00542569"/>
    <w:rsid w:val="005430BA"/>
    <w:rsid w:val="005517D9"/>
    <w:rsid w:val="00553EC1"/>
    <w:rsid w:val="005542A8"/>
    <w:rsid w:val="00557BA6"/>
    <w:rsid w:val="00563D38"/>
    <w:rsid w:val="00565FD8"/>
    <w:rsid w:val="0057220C"/>
    <w:rsid w:val="00575BCA"/>
    <w:rsid w:val="00576309"/>
    <w:rsid w:val="005803F9"/>
    <w:rsid w:val="00580970"/>
    <w:rsid w:val="00582255"/>
    <w:rsid w:val="0058225F"/>
    <w:rsid w:val="00583433"/>
    <w:rsid w:val="005834BD"/>
    <w:rsid w:val="005845F1"/>
    <w:rsid w:val="00584894"/>
    <w:rsid w:val="00590DD4"/>
    <w:rsid w:val="00591D43"/>
    <w:rsid w:val="00591EDC"/>
    <w:rsid w:val="00593E33"/>
    <w:rsid w:val="005A0BE0"/>
    <w:rsid w:val="005A6D43"/>
    <w:rsid w:val="005B1E66"/>
    <w:rsid w:val="005B5B8F"/>
    <w:rsid w:val="005C366C"/>
    <w:rsid w:val="005C39B4"/>
    <w:rsid w:val="005C7A39"/>
    <w:rsid w:val="005D12F1"/>
    <w:rsid w:val="005D4B93"/>
    <w:rsid w:val="005D7E94"/>
    <w:rsid w:val="005D7EE1"/>
    <w:rsid w:val="005E055D"/>
    <w:rsid w:val="005E439A"/>
    <w:rsid w:val="005E6D8E"/>
    <w:rsid w:val="005F3EF2"/>
    <w:rsid w:val="005F4F7A"/>
    <w:rsid w:val="005F5256"/>
    <w:rsid w:val="00601E14"/>
    <w:rsid w:val="00612931"/>
    <w:rsid w:val="00615B6C"/>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07EE"/>
    <w:rsid w:val="00691CB7"/>
    <w:rsid w:val="006A26AD"/>
    <w:rsid w:val="006A2758"/>
    <w:rsid w:val="006A6139"/>
    <w:rsid w:val="006A7CFD"/>
    <w:rsid w:val="006B05D4"/>
    <w:rsid w:val="006B1E18"/>
    <w:rsid w:val="006B492E"/>
    <w:rsid w:val="006B53F7"/>
    <w:rsid w:val="006B7E17"/>
    <w:rsid w:val="006C01C8"/>
    <w:rsid w:val="006C0205"/>
    <w:rsid w:val="006D1A9B"/>
    <w:rsid w:val="006D353A"/>
    <w:rsid w:val="006D5BF7"/>
    <w:rsid w:val="006E0068"/>
    <w:rsid w:val="006E4941"/>
    <w:rsid w:val="006F4590"/>
    <w:rsid w:val="00703491"/>
    <w:rsid w:val="0070505F"/>
    <w:rsid w:val="007105B1"/>
    <w:rsid w:val="00710B7C"/>
    <w:rsid w:val="007119B4"/>
    <w:rsid w:val="0071369A"/>
    <w:rsid w:val="00725FEC"/>
    <w:rsid w:val="0072665A"/>
    <w:rsid w:val="0073566F"/>
    <w:rsid w:val="00737769"/>
    <w:rsid w:val="00742583"/>
    <w:rsid w:val="00743E18"/>
    <w:rsid w:val="00747553"/>
    <w:rsid w:val="0075076D"/>
    <w:rsid w:val="00751E45"/>
    <w:rsid w:val="007544BA"/>
    <w:rsid w:val="00754E86"/>
    <w:rsid w:val="00765BA1"/>
    <w:rsid w:val="00765C77"/>
    <w:rsid w:val="0077507E"/>
    <w:rsid w:val="00783F6C"/>
    <w:rsid w:val="007937D3"/>
    <w:rsid w:val="00796F4B"/>
    <w:rsid w:val="007A04C5"/>
    <w:rsid w:val="007A40D4"/>
    <w:rsid w:val="007A6A7F"/>
    <w:rsid w:val="007A6DE3"/>
    <w:rsid w:val="007A74A3"/>
    <w:rsid w:val="007A795E"/>
    <w:rsid w:val="007A7EF9"/>
    <w:rsid w:val="007B40B5"/>
    <w:rsid w:val="007B6398"/>
    <w:rsid w:val="007C3FCA"/>
    <w:rsid w:val="007C4511"/>
    <w:rsid w:val="007D01A9"/>
    <w:rsid w:val="007D09A6"/>
    <w:rsid w:val="007D3E87"/>
    <w:rsid w:val="007D544E"/>
    <w:rsid w:val="007E2219"/>
    <w:rsid w:val="007E493D"/>
    <w:rsid w:val="007E5FC7"/>
    <w:rsid w:val="007E6C13"/>
    <w:rsid w:val="007E7BC2"/>
    <w:rsid w:val="007F0DC8"/>
    <w:rsid w:val="007F0F71"/>
    <w:rsid w:val="007F462F"/>
    <w:rsid w:val="00800A6B"/>
    <w:rsid w:val="0080298D"/>
    <w:rsid w:val="00804CDF"/>
    <w:rsid w:val="008103E4"/>
    <w:rsid w:val="0081054C"/>
    <w:rsid w:val="0081197F"/>
    <w:rsid w:val="00815CCE"/>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863F6"/>
    <w:rsid w:val="00890A57"/>
    <w:rsid w:val="00890D94"/>
    <w:rsid w:val="00892EAA"/>
    <w:rsid w:val="008A0A47"/>
    <w:rsid w:val="008A1678"/>
    <w:rsid w:val="008A2713"/>
    <w:rsid w:val="008A35A7"/>
    <w:rsid w:val="008A45E4"/>
    <w:rsid w:val="008A5BC6"/>
    <w:rsid w:val="008A66AA"/>
    <w:rsid w:val="008A76B4"/>
    <w:rsid w:val="008C3F60"/>
    <w:rsid w:val="008D07D9"/>
    <w:rsid w:val="008D1089"/>
    <w:rsid w:val="008D3155"/>
    <w:rsid w:val="008D4A8D"/>
    <w:rsid w:val="008D59F3"/>
    <w:rsid w:val="008E0200"/>
    <w:rsid w:val="008F3931"/>
    <w:rsid w:val="008F3A6A"/>
    <w:rsid w:val="008F6E74"/>
    <w:rsid w:val="008F7A01"/>
    <w:rsid w:val="00902CFF"/>
    <w:rsid w:val="00904869"/>
    <w:rsid w:val="009055A6"/>
    <w:rsid w:val="0091276F"/>
    <w:rsid w:val="00922C46"/>
    <w:rsid w:val="00930F4B"/>
    <w:rsid w:val="00934412"/>
    <w:rsid w:val="009366BC"/>
    <w:rsid w:val="009373A5"/>
    <w:rsid w:val="0094078E"/>
    <w:rsid w:val="00945166"/>
    <w:rsid w:val="00945390"/>
    <w:rsid w:val="00946AEE"/>
    <w:rsid w:val="00946E37"/>
    <w:rsid w:val="0095196D"/>
    <w:rsid w:val="00953816"/>
    <w:rsid w:val="0095387E"/>
    <w:rsid w:val="00954DB7"/>
    <w:rsid w:val="00954E28"/>
    <w:rsid w:val="00955166"/>
    <w:rsid w:val="00957004"/>
    <w:rsid w:val="00972518"/>
    <w:rsid w:val="00975878"/>
    <w:rsid w:val="00976E12"/>
    <w:rsid w:val="00986D38"/>
    <w:rsid w:val="00987828"/>
    <w:rsid w:val="009920E0"/>
    <w:rsid w:val="009A26DF"/>
    <w:rsid w:val="009A2DAA"/>
    <w:rsid w:val="009A4D7E"/>
    <w:rsid w:val="009A55A7"/>
    <w:rsid w:val="009A610C"/>
    <w:rsid w:val="009B1B04"/>
    <w:rsid w:val="009B24E1"/>
    <w:rsid w:val="009C2006"/>
    <w:rsid w:val="009C412C"/>
    <w:rsid w:val="009C4B6F"/>
    <w:rsid w:val="009D0195"/>
    <w:rsid w:val="009D3B90"/>
    <w:rsid w:val="009E1656"/>
    <w:rsid w:val="009E1E89"/>
    <w:rsid w:val="009E49FE"/>
    <w:rsid w:val="009E6F0C"/>
    <w:rsid w:val="009F0721"/>
    <w:rsid w:val="009F2E2E"/>
    <w:rsid w:val="00A01A78"/>
    <w:rsid w:val="00A040D3"/>
    <w:rsid w:val="00A12B79"/>
    <w:rsid w:val="00A2043B"/>
    <w:rsid w:val="00A30378"/>
    <w:rsid w:val="00A31DD2"/>
    <w:rsid w:val="00A37109"/>
    <w:rsid w:val="00A402FE"/>
    <w:rsid w:val="00A46A7E"/>
    <w:rsid w:val="00A47217"/>
    <w:rsid w:val="00A55DD3"/>
    <w:rsid w:val="00A61E60"/>
    <w:rsid w:val="00A634B5"/>
    <w:rsid w:val="00A726C8"/>
    <w:rsid w:val="00A73B72"/>
    <w:rsid w:val="00A745AE"/>
    <w:rsid w:val="00A774E3"/>
    <w:rsid w:val="00A8574B"/>
    <w:rsid w:val="00A86A8F"/>
    <w:rsid w:val="00A9086B"/>
    <w:rsid w:val="00A93765"/>
    <w:rsid w:val="00A938FB"/>
    <w:rsid w:val="00A95D47"/>
    <w:rsid w:val="00AA1E96"/>
    <w:rsid w:val="00AA20C9"/>
    <w:rsid w:val="00AA2ED4"/>
    <w:rsid w:val="00AA3687"/>
    <w:rsid w:val="00AA3E66"/>
    <w:rsid w:val="00AA4BA2"/>
    <w:rsid w:val="00AB6378"/>
    <w:rsid w:val="00AB6768"/>
    <w:rsid w:val="00AC036F"/>
    <w:rsid w:val="00AE2899"/>
    <w:rsid w:val="00AE47A2"/>
    <w:rsid w:val="00B03276"/>
    <w:rsid w:val="00B0687F"/>
    <w:rsid w:val="00B06EB1"/>
    <w:rsid w:val="00B07EE5"/>
    <w:rsid w:val="00B07FCC"/>
    <w:rsid w:val="00B10EED"/>
    <w:rsid w:val="00B12AD5"/>
    <w:rsid w:val="00B14A2A"/>
    <w:rsid w:val="00B174B1"/>
    <w:rsid w:val="00B20483"/>
    <w:rsid w:val="00B30736"/>
    <w:rsid w:val="00B30FD8"/>
    <w:rsid w:val="00B358E3"/>
    <w:rsid w:val="00B36369"/>
    <w:rsid w:val="00B3712F"/>
    <w:rsid w:val="00B417CF"/>
    <w:rsid w:val="00B4374B"/>
    <w:rsid w:val="00B500C4"/>
    <w:rsid w:val="00B502D2"/>
    <w:rsid w:val="00B527F3"/>
    <w:rsid w:val="00B53214"/>
    <w:rsid w:val="00B53D8C"/>
    <w:rsid w:val="00B54AB5"/>
    <w:rsid w:val="00B62CE5"/>
    <w:rsid w:val="00B67011"/>
    <w:rsid w:val="00B708DF"/>
    <w:rsid w:val="00B71810"/>
    <w:rsid w:val="00B7736F"/>
    <w:rsid w:val="00B77F17"/>
    <w:rsid w:val="00B80027"/>
    <w:rsid w:val="00B86B5C"/>
    <w:rsid w:val="00B968D6"/>
    <w:rsid w:val="00B97984"/>
    <w:rsid w:val="00BA6FE4"/>
    <w:rsid w:val="00BB000A"/>
    <w:rsid w:val="00BB1045"/>
    <w:rsid w:val="00BB4F8F"/>
    <w:rsid w:val="00BB6621"/>
    <w:rsid w:val="00BB766A"/>
    <w:rsid w:val="00BC03AA"/>
    <w:rsid w:val="00BC154E"/>
    <w:rsid w:val="00BC1D9A"/>
    <w:rsid w:val="00BC7152"/>
    <w:rsid w:val="00BD5EFD"/>
    <w:rsid w:val="00BE21E7"/>
    <w:rsid w:val="00BE221B"/>
    <w:rsid w:val="00BE36C6"/>
    <w:rsid w:val="00BE64BC"/>
    <w:rsid w:val="00BE6D1E"/>
    <w:rsid w:val="00C019A2"/>
    <w:rsid w:val="00C026FD"/>
    <w:rsid w:val="00C030B8"/>
    <w:rsid w:val="00C03549"/>
    <w:rsid w:val="00C0583F"/>
    <w:rsid w:val="00C117D9"/>
    <w:rsid w:val="00C162D3"/>
    <w:rsid w:val="00C20A53"/>
    <w:rsid w:val="00C213E7"/>
    <w:rsid w:val="00C23C54"/>
    <w:rsid w:val="00C24431"/>
    <w:rsid w:val="00C26DE3"/>
    <w:rsid w:val="00C43FEC"/>
    <w:rsid w:val="00C468A9"/>
    <w:rsid w:val="00C507EB"/>
    <w:rsid w:val="00C540B4"/>
    <w:rsid w:val="00C55E1F"/>
    <w:rsid w:val="00C579DD"/>
    <w:rsid w:val="00C608F0"/>
    <w:rsid w:val="00C61CF4"/>
    <w:rsid w:val="00C62BDA"/>
    <w:rsid w:val="00C66AA5"/>
    <w:rsid w:val="00C74C46"/>
    <w:rsid w:val="00C74E30"/>
    <w:rsid w:val="00C7618B"/>
    <w:rsid w:val="00C86BD0"/>
    <w:rsid w:val="00C90090"/>
    <w:rsid w:val="00C90C2A"/>
    <w:rsid w:val="00C90D40"/>
    <w:rsid w:val="00C911EC"/>
    <w:rsid w:val="00C923ED"/>
    <w:rsid w:val="00C92781"/>
    <w:rsid w:val="00C95537"/>
    <w:rsid w:val="00C97820"/>
    <w:rsid w:val="00CA4C19"/>
    <w:rsid w:val="00CA52FC"/>
    <w:rsid w:val="00CB1427"/>
    <w:rsid w:val="00CB687A"/>
    <w:rsid w:val="00CB6E42"/>
    <w:rsid w:val="00CC1C97"/>
    <w:rsid w:val="00CD0757"/>
    <w:rsid w:val="00CD172A"/>
    <w:rsid w:val="00CD5DF3"/>
    <w:rsid w:val="00CE56C7"/>
    <w:rsid w:val="00CF4DB1"/>
    <w:rsid w:val="00D007A9"/>
    <w:rsid w:val="00D118D9"/>
    <w:rsid w:val="00D13452"/>
    <w:rsid w:val="00D150B6"/>
    <w:rsid w:val="00D15846"/>
    <w:rsid w:val="00D21307"/>
    <w:rsid w:val="00D22C98"/>
    <w:rsid w:val="00D244AB"/>
    <w:rsid w:val="00D26E33"/>
    <w:rsid w:val="00D2745E"/>
    <w:rsid w:val="00D33FF6"/>
    <w:rsid w:val="00D35315"/>
    <w:rsid w:val="00D36CB0"/>
    <w:rsid w:val="00D43991"/>
    <w:rsid w:val="00D47735"/>
    <w:rsid w:val="00D51E9F"/>
    <w:rsid w:val="00D5554F"/>
    <w:rsid w:val="00D60043"/>
    <w:rsid w:val="00D61105"/>
    <w:rsid w:val="00D61654"/>
    <w:rsid w:val="00D63340"/>
    <w:rsid w:val="00D70A5F"/>
    <w:rsid w:val="00D753BA"/>
    <w:rsid w:val="00D7657F"/>
    <w:rsid w:val="00D77B2C"/>
    <w:rsid w:val="00D8006F"/>
    <w:rsid w:val="00D81DE9"/>
    <w:rsid w:val="00D83854"/>
    <w:rsid w:val="00D83B3A"/>
    <w:rsid w:val="00D84307"/>
    <w:rsid w:val="00D96A42"/>
    <w:rsid w:val="00D96B9A"/>
    <w:rsid w:val="00DA783A"/>
    <w:rsid w:val="00DB1DF5"/>
    <w:rsid w:val="00DB3BCC"/>
    <w:rsid w:val="00DB55EE"/>
    <w:rsid w:val="00DC2711"/>
    <w:rsid w:val="00DC7D94"/>
    <w:rsid w:val="00DD154D"/>
    <w:rsid w:val="00DD3971"/>
    <w:rsid w:val="00DD5899"/>
    <w:rsid w:val="00DE03DF"/>
    <w:rsid w:val="00DE644C"/>
    <w:rsid w:val="00DF0891"/>
    <w:rsid w:val="00DF4581"/>
    <w:rsid w:val="00E00851"/>
    <w:rsid w:val="00E04B65"/>
    <w:rsid w:val="00E22888"/>
    <w:rsid w:val="00E24BB0"/>
    <w:rsid w:val="00E263B2"/>
    <w:rsid w:val="00E273CB"/>
    <w:rsid w:val="00E31282"/>
    <w:rsid w:val="00E32E34"/>
    <w:rsid w:val="00E33341"/>
    <w:rsid w:val="00E35276"/>
    <w:rsid w:val="00E469CC"/>
    <w:rsid w:val="00E47BE6"/>
    <w:rsid w:val="00E502AC"/>
    <w:rsid w:val="00E62431"/>
    <w:rsid w:val="00E65C27"/>
    <w:rsid w:val="00E67E92"/>
    <w:rsid w:val="00E700D9"/>
    <w:rsid w:val="00E70D39"/>
    <w:rsid w:val="00E74A1D"/>
    <w:rsid w:val="00E81931"/>
    <w:rsid w:val="00E81AD1"/>
    <w:rsid w:val="00E822D9"/>
    <w:rsid w:val="00E86EAC"/>
    <w:rsid w:val="00E94F2D"/>
    <w:rsid w:val="00EA06F1"/>
    <w:rsid w:val="00EA2384"/>
    <w:rsid w:val="00EA23FF"/>
    <w:rsid w:val="00EA44DF"/>
    <w:rsid w:val="00EA4963"/>
    <w:rsid w:val="00EA66E0"/>
    <w:rsid w:val="00EA7203"/>
    <w:rsid w:val="00EA73D4"/>
    <w:rsid w:val="00EB2665"/>
    <w:rsid w:val="00EB7000"/>
    <w:rsid w:val="00EC62F1"/>
    <w:rsid w:val="00EC6A21"/>
    <w:rsid w:val="00EE7C43"/>
    <w:rsid w:val="00EF1339"/>
    <w:rsid w:val="00EF46C5"/>
    <w:rsid w:val="00F02152"/>
    <w:rsid w:val="00F03FB8"/>
    <w:rsid w:val="00F105DA"/>
    <w:rsid w:val="00F106F7"/>
    <w:rsid w:val="00F134B6"/>
    <w:rsid w:val="00F155E9"/>
    <w:rsid w:val="00F22C09"/>
    <w:rsid w:val="00F23840"/>
    <w:rsid w:val="00F243FF"/>
    <w:rsid w:val="00F34816"/>
    <w:rsid w:val="00F3495A"/>
    <w:rsid w:val="00F34D22"/>
    <w:rsid w:val="00F4206A"/>
    <w:rsid w:val="00F438C5"/>
    <w:rsid w:val="00F4413D"/>
    <w:rsid w:val="00F46162"/>
    <w:rsid w:val="00F54106"/>
    <w:rsid w:val="00F54F39"/>
    <w:rsid w:val="00F55612"/>
    <w:rsid w:val="00F56C02"/>
    <w:rsid w:val="00F62AEF"/>
    <w:rsid w:val="00F63D5B"/>
    <w:rsid w:val="00F67CA5"/>
    <w:rsid w:val="00F743C5"/>
    <w:rsid w:val="00F7443D"/>
    <w:rsid w:val="00F76008"/>
    <w:rsid w:val="00F83A83"/>
    <w:rsid w:val="00F83CE7"/>
    <w:rsid w:val="00F90B35"/>
    <w:rsid w:val="00F92D8E"/>
    <w:rsid w:val="00F9307C"/>
    <w:rsid w:val="00FA2BB9"/>
    <w:rsid w:val="00FA5D11"/>
    <w:rsid w:val="00FA62E9"/>
    <w:rsid w:val="00FB6544"/>
    <w:rsid w:val="00FC09A4"/>
    <w:rsid w:val="00FC3EF5"/>
    <w:rsid w:val="00FD137D"/>
    <w:rsid w:val="00FD413F"/>
    <w:rsid w:val="00FD6B49"/>
    <w:rsid w:val="00FD76EC"/>
    <w:rsid w:val="00FE2C77"/>
    <w:rsid w:val="00FE4ED9"/>
    <w:rsid w:val="00F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68"/>
    <o:shapelayout v:ext="edit">
      <o:idmap v:ext="edit" data="1"/>
    </o:shapelayout>
  </w:shapeDefaults>
  <w:decimalSymbol w:val="."/>
  <w:listSeparator w:val=","/>
  <w15:docId w15:val="{8FFBC0FC-0A8E-48DF-9D1A-A96A19BB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 w:type="paragraph" w:styleId="EndnoteText">
    <w:name w:val="endnote text"/>
    <w:basedOn w:val="Normal"/>
    <w:link w:val="EndnoteTextChar"/>
    <w:rsid w:val="003749AB"/>
    <w:rPr>
      <w:sz w:val="20"/>
      <w:szCs w:val="20"/>
    </w:rPr>
  </w:style>
  <w:style w:type="character" w:customStyle="1" w:styleId="EndnoteTextChar">
    <w:name w:val="Endnote Text Char"/>
    <w:basedOn w:val="DefaultParagraphFont"/>
    <w:link w:val="EndnoteText"/>
    <w:rsid w:val="003749AB"/>
  </w:style>
  <w:style w:type="character" w:styleId="EndnoteReference">
    <w:name w:val="endnote reference"/>
    <w:basedOn w:val="DefaultParagraphFont"/>
    <w:rsid w:val="00374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0D05D0-25DF-4D67-8812-230E606EF6CF}"/>
</file>

<file path=customXml/itemProps2.xml><?xml version="1.0" encoding="utf-8"?>
<ds:datastoreItem xmlns:ds="http://schemas.openxmlformats.org/officeDocument/2006/customXml" ds:itemID="{9F444F5D-A78E-4E94-8A35-B36C8B6FA25E}"/>
</file>

<file path=customXml/itemProps3.xml><?xml version="1.0" encoding="utf-8"?>
<ds:datastoreItem xmlns:ds="http://schemas.openxmlformats.org/officeDocument/2006/customXml" ds:itemID="{D05B0D65-F41A-4104-9CF5-4A977634C211}"/>
</file>

<file path=customXml/itemProps4.xml><?xml version="1.0" encoding="utf-8"?>
<ds:datastoreItem xmlns:ds="http://schemas.openxmlformats.org/officeDocument/2006/customXml" ds:itemID="{4BB78F47-15D9-4473-A605-1B7AAD32CD81}"/>
</file>

<file path=customXml/itemProps5.xml><?xml version="1.0" encoding="utf-8"?>
<ds:datastoreItem xmlns:ds="http://schemas.openxmlformats.org/officeDocument/2006/customXml" ds:itemID="{5CE38079-5546-4498-B313-15FF316F3501}"/>
</file>

<file path=docProps/app.xml><?xml version="1.0" encoding="utf-8"?>
<Properties xmlns="http://schemas.openxmlformats.org/officeDocument/2006/extended-properties" xmlns:vt="http://schemas.openxmlformats.org/officeDocument/2006/docPropsVTypes">
  <Template>Normal.dotm</Template>
  <TotalTime>3733</TotalTime>
  <Pages>10</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95</cp:revision>
  <cp:lastPrinted>2015-02-04T15:59:00Z</cp:lastPrinted>
  <dcterms:created xsi:type="dcterms:W3CDTF">2014-01-15T23:18:00Z</dcterms:created>
  <dcterms:modified xsi:type="dcterms:W3CDTF">2016-02-17T23:48:00Z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