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12BAF" w14:textId="77777777" w:rsidR="00396A08" w:rsidRDefault="00396A08" w:rsidP="00396A08">
      <w:pPr>
        <w:pStyle w:val="NoSpacing"/>
        <w:jc w:val="center"/>
        <w:rPr>
          <w:sz w:val="14"/>
        </w:rPr>
      </w:pPr>
      <w:r>
        <w:rPr>
          <w:noProof/>
        </w:rPr>
        <w:drawing>
          <wp:inline distT="0" distB="0" distL="0" distR="0" wp14:anchorId="2FBC4225" wp14:editId="64423F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0B25A00F" w14:textId="77777777" w:rsidR="00396A08" w:rsidRDefault="00396A08" w:rsidP="00396A08">
      <w:pPr>
        <w:pStyle w:val="NoSpacing"/>
        <w:jc w:val="center"/>
        <w:rPr>
          <w:rFonts w:ascii="Arial" w:hAnsi="Arial"/>
          <w:b/>
          <w:color w:val="008000"/>
          <w:sz w:val="18"/>
        </w:rPr>
      </w:pPr>
    </w:p>
    <w:p w14:paraId="3D7A1DDD" w14:textId="77777777" w:rsidR="00396A08" w:rsidRDefault="00396A08" w:rsidP="00396A08">
      <w:pPr>
        <w:pStyle w:val="NoSpacing"/>
        <w:spacing w:after="80"/>
        <w:jc w:val="center"/>
        <w:rPr>
          <w:rFonts w:ascii="Arial" w:hAnsi="Arial"/>
          <w:b/>
          <w:color w:val="008000"/>
          <w:sz w:val="18"/>
        </w:rPr>
      </w:pPr>
      <w:r>
        <w:rPr>
          <w:rFonts w:ascii="Arial" w:hAnsi="Arial"/>
          <w:b/>
          <w:color w:val="008000"/>
          <w:sz w:val="18"/>
        </w:rPr>
        <w:t>STATE OF WASHINGTON</w:t>
      </w:r>
    </w:p>
    <w:p w14:paraId="10D88CE4" w14:textId="77777777" w:rsidR="00396A08" w:rsidRDefault="00396A08" w:rsidP="00396A08">
      <w:pPr>
        <w:pStyle w:val="NoSpacing"/>
        <w:spacing w:after="80"/>
        <w:jc w:val="center"/>
        <w:rPr>
          <w:rFonts w:ascii="Arial" w:hAnsi="Arial"/>
          <w:color w:val="008000"/>
          <w:sz w:val="28"/>
        </w:rPr>
      </w:pPr>
      <w:r>
        <w:rPr>
          <w:rFonts w:ascii="Arial" w:hAnsi="Arial"/>
          <w:color w:val="008000"/>
          <w:sz w:val="28"/>
        </w:rPr>
        <w:t>UTILITIES AND TRANSPORTATION COMMISSION</w:t>
      </w:r>
    </w:p>
    <w:p w14:paraId="5EA1C5FE" w14:textId="77777777" w:rsidR="00396A08" w:rsidRDefault="00396A08" w:rsidP="00396A0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7F357FD4" w14:textId="77777777" w:rsidR="00396A08" w:rsidRDefault="00396A08" w:rsidP="00396A08">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041BF929" w14:textId="77777777" w:rsidR="004D4F6C" w:rsidRDefault="004D4F6C" w:rsidP="00F03873">
      <w:pPr>
        <w:pStyle w:val="NoSpacing"/>
        <w:jc w:val="center"/>
        <w:rPr>
          <w:rFonts w:ascii="Times New Roman" w:hAnsi="Times New Roman" w:cs="Times New Roman"/>
          <w:sz w:val="25"/>
          <w:szCs w:val="25"/>
        </w:rPr>
      </w:pPr>
    </w:p>
    <w:p w14:paraId="4275F10F" w14:textId="02EB7724" w:rsidR="00F03873" w:rsidRPr="00CA182A" w:rsidRDefault="00F63AA2" w:rsidP="00F03873">
      <w:pPr>
        <w:pStyle w:val="NoSpacing"/>
        <w:jc w:val="center"/>
        <w:rPr>
          <w:rFonts w:ascii="Times New Roman" w:hAnsi="Times New Roman" w:cs="Times New Roman"/>
          <w:sz w:val="24"/>
          <w:szCs w:val="24"/>
        </w:rPr>
      </w:pPr>
      <w:r>
        <w:rPr>
          <w:rFonts w:ascii="Times New Roman" w:hAnsi="Times New Roman" w:cs="Times New Roman"/>
          <w:sz w:val="24"/>
          <w:szCs w:val="24"/>
        </w:rPr>
        <w:t>May 4, 2016</w:t>
      </w:r>
    </w:p>
    <w:p w14:paraId="41ADAED5" w14:textId="77777777" w:rsidR="00F03873" w:rsidRPr="00CA182A" w:rsidRDefault="00F03873" w:rsidP="00F03873">
      <w:pPr>
        <w:pStyle w:val="NoSpacing"/>
        <w:rPr>
          <w:rFonts w:ascii="Times New Roman" w:hAnsi="Times New Roman" w:cs="Times New Roman"/>
          <w:sz w:val="24"/>
          <w:szCs w:val="24"/>
        </w:rPr>
      </w:pPr>
    </w:p>
    <w:p w14:paraId="3F18E7D0" w14:textId="77777777" w:rsidR="00F03873" w:rsidRPr="00CA182A" w:rsidRDefault="00F03873" w:rsidP="00F03873">
      <w:pPr>
        <w:pStyle w:val="NoSpacing"/>
        <w:rPr>
          <w:rFonts w:ascii="Times New Roman" w:hAnsi="Times New Roman" w:cs="Times New Roman"/>
          <w:sz w:val="24"/>
          <w:szCs w:val="24"/>
        </w:rPr>
      </w:pPr>
    </w:p>
    <w:p w14:paraId="3981E683" w14:textId="0BA6AC00" w:rsidR="00F03873" w:rsidRDefault="00F03873" w:rsidP="00160261">
      <w:pPr>
        <w:pStyle w:val="NoSpacing"/>
        <w:jc w:val="center"/>
        <w:rPr>
          <w:rFonts w:ascii="Times New Roman" w:hAnsi="Times New Roman" w:cs="Times New Roman"/>
          <w:b/>
          <w:sz w:val="24"/>
          <w:szCs w:val="24"/>
        </w:rPr>
      </w:pPr>
      <w:r w:rsidRPr="00CA182A">
        <w:rPr>
          <w:rFonts w:ascii="Times New Roman" w:hAnsi="Times New Roman" w:cs="Times New Roman"/>
          <w:b/>
          <w:sz w:val="24"/>
          <w:szCs w:val="24"/>
        </w:rPr>
        <w:t>NOTICE</w:t>
      </w:r>
      <w:r w:rsidR="003B1A72" w:rsidRPr="00CA182A">
        <w:rPr>
          <w:rFonts w:ascii="Times New Roman" w:hAnsi="Times New Roman" w:cs="Times New Roman"/>
          <w:b/>
          <w:sz w:val="24"/>
          <w:szCs w:val="24"/>
        </w:rPr>
        <w:t xml:space="preserve"> </w:t>
      </w:r>
      <w:r w:rsidR="00160261">
        <w:rPr>
          <w:rFonts w:ascii="Times New Roman" w:hAnsi="Times New Roman" w:cs="Times New Roman"/>
          <w:b/>
          <w:sz w:val="24"/>
          <w:szCs w:val="24"/>
        </w:rPr>
        <w:t>OF REVISED PROCEDURAL SCHEDULE</w:t>
      </w:r>
      <w:bookmarkStart w:id="0" w:name="_GoBack"/>
      <w:bookmarkEnd w:id="0"/>
    </w:p>
    <w:p w14:paraId="03684A96" w14:textId="77777777" w:rsidR="0062570D" w:rsidRDefault="0062570D" w:rsidP="00160261">
      <w:pPr>
        <w:pStyle w:val="NoSpacing"/>
        <w:jc w:val="center"/>
        <w:rPr>
          <w:rFonts w:ascii="Times New Roman" w:hAnsi="Times New Roman" w:cs="Times New Roman"/>
          <w:b/>
          <w:sz w:val="24"/>
          <w:szCs w:val="24"/>
        </w:rPr>
      </w:pPr>
    </w:p>
    <w:p w14:paraId="53020973" w14:textId="3C2A09CE" w:rsidR="0062570D" w:rsidRDefault="0062570D" w:rsidP="00160261">
      <w:pPr>
        <w:pStyle w:val="NoSpacing"/>
        <w:jc w:val="center"/>
        <w:rPr>
          <w:rFonts w:ascii="Times New Roman" w:hAnsi="Times New Roman" w:cs="Times New Roman"/>
          <w:b/>
          <w:sz w:val="24"/>
          <w:szCs w:val="24"/>
        </w:rPr>
      </w:pPr>
      <w:r>
        <w:rPr>
          <w:rFonts w:ascii="Times New Roman" w:hAnsi="Times New Roman" w:cs="Times New Roman"/>
          <w:b/>
          <w:sz w:val="24"/>
          <w:szCs w:val="24"/>
        </w:rPr>
        <w:t>NOTICE OF HEARING</w:t>
      </w:r>
    </w:p>
    <w:p w14:paraId="5057321B" w14:textId="17DFCE22" w:rsidR="0062570D" w:rsidRPr="001F35D7" w:rsidRDefault="0062570D" w:rsidP="00160261">
      <w:pPr>
        <w:pStyle w:val="NoSpacing"/>
        <w:jc w:val="center"/>
        <w:rPr>
          <w:rFonts w:ascii="Times New Roman" w:hAnsi="Times New Roman" w:cs="Times New Roman"/>
          <w:b/>
          <w:sz w:val="24"/>
          <w:szCs w:val="24"/>
        </w:rPr>
      </w:pPr>
      <w:r w:rsidRPr="001F35D7">
        <w:rPr>
          <w:rFonts w:ascii="Times New Roman" w:hAnsi="Times New Roman" w:cs="Times New Roman"/>
          <w:b/>
          <w:sz w:val="24"/>
          <w:szCs w:val="24"/>
        </w:rPr>
        <w:t>(Set for Monday, August 1, 2016, at 9:30 a.m.)</w:t>
      </w:r>
    </w:p>
    <w:p w14:paraId="5893F714" w14:textId="77777777" w:rsidR="00F03873" w:rsidRPr="00CA182A" w:rsidRDefault="00F03873" w:rsidP="00F03873">
      <w:pPr>
        <w:pStyle w:val="NoSpacing"/>
        <w:rPr>
          <w:rFonts w:ascii="Times New Roman" w:hAnsi="Times New Roman" w:cs="Times New Roman"/>
          <w:sz w:val="24"/>
          <w:szCs w:val="24"/>
        </w:rPr>
      </w:pPr>
    </w:p>
    <w:p w14:paraId="3F7AA8B6" w14:textId="77777777" w:rsidR="00E339AA" w:rsidRPr="00CA182A" w:rsidRDefault="00E339AA" w:rsidP="00F03873">
      <w:pPr>
        <w:pStyle w:val="NoSpacing"/>
        <w:rPr>
          <w:rFonts w:ascii="Times New Roman" w:hAnsi="Times New Roman" w:cs="Times New Roman"/>
          <w:sz w:val="24"/>
          <w:szCs w:val="24"/>
        </w:rPr>
      </w:pPr>
    </w:p>
    <w:p w14:paraId="5FA71DEA" w14:textId="2C0474E5" w:rsidR="0066676A" w:rsidRPr="00CA182A" w:rsidRDefault="00F03873" w:rsidP="00930E44">
      <w:pPr>
        <w:pStyle w:val="NoSpacing"/>
        <w:ind w:left="720" w:hanging="720"/>
        <w:rPr>
          <w:rFonts w:ascii="Times New Roman" w:hAnsi="Times New Roman" w:cs="Times New Roman"/>
          <w:sz w:val="24"/>
          <w:szCs w:val="24"/>
        </w:rPr>
      </w:pPr>
      <w:r w:rsidRPr="00CA182A">
        <w:rPr>
          <w:rFonts w:ascii="Times New Roman" w:hAnsi="Times New Roman" w:cs="Times New Roman"/>
          <w:sz w:val="24"/>
          <w:szCs w:val="24"/>
        </w:rPr>
        <w:t>RE:</w:t>
      </w:r>
      <w:r w:rsidRPr="00CA182A">
        <w:rPr>
          <w:rFonts w:ascii="Times New Roman" w:hAnsi="Times New Roman" w:cs="Times New Roman"/>
          <w:sz w:val="24"/>
          <w:szCs w:val="24"/>
        </w:rPr>
        <w:tab/>
      </w:r>
      <w:r w:rsidR="003B1A72" w:rsidRPr="00CA182A">
        <w:rPr>
          <w:rFonts w:ascii="Times New Roman" w:hAnsi="Times New Roman" w:cs="Times New Roman"/>
          <w:i/>
          <w:sz w:val="24"/>
          <w:szCs w:val="24"/>
        </w:rPr>
        <w:t>Washington Utilities and Transportation Commission v. Puget Sound Energy</w:t>
      </w:r>
      <w:r w:rsidR="00E07DEF" w:rsidRPr="00CA182A">
        <w:rPr>
          <w:rFonts w:ascii="Times New Roman" w:hAnsi="Times New Roman" w:cs="Times New Roman"/>
          <w:sz w:val="24"/>
          <w:szCs w:val="24"/>
        </w:rPr>
        <w:t>,</w:t>
      </w:r>
    </w:p>
    <w:p w14:paraId="03270CB1" w14:textId="07055C7A" w:rsidR="003B1A72" w:rsidRPr="00CA182A" w:rsidRDefault="00F03873" w:rsidP="003B1A72">
      <w:pPr>
        <w:ind w:firstLine="720"/>
      </w:pPr>
      <w:r w:rsidRPr="00CA182A">
        <w:t>Docket</w:t>
      </w:r>
      <w:r w:rsidR="003B1A72" w:rsidRPr="00CA182A">
        <w:t>s</w:t>
      </w:r>
      <w:r w:rsidRPr="00CA182A">
        <w:t xml:space="preserve"> </w:t>
      </w:r>
      <w:r w:rsidR="003B1A72" w:rsidRPr="00CA182A">
        <w:t xml:space="preserve">UE-151871 and UG-151872 </w:t>
      </w:r>
      <w:r w:rsidR="003B1A72" w:rsidRPr="00CA182A">
        <w:rPr>
          <w:i/>
        </w:rPr>
        <w:t>(Consolidated)</w:t>
      </w:r>
    </w:p>
    <w:p w14:paraId="29338502" w14:textId="5ACA6022" w:rsidR="00F03873" w:rsidRPr="00CA182A" w:rsidRDefault="00F03873" w:rsidP="0066676A">
      <w:pPr>
        <w:pStyle w:val="NoSpacing"/>
        <w:ind w:left="720"/>
        <w:rPr>
          <w:rFonts w:ascii="Times New Roman" w:hAnsi="Times New Roman" w:cs="Times New Roman"/>
          <w:sz w:val="24"/>
          <w:szCs w:val="24"/>
        </w:rPr>
      </w:pPr>
    </w:p>
    <w:p w14:paraId="38825FE4" w14:textId="77777777" w:rsidR="00F03873" w:rsidRPr="00CA182A" w:rsidRDefault="00F03873" w:rsidP="00F03873">
      <w:pPr>
        <w:pStyle w:val="NoSpacing"/>
        <w:rPr>
          <w:rFonts w:ascii="Times New Roman" w:hAnsi="Times New Roman" w:cs="Times New Roman"/>
          <w:sz w:val="24"/>
          <w:szCs w:val="24"/>
        </w:rPr>
      </w:pPr>
    </w:p>
    <w:p w14:paraId="7CA57036" w14:textId="77777777" w:rsidR="00F03873" w:rsidRPr="00CA182A" w:rsidRDefault="00F03873"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TO ALL PARTIES:</w:t>
      </w:r>
    </w:p>
    <w:p w14:paraId="71CEC545" w14:textId="77777777" w:rsidR="00F03873" w:rsidRPr="00CA182A" w:rsidRDefault="00F03873" w:rsidP="00F03873">
      <w:pPr>
        <w:pStyle w:val="NoSpacing"/>
        <w:rPr>
          <w:rFonts w:ascii="Times New Roman" w:hAnsi="Times New Roman" w:cs="Times New Roman"/>
          <w:sz w:val="24"/>
          <w:szCs w:val="24"/>
        </w:rPr>
      </w:pPr>
    </w:p>
    <w:p w14:paraId="2472D96F" w14:textId="36F4617D" w:rsidR="00F03873" w:rsidRPr="00CA182A" w:rsidRDefault="00CA182A"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On September 18, 2015, Puget Sound Energy (PSE or Company) filed with the Washington Utilities and Transportation Commission (Commission) revisions to its currently effective tariffs WN U-60 schedule 75 and WN U-2 schedule 175 to offer electric and natural gas equipment lease service to its customers. The stated purpose of the filings is to “stimulate the installation of additional energy efficient equipment, provide customers with simple and comprehensive turn-key solutions, provide broader more affordable access to services, and expand existing market activity.”</w:t>
      </w:r>
      <w:r w:rsidR="0062570D">
        <w:rPr>
          <w:rFonts w:ascii="Times New Roman" w:hAnsi="Times New Roman" w:cs="Times New Roman"/>
          <w:sz w:val="24"/>
          <w:szCs w:val="24"/>
        </w:rPr>
        <w:t xml:space="preserve"> </w:t>
      </w:r>
      <w:r w:rsidR="00433D35">
        <w:rPr>
          <w:rFonts w:ascii="Times New Roman" w:hAnsi="Times New Roman" w:cs="Times New Roman"/>
          <w:sz w:val="24"/>
          <w:szCs w:val="24"/>
        </w:rPr>
        <w:t>On November 13, 2015, t</w:t>
      </w:r>
      <w:r w:rsidR="0062570D">
        <w:rPr>
          <w:rFonts w:ascii="Times New Roman" w:hAnsi="Times New Roman" w:cs="Times New Roman"/>
          <w:sz w:val="24"/>
          <w:szCs w:val="24"/>
        </w:rPr>
        <w:t>he Commission entered Order 01</w:t>
      </w:r>
      <w:r w:rsidR="00433D35">
        <w:rPr>
          <w:rFonts w:ascii="Times New Roman" w:hAnsi="Times New Roman" w:cs="Times New Roman"/>
          <w:sz w:val="24"/>
          <w:szCs w:val="24"/>
        </w:rPr>
        <w:t>, Complaint and Order Suspending Tariff Revisions</w:t>
      </w:r>
      <w:r w:rsidR="003D258A">
        <w:rPr>
          <w:rFonts w:ascii="Times New Roman" w:hAnsi="Times New Roman" w:cs="Times New Roman"/>
          <w:sz w:val="24"/>
          <w:szCs w:val="24"/>
        </w:rPr>
        <w:t>, suspending PSE’s filing for investigation and possible adjudication</w:t>
      </w:r>
      <w:r w:rsidR="0062570D">
        <w:rPr>
          <w:rFonts w:ascii="Times New Roman" w:hAnsi="Times New Roman" w:cs="Times New Roman"/>
          <w:sz w:val="24"/>
          <w:szCs w:val="24"/>
        </w:rPr>
        <w:t>.</w:t>
      </w:r>
    </w:p>
    <w:p w14:paraId="650C4A6B" w14:textId="77777777" w:rsidR="00F03873" w:rsidRPr="00CA182A" w:rsidRDefault="00F03873" w:rsidP="00F03873">
      <w:pPr>
        <w:pStyle w:val="NoSpacing"/>
        <w:rPr>
          <w:rFonts w:ascii="Times New Roman" w:hAnsi="Times New Roman" w:cs="Times New Roman"/>
          <w:sz w:val="24"/>
          <w:szCs w:val="24"/>
        </w:rPr>
      </w:pPr>
    </w:p>
    <w:p w14:paraId="56D3D8A5" w14:textId="15150263" w:rsidR="00A54C3D" w:rsidRDefault="00CA182A" w:rsidP="00625E70">
      <w:pPr>
        <w:pStyle w:val="NoSpacing"/>
        <w:rPr>
          <w:rFonts w:ascii="Times New Roman" w:hAnsi="Times New Roman" w:cs="Times New Roman"/>
          <w:sz w:val="24"/>
          <w:szCs w:val="24"/>
        </w:rPr>
      </w:pPr>
      <w:r>
        <w:rPr>
          <w:rFonts w:ascii="Times New Roman" w:hAnsi="Times New Roman" w:cs="Times New Roman"/>
          <w:sz w:val="24"/>
          <w:szCs w:val="24"/>
        </w:rPr>
        <w:t xml:space="preserve">On January 7, 2016, the Commission entered Order 02, Prehearing Conference Order, which </w:t>
      </w:r>
      <w:r w:rsidR="00433D35">
        <w:rPr>
          <w:rFonts w:ascii="Times New Roman" w:hAnsi="Times New Roman" w:cs="Times New Roman"/>
          <w:sz w:val="24"/>
          <w:szCs w:val="24"/>
        </w:rPr>
        <w:t xml:space="preserve">established </w:t>
      </w:r>
      <w:r w:rsidR="00625E70">
        <w:rPr>
          <w:rFonts w:ascii="Times New Roman" w:hAnsi="Times New Roman" w:cs="Times New Roman"/>
          <w:sz w:val="24"/>
          <w:szCs w:val="24"/>
        </w:rPr>
        <w:t>a procedural schedule including</w:t>
      </w:r>
      <w:r w:rsidR="000B25F6">
        <w:rPr>
          <w:rFonts w:ascii="Times New Roman" w:hAnsi="Times New Roman" w:cs="Times New Roman"/>
          <w:sz w:val="24"/>
          <w:szCs w:val="24"/>
        </w:rPr>
        <w:t>, but not limited to</w:t>
      </w:r>
      <w:r w:rsidR="008D3674">
        <w:rPr>
          <w:rFonts w:ascii="Times New Roman" w:hAnsi="Times New Roman" w:cs="Times New Roman"/>
          <w:sz w:val="24"/>
          <w:szCs w:val="24"/>
        </w:rPr>
        <w:t>,</w:t>
      </w:r>
      <w:r w:rsidR="000B25F6">
        <w:rPr>
          <w:rFonts w:ascii="Times New Roman" w:hAnsi="Times New Roman" w:cs="Times New Roman"/>
          <w:sz w:val="24"/>
          <w:szCs w:val="24"/>
        </w:rPr>
        <w:t xml:space="preserve"> an </w:t>
      </w:r>
      <w:r w:rsidR="00433D35">
        <w:rPr>
          <w:rFonts w:ascii="Times New Roman" w:hAnsi="Times New Roman" w:cs="Times New Roman"/>
          <w:sz w:val="24"/>
          <w:szCs w:val="24"/>
        </w:rPr>
        <w:t>e</w:t>
      </w:r>
      <w:r w:rsidR="000B25F6">
        <w:rPr>
          <w:rFonts w:ascii="Times New Roman" w:hAnsi="Times New Roman" w:cs="Times New Roman"/>
          <w:sz w:val="24"/>
          <w:szCs w:val="24"/>
        </w:rPr>
        <w:t xml:space="preserve">videntiary </w:t>
      </w:r>
      <w:r w:rsidR="00433D35">
        <w:rPr>
          <w:rFonts w:ascii="Times New Roman" w:hAnsi="Times New Roman" w:cs="Times New Roman"/>
          <w:sz w:val="24"/>
          <w:szCs w:val="24"/>
        </w:rPr>
        <w:t>h</w:t>
      </w:r>
      <w:r w:rsidR="000B25F6">
        <w:rPr>
          <w:rFonts w:ascii="Times New Roman" w:hAnsi="Times New Roman" w:cs="Times New Roman"/>
          <w:sz w:val="24"/>
          <w:szCs w:val="24"/>
        </w:rPr>
        <w:t xml:space="preserve">earing </w:t>
      </w:r>
      <w:r w:rsidR="00433D35">
        <w:rPr>
          <w:rFonts w:ascii="Times New Roman" w:hAnsi="Times New Roman" w:cs="Times New Roman"/>
          <w:sz w:val="24"/>
          <w:szCs w:val="24"/>
        </w:rPr>
        <w:t xml:space="preserve">before the administrative law judge on </w:t>
      </w:r>
      <w:r w:rsidR="000B25F6">
        <w:rPr>
          <w:rFonts w:ascii="Times New Roman" w:hAnsi="Times New Roman" w:cs="Times New Roman"/>
          <w:sz w:val="24"/>
          <w:szCs w:val="24"/>
        </w:rPr>
        <w:t>June 22-23, 2016.</w:t>
      </w:r>
      <w:r w:rsidR="00625E70">
        <w:rPr>
          <w:rFonts w:ascii="Times New Roman" w:hAnsi="Times New Roman" w:cs="Times New Roman"/>
          <w:sz w:val="24"/>
          <w:szCs w:val="24"/>
        </w:rPr>
        <w:t xml:space="preserve"> </w:t>
      </w:r>
    </w:p>
    <w:p w14:paraId="012FDDE7" w14:textId="77777777" w:rsidR="000B25F6" w:rsidRDefault="000B25F6" w:rsidP="00625E70">
      <w:pPr>
        <w:pStyle w:val="NoSpacing"/>
        <w:rPr>
          <w:rFonts w:ascii="Times New Roman" w:hAnsi="Times New Roman" w:cs="Times New Roman"/>
          <w:sz w:val="24"/>
          <w:szCs w:val="24"/>
        </w:rPr>
      </w:pPr>
    </w:p>
    <w:p w14:paraId="2F2A5968" w14:textId="73DE0BEB" w:rsidR="00447108" w:rsidRDefault="000B25F6" w:rsidP="00625E70">
      <w:pPr>
        <w:pStyle w:val="NoSpacing"/>
        <w:rPr>
          <w:rFonts w:ascii="Times New Roman" w:hAnsi="Times New Roman" w:cs="Times New Roman"/>
          <w:sz w:val="24"/>
          <w:szCs w:val="24"/>
        </w:rPr>
      </w:pPr>
      <w:r>
        <w:rPr>
          <w:rFonts w:ascii="Times New Roman" w:hAnsi="Times New Roman" w:cs="Times New Roman"/>
          <w:sz w:val="24"/>
          <w:szCs w:val="24"/>
        </w:rPr>
        <w:t xml:space="preserve">On April 27, 2016, </w:t>
      </w:r>
      <w:r w:rsidR="00C16F4A">
        <w:rPr>
          <w:rFonts w:ascii="Times New Roman" w:hAnsi="Times New Roman" w:cs="Times New Roman"/>
          <w:sz w:val="24"/>
          <w:szCs w:val="24"/>
        </w:rPr>
        <w:t>all</w:t>
      </w:r>
      <w:r>
        <w:rPr>
          <w:rFonts w:ascii="Times New Roman" w:hAnsi="Times New Roman" w:cs="Times New Roman"/>
          <w:sz w:val="24"/>
          <w:szCs w:val="24"/>
        </w:rPr>
        <w:t xml:space="preserve"> parties </w:t>
      </w:r>
      <w:r w:rsidR="007C647F">
        <w:rPr>
          <w:rFonts w:ascii="Times New Roman" w:hAnsi="Times New Roman" w:cs="Times New Roman"/>
          <w:sz w:val="24"/>
          <w:szCs w:val="24"/>
        </w:rPr>
        <w:t xml:space="preserve">other than Public Counsel </w:t>
      </w:r>
      <w:r>
        <w:rPr>
          <w:rFonts w:ascii="Times New Roman" w:hAnsi="Times New Roman" w:cs="Times New Roman"/>
          <w:sz w:val="24"/>
          <w:szCs w:val="24"/>
        </w:rPr>
        <w:t>filed a Joint Motion Requesting the Commissioners Hear and Decide Case.</w:t>
      </w:r>
      <w:r w:rsidR="00C16F4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w:t>
      </w:r>
      <w:r w:rsidR="00C16F4A">
        <w:rPr>
          <w:rFonts w:ascii="Times New Roman" w:hAnsi="Times New Roman" w:cs="Times New Roman"/>
          <w:sz w:val="24"/>
          <w:szCs w:val="24"/>
        </w:rPr>
        <w:t>se</w:t>
      </w:r>
      <w:r>
        <w:rPr>
          <w:rFonts w:ascii="Times New Roman" w:hAnsi="Times New Roman" w:cs="Times New Roman"/>
          <w:sz w:val="24"/>
          <w:szCs w:val="24"/>
        </w:rPr>
        <w:t xml:space="preserve"> </w:t>
      </w:r>
      <w:r w:rsidR="00433D35">
        <w:rPr>
          <w:rFonts w:ascii="Times New Roman" w:hAnsi="Times New Roman" w:cs="Times New Roman"/>
          <w:sz w:val="24"/>
          <w:szCs w:val="24"/>
        </w:rPr>
        <w:t>parties contend that this cas</w:t>
      </w:r>
      <w:r w:rsidR="00447108">
        <w:rPr>
          <w:rFonts w:ascii="Times New Roman" w:hAnsi="Times New Roman" w:cs="Times New Roman"/>
          <w:sz w:val="24"/>
          <w:szCs w:val="24"/>
        </w:rPr>
        <w:t xml:space="preserve">e </w:t>
      </w:r>
      <w:r w:rsidR="000F4FAA">
        <w:rPr>
          <w:rFonts w:ascii="Times New Roman" w:hAnsi="Times New Roman" w:cs="Times New Roman"/>
          <w:sz w:val="24"/>
          <w:szCs w:val="24"/>
        </w:rPr>
        <w:t xml:space="preserve">presents significant </w:t>
      </w:r>
      <w:r w:rsidR="00447108">
        <w:rPr>
          <w:rFonts w:ascii="Times New Roman" w:hAnsi="Times New Roman" w:cs="Times New Roman"/>
          <w:sz w:val="24"/>
          <w:szCs w:val="24"/>
        </w:rPr>
        <w:t xml:space="preserve">policy issues that would be best </w:t>
      </w:r>
      <w:r w:rsidR="000F4FAA">
        <w:rPr>
          <w:rFonts w:ascii="Times New Roman" w:hAnsi="Times New Roman" w:cs="Times New Roman"/>
          <w:sz w:val="24"/>
          <w:szCs w:val="24"/>
        </w:rPr>
        <w:t xml:space="preserve">resolved </w:t>
      </w:r>
      <w:r w:rsidR="00447108">
        <w:rPr>
          <w:rFonts w:ascii="Times New Roman" w:hAnsi="Times New Roman" w:cs="Times New Roman"/>
          <w:sz w:val="24"/>
          <w:szCs w:val="24"/>
        </w:rPr>
        <w:t xml:space="preserve">if the Commissioners preside during the evidentiary hearings. </w:t>
      </w:r>
    </w:p>
    <w:p w14:paraId="5DEB1BD3" w14:textId="77777777" w:rsidR="00447108" w:rsidRDefault="00447108" w:rsidP="00625E70">
      <w:pPr>
        <w:pStyle w:val="NoSpacing"/>
        <w:rPr>
          <w:rFonts w:ascii="Times New Roman" w:hAnsi="Times New Roman" w:cs="Times New Roman"/>
          <w:sz w:val="24"/>
          <w:szCs w:val="24"/>
        </w:rPr>
      </w:pPr>
    </w:p>
    <w:p w14:paraId="24608F28" w14:textId="287C3D9E" w:rsidR="000B25F6" w:rsidRDefault="000F4FAA" w:rsidP="00625E70">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0B25F6">
        <w:rPr>
          <w:rFonts w:ascii="Times New Roman" w:hAnsi="Times New Roman" w:cs="Times New Roman"/>
          <w:sz w:val="24"/>
          <w:szCs w:val="24"/>
        </w:rPr>
        <w:t xml:space="preserve">Commission </w:t>
      </w:r>
      <w:r>
        <w:rPr>
          <w:rFonts w:ascii="Times New Roman" w:hAnsi="Times New Roman" w:cs="Times New Roman"/>
          <w:sz w:val="24"/>
          <w:szCs w:val="24"/>
        </w:rPr>
        <w:t>agrees and grants the motion. The Commissioners</w:t>
      </w:r>
      <w:r w:rsidR="00C16F4A">
        <w:rPr>
          <w:rFonts w:ascii="Times New Roman" w:hAnsi="Times New Roman" w:cs="Times New Roman"/>
          <w:sz w:val="24"/>
          <w:szCs w:val="24"/>
        </w:rPr>
        <w:t>, however,</w:t>
      </w:r>
      <w:r>
        <w:rPr>
          <w:rFonts w:ascii="Times New Roman" w:hAnsi="Times New Roman" w:cs="Times New Roman"/>
          <w:sz w:val="24"/>
          <w:szCs w:val="24"/>
        </w:rPr>
        <w:t xml:space="preserve"> are not available at the time originally scheduled for the hearings, and the parties have proposed a revised </w:t>
      </w:r>
      <w:r>
        <w:rPr>
          <w:rFonts w:ascii="Times New Roman" w:hAnsi="Times New Roman" w:cs="Times New Roman"/>
          <w:sz w:val="24"/>
          <w:szCs w:val="24"/>
        </w:rPr>
        <w:lastRenderedPageBreak/>
        <w:t xml:space="preserve">procedural schedule with evidentiary hearings on August 1, 2016, continuing on August 3, if necessary. To permit the Commission sufficient time to enter an order prior to the suspension deadline, PSE has agreed to waive that deadline until November 16, 2016. The Commission adopts the parties’ proposed schedule, which is attached as </w:t>
      </w:r>
      <w:r w:rsidR="00F63AA2">
        <w:rPr>
          <w:rFonts w:ascii="Times New Roman" w:hAnsi="Times New Roman" w:cs="Times New Roman"/>
          <w:sz w:val="24"/>
          <w:szCs w:val="24"/>
        </w:rPr>
        <w:t>Appendix A</w:t>
      </w:r>
      <w:r>
        <w:rPr>
          <w:rFonts w:ascii="Times New Roman" w:hAnsi="Times New Roman" w:cs="Times New Roman"/>
          <w:sz w:val="24"/>
          <w:szCs w:val="24"/>
        </w:rPr>
        <w:t xml:space="preserve"> to this Notice.</w:t>
      </w:r>
    </w:p>
    <w:p w14:paraId="12FEB73E" w14:textId="77777777" w:rsidR="00F63AA2" w:rsidRPr="00CA182A" w:rsidRDefault="00F63AA2" w:rsidP="00625E70">
      <w:pPr>
        <w:pStyle w:val="NoSpacing"/>
        <w:rPr>
          <w:rFonts w:ascii="Times New Roman" w:hAnsi="Times New Roman" w:cs="Times New Roman"/>
          <w:sz w:val="24"/>
          <w:szCs w:val="24"/>
        </w:rPr>
      </w:pPr>
    </w:p>
    <w:p w14:paraId="5C7C00C5" w14:textId="37EB2BF9" w:rsidR="00477051" w:rsidRDefault="00477051" w:rsidP="00F03873">
      <w:pPr>
        <w:pStyle w:val="NoSpacing"/>
        <w:rPr>
          <w:rFonts w:ascii="Times New Roman" w:hAnsi="Times New Roman" w:cs="Times New Roman"/>
          <w:b/>
          <w:sz w:val="24"/>
          <w:szCs w:val="24"/>
        </w:rPr>
      </w:pPr>
      <w:r w:rsidRPr="00CA182A">
        <w:rPr>
          <w:rFonts w:ascii="Times New Roman" w:hAnsi="Times New Roman" w:cs="Times New Roman"/>
          <w:b/>
          <w:sz w:val="24"/>
          <w:szCs w:val="24"/>
        </w:rPr>
        <w:t>THE COMMISSION GIVES NOTICE That</w:t>
      </w:r>
      <w:r w:rsidR="00CA182A">
        <w:rPr>
          <w:rFonts w:ascii="Times New Roman" w:hAnsi="Times New Roman" w:cs="Times New Roman"/>
          <w:b/>
          <w:sz w:val="24"/>
          <w:szCs w:val="24"/>
        </w:rPr>
        <w:t xml:space="preserve"> the </w:t>
      </w:r>
      <w:r w:rsidR="000F4FAA">
        <w:rPr>
          <w:rFonts w:ascii="Times New Roman" w:hAnsi="Times New Roman" w:cs="Times New Roman"/>
          <w:b/>
          <w:sz w:val="24"/>
          <w:szCs w:val="24"/>
        </w:rPr>
        <w:t xml:space="preserve">Commission grants the </w:t>
      </w:r>
      <w:r w:rsidR="00F63AA2">
        <w:rPr>
          <w:rFonts w:ascii="Times New Roman" w:hAnsi="Times New Roman" w:cs="Times New Roman"/>
          <w:b/>
          <w:sz w:val="24"/>
          <w:szCs w:val="24"/>
        </w:rPr>
        <w:t xml:space="preserve">parties’ joint </w:t>
      </w:r>
      <w:r w:rsidR="000F4FAA">
        <w:rPr>
          <w:rFonts w:ascii="Times New Roman" w:hAnsi="Times New Roman" w:cs="Times New Roman"/>
          <w:b/>
          <w:sz w:val="24"/>
          <w:szCs w:val="24"/>
        </w:rPr>
        <w:t>motion for the Commissioners to preside during the evidentiary hearings and adopts the parties’ proposed revised procedural schedule</w:t>
      </w:r>
      <w:r w:rsidR="00F63AA2">
        <w:rPr>
          <w:rFonts w:ascii="Times New Roman" w:hAnsi="Times New Roman" w:cs="Times New Roman"/>
          <w:b/>
          <w:sz w:val="24"/>
          <w:szCs w:val="24"/>
        </w:rPr>
        <w:t xml:space="preserve">. </w:t>
      </w:r>
    </w:p>
    <w:p w14:paraId="523E9F02" w14:textId="77777777" w:rsidR="003D258A" w:rsidRDefault="003D258A" w:rsidP="00F03873">
      <w:pPr>
        <w:pStyle w:val="NoSpacing"/>
        <w:rPr>
          <w:rFonts w:ascii="Times New Roman" w:hAnsi="Times New Roman" w:cs="Times New Roman"/>
          <w:b/>
          <w:sz w:val="24"/>
          <w:szCs w:val="24"/>
        </w:rPr>
      </w:pPr>
    </w:p>
    <w:p w14:paraId="476702BE" w14:textId="3FA6B5E0" w:rsidR="003D258A" w:rsidRPr="00CA182A" w:rsidRDefault="003D258A" w:rsidP="00F03873">
      <w:pPr>
        <w:pStyle w:val="NoSpacing"/>
        <w:rPr>
          <w:rFonts w:ascii="Times New Roman" w:hAnsi="Times New Roman" w:cs="Times New Roman"/>
          <w:b/>
          <w:sz w:val="24"/>
          <w:szCs w:val="24"/>
        </w:rPr>
      </w:pPr>
      <w:r>
        <w:rPr>
          <w:rFonts w:ascii="Times New Roman" w:hAnsi="Times New Roman" w:cs="Times New Roman"/>
          <w:b/>
          <w:sz w:val="24"/>
          <w:szCs w:val="24"/>
        </w:rPr>
        <w:t xml:space="preserve">THE COMMISSION GIVES FURTHER NOTICE That </w:t>
      </w:r>
      <w:r>
        <w:rPr>
          <w:rFonts w:ascii="Times New Roman" w:hAnsi="Times New Roman" w:cs="Times New Roman"/>
          <w:b/>
          <w:sz w:val="25"/>
          <w:szCs w:val="25"/>
        </w:rPr>
        <w:t>the Commission will conduct evidentiary hearings on Monday, August 1, 2016, at beginning at 9:30 a.m., and continuing on Wednesday, August 3, 2016, if necessary,</w:t>
      </w:r>
      <w:r w:rsidRPr="00940F25">
        <w:rPr>
          <w:rFonts w:ascii="Times New Roman" w:eastAsia="Times New Roman" w:hAnsi="Times New Roman" w:cs="Times New Roman"/>
          <w:b/>
          <w:bCs/>
          <w:sz w:val="24"/>
          <w:szCs w:val="24"/>
        </w:rPr>
        <w:t xml:space="preserve"> </w:t>
      </w:r>
      <w:r w:rsidRPr="00940F25">
        <w:rPr>
          <w:rFonts w:ascii="Times New Roman" w:hAnsi="Times New Roman" w:cs="Times New Roman"/>
          <w:b/>
          <w:bCs/>
          <w:sz w:val="25"/>
          <w:szCs w:val="25"/>
        </w:rPr>
        <w:t>in Room 206, Second Floor, Richard Hemstad Building, 1300 S. Evergreen Park Drive S.W., Olympia, Washington</w:t>
      </w:r>
      <w:r>
        <w:rPr>
          <w:rFonts w:ascii="Times New Roman" w:hAnsi="Times New Roman" w:cs="Times New Roman"/>
          <w:b/>
          <w:bCs/>
          <w:sz w:val="25"/>
          <w:szCs w:val="25"/>
        </w:rPr>
        <w:t>.</w:t>
      </w:r>
    </w:p>
    <w:p w14:paraId="1C367609" w14:textId="77777777" w:rsidR="00477051" w:rsidRPr="00CA182A" w:rsidRDefault="00477051" w:rsidP="00F03873">
      <w:pPr>
        <w:pStyle w:val="NoSpacing"/>
        <w:rPr>
          <w:rFonts w:ascii="Times New Roman" w:hAnsi="Times New Roman" w:cs="Times New Roman"/>
          <w:sz w:val="24"/>
          <w:szCs w:val="24"/>
        </w:rPr>
      </w:pPr>
    </w:p>
    <w:p w14:paraId="705B0365" w14:textId="77777777" w:rsidR="00477051" w:rsidRPr="00CA182A" w:rsidRDefault="00477051" w:rsidP="00F03873">
      <w:pPr>
        <w:pStyle w:val="NoSpacing"/>
        <w:rPr>
          <w:rFonts w:ascii="Times New Roman" w:hAnsi="Times New Roman" w:cs="Times New Roman"/>
          <w:sz w:val="24"/>
          <w:szCs w:val="24"/>
        </w:rPr>
      </w:pPr>
    </w:p>
    <w:p w14:paraId="6E9E2882" w14:textId="77777777" w:rsidR="00165419" w:rsidRPr="00CA182A" w:rsidRDefault="00165419" w:rsidP="00F03873">
      <w:pPr>
        <w:pStyle w:val="NoSpacing"/>
        <w:rPr>
          <w:rFonts w:ascii="Times New Roman" w:hAnsi="Times New Roman" w:cs="Times New Roman"/>
          <w:sz w:val="24"/>
          <w:szCs w:val="24"/>
        </w:rPr>
      </w:pPr>
    </w:p>
    <w:p w14:paraId="4484F5F1" w14:textId="77777777" w:rsidR="00477051" w:rsidRPr="00CA182A" w:rsidRDefault="00477051" w:rsidP="00F03873">
      <w:pPr>
        <w:pStyle w:val="NoSpacing"/>
        <w:rPr>
          <w:rFonts w:ascii="Times New Roman" w:hAnsi="Times New Roman" w:cs="Times New Roman"/>
          <w:sz w:val="24"/>
          <w:szCs w:val="24"/>
        </w:rPr>
      </w:pPr>
    </w:p>
    <w:p w14:paraId="3BDBFBFD" w14:textId="77777777" w:rsidR="00477051" w:rsidRPr="00CA182A" w:rsidRDefault="00477051" w:rsidP="00F03873">
      <w:pPr>
        <w:pStyle w:val="NoSpacing"/>
        <w:rPr>
          <w:rFonts w:ascii="Times New Roman" w:hAnsi="Times New Roman" w:cs="Times New Roman"/>
          <w:sz w:val="24"/>
          <w:szCs w:val="24"/>
        </w:rPr>
      </w:pPr>
      <w:r w:rsidRPr="00CA182A">
        <w:rPr>
          <w:rFonts w:ascii="Times New Roman" w:hAnsi="Times New Roman" w:cs="Times New Roman"/>
          <w:sz w:val="24"/>
          <w:szCs w:val="24"/>
        </w:rPr>
        <w:t>GREGORY J. KOPTA</w:t>
      </w:r>
    </w:p>
    <w:p w14:paraId="287FE410" w14:textId="77777777" w:rsidR="00F63AA2" w:rsidRDefault="00477051" w:rsidP="00F03873">
      <w:pPr>
        <w:pStyle w:val="NoSpacing"/>
        <w:rPr>
          <w:rFonts w:ascii="Times New Roman" w:hAnsi="Times New Roman" w:cs="Times New Roman"/>
          <w:sz w:val="24"/>
          <w:szCs w:val="24"/>
        </w:rPr>
        <w:sectPr w:rsidR="00F63AA2" w:rsidSect="00BF325E">
          <w:headerReference w:type="default" r:id="rId8"/>
          <w:headerReference w:type="first" r:id="rId9"/>
          <w:pgSz w:w="12240" w:h="15840" w:code="1"/>
          <w:pgMar w:top="849" w:right="1440" w:bottom="1440" w:left="1440" w:header="720" w:footer="720" w:gutter="0"/>
          <w:paperSrc w:first="261" w:other="262"/>
          <w:cols w:space="720"/>
          <w:titlePg/>
          <w:docGrid w:linePitch="360"/>
        </w:sectPr>
      </w:pPr>
      <w:r w:rsidRPr="00CA182A">
        <w:rPr>
          <w:rFonts w:ascii="Times New Roman" w:hAnsi="Times New Roman" w:cs="Times New Roman"/>
          <w:sz w:val="24"/>
          <w:szCs w:val="24"/>
        </w:rPr>
        <w:t xml:space="preserve">Administrative Law </w:t>
      </w:r>
      <w:r w:rsidR="003B1A72" w:rsidRPr="00CA182A">
        <w:rPr>
          <w:rFonts w:ascii="Times New Roman" w:hAnsi="Times New Roman" w:cs="Times New Roman"/>
          <w:sz w:val="24"/>
          <w:szCs w:val="24"/>
        </w:rPr>
        <w:t>Judge</w:t>
      </w:r>
    </w:p>
    <w:p w14:paraId="1C8F3BEB" w14:textId="4D1874AB" w:rsidR="001F35D7" w:rsidRDefault="001F35D7" w:rsidP="00F63AA2">
      <w:pPr>
        <w:pStyle w:val="Heading3"/>
        <w:jc w:val="center"/>
        <w:rPr>
          <w:rFonts w:ascii="Times New Roman" w:hAnsi="Times New Roman"/>
          <w:b/>
          <w:color w:val="auto"/>
          <w:sz w:val="25"/>
          <w:szCs w:val="25"/>
          <w:u w:val="single"/>
        </w:rPr>
      </w:pPr>
      <w:r>
        <w:rPr>
          <w:rFonts w:ascii="Times New Roman" w:hAnsi="Times New Roman"/>
          <w:b/>
          <w:color w:val="auto"/>
          <w:sz w:val="25"/>
          <w:szCs w:val="25"/>
          <w:u w:val="single"/>
        </w:rPr>
        <w:lastRenderedPageBreak/>
        <w:t>APPENDIX A</w:t>
      </w:r>
    </w:p>
    <w:p w14:paraId="3DFA799E" w14:textId="77777777" w:rsidR="001F35D7" w:rsidRPr="001F35D7" w:rsidRDefault="001F35D7" w:rsidP="001F35D7"/>
    <w:p w14:paraId="5367FCCD" w14:textId="77777777" w:rsidR="00F63AA2" w:rsidRPr="00F63AA2" w:rsidRDefault="00F63AA2" w:rsidP="00F63AA2">
      <w:pPr>
        <w:pStyle w:val="Heading3"/>
        <w:jc w:val="center"/>
        <w:rPr>
          <w:rFonts w:ascii="Times New Roman" w:hAnsi="Times New Roman"/>
          <w:color w:val="auto"/>
          <w:sz w:val="25"/>
          <w:szCs w:val="25"/>
        </w:rPr>
      </w:pPr>
      <w:r w:rsidRPr="00F63AA2">
        <w:rPr>
          <w:rFonts w:ascii="Times New Roman" w:hAnsi="Times New Roman"/>
          <w:color w:val="auto"/>
          <w:sz w:val="25"/>
          <w:szCs w:val="25"/>
        </w:rPr>
        <w:t>REVISED PROCEDURAL SCHEDULE</w:t>
      </w:r>
    </w:p>
    <w:p w14:paraId="575A15D8" w14:textId="77777777" w:rsidR="00F63AA2" w:rsidRDefault="00F63AA2" w:rsidP="00F63AA2">
      <w:pPr>
        <w:jc w:val="center"/>
        <w:rPr>
          <w:b/>
          <w:bCs/>
          <w:i/>
          <w:sz w:val="25"/>
          <w:szCs w:val="25"/>
        </w:rPr>
      </w:pPr>
      <w:r w:rsidRPr="009D7606">
        <w:rPr>
          <w:b/>
          <w:bCs/>
          <w:sz w:val="25"/>
          <w:szCs w:val="25"/>
        </w:rPr>
        <w:t xml:space="preserve">DOCKETS UE-151871 &amp; UG-151872 </w:t>
      </w:r>
      <w:r w:rsidRPr="009D7606">
        <w:rPr>
          <w:b/>
          <w:bCs/>
          <w:i/>
          <w:sz w:val="25"/>
          <w:szCs w:val="25"/>
        </w:rPr>
        <w:t>(Consolidated)</w:t>
      </w:r>
    </w:p>
    <w:p w14:paraId="3604E359" w14:textId="77777777" w:rsidR="00F63AA2" w:rsidRPr="009D7606" w:rsidRDefault="00F63AA2" w:rsidP="00F63AA2">
      <w:pPr>
        <w:jc w:val="center"/>
        <w:rPr>
          <w:b/>
          <w:bCs/>
          <w:sz w:val="25"/>
          <w:szCs w:val="25"/>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970"/>
      </w:tblGrid>
      <w:tr w:rsidR="00F63AA2" w:rsidRPr="00C61316" w14:paraId="2D1055DD" w14:textId="77777777" w:rsidTr="00046FF5">
        <w:trPr>
          <w:cantSplit/>
        </w:trPr>
        <w:tc>
          <w:tcPr>
            <w:tcW w:w="5310" w:type="dxa"/>
            <w:tcBorders>
              <w:top w:val="thinThickSmallGap" w:sz="24" w:space="0" w:color="auto"/>
              <w:left w:val="thinThickSmallGap" w:sz="24" w:space="0" w:color="auto"/>
              <w:bottom w:val="thickThinSmallGap" w:sz="24" w:space="0" w:color="auto"/>
            </w:tcBorders>
            <w:shd w:val="pct12" w:color="auto" w:fill="auto"/>
          </w:tcPr>
          <w:p w14:paraId="7492AC0A" w14:textId="77777777" w:rsidR="00F63AA2" w:rsidRPr="00F63AA2" w:rsidRDefault="00F63AA2" w:rsidP="00046FF5">
            <w:pPr>
              <w:pStyle w:val="Heading2"/>
              <w:rPr>
                <w:rFonts w:ascii="Times New Roman" w:hAnsi="Times New Roman" w:cs="Times New Roman"/>
                <w:b/>
                <w:color w:val="auto"/>
              </w:rPr>
            </w:pPr>
          </w:p>
          <w:p w14:paraId="39DEEC40" w14:textId="77777777" w:rsidR="00F63AA2" w:rsidRPr="00F63AA2" w:rsidRDefault="00F63AA2" w:rsidP="00F63AA2">
            <w:pPr>
              <w:pStyle w:val="Heading2"/>
              <w:jc w:val="center"/>
              <w:rPr>
                <w:rFonts w:ascii="Times New Roman" w:hAnsi="Times New Roman" w:cs="Times New Roman"/>
                <w:b/>
                <w:color w:val="auto"/>
              </w:rPr>
            </w:pPr>
            <w:r w:rsidRPr="00F63AA2">
              <w:rPr>
                <w:rFonts w:ascii="Times New Roman" w:hAnsi="Times New Roman" w:cs="Times New Roman"/>
                <w:b/>
                <w:color w:val="auto"/>
              </w:rPr>
              <w:t>EVENT</w:t>
            </w:r>
          </w:p>
        </w:tc>
        <w:tc>
          <w:tcPr>
            <w:tcW w:w="2970" w:type="dxa"/>
            <w:tcBorders>
              <w:top w:val="thinThickSmallGap" w:sz="24" w:space="0" w:color="auto"/>
              <w:bottom w:val="thickThinSmallGap" w:sz="24" w:space="0" w:color="auto"/>
              <w:right w:val="thinThickThinSmallGap" w:sz="24" w:space="0" w:color="auto"/>
            </w:tcBorders>
            <w:shd w:val="pct12" w:color="auto" w:fill="auto"/>
          </w:tcPr>
          <w:p w14:paraId="381A2D64" w14:textId="77777777" w:rsidR="00F63AA2" w:rsidRPr="00F63AA2" w:rsidRDefault="00F63AA2" w:rsidP="00046FF5">
            <w:pPr>
              <w:pStyle w:val="Heading2"/>
              <w:rPr>
                <w:rFonts w:ascii="Times New Roman" w:hAnsi="Times New Roman" w:cs="Times New Roman"/>
                <w:b/>
                <w:color w:val="auto"/>
              </w:rPr>
            </w:pPr>
          </w:p>
          <w:p w14:paraId="5F4C1C82" w14:textId="77777777" w:rsidR="00F63AA2" w:rsidRPr="00F63AA2" w:rsidRDefault="00F63AA2" w:rsidP="00F63AA2">
            <w:pPr>
              <w:pStyle w:val="Heading2"/>
              <w:jc w:val="center"/>
              <w:rPr>
                <w:rFonts w:ascii="Times New Roman" w:hAnsi="Times New Roman" w:cs="Times New Roman"/>
                <w:b/>
                <w:color w:val="auto"/>
              </w:rPr>
            </w:pPr>
            <w:r w:rsidRPr="00F63AA2">
              <w:rPr>
                <w:rFonts w:ascii="Times New Roman" w:hAnsi="Times New Roman" w:cs="Times New Roman"/>
                <w:b/>
                <w:color w:val="auto"/>
              </w:rPr>
              <w:t>DATE</w:t>
            </w:r>
          </w:p>
          <w:p w14:paraId="05EE9680" w14:textId="77777777" w:rsidR="00F63AA2" w:rsidRPr="00F63AA2" w:rsidRDefault="00F63AA2" w:rsidP="00046FF5">
            <w:pPr>
              <w:rPr>
                <w:b/>
                <w:sz w:val="26"/>
                <w:szCs w:val="26"/>
              </w:rPr>
            </w:pPr>
          </w:p>
        </w:tc>
      </w:tr>
      <w:tr w:rsidR="00F63AA2" w:rsidRPr="00C61316" w14:paraId="184A201D" w14:textId="77777777" w:rsidTr="00046FF5">
        <w:trPr>
          <w:cantSplit/>
          <w:trHeight w:val="738"/>
        </w:trPr>
        <w:tc>
          <w:tcPr>
            <w:tcW w:w="5310" w:type="dxa"/>
            <w:tcBorders>
              <w:top w:val="single" w:sz="4" w:space="0" w:color="auto"/>
              <w:left w:val="thinThickSmallGap" w:sz="24" w:space="0" w:color="auto"/>
            </w:tcBorders>
          </w:tcPr>
          <w:p w14:paraId="66BABCF3" w14:textId="77777777" w:rsidR="00F63AA2" w:rsidRPr="00752E33" w:rsidRDefault="00F63AA2" w:rsidP="00046FF5">
            <w:pPr>
              <w:spacing w:line="288" w:lineRule="auto"/>
              <w:rPr>
                <w:sz w:val="25"/>
                <w:szCs w:val="25"/>
              </w:rPr>
            </w:pPr>
            <w:r w:rsidRPr="00752E33">
              <w:rPr>
                <w:sz w:val="25"/>
                <w:szCs w:val="25"/>
              </w:rPr>
              <w:t>Staff, Public Counsel and Intervenor Response Testimony and Exhibits</w:t>
            </w:r>
          </w:p>
        </w:tc>
        <w:tc>
          <w:tcPr>
            <w:tcW w:w="2970" w:type="dxa"/>
            <w:tcBorders>
              <w:top w:val="single" w:sz="4" w:space="0" w:color="auto"/>
              <w:right w:val="thinThickThinSmallGap" w:sz="24" w:space="0" w:color="auto"/>
            </w:tcBorders>
          </w:tcPr>
          <w:p w14:paraId="24EFA2ED" w14:textId="77777777" w:rsidR="00F63AA2" w:rsidRPr="0019656C" w:rsidRDefault="00F63AA2" w:rsidP="00046FF5">
            <w:pPr>
              <w:spacing w:line="288" w:lineRule="auto"/>
              <w:rPr>
                <w:sz w:val="25"/>
                <w:szCs w:val="25"/>
              </w:rPr>
            </w:pPr>
            <w:r>
              <w:rPr>
                <w:sz w:val="25"/>
                <w:szCs w:val="25"/>
              </w:rPr>
              <w:t>June 7, 2016</w:t>
            </w:r>
            <w:r>
              <w:rPr>
                <w:rStyle w:val="FootnoteReference"/>
                <w:sz w:val="25"/>
                <w:szCs w:val="25"/>
              </w:rPr>
              <w:footnoteReference w:id="2"/>
            </w:r>
          </w:p>
        </w:tc>
      </w:tr>
      <w:tr w:rsidR="00F63AA2" w:rsidRPr="00C61316" w14:paraId="0D5832E3" w14:textId="77777777" w:rsidTr="00046FF5">
        <w:trPr>
          <w:cantSplit/>
          <w:trHeight w:val="738"/>
        </w:trPr>
        <w:tc>
          <w:tcPr>
            <w:tcW w:w="5310" w:type="dxa"/>
            <w:tcBorders>
              <w:top w:val="single" w:sz="4" w:space="0" w:color="auto"/>
              <w:left w:val="thinThickSmallGap" w:sz="24" w:space="0" w:color="auto"/>
            </w:tcBorders>
          </w:tcPr>
          <w:p w14:paraId="6EBEACFC" w14:textId="77777777" w:rsidR="00F63AA2" w:rsidRPr="00752E33" w:rsidRDefault="00F63AA2" w:rsidP="00046FF5">
            <w:pPr>
              <w:spacing w:line="288" w:lineRule="auto"/>
              <w:rPr>
                <w:color w:val="000000"/>
                <w:sz w:val="25"/>
                <w:szCs w:val="25"/>
              </w:rPr>
            </w:pPr>
            <w:r w:rsidRPr="00752E33">
              <w:rPr>
                <w:color w:val="000000"/>
                <w:sz w:val="25"/>
                <w:szCs w:val="25"/>
              </w:rPr>
              <w:t>Company Rebuttal Testimony and Exhibits</w:t>
            </w:r>
            <w:r>
              <w:rPr>
                <w:color w:val="000000"/>
                <w:sz w:val="25"/>
                <w:szCs w:val="25"/>
              </w:rPr>
              <w:t>; Cross-Answering Testimony and Exhibits</w:t>
            </w:r>
          </w:p>
        </w:tc>
        <w:tc>
          <w:tcPr>
            <w:tcW w:w="2970" w:type="dxa"/>
            <w:tcBorders>
              <w:top w:val="single" w:sz="4" w:space="0" w:color="auto"/>
              <w:right w:val="thinThickThinSmallGap" w:sz="24" w:space="0" w:color="auto"/>
            </w:tcBorders>
          </w:tcPr>
          <w:p w14:paraId="23FF1F15" w14:textId="77777777" w:rsidR="00F63AA2" w:rsidRPr="0019656C" w:rsidRDefault="00F63AA2" w:rsidP="00046FF5">
            <w:pPr>
              <w:spacing w:line="288" w:lineRule="auto"/>
              <w:rPr>
                <w:sz w:val="25"/>
                <w:szCs w:val="25"/>
              </w:rPr>
            </w:pPr>
            <w:r>
              <w:rPr>
                <w:sz w:val="25"/>
                <w:szCs w:val="25"/>
              </w:rPr>
              <w:t>July 1, 2016</w:t>
            </w:r>
            <w:r>
              <w:rPr>
                <w:rStyle w:val="FootnoteReference"/>
                <w:sz w:val="25"/>
                <w:szCs w:val="25"/>
              </w:rPr>
              <w:footnoteReference w:id="3"/>
            </w:r>
          </w:p>
        </w:tc>
      </w:tr>
      <w:tr w:rsidR="00F63AA2" w:rsidRPr="00C61316" w14:paraId="47BB1DC5"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0BA4E22B" w14:textId="77777777" w:rsidR="00F63AA2" w:rsidRDefault="00F63AA2" w:rsidP="00046FF5">
            <w:pPr>
              <w:rPr>
                <w:sz w:val="26"/>
                <w:szCs w:val="26"/>
              </w:rPr>
            </w:pPr>
            <w:r>
              <w:rPr>
                <w:sz w:val="26"/>
                <w:szCs w:val="26"/>
              </w:rPr>
              <w:t>Discovery Cut-off</w:t>
            </w:r>
          </w:p>
        </w:tc>
        <w:tc>
          <w:tcPr>
            <w:tcW w:w="2970" w:type="dxa"/>
            <w:tcBorders>
              <w:top w:val="single" w:sz="4" w:space="0" w:color="auto"/>
              <w:bottom w:val="single" w:sz="4" w:space="0" w:color="auto"/>
              <w:right w:val="thinThickThinSmallGap" w:sz="24" w:space="0" w:color="auto"/>
            </w:tcBorders>
          </w:tcPr>
          <w:p w14:paraId="4F854BD6" w14:textId="77777777" w:rsidR="00F63AA2" w:rsidRDefault="00F63AA2" w:rsidP="00046FF5">
            <w:pPr>
              <w:rPr>
                <w:sz w:val="25"/>
                <w:szCs w:val="25"/>
              </w:rPr>
            </w:pPr>
            <w:r>
              <w:rPr>
                <w:sz w:val="25"/>
                <w:szCs w:val="25"/>
              </w:rPr>
              <w:t>July 18, 2016</w:t>
            </w:r>
          </w:p>
        </w:tc>
      </w:tr>
      <w:tr w:rsidR="00F63AA2" w:rsidRPr="00C61316" w14:paraId="25F9E8FD"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7071DDEA" w14:textId="77777777" w:rsidR="00F63AA2" w:rsidRPr="00C61316" w:rsidRDefault="00F63AA2" w:rsidP="00046FF5">
            <w:pPr>
              <w:rPr>
                <w:sz w:val="26"/>
                <w:szCs w:val="26"/>
              </w:rPr>
            </w:pPr>
            <w:r>
              <w:rPr>
                <w:sz w:val="26"/>
                <w:szCs w:val="26"/>
              </w:rPr>
              <w:t>Cross-Examination Exhibits, Witness Lists, and Time Estimates</w:t>
            </w:r>
          </w:p>
        </w:tc>
        <w:tc>
          <w:tcPr>
            <w:tcW w:w="2970" w:type="dxa"/>
            <w:tcBorders>
              <w:top w:val="single" w:sz="4" w:space="0" w:color="auto"/>
              <w:bottom w:val="single" w:sz="4" w:space="0" w:color="auto"/>
              <w:right w:val="thinThickThinSmallGap" w:sz="24" w:space="0" w:color="auto"/>
            </w:tcBorders>
          </w:tcPr>
          <w:p w14:paraId="5B5B418F" w14:textId="77777777" w:rsidR="00F63AA2" w:rsidRPr="0019656C" w:rsidRDefault="00F63AA2" w:rsidP="00046FF5">
            <w:pPr>
              <w:spacing w:line="288" w:lineRule="auto"/>
              <w:rPr>
                <w:sz w:val="25"/>
                <w:szCs w:val="25"/>
              </w:rPr>
            </w:pPr>
            <w:r>
              <w:rPr>
                <w:sz w:val="25"/>
                <w:szCs w:val="25"/>
              </w:rPr>
              <w:t>July 26, 2016</w:t>
            </w:r>
          </w:p>
          <w:p w14:paraId="56EEE5FC" w14:textId="77777777" w:rsidR="00F63AA2" w:rsidRPr="0019656C" w:rsidRDefault="00F63AA2" w:rsidP="00046FF5">
            <w:pPr>
              <w:rPr>
                <w:sz w:val="26"/>
                <w:szCs w:val="26"/>
              </w:rPr>
            </w:pPr>
          </w:p>
        </w:tc>
      </w:tr>
      <w:tr w:rsidR="00F63AA2" w:rsidRPr="00C61316" w14:paraId="0FB7D385"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7F6BEFB9" w14:textId="42635D46" w:rsidR="00F63AA2" w:rsidRPr="00C61316" w:rsidRDefault="00F63AA2" w:rsidP="00046FF5">
            <w:pPr>
              <w:rPr>
                <w:sz w:val="26"/>
                <w:szCs w:val="26"/>
              </w:rPr>
            </w:pPr>
            <w:r>
              <w:rPr>
                <w:sz w:val="26"/>
                <w:szCs w:val="26"/>
              </w:rPr>
              <w:t>Evidentiary Hearing</w:t>
            </w:r>
            <w:r w:rsidR="003D258A">
              <w:rPr>
                <w:sz w:val="26"/>
                <w:szCs w:val="26"/>
              </w:rPr>
              <w:t>s</w:t>
            </w:r>
          </w:p>
        </w:tc>
        <w:tc>
          <w:tcPr>
            <w:tcW w:w="2970" w:type="dxa"/>
            <w:tcBorders>
              <w:top w:val="single" w:sz="4" w:space="0" w:color="auto"/>
              <w:bottom w:val="single" w:sz="4" w:space="0" w:color="auto"/>
              <w:right w:val="thinThickThinSmallGap" w:sz="24" w:space="0" w:color="auto"/>
            </w:tcBorders>
          </w:tcPr>
          <w:p w14:paraId="4A1FD21B" w14:textId="77777777" w:rsidR="00F63AA2" w:rsidRDefault="00F63AA2" w:rsidP="003D258A">
            <w:pPr>
              <w:rPr>
                <w:sz w:val="25"/>
                <w:szCs w:val="25"/>
              </w:rPr>
            </w:pPr>
            <w:r>
              <w:rPr>
                <w:sz w:val="25"/>
                <w:szCs w:val="25"/>
              </w:rPr>
              <w:t>August 1, 2016</w:t>
            </w:r>
            <w:r w:rsidR="003D258A">
              <w:rPr>
                <w:sz w:val="25"/>
                <w:szCs w:val="25"/>
              </w:rPr>
              <w:t>, and August 3, 2016, if necessary</w:t>
            </w:r>
          </w:p>
          <w:p w14:paraId="6AD886CA" w14:textId="78FE2D61" w:rsidR="003D258A" w:rsidRPr="0019656C" w:rsidRDefault="003D258A" w:rsidP="003D258A"/>
        </w:tc>
      </w:tr>
      <w:tr w:rsidR="00F63AA2" w:rsidRPr="00C61316" w14:paraId="126480A4"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1A3A4A98" w14:textId="77777777" w:rsidR="00F63AA2" w:rsidRDefault="00F63AA2" w:rsidP="00046FF5">
            <w:pPr>
              <w:rPr>
                <w:sz w:val="26"/>
                <w:szCs w:val="26"/>
              </w:rPr>
            </w:pPr>
            <w:r>
              <w:rPr>
                <w:sz w:val="26"/>
                <w:szCs w:val="26"/>
              </w:rPr>
              <w:t>Initial Briefs</w:t>
            </w:r>
          </w:p>
        </w:tc>
        <w:tc>
          <w:tcPr>
            <w:tcW w:w="2970" w:type="dxa"/>
            <w:tcBorders>
              <w:top w:val="single" w:sz="4" w:space="0" w:color="auto"/>
              <w:bottom w:val="single" w:sz="4" w:space="0" w:color="auto"/>
              <w:right w:val="thinThickThinSmallGap" w:sz="24" w:space="0" w:color="auto"/>
            </w:tcBorders>
          </w:tcPr>
          <w:p w14:paraId="494C6250" w14:textId="77777777" w:rsidR="00F63AA2" w:rsidRDefault="00F63AA2" w:rsidP="00046FF5">
            <w:pPr>
              <w:rPr>
                <w:sz w:val="25"/>
                <w:szCs w:val="25"/>
              </w:rPr>
            </w:pPr>
            <w:r>
              <w:rPr>
                <w:sz w:val="25"/>
                <w:szCs w:val="25"/>
              </w:rPr>
              <w:t>August 26, 2016</w:t>
            </w:r>
          </w:p>
        </w:tc>
      </w:tr>
      <w:tr w:rsidR="00F63AA2" w:rsidRPr="00C61316" w14:paraId="4156B2B1" w14:textId="77777777" w:rsidTr="00046FF5">
        <w:trPr>
          <w:cantSplit/>
          <w:trHeight w:val="738"/>
        </w:trPr>
        <w:tc>
          <w:tcPr>
            <w:tcW w:w="5310" w:type="dxa"/>
            <w:tcBorders>
              <w:top w:val="single" w:sz="4" w:space="0" w:color="auto"/>
              <w:left w:val="thinThickSmallGap" w:sz="24" w:space="0" w:color="auto"/>
              <w:bottom w:val="single" w:sz="4" w:space="0" w:color="auto"/>
            </w:tcBorders>
          </w:tcPr>
          <w:p w14:paraId="34A7C46F" w14:textId="77777777" w:rsidR="00F63AA2" w:rsidRDefault="00F63AA2" w:rsidP="00046FF5">
            <w:pPr>
              <w:rPr>
                <w:sz w:val="26"/>
                <w:szCs w:val="26"/>
              </w:rPr>
            </w:pPr>
            <w:r>
              <w:rPr>
                <w:sz w:val="26"/>
                <w:szCs w:val="26"/>
              </w:rPr>
              <w:t>Reply Briefs</w:t>
            </w:r>
          </w:p>
        </w:tc>
        <w:tc>
          <w:tcPr>
            <w:tcW w:w="2970" w:type="dxa"/>
            <w:tcBorders>
              <w:top w:val="single" w:sz="4" w:space="0" w:color="auto"/>
              <w:bottom w:val="single" w:sz="4" w:space="0" w:color="auto"/>
              <w:right w:val="thinThickThinSmallGap" w:sz="24" w:space="0" w:color="auto"/>
            </w:tcBorders>
          </w:tcPr>
          <w:p w14:paraId="23279A49" w14:textId="77777777" w:rsidR="00F63AA2" w:rsidRDefault="00F63AA2" w:rsidP="00046FF5">
            <w:pPr>
              <w:rPr>
                <w:sz w:val="25"/>
                <w:szCs w:val="25"/>
              </w:rPr>
            </w:pPr>
            <w:r>
              <w:rPr>
                <w:sz w:val="25"/>
                <w:szCs w:val="25"/>
              </w:rPr>
              <w:t>September 9, 2016</w:t>
            </w:r>
          </w:p>
        </w:tc>
      </w:tr>
      <w:tr w:rsidR="00F63AA2" w:rsidRPr="00C61316" w14:paraId="46665F3D" w14:textId="77777777" w:rsidTr="00046FF5">
        <w:trPr>
          <w:cantSplit/>
          <w:trHeight w:val="738"/>
        </w:trPr>
        <w:tc>
          <w:tcPr>
            <w:tcW w:w="5310" w:type="dxa"/>
            <w:tcBorders>
              <w:top w:val="single" w:sz="4" w:space="0" w:color="auto"/>
              <w:left w:val="thinThickSmallGap" w:sz="24" w:space="0" w:color="auto"/>
              <w:bottom w:val="thickThinSmallGap" w:sz="24" w:space="0" w:color="auto"/>
            </w:tcBorders>
          </w:tcPr>
          <w:p w14:paraId="361217C7" w14:textId="77777777" w:rsidR="00F63AA2" w:rsidRDefault="00F63AA2" w:rsidP="00046FF5">
            <w:pPr>
              <w:rPr>
                <w:sz w:val="26"/>
                <w:szCs w:val="26"/>
              </w:rPr>
            </w:pPr>
            <w:r>
              <w:rPr>
                <w:sz w:val="26"/>
                <w:szCs w:val="26"/>
              </w:rPr>
              <w:t>Suspension Date</w:t>
            </w:r>
          </w:p>
        </w:tc>
        <w:tc>
          <w:tcPr>
            <w:tcW w:w="2970" w:type="dxa"/>
            <w:tcBorders>
              <w:top w:val="single" w:sz="4" w:space="0" w:color="auto"/>
              <w:bottom w:val="thickThinSmallGap" w:sz="24" w:space="0" w:color="auto"/>
              <w:right w:val="thinThickThinSmallGap" w:sz="24" w:space="0" w:color="auto"/>
            </w:tcBorders>
          </w:tcPr>
          <w:p w14:paraId="6F270136" w14:textId="77777777" w:rsidR="00F63AA2" w:rsidRDefault="00F63AA2" w:rsidP="00046FF5">
            <w:pPr>
              <w:rPr>
                <w:sz w:val="25"/>
                <w:szCs w:val="25"/>
              </w:rPr>
            </w:pPr>
            <w:r>
              <w:rPr>
                <w:sz w:val="25"/>
                <w:szCs w:val="25"/>
              </w:rPr>
              <w:t>November 16, 2016</w:t>
            </w:r>
          </w:p>
        </w:tc>
      </w:tr>
    </w:tbl>
    <w:p w14:paraId="60609348" w14:textId="77777777" w:rsidR="00F63AA2" w:rsidRPr="00C61316" w:rsidRDefault="00F63AA2" w:rsidP="00F63AA2">
      <w:pPr>
        <w:pStyle w:val="Header"/>
        <w:spacing w:line="288" w:lineRule="auto"/>
        <w:rPr>
          <w:sz w:val="26"/>
          <w:szCs w:val="26"/>
        </w:rPr>
      </w:pPr>
    </w:p>
    <w:p w14:paraId="015EDFCC" w14:textId="02DB0C9F" w:rsidR="00477051" w:rsidRPr="00CA182A" w:rsidRDefault="00477051" w:rsidP="00F03873">
      <w:pPr>
        <w:pStyle w:val="NoSpacing"/>
        <w:rPr>
          <w:rFonts w:ascii="Times New Roman" w:hAnsi="Times New Roman" w:cs="Times New Roman"/>
          <w:sz w:val="24"/>
          <w:szCs w:val="24"/>
        </w:rPr>
      </w:pPr>
    </w:p>
    <w:sectPr w:rsidR="00477051" w:rsidRPr="00CA182A" w:rsidSect="00BF325E">
      <w:headerReference w:type="first" r:id="rId10"/>
      <w:pgSz w:w="12240" w:h="15840" w:code="1"/>
      <w:pgMar w:top="1440" w:right="1440" w:bottom="1440" w:left="1440" w:header="72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6C9C" w14:textId="77777777" w:rsidR="00D63F16" w:rsidRDefault="00D63F16" w:rsidP="00165419">
      <w:r>
        <w:separator/>
      </w:r>
    </w:p>
  </w:endnote>
  <w:endnote w:type="continuationSeparator" w:id="0">
    <w:p w14:paraId="78BC8308" w14:textId="77777777" w:rsidR="00D63F16" w:rsidRDefault="00D63F16" w:rsidP="001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98D4C" w14:textId="77777777" w:rsidR="00D63F16" w:rsidRDefault="00D63F16" w:rsidP="00165419">
      <w:r>
        <w:separator/>
      </w:r>
    </w:p>
  </w:footnote>
  <w:footnote w:type="continuationSeparator" w:id="0">
    <w:p w14:paraId="1A2ACA1F" w14:textId="77777777" w:rsidR="00D63F16" w:rsidRDefault="00D63F16" w:rsidP="00165419">
      <w:r>
        <w:continuationSeparator/>
      </w:r>
    </w:p>
  </w:footnote>
  <w:footnote w:id="1">
    <w:p w14:paraId="3DFF33DD" w14:textId="42F48FA7" w:rsidR="00C16F4A" w:rsidRDefault="00C16F4A">
      <w:pPr>
        <w:pStyle w:val="FootnoteText"/>
      </w:pPr>
      <w:r>
        <w:rPr>
          <w:rStyle w:val="FootnoteReference"/>
        </w:rPr>
        <w:footnoteRef/>
      </w:r>
      <w:r>
        <w:t xml:space="preserve"> The parties represent that Public Counsel does not join the motion but does not oppose it.</w:t>
      </w:r>
    </w:p>
  </w:footnote>
  <w:footnote w:id="2">
    <w:p w14:paraId="73FF0F1D" w14:textId="77777777" w:rsidR="00F63AA2" w:rsidRPr="0019656C" w:rsidRDefault="00F63AA2" w:rsidP="00F63AA2">
      <w:pPr>
        <w:pStyle w:val="FootnoteText"/>
        <w:spacing w:after="120"/>
        <w:rPr>
          <w:sz w:val="22"/>
          <w:szCs w:val="22"/>
        </w:rPr>
      </w:pPr>
      <w:r w:rsidRPr="0019656C">
        <w:rPr>
          <w:rStyle w:val="FootnoteReference"/>
          <w:sz w:val="22"/>
          <w:szCs w:val="22"/>
        </w:rPr>
        <w:footnoteRef/>
      </w:r>
      <w:r w:rsidRPr="0019656C">
        <w:rPr>
          <w:sz w:val="22"/>
          <w:szCs w:val="22"/>
        </w:rPr>
        <w:t xml:space="preserve"> </w:t>
      </w:r>
      <w:r>
        <w:rPr>
          <w:sz w:val="22"/>
          <w:szCs w:val="22"/>
        </w:rPr>
        <w:t xml:space="preserve">Response time to data requests will be 7 </w:t>
      </w:r>
      <w:r w:rsidRPr="0019656C">
        <w:rPr>
          <w:sz w:val="22"/>
          <w:szCs w:val="22"/>
        </w:rPr>
        <w:t>business day</w:t>
      </w:r>
      <w:r>
        <w:rPr>
          <w:sz w:val="22"/>
          <w:szCs w:val="22"/>
        </w:rPr>
        <w:t>s after this date</w:t>
      </w:r>
      <w:r w:rsidRPr="0019656C">
        <w:rPr>
          <w:sz w:val="22"/>
          <w:szCs w:val="22"/>
        </w:rPr>
        <w:t>.</w:t>
      </w:r>
    </w:p>
  </w:footnote>
  <w:footnote w:id="3">
    <w:p w14:paraId="1AF3C333" w14:textId="77777777" w:rsidR="00F63AA2" w:rsidRDefault="00F63AA2" w:rsidP="00F63AA2">
      <w:pPr>
        <w:pStyle w:val="FootnoteText"/>
        <w:spacing w:after="120"/>
      </w:pPr>
      <w:r w:rsidRPr="0019656C">
        <w:rPr>
          <w:rStyle w:val="FootnoteReference"/>
          <w:sz w:val="22"/>
          <w:szCs w:val="22"/>
        </w:rPr>
        <w:footnoteRef/>
      </w:r>
      <w:r w:rsidRPr="0019656C">
        <w:rPr>
          <w:sz w:val="22"/>
          <w:szCs w:val="22"/>
        </w:rPr>
        <w:t xml:space="preserve"> </w:t>
      </w:r>
      <w:r>
        <w:rPr>
          <w:sz w:val="22"/>
          <w:szCs w:val="22"/>
        </w:rPr>
        <w:t>Response time to data requests will be 5</w:t>
      </w:r>
      <w:r w:rsidRPr="0019656C">
        <w:rPr>
          <w:sz w:val="22"/>
          <w:szCs w:val="22"/>
        </w:rPr>
        <w:t xml:space="preserve"> business day</w:t>
      </w:r>
      <w:r>
        <w:rPr>
          <w:sz w:val="22"/>
          <w:szCs w:val="22"/>
        </w:rPr>
        <w:t>s after this date</w:t>
      </w:r>
      <w:r w:rsidRPr="0019656C">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F2C42" w14:textId="3237A6F7" w:rsidR="00186D9D" w:rsidRPr="00165419" w:rsidRDefault="00186D9D" w:rsidP="00165419">
    <w:pPr>
      <w:pStyle w:val="Header"/>
      <w:tabs>
        <w:tab w:val="clear" w:pos="9360"/>
        <w:tab w:val="right" w:pos="8820"/>
      </w:tabs>
      <w:rPr>
        <w:b/>
        <w:noProof/>
        <w:sz w:val="20"/>
        <w:szCs w:val="20"/>
      </w:rPr>
    </w:pPr>
    <w:r w:rsidRPr="00165419">
      <w:rPr>
        <w:b/>
        <w:sz w:val="20"/>
        <w:szCs w:val="20"/>
      </w:rPr>
      <w:t>DOCKET</w:t>
    </w:r>
    <w:r w:rsidR="001749CD">
      <w:rPr>
        <w:b/>
        <w:sz w:val="20"/>
        <w:szCs w:val="20"/>
      </w:rPr>
      <w:t>S</w:t>
    </w:r>
    <w:r w:rsidRPr="00165419">
      <w:rPr>
        <w:b/>
        <w:sz w:val="20"/>
        <w:szCs w:val="20"/>
      </w:rPr>
      <w:t xml:space="preserve"> </w:t>
    </w:r>
    <w:r w:rsidR="00357ED9">
      <w:rPr>
        <w:b/>
        <w:sz w:val="20"/>
        <w:szCs w:val="20"/>
      </w:rPr>
      <w:t>UE-151871 &amp; UG-151872 (</w:t>
    </w:r>
    <w:r w:rsidR="00357ED9" w:rsidRPr="00357ED9">
      <w:rPr>
        <w:b/>
        <w:i/>
        <w:sz w:val="20"/>
        <w:szCs w:val="20"/>
      </w:rPr>
      <w:t>consolidated</w:t>
    </w:r>
    <w:r w:rsidR="00357ED9">
      <w:rPr>
        <w:b/>
        <w:sz w:val="20"/>
        <w:szCs w:val="20"/>
      </w:rPr>
      <w:t>)</w:t>
    </w:r>
    <w:r w:rsidRPr="00165419">
      <w:rPr>
        <w:b/>
        <w:sz w:val="20"/>
        <w:szCs w:val="20"/>
      </w:rPr>
      <w:tab/>
    </w:r>
    <w:r w:rsidRPr="00165419">
      <w:rPr>
        <w:b/>
        <w:sz w:val="20"/>
        <w:szCs w:val="20"/>
      </w:rPr>
      <w:tab/>
      <w:t xml:space="preserve">PAGE </w:t>
    </w:r>
    <w:r w:rsidRPr="00165419">
      <w:rPr>
        <w:b/>
        <w:sz w:val="20"/>
        <w:szCs w:val="20"/>
      </w:rPr>
      <w:fldChar w:fldCharType="begin"/>
    </w:r>
    <w:r w:rsidRPr="00165419">
      <w:rPr>
        <w:b/>
        <w:sz w:val="20"/>
        <w:szCs w:val="20"/>
      </w:rPr>
      <w:instrText xml:space="preserve"> PAGE   \* MERGEFORMAT </w:instrText>
    </w:r>
    <w:r w:rsidRPr="00165419">
      <w:rPr>
        <w:b/>
        <w:sz w:val="20"/>
        <w:szCs w:val="20"/>
      </w:rPr>
      <w:fldChar w:fldCharType="separate"/>
    </w:r>
    <w:r w:rsidR="00CF295A">
      <w:rPr>
        <w:b/>
        <w:noProof/>
        <w:sz w:val="20"/>
        <w:szCs w:val="20"/>
      </w:rPr>
      <w:t>2</w:t>
    </w:r>
    <w:r w:rsidRPr="00165419">
      <w:rPr>
        <w:b/>
        <w:noProof/>
        <w:sz w:val="20"/>
        <w:szCs w:val="20"/>
      </w:rPr>
      <w:fldChar w:fldCharType="end"/>
    </w:r>
  </w:p>
  <w:p w14:paraId="70E1CF9E" w14:textId="77777777" w:rsidR="00186D9D" w:rsidRDefault="00186D9D" w:rsidP="00165419">
    <w:pPr>
      <w:pStyle w:val="Header"/>
      <w:tabs>
        <w:tab w:val="clear" w:pos="9360"/>
        <w:tab w:val="right" w:pos="8820"/>
      </w:tabs>
      <w:rPr>
        <w:b/>
        <w:sz w:val="20"/>
        <w:szCs w:val="20"/>
      </w:rPr>
    </w:pPr>
  </w:p>
  <w:p w14:paraId="72431B21" w14:textId="77777777" w:rsidR="00BF325E" w:rsidRPr="00165419" w:rsidRDefault="00BF325E" w:rsidP="00165419">
    <w:pPr>
      <w:pStyle w:val="Header"/>
      <w:tabs>
        <w:tab w:val="clear" w:pos="9360"/>
        <w:tab w:val="right" w:pos="882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1D3B" w14:textId="723A40C7" w:rsidR="00186D9D" w:rsidRPr="000025C2" w:rsidRDefault="00186D9D" w:rsidP="008B37AC">
    <w:pPr>
      <w:pStyle w:val="Header"/>
      <w:tabs>
        <w:tab w:val="clear" w:pos="4680"/>
      </w:tabs>
      <w:rPr>
        <w:b/>
        <w:sz w:val="20"/>
        <w:szCs w:val="20"/>
      </w:rPr>
    </w:pPr>
    <w:r>
      <w:tab/>
    </w:r>
    <w:r w:rsidR="002500F7">
      <w:t>Service Date: May 4,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2FE8" w14:textId="46F6C367" w:rsidR="00F63AA2" w:rsidRPr="000025C2" w:rsidRDefault="00F63AA2" w:rsidP="008B37AC">
    <w:pPr>
      <w:pStyle w:val="Header"/>
      <w:tabs>
        <w:tab w:val="clear" w:pos="4680"/>
      </w:tabs>
      <w:rPr>
        <w:b/>
        <w:sz w:val="20"/>
        <w:szCs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3"/>
    <w:rsid w:val="000025C2"/>
    <w:rsid w:val="000A60CF"/>
    <w:rsid w:val="000B25F6"/>
    <w:rsid w:val="000E640C"/>
    <w:rsid w:val="000F4FAA"/>
    <w:rsid w:val="00160261"/>
    <w:rsid w:val="00165419"/>
    <w:rsid w:val="001749CD"/>
    <w:rsid w:val="00186D9D"/>
    <w:rsid w:val="001C245B"/>
    <w:rsid w:val="001C5AB1"/>
    <w:rsid w:val="001D01CD"/>
    <w:rsid w:val="001E1D7A"/>
    <w:rsid w:val="001E2B4E"/>
    <w:rsid w:val="001F35D7"/>
    <w:rsid w:val="00213110"/>
    <w:rsid w:val="002500F7"/>
    <w:rsid w:val="00283A1B"/>
    <w:rsid w:val="002C039A"/>
    <w:rsid w:val="00357ED9"/>
    <w:rsid w:val="00396A08"/>
    <w:rsid w:val="003B1A72"/>
    <w:rsid w:val="003D258A"/>
    <w:rsid w:val="00433D35"/>
    <w:rsid w:val="00447108"/>
    <w:rsid w:val="00464357"/>
    <w:rsid w:val="00477051"/>
    <w:rsid w:val="004D4F6C"/>
    <w:rsid w:val="00531A20"/>
    <w:rsid w:val="00552600"/>
    <w:rsid w:val="005A6C74"/>
    <w:rsid w:val="005D0F63"/>
    <w:rsid w:val="0062570D"/>
    <w:rsid w:val="00625E70"/>
    <w:rsid w:val="0066676A"/>
    <w:rsid w:val="00672F7B"/>
    <w:rsid w:val="006A41EE"/>
    <w:rsid w:val="006C5D65"/>
    <w:rsid w:val="007C647F"/>
    <w:rsid w:val="007F47FE"/>
    <w:rsid w:val="0083493F"/>
    <w:rsid w:val="008B37AC"/>
    <w:rsid w:val="008D3674"/>
    <w:rsid w:val="00930E44"/>
    <w:rsid w:val="00935F1D"/>
    <w:rsid w:val="009754B3"/>
    <w:rsid w:val="00990AB0"/>
    <w:rsid w:val="00A5155A"/>
    <w:rsid w:val="00A54C3D"/>
    <w:rsid w:val="00A84C2A"/>
    <w:rsid w:val="00AD3312"/>
    <w:rsid w:val="00AE273E"/>
    <w:rsid w:val="00B13041"/>
    <w:rsid w:val="00BF325E"/>
    <w:rsid w:val="00C01F6B"/>
    <w:rsid w:val="00C16F4A"/>
    <w:rsid w:val="00C2423B"/>
    <w:rsid w:val="00C46D0B"/>
    <w:rsid w:val="00C60660"/>
    <w:rsid w:val="00CA182A"/>
    <w:rsid w:val="00CB2269"/>
    <w:rsid w:val="00CE67B6"/>
    <w:rsid w:val="00CE6967"/>
    <w:rsid w:val="00CF295A"/>
    <w:rsid w:val="00D15850"/>
    <w:rsid w:val="00D16860"/>
    <w:rsid w:val="00D63F16"/>
    <w:rsid w:val="00DA1B86"/>
    <w:rsid w:val="00DD2A47"/>
    <w:rsid w:val="00DE5B47"/>
    <w:rsid w:val="00E0244F"/>
    <w:rsid w:val="00E07DEF"/>
    <w:rsid w:val="00E12BF8"/>
    <w:rsid w:val="00E23E44"/>
    <w:rsid w:val="00E339AA"/>
    <w:rsid w:val="00F03873"/>
    <w:rsid w:val="00F21B68"/>
    <w:rsid w:val="00F63AA2"/>
    <w:rsid w:val="00FC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A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3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63AA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03873"/>
  </w:style>
  <w:style w:type="paragraph" w:styleId="Header">
    <w:name w:val="header"/>
    <w:basedOn w:val="Normal"/>
    <w:link w:val="HeaderChar"/>
    <w:uiPriority w:val="99"/>
    <w:unhideWhenUsed/>
    <w:rsid w:val="00165419"/>
    <w:pPr>
      <w:tabs>
        <w:tab w:val="center" w:pos="4680"/>
        <w:tab w:val="right" w:pos="9360"/>
      </w:tabs>
    </w:pPr>
  </w:style>
  <w:style w:type="character" w:customStyle="1" w:styleId="HeaderChar">
    <w:name w:val="Header Char"/>
    <w:basedOn w:val="DefaultParagraphFont"/>
    <w:link w:val="Header"/>
    <w:uiPriority w:val="99"/>
    <w:rsid w:val="00165419"/>
  </w:style>
  <w:style w:type="paragraph" w:styleId="Footer">
    <w:name w:val="footer"/>
    <w:basedOn w:val="Normal"/>
    <w:link w:val="FooterChar"/>
    <w:uiPriority w:val="99"/>
    <w:unhideWhenUsed/>
    <w:rsid w:val="00165419"/>
    <w:pPr>
      <w:tabs>
        <w:tab w:val="center" w:pos="4680"/>
        <w:tab w:val="right" w:pos="9360"/>
      </w:tabs>
    </w:pPr>
  </w:style>
  <w:style w:type="character" w:customStyle="1" w:styleId="FooterChar">
    <w:name w:val="Footer Char"/>
    <w:basedOn w:val="DefaultParagraphFont"/>
    <w:link w:val="Footer"/>
    <w:uiPriority w:val="99"/>
    <w:rsid w:val="00165419"/>
  </w:style>
  <w:style w:type="paragraph" w:styleId="BalloonText">
    <w:name w:val="Balloon Text"/>
    <w:basedOn w:val="Normal"/>
    <w:link w:val="BalloonTextChar"/>
    <w:uiPriority w:val="99"/>
    <w:semiHidden/>
    <w:unhideWhenUsed/>
    <w:rsid w:val="009754B3"/>
    <w:rPr>
      <w:rFonts w:ascii="Tahoma" w:hAnsi="Tahoma" w:cs="Tahoma"/>
      <w:sz w:val="16"/>
      <w:szCs w:val="16"/>
    </w:rPr>
  </w:style>
  <w:style w:type="character" w:customStyle="1" w:styleId="BalloonTextChar">
    <w:name w:val="Balloon Text Char"/>
    <w:basedOn w:val="DefaultParagraphFont"/>
    <w:link w:val="BalloonText"/>
    <w:uiPriority w:val="99"/>
    <w:semiHidden/>
    <w:rsid w:val="009754B3"/>
    <w:rPr>
      <w:rFonts w:ascii="Tahoma" w:hAnsi="Tahoma" w:cs="Tahoma"/>
      <w:sz w:val="16"/>
      <w:szCs w:val="16"/>
    </w:rPr>
  </w:style>
  <w:style w:type="character" w:customStyle="1" w:styleId="Heading2Char">
    <w:name w:val="Heading 2 Char"/>
    <w:basedOn w:val="DefaultParagraphFont"/>
    <w:link w:val="Heading2"/>
    <w:uiPriority w:val="9"/>
    <w:semiHidden/>
    <w:rsid w:val="00F63AA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63AA2"/>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
    <w:basedOn w:val="Normal"/>
    <w:link w:val="FootnoteTextChar1"/>
    <w:qFormat/>
    <w:rsid w:val="00F63AA2"/>
    <w:rPr>
      <w:sz w:val="20"/>
      <w:szCs w:val="20"/>
    </w:rPr>
  </w:style>
  <w:style w:type="character" w:customStyle="1" w:styleId="FootnoteTextChar">
    <w:name w:val="Footnote Text Char"/>
    <w:basedOn w:val="DefaultParagraphFont"/>
    <w:uiPriority w:val="99"/>
    <w:semiHidden/>
    <w:rsid w:val="00F63AA2"/>
    <w:rPr>
      <w:rFonts w:ascii="Times New Roman" w:eastAsia="Times New Roman" w:hAnsi="Times New Roman" w:cs="Times New Roman"/>
      <w:sz w:val="20"/>
      <w:szCs w:val="20"/>
    </w:rPr>
  </w:style>
  <w:style w:type="character" w:styleId="FootnoteReference">
    <w:name w:val="footnote reference"/>
    <w:qFormat/>
    <w:rsid w:val="00F63AA2"/>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r Char"/>
    <w:link w:val="FootnoteText"/>
    <w:locked/>
    <w:rsid w:val="00F63A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2016-05-04T18:32:00+00:00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21DAB69-5FF8-457F-BC7F-D77115C31985}"/>
</file>

<file path=customXml/itemProps2.xml><?xml version="1.0" encoding="utf-8"?>
<ds:datastoreItem xmlns:ds="http://schemas.openxmlformats.org/officeDocument/2006/customXml" ds:itemID="{CEB891A7-73BC-44FD-A3B7-FCFA194F9885}"/>
</file>

<file path=customXml/itemProps3.xml><?xml version="1.0" encoding="utf-8"?>
<ds:datastoreItem xmlns:ds="http://schemas.openxmlformats.org/officeDocument/2006/customXml" ds:itemID="{1B5CE232-801F-490C-BAEE-5C646AD8344D}"/>
</file>

<file path=customXml/itemProps4.xml><?xml version="1.0" encoding="utf-8"?>
<ds:datastoreItem xmlns:ds="http://schemas.openxmlformats.org/officeDocument/2006/customXml" ds:itemID="{4FA9A203-C48E-4BC4-8AFC-0A1D4CCB0CFB}"/>
</file>

<file path=customXml/itemProps5.xml><?xml version="1.0" encoding="utf-8"?>
<ds:datastoreItem xmlns:ds="http://schemas.openxmlformats.org/officeDocument/2006/customXml" ds:itemID="{FAFBDC62-0758-4388-BA04-BAFD37A23478}"/>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2885</Characters>
  <Application>Microsoft Office Word</Application>
  <DocSecurity>0</DocSecurity>
  <Lines>24</Lines>
  <Paragraphs>6</Paragraphs>
  <ScaleCrop>false</ScaleCrop>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Revised Procedural Schedule and Notice of Hearing</dc:title>
  <dc:creator/>
  <cp:lastModifiedBy/>
  <cp:revision>1</cp:revision>
  <dcterms:created xsi:type="dcterms:W3CDTF">2016-05-04T15:35:00Z</dcterms:created>
  <dcterms:modified xsi:type="dcterms:W3CDTF">2016-05-04T15:36:00Z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