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13699" w14:textId="77777777" w:rsidR="00B12366" w:rsidRDefault="00B12366" w:rsidP="00B12366">
      <w:pPr>
        <w:pStyle w:val="IRPtitl"/>
      </w:pPr>
    </w:p>
    <w:p w14:paraId="10C853D1" w14:textId="09D84DC2" w:rsidR="00890FDA" w:rsidRPr="009B001C" w:rsidRDefault="00A414B2" w:rsidP="00A414B2">
      <w:pPr>
        <w:pStyle w:val="IRPtitl"/>
        <w:rPr>
          <w:sz w:val="48"/>
          <w:szCs w:val="48"/>
        </w:rPr>
      </w:pPr>
      <w:r>
        <w:rPr>
          <w:sz w:val="48"/>
          <w:szCs w:val="48"/>
        </w:rPr>
        <w:t xml:space="preserve">DISTRIBUTED </w:t>
      </w:r>
      <w:r w:rsidR="004E78E3">
        <w:rPr>
          <w:sz w:val="48"/>
          <w:szCs w:val="48"/>
        </w:rPr>
        <w:t xml:space="preserve">SOLAR </w:t>
      </w:r>
      <w:r w:rsidR="00045148" w:rsidRPr="00045148">
        <w:rPr>
          <w:sz w:val="48"/>
          <w:szCs w:val="48"/>
        </w:rPr>
        <w:br/>
      </w:r>
      <w:r w:rsidR="006C4F05">
        <w:rPr>
          <w:noProof/>
          <w:color w:val="FFFFFF" w:themeColor="background1"/>
          <w:sz w:val="48"/>
          <w:szCs w:val="48"/>
          <w:lang w:eastAsia="en-US"/>
        </w:rPr>
        <mc:AlternateContent>
          <mc:Choice Requires="wps">
            <w:drawing>
              <wp:anchor distT="0" distB="0" distL="0" distR="182880" simplePos="0" relativeHeight="251661312" behindDoc="0" locked="0" layoutInCell="1" allowOverlap="1" wp14:anchorId="3D905CFC" wp14:editId="1602F0B0">
                <wp:simplePos x="0" y="0"/>
                <wp:positionH relativeFrom="margin">
                  <wp:posOffset>51435</wp:posOffset>
                </wp:positionH>
                <wp:positionV relativeFrom="line">
                  <wp:posOffset>218440</wp:posOffset>
                </wp:positionV>
                <wp:extent cx="2400300" cy="3200400"/>
                <wp:effectExtent l="0" t="0" r="12700" b="0"/>
                <wp:wrapThrough wrapText="right">
                  <wp:wrapPolygon edited="0">
                    <wp:start x="0" y="0"/>
                    <wp:lineTo x="0" y="21429"/>
                    <wp:lineTo x="21486" y="21429"/>
                    <wp:lineTo x="21486" y="0"/>
                    <wp:lineTo x="0" y="0"/>
                  </wp:wrapPolygon>
                </wp:wrapThrough>
                <wp:docPr id="5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00400"/>
                        </a:xfrm>
                        <a:prstGeom prst="rect">
                          <a:avLst/>
                        </a:prstGeom>
                        <a:solidFill>
                          <a:srgbClr val="71BB32"/>
                        </a:solidFill>
                        <a:ln>
                          <a:noFill/>
                        </a:ln>
                        <a:extLst/>
                      </wps:spPr>
                      <wps:txbx>
                        <w:txbxContent>
                          <w:p w14:paraId="4A91235C" w14:textId="77777777" w:rsidR="00CA7DFC" w:rsidRDefault="00CA7DFC" w:rsidP="00601E72">
                            <w:pPr>
                              <w:pStyle w:val="IRPsub1"/>
                              <w:rPr>
                                <w:i w:val="0"/>
                                <w:sz w:val="8"/>
                                <w:szCs w:val="32"/>
                              </w:rPr>
                            </w:pPr>
                          </w:p>
                          <w:p w14:paraId="3D0654F1" w14:textId="77777777" w:rsidR="00CA7DFC" w:rsidRPr="00771D35" w:rsidRDefault="00CA7DFC" w:rsidP="00601E72">
                            <w:pPr>
                              <w:pStyle w:val="IRPsub1"/>
                              <w:rPr>
                                <w:i w:val="0"/>
                                <w:sz w:val="32"/>
                                <w:szCs w:val="32"/>
                              </w:rPr>
                            </w:pPr>
                            <w:r>
                              <w:rPr>
                                <w:i w:val="0"/>
                                <w:sz w:val="32"/>
                                <w:szCs w:val="32"/>
                              </w:rPr>
                              <w:t>Contents</w:t>
                            </w:r>
                          </w:p>
                          <w:p w14:paraId="36F57732" w14:textId="77777777" w:rsidR="00CA7DFC" w:rsidRDefault="00CA7DFC" w:rsidP="00B12366">
                            <w:pPr>
                              <w:pStyle w:val="IRPsub1"/>
                              <w:spacing w:before="80" w:after="80"/>
                              <w:rPr>
                                <w:b/>
                                <w:color w:val="02265C"/>
                              </w:rPr>
                            </w:pPr>
                            <w:r>
                              <w:rPr>
                                <w:b/>
                                <w:color w:val="02265C"/>
                              </w:rPr>
                              <w:t>M-2. OVERVIEW</w:t>
                            </w:r>
                          </w:p>
                          <w:p w14:paraId="01EA843F" w14:textId="77777777" w:rsidR="00CA7DFC" w:rsidRDefault="00CA7DFC" w:rsidP="00B12366">
                            <w:pPr>
                              <w:pStyle w:val="IRPsub1"/>
                              <w:spacing w:before="80" w:after="80"/>
                              <w:rPr>
                                <w:b/>
                                <w:color w:val="02265C"/>
                              </w:rPr>
                            </w:pPr>
                            <w:r>
                              <w:rPr>
                                <w:b/>
                                <w:color w:val="02265C"/>
                              </w:rPr>
                              <w:t xml:space="preserve">M-3. DISTRIBUTED SOLAR  </w:t>
                            </w:r>
                            <w:r w:rsidR="00FD2D19">
                              <w:rPr>
                                <w:b/>
                                <w:color w:val="02265C"/>
                              </w:rPr>
                              <w:br/>
                              <w:t xml:space="preserve">      </w:t>
                            </w:r>
                            <w:r>
                              <w:rPr>
                                <w:b/>
                                <w:color w:val="02265C"/>
                              </w:rPr>
                              <w:t xml:space="preserve">PV IMPACT AT THE    </w:t>
                            </w:r>
                            <w:r w:rsidR="00FD2D19">
                              <w:rPr>
                                <w:b/>
                                <w:color w:val="02265C"/>
                              </w:rPr>
                              <w:br/>
                              <w:t xml:space="preserve">      </w:t>
                            </w:r>
                            <w:r>
                              <w:rPr>
                                <w:b/>
                                <w:color w:val="02265C"/>
                              </w:rPr>
                              <w:t>CIRCUIT LEVEL</w:t>
                            </w:r>
                          </w:p>
                          <w:p w14:paraId="1CE01884" w14:textId="77777777" w:rsidR="00CA7DFC" w:rsidRDefault="00FD2D19" w:rsidP="00FD2D19">
                            <w:pPr>
                              <w:pStyle w:val="IRPsub1"/>
                              <w:numPr>
                                <w:ilvl w:val="0"/>
                                <w:numId w:val="33"/>
                              </w:numPr>
                              <w:tabs>
                                <w:tab w:val="clear" w:pos="360"/>
                                <w:tab w:val="num" w:pos="540"/>
                              </w:tabs>
                              <w:spacing w:before="80" w:after="80"/>
                              <w:ind w:hanging="90"/>
                              <w:rPr>
                                <w:b/>
                                <w:color w:val="02265C"/>
                              </w:rPr>
                            </w:pPr>
                            <w:r>
                              <w:rPr>
                                <w:color w:val="02265C"/>
                              </w:rPr>
                              <w:t xml:space="preserve">Study Design and </w:t>
                            </w:r>
                            <w:r>
                              <w:rPr>
                                <w:color w:val="02265C"/>
                              </w:rPr>
                              <w:br/>
                              <w:t xml:space="preserve">  </w:t>
                            </w:r>
                            <w:r w:rsidR="00CA7DFC" w:rsidRPr="00D82871">
                              <w:rPr>
                                <w:color w:val="02265C"/>
                              </w:rPr>
                              <w:t>Assumptions</w:t>
                            </w:r>
                          </w:p>
                          <w:p w14:paraId="5C193933" w14:textId="77777777" w:rsidR="00CA7DFC" w:rsidRDefault="00CA7DFC" w:rsidP="00FD2D19">
                            <w:pPr>
                              <w:pStyle w:val="IRPsub1"/>
                              <w:numPr>
                                <w:ilvl w:val="0"/>
                                <w:numId w:val="33"/>
                              </w:numPr>
                              <w:tabs>
                                <w:tab w:val="clear" w:pos="360"/>
                                <w:tab w:val="num" w:pos="540"/>
                              </w:tabs>
                              <w:spacing w:before="80" w:after="80"/>
                              <w:ind w:hanging="90"/>
                              <w:rPr>
                                <w:i w:val="0"/>
                                <w:color w:val="02265C"/>
                              </w:rPr>
                            </w:pPr>
                            <w:r>
                              <w:rPr>
                                <w:color w:val="02265C"/>
                              </w:rPr>
                              <w:t>Findings</w:t>
                            </w:r>
                            <w:r>
                              <w:rPr>
                                <w:b/>
                                <w:color w:val="02265C"/>
                              </w:rPr>
                              <w:t xml:space="preserve"> </w:t>
                            </w:r>
                          </w:p>
                          <w:p w14:paraId="4EB441AD" w14:textId="77777777" w:rsidR="00CA7DFC" w:rsidRPr="00D82871" w:rsidRDefault="00CA7DFC" w:rsidP="00FD2D19">
                            <w:pPr>
                              <w:pStyle w:val="IRPsub1"/>
                              <w:numPr>
                                <w:ilvl w:val="0"/>
                                <w:numId w:val="33"/>
                              </w:numPr>
                              <w:tabs>
                                <w:tab w:val="clear" w:pos="360"/>
                                <w:tab w:val="num" w:pos="540"/>
                              </w:tabs>
                              <w:spacing w:before="80" w:after="80"/>
                              <w:ind w:hanging="90"/>
                              <w:rPr>
                                <w:i w:val="0"/>
                                <w:color w:val="02265C"/>
                              </w:rPr>
                            </w:pPr>
                            <w:r w:rsidRPr="00D82871">
                              <w:rPr>
                                <w:color w:val="02265C"/>
                              </w:rPr>
                              <w:t xml:space="preserve">Summary </w:t>
                            </w:r>
                          </w:p>
                          <w:p w14:paraId="7448761E" w14:textId="77777777" w:rsidR="00CA7DFC" w:rsidRDefault="00CA7DFC" w:rsidP="00FB5A92">
                            <w:pPr>
                              <w:pStyle w:val="IRPsub1"/>
                              <w:spacing w:before="80" w:after="80"/>
                              <w:rPr>
                                <w:b/>
                                <w:caps/>
                                <w:color w:val="02265C"/>
                              </w:rPr>
                            </w:pPr>
                            <w:r>
                              <w:rPr>
                                <w:b/>
                                <w:caps/>
                                <w:color w:val="02265C"/>
                              </w:rPr>
                              <w:t>M-23</w:t>
                            </w:r>
                            <w:r w:rsidRPr="00D82871">
                              <w:rPr>
                                <w:b/>
                                <w:caps/>
                                <w:color w:val="02265C"/>
                              </w:rPr>
                              <w:t xml:space="preserve">. </w:t>
                            </w:r>
                            <w:r>
                              <w:rPr>
                                <w:b/>
                                <w:caps/>
                                <w:color w:val="02265C"/>
                              </w:rPr>
                              <w:t xml:space="preserve">Distributed </w:t>
                            </w:r>
                            <w:r w:rsidR="00FD2D19">
                              <w:rPr>
                                <w:b/>
                                <w:caps/>
                                <w:color w:val="02265C"/>
                              </w:rPr>
                              <w:br/>
                              <w:t xml:space="preserve">      </w:t>
                            </w:r>
                            <w:r w:rsidRPr="00D82871">
                              <w:rPr>
                                <w:b/>
                                <w:caps/>
                                <w:color w:val="02265C"/>
                              </w:rPr>
                              <w:t xml:space="preserve">Photovoltaic </w:t>
                            </w:r>
                            <w:r w:rsidR="00FD2D19">
                              <w:rPr>
                                <w:b/>
                                <w:caps/>
                                <w:color w:val="02265C"/>
                              </w:rPr>
                              <w:br/>
                              <w:t xml:space="preserve">      </w:t>
                            </w:r>
                            <w:r w:rsidRPr="00D82871">
                              <w:rPr>
                                <w:b/>
                                <w:caps/>
                                <w:color w:val="02265C"/>
                              </w:rPr>
                              <w:t xml:space="preserve">Technical and Market </w:t>
                            </w:r>
                            <w:r w:rsidR="00FD2D19">
                              <w:rPr>
                                <w:b/>
                                <w:caps/>
                                <w:color w:val="02265C"/>
                              </w:rPr>
                              <w:br/>
                              <w:t xml:space="preserve">      </w:t>
                            </w:r>
                            <w:r w:rsidRPr="00D82871">
                              <w:rPr>
                                <w:b/>
                                <w:caps/>
                                <w:color w:val="02265C"/>
                              </w:rPr>
                              <w:t>Potential</w:t>
                            </w:r>
                          </w:p>
                          <w:p w14:paraId="1AE848CC" w14:textId="77777777" w:rsidR="00CA7DFC" w:rsidRPr="00D82871" w:rsidRDefault="00CA7DFC" w:rsidP="00FD2D19">
                            <w:pPr>
                              <w:pStyle w:val="IRPsub1"/>
                              <w:numPr>
                                <w:ilvl w:val="0"/>
                                <w:numId w:val="34"/>
                              </w:numPr>
                              <w:tabs>
                                <w:tab w:val="clear" w:pos="360"/>
                                <w:tab w:val="num" w:pos="270"/>
                              </w:tabs>
                              <w:spacing w:before="80" w:after="80"/>
                              <w:ind w:left="450" w:hanging="180"/>
                              <w:rPr>
                                <w:color w:val="02265C"/>
                              </w:rPr>
                            </w:pPr>
                            <w:r>
                              <w:rPr>
                                <w:caps/>
                                <w:color w:val="02265C"/>
                              </w:rPr>
                              <w:t>C</w:t>
                            </w:r>
                            <w:r>
                              <w:rPr>
                                <w:color w:val="02265C"/>
                              </w:rPr>
                              <w:t>admus Group Report</w:t>
                            </w:r>
                          </w:p>
                          <w:p w14:paraId="5C3D832A" w14:textId="77777777" w:rsidR="00CA7DFC" w:rsidRDefault="00CA7DFC" w:rsidP="00FB5A92">
                            <w:pPr>
                              <w:pStyle w:val="IRPsub1"/>
                              <w:spacing w:before="80" w:after="80"/>
                              <w:rPr>
                                <w:color w:val="02265C"/>
                              </w:rPr>
                            </w:pPr>
                          </w:p>
                          <w:p w14:paraId="3EDDBFEB" w14:textId="77777777" w:rsidR="00CA7DFC" w:rsidRPr="00771D35" w:rsidRDefault="00CA7DFC" w:rsidP="00890FDA">
                            <w:pPr>
                              <w:pStyle w:val="IRPsub1"/>
                              <w:spacing w:before="80" w:after="80"/>
                              <w:rPr>
                                <w:color w:val="02265C"/>
                              </w:rPr>
                            </w:pPr>
                          </w:p>
                          <w:p w14:paraId="5C187628" w14:textId="77777777" w:rsidR="00CA7DFC" w:rsidRPr="00771D35" w:rsidRDefault="00CA7DFC" w:rsidP="00B12366">
                            <w:pPr>
                              <w:pStyle w:val="IRPsub1"/>
                              <w:spacing w:before="80" w:after="80"/>
                              <w:ind w:firstLine="270"/>
                              <w:rPr>
                                <w:color w:val="02265C"/>
                              </w:rPr>
                            </w:pPr>
                          </w:p>
                          <w:p w14:paraId="3179C9EE" w14:textId="77777777" w:rsidR="00CA7DFC" w:rsidRPr="00D013FE" w:rsidRDefault="00CA7DFC" w:rsidP="00601E72">
                            <w:pPr>
                              <w:pStyle w:val="IRPsub1"/>
                            </w:pPr>
                          </w:p>
                          <w:p w14:paraId="28446A6E" w14:textId="77777777" w:rsidR="00CA7DFC" w:rsidRPr="00D013FE" w:rsidRDefault="00CA7DFC" w:rsidP="00601E72">
                            <w:pPr>
                              <w:pStyle w:val="IRPsub1"/>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7" o:spid="_x0000_s1026" type="#_x0000_t202" style="position:absolute;left:0;text-align:left;margin-left:4.05pt;margin-top:17.2pt;width:189pt;height:252pt;z-index:251661312;visibility:visible;mso-wrap-style:square;mso-width-percent:0;mso-height-percent:0;mso-wrap-distance-left:0;mso-wrap-distance-top:0;mso-wrap-distance-right:14.4pt;mso-wrap-distance-bottom:0;mso-position-horizontal:absolute;mso-position-horizontal-relative:margin;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" fillcolor="#71bb32" stroked="f">
                <v:textbox inset="14.4pt,7.2pt,,7.2pt">
                  <w:txbxContent>
                    <w:p w14:paraId="4A91235C" w14:textId="77777777" w:rsidR="00CA7DFC" w:rsidRDefault="00CA7DFC" w:rsidP="00601E72">
                      <w:pPr>
                        <w:pStyle w:val="IRPsub1"/>
                        <w:rPr>
                          <w:i w:val="0"/>
                          <w:sz w:val="8"/>
                          <w:szCs w:val="32"/>
                        </w:rPr>
                      </w:pPr>
                    </w:p>
                    <w:p w14:paraId="3D0654F1" w14:textId="77777777" w:rsidR="00CA7DFC" w:rsidRPr="00771D35" w:rsidRDefault="00CA7DFC" w:rsidP="00601E72">
                      <w:pPr>
                        <w:pStyle w:val="IRPsub1"/>
                        <w:rPr>
                          <w:i w:val="0"/>
                          <w:sz w:val="32"/>
                          <w:szCs w:val="32"/>
                        </w:rPr>
                      </w:pPr>
                      <w:r>
                        <w:rPr>
                          <w:i w:val="0"/>
                          <w:sz w:val="32"/>
                          <w:szCs w:val="32"/>
                        </w:rPr>
                        <w:t>Contents</w:t>
                      </w:r>
                    </w:p>
                    <w:p w14:paraId="36F57732" w14:textId="77777777" w:rsidR="00CA7DFC" w:rsidRDefault="00CA7DFC" w:rsidP="00B12366">
                      <w:pPr>
                        <w:pStyle w:val="IRPsub1"/>
                        <w:spacing w:before="80" w:after="80"/>
                        <w:rPr>
                          <w:b/>
                          <w:color w:val="02265C"/>
                        </w:rPr>
                      </w:pPr>
                      <w:r>
                        <w:rPr>
                          <w:b/>
                          <w:color w:val="02265C"/>
                        </w:rPr>
                        <w:t>M-2. OVERVIEW</w:t>
                      </w:r>
                    </w:p>
                    <w:p w14:paraId="01EA843F" w14:textId="77777777" w:rsidR="00CA7DFC" w:rsidRDefault="00CA7DFC" w:rsidP="00B12366">
                      <w:pPr>
                        <w:pStyle w:val="IRPsub1"/>
                        <w:spacing w:before="80" w:after="80"/>
                        <w:rPr>
                          <w:b/>
                          <w:color w:val="02265C"/>
                        </w:rPr>
                      </w:pPr>
                      <w:r>
                        <w:rPr>
                          <w:b/>
                          <w:color w:val="02265C"/>
                        </w:rPr>
                        <w:t xml:space="preserve">M-3. DISTRIBUTED </w:t>
                      </w:r>
                      <w:proofErr w:type="gramStart"/>
                      <w:r>
                        <w:rPr>
                          <w:b/>
                          <w:color w:val="02265C"/>
                        </w:rPr>
                        <w:t xml:space="preserve">SOLAR  </w:t>
                      </w:r>
                      <w:proofErr w:type="gramEnd"/>
                      <w:r w:rsidR="00FD2D19">
                        <w:rPr>
                          <w:b/>
                          <w:color w:val="02265C"/>
                        </w:rPr>
                        <w:br/>
                        <w:t xml:space="preserve">      </w:t>
                      </w:r>
                      <w:r>
                        <w:rPr>
                          <w:b/>
                          <w:color w:val="02265C"/>
                        </w:rPr>
                        <w:t xml:space="preserve">PV IMPACT AT THE    </w:t>
                      </w:r>
                      <w:r w:rsidR="00FD2D19">
                        <w:rPr>
                          <w:b/>
                          <w:color w:val="02265C"/>
                        </w:rPr>
                        <w:br/>
                        <w:t xml:space="preserve">      </w:t>
                      </w:r>
                      <w:r>
                        <w:rPr>
                          <w:b/>
                          <w:color w:val="02265C"/>
                        </w:rPr>
                        <w:t>CIRCUIT LEVEL</w:t>
                      </w:r>
                    </w:p>
                    <w:p w14:paraId="1CE01884" w14:textId="77777777" w:rsidR="00CA7DFC" w:rsidRDefault="00FD2D19" w:rsidP="00FD2D19">
                      <w:pPr>
                        <w:pStyle w:val="IRPsub1"/>
                        <w:numPr>
                          <w:ilvl w:val="0"/>
                          <w:numId w:val="33"/>
                        </w:numPr>
                        <w:tabs>
                          <w:tab w:val="clear" w:pos="360"/>
                          <w:tab w:val="num" w:pos="540"/>
                        </w:tabs>
                        <w:spacing w:before="80" w:after="80"/>
                        <w:ind w:hanging="90"/>
                        <w:rPr>
                          <w:b/>
                          <w:color w:val="02265C"/>
                        </w:rPr>
                      </w:pPr>
                      <w:r>
                        <w:rPr>
                          <w:color w:val="02265C"/>
                        </w:rPr>
                        <w:t xml:space="preserve">Study Design and </w:t>
                      </w:r>
                      <w:r>
                        <w:rPr>
                          <w:color w:val="02265C"/>
                        </w:rPr>
                        <w:br/>
                      </w:r>
                      <w:proofErr w:type="gramStart"/>
                      <w:r>
                        <w:rPr>
                          <w:color w:val="02265C"/>
                        </w:rPr>
                        <w:t xml:space="preserve">  </w:t>
                      </w:r>
                      <w:r w:rsidR="00CA7DFC" w:rsidRPr="00D82871">
                        <w:rPr>
                          <w:color w:val="02265C"/>
                        </w:rPr>
                        <w:t>Assumptions</w:t>
                      </w:r>
                      <w:proofErr w:type="gramEnd"/>
                    </w:p>
                    <w:p w14:paraId="5C193933" w14:textId="77777777" w:rsidR="00CA7DFC" w:rsidRDefault="00CA7DFC" w:rsidP="00FD2D19">
                      <w:pPr>
                        <w:pStyle w:val="IRPsub1"/>
                        <w:numPr>
                          <w:ilvl w:val="0"/>
                          <w:numId w:val="33"/>
                        </w:numPr>
                        <w:tabs>
                          <w:tab w:val="clear" w:pos="360"/>
                          <w:tab w:val="num" w:pos="540"/>
                        </w:tabs>
                        <w:spacing w:before="80" w:after="80"/>
                        <w:ind w:hanging="90"/>
                        <w:rPr>
                          <w:i w:val="0"/>
                          <w:color w:val="02265C"/>
                        </w:rPr>
                      </w:pPr>
                      <w:r>
                        <w:rPr>
                          <w:color w:val="02265C"/>
                        </w:rPr>
                        <w:t>Findings</w:t>
                      </w:r>
                      <w:r>
                        <w:rPr>
                          <w:b/>
                          <w:color w:val="02265C"/>
                        </w:rPr>
                        <w:t xml:space="preserve"> </w:t>
                      </w:r>
                    </w:p>
                    <w:p w14:paraId="4EB441AD" w14:textId="77777777" w:rsidR="00CA7DFC" w:rsidRPr="00D82871" w:rsidRDefault="00CA7DFC" w:rsidP="00FD2D19">
                      <w:pPr>
                        <w:pStyle w:val="IRPsub1"/>
                        <w:numPr>
                          <w:ilvl w:val="0"/>
                          <w:numId w:val="33"/>
                        </w:numPr>
                        <w:tabs>
                          <w:tab w:val="clear" w:pos="360"/>
                          <w:tab w:val="num" w:pos="540"/>
                        </w:tabs>
                        <w:spacing w:before="80" w:after="80"/>
                        <w:ind w:hanging="90"/>
                        <w:rPr>
                          <w:i w:val="0"/>
                          <w:color w:val="02265C"/>
                        </w:rPr>
                      </w:pPr>
                      <w:r w:rsidRPr="00D82871">
                        <w:rPr>
                          <w:color w:val="02265C"/>
                        </w:rPr>
                        <w:t xml:space="preserve">Summary </w:t>
                      </w:r>
                    </w:p>
                    <w:p w14:paraId="7448761E" w14:textId="77777777" w:rsidR="00CA7DFC" w:rsidRDefault="00CA7DFC" w:rsidP="00FB5A92">
                      <w:pPr>
                        <w:pStyle w:val="IRPsub1"/>
                        <w:spacing w:before="80" w:after="80"/>
                        <w:rPr>
                          <w:b/>
                          <w:caps/>
                          <w:color w:val="02265C"/>
                        </w:rPr>
                      </w:pPr>
                      <w:r>
                        <w:rPr>
                          <w:b/>
                          <w:caps/>
                          <w:color w:val="02265C"/>
                        </w:rPr>
                        <w:t>M-23</w:t>
                      </w:r>
                      <w:r w:rsidRPr="00D82871">
                        <w:rPr>
                          <w:b/>
                          <w:caps/>
                          <w:color w:val="02265C"/>
                        </w:rPr>
                        <w:t xml:space="preserve">. </w:t>
                      </w:r>
                      <w:r>
                        <w:rPr>
                          <w:b/>
                          <w:caps/>
                          <w:color w:val="02265C"/>
                        </w:rPr>
                        <w:t xml:space="preserve">Distributed </w:t>
                      </w:r>
                      <w:r w:rsidR="00FD2D19">
                        <w:rPr>
                          <w:b/>
                          <w:caps/>
                          <w:color w:val="02265C"/>
                        </w:rPr>
                        <w:br/>
                      </w:r>
                      <w:proofErr w:type="gramStart"/>
                      <w:r w:rsidR="00FD2D19">
                        <w:rPr>
                          <w:b/>
                          <w:caps/>
                          <w:color w:val="02265C"/>
                        </w:rPr>
                        <w:t xml:space="preserve">      </w:t>
                      </w:r>
                      <w:r w:rsidRPr="00D82871">
                        <w:rPr>
                          <w:b/>
                          <w:caps/>
                          <w:color w:val="02265C"/>
                        </w:rPr>
                        <w:t>Photovoltaic</w:t>
                      </w:r>
                      <w:proofErr w:type="gramEnd"/>
                      <w:r w:rsidRPr="00D82871">
                        <w:rPr>
                          <w:b/>
                          <w:caps/>
                          <w:color w:val="02265C"/>
                        </w:rPr>
                        <w:t xml:space="preserve"> </w:t>
                      </w:r>
                      <w:r w:rsidR="00FD2D19">
                        <w:rPr>
                          <w:b/>
                          <w:caps/>
                          <w:color w:val="02265C"/>
                        </w:rPr>
                        <w:br/>
                        <w:t xml:space="preserve">      </w:t>
                      </w:r>
                      <w:r w:rsidRPr="00D82871">
                        <w:rPr>
                          <w:b/>
                          <w:caps/>
                          <w:color w:val="02265C"/>
                        </w:rPr>
                        <w:t xml:space="preserve">Technical and Market </w:t>
                      </w:r>
                      <w:r w:rsidR="00FD2D19">
                        <w:rPr>
                          <w:b/>
                          <w:caps/>
                          <w:color w:val="02265C"/>
                        </w:rPr>
                        <w:br/>
                        <w:t xml:space="preserve">      </w:t>
                      </w:r>
                      <w:r w:rsidRPr="00D82871">
                        <w:rPr>
                          <w:b/>
                          <w:caps/>
                          <w:color w:val="02265C"/>
                        </w:rPr>
                        <w:t>Potential</w:t>
                      </w:r>
                    </w:p>
                    <w:p w14:paraId="1AE848CC" w14:textId="77777777" w:rsidR="00CA7DFC" w:rsidRPr="00D82871" w:rsidRDefault="00CA7DFC" w:rsidP="00FD2D19">
                      <w:pPr>
                        <w:pStyle w:val="IRPsub1"/>
                        <w:numPr>
                          <w:ilvl w:val="0"/>
                          <w:numId w:val="34"/>
                        </w:numPr>
                        <w:tabs>
                          <w:tab w:val="clear" w:pos="360"/>
                          <w:tab w:val="num" w:pos="270"/>
                        </w:tabs>
                        <w:spacing w:before="80" w:after="80"/>
                        <w:ind w:left="450" w:hanging="180"/>
                        <w:rPr>
                          <w:color w:val="02265C"/>
                        </w:rPr>
                      </w:pPr>
                      <w:r>
                        <w:rPr>
                          <w:caps/>
                          <w:color w:val="02265C"/>
                        </w:rPr>
                        <w:t>C</w:t>
                      </w:r>
                      <w:r>
                        <w:rPr>
                          <w:color w:val="02265C"/>
                        </w:rPr>
                        <w:t>admus Group Report</w:t>
                      </w:r>
                    </w:p>
                    <w:p w14:paraId="5C3D832A" w14:textId="77777777" w:rsidR="00CA7DFC" w:rsidRDefault="00CA7DFC" w:rsidP="00FB5A92">
                      <w:pPr>
                        <w:pStyle w:val="IRPsub1"/>
                        <w:spacing w:before="80" w:after="80"/>
                        <w:rPr>
                          <w:color w:val="02265C"/>
                        </w:rPr>
                      </w:pPr>
                    </w:p>
                    <w:p w14:paraId="3EDDBFEB" w14:textId="77777777" w:rsidR="00CA7DFC" w:rsidRPr="00771D35" w:rsidRDefault="00CA7DFC" w:rsidP="00890FDA">
                      <w:pPr>
                        <w:pStyle w:val="IRPsub1"/>
                        <w:spacing w:before="80" w:after="80"/>
                        <w:rPr>
                          <w:color w:val="02265C"/>
                        </w:rPr>
                      </w:pPr>
                    </w:p>
                    <w:p w14:paraId="5C187628" w14:textId="77777777" w:rsidR="00CA7DFC" w:rsidRPr="00771D35" w:rsidRDefault="00CA7DFC" w:rsidP="00B12366">
                      <w:pPr>
                        <w:pStyle w:val="IRPsub1"/>
                        <w:spacing w:before="80" w:after="80"/>
                        <w:ind w:firstLine="270"/>
                        <w:rPr>
                          <w:color w:val="02265C"/>
                        </w:rPr>
                      </w:pPr>
                    </w:p>
                    <w:p w14:paraId="3179C9EE" w14:textId="77777777" w:rsidR="00CA7DFC" w:rsidRPr="00D013FE" w:rsidRDefault="00CA7DFC" w:rsidP="00601E72">
                      <w:pPr>
                        <w:pStyle w:val="IRPsub1"/>
                      </w:pPr>
                    </w:p>
                    <w:p w14:paraId="28446A6E" w14:textId="77777777" w:rsidR="00CA7DFC" w:rsidRPr="00D013FE" w:rsidRDefault="00CA7DFC" w:rsidP="00601E72">
                      <w:pPr>
                        <w:pStyle w:val="IRPsub1"/>
                      </w:pPr>
                    </w:p>
                  </w:txbxContent>
                </v:textbox>
                <w10:wrap type="through" side="right" anchorx="margin" anchory="line"/>
              </v:shape>
            </w:pict>
          </mc:Fallback>
        </mc:AlternateContent>
      </w:r>
    </w:p>
    <w:p w14:paraId="7044304C" w14:textId="77777777" w:rsidR="009B001C" w:rsidRDefault="009B001C" w:rsidP="002C612F">
      <w:pPr>
        <w:pStyle w:val="IRPseriftextbig"/>
      </w:pPr>
      <w:r>
        <w:t xml:space="preserve">As part of PSE’s continuing exploration of emerging resources, </w:t>
      </w:r>
      <w:r w:rsidR="00A414B2">
        <w:t>the 2015</w:t>
      </w:r>
      <w:r w:rsidRPr="00101F50">
        <w:t xml:space="preserve"> IRP looks at the impacts of high penetration of rooftop solar installations on both the distribution system and on resource builds. Distributed solar generation has never been selected in the portfolio </w:t>
      </w:r>
      <w:r>
        <w:t>analysis</w:t>
      </w:r>
      <w:r w:rsidRPr="00101F50">
        <w:t xml:space="preserve"> as a cost-effective resource for the PSE system, but federal tax credits and state production incentives have made it cost-effective for customers. Already, PSE has 2,800 net-metered customers who have installed rooftop solar panels tota</w:t>
      </w:r>
      <w:r>
        <w:t>ling 17.4 megawatts</w:t>
      </w:r>
      <w:r w:rsidRPr="00101F50">
        <w:t xml:space="preserve"> of capacity</w:t>
      </w:r>
      <w:r>
        <w:t xml:space="preserve"> and 17,360 megawatt hours</w:t>
      </w:r>
      <w:r w:rsidRPr="00101F50">
        <w:t xml:space="preserve"> of annual energy, and we expect many more customers will install solar panels in the future. </w:t>
      </w:r>
    </w:p>
    <w:p w14:paraId="02FDB65E" w14:textId="77777777" w:rsidR="009B001C" w:rsidRDefault="009B001C" w:rsidP="009B001C">
      <w:pPr>
        <w:spacing w:line="300" w:lineRule="auto"/>
        <w:rPr>
          <w:rFonts w:ascii="Calibri" w:hAnsi="Calibri" w:hint="eastAsia"/>
          <w:sz w:val="22"/>
        </w:rPr>
      </w:pPr>
    </w:p>
    <w:p w14:paraId="5A49F735" w14:textId="77777777" w:rsidR="009B001C" w:rsidRDefault="009B001C">
      <w:pPr>
        <w:rPr>
          <w:rFonts w:ascii="Calibri" w:hAnsi="Calibri" w:hint="eastAsia"/>
          <w:sz w:val="22"/>
        </w:rPr>
      </w:pPr>
      <w:r>
        <w:rPr>
          <w:rFonts w:ascii="Calibri" w:hAnsi="Calibri"/>
          <w:sz w:val="22"/>
        </w:rPr>
        <w:br w:type="page"/>
      </w:r>
    </w:p>
    <w:p w14:paraId="629D9BE6" w14:textId="77777777" w:rsidR="00D17644" w:rsidRDefault="00D17644" w:rsidP="009B001C">
      <w:pPr>
        <w:pStyle w:val="IRPsecthead2sans"/>
        <w:rPr>
          <w:caps/>
        </w:rPr>
      </w:pPr>
    </w:p>
    <w:p w14:paraId="5372A9C2" w14:textId="77777777" w:rsidR="009B001C" w:rsidRPr="009B001C" w:rsidRDefault="009B001C" w:rsidP="009B001C">
      <w:pPr>
        <w:pStyle w:val="IRPsecthead2sans"/>
        <w:rPr>
          <w:caps/>
        </w:rPr>
      </w:pPr>
      <w:r w:rsidRPr="009B001C">
        <w:rPr>
          <w:caps/>
        </w:rPr>
        <w:t>Overview</w:t>
      </w:r>
    </w:p>
    <w:p w14:paraId="70E76432" w14:textId="77777777" w:rsidR="009B001C" w:rsidRDefault="009B001C" w:rsidP="009B001C">
      <w:pPr>
        <w:spacing w:line="300" w:lineRule="auto"/>
        <w:rPr>
          <w:rFonts w:ascii="Calibri" w:hAnsi="Calibri" w:hint="eastAsia"/>
          <w:sz w:val="22"/>
        </w:rPr>
      </w:pPr>
    </w:p>
    <w:p w14:paraId="77FBC181" w14:textId="77777777" w:rsidR="009B001C" w:rsidRDefault="009B001C" w:rsidP="002C612F">
      <w:pPr>
        <w:pStyle w:val="IRPsanstext"/>
      </w:pPr>
      <w:r>
        <w:t>This appendix includes the details and results from two studies</w:t>
      </w:r>
      <w:r w:rsidRPr="00101F50">
        <w:rPr>
          <w:rFonts w:eastAsia="Cambria"/>
        </w:rPr>
        <w:t xml:space="preserve">. </w:t>
      </w:r>
    </w:p>
    <w:p w14:paraId="103B6F12" w14:textId="77777777" w:rsidR="009B001C" w:rsidRDefault="009B001C" w:rsidP="002C612F">
      <w:pPr>
        <w:pStyle w:val="IRPsanstext"/>
      </w:pPr>
    </w:p>
    <w:p w14:paraId="5320CD18" w14:textId="77777777" w:rsidR="009B001C" w:rsidRDefault="009B001C" w:rsidP="002C612F">
      <w:pPr>
        <w:pStyle w:val="IRPsanstext"/>
      </w:pPr>
      <w:r>
        <w:t xml:space="preserve">The </w:t>
      </w:r>
      <w:r w:rsidR="00CE0368" w:rsidRPr="002C612F">
        <w:rPr>
          <w:b/>
          <w:color w:val="006C71"/>
          <w:sz w:val="28"/>
        </w:rPr>
        <w:t xml:space="preserve">Distributed </w:t>
      </w:r>
      <w:r w:rsidRPr="002C612F">
        <w:rPr>
          <w:b/>
          <w:color w:val="006C71"/>
          <w:sz w:val="28"/>
        </w:rPr>
        <w:t>Photovoltaic Technical and Market Potential</w:t>
      </w:r>
      <w:r>
        <w:t xml:space="preserve"> study is a system-wide study prepared by the Cadmus group that</w:t>
      </w:r>
      <w:r w:rsidRPr="00101F50">
        <w:rPr>
          <w:rFonts w:eastAsia="Cambria"/>
        </w:rPr>
        <w:t xml:space="preserve"> explores the maximum potential for rooftop solar within the PSE system. It asks how much distributed solar might be added to the system in two scenarios: </w:t>
      </w:r>
    </w:p>
    <w:p w14:paraId="2C68FD78" w14:textId="77777777" w:rsidR="009B001C" w:rsidRDefault="009B001C" w:rsidP="002C612F">
      <w:pPr>
        <w:pStyle w:val="IRPsanstext"/>
      </w:pPr>
    </w:p>
    <w:p w14:paraId="52D09FB6" w14:textId="77777777" w:rsidR="009B001C" w:rsidRDefault="009B001C" w:rsidP="002C612F">
      <w:pPr>
        <w:pStyle w:val="IRPsanstext"/>
        <w:ind w:left="720"/>
      </w:pPr>
      <w:r w:rsidRPr="00101F50">
        <w:rPr>
          <w:rFonts w:eastAsia="Cambria"/>
        </w:rPr>
        <w:t xml:space="preserve">a) if federal and state incentives are renewed, and </w:t>
      </w:r>
    </w:p>
    <w:p w14:paraId="288BEF05" w14:textId="77777777" w:rsidR="009B001C" w:rsidRDefault="009B001C" w:rsidP="002C612F">
      <w:pPr>
        <w:pStyle w:val="IRPsanstext"/>
        <w:ind w:left="720"/>
        <w:rPr>
          <w:rFonts w:eastAsia="Cambria"/>
        </w:rPr>
      </w:pPr>
      <w:r w:rsidRPr="00101F50">
        <w:rPr>
          <w:rFonts w:eastAsia="Cambria"/>
        </w:rPr>
        <w:t xml:space="preserve">b) if </w:t>
      </w:r>
      <w:r>
        <w:t>incentives</w:t>
      </w:r>
      <w:r w:rsidRPr="00101F50">
        <w:rPr>
          <w:rFonts w:eastAsia="Cambria"/>
        </w:rPr>
        <w:t xml:space="preserve"> are allowed to sunset. </w:t>
      </w:r>
    </w:p>
    <w:p w14:paraId="1B5D6DDB" w14:textId="77777777" w:rsidR="009B001C" w:rsidRDefault="009B001C" w:rsidP="002C612F">
      <w:pPr>
        <w:pStyle w:val="IRPsanstext"/>
        <w:rPr>
          <w:rFonts w:eastAsia="Cambria"/>
        </w:rPr>
      </w:pPr>
    </w:p>
    <w:p w14:paraId="6A4C38A2" w14:textId="77777777" w:rsidR="009B001C" w:rsidRDefault="009B001C" w:rsidP="002C612F">
      <w:pPr>
        <w:pStyle w:val="IRPsanstext"/>
      </w:pPr>
      <w:r>
        <w:rPr>
          <w:rFonts w:eastAsia="Cambria"/>
        </w:rPr>
        <w:t xml:space="preserve">This information was used as an input in the IRP portfolio analysis. The results of the portfolio analysis are discussed in Chapter 6 and in Appendix N: Electric Analysis. </w:t>
      </w:r>
      <w:r w:rsidRPr="009B001C">
        <w:rPr>
          <w:rFonts w:eastAsia="Cambria"/>
          <w:i/>
        </w:rPr>
        <w:t>The Cadmus report on the study appears at the end of this chapter.</w:t>
      </w:r>
    </w:p>
    <w:p w14:paraId="09258309" w14:textId="77777777" w:rsidR="009B001C" w:rsidRDefault="009B001C" w:rsidP="002C612F">
      <w:pPr>
        <w:pStyle w:val="IRPsanstext"/>
      </w:pPr>
    </w:p>
    <w:p w14:paraId="7F209E1F" w14:textId="77777777" w:rsidR="009B001C" w:rsidRPr="00101F50" w:rsidRDefault="009B001C" w:rsidP="002C612F">
      <w:pPr>
        <w:pStyle w:val="IRPsanstext"/>
        <w:rPr>
          <w:rFonts w:eastAsia="Cambria"/>
        </w:rPr>
      </w:pPr>
      <w:r w:rsidRPr="00101F50">
        <w:rPr>
          <w:rFonts w:eastAsia="Cambria"/>
        </w:rPr>
        <w:t>The second study</w:t>
      </w:r>
      <w:r>
        <w:t xml:space="preserve">, </w:t>
      </w:r>
      <w:r w:rsidR="00CE0368" w:rsidRPr="002C612F">
        <w:rPr>
          <w:b/>
          <w:color w:val="006C71"/>
          <w:sz w:val="28"/>
        </w:rPr>
        <w:t>Distributed Solar PV</w:t>
      </w:r>
      <w:r w:rsidR="00A414B2">
        <w:rPr>
          <w:b/>
          <w:color w:val="006C71"/>
          <w:sz w:val="28"/>
        </w:rPr>
        <w:t xml:space="preserve"> Impact at the Circuit L</w:t>
      </w:r>
      <w:r w:rsidRPr="002C612F">
        <w:rPr>
          <w:b/>
          <w:color w:val="006C71"/>
          <w:sz w:val="28"/>
        </w:rPr>
        <w:t>evel</w:t>
      </w:r>
      <w:r w:rsidRPr="002C612F">
        <w:rPr>
          <w:color w:val="006C71"/>
        </w:rPr>
        <w:t>,</w:t>
      </w:r>
      <w:r w:rsidRPr="00101F50">
        <w:rPr>
          <w:rFonts w:eastAsia="Cambria"/>
        </w:rPr>
        <w:t xml:space="preserve"> investigates the impact that significant amounts of photovoltaic (PV) generation will have at the circuit level of the electric distribution system, particularly with regard to voltage impacts, peak demand and line losses. </w:t>
      </w:r>
      <w:r w:rsidRPr="009B001C">
        <w:rPr>
          <w:rFonts w:eastAsia="Cambria"/>
          <w:i/>
        </w:rPr>
        <w:t>This study description begins on the following page.</w:t>
      </w:r>
    </w:p>
    <w:p w14:paraId="215F11C3" w14:textId="77777777" w:rsidR="009B001C" w:rsidRDefault="009B001C">
      <w:pPr>
        <w:rPr>
          <w:rFonts w:ascii="Arial" w:hAnsi="Arial"/>
          <w:b/>
          <w:color w:val="156570"/>
          <w:sz w:val="32"/>
        </w:rPr>
      </w:pPr>
      <w:r>
        <w:rPr>
          <w:b/>
          <w:color w:val="156570"/>
          <w:sz w:val="32"/>
        </w:rPr>
        <w:br w:type="page"/>
      </w:r>
    </w:p>
    <w:p w14:paraId="69E94455" w14:textId="77777777" w:rsidR="00F340D2" w:rsidRDefault="00F340D2" w:rsidP="00A414B2">
      <w:pPr>
        <w:pStyle w:val="IRPsanstext"/>
        <w:spacing w:line="240" w:lineRule="auto"/>
        <w:rPr>
          <w:b/>
          <w:color w:val="156570"/>
          <w:sz w:val="32"/>
        </w:rPr>
      </w:pPr>
    </w:p>
    <w:p w14:paraId="57391B1D" w14:textId="77777777" w:rsidR="005832EE" w:rsidRDefault="00CE0368" w:rsidP="00A414B2">
      <w:pPr>
        <w:pStyle w:val="IRPsanstext"/>
        <w:spacing w:line="240" w:lineRule="auto"/>
        <w:rPr>
          <w:b/>
          <w:color w:val="156570"/>
          <w:sz w:val="32"/>
        </w:rPr>
      </w:pPr>
      <w:r>
        <w:rPr>
          <w:b/>
          <w:color w:val="156570"/>
          <w:sz w:val="32"/>
        </w:rPr>
        <w:t>DISTRIBUTED SOLAR PV</w:t>
      </w:r>
      <w:r w:rsidR="005832EE">
        <w:rPr>
          <w:b/>
          <w:color w:val="156570"/>
          <w:sz w:val="32"/>
        </w:rPr>
        <w:t xml:space="preserve"> IMPACT </w:t>
      </w:r>
      <w:r w:rsidR="002C612F">
        <w:rPr>
          <w:b/>
          <w:color w:val="156570"/>
          <w:sz w:val="32"/>
        </w:rPr>
        <w:br/>
      </w:r>
      <w:r w:rsidR="005832EE">
        <w:rPr>
          <w:b/>
          <w:color w:val="156570"/>
          <w:sz w:val="32"/>
        </w:rPr>
        <w:t>AT THE CIRCUIT LEVEL</w:t>
      </w:r>
    </w:p>
    <w:p w14:paraId="44D206FE" w14:textId="77777777" w:rsidR="00CD141B" w:rsidRDefault="00CD141B" w:rsidP="00074812">
      <w:pPr>
        <w:pStyle w:val="IRPsanstext"/>
        <w:rPr>
          <w:b/>
          <w:color w:val="156570"/>
          <w:sz w:val="32"/>
        </w:rPr>
      </w:pPr>
    </w:p>
    <w:p w14:paraId="486327D9" w14:textId="77777777" w:rsidR="00D5369B" w:rsidRDefault="00CD141B" w:rsidP="00074812">
      <w:pPr>
        <w:pStyle w:val="IRPsanstext"/>
      </w:pPr>
      <w:r>
        <w:t>Rooftop solar requires the existing energy system – which is built for one-way traffic (system to user) – to accommodate two-way traffic (system to user and user to system). This study looks at how</w:t>
      </w:r>
      <w:r w:rsidR="00D5369B">
        <w:t xml:space="preserve"> this shift impacts the system.</w:t>
      </w:r>
    </w:p>
    <w:p w14:paraId="1EFC870D" w14:textId="77777777" w:rsidR="00CD141B" w:rsidRDefault="00CD141B" w:rsidP="00074812">
      <w:pPr>
        <w:pStyle w:val="IRPsanstext"/>
        <w:rPr>
          <w:b/>
          <w:color w:val="156570"/>
          <w:sz w:val="32"/>
        </w:rPr>
      </w:pPr>
    </w:p>
    <w:p w14:paraId="58D5C1AE" w14:textId="77777777" w:rsidR="00074812" w:rsidRPr="002D29D6" w:rsidRDefault="002D29D6" w:rsidP="00074812">
      <w:pPr>
        <w:pStyle w:val="IRPsanstext"/>
        <w:rPr>
          <w:sz w:val="32"/>
        </w:rPr>
      </w:pPr>
      <w:r w:rsidRPr="002D29D6">
        <w:rPr>
          <w:sz w:val="32"/>
        </w:rPr>
        <w:t>Study Design and Assumptions</w:t>
      </w:r>
    </w:p>
    <w:p w14:paraId="1B7426C0" w14:textId="77777777" w:rsidR="00074812" w:rsidRPr="004E78E3" w:rsidRDefault="00074812" w:rsidP="00074812">
      <w:pPr>
        <w:pStyle w:val="IRPsanstext"/>
        <w:rPr>
          <w:b/>
          <w:color w:val="156570"/>
          <w:sz w:val="32"/>
        </w:rPr>
      </w:pPr>
    </w:p>
    <w:p w14:paraId="51FF54DD" w14:textId="77777777" w:rsidR="0061357C" w:rsidRDefault="0061357C" w:rsidP="004E78E3">
      <w:pPr>
        <w:pStyle w:val="IRPsanstext"/>
      </w:pPr>
      <w:r>
        <w:t>PSE</w:t>
      </w:r>
      <w:r w:rsidR="004E78E3">
        <w:t xml:space="preserve"> analyzed three effects in particular:</w:t>
      </w:r>
    </w:p>
    <w:p w14:paraId="4B677634" w14:textId="77777777" w:rsidR="004E78E3" w:rsidRDefault="004E78E3" w:rsidP="004E78E3">
      <w:pPr>
        <w:pStyle w:val="IRPsanstext"/>
      </w:pPr>
    </w:p>
    <w:p w14:paraId="5B2E9383" w14:textId="77777777" w:rsidR="004E78E3" w:rsidRDefault="004E78E3" w:rsidP="00A06F97">
      <w:pPr>
        <w:pStyle w:val="IRPsanstext"/>
        <w:ind w:left="360"/>
      </w:pPr>
      <w:r w:rsidRPr="00A06F97">
        <w:rPr>
          <w:b/>
          <w:caps/>
        </w:rPr>
        <w:t>Voltage Drop</w:t>
      </w:r>
      <w:r w:rsidR="00A06F97">
        <w:rPr>
          <w:b/>
          <w:caps/>
        </w:rPr>
        <w:t>.</w:t>
      </w:r>
      <w:r>
        <w:t xml:space="preserve"> Does the interconnection of distributed solar generation change PSE’s ability to deliver energy at a voltage that stays within </w:t>
      </w:r>
      <w:r w:rsidR="0061357C">
        <w:t>the range of acceptability (114 to</w:t>
      </w:r>
      <w:r>
        <w:t>126 volts)?</w:t>
      </w:r>
    </w:p>
    <w:p w14:paraId="24DDF4A3" w14:textId="77777777" w:rsidR="004E78E3" w:rsidRDefault="004E78E3" w:rsidP="00A06F97">
      <w:pPr>
        <w:pStyle w:val="IRPsanstext"/>
        <w:ind w:left="360"/>
      </w:pPr>
      <w:r w:rsidRPr="00A06F97">
        <w:rPr>
          <w:b/>
          <w:caps/>
        </w:rPr>
        <w:t>Peak Demand</w:t>
      </w:r>
      <w:r w:rsidR="00A06F97">
        <w:t>.</w:t>
      </w:r>
      <w:r>
        <w:t xml:space="preserve"> Can distributed solar generation contribute to meeting peak need by reducing system load at times of peak demand?</w:t>
      </w:r>
    </w:p>
    <w:p w14:paraId="71FEE834" w14:textId="77777777" w:rsidR="004E78E3" w:rsidRDefault="004E78E3" w:rsidP="00A06F97">
      <w:pPr>
        <w:pStyle w:val="IRPsanstext"/>
        <w:ind w:left="360"/>
      </w:pPr>
      <w:r w:rsidRPr="00A06F97">
        <w:rPr>
          <w:b/>
          <w:caps/>
        </w:rPr>
        <w:t>Line Losses</w:t>
      </w:r>
      <w:r w:rsidR="00A06F97">
        <w:t>.</w:t>
      </w:r>
      <w:r>
        <w:t xml:space="preserve"> Does PV generation increase or decrease line losses beyond expected, base-level loss?</w:t>
      </w:r>
    </w:p>
    <w:p w14:paraId="5B1F0EAC" w14:textId="77777777" w:rsidR="004E78E3" w:rsidRDefault="004E78E3" w:rsidP="004E78E3">
      <w:pPr>
        <w:pStyle w:val="IRPsanstext"/>
      </w:pPr>
    </w:p>
    <w:p w14:paraId="5182B905" w14:textId="77777777" w:rsidR="004E78E3" w:rsidRPr="00DA5391" w:rsidRDefault="004E78E3" w:rsidP="004E78E3">
      <w:pPr>
        <w:pStyle w:val="IRPsanstext"/>
        <w:rPr>
          <w:b/>
          <w:color w:val="3366FF"/>
          <w:sz w:val="28"/>
        </w:rPr>
      </w:pPr>
      <w:r w:rsidRPr="002C612F">
        <w:rPr>
          <w:b/>
          <w:color w:val="006C71"/>
          <w:sz w:val="28"/>
        </w:rPr>
        <w:t>Circuits</w:t>
      </w:r>
      <w:r w:rsidR="002D29D6" w:rsidRPr="002C612F">
        <w:rPr>
          <w:b/>
          <w:color w:val="006C71"/>
          <w:sz w:val="28"/>
        </w:rPr>
        <w:t>.</w:t>
      </w:r>
      <w:r w:rsidRPr="002D29D6">
        <w:rPr>
          <w:b/>
          <w:color w:val="3366FF"/>
          <w:sz w:val="28"/>
        </w:rPr>
        <w:t xml:space="preserve"> </w:t>
      </w:r>
      <w:r>
        <w:t>F</w:t>
      </w:r>
      <w:r w:rsidRPr="008634C0">
        <w:t xml:space="preserve">our circuits </w:t>
      </w:r>
      <w:r>
        <w:t xml:space="preserve">were </w:t>
      </w:r>
      <w:r w:rsidRPr="008634C0">
        <w:t>chosen for the study</w:t>
      </w:r>
      <w:r>
        <w:t>. They</w:t>
      </w:r>
      <w:r w:rsidRPr="008634C0">
        <w:t xml:space="preserve"> represent different mixes of residential and commercial buildings</w:t>
      </w:r>
      <w:r>
        <w:t>,</w:t>
      </w:r>
      <w:r w:rsidRPr="008634C0">
        <w:t xml:space="preserve"> </w:t>
      </w:r>
      <w:r>
        <w:t xml:space="preserve">different feeder line lengths </w:t>
      </w:r>
      <w:r w:rsidRPr="008634C0">
        <w:t xml:space="preserve">and </w:t>
      </w:r>
      <w:r>
        <w:t>different</w:t>
      </w:r>
      <w:r w:rsidRPr="008634C0">
        <w:t xml:space="preserve"> peak seasons</w:t>
      </w:r>
      <w:r w:rsidR="0061357C">
        <w:t>. These are</w:t>
      </w:r>
      <w:r>
        <w:t xml:space="preserve"> described in Figure </w:t>
      </w:r>
      <w:r w:rsidR="00080CE7">
        <w:t>M</w:t>
      </w:r>
      <w:r>
        <w:t xml:space="preserve">-1.  </w:t>
      </w:r>
    </w:p>
    <w:p w14:paraId="1F00DB2C" w14:textId="77777777" w:rsidR="004E78E3" w:rsidRPr="00FE1CA9" w:rsidRDefault="004E78E3" w:rsidP="00DA5391">
      <w:pPr>
        <w:pStyle w:val="IRPFigureSub"/>
        <w:spacing w:before="120"/>
      </w:pPr>
      <w:r>
        <w:t xml:space="preserve">Figure </w:t>
      </w:r>
      <w:r w:rsidR="00080CE7">
        <w:t>M</w:t>
      </w:r>
      <w:r w:rsidRPr="00F808D8">
        <w:t>-1: Circuits Studied for PV Impact</w:t>
      </w:r>
    </w:p>
    <w:tbl>
      <w:tblPr>
        <w:tblStyle w:val="TableGrid"/>
        <w:tblW w:w="9108" w:type="dxa"/>
        <w:tblLayout w:type="fixed"/>
        <w:tblLook w:val="04A0" w:firstRow="1" w:lastRow="0" w:firstColumn="1" w:lastColumn="0" w:noHBand="0" w:noVBand="1"/>
      </w:tblPr>
      <w:tblGrid>
        <w:gridCol w:w="1188"/>
        <w:gridCol w:w="1170"/>
        <w:gridCol w:w="1260"/>
        <w:gridCol w:w="900"/>
        <w:gridCol w:w="900"/>
        <w:gridCol w:w="1170"/>
        <w:gridCol w:w="900"/>
        <w:gridCol w:w="1620"/>
      </w:tblGrid>
      <w:tr w:rsidR="00DA5391" w:rsidRPr="004E78E3" w14:paraId="65726714" w14:textId="77777777">
        <w:tc>
          <w:tcPr>
            <w:tcW w:w="1188" w:type="dxa"/>
            <w:shd w:val="clear" w:color="auto" w:fill="156570"/>
            <w:vAlign w:val="center"/>
          </w:tcPr>
          <w:p w14:paraId="7EE4DF1A" w14:textId="77777777" w:rsidR="004E78E3" w:rsidRPr="004E78E3" w:rsidRDefault="00834058" w:rsidP="004E78E3">
            <w:pPr>
              <w:pStyle w:val="IRPsanstext"/>
              <w:spacing w:line="276" w:lineRule="auto"/>
              <w:rPr>
                <w:b/>
                <w:color w:val="FFFFFF" w:themeColor="background1"/>
                <w:sz w:val="18"/>
                <w:szCs w:val="18"/>
              </w:rPr>
            </w:pPr>
            <w:r>
              <w:rPr>
                <w:b/>
                <w:color w:val="FFFFFF" w:themeColor="background1"/>
                <w:sz w:val="18"/>
                <w:szCs w:val="18"/>
              </w:rPr>
              <w:t xml:space="preserve">Circuit </w:t>
            </w:r>
            <w:r w:rsidR="004E78E3" w:rsidRPr="004E78E3">
              <w:rPr>
                <w:b/>
                <w:color w:val="FFFFFF" w:themeColor="background1"/>
                <w:sz w:val="18"/>
                <w:szCs w:val="18"/>
              </w:rPr>
              <w:t>ID</w:t>
            </w:r>
          </w:p>
        </w:tc>
        <w:tc>
          <w:tcPr>
            <w:tcW w:w="1170" w:type="dxa"/>
            <w:shd w:val="clear" w:color="auto" w:fill="156570"/>
            <w:vAlign w:val="center"/>
          </w:tcPr>
          <w:p w14:paraId="2D4FEA86"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Location</w:t>
            </w:r>
          </w:p>
        </w:tc>
        <w:tc>
          <w:tcPr>
            <w:tcW w:w="1260" w:type="dxa"/>
            <w:shd w:val="clear" w:color="auto" w:fill="156570"/>
            <w:vAlign w:val="center"/>
          </w:tcPr>
          <w:p w14:paraId="6DE4D6BE"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Load Mix</w:t>
            </w:r>
          </w:p>
        </w:tc>
        <w:tc>
          <w:tcPr>
            <w:tcW w:w="900" w:type="dxa"/>
            <w:shd w:val="clear" w:color="auto" w:fill="156570"/>
            <w:vAlign w:val="center"/>
          </w:tcPr>
          <w:p w14:paraId="7F0F1C79"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Peak Season</w:t>
            </w:r>
          </w:p>
        </w:tc>
        <w:tc>
          <w:tcPr>
            <w:tcW w:w="900" w:type="dxa"/>
            <w:shd w:val="clear" w:color="auto" w:fill="156570"/>
            <w:vAlign w:val="center"/>
          </w:tcPr>
          <w:p w14:paraId="01C44C11"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Current # Net Meters</w:t>
            </w:r>
          </w:p>
        </w:tc>
        <w:tc>
          <w:tcPr>
            <w:tcW w:w="1170" w:type="dxa"/>
            <w:shd w:val="clear" w:color="auto" w:fill="156570"/>
          </w:tcPr>
          <w:p w14:paraId="62A6D043" w14:textId="77777777" w:rsidR="00834058" w:rsidRDefault="00834058" w:rsidP="00834058">
            <w:pPr>
              <w:pStyle w:val="IRPsanstext"/>
              <w:spacing w:line="276" w:lineRule="auto"/>
              <w:rPr>
                <w:rFonts w:ascii="Arial Bold" w:hAnsi="Arial Bold"/>
                <w:b/>
                <w:color w:val="FFFFFF" w:themeColor="background1"/>
                <w:sz w:val="8"/>
                <w:szCs w:val="18"/>
              </w:rPr>
            </w:pPr>
          </w:p>
          <w:p w14:paraId="34907B00" w14:textId="77777777" w:rsidR="004E78E3" w:rsidRPr="004E78E3" w:rsidRDefault="004E78E3" w:rsidP="00834058">
            <w:pPr>
              <w:pStyle w:val="IRPsanstext"/>
              <w:spacing w:line="276" w:lineRule="auto"/>
              <w:jc w:val="center"/>
              <w:rPr>
                <w:b/>
                <w:color w:val="FFFFFF" w:themeColor="background1"/>
                <w:sz w:val="18"/>
                <w:szCs w:val="18"/>
              </w:rPr>
            </w:pPr>
            <w:r w:rsidRPr="004E78E3">
              <w:rPr>
                <w:b/>
                <w:color w:val="FFFFFF" w:themeColor="background1"/>
                <w:sz w:val="18"/>
                <w:szCs w:val="18"/>
              </w:rPr>
              <w:t xml:space="preserve">2014 </w:t>
            </w:r>
            <w:r w:rsidRPr="00DA5391">
              <w:rPr>
                <w:b/>
                <w:color w:val="FFFFFF" w:themeColor="background1"/>
                <w:sz w:val="16"/>
                <w:szCs w:val="16"/>
              </w:rPr>
              <w:t>Penetration</w:t>
            </w:r>
          </w:p>
        </w:tc>
        <w:tc>
          <w:tcPr>
            <w:tcW w:w="900" w:type="dxa"/>
            <w:shd w:val="clear" w:color="auto" w:fill="156570"/>
          </w:tcPr>
          <w:p w14:paraId="25CB859E" w14:textId="77777777" w:rsidR="0061357C" w:rsidRDefault="0061357C" w:rsidP="004E78E3">
            <w:pPr>
              <w:pStyle w:val="IRPsanstext"/>
              <w:spacing w:line="276" w:lineRule="auto"/>
              <w:rPr>
                <w:b/>
                <w:color w:val="FFFFFF" w:themeColor="background1"/>
                <w:sz w:val="18"/>
                <w:szCs w:val="18"/>
              </w:rPr>
            </w:pPr>
          </w:p>
          <w:p w14:paraId="0BD1D758"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Length</w:t>
            </w:r>
          </w:p>
        </w:tc>
        <w:tc>
          <w:tcPr>
            <w:tcW w:w="1620" w:type="dxa"/>
            <w:shd w:val="clear" w:color="auto" w:fill="156570"/>
            <w:vAlign w:val="center"/>
          </w:tcPr>
          <w:p w14:paraId="0C3EEF63" w14:textId="77777777" w:rsidR="004E78E3" w:rsidRPr="004E78E3" w:rsidRDefault="004E78E3" w:rsidP="004E78E3">
            <w:pPr>
              <w:pStyle w:val="IRPsanstext"/>
              <w:spacing w:line="276" w:lineRule="auto"/>
              <w:rPr>
                <w:b/>
                <w:color w:val="FFFFFF" w:themeColor="background1"/>
                <w:sz w:val="18"/>
                <w:szCs w:val="18"/>
              </w:rPr>
            </w:pPr>
            <w:r w:rsidRPr="004E78E3">
              <w:rPr>
                <w:b/>
                <w:color w:val="FFFFFF" w:themeColor="background1"/>
                <w:sz w:val="18"/>
                <w:szCs w:val="18"/>
              </w:rPr>
              <w:t>Current Conditions</w:t>
            </w:r>
          </w:p>
        </w:tc>
      </w:tr>
      <w:tr w:rsidR="004E78E3" w:rsidRPr="004E78E3" w14:paraId="37240507" w14:textId="77777777">
        <w:tc>
          <w:tcPr>
            <w:tcW w:w="1188" w:type="dxa"/>
          </w:tcPr>
          <w:p w14:paraId="70E95A5B" w14:textId="77777777" w:rsidR="0061357C" w:rsidRDefault="0061357C" w:rsidP="00F340D2">
            <w:pPr>
              <w:pStyle w:val="IRPsanstext"/>
              <w:spacing w:line="240" w:lineRule="auto"/>
              <w:rPr>
                <w:sz w:val="18"/>
                <w:szCs w:val="18"/>
              </w:rPr>
            </w:pPr>
          </w:p>
          <w:p w14:paraId="433C4B12" w14:textId="77777777" w:rsidR="004E78E3" w:rsidRPr="004E78E3" w:rsidRDefault="004E78E3" w:rsidP="00F340D2">
            <w:pPr>
              <w:pStyle w:val="IRPsanstext"/>
              <w:spacing w:line="240" w:lineRule="auto"/>
              <w:rPr>
                <w:sz w:val="18"/>
                <w:szCs w:val="18"/>
              </w:rPr>
            </w:pPr>
            <w:r w:rsidRPr="004E78E3">
              <w:rPr>
                <w:sz w:val="18"/>
                <w:szCs w:val="18"/>
              </w:rPr>
              <w:t xml:space="preserve">Carolina-15 </w:t>
            </w:r>
            <w:r w:rsidRPr="00DA5391">
              <w:rPr>
                <w:sz w:val="16"/>
                <w:szCs w:val="16"/>
              </w:rPr>
              <w:t>(CAR-15)</w:t>
            </w:r>
          </w:p>
        </w:tc>
        <w:tc>
          <w:tcPr>
            <w:tcW w:w="1170" w:type="dxa"/>
          </w:tcPr>
          <w:p w14:paraId="7B18CEAC" w14:textId="77777777" w:rsidR="0061357C" w:rsidRDefault="0061357C" w:rsidP="00F340D2">
            <w:pPr>
              <w:pStyle w:val="IRPsanstext"/>
              <w:spacing w:line="240" w:lineRule="auto"/>
              <w:rPr>
                <w:sz w:val="18"/>
                <w:szCs w:val="18"/>
              </w:rPr>
            </w:pPr>
          </w:p>
          <w:p w14:paraId="01BD9439" w14:textId="77777777" w:rsidR="004E78E3" w:rsidRPr="004E78E3" w:rsidRDefault="004E78E3" w:rsidP="00F340D2">
            <w:pPr>
              <w:pStyle w:val="IRPsanstext"/>
              <w:spacing w:line="240" w:lineRule="auto"/>
              <w:rPr>
                <w:sz w:val="18"/>
                <w:szCs w:val="18"/>
              </w:rPr>
            </w:pPr>
            <w:r w:rsidRPr="004E78E3">
              <w:rPr>
                <w:sz w:val="18"/>
                <w:szCs w:val="18"/>
              </w:rPr>
              <w:t>Bellingham</w:t>
            </w:r>
          </w:p>
        </w:tc>
        <w:tc>
          <w:tcPr>
            <w:tcW w:w="1260" w:type="dxa"/>
          </w:tcPr>
          <w:p w14:paraId="60EC0C5F" w14:textId="77777777" w:rsidR="004E78E3" w:rsidRPr="004E78E3" w:rsidRDefault="00834058" w:rsidP="00F340D2">
            <w:pPr>
              <w:pStyle w:val="IRPsanstext"/>
              <w:spacing w:before="120" w:line="240" w:lineRule="auto"/>
              <w:rPr>
                <w:sz w:val="18"/>
                <w:szCs w:val="18"/>
              </w:rPr>
            </w:pPr>
            <w:r>
              <w:rPr>
                <w:sz w:val="18"/>
                <w:szCs w:val="18"/>
              </w:rPr>
              <w:t xml:space="preserve">76% </w:t>
            </w:r>
            <w:r w:rsidR="004E78E3" w:rsidRPr="004E78E3">
              <w:rPr>
                <w:sz w:val="18"/>
                <w:szCs w:val="18"/>
              </w:rPr>
              <w:t>Commercial</w:t>
            </w:r>
          </w:p>
          <w:p w14:paraId="5AA38529" w14:textId="77777777" w:rsidR="004E78E3" w:rsidRPr="004E78E3" w:rsidRDefault="004E78E3" w:rsidP="00F340D2">
            <w:pPr>
              <w:pStyle w:val="IRPsanstext"/>
              <w:spacing w:before="120" w:line="240" w:lineRule="auto"/>
              <w:rPr>
                <w:sz w:val="18"/>
                <w:szCs w:val="18"/>
              </w:rPr>
            </w:pPr>
            <w:r w:rsidRPr="004E78E3">
              <w:rPr>
                <w:sz w:val="18"/>
                <w:szCs w:val="18"/>
              </w:rPr>
              <w:t>24% Residential</w:t>
            </w:r>
          </w:p>
        </w:tc>
        <w:tc>
          <w:tcPr>
            <w:tcW w:w="900" w:type="dxa"/>
          </w:tcPr>
          <w:p w14:paraId="4E384EE9" w14:textId="77777777" w:rsidR="0061357C" w:rsidRDefault="0061357C" w:rsidP="00F340D2">
            <w:pPr>
              <w:pStyle w:val="IRPsanstext"/>
              <w:spacing w:line="240" w:lineRule="auto"/>
              <w:jc w:val="center"/>
              <w:rPr>
                <w:sz w:val="18"/>
                <w:szCs w:val="18"/>
              </w:rPr>
            </w:pPr>
          </w:p>
          <w:p w14:paraId="61381264" w14:textId="77777777" w:rsidR="004E78E3" w:rsidRPr="004E78E3" w:rsidRDefault="004E78E3" w:rsidP="00F340D2">
            <w:pPr>
              <w:pStyle w:val="IRPsanstext"/>
              <w:spacing w:line="240" w:lineRule="auto"/>
              <w:jc w:val="center"/>
              <w:rPr>
                <w:sz w:val="18"/>
                <w:szCs w:val="18"/>
              </w:rPr>
            </w:pPr>
            <w:r w:rsidRPr="004E78E3">
              <w:rPr>
                <w:sz w:val="18"/>
                <w:szCs w:val="18"/>
              </w:rPr>
              <w:t>Winter</w:t>
            </w:r>
          </w:p>
        </w:tc>
        <w:tc>
          <w:tcPr>
            <w:tcW w:w="900" w:type="dxa"/>
          </w:tcPr>
          <w:p w14:paraId="3F2666B0" w14:textId="77777777" w:rsidR="0061357C" w:rsidRDefault="0061357C" w:rsidP="00F340D2">
            <w:pPr>
              <w:pStyle w:val="IRPsanstext"/>
              <w:spacing w:line="240" w:lineRule="auto"/>
              <w:jc w:val="center"/>
              <w:rPr>
                <w:sz w:val="18"/>
                <w:szCs w:val="18"/>
              </w:rPr>
            </w:pPr>
          </w:p>
          <w:p w14:paraId="3F3E380B" w14:textId="77777777" w:rsidR="004E78E3" w:rsidRPr="004E78E3" w:rsidRDefault="004E78E3" w:rsidP="00F340D2">
            <w:pPr>
              <w:pStyle w:val="IRPsanstext"/>
              <w:spacing w:line="240" w:lineRule="auto"/>
              <w:jc w:val="center"/>
              <w:rPr>
                <w:sz w:val="18"/>
                <w:szCs w:val="18"/>
              </w:rPr>
            </w:pPr>
            <w:r w:rsidRPr="004E78E3">
              <w:rPr>
                <w:sz w:val="18"/>
                <w:szCs w:val="18"/>
              </w:rPr>
              <w:t>13</w:t>
            </w:r>
          </w:p>
        </w:tc>
        <w:tc>
          <w:tcPr>
            <w:tcW w:w="1170" w:type="dxa"/>
          </w:tcPr>
          <w:p w14:paraId="50F8CA1F" w14:textId="77777777" w:rsidR="0061357C" w:rsidRDefault="0061357C" w:rsidP="00F340D2">
            <w:pPr>
              <w:pStyle w:val="IRPsanstext"/>
              <w:spacing w:line="240" w:lineRule="auto"/>
              <w:jc w:val="center"/>
              <w:rPr>
                <w:sz w:val="18"/>
                <w:szCs w:val="18"/>
              </w:rPr>
            </w:pPr>
          </w:p>
          <w:p w14:paraId="736EF614" w14:textId="77777777" w:rsidR="004E78E3" w:rsidRPr="004E78E3" w:rsidRDefault="004E78E3" w:rsidP="00F340D2">
            <w:pPr>
              <w:pStyle w:val="IRPsanstext"/>
              <w:spacing w:line="240" w:lineRule="auto"/>
              <w:jc w:val="center"/>
              <w:rPr>
                <w:sz w:val="18"/>
                <w:szCs w:val="18"/>
              </w:rPr>
            </w:pPr>
            <w:r w:rsidRPr="004E78E3">
              <w:rPr>
                <w:sz w:val="18"/>
                <w:szCs w:val="18"/>
              </w:rPr>
              <w:t>1.7%</w:t>
            </w:r>
          </w:p>
        </w:tc>
        <w:tc>
          <w:tcPr>
            <w:tcW w:w="900" w:type="dxa"/>
          </w:tcPr>
          <w:p w14:paraId="02E34FE9" w14:textId="77777777" w:rsidR="0061357C" w:rsidRDefault="0061357C" w:rsidP="00F340D2">
            <w:pPr>
              <w:pStyle w:val="IRPsanstext"/>
              <w:spacing w:line="240" w:lineRule="auto"/>
              <w:jc w:val="center"/>
              <w:rPr>
                <w:sz w:val="18"/>
                <w:szCs w:val="18"/>
              </w:rPr>
            </w:pPr>
          </w:p>
          <w:p w14:paraId="657D4DD2" w14:textId="77777777" w:rsidR="004E78E3" w:rsidRPr="004E78E3" w:rsidRDefault="004E78E3" w:rsidP="00F340D2">
            <w:pPr>
              <w:pStyle w:val="IRPsanstext"/>
              <w:spacing w:line="240" w:lineRule="auto"/>
              <w:jc w:val="center"/>
              <w:rPr>
                <w:sz w:val="18"/>
                <w:szCs w:val="18"/>
              </w:rPr>
            </w:pPr>
            <w:r w:rsidRPr="004E78E3">
              <w:rPr>
                <w:sz w:val="18"/>
                <w:szCs w:val="18"/>
              </w:rPr>
              <w:t>1.5 mi</w:t>
            </w:r>
          </w:p>
        </w:tc>
        <w:tc>
          <w:tcPr>
            <w:tcW w:w="1620" w:type="dxa"/>
          </w:tcPr>
          <w:p w14:paraId="131F69A1" w14:textId="77777777" w:rsidR="004E78E3" w:rsidRPr="004E78E3" w:rsidRDefault="004E78E3" w:rsidP="00F340D2">
            <w:pPr>
              <w:pStyle w:val="IRPsanstext"/>
              <w:spacing w:before="120" w:line="240" w:lineRule="auto"/>
              <w:rPr>
                <w:sz w:val="18"/>
                <w:szCs w:val="18"/>
              </w:rPr>
            </w:pPr>
            <w:r w:rsidRPr="004E78E3">
              <w:rPr>
                <w:sz w:val="18"/>
                <w:szCs w:val="18"/>
              </w:rPr>
              <w:t>Downtown with most net meters of any commercial feeder.</w:t>
            </w:r>
          </w:p>
        </w:tc>
      </w:tr>
      <w:tr w:rsidR="004E78E3" w:rsidRPr="004E78E3" w14:paraId="6EDCABE7" w14:textId="77777777">
        <w:tc>
          <w:tcPr>
            <w:tcW w:w="1188" w:type="dxa"/>
          </w:tcPr>
          <w:p w14:paraId="7BE1B894" w14:textId="77777777" w:rsidR="0061357C" w:rsidRDefault="0061357C" w:rsidP="00F340D2">
            <w:pPr>
              <w:pStyle w:val="IRPsanstext"/>
              <w:spacing w:line="240" w:lineRule="auto"/>
              <w:rPr>
                <w:sz w:val="18"/>
                <w:szCs w:val="18"/>
              </w:rPr>
            </w:pPr>
          </w:p>
          <w:p w14:paraId="1D72FA35" w14:textId="77777777" w:rsidR="004E78E3" w:rsidRPr="004E78E3" w:rsidRDefault="004E78E3" w:rsidP="00F340D2">
            <w:pPr>
              <w:pStyle w:val="IRPsanstext"/>
              <w:spacing w:line="240" w:lineRule="auto"/>
              <w:rPr>
                <w:sz w:val="18"/>
                <w:szCs w:val="18"/>
              </w:rPr>
            </w:pPr>
            <w:r w:rsidRPr="004E78E3">
              <w:rPr>
                <w:sz w:val="18"/>
                <w:szCs w:val="18"/>
              </w:rPr>
              <w:t>Union Hill-21</w:t>
            </w:r>
            <w:r w:rsidRPr="00DA5391">
              <w:rPr>
                <w:sz w:val="16"/>
                <w:szCs w:val="16"/>
              </w:rPr>
              <w:t xml:space="preserve"> (UHL-21)</w:t>
            </w:r>
          </w:p>
        </w:tc>
        <w:tc>
          <w:tcPr>
            <w:tcW w:w="1170" w:type="dxa"/>
          </w:tcPr>
          <w:p w14:paraId="5EF58138" w14:textId="77777777" w:rsidR="0061357C" w:rsidRDefault="0061357C" w:rsidP="00F340D2">
            <w:pPr>
              <w:pStyle w:val="IRPsanstext"/>
              <w:spacing w:line="240" w:lineRule="auto"/>
              <w:rPr>
                <w:sz w:val="18"/>
                <w:szCs w:val="18"/>
              </w:rPr>
            </w:pPr>
          </w:p>
          <w:p w14:paraId="0B6B2381" w14:textId="77777777" w:rsidR="004E78E3" w:rsidRPr="004E78E3" w:rsidRDefault="004E78E3" w:rsidP="00F340D2">
            <w:pPr>
              <w:pStyle w:val="IRPsanstext"/>
              <w:spacing w:line="240" w:lineRule="auto"/>
              <w:rPr>
                <w:sz w:val="18"/>
                <w:szCs w:val="18"/>
              </w:rPr>
            </w:pPr>
            <w:r w:rsidRPr="004E78E3">
              <w:rPr>
                <w:sz w:val="18"/>
                <w:szCs w:val="18"/>
              </w:rPr>
              <w:t>Redmond</w:t>
            </w:r>
          </w:p>
        </w:tc>
        <w:tc>
          <w:tcPr>
            <w:tcW w:w="1260" w:type="dxa"/>
          </w:tcPr>
          <w:p w14:paraId="283DBD65" w14:textId="77777777" w:rsidR="004E78E3" w:rsidRPr="004E78E3" w:rsidRDefault="004E78E3" w:rsidP="00F340D2">
            <w:pPr>
              <w:pStyle w:val="IRPsanstext"/>
              <w:spacing w:before="120" w:line="240" w:lineRule="auto"/>
              <w:rPr>
                <w:sz w:val="18"/>
                <w:szCs w:val="18"/>
              </w:rPr>
            </w:pPr>
            <w:r w:rsidRPr="004E78E3">
              <w:rPr>
                <w:sz w:val="18"/>
                <w:szCs w:val="18"/>
              </w:rPr>
              <w:t>29% Commercial</w:t>
            </w:r>
          </w:p>
          <w:p w14:paraId="639781A3" w14:textId="77777777" w:rsidR="004E78E3" w:rsidRPr="004E78E3" w:rsidRDefault="004E78E3" w:rsidP="00F340D2">
            <w:pPr>
              <w:pStyle w:val="IRPsanstext"/>
              <w:spacing w:before="120" w:line="240" w:lineRule="auto"/>
              <w:rPr>
                <w:sz w:val="18"/>
                <w:szCs w:val="18"/>
              </w:rPr>
            </w:pPr>
            <w:r w:rsidRPr="004E78E3">
              <w:rPr>
                <w:sz w:val="18"/>
                <w:szCs w:val="18"/>
              </w:rPr>
              <w:t>71% Residential</w:t>
            </w:r>
          </w:p>
        </w:tc>
        <w:tc>
          <w:tcPr>
            <w:tcW w:w="900" w:type="dxa"/>
          </w:tcPr>
          <w:p w14:paraId="46554206" w14:textId="77777777" w:rsidR="0061357C" w:rsidRDefault="0061357C" w:rsidP="00F340D2">
            <w:pPr>
              <w:pStyle w:val="IRPsanstext"/>
              <w:spacing w:line="240" w:lineRule="auto"/>
              <w:jc w:val="center"/>
              <w:rPr>
                <w:sz w:val="18"/>
                <w:szCs w:val="18"/>
              </w:rPr>
            </w:pPr>
          </w:p>
          <w:p w14:paraId="4FD2CB07" w14:textId="77777777" w:rsidR="004E78E3" w:rsidRPr="004E78E3" w:rsidRDefault="004E78E3" w:rsidP="00F340D2">
            <w:pPr>
              <w:pStyle w:val="IRPsanstext"/>
              <w:spacing w:line="240" w:lineRule="auto"/>
              <w:jc w:val="center"/>
              <w:rPr>
                <w:sz w:val="18"/>
                <w:szCs w:val="18"/>
              </w:rPr>
            </w:pPr>
            <w:r w:rsidRPr="004E78E3">
              <w:rPr>
                <w:sz w:val="18"/>
                <w:szCs w:val="18"/>
              </w:rPr>
              <w:t>Winter</w:t>
            </w:r>
          </w:p>
        </w:tc>
        <w:tc>
          <w:tcPr>
            <w:tcW w:w="900" w:type="dxa"/>
          </w:tcPr>
          <w:p w14:paraId="64C3A621" w14:textId="77777777" w:rsidR="0061357C" w:rsidRDefault="0061357C" w:rsidP="00F340D2">
            <w:pPr>
              <w:pStyle w:val="IRPsanstext"/>
              <w:spacing w:line="240" w:lineRule="auto"/>
              <w:jc w:val="center"/>
              <w:rPr>
                <w:sz w:val="18"/>
                <w:szCs w:val="18"/>
              </w:rPr>
            </w:pPr>
          </w:p>
          <w:p w14:paraId="40C930FB" w14:textId="77777777" w:rsidR="004E78E3" w:rsidRPr="004E78E3" w:rsidRDefault="004E78E3" w:rsidP="00F340D2">
            <w:pPr>
              <w:pStyle w:val="IRPsanstext"/>
              <w:spacing w:line="240" w:lineRule="auto"/>
              <w:jc w:val="center"/>
              <w:rPr>
                <w:sz w:val="18"/>
                <w:szCs w:val="18"/>
              </w:rPr>
            </w:pPr>
            <w:r w:rsidRPr="004E78E3">
              <w:rPr>
                <w:sz w:val="18"/>
                <w:szCs w:val="18"/>
              </w:rPr>
              <w:t>77</w:t>
            </w:r>
          </w:p>
        </w:tc>
        <w:tc>
          <w:tcPr>
            <w:tcW w:w="1170" w:type="dxa"/>
          </w:tcPr>
          <w:p w14:paraId="0168E3BB" w14:textId="77777777" w:rsidR="0061357C" w:rsidRDefault="0061357C" w:rsidP="00F340D2">
            <w:pPr>
              <w:pStyle w:val="IRPsanstext"/>
              <w:spacing w:line="240" w:lineRule="auto"/>
              <w:jc w:val="center"/>
              <w:rPr>
                <w:sz w:val="18"/>
                <w:szCs w:val="18"/>
              </w:rPr>
            </w:pPr>
          </w:p>
          <w:p w14:paraId="2FF5288B" w14:textId="77777777" w:rsidR="004E78E3" w:rsidRPr="004E78E3" w:rsidRDefault="004E78E3" w:rsidP="00F340D2">
            <w:pPr>
              <w:pStyle w:val="IRPsanstext"/>
              <w:spacing w:line="240" w:lineRule="auto"/>
              <w:jc w:val="center"/>
              <w:rPr>
                <w:sz w:val="18"/>
                <w:szCs w:val="18"/>
              </w:rPr>
            </w:pPr>
            <w:r w:rsidRPr="004E78E3">
              <w:rPr>
                <w:sz w:val="18"/>
                <w:szCs w:val="18"/>
              </w:rPr>
              <w:t>4.3%</w:t>
            </w:r>
          </w:p>
        </w:tc>
        <w:tc>
          <w:tcPr>
            <w:tcW w:w="900" w:type="dxa"/>
          </w:tcPr>
          <w:p w14:paraId="6B212B65" w14:textId="77777777" w:rsidR="0061357C" w:rsidRDefault="0061357C" w:rsidP="00F340D2">
            <w:pPr>
              <w:pStyle w:val="IRPsanstext"/>
              <w:spacing w:line="240" w:lineRule="auto"/>
              <w:jc w:val="center"/>
              <w:rPr>
                <w:sz w:val="18"/>
                <w:szCs w:val="18"/>
              </w:rPr>
            </w:pPr>
          </w:p>
          <w:p w14:paraId="728AB14B" w14:textId="77777777" w:rsidR="004E78E3" w:rsidRPr="004E78E3" w:rsidRDefault="004E78E3" w:rsidP="00F340D2">
            <w:pPr>
              <w:pStyle w:val="IRPsanstext"/>
              <w:spacing w:line="240" w:lineRule="auto"/>
              <w:jc w:val="center"/>
              <w:rPr>
                <w:sz w:val="18"/>
                <w:szCs w:val="18"/>
              </w:rPr>
            </w:pPr>
            <w:r w:rsidRPr="004E78E3">
              <w:rPr>
                <w:sz w:val="18"/>
                <w:szCs w:val="18"/>
              </w:rPr>
              <w:t>5.3 mi</w:t>
            </w:r>
          </w:p>
        </w:tc>
        <w:tc>
          <w:tcPr>
            <w:tcW w:w="1620" w:type="dxa"/>
          </w:tcPr>
          <w:p w14:paraId="4DC08C8C" w14:textId="77777777" w:rsidR="004E78E3" w:rsidRPr="004E78E3" w:rsidRDefault="004E78E3" w:rsidP="00F340D2">
            <w:pPr>
              <w:pStyle w:val="IRPsanstext"/>
              <w:spacing w:before="120" w:line="240" w:lineRule="auto"/>
              <w:rPr>
                <w:sz w:val="18"/>
                <w:szCs w:val="18"/>
              </w:rPr>
            </w:pPr>
            <w:r w:rsidRPr="004E78E3">
              <w:rPr>
                <w:sz w:val="18"/>
                <w:szCs w:val="18"/>
              </w:rPr>
              <w:t>Fairly heavily loaded longer feeder. Mostly residential.</w:t>
            </w:r>
          </w:p>
        </w:tc>
      </w:tr>
      <w:tr w:rsidR="004E78E3" w:rsidRPr="004E78E3" w14:paraId="06822FBB" w14:textId="77777777">
        <w:tc>
          <w:tcPr>
            <w:tcW w:w="1188" w:type="dxa"/>
          </w:tcPr>
          <w:p w14:paraId="22BB9CFA" w14:textId="77777777" w:rsidR="00834058" w:rsidRDefault="00834058" w:rsidP="00F340D2">
            <w:pPr>
              <w:pStyle w:val="IRPsanstext"/>
              <w:spacing w:line="240" w:lineRule="auto"/>
              <w:rPr>
                <w:sz w:val="18"/>
                <w:szCs w:val="18"/>
              </w:rPr>
            </w:pPr>
          </w:p>
          <w:p w14:paraId="1281F791" w14:textId="77777777" w:rsidR="004E78E3" w:rsidRPr="004E78E3" w:rsidRDefault="004E78E3" w:rsidP="00F340D2">
            <w:pPr>
              <w:pStyle w:val="IRPsanstext"/>
              <w:spacing w:line="240" w:lineRule="auto"/>
              <w:rPr>
                <w:sz w:val="18"/>
                <w:szCs w:val="18"/>
              </w:rPr>
            </w:pPr>
            <w:r w:rsidRPr="004E78E3">
              <w:rPr>
                <w:sz w:val="18"/>
                <w:szCs w:val="18"/>
              </w:rPr>
              <w:t xml:space="preserve">Winslow-16 </w:t>
            </w:r>
            <w:r w:rsidRPr="00DA5391">
              <w:rPr>
                <w:sz w:val="16"/>
                <w:szCs w:val="16"/>
              </w:rPr>
              <w:t>(WIN-16)</w:t>
            </w:r>
          </w:p>
        </w:tc>
        <w:tc>
          <w:tcPr>
            <w:tcW w:w="1170" w:type="dxa"/>
          </w:tcPr>
          <w:p w14:paraId="1F0339DD" w14:textId="77777777" w:rsidR="00834058" w:rsidRDefault="00834058" w:rsidP="00F340D2">
            <w:pPr>
              <w:pStyle w:val="IRPsanstext"/>
              <w:spacing w:line="240" w:lineRule="auto"/>
              <w:rPr>
                <w:sz w:val="18"/>
                <w:szCs w:val="18"/>
              </w:rPr>
            </w:pPr>
          </w:p>
          <w:p w14:paraId="59CF9200" w14:textId="77777777" w:rsidR="004E78E3" w:rsidRPr="004E78E3" w:rsidRDefault="004E78E3" w:rsidP="00F340D2">
            <w:pPr>
              <w:pStyle w:val="IRPsanstext"/>
              <w:spacing w:line="240" w:lineRule="auto"/>
              <w:rPr>
                <w:sz w:val="18"/>
                <w:szCs w:val="18"/>
              </w:rPr>
            </w:pPr>
            <w:r w:rsidRPr="004E78E3">
              <w:rPr>
                <w:sz w:val="18"/>
                <w:szCs w:val="18"/>
              </w:rPr>
              <w:t>Bainbridge Island</w:t>
            </w:r>
          </w:p>
        </w:tc>
        <w:tc>
          <w:tcPr>
            <w:tcW w:w="1260" w:type="dxa"/>
          </w:tcPr>
          <w:p w14:paraId="0B20E51E" w14:textId="77777777" w:rsidR="004E78E3" w:rsidRPr="004E78E3" w:rsidRDefault="004E78E3" w:rsidP="00F340D2">
            <w:pPr>
              <w:pStyle w:val="IRPsanstext"/>
              <w:spacing w:before="120" w:line="240" w:lineRule="auto"/>
              <w:rPr>
                <w:sz w:val="18"/>
                <w:szCs w:val="18"/>
              </w:rPr>
            </w:pPr>
            <w:r w:rsidRPr="004E78E3">
              <w:rPr>
                <w:sz w:val="18"/>
                <w:szCs w:val="18"/>
              </w:rPr>
              <w:t>51% Commercial</w:t>
            </w:r>
          </w:p>
          <w:p w14:paraId="08025E95" w14:textId="77777777" w:rsidR="004E78E3" w:rsidRPr="004E78E3" w:rsidRDefault="004E78E3" w:rsidP="00F340D2">
            <w:pPr>
              <w:pStyle w:val="IRPsanstext"/>
              <w:spacing w:before="120" w:line="240" w:lineRule="auto"/>
              <w:rPr>
                <w:sz w:val="18"/>
                <w:szCs w:val="18"/>
              </w:rPr>
            </w:pPr>
            <w:r w:rsidRPr="004E78E3">
              <w:rPr>
                <w:sz w:val="18"/>
                <w:szCs w:val="18"/>
              </w:rPr>
              <w:t>49% Residential</w:t>
            </w:r>
          </w:p>
        </w:tc>
        <w:tc>
          <w:tcPr>
            <w:tcW w:w="900" w:type="dxa"/>
          </w:tcPr>
          <w:p w14:paraId="5DF333D2" w14:textId="77777777" w:rsidR="00834058" w:rsidRDefault="00834058" w:rsidP="00F340D2">
            <w:pPr>
              <w:pStyle w:val="IRPsanstext"/>
              <w:spacing w:line="240" w:lineRule="auto"/>
              <w:jc w:val="center"/>
              <w:rPr>
                <w:sz w:val="18"/>
                <w:szCs w:val="18"/>
              </w:rPr>
            </w:pPr>
          </w:p>
          <w:p w14:paraId="5617FA3F" w14:textId="77777777" w:rsidR="004E78E3" w:rsidRPr="004E78E3" w:rsidRDefault="004E78E3" w:rsidP="00F340D2">
            <w:pPr>
              <w:pStyle w:val="IRPsanstext"/>
              <w:spacing w:line="240" w:lineRule="auto"/>
              <w:jc w:val="center"/>
              <w:rPr>
                <w:sz w:val="18"/>
                <w:szCs w:val="18"/>
              </w:rPr>
            </w:pPr>
            <w:r w:rsidRPr="004E78E3">
              <w:rPr>
                <w:sz w:val="18"/>
                <w:szCs w:val="18"/>
              </w:rPr>
              <w:t>Winter</w:t>
            </w:r>
          </w:p>
        </w:tc>
        <w:tc>
          <w:tcPr>
            <w:tcW w:w="900" w:type="dxa"/>
          </w:tcPr>
          <w:p w14:paraId="70E81F7F" w14:textId="77777777" w:rsidR="00834058" w:rsidRDefault="00834058" w:rsidP="00F340D2">
            <w:pPr>
              <w:pStyle w:val="IRPsanstext"/>
              <w:spacing w:line="240" w:lineRule="auto"/>
              <w:jc w:val="center"/>
              <w:rPr>
                <w:sz w:val="18"/>
                <w:szCs w:val="18"/>
              </w:rPr>
            </w:pPr>
          </w:p>
          <w:p w14:paraId="140D3876" w14:textId="77777777" w:rsidR="004E78E3" w:rsidRPr="004E78E3" w:rsidRDefault="004E78E3" w:rsidP="00F340D2">
            <w:pPr>
              <w:pStyle w:val="IRPsanstext"/>
              <w:spacing w:line="240" w:lineRule="auto"/>
              <w:jc w:val="center"/>
              <w:rPr>
                <w:sz w:val="18"/>
                <w:szCs w:val="18"/>
              </w:rPr>
            </w:pPr>
            <w:r w:rsidRPr="004E78E3">
              <w:rPr>
                <w:sz w:val="18"/>
                <w:szCs w:val="18"/>
              </w:rPr>
              <w:t>20</w:t>
            </w:r>
          </w:p>
        </w:tc>
        <w:tc>
          <w:tcPr>
            <w:tcW w:w="1170" w:type="dxa"/>
          </w:tcPr>
          <w:p w14:paraId="5A3BBAF1" w14:textId="77777777" w:rsidR="00834058" w:rsidRDefault="00834058" w:rsidP="00F340D2">
            <w:pPr>
              <w:pStyle w:val="IRPsanstext"/>
              <w:spacing w:line="240" w:lineRule="auto"/>
              <w:jc w:val="center"/>
              <w:rPr>
                <w:sz w:val="18"/>
                <w:szCs w:val="18"/>
              </w:rPr>
            </w:pPr>
          </w:p>
          <w:p w14:paraId="407F929B" w14:textId="77777777" w:rsidR="004E78E3" w:rsidRPr="004E78E3" w:rsidRDefault="004E78E3" w:rsidP="00F340D2">
            <w:pPr>
              <w:pStyle w:val="IRPsanstext"/>
              <w:spacing w:line="240" w:lineRule="auto"/>
              <w:jc w:val="center"/>
              <w:rPr>
                <w:sz w:val="18"/>
                <w:szCs w:val="18"/>
              </w:rPr>
            </w:pPr>
            <w:r w:rsidRPr="004E78E3">
              <w:rPr>
                <w:sz w:val="18"/>
                <w:szCs w:val="18"/>
              </w:rPr>
              <w:t>39%</w:t>
            </w:r>
          </w:p>
        </w:tc>
        <w:tc>
          <w:tcPr>
            <w:tcW w:w="900" w:type="dxa"/>
          </w:tcPr>
          <w:p w14:paraId="79282317" w14:textId="77777777" w:rsidR="00834058" w:rsidRDefault="00834058" w:rsidP="00F340D2">
            <w:pPr>
              <w:pStyle w:val="IRPsanstext"/>
              <w:spacing w:line="240" w:lineRule="auto"/>
              <w:jc w:val="center"/>
              <w:rPr>
                <w:sz w:val="18"/>
                <w:szCs w:val="18"/>
              </w:rPr>
            </w:pPr>
          </w:p>
          <w:p w14:paraId="13D720F2" w14:textId="77777777" w:rsidR="004E78E3" w:rsidRPr="004E78E3" w:rsidRDefault="004E78E3" w:rsidP="00F340D2">
            <w:pPr>
              <w:pStyle w:val="IRPsanstext"/>
              <w:spacing w:line="240" w:lineRule="auto"/>
              <w:jc w:val="center"/>
              <w:rPr>
                <w:sz w:val="18"/>
                <w:szCs w:val="18"/>
              </w:rPr>
            </w:pPr>
            <w:r w:rsidRPr="004E78E3">
              <w:rPr>
                <w:sz w:val="18"/>
                <w:szCs w:val="18"/>
              </w:rPr>
              <w:t>1.0 mi</w:t>
            </w:r>
          </w:p>
        </w:tc>
        <w:tc>
          <w:tcPr>
            <w:tcW w:w="1620" w:type="dxa"/>
          </w:tcPr>
          <w:p w14:paraId="3F17937E" w14:textId="77777777" w:rsidR="004E78E3" w:rsidRPr="004E78E3" w:rsidRDefault="004E78E3" w:rsidP="00F340D2">
            <w:pPr>
              <w:pStyle w:val="IRPsanstext"/>
              <w:spacing w:before="120" w:line="240" w:lineRule="auto"/>
              <w:rPr>
                <w:sz w:val="18"/>
                <w:szCs w:val="18"/>
              </w:rPr>
            </w:pPr>
            <w:r w:rsidRPr="004E78E3">
              <w:rPr>
                <w:sz w:val="18"/>
                <w:szCs w:val="18"/>
              </w:rPr>
              <w:t>Lightly loaded short feeder with high solar penetration rate.</w:t>
            </w:r>
          </w:p>
        </w:tc>
      </w:tr>
      <w:tr w:rsidR="004E78E3" w:rsidRPr="004E78E3" w14:paraId="41EA4486" w14:textId="77777777">
        <w:tc>
          <w:tcPr>
            <w:tcW w:w="1188" w:type="dxa"/>
          </w:tcPr>
          <w:p w14:paraId="4B6DBC13" w14:textId="77777777" w:rsidR="00834058" w:rsidRDefault="00834058" w:rsidP="00F340D2">
            <w:pPr>
              <w:pStyle w:val="IRPsanstext"/>
              <w:spacing w:line="240" w:lineRule="auto"/>
              <w:rPr>
                <w:sz w:val="8"/>
                <w:szCs w:val="18"/>
              </w:rPr>
            </w:pPr>
          </w:p>
          <w:p w14:paraId="4BD50602" w14:textId="77777777" w:rsidR="004E78E3" w:rsidRPr="004E78E3" w:rsidRDefault="004E78E3" w:rsidP="00F340D2">
            <w:pPr>
              <w:pStyle w:val="IRPsanstext"/>
              <w:spacing w:line="240" w:lineRule="auto"/>
              <w:rPr>
                <w:sz w:val="18"/>
                <w:szCs w:val="18"/>
              </w:rPr>
            </w:pPr>
            <w:r w:rsidRPr="004E78E3">
              <w:rPr>
                <w:sz w:val="18"/>
                <w:szCs w:val="18"/>
              </w:rPr>
              <w:t xml:space="preserve">Evergreen-17 </w:t>
            </w:r>
            <w:r w:rsidRPr="00DA5391">
              <w:rPr>
                <w:sz w:val="16"/>
                <w:szCs w:val="16"/>
              </w:rPr>
              <w:t>(EVE-17)</w:t>
            </w:r>
          </w:p>
        </w:tc>
        <w:tc>
          <w:tcPr>
            <w:tcW w:w="1170" w:type="dxa"/>
          </w:tcPr>
          <w:p w14:paraId="46546427" w14:textId="77777777" w:rsidR="00834058" w:rsidRDefault="00834058" w:rsidP="00F340D2">
            <w:pPr>
              <w:pStyle w:val="IRPsanstext"/>
              <w:spacing w:line="240" w:lineRule="auto"/>
              <w:rPr>
                <w:sz w:val="18"/>
                <w:szCs w:val="18"/>
              </w:rPr>
            </w:pPr>
          </w:p>
          <w:p w14:paraId="2E92F573" w14:textId="77777777" w:rsidR="004E78E3" w:rsidRPr="004E78E3" w:rsidRDefault="004E78E3" w:rsidP="00F340D2">
            <w:pPr>
              <w:pStyle w:val="IRPsanstext"/>
              <w:spacing w:line="240" w:lineRule="auto"/>
              <w:rPr>
                <w:sz w:val="18"/>
                <w:szCs w:val="18"/>
              </w:rPr>
            </w:pPr>
            <w:r w:rsidRPr="004E78E3">
              <w:rPr>
                <w:sz w:val="18"/>
                <w:szCs w:val="18"/>
              </w:rPr>
              <w:t>Redmond</w:t>
            </w:r>
          </w:p>
        </w:tc>
        <w:tc>
          <w:tcPr>
            <w:tcW w:w="1260" w:type="dxa"/>
          </w:tcPr>
          <w:p w14:paraId="56DF08FA" w14:textId="77777777" w:rsidR="004E78E3" w:rsidRPr="004E78E3" w:rsidRDefault="004E78E3" w:rsidP="00F340D2">
            <w:pPr>
              <w:pStyle w:val="IRPsanstext"/>
              <w:spacing w:before="120" w:line="240" w:lineRule="auto"/>
              <w:rPr>
                <w:sz w:val="18"/>
                <w:szCs w:val="18"/>
              </w:rPr>
            </w:pPr>
            <w:r w:rsidRPr="004E78E3">
              <w:rPr>
                <w:sz w:val="18"/>
                <w:szCs w:val="18"/>
              </w:rPr>
              <w:t>100% Commercial</w:t>
            </w:r>
          </w:p>
        </w:tc>
        <w:tc>
          <w:tcPr>
            <w:tcW w:w="900" w:type="dxa"/>
          </w:tcPr>
          <w:p w14:paraId="4568549C" w14:textId="77777777" w:rsidR="00834058" w:rsidRDefault="00834058" w:rsidP="00F340D2">
            <w:pPr>
              <w:pStyle w:val="IRPsanstext"/>
              <w:spacing w:line="240" w:lineRule="auto"/>
              <w:jc w:val="center"/>
              <w:rPr>
                <w:sz w:val="18"/>
                <w:szCs w:val="18"/>
              </w:rPr>
            </w:pPr>
          </w:p>
          <w:p w14:paraId="4E82ACD4" w14:textId="77777777" w:rsidR="004E78E3" w:rsidRPr="004E78E3" w:rsidRDefault="004E78E3" w:rsidP="00F340D2">
            <w:pPr>
              <w:pStyle w:val="IRPsanstext"/>
              <w:spacing w:line="240" w:lineRule="auto"/>
              <w:jc w:val="center"/>
              <w:rPr>
                <w:sz w:val="18"/>
                <w:szCs w:val="18"/>
              </w:rPr>
            </w:pPr>
            <w:r w:rsidRPr="004E78E3">
              <w:rPr>
                <w:sz w:val="18"/>
                <w:szCs w:val="18"/>
              </w:rPr>
              <w:t>Summer</w:t>
            </w:r>
          </w:p>
        </w:tc>
        <w:tc>
          <w:tcPr>
            <w:tcW w:w="900" w:type="dxa"/>
          </w:tcPr>
          <w:p w14:paraId="062D17C9" w14:textId="77777777" w:rsidR="00834058" w:rsidRDefault="00834058" w:rsidP="00F340D2">
            <w:pPr>
              <w:pStyle w:val="IRPsanstext"/>
              <w:spacing w:line="240" w:lineRule="auto"/>
              <w:jc w:val="center"/>
              <w:rPr>
                <w:sz w:val="18"/>
                <w:szCs w:val="18"/>
              </w:rPr>
            </w:pPr>
          </w:p>
          <w:p w14:paraId="0AF63A89" w14:textId="77777777" w:rsidR="004E78E3" w:rsidRPr="004E78E3" w:rsidRDefault="004E78E3" w:rsidP="00F340D2">
            <w:pPr>
              <w:pStyle w:val="IRPsanstext"/>
              <w:spacing w:line="240" w:lineRule="auto"/>
              <w:jc w:val="center"/>
              <w:rPr>
                <w:sz w:val="18"/>
                <w:szCs w:val="18"/>
              </w:rPr>
            </w:pPr>
            <w:r w:rsidRPr="004E78E3">
              <w:rPr>
                <w:sz w:val="18"/>
                <w:szCs w:val="18"/>
              </w:rPr>
              <w:t>0</w:t>
            </w:r>
          </w:p>
        </w:tc>
        <w:tc>
          <w:tcPr>
            <w:tcW w:w="1170" w:type="dxa"/>
          </w:tcPr>
          <w:p w14:paraId="23305C4F" w14:textId="77777777" w:rsidR="00834058" w:rsidRDefault="00834058" w:rsidP="00F340D2">
            <w:pPr>
              <w:pStyle w:val="IRPsanstext"/>
              <w:spacing w:line="240" w:lineRule="auto"/>
              <w:jc w:val="center"/>
              <w:rPr>
                <w:sz w:val="18"/>
                <w:szCs w:val="18"/>
              </w:rPr>
            </w:pPr>
          </w:p>
          <w:p w14:paraId="11520191" w14:textId="77777777" w:rsidR="004E78E3" w:rsidRPr="004E78E3" w:rsidRDefault="004E78E3" w:rsidP="00F340D2">
            <w:pPr>
              <w:pStyle w:val="IRPsanstext"/>
              <w:spacing w:line="240" w:lineRule="auto"/>
              <w:jc w:val="center"/>
              <w:rPr>
                <w:sz w:val="18"/>
                <w:szCs w:val="18"/>
              </w:rPr>
            </w:pPr>
            <w:r w:rsidRPr="004E78E3">
              <w:rPr>
                <w:sz w:val="18"/>
                <w:szCs w:val="18"/>
              </w:rPr>
              <w:t>0%</w:t>
            </w:r>
          </w:p>
        </w:tc>
        <w:tc>
          <w:tcPr>
            <w:tcW w:w="900" w:type="dxa"/>
          </w:tcPr>
          <w:p w14:paraId="1212DA5D" w14:textId="77777777" w:rsidR="00834058" w:rsidRDefault="00834058" w:rsidP="00F340D2">
            <w:pPr>
              <w:pStyle w:val="IRPsanstext"/>
              <w:spacing w:line="240" w:lineRule="auto"/>
              <w:jc w:val="center"/>
              <w:rPr>
                <w:sz w:val="18"/>
                <w:szCs w:val="18"/>
              </w:rPr>
            </w:pPr>
          </w:p>
          <w:p w14:paraId="784FEE95" w14:textId="77777777" w:rsidR="004E78E3" w:rsidRPr="004E78E3" w:rsidRDefault="004E78E3" w:rsidP="00F340D2">
            <w:pPr>
              <w:pStyle w:val="IRPsanstext"/>
              <w:spacing w:line="240" w:lineRule="auto"/>
              <w:jc w:val="center"/>
              <w:rPr>
                <w:sz w:val="18"/>
                <w:szCs w:val="18"/>
              </w:rPr>
            </w:pPr>
            <w:r w:rsidRPr="004E78E3">
              <w:rPr>
                <w:sz w:val="18"/>
                <w:szCs w:val="18"/>
              </w:rPr>
              <w:t>0.6 mi</w:t>
            </w:r>
          </w:p>
        </w:tc>
        <w:tc>
          <w:tcPr>
            <w:tcW w:w="1620" w:type="dxa"/>
          </w:tcPr>
          <w:p w14:paraId="2D80D14D" w14:textId="77777777" w:rsidR="004E78E3" w:rsidRPr="004E78E3" w:rsidRDefault="004E78E3" w:rsidP="00F340D2">
            <w:pPr>
              <w:pStyle w:val="IRPsanstext"/>
              <w:spacing w:before="120" w:line="240" w:lineRule="auto"/>
              <w:rPr>
                <w:sz w:val="18"/>
                <w:szCs w:val="18"/>
              </w:rPr>
            </w:pPr>
            <w:r w:rsidRPr="004E78E3">
              <w:rPr>
                <w:sz w:val="18"/>
                <w:szCs w:val="18"/>
              </w:rPr>
              <w:t>One of few summer-peaking feeders.</w:t>
            </w:r>
          </w:p>
        </w:tc>
      </w:tr>
    </w:tbl>
    <w:p w14:paraId="5353A271" w14:textId="77777777" w:rsidR="002C612F" w:rsidRDefault="002C612F" w:rsidP="002C612F">
      <w:pPr>
        <w:rPr>
          <w:sz w:val="32"/>
        </w:rPr>
      </w:pPr>
    </w:p>
    <w:p w14:paraId="4A8BBA1E" w14:textId="77777777" w:rsidR="004E78E3" w:rsidRPr="002C612F" w:rsidRDefault="004E78E3" w:rsidP="002C612F">
      <w:pPr>
        <w:pStyle w:val="IRPsanstext"/>
        <w:rPr>
          <w:sz w:val="32"/>
        </w:rPr>
      </w:pPr>
      <w:r w:rsidRPr="002C612F">
        <w:rPr>
          <w:b/>
          <w:color w:val="006C71"/>
          <w:sz w:val="28"/>
        </w:rPr>
        <w:t>Design Days</w:t>
      </w:r>
      <w:r w:rsidR="002D29D6" w:rsidRPr="002C612F">
        <w:rPr>
          <w:b/>
          <w:color w:val="006C71"/>
          <w:sz w:val="28"/>
        </w:rPr>
        <w:t>.</w:t>
      </w:r>
      <w:r w:rsidRPr="002D29D6">
        <w:rPr>
          <w:b/>
          <w:color w:val="3366FF"/>
          <w:sz w:val="28"/>
        </w:rPr>
        <w:t xml:space="preserve"> </w:t>
      </w:r>
      <w:r>
        <w:t xml:space="preserve">Each circuit was studied for a winter design day and a summer design day. For each of these, maximum and minimum sun radiation days and maximum and minimum loads were identified using 2013 data selected at three-minute intervals. Together these </w:t>
      </w:r>
      <w:r w:rsidRPr="000A2D03">
        <w:t>variables</w:t>
      </w:r>
      <w:r>
        <w:t xml:space="preserve"> established eight studies for each circuit. </w:t>
      </w:r>
    </w:p>
    <w:p w14:paraId="6D6FEE68" w14:textId="77777777" w:rsidR="004E78E3" w:rsidRPr="00D543C9" w:rsidRDefault="004E78E3" w:rsidP="002C612F">
      <w:pPr>
        <w:pStyle w:val="IRPsanstext"/>
        <w:rPr>
          <w:b/>
          <w:color w:val="3366FF"/>
        </w:rPr>
      </w:pPr>
    </w:p>
    <w:p w14:paraId="7A19FFFE" w14:textId="77777777" w:rsidR="004E78E3" w:rsidRPr="00A06F97" w:rsidRDefault="004E78E3" w:rsidP="00CE0BF6">
      <w:pPr>
        <w:pStyle w:val="IRPsanstext"/>
        <w:rPr>
          <w:b/>
          <w:caps/>
        </w:rPr>
      </w:pPr>
      <w:r w:rsidRPr="00A06F97">
        <w:rPr>
          <w:b/>
          <w:caps/>
        </w:rPr>
        <w:t>Loads</w:t>
      </w:r>
    </w:p>
    <w:p w14:paraId="527EA8FC" w14:textId="77777777" w:rsidR="002C612F" w:rsidRPr="00D543C9" w:rsidRDefault="002C612F" w:rsidP="00CE0BF6">
      <w:pPr>
        <w:pStyle w:val="IRPsanstext"/>
        <w:rPr>
          <w:b/>
        </w:rPr>
      </w:pPr>
    </w:p>
    <w:p w14:paraId="6025B32C" w14:textId="77777777" w:rsidR="004E78E3" w:rsidRDefault="004E78E3" w:rsidP="00CE0BF6">
      <w:pPr>
        <w:pStyle w:val="IRPsanstext"/>
        <w:numPr>
          <w:ilvl w:val="0"/>
          <w:numId w:val="24"/>
        </w:numPr>
      </w:pPr>
      <w:r>
        <w:t>Light Winter: winter day with lowest peak for 2013</w:t>
      </w:r>
    </w:p>
    <w:p w14:paraId="215780D8" w14:textId="77777777" w:rsidR="004E78E3" w:rsidRDefault="004E78E3" w:rsidP="00CE0BF6">
      <w:pPr>
        <w:pStyle w:val="IRPsanstext"/>
        <w:numPr>
          <w:ilvl w:val="0"/>
          <w:numId w:val="24"/>
        </w:numPr>
      </w:pPr>
      <w:r>
        <w:t>Heavy Winter: winter day with highest peak for 2013</w:t>
      </w:r>
    </w:p>
    <w:p w14:paraId="34F69A7D" w14:textId="77777777" w:rsidR="004E78E3" w:rsidRDefault="004E78E3" w:rsidP="00CE0BF6">
      <w:pPr>
        <w:pStyle w:val="IRPsanstext"/>
        <w:numPr>
          <w:ilvl w:val="0"/>
          <w:numId w:val="24"/>
        </w:numPr>
      </w:pPr>
      <w:r>
        <w:t>Light Summer: summer day with lowest peak for 2013</w:t>
      </w:r>
    </w:p>
    <w:p w14:paraId="739173D7" w14:textId="77777777" w:rsidR="004E78E3" w:rsidRDefault="004E78E3" w:rsidP="00CE0BF6">
      <w:pPr>
        <w:pStyle w:val="IRPsanstext"/>
        <w:numPr>
          <w:ilvl w:val="0"/>
          <w:numId w:val="24"/>
        </w:numPr>
      </w:pPr>
      <w:r>
        <w:t>Heavy Summer: summer day with highest peak for 2013</w:t>
      </w:r>
    </w:p>
    <w:p w14:paraId="2E15F56B" w14:textId="77777777" w:rsidR="00834058" w:rsidRDefault="00834058" w:rsidP="00CE0BF6">
      <w:pPr>
        <w:pStyle w:val="IRPsanstext"/>
        <w:rPr>
          <w:b/>
        </w:rPr>
      </w:pPr>
    </w:p>
    <w:p w14:paraId="1B74DC85" w14:textId="77777777" w:rsidR="004E78E3" w:rsidRPr="00A06F97" w:rsidRDefault="004E78E3" w:rsidP="00CE0BF6">
      <w:pPr>
        <w:pStyle w:val="IRPsanstext"/>
        <w:rPr>
          <w:b/>
          <w:caps/>
        </w:rPr>
      </w:pPr>
      <w:r w:rsidRPr="00A06F97">
        <w:rPr>
          <w:b/>
          <w:caps/>
        </w:rPr>
        <w:t>Solar Radiation</w:t>
      </w:r>
    </w:p>
    <w:p w14:paraId="6D3C9B34" w14:textId="77777777" w:rsidR="002C612F" w:rsidRPr="00D543C9" w:rsidRDefault="002C612F" w:rsidP="00CE0BF6">
      <w:pPr>
        <w:pStyle w:val="IRPsanstext"/>
        <w:rPr>
          <w:b/>
        </w:rPr>
      </w:pPr>
    </w:p>
    <w:p w14:paraId="491AFF45" w14:textId="77777777" w:rsidR="004E78E3" w:rsidRDefault="004E78E3" w:rsidP="00CE0BF6">
      <w:pPr>
        <w:pStyle w:val="IRPsanstext"/>
        <w:numPr>
          <w:ilvl w:val="0"/>
          <w:numId w:val="25"/>
        </w:numPr>
      </w:pPr>
      <w:r>
        <w:t>Summer Low Sun: day with lowest amount of sun in summer</w:t>
      </w:r>
    </w:p>
    <w:p w14:paraId="2BBFCAC4" w14:textId="77777777" w:rsidR="004E78E3" w:rsidRDefault="004E78E3" w:rsidP="00CE0BF6">
      <w:pPr>
        <w:pStyle w:val="IRPsanstext"/>
        <w:numPr>
          <w:ilvl w:val="0"/>
          <w:numId w:val="25"/>
        </w:numPr>
      </w:pPr>
      <w:r>
        <w:t>Summer High Sun: day with most amount of sun in summer</w:t>
      </w:r>
    </w:p>
    <w:p w14:paraId="77D28CBA" w14:textId="77777777" w:rsidR="004E78E3" w:rsidRDefault="004E78E3" w:rsidP="00CE0BF6">
      <w:pPr>
        <w:pStyle w:val="IRPsanstext"/>
        <w:numPr>
          <w:ilvl w:val="0"/>
          <w:numId w:val="25"/>
        </w:numPr>
      </w:pPr>
      <w:r>
        <w:t>Winter Low Sun: day with lowest amount of sun in winter</w:t>
      </w:r>
    </w:p>
    <w:p w14:paraId="636DBF5E" w14:textId="77777777" w:rsidR="004E78E3" w:rsidRDefault="004E78E3" w:rsidP="00CE0BF6">
      <w:pPr>
        <w:pStyle w:val="IRPsanstext"/>
        <w:numPr>
          <w:ilvl w:val="0"/>
          <w:numId w:val="25"/>
        </w:numPr>
      </w:pPr>
      <w:r>
        <w:t>Winter High Sun: day with highest amount of sun in winter</w:t>
      </w:r>
    </w:p>
    <w:p w14:paraId="04536679" w14:textId="77777777" w:rsidR="00CE0BF6" w:rsidRDefault="00CE0BF6" w:rsidP="00CE0BF6">
      <w:pPr>
        <w:pStyle w:val="IRPsanstext"/>
      </w:pPr>
    </w:p>
    <w:p w14:paraId="0E8EE3F6" w14:textId="77777777" w:rsidR="004E78E3" w:rsidRDefault="004E78E3" w:rsidP="00CE0BF6">
      <w:pPr>
        <w:pStyle w:val="IRPsanstext"/>
      </w:pPr>
      <w:r>
        <w:t>Finally, the study created a base case that assumed no solar generation. This added another study for each circuit.</w:t>
      </w:r>
    </w:p>
    <w:p w14:paraId="1ACC0A18" w14:textId="77777777" w:rsidR="004E78E3" w:rsidRDefault="004E78E3" w:rsidP="00CE0BF6">
      <w:pPr>
        <w:pStyle w:val="IRPsanstext"/>
      </w:pPr>
    </w:p>
    <w:p w14:paraId="20ABF743" w14:textId="77777777" w:rsidR="004E78E3" w:rsidRDefault="004E78E3" w:rsidP="00CE0BF6">
      <w:pPr>
        <w:pStyle w:val="IRPsanstext"/>
      </w:pPr>
    </w:p>
    <w:p w14:paraId="00399631" w14:textId="77777777" w:rsidR="00CE0BF6" w:rsidRDefault="00CE0BF6">
      <w:pPr>
        <w:rPr>
          <w:rFonts w:ascii="Arial" w:hAnsi="Arial"/>
          <w:sz w:val="32"/>
        </w:rPr>
      </w:pPr>
      <w:r>
        <w:rPr>
          <w:sz w:val="32"/>
        </w:rPr>
        <w:br w:type="page"/>
      </w:r>
    </w:p>
    <w:p w14:paraId="3C4388E7" w14:textId="77777777" w:rsidR="00CE0BF6" w:rsidRDefault="00CE0BF6" w:rsidP="00CE0BF6">
      <w:pPr>
        <w:pStyle w:val="IRPsanstext"/>
        <w:rPr>
          <w:sz w:val="32"/>
        </w:rPr>
      </w:pPr>
    </w:p>
    <w:p w14:paraId="05E7DB1E" w14:textId="77777777" w:rsidR="004E78E3" w:rsidRPr="002D29D6" w:rsidRDefault="004E78E3" w:rsidP="00CE0BF6">
      <w:pPr>
        <w:pStyle w:val="IRPsanstext"/>
        <w:rPr>
          <w:b/>
          <w:color w:val="3366FF"/>
          <w:sz w:val="28"/>
        </w:rPr>
      </w:pPr>
      <w:r w:rsidRPr="002C612F">
        <w:rPr>
          <w:b/>
          <w:color w:val="006C71"/>
          <w:sz w:val="28"/>
        </w:rPr>
        <w:t>Solar PV Penetration Potential</w:t>
      </w:r>
      <w:r w:rsidR="002D29D6" w:rsidRPr="002C612F">
        <w:rPr>
          <w:b/>
          <w:color w:val="006C71"/>
          <w:sz w:val="28"/>
        </w:rPr>
        <w:t>.</w:t>
      </w:r>
      <w:r w:rsidRPr="002D29D6">
        <w:rPr>
          <w:b/>
          <w:color w:val="3366FF"/>
          <w:sz w:val="28"/>
        </w:rPr>
        <w:t xml:space="preserve"> </w:t>
      </w:r>
      <w:r>
        <w:t xml:space="preserve">High technical potentials are assumed, since the purpose of the study is to consider the impact of high levels of solar penetration at the circuit level. </w:t>
      </w:r>
    </w:p>
    <w:p w14:paraId="2ACDBD8E" w14:textId="77777777" w:rsidR="004E78E3" w:rsidRPr="00D543C9" w:rsidRDefault="004E78E3" w:rsidP="00CE0BF6">
      <w:pPr>
        <w:pStyle w:val="IRPsanstext"/>
        <w:rPr>
          <w:b/>
          <w:color w:val="3366FF"/>
          <w:sz w:val="28"/>
        </w:rPr>
      </w:pPr>
    </w:p>
    <w:p w14:paraId="31EDB825" w14:textId="77777777" w:rsidR="004E78E3" w:rsidRDefault="004E78E3" w:rsidP="00CE0BF6">
      <w:pPr>
        <w:pStyle w:val="IRPsanstext"/>
        <w:numPr>
          <w:ilvl w:val="0"/>
          <w:numId w:val="26"/>
        </w:numPr>
      </w:pPr>
      <w:r>
        <w:t>For residential customers, 40</w:t>
      </w:r>
      <w:r w:rsidRPr="00497A27">
        <w:t xml:space="preserve"> percent</w:t>
      </w:r>
      <w:r>
        <w:t xml:space="preserve"> of houses are assumed to have PV systems capable of generating 5 kilowatts per house.  </w:t>
      </w:r>
    </w:p>
    <w:p w14:paraId="07BE28D4" w14:textId="77777777" w:rsidR="004E78E3" w:rsidRDefault="004E78E3" w:rsidP="00CE0BF6">
      <w:pPr>
        <w:pStyle w:val="IRPsanstext"/>
        <w:numPr>
          <w:ilvl w:val="0"/>
          <w:numId w:val="26"/>
        </w:numPr>
      </w:pPr>
      <w:r>
        <w:t>For existing commercial buildings, 70</w:t>
      </w:r>
      <w:r w:rsidRPr="00497A27">
        <w:t xml:space="preserve"> percent</w:t>
      </w:r>
      <w:r>
        <w:t xml:space="preserve"> of roof space is assumed to be available for PV, with equipment capable of generating 15 Watts per square foot, limited to 200 kW per building.</w:t>
      </w:r>
    </w:p>
    <w:p w14:paraId="25310823" w14:textId="77777777" w:rsidR="00CE0BF6" w:rsidRDefault="00CE0BF6" w:rsidP="00CE0BF6">
      <w:pPr>
        <w:pStyle w:val="IRPsanstext"/>
      </w:pPr>
    </w:p>
    <w:p w14:paraId="6511E641" w14:textId="77777777" w:rsidR="004E78E3" w:rsidRDefault="004E78E3" w:rsidP="00CE0BF6">
      <w:pPr>
        <w:pStyle w:val="IRPsanstext"/>
      </w:pPr>
      <w:r>
        <w:t>These assumptions are at the high end of the reasonable range, and in some circuits they produce penetration that is greater than 100</w:t>
      </w:r>
      <w:r w:rsidRPr="00497A27">
        <w:t xml:space="preserve"> percent</w:t>
      </w:r>
      <w:r>
        <w:t xml:space="preserve"> of peak.</w:t>
      </w:r>
      <w:r>
        <w:rPr>
          <w:rStyle w:val="FootnoteReference"/>
        </w:rPr>
        <w:footnoteReference w:id="1"/>
      </w:r>
      <w:r>
        <w:t xml:space="preserve">  Current U.S. standards call for a system impact study when circuits reach 15</w:t>
      </w:r>
      <w:r w:rsidRPr="00497A27">
        <w:t xml:space="preserve"> percent</w:t>
      </w:r>
      <w:r>
        <w:t xml:space="preserve"> PV penetration, and they recommend penetration should not exceed 30</w:t>
      </w:r>
      <w:r w:rsidRPr="00497A27">
        <w:t xml:space="preserve"> percent</w:t>
      </w:r>
      <w:r>
        <w:t>. The table below shows the peak capacity for each circuit, the penetration potential based on these assumptions, and the 30</w:t>
      </w:r>
      <w:r w:rsidRPr="00497A27">
        <w:t xml:space="preserve"> percent</w:t>
      </w:r>
      <w:r>
        <w:t xml:space="preserve"> and 15</w:t>
      </w:r>
      <w:r w:rsidRPr="00497A27">
        <w:t xml:space="preserve"> percent</w:t>
      </w:r>
      <w:r>
        <w:t xml:space="preserve"> penetration levels for comparison. </w:t>
      </w:r>
    </w:p>
    <w:p w14:paraId="7ABB26A6" w14:textId="77777777" w:rsidR="004E78E3" w:rsidRDefault="004E78E3" w:rsidP="004E78E3"/>
    <w:p w14:paraId="78C6A2BD" w14:textId="77777777" w:rsidR="00CE0BF6" w:rsidRPr="00FE1CA9" w:rsidRDefault="004E78E3" w:rsidP="00FE1CA9">
      <w:pPr>
        <w:pStyle w:val="IRPFigureSub"/>
      </w:pPr>
      <w:r w:rsidRPr="00FE1CA9">
        <w:t xml:space="preserve">Figure </w:t>
      </w:r>
      <w:r w:rsidR="00080CE7" w:rsidRPr="00FE1CA9">
        <w:t>M</w:t>
      </w:r>
      <w:r w:rsidRPr="00FE1CA9">
        <w:t>-2: Maximum Potential PV Penetration for Circuits Studied</w:t>
      </w:r>
    </w:p>
    <w:tbl>
      <w:tblPr>
        <w:tblStyle w:val="TableGrid"/>
        <w:tblW w:w="8748" w:type="dxa"/>
        <w:tblLook w:val="04A0" w:firstRow="1" w:lastRow="0" w:firstColumn="1" w:lastColumn="0" w:noHBand="0" w:noVBand="1"/>
      </w:tblPr>
      <w:tblGrid>
        <w:gridCol w:w="1243"/>
        <w:gridCol w:w="1350"/>
        <w:gridCol w:w="699"/>
        <w:gridCol w:w="696"/>
        <w:gridCol w:w="696"/>
        <w:gridCol w:w="1317"/>
        <w:gridCol w:w="1430"/>
        <w:gridCol w:w="1317"/>
      </w:tblGrid>
      <w:tr w:rsidR="00CE0BF6" w:rsidRPr="00CE0BF6" w14:paraId="4C6E8489" w14:textId="77777777">
        <w:trPr>
          <w:trHeight w:val="827"/>
        </w:trPr>
        <w:tc>
          <w:tcPr>
            <w:tcW w:w="1278" w:type="dxa"/>
            <w:shd w:val="clear" w:color="auto" w:fill="156570"/>
            <w:vAlign w:val="center"/>
          </w:tcPr>
          <w:p w14:paraId="775E3759"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Circuit</w:t>
            </w:r>
          </w:p>
          <w:p w14:paraId="747E59EC"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ID</w:t>
            </w:r>
          </w:p>
        </w:tc>
        <w:tc>
          <w:tcPr>
            <w:tcW w:w="1409" w:type="dxa"/>
            <w:shd w:val="clear" w:color="auto" w:fill="156570"/>
            <w:vAlign w:val="center"/>
          </w:tcPr>
          <w:p w14:paraId="2E4CB809"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Peak Load MW</w:t>
            </w:r>
          </w:p>
        </w:tc>
        <w:tc>
          <w:tcPr>
            <w:tcW w:w="2122" w:type="dxa"/>
            <w:gridSpan w:val="3"/>
            <w:shd w:val="clear" w:color="auto" w:fill="156570"/>
            <w:vAlign w:val="center"/>
          </w:tcPr>
          <w:p w14:paraId="503CEA24"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Max Potential PV in MW Com+Res=Total</w:t>
            </w:r>
          </w:p>
        </w:tc>
        <w:tc>
          <w:tcPr>
            <w:tcW w:w="1239" w:type="dxa"/>
            <w:shd w:val="clear" w:color="auto" w:fill="156570"/>
            <w:vAlign w:val="center"/>
          </w:tcPr>
          <w:p w14:paraId="4BEF3BBF"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Max Potential</w:t>
            </w:r>
          </w:p>
          <w:p w14:paraId="33D3F1F8" w14:textId="77777777" w:rsidR="00CE0BF6" w:rsidRPr="00CE0BF6"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Penetration</w:t>
            </w:r>
          </w:p>
        </w:tc>
        <w:tc>
          <w:tcPr>
            <w:tcW w:w="1440" w:type="dxa"/>
            <w:shd w:val="clear" w:color="auto" w:fill="156570"/>
            <w:vAlign w:val="center"/>
          </w:tcPr>
          <w:p w14:paraId="64F679EE" w14:textId="77777777" w:rsidR="00834058"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30% Penetration</w:t>
            </w:r>
          </w:p>
          <w:p w14:paraId="5EB07A33" w14:textId="77777777" w:rsidR="00CE0BF6" w:rsidRPr="00CE0BF6" w:rsidRDefault="00834058" w:rsidP="00CE0BF6">
            <w:pPr>
              <w:jc w:val="center"/>
              <w:rPr>
                <w:rFonts w:ascii="Arial" w:hAnsi="Arial" w:cs="Arial"/>
                <w:b/>
                <w:color w:val="FFFFFF" w:themeColor="background1"/>
                <w:sz w:val="20"/>
                <w:szCs w:val="20"/>
              </w:rPr>
            </w:pPr>
            <w:r>
              <w:rPr>
                <w:rFonts w:ascii="Arial" w:hAnsi="Arial" w:cs="Arial"/>
                <w:b/>
                <w:color w:val="FFFFFF" w:themeColor="background1"/>
                <w:sz w:val="20"/>
                <w:szCs w:val="20"/>
              </w:rPr>
              <w:t>MW</w:t>
            </w:r>
          </w:p>
        </w:tc>
        <w:tc>
          <w:tcPr>
            <w:tcW w:w="1260" w:type="dxa"/>
            <w:shd w:val="clear" w:color="auto" w:fill="156570"/>
            <w:vAlign w:val="center"/>
          </w:tcPr>
          <w:p w14:paraId="334CCF18" w14:textId="77777777" w:rsidR="00834058" w:rsidRDefault="00CE0BF6" w:rsidP="00CE0BF6">
            <w:pPr>
              <w:jc w:val="center"/>
              <w:rPr>
                <w:rFonts w:ascii="Arial" w:hAnsi="Arial" w:cs="Arial"/>
                <w:b/>
                <w:color w:val="FFFFFF" w:themeColor="background1"/>
                <w:sz w:val="20"/>
                <w:szCs w:val="20"/>
              </w:rPr>
            </w:pPr>
            <w:r w:rsidRPr="00CE0BF6">
              <w:rPr>
                <w:rFonts w:ascii="Arial" w:hAnsi="Arial" w:cs="Arial"/>
                <w:b/>
                <w:color w:val="FFFFFF" w:themeColor="background1"/>
                <w:sz w:val="20"/>
                <w:szCs w:val="20"/>
              </w:rPr>
              <w:t>15% Penetration</w:t>
            </w:r>
          </w:p>
          <w:p w14:paraId="24B19A05" w14:textId="77777777" w:rsidR="00CE0BF6" w:rsidRPr="00CE0BF6" w:rsidRDefault="00834058" w:rsidP="00CE0BF6">
            <w:pPr>
              <w:jc w:val="center"/>
              <w:rPr>
                <w:rFonts w:ascii="Arial" w:hAnsi="Arial" w:cs="Arial"/>
                <w:b/>
                <w:color w:val="FFFFFF" w:themeColor="background1"/>
                <w:sz w:val="20"/>
                <w:szCs w:val="20"/>
              </w:rPr>
            </w:pPr>
            <w:r>
              <w:rPr>
                <w:rFonts w:ascii="Arial" w:hAnsi="Arial" w:cs="Arial"/>
                <w:b/>
                <w:color w:val="FFFFFF" w:themeColor="background1"/>
                <w:sz w:val="20"/>
                <w:szCs w:val="20"/>
              </w:rPr>
              <w:t>MW</w:t>
            </w:r>
          </w:p>
        </w:tc>
      </w:tr>
      <w:tr w:rsidR="00CE0BF6" w:rsidRPr="00CE0BF6" w14:paraId="7AAB648A" w14:textId="77777777">
        <w:trPr>
          <w:trHeight w:val="360"/>
        </w:trPr>
        <w:tc>
          <w:tcPr>
            <w:tcW w:w="1278" w:type="dxa"/>
            <w:vAlign w:val="center"/>
          </w:tcPr>
          <w:p w14:paraId="46DF69FD"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CAR-15</w:t>
            </w:r>
          </w:p>
        </w:tc>
        <w:tc>
          <w:tcPr>
            <w:tcW w:w="1409" w:type="dxa"/>
            <w:vAlign w:val="center"/>
          </w:tcPr>
          <w:p w14:paraId="03F1F02C"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4.2</w:t>
            </w:r>
          </w:p>
        </w:tc>
        <w:tc>
          <w:tcPr>
            <w:tcW w:w="707" w:type="dxa"/>
            <w:vAlign w:val="center"/>
          </w:tcPr>
          <w:p w14:paraId="7397729E"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4.6</w:t>
            </w:r>
          </w:p>
        </w:tc>
        <w:tc>
          <w:tcPr>
            <w:tcW w:w="707" w:type="dxa"/>
            <w:vAlign w:val="center"/>
          </w:tcPr>
          <w:p w14:paraId="1414FECD"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1.1</w:t>
            </w:r>
          </w:p>
        </w:tc>
        <w:tc>
          <w:tcPr>
            <w:tcW w:w="708" w:type="dxa"/>
            <w:vAlign w:val="center"/>
          </w:tcPr>
          <w:p w14:paraId="047FCB6E"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5.7</w:t>
            </w:r>
          </w:p>
        </w:tc>
        <w:tc>
          <w:tcPr>
            <w:tcW w:w="1239" w:type="dxa"/>
            <w:vAlign w:val="center"/>
          </w:tcPr>
          <w:p w14:paraId="35ABDCFB"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135%</w:t>
            </w:r>
          </w:p>
        </w:tc>
        <w:tc>
          <w:tcPr>
            <w:tcW w:w="1440" w:type="dxa"/>
            <w:vAlign w:val="center"/>
          </w:tcPr>
          <w:p w14:paraId="1D494E7F"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1.26</w:t>
            </w:r>
          </w:p>
        </w:tc>
        <w:tc>
          <w:tcPr>
            <w:tcW w:w="1260" w:type="dxa"/>
            <w:vAlign w:val="center"/>
          </w:tcPr>
          <w:p w14:paraId="2055124A" w14:textId="77777777" w:rsidR="00CE0BF6" w:rsidRPr="00CE0BF6" w:rsidRDefault="00834058" w:rsidP="00834058">
            <w:pPr>
              <w:jc w:val="center"/>
              <w:rPr>
                <w:rFonts w:ascii="Arial" w:hAnsi="Arial" w:cs="Arial"/>
                <w:sz w:val="20"/>
                <w:szCs w:val="20"/>
              </w:rPr>
            </w:pPr>
            <w:r>
              <w:rPr>
                <w:rFonts w:ascii="Arial" w:hAnsi="Arial" w:cs="Arial"/>
                <w:sz w:val="20"/>
                <w:szCs w:val="20"/>
              </w:rPr>
              <w:t>0.63</w:t>
            </w:r>
          </w:p>
        </w:tc>
      </w:tr>
      <w:tr w:rsidR="00CE0BF6" w:rsidRPr="00CE0BF6" w14:paraId="55A28861" w14:textId="77777777">
        <w:trPr>
          <w:trHeight w:val="360"/>
        </w:trPr>
        <w:tc>
          <w:tcPr>
            <w:tcW w:w="1278" w:type="dxa"/>
            <w:vAlign w:val="center"/>
          </w:tcPr>
          <w:p w14:paraId="1C3D0329"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UHL-21</w:t>
            </w:r>
          </w:p>
        </w:tc>
        <w:tc>
          <w:tcPr>
            <w:tcW w:w="1409" w:type="dxa"/>
            <w:vAlign w:val="center"/>
          </w:tcPr>
          <w:p w14:paraId="6BAF0DA4"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7.6</w:t>
            </w:r>
          </w:p>
        </w:tc>
        <w:tc>
          <w:tcPr>
            <w:tcW w:w="707" w:type="dxa"/>
            <w:vAlign w:val="center"/>
          </w:tcPr>
          <w:p w14:paraId="35AB2CF0"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1.1</w:t>
            </w:r>
          </w:p>
        </w:tc>
        <w:tc>
          <w:tcPr>
            <w:tcW w:w="707" w:type="dxa"/>
            <w:vAlign w:val="center"/>
          </w:tcPr>
          <w:p w14:paraId="02E7BD72"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5.1</w:t>
            </w:r>
          </w:p>
        </w:tc>
        <w:tc>
          <w:tcPr>
            <w:tcW w:w="708" w:type="dxa"/>
            <w:vAlign w:val="center"/>
          </w:tcPr>
          <w:p w14:paraId="0F5B721E"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6.2</w:t>
            </w:r>
          </w:p>
        </w:tc>
        <w:tc>
          <w:tcPr>
            <w:tcW w:w="1239" w:type="dxa"/>
            <w:vAlign w:val="center"/>
          </w:tcPr>
          <w:p w14:paraId="4235A91D"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82%</w:t>
            </w:r>
          </w:p>
        </w:tc>
        <w:tc>
          <w:tcPr>
            <w:tcW w:w="1440" w:type="dxa"/>
            <w:vAlign w:val="center"/>
          </w:tcPr>
          <w:p w14:paraId="1FA5A191" w14:textId="77777777" w:rsidR="00CE0BF6" w:rsidRPr="00CE0BF6" w:rsidRDefault="00834058" w:rsidP="00834058">
            <w:pPr>
              <w:jc w:val="center"/>
              <w:rPr>
                <w:rFonts w:ascii="Arial" w:hAnsi="Arial" w:cs="Arial"/>
                <w:sz w:val="20"/>
                <w:szCs w:val="20"/>
              </w:rPr>
            </w:pPr>
            <w:r>
              <w:rPr>
                <w:rFonts w:ascii="Arial" w:hAnsi="Arial" w:cs="Arial"/>
                <w:sz w:val="20"/>
                <w:szCs w:val="20"/>
              </w:rPr>
              <w:t>2.28</w:t>
            </w:r>
          </w:p>
        </w:tc>
        <w:tc>
          <w:tcPr>
            <w:tcW w:w="1260" w:type="dxa"/>
            <w:vAlign w:val="center"/>
          </w:tcPr>
          <w:p w14:paraId="3033FDF6" w14:textId="77777777" w:rsidR="00CE0BF6" w:rsidRPr="00CE0BF6" w:rsidRDefault="00834058" w:rsidP="00834058">
            <w:pPr>
              <w:jc w:val="center"/>
              <w:rPr>
                <w:rFonts w:ascii="Arial" w:hAnsi="Arial" w:cs="Arial"/>
                <w:sz w:val="20"/>
                <w:szCs w:val="20"/>
              </w:rPr>
            </w:pPr>
            <w:r>
              <w:rPr>
                <w:rFonts w:ascii="Arial" w:hAnsi="Arial" w:cs="Arial"/>
                <w:sz w:val="20"/>
                <w:szCs w:val="20"/>
              </w:rPr>
              <w:t>1.14</w:t>
            </w:r>
          </w:p>
        </w:tc>
      </w:tr>
      <w:tr w:rsidR="00CE0BF6" w:rsidRPr="00CE0BF6" w14:paraId="6045DEBE" w14:textId="77777777">
        <w:trPr>
          <w:trHeight w:val="360"/>
        </w:trPr>
        <w:tc>
          <w:tcPr>
            <w:tcW w:w="1278" w:type="dxa"/>
            <w:vAlign w:val="center"/>
          </w:tcPr>
          <w:p w14:paraId="5756CC0D"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WIN-16</w:t>
            </w:r>
          </w:p>
        </w:tc>
        <w:tc>
          <w:tcPr>
            <w:tcW w:w="1409" w:type="dxa"/>
            <w:vAlign w:val="center"/>
          </w:tcPr>
          <w:p w14:paraId="37DEEE42"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0.6</w:t>
            </w:r>
          </w:p>
        </w:tc>
        <w:tc>
          <w:tcPr>
            <w:tcW w:w="707" w:type="dxa"/>
            <w:vAlign w:val="center"/>
          </w:tcPr>
          <w:p w14:paraId="7E672427"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0.3</w:t>
            </w:r>
          </w:p>
        </w:tc>
        <w:tc>
          <w:tcPr>
            <w:tcW w:w="707" w:type="dxa"/>
            <w:vAlign w:val="center"/>
          </w:tcPr>
          <w:p w14:paraId="55E2E5A0"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0.1</w:t>
            </w:r>
          </w:p>
        </w:tc>
        <w:tc>
          <w:tcPr>
            <w:tcW w:w="708" w:type="dxa"/>
            <w:vAlign w:val="center"/>
          </w:tcPr>
          <w:p w14:paraId="7C9015E5"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0.4</w:t>
            </w:r>
          </w:p>
        </w:tc>
        <w:tc>
          <w:tcPr>
            <w:tcW w:w="1239" w:type="dxa"/>
            <w:vAlign w:val="center"/>
          </w:tcPr>
          <w:p w14:paraId="3EA4EC2D"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67%</w:t>
            </w:r>
          </w:p>
        </w:tc>
        <w:tc>
          <w:tcPr>
            <w:tcW w:w="1440" w:type="dxa"/>
            <w:vAlign w:val="center"/>
          </w:tcPr>
          <w:p w14:paraId="58054919" w14:textId="77777777" w:rsidR="00CE0BF6" w:rsidRPr="00CE0BF6" w:rsidRDefault="00834058" w:rsidP="00834058">
            <w:pPr>
              <w:jc w:val="center"/>
              <w:rPr>
                <w:rFonts w:ascii="Arial" w:hAnsi="Arial" w:cs="Arial"/>
                <w:sz w:val="20"/>
                <w:szCs w:val="20"/>
              </w:rPr>
            </w:pPr>
            <w:r>
              <w:rPr>
                <w:rFonts w:ascii="Arial" w:hAnsi="Arial" w:cs="Arial"/>
                <w:sz w:val="20"/>
                <w:szCs w:val="20"/>
              </w:rPr>
              <w:t>0.18</w:t>
            </w:r>
          </w:p>
        </w:tc>
        <w:tc>
          <w:tcPr>
            <w:tcW w:w="1260" w:type="dxa"/>
            <w:vAlign w:val="center"/>
          </w:tcPr>
          <w:p w14:paraId="5DD21A40"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0.09</w:t>
            </w:r>
          </w:p>
        </w:tc>
      </w:tr>
      <w:tr w:rsidR="00CE0BF6" w:rsidRPr="00CE0BF6" w14:paraId="3FE59BB1" w14:textId="77777777">
        <w:trPr>
          <w:trHeight w:val="360"/>
        </w:trPr>
        <w:tc>
          <w:tcPr>
            <w:tcW w:w="1278" w:type="dxa"/>
            <w:vAlign w:val="center"/>
          </w:tcPr>
          <w:p w14:paraId="737F0287"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EVE-17</w:t>
            </w:r>
          </w:p>
        </w:tc>
        <w:tc>
          <w:tcPr>
            <w:tcW w:w="1409" w:type="dxa"/>
            <w:vAlign w:val="center"/>
          </w:tcPr>
          <w:p w14:paraId="6A90D746"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6.5</w:t>
            </w:r>
          </w:p>
        </w:tc>
        <w:tc>
          <w:tcPr>
            <w:tcW w:w="707" w:type="dxa"/>
            <w:vAlign w:val="center"/>
          </w:tcPr>
          <w:p w14:paraId="519F775D"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0.6</w:t>
            </w:r>
          </w:p>
        </w:tc>
        <w:tc>
          <w:tcPr>
            <w:tcW w:w="707" w:type="dxa"/>
            <w:vAlign w:val="center"/>
          </w:tcPr>
          <w:p w14:paraId="6DB309F1"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0.0</w:t>
            </w:r>
          </w:p>
        </w:tc>
        <w:tc>
          <w:tcPr>
            <w:tcW w:w="708" w:type="dxa"/>
            <w:vAlign w:val="center"/>
          </w:tcPr>
          <w:p w14:paraId="0891569E" w14:textId="77777777" w:rsidR="00CE0BF6" w:rsidRPr="00CE0BF6" w:rsidRDefault="00CE0BF6" w:rsidP="00834058">
            <w:pPr>
              <w:jc w:val="center"/>
              <w:rPr>
                <w:rFonts w:ascii="Arial" w:hAnsi="Arial" w:cs="Arial"/>
                <w:sz w:val="20"/>
                <w:szCs w:val="20"/>
              </w:rPr>
            </w:pPr>
            <w:r w:rsidRPr="00CE0BF6">
              <w:rPr>
                <w:rFonts w:ascii="Arial" w:hAnsi="Arial" w:cs="Arial"/>
                <w:sz w:val="20"/>
                <w:szCs w:val="20"/>
              </w:rPr>
              <w:t>0.6</w:t>
            </w:r>
          </w:p>
        </w:tc>
        <w:tc>
          <w:tcPr>
            <w:tcW w:w="1239" w:type="dxa"/>
            <w:vAlign w:val="center"/>
          </w:tcPr>
          <w:p w14:paraId="4AB4ACCF" w14:textId="77777777" w:rsidR="00CE0BF6" w:rsidRPr="00CE0BF6" w:rsidRDefault="00CE0BF6" w:rsidP="00CE0BF6">
            <w:pPr>
              <w:jc w:val="center"/>
              <w:rPr>
                <w:rFonts w:ascii="Arial" w:hAnsi="Arial" w:cs="Arial"/>
                <w:sz w:val="20"/>
                <w:szCs w:val="20"/>
              </w:rPr>
            </w:pPr>
            <w:r w:rsidRPr="00CE0BF6">
              <w:rPr>
                <w:rFonts w:ascii="Arial" w:hAnsi="Arial" w:cs="Arial"/>
                <w:sz w:val="20"/>
                <w:szCs w:val="20"/>
              </w:rPr>
              <w:t>9%</w:t>
            </w:r>
          </w:p>
        </w:tc>
        <w:tc>
          <w:tcPr>
            <w:tcW w:w="1440" w:type="dxa"/>
            <w:vAlign w:val="center"/>
          </w:tcPr>
          <w:p w14:paraId="105670FF" w14:textId="77777777" w:rsidR="00CE0BF6" w:rsidRPr="00CE0BF6" w:rsidRDefault="00834058" w:rsidP="00834058">
            <w:pPr>
              <w:jc w:val="center"/>
              <w:rPr>
                <w:rFonts w:ascii="Arial" w:hAnsi="Arial" w:cs="Arial"/>
                <w:sz w:val="20"/>
                <w:szCs w:val="20"/>
              </w:rPr>
            </w:pPr>
            <w:r>
              <w:rPr>
                <w:rFonts w:ascii="Arial" w:hAnsi="Arial" w:cs="Arial"/>
                <w:sz w:val="20"/>
                <w:szCs w:val="20"/>
              </w:rPr>
              <w:t>1.95</w:t>
            </w:r>
          </w:p>
        </w:tc>
        <w:tc>
          <w:tcPr>
            <w:tcW w:w="1260" w:type="dxa"/>
            <w:vAlign w:val="center"/>
          </w:tcPr>
          <w:p w14:paraId="5F399A69" w14:textId="77777777" w:rsidR="00CE0BF6" w:rsidRPr="00CE0BF6" w:rsidRDefault="00834058" w:rsidP="00834058">
            <w:pPr>
              <w:jc w:val="center"/>
              <w:rPr>
                <w:rFonts w:ascii="Arial" w:hAnsi="Arial" w:cs="Arial"/>
                <w:sz w:val="20"/>
                <w:szCs w:val="20"/>
              </w:rPr>
            </w:pPr>
            <w:r>
              <w:rPr>
                <w:rFonts w:ascii="Arial" w:hAnsi="Arial" w:cs="Arial"/>
                <w:sz w:val="20"/>
                <w:szCs w:val="20"/>
              </w:rPr>
              <w:t>0.975</w:t>
            </w:r>
          </w:p>
        </w:tc>
      </w:tr>
    </w:tbl>
    <w:p w14:paraId="66929E34" w14:textId="77777777" w:rsidR="00CE0BF6" w:rsidRPr="00CE0BF6" w:rsidRDefault="00CE0BF6" w:rsidP="00634228">
      <w:pPr>
        <w:pStyle w:val="IRPsanstext"/>
        <w:spacing w:line="240" w:lineRule="auto"/>
        <w:rPr>
          <w:rFonts w:cs="Arial"/>
        </w:rPr>
      </w:pPr>
    </w:p>
    <w:p w14:paraId="21CC26FB" w14:textId="77777777" w:rsidR="00CE0BF6" w:rsidRDefault="00CE0BF6" w:rsidP="00634228">
      <w:pPr>
        <w:pStyle w:val="IRPsanstext"/>
        <w:spacing w:line="240" w:lineRule="auto"/>
        <w:rPr>
          <w:sz w:val="32"/>
        </w:rPr>
      </w:pPr>
    </w:p>
    <w:p w14:paraId="300028DA" w14:textId="77777777" w:rsidR="004E78E3" w:rsidRPr="002D29D6" w:rsidRDefault="004E78E3" w:rsidP="00CE0BF6">
      <w:pPr>
        <w:pStyle w:val="IRPsanstext"/>
        <w:rPr>
          <w:b/>
          <w:color w:val="3366FF"/>
          <w:sz w:val="28"/>
        </w:rPr>
      </w:pPr>
      <w:r w:rsidRPr="002C612F">
        <w:rPr>
          <w:b/>
          <w:color w:val="006C71"/>
          <w:sz w:val="28"/>
        </w:rPr>
        <w:t>Circuit Profiles</w:t>
      </w:r>
      <w:r w:rsidR="002D29D6" w:rsidRPr="002C612F">
        <w:rPr>
          <w:b/>
          <w:color w:val="006C71"/>
          <w:sz w:val="28"/>
        </w:rPr>
        <w:t>.</w:t>
      </w:r>
      <w:r w:rsidR="002D29D6">
        <w:rPr>
          <w:b/>
          <w:color w:val="3366FF"/>
          <w:sz w:val="28"/>
        </w:rPr>
        <w:t xml:space="preserve"> </w:t>
      </w:r>
      <w:r>
        <w:t>The following pairs of charts show how these assumptions translate into daily load curves and PV potential for each circuit. The daily load curve charts illustrate how demand on the circuit varies with seasonal conditions (heavy summer, light summer, heavy winter and light winter). The potential PV generation charts show how PV generation varies on the circuit under different solar radiation conditions (low sun summer, high sun summer, low sun winter and high sun winter). This is the basic information used to analyze each circuit.</w:t>
      </w:r>
    </w:p>
    <w:p w14:paraId="112BF97B" w14:textId="77777777" w:rsidR="00CE0BF6" w:rsidRDefault="00CE0BF6" w:rsidP="00CE0BF6">
      <w:pPr>
        <w:pStyle w:val="IRPsanstext"/>
      </w:pPr>
    </w:p>
    <w:p w14:paraId="5F0EA5B2" w14:textId="77777777" w:rsidR="004E78E3" w:rsidRDefault="004E78E3" w:rsidP="00CE0BF6">
      <w:pPr>
        <w:pStyle w:val="IRPsanstext"/>
      </w:pPr>
      <w:r>
        <w:t>TO READ THE CHARTS</w:t>
      </w:r>
      <w:r w:rsidR="00074812">
        <w:t xml:space="preserve"> ON THE FOLLOWING PAGES</w:t>
      </w:r>
      <w:r>
        <w:t>: Note that the vertical axis scales differ from chart to chart. All charts use the same 24-hour timeline for the horizontal axis.</w:t>
      </w:r>
    </w:p>
    <w:p w14:paraId="4FF7787A" w14:textId="77777777" w:rsidR="00CE0BF6" w:rsidRDefault="00CE0BF6" w:rsidP="00CE0BF6">
      <w:pPr>
        <w:pStyle w:val="IRPsanstext"/>
      </w:pPr>
    </w:p>
    <w:p w14:paraId="63D5BFDA" w14:textId="77777777" w:rsidR="001E392A" w:rsidRDefault="001E392A">
      <w:pPr>
        <w:rPr>
          <w:rFonts w:ascii="Arial" w:hAnsi="Arial"/>
        </w:rPr>
      </w:pPr>
      <w:r>
        <w:br w:type="page"/>
      </w:r>
    </w:p>
    <w:p w14:paraId="1A2DFEBE" w14:textId="77777777" w:rsidR="000B5E4D" w:rsidRDefault="000B5E4D" w:rsidP="00CE0BF6">
      <w:pPr>
        <w:pStyle w:val="IRPsanstext"/>
      </w:pPr>
    </w:p>
    <w:p w14:paraId="71926BC1" w14:textId="77777777" w:rsidR="004E78E3" w:rsidRDefault="004E78E3" w:rsidP="00CE0BF6">
      <w:pPr>
        <w:pStyle w:val="IRPsanstext"/>
      </w:pPr>
      <w:r>
        <w:t>The CAR-15 circuit feeds downtown Bellingham. Its load mix is 76</w:t>
      </w:r>
      <w:r w:rsidRPr="00497A27">
        <w:t xml:space="preserve"> percent</w:t>
      </w:r>
      <w:r>
        <w:t xml:space="preserve"> commercial and 24</w:t>
      </w:r>
      <w:r w:rsidRPr="00497A27">
        <w:t xml:space="preserve"> percent</w:t>
      </w:r>
      <w:r>
        <w:t xml:space="preserve"> residential, and it experiences a winter peak. </w:t>
      </w:r>
    </w:p>
    <w:p w14:paraId="193CB5D0" w14:textId="77777777" w:rsidR="00CE0BF6" w:rsidRDefault="00CE0BF6" w:rsidP="00CE0BF6">
      <w:pPr>
        <w:pStyle w:val="IRPsanstext"/>
      </w:pPr>
    </w:p>
    <w:p w14:paraId="4917B937" w14:textId="77777777" w:rsidR="00CE0BF6" w:rsidRPr="00A841F2" w:rsidRDefault="00080CE7" w:rsidP="00FE1CA9">
      <w:pPr>
        <w:pStyle w:val="IRPFigureSub"/>
      </w:pPr>
      <w:r>
        <w:t>Figure M-</w:t>
      </w:r>
      <w:r w:rsidR="004E78E3" w:rsidRPr="00A841F2">
        <w:t>3: Car-15 Daily Load Curves</w:t>
      </w:r>
    </w:p>
    <w:p w14:paraId="2E2945DA" w14:textId="77777777" w:rsidR="00CE0BF6" w:rsidRDefault="004E78E3" w:rsidP="00DA5391">
      <w:pPr>
        <w:jc w:val="center"/>
      </w:pPr>
      <w:r>
        <w:rPr>
          <w:noProof/>
          <w:lang w:eastAsia="en-US"/>
        </w:rPr>
        <w:drawing>
          <wp:inline distT="0" distB="0" distL="0" distR="0" wp14:anchorId="664BF18F" wp14:editId="0A7ED5C4">
            <wp:extent cx="4961255" cy="30054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543" cy="3005594"/>
                    </a:xfrm>
                    <a:prstGeom prst="rect">
                      <a:avLst/>
                    </a:prstGeom>
                    <a:noFill/>
                  </pic:spPr>
                </pic:pic>
              </a:graphicData>
            </a:graphic>
          </wp:inline>
        </w:drawing>
      </w:r>
    </w:p>
    <w:p w14:paraId="006991FE" w14:textId="77777777" w:rsidR="00CE0BF6" w:rsidRDefault="00080CE7" w:rsidP="00DA5391">
      <w:pPr>
        <w:pStyle w:val="IRPFigureSub"/>
        <w:spacing w:before="120"/>
      </w:pPr>
      <w:r>
        <w:t>Figure M-</w:t>
      </w:r>
      <w:r w:rsidR="004E78E3" w:rsidRPr="00F808D8">
        <w:t>4: Car-15 Potential PV Generation</w:t>
      </w:r>
    </w:p>
    <w:p w14:paraId="6D126FEC" w14:textId="77777777" w:rsidR="00CE0BF6" w:rsidRDefault="004E78E3" w:rsidP="00834058">
      <w:pPr>
        <w:jc w:val="center"/>
      </w:pPr>
      <w:r>
        <w:rPr>
          <w:noProof/>
          <w:lang w:eastAsia="en-US"/>
        </w:rPr>
        <w:drawing>
          <wp:inline distT="0" distB="0" distL="0" distR="0" wp14:anchorId="3EDB7960" wp14:editId="04CC220F">
            <wp:extent cx="4989195" cy="2997138"/>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5534" cy="2994939"/>
                    </a:xfrm>
                    <a:prstGeom prst="rect">
                      <a:avLst/>
                    </a:prstGeom>
                    <a:noFill/>
                  </pic:spPr>
                </pic:pic>
              </a:graphicData>
            </a:graphic>
          </wp:inline>
        </w:drawing>
      </w:r>
    </w:p>
    <w:p w14:paraId="775CA8D8" w14:textId="77777777" w:rsidR="00742EC9" w:rsidRDefault="001E392A" w:rsidP="00CE0BF6">
      <w:pPr>
        <w:pStyle w:val="IRPsanstext"/>
      </w:pPr>
      <w:r>
        <w:t xml:space="preserve">                    </w:t>
      </w:r>
    </w:p>
    <w:p w14:paraId="38C6554A" w14:textId="77777777" w:rsidR="00742EC9" w:rsidRDefault="00742EC9">
      <w:pPr>
        <w:rPr>
          <w:rFonts w:ascii="Arial" w:hAnsi="Arial"/>
        </w:rPr>
      </w:pPr>
      <w:r>
        <w:br w:type="page"/>
      </w:r>
    </w:p>
    <w:p w14:paraId="2BC2C43C" w14:textId="77777777" w:rsidR="000B5E4D" w:rsidRDefault="000B5E4D" w:rsidP="00CE0BF6">
      <w:pPr>
        <w:pStyle w:val="IRPsanstext"/>
      </w:pPr>
    </w:p>
    <w:p w14:paraId="69EF0F28" w14:textId="77777777" w:rsidR="004E78E3" w:rsidRDefault="004E78E3" w:rsidP="00CE0BF6">
      <w:pPr>
        <w:pStyle w:val="IRPsanstext"/>
      </w:pPr>
      <w:r>
        <w:t>WIN-16 on Bainbridge Island is a small circuit with a 51</w:t>
      </w:r>
      <w:r w:rsidRPr="00497A27">
        <w:t xml:space="preserve"> percent</w:t>
      </w:r>
      <w:r>
        <w:t xml:space="preserve"> commercial</w:t>
      </w:r>
      <w:r w:rsidR="00BE595A">
        <w:t xml:space="preserve"> </w:t>
      </w:r>
      <w:r>
        <w:t>/</w:t>
      </w:r>
      <w:r w:rsidR="00BE595A">
        <w:t xml:space="preserve"> </w:t>
      </w:r>
      <w:r>
        <w:t>49</w:t>
      </w:r>
      <w:r w:rsidRPr="00497A27">
        <w:t xml:space="preserve"> percent</w:t>
      </w:r>
      <w:r>
        <w:t xml:space="preserve"> residential mix. The island does not have natural gas heating, so it experiences a big morning peak in winter.</w:t>
      </w:r>
    </w:p>
    <w:p w14:paraId="132557D0" w14:textId="77777777" w:rsidR="00CE0BF6" w:rsidRPr="00FE1CA9" w:rsidRDefault="00080CE7" w:rsidP="002C612F">
      <w:pPr>
        <w:pStyle w:val="IRPFigureSub"/>
        <w:spacing w:before="120"/>
      </w:pPr>
      <w:r>
        <w:t>Figure M-</w:t>
      </w:r>
      <w:r w:rsidR="004E78E3" w:rsidRPr="00F808D8">
        <w:t>5: WIN-16 Daily Load Curves</w:t>
      </w:r>
    </w:p>
    <w:p w14:paraId="1AA677B8" w14:textId="77777777" w:rsidR="00CE0BF6" w:rsidRPr="00A414B2" w:rsidRDefault="00BE595A" w:rsidP="00A414B2">
      <w:pPr>
        <w:jc w:val="center"/>
        <w:rPr>
          <w:u w:val="single"/>
        </w:rPr>
      </w:pPr>
      <w:r>
        <w:rPr>
          <w:noProof/>
          <w:u w:val="single"/>
          <w:lang w:eastAsia="en-US"/>
        </w:rPr>
        <w:drawing>
          <wp:inline distT="0" distB="0" distL="0" distR="0" wp14:anchorId="2643462F" wp14:editId="7DE83D68">
            <wp:extent cx="4782986" cy="3355340"/>
            <wp:effectExtent l="2540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8341" cy="3352081"/>
                    </a:xfrm>
                    <a:prstGeom prst="rect">
                      <a:avLst/>
                    </a:prstGeom>
                    <a:noFill/>
                  </pic:spPr>
                </pic:pic>
              </a:graphicData>
            </a:graphic>
          </wp:inline>
        </w:drawing>
      </w:r>
    </w:p>
    <w:p w14:paraId="7F4B874F" w14:textId="77777777" w:rsidR="00CE0BF6" w:rsidRPr="00BE595A" w:rsidRDefault="00080CE7" w:rsidP="00DA5391">
      <w:pPr>
        <w:pStyle w:val="IRPFigureSub"/>
        <w:spacing w:before="120"/>
        <w:rPr>
          <w:rFonts w:ascii="Arial Italic" w:hAnsi="Arial Italic"/>
          <w:sz w:val="8"/>
        </w:rPr>
      </w:pPr>
      <w:r>
        <w:t>Figure M-</w:t>
      </w:r>
      <w:r w:rsidR="004E78E3" w:rsidRPr="00F808D8">
        <w:t>6: WIN-16 Potential PV Generation</w:t>
      </w:r>
    </w:p>
    <w:p w14:paraId="0F92EE1E" w14:textId="77777777" w:rsidR="003A754A" w:rsidRDefault="004E78E3" w:rsidP="00834058">
      <w:pPr>
        <w:jc w:val="center"/>
      </w:pPr>
      <w:r>
        <w:rPr>
          <w:noProof/>
          <w:lang w:eastAsia="en-US"/>
        </w:rPr>
        <w:drawing>
          <wp:inline distT="0" distB="0" distL="0" distR="0" wp14:anchorId="5188B1CC" wp14:editId="0419B20F">
            <wp:extent cx="4901565" cy="3030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1565" cy="3030220"/>
                    </a:xfrm>
                    <a:prstGeom prst="rect">
                      <a:avLst/>
                    </a:prstGeom>
                    <a:noFill/>
                  </pic:spPr>
                </pic:pic>
              </a:graphicData>
            </a:graphic>
          </wp:inline>
        </w:drawing>
      </w:r>
    </w:p>
    <w:p w14:paraId="12C5B7AA" w14:textId="77777777" w:rsidR="00B57A6C" w:rsidRDefault="00B57A6C" w:rsidP="00CE0BF6">
      <w:pPr>
        <w:pStyle w:val="IRPsanstext"/>
      </w:pPr>
    </w:p>
    <w:p w14:paraId="4623A22A" w14:textId="77777777" w:rsidR="00DA5391" w:rsidRDefault="00DA5391" w:rsidP="00CE0BF6">
      <w:pPr>
        <w:pStyle w:val="IRPsanstext"/>
      </w:pPr>
    </w:p>
    <w:p w14:paraId="601101F1" w14:textId="77777777" w:rsidR="005913FD" w:rsidRDefault="004E78E3" w:rsidP="00CE0BF6">
      <w:pPr>
        <w:pStyle w:val="IRPsanstext"/>
      </w:pPr>
      <w:r>
        <w:t>UHL-21 in Redmond is primarily residential (71</w:t>
      </w:r>
      <w:r w:rsidRPr="00497A27">
        <w:t xml:space="preserve"> percent</w:t>
      </w:r>
      <w:r>
        <w:t>), and experiences a winter evening peak. Note that this circuit is 10 times larger than WIN-16.</w:t>
      </w:r>
    </w:p>
    <w:p w14:paraId="07846ED8" w14:textId="77777777" w:rsidR="005913FD" w:rsidRDefault="005913FD" w:rsidP="00CE0BF6">
      <w:pPr>
        <w:pStyle w:val="IRPsanstext"/>
      </w:pPr>
    </w:p>
    <w:p w14:paraId="7E9D0458" w14:textId="77777777" w:rsidR="003A754A" w:rsidRPr="00F808D8" w:rsidRDefault="00080CE7" w:rsidP="00FE1CA9">
      <w:pPr>
        <w:pStyle w:val="IRPFigureSub"/>
      </w:pPr>
      <w:r>
        <w:t>Figure M-</w:t>
      </w:r>
      <w:r w:rsidR="004E78E3" w:rsidRPr="00F808D8">
        <w:t>7: UHL-21 Daily Load Curves</w:t>
      </w:r>
    </w:p>
    <w:p w14:paraId="68BCA6CB" w14:textId="77777777" w:rsidR="003A754A" w:rsidRDefault="004E78E3" w:rsidP="00DA5391">
      <w:pPr>
        <w:jc w:val="center"/>
      </w:pPr>
      <w:r>
        <w:rPr>
          <w:noProof/>
          <w:lang w:eastAsia="en-US"/>
        </w:rPr>
        <w:drawing>
          <wp:inline distT="0" distB="0" distL="0" distR="0" wp14:anchorId="68D09FD8" wp14:editId="26911CBA">
            <wp:extent cx="5133340" cy="34931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340" cy="3493135"/>
                    </a:xfrm>
                    <a:prstGeom prst="rect">
                      <a:avLst/>
                    </a:prstGeom>
                    <a:noFill/>
                  </pic:spPr>
                </pic:pic>
              </a:graphicData>
            </a:graphic>
          </wp:inline>
        </w:drawing>
      </w:r>
    </w:p>
    <w:p w14:paraId="28579948" w14:textId="77777777" w:rsidR="003A754A" w:rsidRDefault="00080CE7" w:rsidP="00DA5391">
      <w:pPr>
        <w:pStyle w:val="IRPFigureSub"/>
        <w:spacing w:before="120"/>
      </w:pPr>
      <w:r>
        <w:t>Figure M-</w:t>
      </w:r>
      <w:r w:rsidR="004E78E3" w:rsidRPr="00F808D8">
        <w:t>8: UHL-21 Potential PV Generation</w:t>
      </w:r>
      <w:r w:rsidR="004E78E3">
        <w:t xml:space="preserve"> </w:t>
      </w:r>
    </w:p>
    <w:p w14:paraId="43A02956" w14:textId="77777777" w:rsidR="004E78E3" w:rsidRDefault="004E78E3" w:rsidP="00834058">
      <w:pPr>
        <w:jc w:val="center"/>
      </w:pPr>
      <w:r>
        <w:rPr>
          <w:noProof/>
          <w:lang w:eastAsia="en-US"/>
        </w:rPr>
        <w:drawing>
          <wp:inline distT="0" distB="0" distL="0" distR="0" wp14:anchorId="2807DDB2" wp14:editId="50D0AC23">
            <wp:extent cx="5045075" cy="2995589"/>
            <wp:effectExtent l="2540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6299" cy="2996316"/>
                    </a:xfrm>
                    <a:prstGeom prst="rect">
                      <a:avLst/>
                    </a:prstGeom>
                    <a:noFill/>
                  </pic:spPr>
                </pic:pic>
              </a:graphicData>
            </a:graphic>
          </wp:inline>
        </w:drawing>
      </w:r>
    </w:p>
    <w:p w14:paraId="725E9B56" w14:textId="77777777" w:rsidR="00B57A6C" w:rsidRDefault="00B57A6C" w:rsidP="003A754A">
      <w:pPr>
        <w:pStyle w:val="IRPsanstext"/>
      </w:pPr>
    </w:p>
    <w:p w14:paraId="327A1CF1" w14:textId="78D36F66" w:rsidR="004E78E3" w:rsidRDefault="00E60089" w:rsidP="003A754A">
      <w:pPr>
        <w:pStyle w:val="IRPsanstext"/>
      </w:pPr>
      <w:r>
        <w:lastRenderedPageBreak/>
        <w:br/>
      </w:r>
      <w:bookmarkStart w:id="0" w:name="_GoBack"/>
      <w:bookmarkEnd w:id="0"/>
      <w:r w:rsidR="003A754A">
        <w:t>I</w:t>
      </w:r>
      <w:r w:rsidR="004E78E3">
        <w:t>n Redmond, EVE-17 is an all-commercial circuit. Unlike the other three circuits, EVE-17 produces a summer afternoon peak because of the many offices it feeds. Since this circuit serves only three commercial buildings, and the maximum solar potential generation is 200 kW per building, the maximum solar potential for the entire circuit is only 600 kW.</w:t>
      </w:r>
    </w:p>
    <w:p w14:paraId="11B51635" w14:textId="77777777" w:rsidR="003A754A" w:rsidRDefault="003A754A" w:rsidP="004E78E3">
      <w:pPr>
        <w:rPr>
          <w:i/>
        </w:rPr>
      </w:pPr>
    </w:p>
    <w:p w14:paraId="6B219BC2" w14:textId="77777777" w:rsidR="003A754A" w:rsidRPr="00596372" w:rsidRDefault="00080CE7" w:rsidP="00A704EC">
      <w:pPr>
        <w:pStyle w:val="IRPFigureSub"/>
      </w:pPr>
      <w:r>
        <w:t>Figure M-</w:t>
      </w:r>
      <w:r w:rsidR="004E78E3" w:rsidRPr="00F808D8">
        <w:t>9: EVE-17 Daily Load Curves</w:t>
      </w:r>
    </w:p>
    <w:p w14:paraId="03615DA3" w14:textId="77777777" w:rsidR="003A754A" w:rsidRDefault="004E78E3" w:rsidP="00FE1CA9">
      <w:pPr>
        <w:jc w:val="center"/>
      </w:pPr>
      <w:r>
        <w:rPr>
          <w:noProof/>
          <w:lang w:eastAsia="en-US"/>
        </w:rPr>
        <w:drawing>
          <wp:inline distT="0" distB="0" distL="0" distR="0" wp14:anchorId="70689693" wp14:editId="776579C3">
            <wp:extent cx="4846955" cy="3227418"/>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7472" cy="3227762"/>
                    </a:xfrm>
                    <a:prstGeom prst="rect">
                      <a:avLst/>
                    </a:prstGeom>
                    <a:noFill/>
                  </pic:spPr>
                </pic:pic>
              </a:graphicData>
            </a:graphic>
          </wp:inline>
        </w:drawing>
      </w:r>
    </w:p>
    <w:p w14:paraId="4951E8F1" w14:textId="77777777" w:rsidR="003A754A" w:rsidRPr="00406FDF" w:rsidRDefault="00080CE7" w:rsidP="00FE1CA9">
      <w:pPr>
        <w:pStyle w:val="IRPFigureSub"/>
        <w:spacing w:before="120"/>
      </w:pPr>
      <w:r>
        <w:t>Figure M-</w:t>
      </w:r>
      <w:r w:rsidR="004E78E3" w:rsidRPr="00F808D8">
        <w:t>10: EVE-17 Potential PV Generation</w:t>
      </w:r>
      <w:r w:rsidR="00A704EC">
        <w:t xml:space="preserve"> </w:t>
      </w:r>
    </w:p>
    <w:p w14:paraId="66623E44" w14:textId="77777777" w:rsidR="004E78E3" w:rsidRDefault="004E78E3" w:rsidP="00834058">
      <w:pPr>
        <w:jc w:val="center"/>
      </w:pPr>
      <w:r>
        <w:rPr>
          <w:noProof/>
          <w:lang w:eastAsia="en-US"/>
        </w:rPr>
        <w:drawing>
          <wp:inline distT="0" distB="0" distL="0" distR="0" wp14:anchorId="0AFD317E" wp14:editId="2E6067CC">
            <wp:extent cx="5017135" cy="30727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7135" cy="3072765"/>
                    </a:xfrm>
                    <a:prstGeom prst="rect">
                      <a:avLst/>
                    </a:prstGeom>
                    <a:noFill/>
                  </pic:spPr>
                </pic:pic>
              </a:graphicData>
            </a:graphic>
          </wp:inline>
        </w:drawing>
      </w:r>
    </w:p>
    <w:p w14:paraId="61FB92F0" w14:textId="77777777" w:rsidR="00FE1CA9" w:rsidRDefault="00FE1CA9" w:rsidP="003A754A">
      <w:pPr>
        <w:pStyle w:val="IRPsanstext"/>
        <w:rPr>
          <w:b/>
        </w:rPr>
      </w:pPr>
    </w:p>
    <w:p w14:paraId="0B40F208" w14:textId="77777777" w:rsidR="004E78E3" w:rsidRPr="00FE1CA9" w:rsidRDefault="004E78E3" w:rsidP="003A754A">
      <w:pPr>
        <w:pStyle w:val="IRPsanstext"/>
        <w:rPr>
          <w:b/>
          <w:color w:val="3366FF"/>
          <w:sz w:val="32"/>
        </w:rPr>
      </w:pPr>
      <w:r w:rsidRPr="00A06F97">
        <w:rPr>
          <w:b/>
          <w:caps/>
        </w:rPr>
        <w:t>Impact on Demand.</w:t>
      </w:r>
      <w:r>
        <w:rPr>
          <w:b/>
          <w:color w:val="3366FF"/>
          <w:sz w:val="32"/>
        </w:rPr>
        <w:t xml:space="preserve"> </w:t>
      </w:r>
      <w:r>
        <w:t>The solar PV generation that customers originate is accounted for in the system as a reduction in demand because it reduces the amount of energy that PSE must supply to that circuit from other sources. The more solar PV power that is generated, the more demand is driven down, as illustrated by t</w:t>
      </w:r>
      <w:r w:rsidR="00A704EC">
        <w:t>he red line in the charts below. T</w:t>
      </w:r>
      <w:r>
        <w:t xml:space="preserve">he less solar power generated, the greater the demand on other PSE resources to supply energy to the circuit, as illustrated by the blue lines. Demand that PSE must fill with system resources will swing between the values shown by the blue and red lines. On </w:t>
      </w:r>
      <w:r w:rsidRPr="00AC2863">
        <w:t>CAR-15</w:t>
      </w:r>
      <w:r>
        <w:t>,</w:t>
      </w:r>
      <w:r w:rsidRPr="00AC2863">
        <w:t xml:space="preserve"> for example, on a cloudy day in the summer when customers are using more electricity, PSE will have to provide about 2</w:t>
      </w:r>
      <w:r>
        <w:t>,</w:t>
      </w:r>
      <w:r w:rsidRPr="00AC2863">
        <w:t xml:space="preserve">000 kW. </w:t>
      </w:r>
      <w:r>
        <w:t xml:space="preserve">But on </w:t>
      </w:r>
      <w:r w:rsidRPr="00AC2863">
        <w:t xml:space="preserve">a very sunny day </w:t>
      </w:r>
      <w:r>
        <w:t>if</w:t>
      </w:r>
      <w:r w:rsidRPr="00AC2863">
        <w:t xml:space="preserve"> customers are not using much power, PSE will be purchasing over 2</w:t>
      </w:r>
      <w:r>
        <w:t>,</w:t>
      </w:r>
      <w:r w:rsidRPr="00AC2863">
        <w:t>000 kW from customers.</w:t>
      </w:r>
    </w:p>
    <w:p w14:paraId="5591E583" w14:textId="77777777" w:rsidR="004E78E3" w:rsidRPr="007005F5" w:rsidRDefault="004E78E3" w:rsidP="003A754A">
      <w:pPr>
        <w:pStyle w:val="IRPFigureSub"/>
        <w:jc w:val="left"/>
      </w:pPr>
    </w:p>
    <w:p w14:paraId="591EACCD" w14:textId="77777777" w:rsidR="004E78E3" w:rsidRPr="005913FD" w:rsidRDefault="00080CE7" w:rsidP="005913FD">
      <w:pPr>
        <w:pStyle w:val="IRPFigureSub"/>
        <w:rPr>
          <w:color w:val="000000" w:themeColor="text1"/>
        </w:rPr>
      </w:pPr>
      <w:r>
        <w:rPr>
          <w:color w:val="000000" w:themeColor="text1"/>
        </w:rPr>
        <w:t>Figure M-</w:t>
      </w:r>
      <w:r w:rsidR="004E78E3" w:rsidRPr="003A754A">
        <w:rPr>
          <w:color w:val="000000" w:themeColor="text1"/>
        </w:rPr>
        <w:t>11: CAR-15 Net Demand Range, Summer</w:t>
      </w:r>
    </w:p>
    <w:p w14:paraId="08D828FD" w14:textId="77777777" w:rsidR="004E78E3" w:rsidRDefault="004E78E3" w:rsidP="001E392A">
      <w:pPr>
        <w:jc w:val="center"/>
      </w:pPr>
      <w:r>
        <w:rPr>
          <w:noProof/>
          <w:lang w:eastAsia="en-US"/>
        </w:rPr>
        <w:drawing>
          <wp:inline distT="0" distB="0" distL="0" distR="0" wp14:anchorId="437AB95A" wp14:editId="56258D08">
            <wp:extent cx="5393055" cy="3146141"/>
            <wp:effectExtent l="2540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080" cy="3148489"/>
                    </a:xfrm>
                    <a:prstGeom prst="rect">
                      <a:avLst/>
                    </a:prstGeom>
                    <a:noFill/>
                  </pic:spPr>
                </pic:pic>
              </a:graphicData>
            </a:graphic>
          </wp:inline>
        </w:drawing>
      </w:r>
    </w:p>
    <w:p w14:paraId="67A936B1" w14:textId="77777777" w:rsidR="004E78E3" w:rsidRDefault="004E78E3" w:rsidP="004E78E3"/>
    <w:p w14:paraId="61A41AC3" w14:textId="77777777" w:rsidR="004E78E3" w:rsidRDefault="004E78E3" w:rsidP="004E78E3"/>
    <w:p w14:paraId="6FA38B58" w14:textId="77777777" w:rsidR="004E78E3" w:rsidRDefault="004E78E3" w:rsidP="004E78E3"/>
    <w:p w14:paraId="7025AD5F" w14:textId="77777777" w:rsidR="004E78E3" w:rsidRDefault="004E78E3" w:rsidP="004E78E3"/>
    <w:p w14:paraId="7078FFD5" w14:textId="77777777" w:rsidR="003A754A" w:rsidRDefault="004E78E3" w:rsidP="003A754A">
      <w:pPr>
        <w:pStyle w:val="IRPFigureSub"/>
      </w:pPr>
      <w:r>
        <w:br w:type="page"/>
      </w:r>
    </w:p>
    <w:p w14:paraId="6CFB84FD" w14:textId="77777777" w:rsidR="00DA5391" w:rsidRDefault="00DA5391" w:rsidP="00FE1CA9">
      <w:pPr>
        <w:pStyle w:val="IRPFigureSub"/>
      </w:pPr>
    </w:p>
    <w:p w14:paraId="0829CC6F" w14:textId="77777777" w:rsidR="003A754A" w:rsidRPr="007A778F" w:rsidRDefault="00080CE7" w:rsidP="00FE1CA9">
      <w:pPr>
        <w:pStyle w:val="IRPFigureSub"/>
      </w:pPr>
      <w:r>
        <w:t>Figure M-</w:t>
      </w:r>
      <w:r w:rsidR="004E78E3" w:rsidRPr="007A778F">
        <w:t>12: WIN-16 Net Demand Range</w:t>
      </w:r>
      <w:r w:rsidR="004E78E3">
        <w:t>, Summer</w:t>
      </w:r>
    </w:p>
    <w:p w14:paraId="46946ECE" w14:textId="77777777" w:rsidR="004E78E3" w:rsidRDefault="004E78E3" w:rsidP="001E392A">
      <w:pPr>
        <w:jc w:val="center"/>
      </w:pPr>
      <w:r>
        <w:rPr>
          <w:noProof/>
          <w:lang w:eastAsia="en-US"/>
        </w:rPr>
        <w:drawing>
          <wp:inline distT="0" distB="0" distL="0" distR="0" wp14:anchorId="79A055DA" wp14:editId="170A8642">
            <wp:extent cx="4961255" cy="29926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1255" cy="2992670"/>
                    </a:xfrm>
                    <a:prstGeom prst="rect">
                      <a:avLst/>
                    </a:prstGeom>
                    <a:noFill/>
                  </pic:spPr>
                </pic:pic>
              </a:graphicData>
            </a:graphic>
          </wp:inline>
        </w:drawing>
      </w:r>
    </w:p>
    <w:p w14:paraId="476B9C51" w14:textId="77777777" w:rsidR="004E78E3" w:rsidRDefault="004E78E3" w:rsidP="004E78E3"/>
    <w:p w14:paraId="0658B435" w14:textId="77777777" w:rsidR="003A754A" w:rsidRPr="00FE1CA9" w:rsidRDefault="00080CE7" w:rsidP="00FE1CA9">
      <w:pPr>
        <w:pStyle w:val="IRPFigureSub"/>
      </w:pPr>
      <w:r>
        <w:t>Figure M-</w:t>
      </w:r>
      <w:r w:rsidR="004E78E3" w:rsidRPr="007A778F">
        <w:t>13: UHL-21 Net Demand Range</w:t>
      </w:r>
      <w:r w:rsidR="004E78E3">
        <w:t>, Summer</w:t>
      </w:r>
    </w:p>
    <w:p w14:paraId="1406147F" w14:textId="77777777" w:rsidR="004E78E3" w:rsidRDefault="004E78E3" w:rsidP="001E392A">
      <w:pPr>
        <w:jc w:val="center"/>
      </w:pPr>
      <w:r>
        <w:rPr>
          <w:noProof/>
          <w:lang w:eastAsia="en-US"/>
        </w:rPr>
        <w:drawing>
          <wp:inline distT="0" distB="0" distL="0" distR="0" wp14:anchorId="09CD4169" wp14:editId="22530BCC">
            <wp:extent cx="4970008" cy="3077673"/>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0275" cy="3077839"/>
                    </a:xfrm>
                    <a:prstGeom prst="rect">
                      <a:avLst/>
                    </a:prstGeom>
                    <a:noFill/>
                  </pic:spPr>
                </pic:pic>
              </a:graphicData>
            </a:graphic>
          </wp:inline>
        </w:drawing>
      </w:r>
    </w:p>
    <w:p w14:paraId="484D0B4D" w14:textId="77777777" w:rsidR="003A754A" w:rsidRDefault="003A754A">
      <w:pPr>
        <w:rPr>
          <w:i/>
        </w:rPr>
      </w:pPr>
      <w:r>
        <w:rPr>
          <w:i/>
        </w:rPr>
        <w:br w:type="page"/>
      </w:r>
    </w:p>
    <w:p w14:paraId="4EB76788" w14:textId="77777777" w:rsidR="003A754A" w:rsidRDefault="003A754A" w:rsidP="004E78E3">
      <w:pPr>
        <w:rPr>
          <w:i/>
        </w:rPr>
      </w:pPr>
    </w:p>
    <w:p w14:paraId="6D0BAF16" w14:textId="77777777" w:rsidR="003A754A" w:rsidRPr="007A778F" w:rsidRDefault="00080CE7" w:rsidP="00FE1CA9">
      <w:pPr>
        <w:pStyle w:val="IRPFigureSub"/>
      </w:pPr>
      <w:r>
        <w:t>Figure M-</w:t>
      </w:r>
      <w:r w:rsidR="004E78E3" w:rsidRPr="007A778F">
        <w:t>14: EVE-17</w:t>
      </w:r>
      <w:r w:rsidR="004E78E3">
        <w:t xml:space="preserve"> </w:t>
      </w:r>
      <w:r w:rsidR="004E78E3" w:rsidRPr="007A778F">
        <w:t>Net Demand Range</w:t>
      </w:r>
      <w:r w:rsidR="004E78E3">
        <w:t>, Summer</w:t>
      </w:r>
    </w:p>
    <w:p w14:paraId="7448C14C" w14:textId="77777777" w:rsidR="004E78E3" w:rsidRDefault="004E78E3" w:rsidP="001E392A">
      <w:pPr>
        <w:jc w:val="center"/>
      </w:pPr>
      <w:r>
        <w:rPr>
          <w:noProof/>
          <w:lang w:eastAsia="en-US"/>
        </w:rPr>
        <w:drawing>
          <wp:inline distT="0" distB="0" distL="0" distR="0" wp14:anchorId="66F862DB" wp14:editId="61F54BEA">
            <wp:extent cx="5333674" cy="3111500"/>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667" cy="3112079"/>
                    </a:xfrm>
                    <a:prstGeom prst="rect">
                      <a:avLst/>
                    </a:prstGeom>
                    <a:noFill/>
                  </pic:spPr>
                </pic:pic>
              </a:graphicData>
            </a:graphic>
          </wp:inline>
        </w:drawing>
      </w:r>
    </w:p>
    <w:p w14:paraId="262C6670" w14:textId="77777777" w:rsidR="004E78E3" w:rsidRDefault="004E78E3" w:rsidP="004E78E3"/>
    <w:p w14:paraId="1062AAD6" w14:textId="77777777" w:rsidR="004E78E3" w:rsidRDefault="004E78E3" w:rsidP="004E78E3">
      <w:pPr>
        <w:rPr>
          <w:b/>
          <w:color w:val="3366FF"/>
          <w:sz w:val="32"/>
        </w:rPr>
      </w:pPr>
    </w:p>
    <w:p w14:paraId="3440868B" w14:textId="77777777" w:rsidR="003A754A" w:rsidRPr="003A754A" w:rsidRDefault="004E78E3" w:rsidP="003A754A">
      <w:pPr>
        <w:rPr>
          <w:rFonts w:ascii="Arial" w:hAnsi="Arial" w:cs="Arial"/>
          <w:b/>
          <w:color w:val="006C71"/>
          <w:sz w:val="32"/>
          <w:szCs w:val="32"/>
        </w:rPr>
      </w:pPr>
      <w:r>
        <w:br w:type="page"/>
      </w:r>
    </w:p>
    <w:p w14:paraId="2A76622E" w14:textId="77777777" w:rsidR="003A754A" w:rsidRDefault="003A754A" w:rsidP="003A754A">
      <w:pPr>
        <w:pStyle w:val="IRPsecthead2sans"/>
      </w:pPr>
    </w:p>
    <w:p w14:paraId="1AA156D4" w14:textId="77777777" w:rsidR="004E78E3" w:rsidRPr="002D29D6" w:rsidRDefault="002D29D6" w:rsidP="003A754A">
      <w:pPr>
        <w:pStyle w:val="IRPsecthead2sans"/>
        <w:rPr>
          <w:b w:val="0"/>
          <w:color w:val="auto"/>
        </w:rPr>
      </w:pPr>
      <w:r>
        <w:rPr>
          <w:b w:val="0"/>
          <w:color w:val="auto"/>
        </w:rPr>
        <w:t>Findings</w:t>
      </w:r>
    </w:p>
    <w:p w14:paraId="3A8CCDDF" w14:textId="77777777" w:rsidR="003A754A" w:rsidRDefault="003A754A" w:rsidP="003A754A">
      <w:pPr>
        <w:pStyle w:val="IRPsanstext"/>
      </w:pPr>
    </w:p>
    <w:p w14:paraId="46C2A918" w14:textId="77777777" w:rsidR="004E78E3" w:rsidRPr="002D29D6" w:rsidRDefault="004E78E3" w:rsidP="003A754A">
      <w:pPr>
        <w:pStyle w:val="IRPsanstext"/>
        <w:rPr>
          <w:b/>
          <w:color w:val="3366FF"/>
          <w:sz w:val="28"/>
          <w:szCs w:val="32"/>
        </w:rPr>
      </w:pPr>
      <w:r w:rsidRPr="002C612F">
        <w:rPr>
          <w:b/>
          <w:color w:val="006C71"/>
          <w:sz w:val="28"/>
          <w:szCs w:val="32"/>
        </w:rPr>
        <w:t>Voltage Impacts</w:t>
      </w:r>
      <w:r w:rsidR="002D29D6" w:rsidRPr="002C612F">
        <w:rPr>
          <w:b/>
          <w:color w:val="006C71"/>
          <w:sz w:val="28"/>
          <w:szCs w:val="32"/>
        </w:rPr>
        <w:t>.</w:t>
      </w:r>
      <w:r w:rsidR="002D29D6">
        <w:rPr>
          <w:b/>
          <w:color w:val="3366FF"/>
          <w:sz w:val="28"/>
          <w:szCs w:val="32"/>
        </w:rPr>
        <w:t xml:space="preserve"> </w:t>
      </w:r>
      <w:r w:rsidRPr="003A754A">
        <w:rPr>
          <w:rFonts w:cs="Arial"/>
        </w:rPr>
        <w:t xml:space="preserve">Distributed solar PV increases the complexity of managing voltage regulation on circuit feeders due to its intermittent nature. </w:t>
      </w:r>
    </w:p>
    <w:p w14:paraId="34DDE9B1" w14:textId="77777777" w:rsidR="003A754A" w:rsidRPr="003A754A" w:rsidRDefault="003A754A" w:rsidP="003A754A">
      <w:pPr>
        <w:pStyle w:val="IRPsanstext"/>
        <w:rPr>
          <w:rFonts w:cs="Arial"/>
        </w:rPr>
      </w:pPr>
    </w:p>
    <w:p w14:paraId="405AFB53" w14:textId="77777777" w:rsidR="004E78E3" w:rsidRPr="003A754A" w:rsidRDefault="004E78E3" w:rsidP="003A754A">
      <w:pPr>
        <w:pStyle w:val="IRPsanstext"/>
        <w:rPr>
          <w:rFonts w:cs="Arial"/>
        </w:rPr>
      </w:pPr>
      <w:r w:rsidRPr="003A754A">
        <w:rPr>
          <w:rFonts w:cs="Arial"/>
        </w:rPr>
        <w:t>Power needs to flow to customers at a relatively constant voltage leve</w:t>
      </w:r>
      <w:r w:rsidR="00A704EC">
        <w:rPr>
          <w:rFonts w:cs="Arial"/>
        </w:rPr>
        <w:t xml:space="preserve">l of 114 to </w:t>
      </w:r>
      <w:r w:rsidRPr="003A754A">
        <w:rPr>
          <w:rFonts w:cs="Arial"/>
        </w:rPr>
        <w:t xml:space="preserve">126 volts per ANSI standard C84.1 (the national standard </w:t>
      </w:r>
      <w:r w:rsidR="00A704EC">
        <w:rPr>
          <w:rFonts w:cs="Arial"/>
        </w:rPr>
        <w:t>for utility voltage regulation).</w:t>
      </w:r>
      <w:r w:rsidRPr="003A754A">
        <w:rPr>
          <w:rFonts w:cs="Arial"/>
        </w:rPr>
        <w:t xml:space="preserve"> </w:t>
      </w:r>
      <w:r w:rsidR="00A704EC">
        <w:rPr>
          <w:rFonts w:cs="Arial"/>
        </w:rPr>
        <w:t>V</w:t>
      </w:r>
      <w:r w:rsidRPr="003A754A">
        <w:rPr>
          <w:rFonts w:cs="Arial"/>
        </w:rPr>
        <w:t>oltage swings outside of this range can wear down utility equipment, degrade customer appliances and create operational issues with sensitive equipment. To keep levels within the acceptable range as customer loads increase and decrease, voltage regulators installed at the substation and/or on the feeder line respond by making adjustments in real time. To prevent unnecessary adjustme</w:t>
      </w:r>
      <w:r w:rsidR="00A704EC">
        <w:rPr>
          <w:rFonts w:cs="Arial"/>
        </w:rPr>
        <w:t xml:space="preserve">nts, they often operate on a 30 to </w:t>
      </w:r>
      <w:r w:rsidRPr="003A754A">
        <w:rPr>
          <w:rFonts w:cs="Arial"/>
        </w:rPr>
        <w:t>40 second delay.</w:t>
      </w:r>
    </w:p>
    <w:p w14:paraId="7D6878B0" w14:textId="77777777" w:rsidR="003A754A" w:rsidRPr="003A754A" w:rsidRDefault="003A754A" w:rsidP="003A754A">
      <w:pPr>
        <w:pStyle w:val="IRPsanstext"/>
        <w:rPr>
          <w:rFonts w:cs="Arial"/>
        </w:rPr>
      </w:pPr>
    </w:p>
    <w:p w14:paraId="2BEAFA77" w14:textId="77777777" w:rsidR="004E78E3" w:rsidRPr="003A754A" w:rsidRDefault="004E78E3" w:rsidP="003A754A">
      <w:pPr>
        <w:pStyle w:val="IRPsanstext"/>
        <w:rPr>
          <w:rFonts w:cs="Arial"/>
        </w:rPr>
      </w:pPr>
      <w:r w:rsidRPr="003A754A">
        <w:rPr>
          <w:rFonts w:cs="Arial"/>
        </w:rPr>
        <w:t xml:space="preserve">Solar PV adds a layer of complexity by increasing the volatility of voltage changes. When customers’ solar panels export power onto the feeder, line voltage surges; when a cloud passes across the sun the PV stops producing and line voltage drops; when the sun comes back out, voltage often spikes again. This variation must now be compensated for in addition to variations in load. </w:t>
      </w:r>
    </w:p>
    <w:p w14:paraId="70976AE3" w14:textId="77777777" w:rsidR="003A754A" w:rsidRPr="003A754A" w:rsidRDefault="003A754A" w:rsidP="003A754A">
      <w:pPr>
        <w:pStyle w:val="IRPsanstext"/>
        <w:rPr>
          <w:rFonts w:cs="Arial"/>
        </w:rPr>
      </w:pPr>
    </w:p>
    <w:p w14:paraId="7BEC877D" w14:textId="77777777" w:rsidR="004E78E3" w:rsidRPr="003A754A" w:rsidRDefault="004E78E3" w:rsidP="003A754A">
      <w:pPr>
        <w:pStyle w:val="IRPsanstext"/>
        <w:rPr>
          <w:rFonts w:cs="Arial"/>
        </w:rPr>
      </w:pPr>
      <w:r w:rsidRPr="003A754A">
        <w:rPr>
          <w:rFonts w:cs="Arial"/>
        </w:rPr>
        <w:t>The following charts show the PV generation impact on line voltage for each circuit studied. Note that while 114V is the minimum that can be served to customers, the following charts show the voltage without taking into account the voltage drop across the distribution transformer and customer connectio</w:t>
      </w:r>
      <w:r w:rsidR="00A704EC">
        <w:rPr>
          <w:rFonts w:cs="Arial"/>
        </w:rPr>
        <w:t xml:space="preserve">n (which can be anywhere from 2 to </w:t>
      </w:r>
      <w:r w:rsidRPr="003A754A">
        <w:rPr>
          <w:rFonts w:cs="Arial"/>
        </w:rPr>
        <w:t xml:space="preserve">6 volts depending on the customer). This means that any instances in the charts where the lowest feeder voltage dips below 120V, there is a possibility that a customer is receiving low voltage (typically verified by taking measurements at the meter following a complaint). Voltage on all circuits remains within the acceptable range, except on UHL-21 which experiences high voltages during periods of heavy solar generation.  The voltage at the substation must be set to higher than 120V so that the customers at the end of the line remain within the limit despite the long length of this feeder and the high amount of load it serves. </w:t>
      </w:r>
    </w:p>
    <w:p w14:paraId="3C16BE85" w14:textId="77777777" w:rsidR="003A754A" w:rsidRDefault="003A754A" w:rsidP="003A754A">
      <w:pPr>
        <w:pStyle w:val="IRPsanstext"/>
      </w:pPr>
    </w:p>
    <w:p w14:paraId="4F97D4C0" w14:textId="77777777" w:rsidR="004E78E3" w:rsidRDefault="00A704EC" w:rsidP="003A754A">
      <w:pPr>
        <w:pStyle w:val="IRPsanstext"/>
      </w:pPr>
      <w:r>
        <w:t>For CAR-15,</w:t>
      </w:r>
      <w:r w:rsidR="004E78E3">
        <w:t xml:space="preserve"> </w:t>
      </w:r>
      <w:r w:rsidR="00080CE7">
        <w:t>Figure M-</w:t>
      </w:r>
      <w:r w:rsidR="004E78E3">
        <w:t>16 shows that under light summer load conditions, significant levels of PV generation impact both the magnitude of voltage changes and the volatility of those changes on this line. Voltage increases up to 3.4</w:t>
      </w:r>
      <w:r w:rsidR="004E78E3" w:rsidRPr="00497A27">
        <w:t xml:space="preserve"> percent</w:t>
      </w:r>
      <w:r w:rsidR="004E78E3">
        <w:t xml:space="preserve">; voltage can also spike down briefly, as shown in </w:t>
      </w:r>
      <w:r w:rsidR="00080CE7">
        <w:t>Figure M-</w:t>
      </w:r>
      <w:r w:rsidR="004E78E3">
        <w:t xml:space="preserve">15. </w:t>
      </w:r>
    </w:p>
    <w:p w14:paraId="0EC99AD3" w14:textId="77777777" w:rsidR="004E78E3" w:rsidRDefault="004E78E3" w:rsidP="004E78E3">
      <w:pPr>
        <w:rPr>
          <w:i/>
        </w:rPr>
      </w:pPr>
    </w:p>
    <w:p w14:paraId="674558A8" w14:textId="77777777" w:rsidR="003A754A" w:rsidRDefault="004E78E3" w:rsidP="00F0017E">
      <w:pPr>
        <w:pStyle w:val="IRPFigureSub"/>
      </w:pPr>
      <w:r>
        <w:br w:type="page"/>
      </w:r>
    </w:p>
    <w:p w14:paraId="2B9F1362" w14:textId="77777777" w:rsidR="006E5700" w:rsidRDefault="006E5700" w:rsidP="00FE1CA9">
      <w:pPr>
        <w:pStyle w:val="IRPFigureSub"/>
      </w:pPr>
    </w:p>
    <w:p w14:paraId="6A671439" w14:textId="77777777" w:rsidR="003A754A" w:rsidRDefault="00080CE7" w:rsidP="00FE1CA9">
      <w:pPr>
        <w:pStyle w:val="IRPFigureSub"/>
      </w:pPr>
      <w:r>
        <w:t>Figure M-</w:t>
      </w:r>
      <w:r w:rsidR="004E78E3">
        <w:t>15</w:t>
      </w:r>
      <w:r w:rsidR="004E78E3" w:rsidRPr="00F808D8">
        <w:t xml:space="preserve">: CAR-15 </w:t>
      </w:r>
      <w:r w:rsidR="004E78E3">
        <w:t>Heavy</w:t>
      </w:r>
      <w:r w:rsidR="004E78E3" w:rsidRPr="00F808D8">
        <w:t xml:space="preserve"> Summer </w:t>
      </w:r>
      <w:r w:rsidR="004E78E3">
        <w:t>Lowe</w:t>
      </w:r>
      <w:r w:rsidR="004E78E3" w:rsidRPr="00F808D8">
        <w:t>st Feeder Voltage</w:t>
      </w:r>
      <w:r w:rsidR="004E78E3">
        <w:t xml:space="preserve"> Variation</w:t>
      </w:r>
    </w:p>
    <w:p w14:paraId="0F7FBDD4" w14:textId="77777777" w:rsidR="004E78E3" w:rsidRPr="00F808D8" w:rsidRDefault="004E78E3" w:rsidP="001E392A">
      <w:pPr>
        <w:jc w:val="center"/>
        <w:rPr>
          <w:i/>
        </w:rPr>
      </w:pPr>
      <w:r>
        <w:rPr>
          <w:i/>
          <w:noProof/>
          <w:lang w:eastAsia="en-US"/>
        </w:rPr>
        <w:drawing>
          <wp:inline distT="0" distB="0" distL="0" distR="0" wp14:anchorId="1A6E407A" wp14:editId="12AC5473">
            <wp:extent cx="4961255" cy="310796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1255" cy="3107962"/>
                    </a:xfrm>
                    <a:prstGeom prst="rect">
                      <a:avLst/>
                    </a:prstGeom>
                    <a:noFill/>
                  </pic:spPr>
                </pic:pic>
              </a:graphicData>
            </a:graphic>
          </wp:inline>
        </w:drawing>
      </w:r>
    </w:p>
    <w:p w14:paraId="32A22FCE" w14:textId="77777777" w:rsidR="004E78E3" w:rsidRDefault="004E78E3" w:rsidP="004E78E3"/>
    <w:p w14:paraId="1310B7BF" w14:textId="77777777" w:rsidR="003A754A" w:rsidRPr="00FE1CA9" w:rsidRDefault="00080CE7" w:rsidP="00FE1CA9">
      <w:pPr>
        <w:pStyle w:val="IRPFigureSub"/>
      </w:pPr>
      <w:r>
        <w:t>Figure M-</w:t>
      </w:r>
      <w:r w:rsidR="004E78E3">
        <w:t>16</w:t>
      </w:r>
      <w:r w:rsidR="004E78E3" w:rsidRPr="00F808D8">
        <w:t>: CAR-15</w:t>
      </w:r>
      <w:r w:rsidR="004E78E3">
        <w:t xml:space="preserve"> Light </w:t>
      </w:r>
      <w:r w:rsidR="004E78E3" w:rsidRPr="00F808D8">
        <w:t xml:space="preserve">Summer </w:t>
      </w:r>
      <w:r w:rsidR="004E78E3">
        <w:t>Highest</w:t>
      </w:r>
      <w:r w:rsidR="004E78E3" w:rsidRPr="00F808D8">
        <w:t xml:space="preserve"> Feeder Voltage</w:t>
      </w:r>
      <w:r w:rsidR="004E78E3">
        <w:t xml:space="preserve"> Variation</w:t>
      </w:r>
    </w:p>
    <w:p w14:paraId="0365DFED" w14:textId="77777777" w:rsidR="004E78E3" w:rsidRDefault="004E78E3" w:rsidP="001E392A">
      <w:pPr>
        <w:jc w:val="center"/>
      </w:pPr>
      <w:r>
        <w:rPr>
          <w:noProof/>
          <w:lang w:eastAsia="en-US"/>
        </w:rPr>
        <w:drawing>
          <wp:inline distT="0" distB="0" distL="0" distR="0" wp14:anchorId="7830883B" wp14:editId="78E73212">
            <wp:extent cx="4961255" cy="3238721"/>
            <wp:effectExtent l="0" t="0" r="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1566" cy="3238924"/>
                    </a:xfrm>
                    <a:prstGeom prst="rect">
                      <a:avLst/>
                    </a:prstGeom>
                    <a:noFill/>
                  </pic:spPr>
                </pic:pic>
              </a:graphicData>
            </a:graphic>
          </wp:inline>
        </w:drawing>
      </w:r>
    </w:p>
    <w:p w14:paraId="764C29C9" w14:textId="77777777" w:rsidR="003A754A" w:rsidRDefault="003A754A">
      <w:r>
        <w:br w:type="page"/>
      </w:r>
    </w:p>
    <w:p w14:paraId="62EC080B" w14:textId="77777777" w:rsidR="004E78E3" w:rsidRDefault="004E78E3" w:rsidP="004E78E3"/>
    <w:p w14:paraId="13FD69F0" w14:textId="77777777" w:rsidR="004E78E3" w:rsidRDefault="004E78E3" w:rsidP="003A754A">
      <w:pPr>
        <w:pStyle w:val="IRPsanstext"/>
      </w:pPr>
      <w:r>
        <w:t xml:space="preserve">On UHL-21, </w:t>
      </w:r>
      <w:r w:rsidR="00080CE7">
        <w:t>Figure M-</w:t>
      </w:r>
      <w:r>
        <w:t xml:space="preserve">17 shows that distributed solar generation does not help increase the minimum voltage on the circuit during heavy summer loading. </w:t>
      </w:r>
      <w:r w:rsidR="00080CE7">
        <w:t>Figure M-</w:t>
      </w:r>
      <w:r>
        <w:t>18 shows that it can cause some customers to receive much higher voltages than allowed during periods of high solar generation.</w:t>
      </w:r>
    </w:p>
    <w:p w14:paraId="7BD5CACA" w14:textId="77777777" w:rsidR="003A754A" w:rsidRPr="00211476" w:rsidRDefault="003A754A" w:rsidP="003A754A">
      <w:pPr>
        <w:pStyle w:val="IRPsanstext"/>
        <w:rPr>
          <w:color w:val="3366FF"/>
        </w:rPr>
      </w:pPr>
    </w:p>
    <w:p w14:paraId="53D1A6D6" w14:textId="77777777" w:rsidR="001E392A" w:rsidRPr="00FE1CA9" w:rsidRDefault="00080CE7" w:rsidP="00FE1CA9">
      <w:pPr>
        <w:pStyle w:val="IRPFigureSub"/>
      </w:pPr>
      <w:r>
        <w:t>Figure M-</w:t>
      </w:r>
      <w:r w:rsidR="004E78E3">
        <w:t>17</w:t>
      </w:r>
      <w:r w:rsidR="004E78E3" w:rsidRPr="00F808D8">
        <w:t xml:space="preserve">: UHL-21 </w:t>
      </w:r>
      <w:r w:rsidR="004E78E3">
        <w:t>Heavy Summ</w:t>
      </w:r>
      <w:r w:rsidR="004E78E3" w:rsidRPr="00F808D8">
        <w:t>er Lowest Feeder Voltage</w:t>
      </w:r>
      <w:r w:rsidR="004E78E3">
        <w:t xml:space="preserve"> Variation</w:t>
      </w:r>
    </w:p>
    <w:p w14:paraId="2CFA3889" w14:textId="77777777" w:rsidR="001E392A" w:rsidRDefault="001E392A" w:rsidP="001E392A">
      <w:pPr>
        <w:jc w:val="center"/>
      </w:pPr>
      <w:r>
        <w:rPr>
          <w:noProof/>
          <w:lang w:eastAsia="en-US"/>
        </w:rPr>
        <w:drawing>
          <wp:inline distT="0" distB="0" distL="0" distR="0" wp14:anchorId="5878D972" wp14:editId="2F3ABC76">
            <wp:extent cx="4732655" cy="2777537"/>
            <wp:effectExtent l="0" t="0" r="0" b="0"/>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655" cy="2777537"/>
                    </a:xfrm>
                    <a:prstGeom prst="rect">
                      <a:avLst/>
                    </a:prstGeom>
                    <a:noFill/>
                  </pic:spPr>
                </pic:pic>
              </a:graphicData>
            </a:graphic>
          </wp:inline>
        </w:drawing>
      </w:r>
    </w:p>
    <w:p w14:paraId="16579C9D" w14:textId="77777777" w:rsidR="003A754A" w:rsidRDefault="003A754A" w:rsidP="001E392A">
      <w:pPr>
        <w:pStyle w:val="IRPFigureSub"/>
      </w:pPr>
    </w:p>
    <w:p w14:paraId="3A1FF965" w14:textId="77777777" w:rsidR="003A754A" w:rsidRPr="00FE1CA9" w:rsidRDefault="00080CE7" w:rsidP="00FE1CA9">
      <w:pPr>
        <w:pStyle w:val="IRPFigureSub"/>
      </w:pPr>
      <w:r>
        <w:t>Figure M-</w:t>
      </w:r>
      <w:r w:rsidR="004E78E3">
        <w:t>18</w:t>
      </w:r>
      <w:r w:rsidR="004E78E3" w:rsidRPr="00F808D8">
        <w:t xml:space="preserve">: </w:t>
      </w:r>
      <w:r w:rsidR="004E78E3">
        <w:t>UHL-21</w:t>
      </w:r>
      <w:r w:rsidR="004E78E3" w:rsidRPr="00F808D8">
        <w:t xml:space="preserve"> Light Summer Highest Feeder Voltage</w:t>
      </w:r>
      <w:r w:rsidR="004E78E3">
        <w:t xml:space="preserve"> Variation</w:t>
      </w:r>
    </w:p>
    <w:p w14:paraId="77AF60AB" w14:textId="77777777" w:rsidR="004E78E3" w:rsidRDefault="004E78E3" w:rsidP="001E392A">
      <w:pPr>
        <w:jc w:val="center"/>
      </w:pPr>
      <w:r>
        <w:rPr>
          <w:noProof/>
          <w:lang w:eastAsia="en-US"/>
        </w:rPr>
        <w:drawing>
          <wp:inline distT="0" distB="0" distL="0" distR="0" wp14:anchorId="7B5CD0BB" wp14:editId="32C09C48">
            <wp:extent cx="4763349" cy="3101340"/>
            <wp:effectExtent l="0" t="0" r="1206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349" cy="3101340"/>
                    </a:xfrm>
                    <a:prstGeom prst="rect">
                      <a:avLst/>
                    </a:prstGeom>
                    <a:noFill/>
                  </pic:spPr>
                </pic:pic>
              </a:graphicData>
            </a:graphic>
          </wp:inline>
        </w:drawing>
      </w:r>
    </w:p>
    <w:p w14:paraId="1E1C7D2E" w14:textId="77777777" w:rsidR="003A754A" w:rsidRDefault="003A754A">
      <w:r>
        <w:br w:type="page"/>
      </w:r>
    </w:p>
    <w:p w14:paraId="45FB0755" w14:textId="77777777" w:rsidR="004E78E3" w:rsidRDefault="004E78E3" w:rsidP="004E78E3"/>
    <w:p w14:paraId="4A551581" w14:textId="77777777" w:rsidR="004E78E3" w:rsidRDefault="004E78E3" w:rsidP="003A754A">
      <w:pPr>
        <w:pStyle w:val="IRPsanstext"/>
      </w:pPr>
      <w:r>
        <w:t>EVE-17 is the circuit that serves only three commercial buildings in Redmond, so it has only 9</w:t>
      </w:r>
      <w:r w:rsidRPr="00497A27">
        <w:t xml:space="preserve"> percent</w:t>
      </w:r>
      <w:r>
        <w:t xml:space="preserve"> PV potential penetration. </w:t>
      </w:r>
      <w:r w:rsidR="00080CE7">
        <w:t>Figure M-</w:t>
      </w:r>
      <w:r>
        <w:t xml:space="preserve">19 shows that EVE-17 experiences a voltage increase of </w:t>
      </w:r>
      <w:r w:rsidRPr="009D0D4D">
        <w:t>only 0.057</w:t>
      </w:r>
      <w:r w:rsidRPr="00497A27">
        <w:t xml:space="preserve"> percent</w:t>
      </w:r>
      <w:r>
        <w:t xml:space="preserve"> (unnoticeable on the same scale as the other char</w:t>
      </w:r>
      <w:r w:rsidRPr="009D0D4D">
        <w:t>ts), compared to 3.4</w:t>
      </w:r>
      <w:r w:rsidRPr="00497A27">
        <w:t xml:space="preserve"> percent</w:t>
      </w:r>
      <w:r>
        <w:t xml:space="preserve"> in the CAR-15 circuit. The highest feeder voltage was constant because the potential solar penetration was not significant enough to raise the voltage above the substation voltage on any section of the circuit</w:t>
      </w:r>
      <w:r w:rsidR="00A704EC">
        <w:t xml:space="preserve">, </w:t>
      </w:r>
      <w:r>
        <w:t xml:space="preserve">therefore </w:t>
      </w:r>
      <w:r w:rsidR="00A704EC">
        <w:t xml:space="preserve">it is </w:t>
      </w:r>
      <w:r>
        <w:t>not shown. Similarly, WIN-16 did not have a high enough potential solar generation to noticeably impact circuit voltages</w:t>
      </w:r>
      <w:r w:rsidR="00A704EC">
        <w:t>; it</w:t>
      </w:r>
      <w:r>
        <w:t xml:space="preserve"> is also not shown.</w:t>
      </w:r>
    </w:p>
    <w:p w14:paraId="3D26D699" w14:textId="77777777" w:rsidR="003A754A" w:rsidRDefault="003A754A" w:rsidP="003A754A">
      <w:pPr>
        <w:pStyle w:val="IRPsanstext"/>
        <w:rPr>
          <w:i/>
        </w:rPr>
      </w:pPr>
    </w:p>
    <w:p w14:paraId="1603722B" w14:textId="77777777" w:rsidR="003A754A" w:rsidRPr="00FE1CA9" w:rsidRDefault="00080CE7" w:rsidP="00FE1CA9">
      <w:pPr>
        <w:pStyle w:val="IRPFigureSub"/>
      </w:pPr>
      <w:r>
        <w:t>Figure M-</w:t>
      </w:r>
      <w:r w:rsidR="004E78E3">
        <w:t>19</w:t>
      </w:r>
      <w:r w:rsidR="004E78E3" w:rsidRPr="00F808D8">
        <w:t>: EVE-17 Heavy Summer Lowest Feeder Voltage</w:t>
      </w:r>
      <w:r w:rsidR="004E78E3">
        <w:t xml:space="preserve"> Variation</w:t>
      </w:r>
    </w:p>
    <w:p w14:paraId="1D3F9325" w14:textId="77777777" w:rsidR="004E78E3" w:rsidRPr="00C6461A" w:rsidRDefault="004E78E3" w:rsidP="001E392A">
      <w:pPr>
        <w:jc w:val="center"/>
        <w:rPr>
          <w:i/>
        </w:rPr>
      </w:pPr>
      <w:r>
        <w:rPr>
          <w:i/>
          <w:noProof/>
          <w:lang w:eastAsia="en-US"/>
        </w:rPr>
        <w:drawing>
          <wp:inline distT="0" distB="0" distL="0" distR="0" wp14:anchorId="223843DC" wp14:editId="63901042">
            <wp:extent cx="5267325" cy="31883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7325" cy="3188335"/>
                    </a:xfrm>
                    <a:prstGeom prst="rect">
                      <a:avLst/>
                    </a:prstGeom>
                    <a:noFill/>
                  </pic:spPr>
                </pic:pic>
              </a:graphicData>
            </a:graphic>
          </wp:inline>
        </w:drawing>
      </w:r>
    </w:p>
    <w:p w14:paraId="2AFCBCC6" w14:textId="77777777" w:rsidR="004E78E3" w:rsidRDefault="004E78E3" w:rsidP="003A754A">
      <w:pPr>
        <w:pStyle w:val="IRPsecthead1serif"/>
      </w:pPr>
    </w:p>
    <w:p w14:paraId="3CE2B299" w14:textId="77777777" w:rsidR="004E78E3" w:rsidRDefault="002D29D6" w:rsidP="003A754A">
      <w:pPr>
        <w:pStyle w:val="IRPsanstext"/>
      </w:pPr>
      <w:r w:rsidRPr="002C612F">
        <w:rPr>
          <w:b/>
          <w:color w:val="006C71"/>
          <w:sz w:val="28"/>
        </w:rPr>
        <w:t>Peak Demand.</w:t>
      </w:r>
      <w:r>
        <w:t xml:space="preserve"> </w:t>
      </w:r>
      <w:r w:rsidR="004E78E3">
        <w:t>Meeting peak demand is a particularly important responsibility, so we wanted to know if distributed solar PV generation can contribute to meeting that need.  In the charts below, the purple line represents the daily demand curve for a circuit in its peak demand season. The space between the purple line and the red line represents the reduction in demand that is produced by solar PV generation on high sun days. Only on EVE-17 does solar PV contribute to meeting peak need.</w:t>
      </w:r>
    </w:p>
    <w:p w14:paraId="5FEA7A09" w14:textId="77777777" w:rsidR="003A754A" w:rsidRDefault="003A754A" w:rsidP="003A754A">
      <w:pPr>
        <w:pStyle w:val="IRPsanstext"/>
      </w:pPr>
    </w:p>
    <w:p w14:paraId="41589F09" w14:textId="77777777" w:rsidR="004E78E3" w:rsidRDefault="004E78E3" w:rsidP="003A754A">
      <w:pPr>
        <w:pStyle w:val="IRPsanstext"/>
      </w:pPr>
      <w:r>
        <w:t>CAR-15, with 76</w:t>
      </w:r>
      <w:r w:rsidRPr="00497A27">
        <w:t xml:space="preserve"> percent</w:t>
      </w:r>
      <w:r>
        <w:t xml:space="preserve"> commercial loads, has a generally flat load once everything is “turned on.”  Solar generation contributes to meeting need during midday, but does not reduce the peak need in the morning.</w:t>
      </w:r>
    </w:p>
    <w:p w14:paraId="7FD9E818" w14:textId="77777777" w:rsidR="003A754A" w:rsidRDefault="003A754A" w:rsidP="003A754A">
      <w:pPr>
        <w:pStyle w:val="IRPFigureSub"/>
      </w:pPr>
    </w:p>
    <w:p w14:paraId="65A9DA07" w14:textId="77777777" w:rsidR="00FE1CA9" w:rsidRDefault="00FE1CA9" w:rsidP="00FE1CA9">
      <w:pPr>
        <w:pStyle w:val="IRPFigureSub"/>
      </w:pPr>
    </w:p>
    <w:p w14:paraId="401E1B61" w14:textId="77777777" w:rsidR="000F1964" w:rsidRDefault="000F1964" w:rsidP="00FE1CA9">
      <w:pPr>
        <w:pStyle w:val="IRPFigureSub"/>
      </w:pPr>
      <w:r>
        <w:lastRenderedPageBreak/>
        <w:t xml:space="preserve">      </w:t>
      </w:r>
    </w:p>
    <w:p w14:paraId="5E0D3419" w14:textId="77777777" w:rsidR="003A754A" w:rsidRPr="00F808D8" w:rsidRDefault="00080CE7" w:rsidP="00FE1CA9">
      <w:pPr>
        <w:pStyle w:val="IRPFigureSub"/>
      </w:pPr>
      <w:r>
        <w:t>Figure M-</w:t>
      </w:r>
      <w:r w:rsidR="004E78E3">
        <w:t>20</w:t>
      </w:r>
      <w:r w:rsidR="004E78E3" w:rsidRPr="00F808D8">
        <w:t>: CAR-15 Winter Peak PV Effects</w:t>
      </w:r>
    </w:p>
    <w:p w14:paraId="3B949772" w14:textId="77777777" w:rsidR="004E78E3" w:rsidRDefault="004E78E3" w:rsidP="001E392A">
      <w:pPr>
        <w:jc w:val="center"/>
      </w:pPr>
      <w:r>
        <w:rPr>
          <w:noProof/>
          <w:lang w:eastAsia="en-US"/>
        </w:rPr>
        <w:drawing>
          <wp:inline distT="0" distB="0" distL="0" distR="0" wp14:anchorId="28CC9CCE" wp14:editId="4CA842BB">
            <wp:extent cx="5075555" cy="2548963"/>
            <wp:effectExtent l="25400" t="0" r="444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3324" cy="2552864"/>
                    </a:xfrm>
                    <a:prstGeom prst="rect">
                      <a:avLst/>
                    </a:prstGeom>
                    <a:noFill/>
                  </pic:spPr>
                </pic:pic>
              </a:graphicData>
            </a:graphic>
          </wp:inline>
        </w:drawing>
      </w:r>
    </w:p>
    <w:p w14:paraId="4E82CDA0" w14:textId="77777777" w:rsidR="004E78E3" w:rsidRDefault="004E78E3" w:rsidP="004E78E3"/>
    <w:p w14:paraId="0B174B78" w14:textId="77777777" w:rsidR="004E78E3" w:rsidRDefault="00080CE7" w:rsidP="003A754A">
      <w:pPr>
        <w:pStyle w:val="IRPsanstext"/>
      </w:pPr>
      <w:r>
        <w:t>Figure M-</w:t>
      </w:r>
      <w:r w:rsidR="004E78E3">
        <w:t>21 shows that the winter morning peak on WIN-16 cannot be lowered by additional solar power, although it contributes to meeting need at midday.</w:t>
      </w:r>
    </w:p>
    <w:p w14:paraId="17B6F3FE" w14:textId="77777777" w:rsidR="003A754A" w:rsidRDefault="003A754A" w:rsidP="003A754A">
      <w:pPr>
        <w:pStyle w:val="IRPsanstext"/>
      </w:pPr>
    </w:p>
    <w:p w14:paraId="60BB0FFE" w14:textId="77777777" w:rsidR="003A754A" w:rsidRPr="00F9719A" w:rsidRDefault="00080CE7" w:rsidP="00F9719A">
      <w:pPr>
        <w:pStyle w:val="IRPFigureSub"/>
      </w:pPr>
      <w:r>
        <w:t>Figure M-</w:t>
      </w:r>
      <w:r w:rsidR="004E78E3">
        <w:t>21</w:t>
      </w:r>
      <w:r w:rsidR="004E78E3" w:rsidRPr="00F808D8">
        <w:t>: WIN-16 Winter Peak PV Effects</w:t>
      </w:r>
    </w:p>
    <w:p w14:paraId="03617060" w14:textId="77777777" w:rsidR="004E78E3" w:rsidRDefault="004E78E3" w:rsidP="001E392A">
      <w:pPr>
        <w:jc w:val="center"/>
      </w:pPr>
      <w:r>
        <w:rPr>
          <w:noProof/>
          <w:lang w:eastAsia="en-US"/>
        </w:rPr>
        <w:drawing>
          <wp:inline distT="0" distB="0" distL="0" distR="0" wp14:anchorId="6E14ED1A" wp14:editId="33D8F13D">
            <wp:extent cx="5075555" cy="2548962"/>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5555" cy="2548962"/>
                    </a:xfrm>
                    <a:prstGeom prst="rect">
                      <a:avLst/>
                    </a:prstGeom>
                    <a:noFill/>
                  </pic:spPr>
                </pic:pic>
              </a:graphicData>
            </a:graphic>
          </wp:inline>
        </w:drawing>
      </w:r>
    </w:p>
    <w:p w14:paraId="4C20B1F8" w14:textId="77777777" w:rsidR="004E78E3" w:rsidRDefault="004E78E3" w:rsidP="004E78E3"/>
    <w:p w14:paraId="1D585F8C" w14:textId="77777777" w:rsidR="004E78E3" w:rsidRDefault="004E78E3" w:rsidP="004E78E3"/>
    <w:p w14:paraId="62563947" w14:textId="77777777" w:rsidR="003A754A" w:rsidRDefault="003A754A">
      <w:r>
        <w:br w:type="page"/>
      </w:r>
    </w:p>
    <w:p w14:paraId="20E03435" w14:textId="77777777" w:rsidR="000B5E4D" w:rsidRDefault="000B5E4D" w:rsidP="003A754A">
      <w:pPr>
        <w:pStyle w:val="IRPsanstext"/>
      </w:pPr>
    </w:p>
    <w:p w14:paraId="543F9FCF" w14:textId="77777777" w:rsidR="004E78E3" w:rsidRDefault="00080CE7" w:rsidP="003A754A">
      <w:pPr>
        <w:pStyle w:val="IRPsanstext"/>
      </w:pPr>
      <w:r>
        <w:t>Figure M-</w:t>
      </w:r>
      <w:r w:rsidR="004E78E3">
        <w:t>22 shows that the evening winter peak on circuit UHL-21 is also not positively affected by solar power; however there are energy savings in mid-day on high sun days.</w:t>
      </w:r>
    </w:p>
    <w:p w14:paraId="27E297C6" w14:textId="77777777" w:rsidR="00FB5A92" w:rsidRDefault="00FB5A92" w:rsidP="00FB5A92">
      <w:pPr>
        <w:pStyle w:val="IRPFigureSub"/>
      </w:pPr>
    </w:p>
    <w:p w14:paraId="3AE55D06" w14:textId="77777777" w:rsidR="00FB5A92" w:rsidRPr="00F9719A" w:rsidRDefault="00080CE7" w:rsidP="00F9719A">
      <w:pPr>
        <w:pStyle w:val="IRPFigureSub"/>
      </w:pPr>
      <w:r>
        <w:t>Figure M-</w:t>
      </w:r>
      <w:r w:rsidR="004E78E3">
        <w:t>22</w:t>
      </w:r>
      <w:r w:rsidR="004E78E3" w:rsidRPr="00E346A8">
        <w:t>: UHL-21 Winter Peak PV Effects</w:t>
      </w:r>
    </w:p>
    <w:p w14:paraId="0C2E7DB5" w14:textId="77777777" w:rsidR="004E78E3" w:rsidRDefault="004E78E3" w:rsidP="001E392A">
      <w:pPr>
        <w:jc w:val="center"/>
      </w:pPr>
      <w:r>
        <w:rPr>
          <w:noProof/>
          <w:lang w:eastAsia="en-US"/>
        </w:rPr>
        <w:drawing>
          <wp:inline distT="0" distB="0" distL="0" distR="0" wp14:anchorId="24AB6F21" wp14:editId="5FD300C8">
            <wp:extent cx="5108692" cy="252603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8692" cy="2526030"/>
                    </a:xfrm>
                    <a:prstGeom prst="rect">
                      <a:avLst/>
                    </a:prstGeom>
                    <a:noFill/>
                  </pic:spPr>
                </pic:pic>
              </a:graphicData>
            </a:graphic>
          </wp:inline>
        </w:drawing>
      </w:r>
    </w:p>
    <w:p w14:paraId="6E994A04" w14:textId="77777777" w:rsidR="004E78E3" w:rsidRDefault="004E78E3" w:rsidP="004E78E3"/>
    <w:p w14:paraId="09B95D50" w14:textId="77777777" w:rsidR="004E78E3" w:rsidRDefault="00080CE7" w:rsidP="00FB5A92">
      <w:pPr>
        <w:pStyle w:val="IRPsanstext"/>
      </w:pPr>
      <w:r>
        <w:t>Figure M-</w:t>
      </w:r>
      <w:r w:rsidR="004E78E3">
        <w:t>23 shows EVE-17, the summer peaking circuit that serves business offices with lots of lighting, computers and air conditioning. On a high sun day, solar power can reduce peak load on this circuit.</w:t>
      </w:r>
    </w:p>
    <w:p w14:paraId="273D823B" w14:textId="77777777" w:rsidR="00FB5A92" w:rsidRDefault="00FB5A92" w:rsidP="00FB5A92">
      <w:pPr>
        <w:pStyle w:val="IRPFigureSub"/>
      </w:pPr>
    </w:p>
    <w:p w14:paraId="7DB9E5CD" w14:textId="77777777" w:rsidR="001E392A" w:rsidRPr="00F9719A" w:rsidRDefault="00080CE7" w:rsidP="00F9719A">
      <w:pPr>
        <w:pStyle w:val="IRPFigureSub"/>
      </w:pPr>
      <w:r>
        <w:t>Figure M-</w:t>
      </w:r>
      <w:r w:rsidR="004E78E3">
        <w:t>23</w:t>
      </w:r>
      <w:r w:rsidR="004E78E3" w:rsidRPr="00E346A8">
        <w:t>: Eve-17 Summer Peak PV Effects</w:t>
      </w:r>
    </w:p>
    <w:p w14:paraId="5FB1D78A" w14:textId="77777777" w:rsidR="001E392A" w:rsidRDefault="001E392A" w:rsidP="001E392A">
      <w:pPr>
        <w:jc w:val="center"/>
      </w:pPr>
      <w:r>
        <w:rPr>
          <w:noProof/>
          <w:lang w:eastAsia="en-US"/>
        </w:rPr>
        <w:drawing>
          <wp:inline distT="0" distB="0" distL="0" distR="0" wp14:anchorId="3CD1D08C" wp14:editId="583A672B">
            <wp:extent cx="5081703" cy="275503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2120" cy="2755261"/>
                    </a:xfrm>
                    <a:prstGeom prst="rect">
                      <a:avLst/>
                    </a:prstGeom>
                    <a:noFill/>
                  </pic:spPr>
                </pic:pic>
              </a:graphicData>
            </a:graphic>
          </wp:inline>
        </w:drawing>
      </w:r>
    </w:p>
    <w:p w14:paraId="44A6C2E4" w14:textId="77777777" w:rsidR="00FB5A92" w:rsidRDefault="004E78E3" w:rsidP="00FB5A92">
      <w:pPr>
        <w:pStyle w:val="IRPsanstext"/>
      </w:pPr>
      <w:r>
        <w:br w:type="page"/>
      </w:r>
    </w:p>
    <w:p w14:paraId="4C8F8509" w14:textId="77777777" w:rsidR="00FB5A92" w:rsidRDefault="00FB5A92" w:rsidP="00FB5A92">
      <w:pPr>
        <w:pStyle w:val="IRPsanstext"/>
      </w:pPr>
    </w:p>
    <w:p w14:paraId="38EF8CCD" w14:textId="77777777" w:rsidR="002D29D6" w:rsidRDefault="004E78E3" w:rsidP="00FB5A92">
      <w:pPr>
        <w:pStyle w:val="IRPsanstext"/>
        <w:rPr>
          <w:rFonts w:cs="Arial"/>
        </w:rPr>
      </w:pPr>
      <w:r w:rsidRPr="002C612F">
        <w:rPr>
          <w:rFonts w:cs="Arial"/>
          <w:b/>
          <w:color w:val="006C71"/>
          <w:sz w:val="28"/>
          <w:szCs w:val="32"/>
        </w:rPr>
        <w:t>Line Losses</w:t>
      </w:r>
      <w:r w:rsidR="002D29D6" w:rsidRPr="002C612F">
        <w:rPr>
          <w:rFonts w:cs="Arial"/>
          <w:b/>
          <w:color w:val="006C71"/>
          <w:sz w:val="28"/>
          <w:szCs w:val="32"/>
        </w:rPr>
        <w:t>.</w:t>
      </w:r>
      <w:r w:rsidR="002D29D6">
        <w:rPr>
          <w:rFonts w:cs="Arial"/>
          <w:b/>
          <w:color w:val="3366FF"/>
          <w:sz w:val="28"/>
          <w:szCs w:val="32"/>
        </w:rPr>
        <w:t xml:space="preserve"> </w:t>
      </w:r>
      <w:r w:rsidRPr="00FB5A92">
        <w:rPr>
          <w:rFonts w:cs="Arial"/>
        </w:rPr>
        <w:t>Line losses include all the electric power transmitted on a line but not delivered to the other side. They increase in proportion with the square of the current flowing through the line, so efficiency is higher when less electricity is flowing. When large amounts of solar PV flow back onto the grid, the amount of electricity can be much more than normal, leading to greater line losses.</w:t>
      </w:r>
    </w:p>
    <w:p w14:paraId="58F968D7" w14:textId="77777777" w:rsidR="004E78E3" w:rsidRPr="002D29D6" w:rsidRDefault="004E78E3" w:rsidP="00FB5A92">
      <w:pPr>
        <w:pStyle w:val="IRPsanstext"/>
        <w:rPr>
          <w:rFonts w:cs="Arial"/>
          <w:b/>
          <w:color w:val="3366FF"/>
          <w:sz w:val="28"/>
          <w:szCs w:val="32"/>
        </w:rPr>
      </w:pPr>
    </w:p>
    <w:p w14:paraId="7337EE2C" w14:textId="77777777" w:rsidR="004E78E3" w:rsidRPr="00FB5A92" w:rsidRDefault="004E78E3" w:rsidP="00FB5A92">
      <w:pPr>
        <w:pStyle w:val="IRPsanstext"/>
        <w:rPr>
          <w:rFonts w:cs="Arial"/>
        </w:rPr>
      </w:pPr>
      <w:r w:rsidRPr="00FB5A92">
        <w:rPr>
          <w:rFonts w:cs="Arial"/>
        </w:rPr>
        <w:t>CAR-15 and UHL-21, below, show significant losses due to the over-supply of PV generation.  When compared to the pote</w:t>
      </w:r>
      <w:r w:rsidR="00A704EC">
        <w:rPr>
          <w:rFonts w:cs="Arial"/>
        </w:rPr>
        <w:t>ntial PV production in Figures M</w:t>
      </w:r>
      <w:r w:rsidRPr="00FB5A92">
        <w:rPr>
          <w:rFonts w:cs="Arial"/>
        </w:rPr>
        <w:t>-4, 6, 8 and 10</w:t>
      </w:r>
      <w:r w:rsidR="00A704EC">
        <w:rPr>
          <w:rFonts w:cs="Arial"/>
        </w:rPr>
        <w:t>,</w:t>
      </w:r>
      <w:r w:rsidRPr="00FB5A92">
        <w:rPr>
          <w:rFonts w:cs="Arial"/>
        </w:rPr>
        <w:t xml:space="preserve"> these losses range from 25 percent to 30 percent.  WIN-16 has losses up to 10 percent. In comparison, the average line loss across PSE’s entire transportation and delivery system is approximately 8 percent. </w:t>
      </w:r>
    </w:p>
    <w:p w14:paraId="43B907AB" w14:textId="77777777" w:rsidR="004E78E3" w:rsidRPr="00FB5A92" w:rsidRDefault="004E78E3" w:rsidP="00FB5A92">
      <w:pPr>
        <w:pStyle w:val="IRPsanstext"/>
        <w:rPr>
          <w:rFonts w:cs="Arial"/>
        </w:rPr>
      </w:pPr>
      <w:r w:rsidRPr="00FB5A92">
        <w:rPr>
          <w:rFonts w:cs="Arial"/>
        </w:rPr>
        <w:t>While line losses do not cause problems for customers and their appliances, they are an unnecessary waste of energy. Measures to limit line losses include increasing the size of conductors or using smart inverters to limit the amount of energy that goes onto the grid.</w:t>
      </w:r>
    </w:p>
    <w:p w14:paraId="2C68045D" w14:textId="77777777" w:rsidR="004E78E3" w:rsidRPr="00FB5A92" w:rsidRDefault="004E78E3" w:rsidP="00FB5A92">
      <w:pPr>
        <w:pStyle w:val="IRPFigureSub"/>
      </w:pPr>
    </w:p>
    <w:p w14:paraId="2D7C2413" w14:textId="77777777" w:rsidR="00FB5A92" w:rsidRPr="00FB5A92" w:rsidRDefault="00080CE7" w:rsidP="00F9719A">
      <w:pPr>
        <w:pStyle w:val="IRPFigureSub"/>
      </w:pPr>
      <w:r>
        <w:t>Figure M-</w:t>
      </w:r>
      <w:r w:rsidR="004E78E3" w:rsidRPr="00FB5A92">
        <w:t>24: CAR-15 Heavy Summer Line Losses</w:t>
      </w:r>
    </w:p>
    <w:p w14:paraId="0E80C0E6" w14:textId="77777777" w:rsidR="004E78E3" w:rsidRDefault="004E78E3" w:rsidP="001E392A">
      <w:pPr>
        <w:jc w:val="center"/>
      </w:pPr>
      <w:r>
        <w:rPr>
          <w:noProof/>
          <w:lang w:eastAsia="en-US"/>
        </w:rPr>
        <w:drawing>
          <wp:inline distT="0" distB="0" distL="0" distR="0" wp14:anchorId="5394D46E" wp14:editId="0FA66AD0">
            <wp:extent cx="5189855" cy="2968263"/>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9855" cy="2968263"/>
                    </a:xfrm>
                    <a:prstGeom prst="rect">
                      <a:avLst/>
                    </a:prstGeom>
                    <a:noFill/>
                  </pic:spPr>
                </pic:pic>
              </a:graphicData>
            </a:graphic>
          </wp:inline>
        </w:drawing>
      </w:r>
    </w:p>
    <w:p w14:paraId="7C7502C8" w14:textId="77777777" w:rsidR="004E78E3" w:rsidRDefault="004E78E3" w:rsidP="004E78E3">
      <w:pPr>
        <w:rPr>
          <w:i/>
        </w:rPr>
      </w:pPr>
    </w:p>
    <w:p w14:paraId="2FF89A95" w14:textId="77777777" w:rsidR="004E78E3" w:rsidRDefault="004E78E3" w:rsidP="004E78E3">
      <w:pPr>
        <w:rPr>
          <w:i/>
        </w:rPr>
      </w:pPr>
    </w:p>
    <w:p w14:paraId="6F4F1D91" w14:textId="77777777" w:rsidR="00FB5A92" w:rsidRDefault="00FB5A92">
      <w:pPr>
        <w:rPr>
          <w:i/>
        </w:rPr>
      </w:pPr>
      <w:r>
        <w:rPr>
          <w:i/>
        </w:rPr>
        <w:br w:type="page"/>
      </w:r>
    </w:p>
    <w:p w14:paraId="492E42E7" w14:textId="77777777" w:rsidR="004E78E3" w:rsidRDefault="004E78E3" w:rsidP="004E78E3">
      <w:pPr>
        <w:rPr>
          <w:i/>
        </w:rPr>
      </w:pPr>
    </w:p>
    <w:p w14:paraId="0EC9823F" w14:textId="77777777" w:rsidR="00FB5A92" w:rsidRPr="00F9719A" w:rsidRDefault="00080CE7" w:rsidP="00F9719A">
      <w:pPr>
        <w:pStyle w:val="IRPFigureSub"/>
      </w:pPr>
      <w:r>
        <w:t>Figure M-</w:t>
      </w:r>
      <w:r w:rsidR="004E78E3">
        <w:t>25</w:t>
      </w:r>
      <w:r w:rsidR="004E78E3" w:rsidRPr="00E346A8">
        <w:t>: UHL-</w:t>
      </w:r>
      <w:r w:rsidR="004E78E3">
        <w:t>21 Heavy</w:t>
      </w:r>
      <w:r w:rsidR="004E78E3" w:rsidRPr="00E346A8">
        <w:t xml:space="preserve"> Summer Line Losses</w:t>
      </w:r>
    </w:p>
    <w:p w14:paraId="639654B2" w14:textId="77777777" w:rsidR="00FB5A92" w:rsidRDefault="004E78E3" w:rsidP="00634228">
      <w:pPr>
        <w:jc w:val="center"/>
      </w:pPr>
      <w:r>
        <w:rPr>
          <w:noProof/>
          <w:lang w:eastAsia="en-US"/>
        </w:rPr>
        <w:drawing>
          <wp:inline distT="0" distB="0" distL="0" distR="0" wp14:anchorId="7E5C61C9" wp14:editId="39204D03">
            <wp:extent cx="5304155" cy="3042479"/>
            <wp:effectExtent l="0" t="0" r="4445"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4155" cy="3042479"/>
                    </a:xfrm>
                    <a:prstGeom prst="rect">
                      <a:avLst/>
                    </a:prstGeom>
                    <a:noFill/>
                  </pic:spPr>
                </pic:pic>
              </a:graphicData>
            </a:graphic>
          </wp:inline>
        </w:drawing>
      </w:r>
    </w:p>
    <w:p w14:paraId="193C1825" w14:textId="77777777" w:rsidR="00FB5A92" w:rsidRPr="00F9719A" w:rsidRDefault="00080CE7" w:rsidP="00634228">
      <w:pPr>
        <w:pStyle w:val="IRPFigureSub"/>
        <w:spacing w:before="120"/>
      </w:pPr>
      <w:r>
        <w:t>Figure M-</w:t>
      </w:r>
      <w:r w:rsidR="004E78E3">
        <w:t>26</w:t>
      </w:r>
      <w:r w:rsidR="004E78E3" w:rsidRPr="00E346A8">
        <w:t>:</w:t>
      </w:r>
      <w:r w:rsidR="004E78E3">
        <w:t xml:space="preserve"> WIN-16</w:t>
      </w:r>
      <w:r w:rsidR="004E78E3" w:rsidRPr="00E346A8">
        <w:t xml:space="preserve"> Heavy Summer Line Losses</w:t>
      </w:r>
    </w:p>
    <w:p w14:paraId="3176F100" w14:textId="77777777" w:rsidR="004E78E3" w:rsidRDefault="004E78E3" w:rsidP="001E392A">
      <w:pPr>
        <w:jc w:val="center"/>
      </w:pPr>
      <w:r>
        <w:rPr>
          <w:noProof/>
          <w:lang w:eastAsia="en-US"/>
        </w:rPr>
        <w:drawing>
          <wp:inline distT="0" distB="0" distL="0" distR="0" wp14:anchorId="273742A2" wp14:editId="0E0412D4">
            <wp:extent cx="5210175" cy="3769360"/>
            <wp:effectExtent l="2540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4882" cy="3772765"/>
                    </a:xfrm>
                    <a:prstGeom prst="rect">
                      <a:avLst/>
                    </a:prstGeom>
                    <a:noFill/>
                  </pic:spPr>
                </pic:pic>
              </a:graphicData>
            </a:graphic>
          </wp:inline>
        </w:drawing>
      </w:r>
    </w:p>
    <w:p w14:paraId="3B085143" w14:textId="77777777" w:rsidR="004E78E3" w:rsidRDefault="004E78E3" w:rsidP="004E78E3"/>
    <w:p w14:paraId="49223D06" w14:textId="77777777" w:rsidR="00FB5A92" w:rsidRDefault="00FB5A92" w:rsidP="00FB5A92">
      <w:pPr>
        <w:pStyle w:val="IRPsanstext"/>
      </w:pPr>
    </w:p>
    <w:p w14:paraId="418BE62C" w14:textId="77777777" w:rsidR="00FB5A92" w:rsidRDefault="00FB5A92" w:rsidP="00FB5A92">
      <w:pPr>
        <w:pStyle w:val="IRPsanstext"/>
      </w:pPr>
    </w:p>
    <w:p w14:paraId="10B76F65" w14:textId="77777777" w:rsidR="006E5700" w:rsidRDefault="006E5700" w:rsidP="00FB5A92">
      <w:pPr>
        <w:pStyle w:val="IRPsanstext"/>
      </w:pPr>
    </w:p>
    <w:p w14:paraId="2F09FB67" w14:textId="77777777" w:rsidR="004E78E3" w:rsidRDefault="004E78E3" w:rsidP="00FB5A92">
      <w:pPr>
        <w:pStyle w:val="IRPsanstext"/>
      </w:pPr>
      <w:r>
        <w:t>EVE-17 provides a very different result: Here, PV can reduce line losses. In this case for the heavy summer load with high sun the daily line loss is reduced by 3.5</w:t>
      </w:r>
      <w:r w:rsidRPr="00497A27">
        <w:t xml:space="preserve"> percent</w:t>
      </w:r>
      <w:r>
        <w:t>. This occurred because the solar generation is less than the power consumed by the customer at all times.</w:t>
      </w:r>
    </w:p>
    <w:p w14:paraId="2CFE7AF5" w14:textId="77777777" w:rsidR="00FB5A92" w:rsidRDefault="00FB5A92" w:rsidP="00FB5A92">
      <w:pPr>
        <w:pStyle w:val="IRPFigureSub"/>
      </w:pPr>
    </w:p>
    <w:p w14:paraId="39BFC8FE" w14:textId="77777777" w:rsidR="00FB5A92" w:rsidRPr="00F9719A" w:rsidRDefault="00080CE7" w:rsidP="00F9719A">
      <w:pPr>
        <w:pStyle w:val="IRPFigureSub"/>
      </w:pPr>
      <w:r>
        <w:t>Figure M-</w:t>
      </w:r>
      <w:r w:rsidR="004E78E3">
        <w:t>27</w:t>
      </w:r>
      <w:r w:rsidR="004E78E3" w:rsidRPr="00E346A8">
        <w:t>: EVE</w:t>
      </w:r>
      <w:r w:rsidR="004E78E3">
        <w:t>-17</w:t>
      </w:r>
      <w:r w:rsidR="004E78E3" w:rsidRPr="00E346A8">
        <w:t xml:space="preserve"> Heavy Summer Line Losses</w:t>
      </w:r>
    </w:p>
    <w:p w14:paraId="0D8E96C3" w14:textId="77777777" w:rsidR="004E78E3" w:rsidRDefault="004E78E3" w:rsidP="001E392A">
      <w:pPr>
        <w:jc w:val="center"/>
      </w:pPr>
      <w:r>
        <w:rPr>
          <w:noProof/>
          <w:lang w:eastAsia="en-US"/>
        </w:rPr>
        <w:drawing>
          <wp:inline distT="0" distB="0" distL="0" distR="0" wp14:anchorId="4D52F78D" wp14:editId="02EFC055">
            <wp:extent cx="5418455" cy="3266971"/>
            <wp:effectExtent l="2540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9681" cy="3267710"/>
                    </a:xfrm>
                    <a:prstGeom prst="rect">
                      <a:avLst/>
                    </a:prstGeom>
                    <a:noFill/>
                  </pic:spPr>
                </pic:pic>
              </a:graphicData>
            </a:graphic>
          </wp:inline>
        </w:drawing>
      </w:r>
    </w:p>
    <w:p w14:paraId="323A6C31" w14:textId="77777777" w:rsidR="00FB5A92" w:rsidRDefault="00FB5A92">
      <w:pPr>
        <w:rPr>
          <w:b/>
          <w:color w:val="3366FF"/>
          <w:sz w:val="32"/>
        </w:rPr>
      </w:pPr>
      <w:r>
        <w:rPr>
          <w:b/>
          <w:color w:val="3366FF"/>
          <w:sz w:val="32"/>
        </w:rPr>
        <w:br w:type="page"/>
      </w:r>
    </w:p>
    <w:p w14:paraId="065553DE" w14:textId="77777777" w:rsidR="00FB5A92" w:rsidRDefault="00FB5A92" w:rsidP="00FB5A92">
      <w:pPr>
        <w:pStyle w:val="IRPsecthead2sans"/>
      </w:pPr>
    </w:p>
    <w:p w14:paraId="127F2ABE" w14:textId="77777777" w:rsidR="004E78E3" w:rsidRPr="002D29D6" w:rsidRDefault="00FB5A92" w:rsidP="00FB5A92">
      <w:pPr>
        <w:pStyle w:val="IRPsecthead2sans"/>
        <w:rPr>
          <w:b w:val="0"/>
          <w:color w:val="auto"/>
        </w:rPr>
      </w:pPr>
      <w:r w:rsidRPr="002D29D6">
        <w:rPr>
          <w:b w:val="0"/>
          <w:color w:val="auto"/>
        </w:rPr>
        <w:t>S</w:t>
      </w:r>
      <w:r w:rsidR="002D29D6">
        <w:rPr>
          <w:b w:val="0"/>
          <w:color w:val="auto"/>
        </w:rPr>
        <w:t>ummary</w:t>
      </w:r>
    </w:p>
    <w:p w14:paraId="33976C41" w14:textId="77777777" w:rsidR="00FB5A92" w:rsidRDefault="00FB5A92" w:rsidP="00FB5A92">
      <w:pPr>
        <w:pStyle w:val="IRPsanstext"/>
      </w:pPr>
    </w:p>
    <w:p w14:paraId="5320BA0D" w14:textId="77777777" w:rsidR="004E78E3" w:rsidRDefault="004E78E3" w:rsidP="00FB5A92">
      <w:pPr>
        <w:pStyle w:val="IRPsanstext"/>
      </w:pPr>
      <w:r w:rsidRPr="0047554B">
        <w:t>As a result of this analysis,</w:t>
      </w:r>
      <w:r>
        <w:t xml:space="preserve"> the following conclusion</w:t>
      </w:r>
      <w:r w:rsidR="00A704EC">
        <w:t>s</w:t>
      </w:r>
      <w:r>
        <w:t xml:space="preserve"> were reached. For quick reference, </w:t>
      </w:r>
      <w:r w:rsidR="00A704EC">
        <w:t xml:space="preserve">the </w:t>
      </w:r>
      <w:r>
        <w:t>figures that support each conclusion are referenced in brackets following each bullet.</w:t>
      </w:r>
    </w:p>
    <w:p w14:paraId="298E66A8" w14:textId="77777777" w:rsidR="00FB5A92" w:rsidRDefault="00FB5A92" w:rsidP="00FB5A92">
      <w:pPr>
        <w:pStyle w:val="IRPsanstext"/>
      </w:pPr>
    </w:p>
    <w:p w14:paraId="5704FE04" w14:textId="77777777" w:rsidR="004E78E3" w:rsidRPr="00A06F97" w:rsidRDefault="00A704EC" w:rsidP="00FB5A92">
      <w:pPr>
        <w:pStyle w:val="IRPsanstext"/>
        <w:rPr>
          <w:b/>
          <w:caps/>
        </w:rPr>
      </w:pPr>
      <w:r w:rsidRPr="00A06F97">
        <w:rPr>
          <w:b/>
          <w:caps/>
        </w:rPr>
        <w:t>Customer Voltage</w:t>
      </w:r>
    </w:p>
    <w:p w14:paraId="7591C820" w14:textId="77777777" w:rsidR="002C612F" w:rsidRPr="00A704EC" w:rsidRDefault="002C612F" w:rsidP="00FB5A92">
      <w:pPr>
        <w:pStyle w:val="IRPsanstext"/>
        <w:rPr>
          <w:b/>
        </w:rPr>
      </w:pPr>
    </w:p>
    <w:p w14:paraId="74B76A4F" w14:textId="77777777" w:rsidR="004E78E3" w:rsidRDefault="004E78E3" w:rsidP="00FB5A92">
      <w:pPr>
        <w:pStyle w:val="IRPsanstext"/>
        <w:numPr>
          <w:ilvl w:val="0"/>
          <w:numId w:val="27"/>
        </w:numPr>
      </w:pPr>
      <w:r>
        <w:t>Longer feeders are more difficult to keep within voltage limits when serving large numbers of distributed solar customers. [</w:t>
      </w:r>
      <w:r w:rsidR="00080CE7">
        <w:t>M</w:t>
      </w:r>
      <w:r>
        <w:t>-18]</w:t>
      </w:r>
    </w:p>
    <w:p w14:paraId="3B764E1D" w14:textId="77777777" w:rsidR="004E78E3" w:rsidRDefault="004E78E3" w:rsidP="00FB5A92">
      <w:pPr>
        <w:pStyle w:val="IRPsanstext"/>
        <w:numPr>
          <w:ilvl w:val="0"/>
          <w:numId w:val="27"/>
        </w:numPr>
      </w:pPr>
      <w:r>
        <w:t>Shorter feeders have more rapidly changing voltages when serving high penetrations of distributed solar customers</w:t>
      </w:r>
      <w:r w:rsidR="00A704EC">
        <w:t>,</w:t>
      </w:r>
      <w:r>
        <w:t xml:space="preserve"> but not by enough for customers to be served a voltage outside of allowable limits. [</w:t>
      </w:r>
      <w:r w:rsidR="00080CE7">
        <w:t>M</w:t>
      </w:r>
      <w:r>
        <w:t>-16]</w:t>
      </w:r>
    </w:p>
    <w:p w14:paraId="449F7A4A" w14:textId="77777777" w:rsidR="00FB5A92" w:rsidRDefault="00FB5A92" w:rsidP="00FB5A92">
      <w:pPr>
        <w:pStyle w:val="IRPsanstext"/>
        <w:ind w:left="720"/>
      </w:pPr>
    </w:p>
    <w:p w14:paraId="352334DC" w14:textId="77777777" w:rsidR="004E78E3" w:rsidRPr="00A06F97" w:rsidRDefault="00A704EC" w:rsidP="00FB5A92">
      <w:pPr>
        <w:pStyle w:val="IRPsanstext"/>
        <w:rPr>
          <w:b/>
          <w:caps/>
        </w:rPr>
      </w:pPr>
      <w:r w:rsidRPr="00A06F97">
        <w:rPr>
          <w:b/>
          <w:caps/>
        </w:rPr>
        <w:t>Line Losses</w:t>
      </w:r>
    </w:p>
    <w:p w14:paraId="22AFBCCE" w14:textId="77777777" w:rsidR="002C612F" w:rsidRPr="00A704EC" w:rsidRDefault="002C612F" w:rsidP="00FB5A92">
      <w:pPr>
        <w:pStyle w:val="IRPsanstext"/>
        <w:rPr>
          <w:b/>
        </w:rPr>
      </w:pPr>
    </w:p>
    <w:p w14:paraId="4AEAFF5B" w14:textId="77777777" w:rsidR="004E78E3" w:rsidRDefault="004E78E3" w:rsidP="00FB5A92">
      <w:pPr>
        <w:pStyle w:val="IRPsanstext"/>
        <w:numPr>
          <w:ilvl w:val="0"/>
          <w:numId w:val="28"/>
        </w:numPr>
      </w:pPr>
      <w:r>
        <w:t>Feeders with load that is distributed across a large area are more likely to see significantly higher line losses with high amounts of distributed solar. [</w:t>
      </w:r>
      <w:r w:rsidR="00080CE7">
        <w:t>M</w:t>
      </w:r>
      <w:r w:rsidR="00A704EC">
        <w:t xml:space="preserve">-24, </w:t>
      </w:r>
      <w:r w:rsidR="00080CE7">
        <w:t>M</w:t>
      </w:r>
      <w:r>
        <w:t>-25]</w:t>
      </w:r>
    </w:p>
    <w:p w14:paraId="34531BB4" w14:textId="77777777" w:rsidR="004E78E3" w:rsidRDefault="004E78E3" w:rsidP="00FB5A92">
      <w:pPr>
        <w:pStyle w:val="IRPsanstext"/>
        <w:numPr>
          <w:ilvl w:val="0"/>
          <w:numId w:val="28"/>
        </w:numPr>
      </w:pPr>
      <w:r>
        <w:t>Solar customers that use more load than they can generate reduce line losses on a circuit. [</w:t>
      </w:r>
      <w:r w:rsidR="00080CE7">
        <w:t>M</w:t>
      </w:r>
      <w:r>
        <w:t>-27]</w:t>
      </w:r>
    </w:p>
    <w:p w14:paraId="735A9377" w14:textId="77777777" w:rsidR="00FB5A92" w:rsidRDefault="00FB5A92" w:rsidP="00FB5A92">
      <w:pPr>
        <w:pStyle w:val="IRPsanstext"/>
      </w:pPr>
    </w:p>
    <w:p w14:paraId="74D83C94" w14:textId="77777777" w:rsidR="004E78E3" w:rsidRPr="00A06F97" w:rsidRDefault="004E78E3" w:rsidP="00FB5A92">
      <w:pPr>
        <w:pStyle w:val="IRPsanstext"/>
        <w:rPr>
          <w:b/>
          <w:caps/>
        </w:rPr>
      </w:pPr>
      <w:r w:rsidRPr="00A06F97">
        <w:rPr>
          <w:b/>
          <w:caps/>
        </w:rPr>
        <w:t>Feeder Demand</w:t>
      </w:r>
    </w:p>
    <w:p w14:paraId="2698FFD0" w14:textId="77777777" w:rsidR="002C612F" w:rsidRPr="00A704EC" w:rsidRDefault="002C612F" w:rsidP="00FB5A92">
      <w:pPr>
        <w:pStyle w:val="IRPsanstext"/>
        <w:rPr>
          <w:b/>
        </w:rPr>
      </w:pPr>
    </w:p>
    <w:p w14:paraId="569AA6C1" w14:textId="77777777" w:rsidR="004E78E3" w:rsidRDefault="004E78E3" w:rsidP="00FB5A92">
      <w:pPr>
        <w:pStyle w:val="IRPsanstext"/>
        <w:numPr>
          <w:ilvl w:val="0"/>
          <w:numId w:val="29"/>
        </w:numPr>
      </w:pPr>
      <w:r>
        <w:t>Using realistic assumptions about maximum levels of solar penetration for western Washington, it is possible that some feeders could generate significantly more power than they consume. [</w:t>
      </w:r>
      <w:r w:rsidR="00080CE7">
        <w:t>M</w:t>
      </w:r>
      <w:r w:rsidR="00A704EC">
        <w:t xml:space="preserve">-11, </w:t>
      </w:r>
      <w:r w:rsidR="00080CE7">
        <w:t>M</w:t>
      </w:r>
      <w:r w:rsidR="00A704EC">
        <w:t xml:space="preserve">-12, </w:t>
      </w:r>
      <w:r w:rsidR="00080CE7">
        <w:t>M</w:t>
      </w:r>
      <w:r>
        <w:t>-13]</w:t>
      </w:r>
    </w:p>
    <w:p w14:paraId="05FC0BF0" w14:textId="77777777" w:rsidR="004E78E3" w:rsidRDefault="004E78E3" w:rsidP="00FB5A92">
      <w:pPr>
        <w:pStyle w:val="IRPsanstext"/>
        <w:numPr>
          <w:ilvl w:val="0"/>
          <w:numId w:val="29"/>
        </w:numPr>
      </w:pPr>
      <w:r>
        <w:t>Demand varies significantly from minute to minute when the volatility of customer load is combined with the volatility of distributed solar generation. [</w:t>
      </w:r>
      <w:r w:rsidR="00080CE7">
        <w:t>M</w:t>
      </w:r>
      <w:r w:rsidR="00A704EC">
        <w:t xml:space="preserve">-11, </w:t>
      </w:r>
      <w:r w:rsidR="00080CE7">
        <w:t>M</w:t>
      </w:r>
      <w:r w:rsidR="00A704EC">
        <w:t xml:space="preserve">-12, </w:t>
      </w:r>
      <w:r w:rsidR="00080CE7">
        <w:t>M</w:t>
      </w:r>
      <w:r>
        <w:t>-13]</w:t>
      </w:r>
    </w:p>
    <w:p w14:paraId="3162B727" w14:textId="77777777" w:rsidR="004E78E3" w:rsidRDefault="004E78E3" w:rsidP="00FB5A92">
      <w:pPr>
        <w:pStyle w:val="IRPsanstext"/>
        <w:numPr>
          <w:ilvl w:val="0"/>
          <w:numId w:val="29"/>
        </w:numPr>
      </w:pPr>
      <w:r>
        <w:t>Even in the winter, or on cloudy summer days, a significant amount of solar power can be produced by solar customers in western Washington. [</w:t>
      </w:r>
      <w:r w:rsidR="00080CE7">
        <w:t>M</w:t>
      </w:r>
      <w:r w:rsidR="00A704EC">
        <w:t xml:space="preserve">-4, M-6, </w:t>
      </w:r>
      <w:r w:rsidR="00080CE7">
        <w:t>M</w:t>
      </w:r>
      <w:r w:rsidR="00A704EC">
        <w:t xml:space="preserve">-8, </w:t>
      </w:r>
      <w:r w:rsidR="00080CE7">
        <w:t>M</w:t>
      </w:r>
      <w:r>
        <w:t>-10]</w:t>
      </w:r>
    </w:p>
    <w:p w14:paraId="33191927" w14:textId="77777777" w:rsidR="004E78E3" w:rsidRDefault="004E78E3" w:rsidP="00FB5A92">
      <w:pPr>
        <w:pStyle w:val="IRPsanstext"/>
        <w:numPr>
          <w:ilvl w:val="0"/>
          <w:numId w:val="29"/>
        </w:numPr>
      </w:pPr>
      <w:r>
        <w:t>Peak demand in winter is generally not reduced by large penetrations of distributed solar generation, because nearly all PSE feeders peak in the winter in either the early morning or evening when there isn’t enough sunlight to produce a significant amount of solar power. [</w:t>
      </w:r>
      <w:r w:rsidR="00080CE7">
        <w:t>M</w:t>
      </w:r>
      <w:r w:rsidR="00A704EC">
        <w:t xml:space="preserve">-20, </w:t>
      </w:r>
      <w:r w:rsidR="00080CE7">
        <w:t>M</w:t>
      </w:r>
      <w:r w:rsidR="00A704EC">
        <w:t xml:space="preserve">-21, </w:t>
      </w:r>
      <w:r w:rsidR="00080CE7">
        <w:t>M</w:t>
      </w:r>
      <w:r>
        <w:t>-22]</w:t>
      </w:r>
    </w:p>
    <w:p w14:paraId="64E6B9AB" w14:textId="77777777" w:rsidR="004E78E3" w:rsidRDefault="004E78E3" w:rsidP="00FB5A92">
      <w:pPr>
        <w:pStyle w:val="IRPsanstext"/>
        <w:numPr>
          <w:ilvl w:val="0"/>
          <w:numId w:val="29"/>
        </w:numPr>
      </w:pPr>
      <w:r>
        <w:t>For feeders that peak in the summer, peak demand is reduced by distributed solar generation. [</w:t>
      </w:r>
      <w:r w:rsidR="00080CE7">
        <w:t>M</w:t>
      </w:r>
      <w:r>
        <w:t>-23]</w:t>
      </w:r>
    </w:p>
    <w:p w14:paraId="026DC06C" w14:textId="77777777" w:rsidR="004E78E3" w:rsidRPr="0047554B" w:rsidRDefault="004E78E3" w:rsidP="00FB5A92">
      <w:pPr>
        <w:pStyle w:val="IRPsanstext"/>
      </w:pPr>
    </w:p>
    <w:p w14:paraId="477BA6E8" w14:textId="77777777" w:rsidR="004E78E3" w:rsidRPr="0047554B" w:rsidRDefault="004E78E3" w:rsidP="004E78E3">
      <w:pPr>
        <w:rPr>
          <w:b/>
          <w:color w:val="3366FF"/>
          <w:sz w:val="32"/>
        </w:rPr>
      </w:pPr>
    </w:p>
    <w:p w14:paraId="6DBEEA8C" w14:textId="77777777" w:rsidR="002D29D6" w:rsidRDefault="002D29D6">
      <w:pPr>
        <w:rPr>
          <w:rFonts w:ascii="Arial" w:hAnsi="Arial" w:cs="Arial"/>
          <w:color w:val="156570"/>
          <w:sz w:val="32"/>
          <w:szCs w:val="32"/>
        </w:rPr>
      </w:pPr>
      <w:r>
        <w:br w:type="page"/>
      </w:r>
    </w:p>
    <w:p w14:paraId="5038ECA7" w14:textId="77777777" w:rsidR="00D17644" w:rsidRDefault="00D17644" w:rsidP="00620105">
      <w:pPr>
        <w:pStyle w:val="IRPsecthead2sans"/>
      </w:pPr>
    </w:p>
    <w:p w14:paraId="32DB9CCF" w14:textId="77777777" w:rsidR="002C612F" w:rsidRDefault="00CE0368" w:rsidP="00620105">
      <w:pPr>
        <w:pStyle w:val="IRPsecthead2sans"/>
      </w:pPr>
      <w:r w:rsidRPr="002C612F">
        <w:t>D</w:t>
      </w:r>
      <w:r w:rsidR="002C612F">
        <w:t>ISTRIBUTED PHOTOVOLTAIC TECHNICAL AND MARKET POTENTIAL</w:t>
      </w:r>
    </w:p>
    <w:p w14:paraId="2E1B7862" w14:textId="77777777" w:rsidR="00620105" w:rsidRDefault="00620105" w:rsidP="00620105">
      <w:pPr>
        <w:pStyle w:val="IRPsecthead2sans"/>
      </w:pPr>
    </w:p>
    <w:p w14:paraId="6EE61081" w14:textId="77777777" w:rsidR="00620105" w:rsidRDefault="00620105" w:rsidP="002C612F">
      <w:pPr>
        <w:pStyle w:val="IRPsanstext"/>
      </w:pPr>
      <w:r>
        <w:t xml:space="preserve">The Cadmus report on this study appears on the following pages. </w:t>
      </w:r>
    </w:p>
    <w:p w14:paraId="0B141AF4" w14:textId="77777777" w:rsidR="00620105" w:rsidRDefault="00620105" w:rsidP="00620105">
      <w:pPr>
        <w:pStyle w:val="IRPsanstext"/>
      </w:pPr>
    </w:p>
    <w:p w14:paraId="1D5AC04F" w14:textId="77777777" w:rsidR="004E78E3" w:rsidRDefault="004E78E3" w:rsidP="00620105">
      <w:pPr>
        <w:pStyle w:val="IRPsanstext"/>
      </w:pPr>
    </w:p>
    <w:sectPr w:rsidR="004E78E3" w:rsidSect="000E4936">
      <w:headerReference w:type="default" r:id="rId33"/>
      <w:footerReference w:type="default" r:id="rId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0C6E" w14:textId="77777777" w:rsidR="00CA7DFC" w:rsidRDefault="00CA7DFC" w:rsidP="00601E72">
      <w:r>
        <w:separator/>
      </w:r>
    </w:p>
  </w:endnote>
  <w:endnote w:type="continuationSeparator" w:id="0">
    <w:p w14:paraId="470EDD8A" w14:textId="77777777" w:rsidR="00CA7DFC" w:rsidRDefault="00CA7DFC" w:rsidP="0060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altName w:val="Arial Unicode MS"/>
    <w:charset w:val="80"/>
    <w:family w:val="modern"/>
    <w:pitch w:val="fixed"/>
    <w:sig w:usb0="E00002FF" w:usb1="6AC7FDFB" w:usb2="00000012" w:usb3="00000000" w:csb0="0002009F" w:csb1="00000000"/>
  </w:font>
  <w:font w:name="Garamond">
    <w:altName w:val="Athelas Bold Italic"/>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roman"/>
    <w:notTrueType/>
    <w:pitch w:val="default"/>
  </w:font>
  <w:font w:name="Calibri">
    <w:altName w:val="Arial"/>
    <w:panose1 w:val="020F0502020204030204"/>
    <w:charset w:val="00"/>
    <w:family w:val="roman"/>
    <w:notTrueType/>
    <w:pitch w:val="default"/>
  </w:font>
  <w:font w:name="Arial Bold">
    <w:panose1 w:val="020B07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DF79" w14:textId="77777777" w:rsidR="00CA7DFC" w:rsidRPr="00257A69" w:rsidRDefault="00CA7DFC" w:rsidP="0020632A">
    <w:pPr>
      <w:pStyle w:val="Footer"/>
      <w:framePr w:wrap="around" w:vAnchor="text" w:hAnchor="margin" w:xAlign="center" w:y="1"/>
      <w:rPr>
        <w:rStyle w:val="PageNumber"/>
      </w:rPr>
    </w:pPr>
    <w:r>
      <w:rPr>
        <w:rStyle w:val="PageNumber"/>
        <w:rFonts w:ascii="Palatino" w:hAnsi="Palatino"/>
        <w:i/>
      </w:rPr>
      <w:t>M</w:t>
    </w:r>
    <w:r w:rsidRPr="00257A69">
      <w:rPr>
        <w:rStyle w:val="PageNumber"/>
        <w:rFonts w:ascii="Palatino" w:hAnsi="Palatino"/>
        <w:i/>
      </w:rPr>
      <w:t xml:space="preserve"> - </w:t>
    </w:r>
    <w:r w:rsidR="00593E14" w:rsidRPr="00257A69">
      <w:rPr>
        <w:rStyle w:val="PageNumber"/>
        <w:rFonts w:ascii="Palatino" w:hAnsi="Palatino"/>
        <w:i/>
      </w:rPr>
      <w:fldChar w:fldCharType="begin"/>
    </w:r>
    <w:r w:rsidRPr="00257A69">
      <w:rPr>
        <w:rStyle w:val="PageNumber"/>
        <w:rFonts w:ascii="Palatino" w:hAnsi="Palatino"/>
        <w:i/>
      </w:rPr>
      <w:instrText xml:space="preserve">PAGE  </w:instrText>
    </w:r>
    <w:r w:rsidR="00593E14" w:rsidRPr="00257A69">
      <w:rPr>
        <w:rStyle w:val="PageNumber"/>
        <w:rFonts w:ascii="Palatino" w:hAnsi="Palatino"/>
        <w:i/>
      </w:rPr>
      <w:fldChar w:fldCharType="separate"/>
    </w:r>
    <w:r w:rsidR="00E60089">
      <w:rPr>
        <w:rStyle w:val="PageNumber"/>
        <w:rFonts w:ascii="Palatino" w:hAnsi="Palatino"/>
        <w:i/>
        <w:noProof/>
      </w:rPr>
      <w:t>23</w:t>
    </w:r>
    <w:r w:rsidR="00593E14" w:rsidRPr="00257A69">
      <w:rPr>
        <w:rStyle w:val="PageNumber"/>
        <w:rFonts w:ascii="Palatino" w:hAnsi="Palatino"/>
        <w:i/>
      </w:rPr>
      <w:fldChar w:fldCharType="end"/>
    </w:r>
  </w:p>
  <w:p w14:paraId="1070162D" w14:textId="19B9871F" w:rsidR="00CA7DFC" w:rsidRDefault="006C4F05" w:rsidP="0020632A">
    <w:pPr>
      <w:pStyle w:val="Footer"/>
      <w:jc w:val="center"/>
      <w:rPr>
        <w:rFonts w:ascii="Palatino" w:hAnsi="Palatino"/>
      </w:rPr>
    </w:pPr>
    <w:r>
      <w:rPr>
        <w:rFonts w:ascii="Palatino" w:hAnsi="Palatino"/>
        <w:noProof/>
        <w:lang w:eastAsia="en-US"/>
      </w:rPr>
      <mc:AlternateContent>
        <mc:Choice Requires="wps">
          <w:drawing>
            <wp:anchor distT="0" distB="0" distL="114300" distR="114300" simplePos="0" relativeHeight="251660288" behindDoc="0" locked="0" layoutInCell="1" allowOverlap="1" wp14:anchorId="4F8825D2" wp14:editId="19072130">
              <wp:simplePos x="0" y="0"/>
              <wp:positionH relativeFrom="column">
                <wp:posOffset>4509135</wp:posOffset>
              </wp:positionH>
              <wp:positionV relativeFrom="paragraph">
                <wp:posOffset>-60325</wp:posOffset>
              </wp:positionV>
              <wp:extent cx="1257300" cy="228600"/>
              <wp:effectExtent l="0" t="0" r="0" b="0"/>
              <wp:wrapThrough wrapText="bothSides">
                <wp:wrapPolygon edited="0">
                  <wp:start x="436" y="0"/>
                  <wp:lineTo x="436" y="19200"/>
                  <wp:lineTo x="20509" y="19200"/>
                  <wp:lineTo x="20509" y="0"/>
                  <wp:lineTo x="436"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5EFD6" w14:textId="75FFDA31" w:rsidR="00516EE0" w:rsidRDefault="00964D4F">
                          <w:r>
                            <w:rPr>
                              <w:rFonts w:ascii="Palatino" w:eastAsiaTheme="minorEastAsia" w:hAnsi="Palatino" w:cs="Arial"/>
                              <w:i/>
                              <w:color w:val="156570"/>
                            </w:rPr>
                            <w:t xml:space="preserve">2015 </w:t>
                          </w:r>
                          <w:r w:rsidR="00516EE0" w:rsidRPr="00A075A9">
                            <w:rPr>
                              <w:rFonts w:ascii="Palatino" w:eastAsiaTheme="minorEastAsia" w:hAnsi="Palatino" w:cs="Arial"/>
                              <w:i/>
                              <w:color w:val="156570"/>
                            </w:rPr>
                            <w:t>PSE IRP</w:t>
                          </w:r>
                          <w:r>
                            <w:rPr>
                              <w:rFonts w:ascii="Palatino" w:eastAsiaTheme="minorEastAsia" w:hAnsi="Palatino" w:cs="Arial"/>
                              <w:i/>
                              <w:color w:val="15657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left:0;text-align:left;margin-left:355.05pt;margin-top:-4.7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" filled="f" stroked="f">
              <v:path arrowok="t"/>
              <v:textbox>
                <w:txbxContent>
                  <w:p w14:paraId="5465EFD6" w14:textId="75FFDA31" w:rsidR="00516EE0" w:rsidRDefault="00964D4F">
                    <w:r>
                      <w:rPr>
                        <w:rFonts w:ascii="Palatino" w:eastAsiaTheme="minorEastAsia" w:hAnsi="Palatino" w:cs="Arial"/>
                        <w:i/>
                        <w:color w:val="156570"/>
                      </w:rPr>
                      <w:t xml:space="preserve">2015 </w:t>
                    </w:r>
                    <w:r w:rsidR="00516EE0" w:rsidRPr="00A075A9">
                      <w:rPr>
                        <w:rFonts w:ascii="Palatino" w:eastAsiaTheme="minorEastAsia" w:hAnsi="Palatino" w:cs="Arial"/>
                        <w:i/>
                        <w:color w:val="156570"/>
                      </w:rPr>
                      <w:t>PSE IRP</w:t>
                    </w:r>
                    <w:r>
                      <w:rPr>
                        <w:rFonts w:ascii="Palatino" w:eastAsiaTheme="minorEastAsia" w:hAnsi="Palatino" w:cs="Arial"/>
                        <w:i/>
                        <w:color w:val="156570"/>
                      </w:rPr>
                      <w:t xml:space="preserve"> </w:t>
                    </w:r>
                  </w:p>
                </w:txbxContent>
              </v:textbox>
              <w10:wrap type="through"/>
            </v:shape>
          </w:pict>
        </mc:Fallback>
      </mc:AlternateContent>
    </w:r>
  </w:p>
  <w:p w14:paraId="370F816F" w14:textId="77777777" w:rsidR="00CA7DFC" w:rsidRPr="0020632A" w:rsidRDefault="00CA7DFC" w:rsidP="0020632A">
    <w:pPr>
      <w:pStyle w:val="Footer"/>
      <w:jc w:val="center"/>
      <w:rPr>
        <w:rFonts w:ascii="Palatino" w:hAnsi="Palati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223C4" w14:textId="77777777" w:rsidR="00CA7DFC" w:rsidRDefault="00CA7DFC" w:rsidP="00601E72">
      <w:r>
        <w:separator/>
      </w:r>
    </w:p>
  </w:footnote>
  <w:footnote w:type="continuationSeparator" w:id="0">
    <w:p w14:paraId="3E1F4CB2" w14:textId="77777777" w:rsidR="00CA7DFC" w:rsidRDefault="00CA7DFC" w:rsidP="00601E72">
      <w:r>
        <w:continuationSeparator/>
      </w:r>
    </w:p>
  </w:footnote>
  <w:footnote w:id="1">
    <w:p w14:paraId="351FDB68" w14:textId="77777777" w:rsidR="00CA7DFC" w:rsidRPr="00834058" w:rsidRDefault="00CA7DFC" w:rsidP="00CE0BF6">
      <w:pPr>
        <w:pStyle w:val="IRPfooter"/>
        <w:rPr>
          <w:szCs w:val="16"/>
        </w:rPr>
      </w:pPr>
      <w:r w:rsidRPr="005913FD">
        <w:rPr>
          <w:rStyle w:val="FootnoteReference"/>
          <w:sz w:val="16"/>
          <w:szCs w:val="16"/>
          <w:vertAlign w:val="baseline"/>
        </w:rPr>
        <w:footnoteRef/>
      </w:r>
      <w:r w:rsidRPr="005913FD">
        <w:rPr>
          <w:sz w:val="16"/>
          <w:szCs w:val="16"/>
        </w:rPr>
        <w:t xml:space="preserve"> </w:t>
      </w:r>
      <w:r>
        <w:rPr>
          <w:sz w:val="16"/>
          <w:szCs w:val="16"/>
        </w:rPr>
        <w:t xml:space="preserve">/ </w:t>
      </w:r>
      <w:r w:rsidRPr="005913FD">
        <w:rPr>
          <w:sz w:val="18"/>
          <w:szCs w:val="18"/>
        </w:rPr>
        <w:t>PV penetration as a percentage is determined by dividing the total capacity of PV systems on the circuit (in KW) by the peak load on that circuit (in KW).</w:t>
      </w:r>
      <w:r w:rsidRPr="00834058">
        <w:rPr>
          <w:szCs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36F" w14:textId="7761C77D" w:rsidR="00CA7DFC" w:rsidRDefault="00CA7DFC">
    <w:pPr>
      <w:pStyle w:val="Header"/>
    </w:pPr>
    <w:r>
      <w:rPr>
        <w:noProof/>
        <w:lang w:eastAsia="en-US"/>
      </w:rPr>
      <w:drawing>
        <wp:inline distT="0" distB="0" distL="0" distR="0" wp14:anchorId="3D9A33A5" wp14:editId="5FBC129D">
          <wp:extent cx="54864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dktealgrey.png"/>
                  <pic:cNvPicPr/>
                </pic:nvPicPr>
                <pic:blipFill>
                  <a:blip r:embed="rId1">
                    <a:extLst>
                      <a:ext uri="{28A0092B-C50C-407E-A947-70E740481C1C}">
                        <a14:useLocalDpi xmlns:a14="http://schemas.microsoft.com/office/drawing/2010/main" val="0"/>
                      </a:ext>
                    </a:extLst>
                  </a:blip>
                  <a:stretch>
                    <a:fillRect/>
                  </a:stretch>
                </pic:blipFill>
                <pic:spPr>
                  <a:xfrm>
                    <a:off x="0" y="0"/>
                    <a:ext cx="5486400" cy="438150"/>
                  </a:xfrm>
                  <a:prstGeom prst="rect">
                    <a:avLst/>
                  </a:prstGeom>
                </pic:spPr>
              </pic:pic>
            </a:graphicData>
          </a:graphic>
        </wp:inline>
      </w:drawing>
    </w:r>
    <w:r w:rsidR="006C4F05">
      <w:rPr>
        <w:noProof/>
        <w:lang w:eastAsia="en-US"/>
      </w:rPr>
      <mc:AlternateContent>
        <mc:Choice Requires="wps">
          <w:drawing>
            <wp:anchor distT="0" distB="0" distL="114300" distR="114300" simplePos="0" relativeHeight="251659264" behindDoc="0" locked="0" layoutInCell="1" allowOverlap="1" wp14:anchorId="4D22EA6D" wp14:editId="0FF64FD8">
              <wp:simplePos x="0" y="0"/>
              <wp:positionH relativeFrom="column">
                <wp:posOffset>51435</wp:posOffset>
              </wp:positionH>
              <wp:positionV relativeFrom="paragraph">
                <wp:posOffset>2540</wp:posOffset>
              </wp:positionV>
              <wp:extent cx="4343400" cy="457200"/>
              <wp:effectExtent l="0" t="0" r="0" b="0"/>
              <wp:wrapThrough wrapText="bothSides">
                <wp:wrapPolygon edited="0">
                  <wp:start x="126" y="1200"/>
                  <wp:lineTo x="126" y="19200"/>
                  <wp:lineTo x="21347" y="19200"/>
                  <wp:lineTo x="21347" y="1200"/>
                  <wp:lineTo x="126" y="120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DFE91" w14:textId="77777777" w:rsidR="00CA7DFC" w:rsidRPr="0009155C" w:rsidRDefault="00CA7DFC" w:rsidP="0009155C">
                          <w:pPr>
                            <w:pStyle w:val="irpsubsanstext16"/>
                          </w:pPr>
                          <w:r>
                            <w:t>Appendix M: Distributed Solar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4.05pt;margin-top:.2pt;width:3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" filled="f" stroked="f">
              <v:textbox inset=",7.2pt,,7.2pt">
                <w:txbxContent>
                  <w:p w14:paraId="226DFE91" w14:textId="77777777" w:rsidR="00CA7DFC" w:rsidRPr="0009155C" w:rsidRDefault="00CA7DFC" w:rsidP="0009155C">
                    <w:pPr>
                      <w:pStyle w:val="irpsubsanstext16"/>
                    </w:pPr>
                    <w:r>
                      <w:t>Appendix M: Distributed Solar</w:t>
                    </w:r>
                  </w:p>
                </w:txbxContent>
              </v:textbox>
              <w10:wrap type="through"/>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C2C"/>
    <w:multiLevelType w:val="hybridMultilevel"/>
    <w:tmpl w:val="594E98D6"/>
    <w:lvl w:ilvl="0" w:tplc="4AD08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4138"/>
    <w:multiLevelType w:val="hybridMultilevel"/>
    <w:tmpl w:val="63F4FA06"/>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FE16952"/>
    <w:multiLevelType w:val="hybridMultilevel"/>
    <w:tmpl w:val="5B88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73CAD"/>
    <w:multiLevelType w:val="hybridMultilevel"/>
    <w:tmpl w:val="E32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71B57"/>
    <w:multiLevelType w:val="hybridMultilevel"/>
    <w:tmpl w:val="23F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E1BDD"/>
    <w:multiLevelType w:val="hybridMultilevel"/>
    <w:tmpl w:val="5382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419CD"/>
    <w:multiLevelType w:val="hybridMultilevel"/>
    <w:tmpl w:val="F8EAB05A"/>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04026"/>
    <w:multiLevelType w:val="hybridMultilevel"/>
    <w:tmpl w:val="7C10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B1669"/>
    <w:multiLevelType w:val="hybridMultilevel"/>
    <w:tmpl w:val="023E57D8"/>
    <w:lvl w:ilvl="0" w:tplc="C65ACF4A">
      <w:start w:val="1"/>
      <w:numFmt w:val="bullet"/>
      <w:pStyle w:val="IRP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nsid w:val="218D450D"/>
    <w:multiLevelType w:val="hybridMultilevel"/>
    <w:tmpl w:val="6BC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C6594"/>
    <w:multiLevelType w:val="hybridMultilevel"/>
    <w:tmpl w:val="5E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6680E"/>
    <w:multiLevelType w:val="hybridMultilevel"/>
    <w:tmpl w:val="3B90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6653F"/>
    <w:multiLevelType w:val="hybridMultilevel"/>
    <w:tmpl w:val="F8CA20BC"/>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C5F36"/>
    <w:multiLevelType w:val="hybridMultilevel"/>
    <w:tmpl w:val="BFF6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370CD"/>
    <w:multiLevelType w:val="hybridMultilevel"/>
    <w:tmpl w:val="4E9A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41229"/>
    <w:multiLevelType w:val="hybridMultilevel"/>
    <w:tmpl w:val="E9840BA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3713E"/>
    <w:multiLevelType w:val="hybridMultilevel"/>
    <w:tmpl w:val="66B6DFDA"/>
    <w:lvl w:ilvl="0" w:tplc="3FA2A3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700A0"/>
    <w:multiLevelType w:val="hybridMultilevel"/>
    <w:tmpl w:val="63B6CE50"/>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B1611"/>
    <w:multiLevelType w:val="hybridMultilevel"/>
    <w:tmpl w:val="8EC4812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8D6063"/>
    <w:multiLevelType w:val="hybridMultilevel"/>
    <w:tmpl w:val="0A1AE05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75EC1"/>
    <w:multiLevelType w:val="hybridMultilevel"/>
    <w:tmpl w:val="E9B2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1F52EB"/>
    <w:multiLevelType w:val="hybridMultilevel"/>
    <w:tmpl w:val="89EC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20F41"/>
    <w:multiLevelType w:val="hybridMultilevel"/>
    <w:tmpl w:val="D4EA8DD2"/>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5D816406"/>
    <w:multiLevelType w:val="hybridMultilevel"/>
    <w:tmpl w:val="E75C4CFE"/>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5FC66893"/>
    <w:multiLevelType w:val="hybridMultilevel"/>
    <w:tmpl w:val="387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CC1183"/>
    <w:multiLevelType w:val="hybridMultilevel"/>
    <w:tmpl w:val="E4D42896"/>
    <w:lvl w:ilvl="0" w:tplc="3FA2A3CA">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6340D"/>
    <w:multiLevelType w:val="hybridMultilevel"/>
    <w:tmpl w:val="048E148A"/>
    <w:lvl w:ilvl="0" w:tplc="3FA2A3C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6C402F78"/>
    <w:multiLevelType w:val="hybridMultilevel"/>
    <w:tmpl w:val="89E0C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55739"/>
    <w:multiLevelType w:val="hybridMultilevel"/>
    <w:tmpl w:val="C21A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3E46DC"/>
    <w:multiLevelType w:val="hybridMultilevel"/>
    <w:tmpl w:val="553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487382"/>
    <w:multiLevelType w:val="hybridMultilevel"/>
    <w:tmpl w:val="23F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D62718"/>
    <w:multiLevelType w:val="hybridMultilevel"/>
    <w:tmpl w:val="FE8E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B7770"/>
    <w:multiLevelType w:val="hybridMultilevel"/>
    <w:tmpl w:val="B2A6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526EF"/>
    <w:multiLevelType w:val="hybridMultilevel"/>
    <w:tmpl w:val="B64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3"/>
  </w:num>
  <w:num w:numId="4">
    <w:abstractNumId w:val="22"/>
  </w:num>
  <w:num w:numId="5">
    <w:abstractNumId w:val="30"/>
  </w:num>
  <w:num w:numId="6">
    <w:abstractNumId w:val="1"/>
  </w:num>
  <w:num w:numId="7">
    <w:abstractNumId w:val="26"/>
  </w:num>
  <w:num w:numId="8">
    <w:abstractNumId w:val="33"/>
  </w:num>
  <w:num w:numId="9">
    <w:abstractNumId w:val="28"/>
  </w:num>
  <w:num w:numId="10">
    <w:abstractNumId w:val="25"/>
  </w:num>
  <w:num w:numId="11">
    <w:abstractNumId w:val="4"/>
  </w:num>
  <w:num w:numId="12">
    <w:abstractNumId w:val="0"/>
  </w:num>
  <w:num w:numId="13">
    <w:abstractNumId w:val="11"/>
  </w:num>
  <w:num w:numId="14">
    <w:abstractNumId w:val="16"/>
  </w:num>
  <w:num w:numId="15">
    <w:abstractNumId w:val="6"/>
  </w:num>
  <w:num w:numId="16">
    <w:abstractNumId w:val="29"/>
  </w:num>
  <w:num w:numId="17">
    <w:abstractNumId w:val="31"/>
  </w:num>
  <w:num w:numId="18">
    <w:abstractNumId w:val="32"/>
  </w:num>
  <w:num w:numId="19">
    <w:abstractNumId w:val="14"/>
  </w:num>
  <w:num w:numId="20">
    <w:abstractNumId w:val="19"/>
  </w:num>
  <w:num w:numId="21">
    <w:abstractNumId w:val="18"/>
  </w:num>
  <w:num w:numId="22">
    <w:abstractNumId w:val="17"/>
  </w:num>
  <w:num w:numId="23">
    <w:abstractNumId w:val="7"/>
  </w:num>
  <w:num w:numId="24">
    <w:abstractNumId w:val="13"/>
  </w:num>
  <w:num w:numId="25">
    <w:abstractNumId w:val="24"/>
  </w:num>
  <w:num w:numId="26">
    <w:abstractNumId w:val="9"/>
  </w:num>
  <w:num w:numId="27">
    <w:abstractNumId w:val="3"/>
  </w:num>
  <w:num w:numId="28">
    <w:abstractNumId w:val="2"/>
  </w:num>
  <w:num w:numId="29">
    <w:abstractNumId w:val="10"/>
  </w:num>
  <w:num w:numId="30">
    <w:abstractNumId w:val="20"/>
  </w:num>
  <w:num w:numId="31">
    <w:abstractNumId w:val="21"/>
  </w:num>
  <w:num w:numId="32">
    <w:abstractNumId w:val="27"/>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72"/>
    <w:rsid w:val="00044CBE"/>
    <w:rsid w:val="00045148"/>
    <w:rsid w:val="00074812"/>
    <w:rsid w:val="00076770"/>
    <w:rsid w:val="00080CE7"/>
    <w:rsid w:val="0009155C"/>
    <w:rsid w:val="000A48E0"/>
    <w:rsid w:val="000B5E4D"/>
    <w:rsid w:val="000E4936"/>
    <w:rsid w:val="000F1964"/>
    <w:rsid w:val="00105BAF"/>
    <w:rsid w:val="001B5F2B"/>
    <w:rsid w:val="001D052C"/>
    <w:rsid w:val="001D628F"/>
    <w:rsid w:val="001E392A"/>
    <w:rsid w:val="00200763"/>
    <w:rsid w:val="0020632A"/>
    <w:rsid w:val="00224FE9"/>
    <w:rsid w:val="00227732"/>
    <w:rsid w:val="00234579"/>
    <w:rsid w:val="00240BEF"/>
    <w:rsid w:val="00255AA2"/>
    <w:rsid w:val="00261F11"/>
    <w:rsid w:val="00293A4E"/>
    <w:rsid w:val="002C1ECE"/>
    <w:rsid w:val="002C612F"/>
    <w:rsid w:val="002D29D6"/>
    <w:rsid w:val="002F77B4"/>
    <w:rsid w:val="003172B9"/>
    <w:rsid w:val="00370B67"/>
    <w:rsid w:val="00382146"/>
    <w:rsid w:val="0039311E"/>
    <w:rsid w:val="003A754A"/>
    <w:rsid w:val="00402E6A"/>
    <w:rsid w:val="00440047"/>
    <w:rsid w:val="0044601D"/>
    <w:rsid w:val="00461291"/>
    <w:rsid w:val="004A6361"/>
    <w:rsid w:val="004E78E3"/>
    <w:rsid w:val="00516EE0"/>
    <w:rsid w:val="00521E04"/>
    <w:rsid w:val="00555205"/>
    <w:rsid w:val="00571E09"/>
    <w:rsid w:val="005832EE"/>
    <w:rsid w:val="005913FD"/>
    <w:rsid w:val="00593E14"/>
    <w:rsid w:val="005B527D"/>
    <w:rsid w:val="005F721A"/>
    <w:rsid w:val="00601E72"/>
    <w:rsid w:val="0061357C"/>
    <w:rsid w:val="00620105"/>
    <w:rsid w:val="0063113C"/>
    <w:rsid w:val="00634228"/>
    <w:rsid w:val="006747FB"/>
    <w:rsid w:val="00681421"/>
    <w:rsid w:val="00691C9A"/>
    <w:rsid w:val="00694DA4"/>
    <w:rsid w:val="006C4F05"/>
    <w:rsid w:val="006D0C7A"/>
    <w:rsid w:val="006E5700"/>
    <w:rsid w:val="00700484"/>
    <w:rsid w:val="007247D3"/>
    <w:rsid w:val="00742EC9"/>
    <w:rsid w:val="007639CD"/>
    <w:rsid w:val="00785A65"/>
    <w:rsid w:val="007A2DF4"/>
    <w:rsid w:val="007E49E8"/>
    <w:rsid w:val="00834058"/>
    <w:rsid w:val="008378EA"/>
    <w:rsid w:val="008507B6"/>
    <w:rsid w:val="00890504"/>
    <w:rsid w:val="00890FDA"/>
    <w:rsid w:val="008D302A"/>
    <w:rsid w:val="009179E5"/>
    <w:rsid w:val="00964D4F"/>
    <w:rsid w:val="0097287B"/>
    <w:rsid w:val="009856CB"/>
    <w:rsid w:val="009B001C"/>
    <w:rsid w:val="009B32E6"/>
    <w:rsid w:val="009B36AD"/>
    <w:rsid w:val="009C0B2E"/>
    <w:rsid w:val="009D009B"/>
    <w:rsid w:val="00A06F97"/>
    <w:rsid w:val="00A157B1"/>
    <w:rsid w:val="00A40E9C"/>
    <w:rsid w:val="00A414B2"/>
    <w:rsid w:val="00A4288D"/>
    <w:rsid w:val="00A42BDB"/>
    <w:rsid w:val="00A47D61"/>
    <w:rsid w:val="00A704EC"/>
    <w:rsid w:val="00AF157D"/>
    <w:rsid w:val="00AF5574"/>
    <w:rsid w:val="00B12366"/>
    <w:rsid w:val="00B15D7A"/>
    <w:rsid w:val="00B57A6C"/>
    <w:rsid w:val="00B72944"/>
    <w:rsid w:val="00B82F6C"/>
    <w:rsid w:val="00BE595A"/>
    <w:rsid w:val="00BF45F8"/>
    <w:rsid w:val="00BF78D2"/>
    <w:rsid w:val="00C12FBA"/>
    <w:rsid w:val="00C16BEA"/>
    <w:rsid w:val="00C27615"/>
    <w:rsid w:val="00C70451"/>
    <w:rsid w:val="00C96627"/>
    <w:rsid w:val="00CA7DFC"/>
    <w:rsid w:val="00CD141B"/>
    <w:rsid w:val="00CE0368"/>
    <w:rsid w:val="00CE0BF6"/>
    <w:rsid w:val="00D17644"/>
    <w:rsid w:val="00D5369B"/>
    <w:rsid w:val="00D82871"/>
    <w:rsid w:val="00DA5391"/>
    <w:rsid w:val="00DA7657"/>
    <w:rsid w:val="00E16024"/>
    <w:rsid w:val="00E60089"/>
    <w:rsid w:val="00E62446"/>
    <w:rsid w:val="00E87BB5"/>
    <w:rsid w:val="00EC4CF6"/>
    <w:rsid w:val="00ED056D"/>
    <w:rsid w:val="00EE2865"/>
    <w:rsid w:val="00F0017E"/>
    <w:rsid w:val="00F133C9"/>
    <w:rsid w:val="00F149A5"/>
    <w:rsid w:val="00F340D2"/>
    <w:rsid w:val="00F35EE8"/>
    <w:rsid w:val="00F9719A"/>
    <w:rsid w:val="00FB5A92"/>
    <w:rsid w:val="00FD2D19"/>
    <w:rsid w:val="00FE1CA9"/>
    <w:rsid w:val="00FF1B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F05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E7338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FE1CA9"/>
    <w:pPr>
      <w:spacing w:after="120"/>
      <w:jc w:val="center"/>
    </w:pPr>
    <w:rPr>
      <w:i/>
      <w:szCs w:val="22"/>
    </w:rPr>
  </w:style>
  <w:style w:type="character" w:customStyle="1" w:styleId="IRPFigureSubChar">
    <w:name w:val="IRPFigureSub Char"/>
    <w:link w:val="IRPFigureSub"/>
    <w:uiPriority w:val="99"/>
    <w:rsid w:val="00FE1CA9"/>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48E0"/>
    <w:rPr>
      <w:sz w:val="16"/>
      <w:szCs w:val="16"/>
    </w:rPr>
  </w:style>
  <w:style w:type="paragraph" w:styleId="CommentText">
    <w:name w:val="annotation text"/>
    <w:basedOn w:val="Normal"/>
    <w:link w:val="CommentTextChar"/>
    <w:uiPriority w:val="99"/>
    <w:semiHidden/>
    <w:unhideWhenUsed/>
    <w:rsid w:val="000A48E0"/>
  </w:style>
  <w:style w:type="character" w:customStyle="1" w:styleId="CommentTextChar">
    <w:name w:val="Comment Text Char"/>
    <w:basedOn w:val="DefaultParagraphFont"/>
    <w:link w:val="CommentText"/>
    <w:uiPriority w:val="99"/>
    <w:semiHidden/>
    <w:rsid w:val="000A48E0"/>
    <w:rPr>
      <w:rFonts w:eastAsia="MS Mincho"/>
    </w:rPr>
  </w:style>
  <w:style w:type="paragraph" w:styleId="CommentSubject">
    <w:name w:val="annotation subject"/>
    <w:basedOn w:val="CommentText"/>
    <w:next w:val="CommentText"/>
    <w:link w:val="CommentSubjectChar"/>
    <w:uiPriority w:val="99"/>
    <w:semiHidden/>
    <w:unhideWhenUsed/>
    <w:rsid w:val="000A48E0"/>
    <w:rPr>
      <w:b/>
      <w:bCs/>
    </w:rPr>
  </w:style>
  <w:style w:type="character" w:customStyle="1" w:styleId="CommentSubjectChar">
    <w:name w:val="Comment Subject Char"/>
    <w:basedOn w:val="CommentTextChar"/>
    <w:link w:val="CommentSubject"/>
    <w:uiPriority w:val="99"/>
    <w:semiHidden/>
    <w:rsid w:val="000A48E0"/>
    <w:rPr>
      <w:rFonts w:eastAsia="MS Mincho"/>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72"/>
    <w:rPr>
      <w:rFonts w:eastAsia="MS Mincho"/>
    </w:rPr>
  </w:style>
  <w:style w:type="paragraph" w:styleId="Heading2">
    <w:name w:val="heading 2"/>
    <w:basedOn w:val="Normal"/>
    <w:next w:val="Normal"/>
    <w:link w:val="Heading2Char"/>
    <w:uiPriority w:val="9"/>
    <w:qFormat/>
    <w:rsid w:val="00234579"/>
    <w:pPr>
      <w:keepNext/>
      <w:keepLines/>
      <w:spacing w:before="200" w:line="276" w:lineRule="auto"/>
      <w:outlineLvl w:val="1"/>
    </w:pPr>
    <w:rPr>
      <w:rFonts w:ascii="Garamond" w:eastAsia="Times New Roman" w:hAnsi="Garamond"/>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01E72"/>
    <w:rPr>
      <w:rFonts w:ascii="Lucida Grande" w:hAnsi="Lucida Grande" w:cs="Lucida Grande"/>
      <w:sz w:val="18"/>
      <w:szCs w:val="18"/>
    </w:rPr>
  </w:style>
  <w:style w:type="character" w:customStyle="1" w:styleId="BalloonTextChar">
    <w:name w:val="Balloon Text Char"/>
    <w:basedOn w:val="DefaultParagraphFont"/>
    <w:uiPriority w:val="99"/>
    <w:semiHidden/>
    <w:rsid w:val="00E73382"/>
    <w:rPr>
      <w:rFonts w:ascii="Lucida Grande" w:hAnsi="Lucida Grande"/>
      <w:sz w:val="18"/>
      <w:szCs w:val="18"/>
    </w:rPr>
  </w:style>
  <w:style w:type="character" w:customStyle="1" w:styleId="BalloonTextChar0">
    <w:name w:val="Balloon Text Char"/>
    <w:basedOn w:val="DefaultParagraphFont"/>
    <w:uiPriority w:val="99"/>
    <w:semiHidden/>
    <w:rsid w:val="00E73382"/>
    <w:rPr>
      <w:rFonts w:ascii="Lucida Grande" w:hAnsi="Lucida Grande"/>
      <w:sz w:val="18"/>
      <w:szCs w:val="18"/>
    </w:rPr>
  </w:style>
  <w:style w:type="character" w:customStyle="1" w:styleId="BalloonTextChar2">
    <w:name w:val="Balloon Text Char"/>
    <w:basedOn w:val="DefaultParagraphFont"/>
    <w:uiPriority w:val="99"/>
    <w:semiHidden/>
    <w:rsid w:val="00E73382"/>
    <w:rPr>
      <w:rFonts w:ascii="Lucida Grande" w:hAnsi="Lucida Grande"/>
      <w:sz w:val="18"/>
      <w:szCs w:val="18"/>
    </w:rPr>
  </w:style>
  <w:style w:type="paragraph" w:customStyle="1" w:styleId="IRPsanstext">
    <w:name w:val="IRPsanstext"/>
    <w:basedOn w:val="Normal"/>
    <w:link w:val="IRPsanstextChar1"/>
    <w:uiPriority w:val="99"/>
    <w:rsid w:val="00601E72"/>
    <w:pPr>
      <w:spacing w:line="320" w:lineRule="exact"/>
    </w:pPr>
    <w:rPr>
      <w:rFonts w:ascii="Arial" w:hAnsi="Arial"/>
    </w:rPr>
  </w:style>
  <w:style w:type="paragraph" w:customStyle="1" w:styleId="IRPsecthead1serif">
    <w:name w:val="IRPsecthead1serif"/>
    <w:basedOn w:val="Normal"/>
    <w:rsid w:val="00F133C9"/>
    <w:rPr>
      <w:rFonts w:ascii="Arial" w:hAnsi="Arial" w:cs="Arial"/>
      <w:color w:val="000000"/>
      <w:sz w:val="32"/>
      <w:szCs w:val="32"/>
    </w:rPr>
  </w:style>
  <w:style w:type="paragraph" w:customStyle="1" w:styleId="IRPsecthead2sans">
    <w:name w:val="IRPsecthead2sans"/>
    <w:basedOn w:val="IRPsecthead1serif"/>
    <w:rsid w:val="00601E72"/>
    <w:rPr>
      <w:b/>
      <w:color w:val="006C71"/>
    </w:rPr>
  </w:style>
  <w:style w:type="character" w:customStyle="1" w:styleId="IRPsanstextChar1">
    <w:name w:val="IRPsanstext Char1"/>
    <w:link w:val="IRPsanstext"/>
    <w:uiPriority w:val="99"/>
    <w:locked/>
    <w:rsid w:val="00601E72"/>
    <w:rPr>
      <w:rFonts w:ascii="Arial" w:eastAsia="MS Mincho" w:hAnsi="Arial"/>
    </w:rPr>
  </w:style>
  <w:style w:type="paragraph" w:customStyle="1" w:styleId="IRPseriftextbig">
    <w:name w:val="IRPseriftextbig"/>
    <w:basedOn w:val="Normal"/>
    <w:rsid w:val="00601E72"/>
    <w:pPr>
      <w:spacing w:line="360" w:lineRule="auto"/>
    </w:pPr>
    <w:rPr>
      <w:rFonts w:ascii="Palatino" w:hAnsi="Palatino"/>
      <w:i/>
      <w:sz w:val="28"/>
      <w:szCs w:val="28"/>
    </w:rPr>
  </w:style>
  <w:style w:type="paragraph" w:customStyle="1" w:styleId="IRPtitl">
    <w:name w:val="IRPtitl"/>
    <w:basedOn w:val="Normal"/>
    <w:rsid w:val="00555205"/>
    <w:pPr>
      <w:ind w:left="576" w:hanging="576"/>
    </w:pPr>
    <w:rPr>
      <w:rFonts w:ascii="Arial" w:hAnsi="Arial" w:cs="Arial"/>
      <w:color w:val="156570"/>
      <w:sz w:val="32"/>
      <w:szCs w:val="32"/>
    </w:rPr>
  </w:style>
  <w:style w:type="paragraph" w:customStyle="1" w:styleId="IRPsub1">
    <w:name w:val="IRPsub1"/>
    <w:basedOn w:val="Normal"/>
    <w:rsid w:val="00601E72"/>
    <w:pPr>
      <w:spacing w:before="40" w:after="40"/>
    </w:pPr>
    <w:rPr>
      <w:rFonts w:ascii="Arial" w:hAnsi="Arial"/>
      <w:i/>
      <w:color w:val="FFFFFF" w:themeColor="background1"/>
      <w:sz w:val="22"/>
      <w:szCs w:val="22"/>
    </w:rPr>
  </w:style>
  <w:style w:type="paragraph" w:styleId="Header">
    <w:name w:val="header"/>
    <w:basedOn w:val="Normal"/>
    <w:link w:val="HeaderChar"/>
    <w:uiPriority w:val="99"/>
    <w:unhideWhenUsed/>
    <w:rsid w:val="00601E72"/>
    <w:pPr>
      <w:tabs>
        <w:tab w:val="center" w:pos="4320"/>
        <w:tab w:val="right" w:pos="8640"/>
      </w:tabs>
    </w:pPr>
  </w:style>
  <w:style w:type="character" w:customStyle="1" w:styleId="HeaderChar">
    <w:name w:val="Header Char"/>
    <w:basedOn w:val="DefaultParagraphFont"/>
    <w:link w:val="Header"/>
    <w:uiPriority w:val="99"/>
    <w:rsid w:val="00601E72"/>
    <w:rPr>
      <w:rFonts w:eastAsia="MS Mincho"/>
    </w:rPr>
  </w:style>
  <w:style w:type="paragraph" w:styleId="Footer">
    <w:name w:val="footer"/>
    <w:basedOn w:val="Normal"/>
    <w:link w:val="FooterChar"/>
    <w:uiPriority w:val="99"/>
    <w:unhideWhenUsed/>
    <w:rsid w:val="00601E72"/>
    <w:pPr>
      <w:tabs>
        <w:tab w:val="center" w:pos="4320"/>
        <w:tab w:val="right" w:pos="8640"/>
      </w:tabs>
    </w:pPr>
  </w:style>
  <w:style w:type="character" w:customStyle="1" w:styleId="FooterChar">
    <w:name w:val="Footer Char"/>
    <w:basedOn w:val="DefaultParagraphFont"/>
    <w:link w:val="Footer"/>
    <w:uiPriority w:val="99"/>
    <w:rsid w:val="00601E72"/>
    <w:rPr>
      <w:rFonts w:eastAsia="MS Mincho"/>
    </w:rPr>
  </w:style>
  <w:style w:type="character" w:customStyle="1" w:styleId="BalloonTextChar1">
    <w:name w:val="Balloon Text Char1"/>
    <w:basedOn w:val="DefaultParagraphFont"/>
    <w:link w:val="BalloonText"/>
    <w:uiPriority w:val="99"/>
    <w:semiHidden/>
    <w:rsid w:val="00601E72"/>
    <w:rPr>
      <w:rFonts w:ascii="Lucida Grande" w:eastAsia="MS Mincho" w:hAnsi="Lucida Grande" w:cs="Lucida Grande"/>
      <w:sz w:val="18"/>
      <w:szCs w:val="18"/>
    </w:rPr>
  </w:style>
  <w:style w:type="paragraph" w:customStyle="1" w:styleId="irpsubsanstext16">
    <w:name w:val="irpsub_sanstext16"/>
    <w:basedOn w:val="Normal"/>
    <w:next w:val="Normal"/>
    <w:autoRedefine/>
    <w:rsid w:val="0009155C"/>
    <w:pPr>
      <w:spacing w:after="120"/>
    </w:pPr>
    <w:rPr>
      <w:rFonts w:ascii="Arial" w:eastAsia="Times New Roman" w:hAnsi="Arial" w:cs="Arial"/>
      <w:bCs/>
      <w:iCs/>
      <w:color w:val="FFFFFF" w:themeColor="background1"/>
      <w:sz w:val="28"/>
      <w:szCs w:val="28"/>
      <w:lang w:eastAsia="en-US"/>
    </w:rPr>
  </w:style>
  <w:style w:type="paragraph" w:customStyle="1" w:styleId="IRPFigureSub">
    <w:name w:val="IRPFigureSub"/>
    <w:basedOn w:val="IRPsanstext"/>
    <w:link w:val="IRPFigureSubChar"/>
    <w:uiPriority w:val="99"/>
    <w:qFormat/>
    <w:rsid w:val="00FE1CA9"/>
    <w:pPr>
      <w:spacing w:after="120"/>
      <w:jc w:val="center"/>
    </w:pPr>
    <w:rPr>
      <w:i/>
      <w:szCs w:val="22"/>
    </w:rPr>
  </w:style>
  <w:style w:type="character" w:customStyle="1" w:styleId="IRPFigureSubChar">
    <w:name w:val="IRPFigureSub Char"/>
    <w:link w:val="IRPFigureSub"/>
    <w:uiPriority w:val="99"/>
    <w:rsid w:val="00FE1CA9"/>
    <w:rPr>
      <w:rFonts w:ascii="Arial" w:eastAsia="MS Mincho" w:hAnsi="Arial"/>
      <w:i/>
      <w:szCs w:val="22"/>
    </w:rPr>
  </w:style>
  <w:style w:type="paragraph" w:customStyle="1" w:styleId="IRPbullet">
    <w:name w:val="IRPbullet"/>
    <w:basedOn w:val="Normal"/>
    <w:rsid w:val="00B12366"/>
    <w:pPr>
      <w:numPr>
        <w:numId w:val="1"/>
      </w:numPr>
      <w:spacing w:beforeAutospacing="1" w:afterAutospacing="1" w:line="360" w:lineRule="auto"/>
    </w:pPr>
    <w:rPr>
      <w:rFonts w:ascii="Arial" w:hAnsi="Arial"/>
    </w:rPr>
  </w:style>
  <w:style w:type="paragraph" w:customStyle="1" w:styleId="IRPfooter">
    <w:name w:val="IRPfooter"/>
    <w:basedOn w:val="Footer"/>
    <w:uiPriority w:val="99"/>
    <w:rsid w:val="00B12366"/>
    <w:rPr>
      <w:rFonts w:ascii="Palatino" w:hAnsi="Palatino"/>
      <w:i/>
      <w:szCs w:val="24"/>
    </w:rPr>
  </w:style>
  <w:style w:type="paragraph" w:customStyle="1" w:styleId="IRPtitle">
    <w:name w:val="IRPtitle"/>
    <w:basedOn w:val="Normal"/>
    <w:uiPriority w:val="99"/>
    <w:rsid w:val="00B12366"/>
    <w:pPr>
      <w:ind w:left="576" w:hanging="576"/>
    </w:pPr>
    <w:rPr>
      <w:rFonts w:ascii="Palatino" w:hAnsi="Palatino"/>
      <w:sz w:val="40"/>
      <w:szCs w:val="24"/>
    </w:rPr>
  </w:style>
  <w:style w:type="character" w:styleId="FootnoteReference">
    <w:name w:val="footnote reference"/>
    <w:basedOn w:val="DefaultParagraphFont"/>
    <w:uiPriority w:val="99"/>
    <w:rsid w:val="00B12366"/>
    <w:rPr>
      <w:rFonts w:cs="Times New Roman"/>
      <w:vertAlign w:val="superscript"/>
    </w:rPr>
  </w:style>
  <w:style w:type="character" w:styleId="PageNumber">
    <w:name w:val="page number"/>
    <w:basedOn w:val="DefaultParagraphFont"/>
    <w:uiPriority w:val="99"/>
    <w:rsid w:val="0020632A"/>
    <w:rPr>
      <w:rFonts w:cs="Times New Roman"/>
    </w:rPr>
  </w:style>
  <w:style w:type="paragraph" w:styleId="FootnoteText">
    <w:name w:val="footnote text"/>
    <w:basedOn w:val="Normal"/>
    <w:link w:val="FootnoteTextChar"/>
    <w:uiPriority w:val="99"/>
    <w:rsid w:val="00C12FBA"/>
    <w:rPr>
      <w:rFonts w:ascii="Garamond" w:eastAsia="Garamond" w:hAnsi="Garamond"/>
      <w:lang w:eastAsia="en-US"/>
    </w:rPr>
  </w:style>
  <w:style w:type="character" w:customStyle="1" w:styleId="FootnoteTextChar">
    <w:name w:val="Footnote Text Char"/>
    <w:basedOn w:val="DefaultParagraphFont"/>
    <w:link w:val="FootnoteText"/>
    <w:uiPriority w:val="99"/>
    <w:rsid w:val="00C12FBA"/>
    <w:rPr>
      <w:rFonts w:ascii="Garamond" w:eastAsia="Garamond" w:hAnsi="Garamond"/>
      <w:lang w:eastAsia="en-US"/>
    </w:rPr>
  </w:style>
  <w:style w:type="character" w:customStyle="1" w:styleId="Heading2Char">
    <w:name w:val="Heading 2 Char"/>
    <w:basedOn w:val="DefaultParagraphFont"/>
    <w:link w:val="Heading2"/>
    <w:uiPriority w:val="9"/>
    <w:rsid w:val="00234579"/>
    <w:rPr>
      <w:rFonts w:ascii="Garamond" w:eastAsia="Times New Roman" w:hAnsi="Garamond"/>
      <w:b/>
      <w:bCs/>
      <w:color w:val="4F81BD"/>
      <w:sz w:val="26"/>
      <w:szCs w:val="26"/>
      <w:lang w:eastAsia="en-US"/>
    </w:rPr>
  </w:style>
  <w:style w:type="character" w:styleId="IntenseEmphasis">
    <w:name w:val="Intense Emphasis"/>
    <w:uiPriority w:val="21"/>
    <w:qFormat/>
    <w:rsid w:val="00234579"/>
    <w:rPr>
      <w:b/>
      <w:bCs/>
      <w:i/>
      <w:iCs/>
      <w:color w:val="4F81BD"/>
    </w:rPr>
  </w:style>
  <w:style w:type="paragraph" w:styleId="Subtitle">
    <w:name w:val="Subtitle"/>
    <w:basedOn w:val="Normal"/>
    <w:next w:val="Normal"/>
    <w:link w:val="SubtitleChar"/>
    <w:uiPriority w:val="11"/>
    <w:qFormat/>
    <w:rsid w:val="00555205"/>
    <w:pPr>
      <w:numPr>
        <w:ilvl w:val="1"/>
      </w:numPr>
      <w:spacing w:after="200" w:line="276" w:lineRule="auto"/>
    </w:pPr>
    <w:rPr>
      <w:rFonts w:ascii="Garamond" w:eastAsia="Times New Roman" w:hAnsi="Garamond"/>
      <w:i/>
      <w:iCs/>
      <w:color w:val="4F81BD"/>
      <w:spacing w:val="15"/>
      <w:sz w:val="24"/>
      <w:szCs w:val="24"/>
      <w:lang w:eastAsia="en-US"/>
    </w:rPr>
  </w:style>
  <w:style w:type="character" w:customStyle="1" w:styleId="SubtitleChar">
    <w:name w:val="Subtitle Char"/>
    <w:basedOn w:val="DefaultParagraphFont"/>
    <w:link w:val="Subtitle"/>
    <w:uiPriority w:val="11"/>
    <w:rsid w:val="00555205"/>
    <w:rPr>
      <w:rFonts w:ascii="Garamond" w:eastAsia="Times New Roman" w:hAnsi="Garamond"/>
      <w:i/>
      <w:iCs/>
      <w:color w:val="4F81BD"/>
      <w:spacing w:val="15"/>
      <w:sz w:val="24"/>
      <w:szCs w:val="24"/>
      <w:lang w:eastAsia="en-US"/>
    </w:rPr>
  </w:style>
  <w:style w:type="paragraph" w:styleId="ListParagraph">
    <w:name w:val="List Paragraph"/>
    <w:basedOn w:val="Normal"/>
    <w:uiPriority w:val="34"/>
    <w:qFormat/>
    <w:rsid w:val="00890FDA"/>
    <w:pPr>
      <w:widowControl w:val="0"/>
    </w:pPr>
    <w:rPr>
      <w:rFonts w:asciiTheme="minorHAnsi" w:eastAsiaTheme="minorHAnsi" w:hAnsiTheme="minorHAnsi" w:cstheme="minorBidi"/>
      <w:sz w:val="22"/>
      <w:szCs w:val="22"/>
      <w:lang w:eastAsia="en-US"/>
    </w:rPr>
  </w:style>
  <w:style w:type="table" w:styleId="TableGrid">
    <w:name w:val="Table Grid"/>
    <w:basedOn w:val="TableNormal"/>
    <w:uiPriority w:val="59"/>
    <w:rsid w:val="004E78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48E0"/>
    <w:rPr>
      <w:sz w:val="16"/>
      <w:szCs w:val="16"/>
    </w:rPr>
  </w:style>
  <w:style w:type="paragraph" w:styleId="CommentText">
    <w:name w:val="annotation text"/>
    <w:basedOn w:val="Normal"/>
    <w:link w:val="CommentTextChar"/>
    <w:uiPriority w:val="99"/>
    <w:semiHidden/>
    <w:unhideWhenUsed/>
    <w:rsid w:val="000A48E0"/>
  </w:style>
  <w:style w:type="character" w:customStyle="1" w:styleId="CommentTextChar">
    <w:name w:val="Comment Text Char"/>
    <w:basedOn w:val="DefaultParagraphFont"/>
    <w:link w:val="CommentText"/>
    <w:uiPriority w:val="99"/>
    <w:semiHidden/>
    <w:rsid w:val="000A48E0"/>
    <w:rPr>
      <w:rFonts w:eastAsia="MS Mincho"/>
    </w:rPr>
  </w:style>
  <w:style w:type="paragraph" w:styleId="CommentSubject">
    <w:name w:val="annotation subject"/>
    <w:basedOn w:val="CommentText"/>
    <w:next w:val="CommentText"/>
    <w:link w:val="CommentSubjectChar"/>
    <w:uiPriority w:val="99"/>
    <w:semiHidden/>
    <w:unhideWhenUsed/>
    <w:rsid w:val="000A48E0"/>
    <w:rPr>
      <w:b/>
      <w:bCs/>
    </w:rPr>
  </w:style>
  <w:style w:type="character" w:customStyle="1" w:styleId="CommentSubjectChar">
    <w:name w:val="Comment Subject Char"/>
    <w:basedOn w:val="CommentTextChar"/>
    <w:link w:val="CommentSubject"/>
    <w:uiPriority w:val="99"/>
    <w:semiHidden/>
    <w:rsid w:val="000A48E0"/>
    <w:rPr>
      <w:rFonts w:eastAsia="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footer" Target="footer1.xml"/><Relationship Id="rId25" Type="http://schemas.openxmlformats.org/officeDocument/2006/relationships/image" Target="media/image18.png"/><Relationship Id="rId7" Type="http://schemas.openxmlformats.org/officeDocument/2006/relationships/endnotes" Target="endnotes.xml"/><Relationship Id="rId33"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38" Type="http://schemas.openxmlformats.org/officeDocument/2006/relationships/customXml" Target="../customXml/item2.xml"/><Relationship Id="rId20" Type="http://schemas.openxmlformats.org/officeDocument/2006/relationships/image" Target="media/image13.png"/><Relationship Id="rId29"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9.png"/><Relationship Id="rId24" Type="http://schemas.openxmlformats.org/officeDocument/2006/relationships/image" Target="media/image17.png"/><Relationship Id="rId1" Type="http://schemas.openxmlformats.org/officeDocument/2006/relationships/numbering" Target="numbering.xml"/><Relationship Id="rId32" Type="http://schemas.openxmlformats.org/officeDocument/2006/relationships/image" Target="media/image25.png"/><Relationship Id="rId6" Type="http://schemas.openxmlformats.org/officeDocument/2006/relationships/footnotes" Target="footnotes.xml"/><Relationship Id="rId11" Type="http://schemas.openxmlformats.org/officeDocument/2006/relationships/image" Target="media/image4.png"/><Relationship Id="rId37" Type="http://schemas.openxmlformats.org/officeDocument/2006/relationships/customXml" Target="../customXml/item1.xml"/><Relationship Id="rId40" Type="http://schemas.openxmlformats.org/officeDocument/2006/relationships/customXml" Target="../customXml/item4.xml"/><Relationship Id="rId23" Type="http://schemas.openxmlformats.org/officeDocument/2006/relationships/image" Target="media/image16.png"/><Relationship Id="rId28" Type="http://schemas.openxmlformats.org/officeDocument/2006/relationships/image" Target="media/image21.png"/><Relationship Id="rId5" Type="http://schemas.openxmlformats.org/officeDocument/2006/relationships/webSettings" Target="webSettings.xml"/><Relationship Id="rId36" Type="http://schemas.openxmlformats.org/officeDocument/2006/relationships/theme" Target="theme/theme1.xml"/><Relationship Id="rId15" Type="http://schemas.openxmlformats.org/officeDocument/2006/relationships/image" Target="media/image8.png"/><Relationship Id="rId31"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png"/><Relationship Id="rId22" Type="http://schemas.openxmlformats.org/officeDocument/2006/relationships/image" Target="media/image15.png"/><Relationship Id="rId27" Type="http://schemas.openxmlformats.org/officeDocument/2006/relationships/image" Target="media/image20.png"/><Relationship Id="rId4" Type="http://schemas.openxmlformats.org/officeDocument/2006/relationships/settings" Target="settings.xml"/><Relationship Id="rId30" Type="http://schemas.openxmlformats.org/officeDocument/2006/relationships/image" Target="media/image23.png"/><Relationship Id="rId9" Type="http://schemas.openxmlformats.org/officeDocument/2006/relationships/image" Target="media/image2.png"/><Relationship Id="rId35" Type="http://schemas.openxmlformats.org/officeDocument/2006/relationships/fontTable" Target="fontTable.xml"/><Relationship Id="rId14" Type="http://schemas.openxmlformats.org/officeDocument/2006/relationships/image" Target="media/image7.png"/><Relationship Id="rId8" Type="http://schemas.openxmlformats.org/officeDocument/2006/relationships/image" Target="media/image1.png"/><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E6238B3-92F7-4A54-AC48-B46738CCA25B}"/>
</file>

<file path=customXml/itemProps2.xml><?xml version="1.0" encoding="utf-8"?>
<ds:datastoreItem xmlns:ds="http://schemas.openxmlformats.org/officeDocument/2006/customXml" ds:itemID="{7F5B7BDF-82BF-4CA0-A9AF-1D3C46383E2B}"/>
</file>

<file path=customXml/itemProps3.xml><?xml version="1.0" encoding="utf-8"?>
<ds:datastoreItem xmlns:ds="http://schemas.openxmlformats.org/officeDocument/2006/customXml" ds:itemID="{9443CBD1-C51F-4C79-94E6-1CC61CDD94FC}"/>
</file>

<file path=customXml/itemProps4.xml><?xml version="1.0" encoding="utf-8"?>
<ds:datastoreItem xmlns:ds="http://schemas.openxmlformats.org/officeDocument/2006/customXml" ds:itemID="{2DB005B0-58CE-47CD-A708-EC3FFA44844D}"/>
</file>

<file path=docProps/app.xml><?xml version="1.0" encoding="utf-8"?>
<Properties xmlns="http://schemas.openxmlformats.org/officeDocument/2006/extended-properties" xmlns:vt="http://schemas.openxmlformats.org/officeDocument/2006/docPropsVTypes">
  <Template>Normal.dotm</Template>
  <TotalTime>3</TotalTime>
  <Pages>23</Pages>
  <Words>2580</Words>
  <Characters>14706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 User</dc:creator>
  <cp:lastModifiedBy>Ann Rhodes</cp:lastModifiedBy>
  <cp:revision>4</cp:revision>
  <cp:lastPrinted>2015-10-15T13:55:00Z</cp:lastPrinted>
  <dcterms:created xsi:type="dcterms:W3CDTF">2015-10-15T13:55:00Z</dcterms:created>
  <dcterms:modified xsi:type="dcterms:W3CDTF">2015-10-15T19:14:00Z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