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F" w:rsidRDefault="00D0390D">
      <w:pPr>
        <w:sectPr w:rsidR="008A048F">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bookmarkStart w:id="0" w:name="_GoBack"/>
      <w:bookmarkEnd w:id="0"/>
      <w:r>
        <w:rPr>
          <w:noProof/>
        </w:rPr>
        <w:drawing>
          <wp:anchor distT="0" distB="0" distL="114300" distR="114300" simplePos="0" relativeHeight="251657728" behindDoc="1" locked="0" layoutInCell="1" allowOverlap="1" wp14:anchorId="16C989EA" wp14:editId="4CBC9EEA">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4" cstate="print"/>
                    <a:srcRect/>
                    <a:stretch>
                      <a:fillRect/>
                    </a:stretch>
                  </pic:blipFill>
                  <pic:spPr bwMode="auto">
                    <a:xfrm>
                      <a:off x="0" y="0"/>
                      <a:ext cx="6578600" cy="381000"/>
                    </a:xfrm>
                    <a:prstGeom prst="rect">
                      <a:avLst/>
                    </a:prstGeom>
                    <a:noFill/>
                  </pic:spPr>
                </pic:pic>
              </a:graphicData>
            </a:graphic>
          </wp:anchor>
        </w:drawing>
      </w:r>
    </w:p>
    <w:p w:rsidR="00964072" w:rsidRPr="00E24619" w:rsidRDefault="00830EE8" w:rsidP="000B3DB4">
      <w:pPr>
        <w:jc w:val="both"/>
        <w:rPr>
          <w:rFonts w:ascii="Times New Roman" w:hAnsi="Times New Roman"/>
        </w:rPr>
      </w:pPr>
      <w:r w:rsidRPr="00E24619">
        <w:rPr>
          <w:rFonts w:ascii="Times New Roman" w:hAnsi="Times New Roman"/>
        </w:rPr>
        <w:lastRenderedPageBreak/>
        <w:t xml:space="preserve">November </w:t>
      </w:r>
      <w:r w:rsidR="0093083A">
        <w:rPr>
          <w:rFonts w:ascii="Times New Roman" w:hAnsi="Times New Roman"/>
        </w:rPr>
        <w:t>12</w:t>
      </w:r>
      <w:r w:rsidR="00800B4E" w:rsidRPr="00E24619">
        <w:rPr>
          <w:rFonts w:ascii="Times New Roman" w:hAnsi="Times New Roman"/>
        </w:rPr>
        <w:t xml:space="preserve">, </w:t>
      </w:r>
      <w:r w:rsidR="00BC716A" w:rsidRPr="00E24619">
        <w:rPr>
          <w:rFonts w:ascii="Times New Roman" w:hAnsi="Times New Roman"/>
        </w:rPr>
        <w:t>201</w:t>
      </w:r>
      <w:r w:rsidR="00D604AC" w:rsidRPr="00E24619">
        <w:rPr>
          <w:rFonts w:ascii="Times New Roman" w:hAnsi="Times New Roman"/>
        </w:rPr>
        <w:t>3</w:t>
      </w:r>
    </w:p>
    <w:p w:rsidR="00964072" w:rsidRPr="00E24619" w:rsidRDefault="00964072" w:rsidP="000B3DB4">
      <w:pPr>
        <w:jc w:val="both"/>
        <w:rPr>
          <w:rFonts w:ascii="Times New Roman" w:hAnsi="Times New Roman"/>
        </w:rPr>
      </w:pPr>
    </w:p>
    <w:p w:rsidR="00964072" w:rsidRPr="00E24619" w:rsidRDefault="00964072" w:rsidP="000B3DB4">
      <w:pPr>
        <w:jc w:val="both"/>
        <w:rPr>
          <w:rFonts w:ascii="Times New Roman" w:hAnsi="Times New Roman"/>
          <w:b/>
          <w:bCs/>
          <w:i/>
          <w:iCs/>
        </w:rPr>
      </w:pPr>
      <w:smartTag w:uri="urn:schemas-microsoft-com:office:smarttags" w:element="stockticker">
        <w:r w:rsidRPr="00E24619">
          <w:rPr>
            <w:rFonts w:ascii="Times New Roman" w:hAnsi="Times New Roman"/>
            <w:b/>
            <w:bCs/>
            <w:i/>
            <w:iCs/>
          </w:rPr>
          <w:t>VIA</w:t>
        </w:r>
      </w:smartTag>
      <w:r w:rsidRPr="00E24619">
        <w:rPr>
          <w:rFonts w:ascii="Times New Roman" w:hAnsi="Times New Roman"/>
          <w:b/>
          <w:bCs/>
          <w:i/>
          <w:iCs/>
        </w:rPr>
        <w:t xml:space="preserve"> ELECTRONIC FILING</w:t>
      </w:r>
    </w:p>
    <w:p w:rsidR="00964072" w:rsidRPr="00E24619" w:rsidRDefault="00964072" w:rsidP="000B3DB4">
      <w:pPr>
        <w:jc w:val="both"/>
        <w:rPr>
          <w:rFonts w:ascii="Times New Roman" w:hAnsi="Times New Roman"/>
        </w:rPr>
      </w:pPr>
    </w:p>
    <w:p w:rsidR="00964072" w:rsidRPr="00E24619" w:rsidRDefault="00964072" w:rsidP="000B3DB4">
      <w:pPr>
        <w:jc w:val="both"/>
        <w:rPr>
          <w:rFonts w:ascii="Times New Roman" w:hAnsi="Times New Roman"/>
          <w:szCs w:val="24"/>
        </w:rPr>
      </w:pPr>
      <w:r w:rsidRPr="00E24619">
        <w:rPr>
          <w:rFonts w:ascii="Times New Roman" w:hAnsi="Times New Roman"/>
          <w:szCs w:val="24"/>
        </w:rPr>
        <w:t>Washington Utilities and Transportation Commission</w:t>
      </w:r>
    </w:p>
    <w:p w:rsidR="00964072" w:rsidRPr="00E24619" w:rsidRDefault="00964072" w:rsidP="000B3DB4">
      <w:pPr>
        <w:jc w:val="both"/>
        <w:rPr>
          <w:rFonts w:ascii="Times New Roman" w:hAnsi="Times New Roman"/>
          <w:szCs w:val="24"/>
        </w:rPr>
      </w:pPr>
      <w:r w:rsidRPr="00E24619">
        <w:rPr>
          <w:rFonts w:ascii="Times New Roman" w:hAnsi="Times New Roman"/>
          <w:szCs w:val="24"/>
        </w:rPr>
        <w:t>1300 S. Evergreen Park Drive SW</w:t>
      </w:r>
    </w:p>
    <w:p w:rsidR="00964072" w:rsidRPr="00E24619" w:rsidRDefault="00964072" w:rsidP="000B3DB4">
      <w:pPr>
        <w:jc w:val="both"/>
        <w:rPr>
          <w:rFonts w:ascii="Times New Roman" w:hAnsi="Times New Roman"/>
          <w:szCs w:val="24"/>
        </w:rPr>
      </w:pPr>
      <w:r w:rsidRPr="00E24619">
        <w:rPr>
          <w:rFonts w:ascii="Times New Roman" w:hAnsi="Times New Roman"/>
          <w:szCs w:val="24"/>
        </w:rPr>
        <w:t>P.O. Box 47250</w:t>
      </w:r>
    </w:p>
    <w:p w:rsidR="00964072" w:rsidRPr="00E24619" w:rsidRDefault="00964072" w:rsidP="000B3DB4">
      <w:pPr>
        <w:jc w:val="both"/>
        <w:rPr>
          <w:rFonts w:ascii="Times New Roman" w:hAnsi="Times New Roman"/>
          <w:szCs w:val="24"/>
        </w:rPr>
      </w:pPr>
      <w:r w:rsidRPr="00E24619">
        <w:rPr>
          <w:rFonts w:ascii="Times New Roman" w:hAnsi="Times New Roman"/>
          <w:szCs w:val="24"/>
        </w:rPr>
        <w:t>Olympia, WA  98504-7250</w:t>
      </w:r>
    </w:p>
    <w:p w:rsidR="00964072" w:rsidRPr="00E24619" w:rsidRDefault="00964072" w:rsidP="000B3DB4">
      <w:pPr>
        <w:jc w:val="both"/>
        <w:rPr>
          <w:rFonts w:ascii="Times New Roman" w:hAnsi="Times New Roman"/>
          <w:szCs w:val="24"/>
        </w:rPr>
      </w:pPr>
    </w:p>
    <w:p w:rsidR="00FF7F41" w:rsidRPr="00E24619" w:rsidRDefault="00E61028">
      <w:pPr>
        <w:ind w:left="1440" w:hanging="1440"/>
        <w:jc w:val="both"/>
        <w:rPr>
          <w:rFonts w:ascii="Times New Roman" w:hAnsi="Times New Roman"/>
          <w:szCs w:val="24"/>
        </w:rPr>
      </w:pPr>
      <w:r w:rsidRPr="00E24619">
        <w:rPr>
          <w:rFonts w:ascii="Times New Roman" w:hAnsi="Times New Roman"/>
          <w:szCs w:val="24"/>
        </w:rPr>
        <w:t xml:space="preserve">Attention: </w:t>
      </w:r>
      <w:r w:rsidRPr="00E24619">
        <w:rPr>
          <w:rFonts w:ascii="Times New Roman" w:hAnsi="Times New Roman"/>
          <w:szCs w:val="24"/>
        </w:rPr>
        <w:tab/>
      </w:r>
      <w:r w:rsidR="00264351" w:rsidRPr="00E24619">
        <w:rPr>
          <w:rFonts w:ascii="Times New Roman" w:hAnsi="Times New Roman"/>
          <w:szCs w:val="24"/>
        </w:rPr>
        <w:t>Steven V. King</w:t>
      </w:r>
    </w:p>
    <w:p w:rsidR="00FF7F41" w:rsidRPr="00E24619" w:rsidRDefault="00E61028">
      <w:pPr>
        <w:ind w:left="1440" w:hanging="1440"/>
        <w:jc w:val="both"/>
        <w:rPr>
          <w:rFonts w:ascii="Times New Roman" w:hAnsi="Times New Roman"/>
          <w:szCs w:val="24"/>
        </w:rPr>
      </w:pPr>
      <w:r w:rsidRPr="00E24619">
        <w:rPr>
          <w:rFonts w:ascii="Times New Roman" w:hAnsi="Times New Roman"/>
          <w:szCs w:val="24"/>
        </w:rPr>
        <w:tab/>
        <w:t>Executive Director and Secretary</w:t>
      </w:r>
    </w:p>
    <w:p w:rsidR="00FF7F41" w:rsidRPr="00E24619" w:rsidRDefault="00FF7F41">
      <w:pPr>
        <w:ind w:left="1440" w:hanging="1440"/>
        <w:jc w:val="both"/>
        <w:rPr>
          <w:rFonts w:ascii="Times New Roman" w:hAnsi="Times New Roman"/>
          <w:szCs w:val="24"/>
        </w:rPr>
      </w:pPr>
    </w:p>
    <w:p w:rsidR="00FF7F41" w:rsidRPr="00E24619" w:rsidRDefault="00964072">
      <w:pPr>
        <w:ind w:left="1440" w:hanging="1440"/>
        <w:jc w:val="both"/>
        <w:rPr>
          <w:rFonts w:ascii="Times New Roman" w:hAnsi="Times New Roman"/>
          <w:b/>
          <w:szCs w:val="24"/>
        </w:rPr>
      </w:pPr>
      <w:r w:rsidRPr="00E24619">
        <w:rPr>
          <w:rFonts w:ascii="Times New Roman" w:hAnsi="Times New Roman"/>
          <w:szCs w:val="24"/>
        </w:rPr>
        <w:t>RE:</w:t>
      </w:r>
      <w:r w:rsidRPr="00E24619">
        <w:rPr>
          <w:rFonts w:ascii="Times New Roman" w:hAnsi="Times New Roman"/>
          <w:szCs w:val="24"/>
        </w:rPr>
        <w:tab/>
      </w:r>
      <w:r w:rsidR="00E24619">
        <w:rPr>
          <w:rFonts w:ascii="Times New Roman" w:hAnsi="Times New Roman"/>
          <w:b/>
          <w:szCs w:val="24"/>
        </w:rPr>
        <w:t>Advice 13-08</w:t>
      </w:r>
      <w:r w:rsidR="005809A3" w:rsidRPr="00E24619">
        <w:rPr>
          <w:rFonts w:ascii="Times New Roman" w:hAnsi="Times New Roman"/>
          <w:b/>
          <w:szCs w:val="24"/>
        </w:rPr>
        <w:t xml:space="preserve"> </w:t>
      </w:r>
      <w:r w:rsidR="00D9430E" w:rsidRPr="00E24619">
        <w:rPr>
          <w:rFonts w:ascii="Times New Roman" w:hAnsi="Times New Roman"/>
          <w:b/>
          <w:szCs w:val="24"/>
        </w:rPr>
        <w:t>Request to Cancel Schedules 115 and 125, and Approval of Schedule 140 – Non-Residential Energy Efficiency</w:t>
      </w:r>
    </w:p>
    <w:p w:rsidR="007A2B12" w:rsidRDefault="007A2B12" w:rsidP="007A2B12">
      <w:pPr>
        <w:pStyle w:val="Heading1"/>
        <w:spacing w:before="0" w:after="0"/>
        <w:rPr>
          <w:rFonts w:ascii="Times New Roman" w:hAnsi="Times New Roman" w:cs="Times New Roman"/>
          <w:b w:val="0"/>
          <w:bCs w:val="0"/>
          <w:sz w:val="24"/>
          <w:szCs w:val="24"/>
        </w:rPr>
      </w:pPr>
    </w:p>
    <w:p w:rsidR="00465CD0" w:rsidRPr="00E24619" w:rsidRDefault="008256E3" w:rsidP="007A2B12">
      <w:pPr>
        <w:pStyle w:val="Heading1"/>
        <w:spacing w:before="0" w:after="0"/>
        <w:rPr>
          <w:rFonts w:ascii="Times New Roman" w:hAnsi="Times New Roman" w:cs="Times New Roman"/>
          <w:b w:val="0"/>
          <w:sz w:val="24"/>
          <w:szCs w:val="24"/>
        </w:rPr>
      </w:pPr>
      <w:r w:rsidRPr="008256E3">
        <w:rPr>
          <w:rFonts w:ascii="Times New Roman" w:hAnsi="Times New Roman" w:cs="Times New Roman"/>
          <w:b w:val="0"/>
          <w:bCs w:val="0"/>
          <w:sz w:val="24"/>
          <w:szCs w:val="24"/>
        </w:rPr>
        <w:t xml:space="preserve">PacifiCorp, d/b/a Pacific Power </w:t>
      </w:r>
      <w:r w:rsidR="002A5F22">
        <w:rPr>
          <w:rFonts w:ascii="Times New Roman" w:hAnsi="Times New Roman" w:cs="Times New Roman"/>
          <w:b w:val="0"/>
          <w:bCs w:val="0"/>
          <w:sz w:val="24"/>
          <w:szCs w:val="24"/>
        </w:rPr>
        <w:t>and</w:t>
      </w:r>
      <w:r w:rsidR="002A5F22" w:rsidRPr="008256E3">
        <w:rPr>
          <w:rFonts w:ascii="Times New Roman" w:hAnsi="Times New Roman" w:cs="Times New Roman"/>
          <w:b w:val="0"/>
          <w:bCs w:val="0"/>
          <w:sz w:val="24"/>
          <w:szCs w:val="24"/>
        </w:rPr>
        <w:t xml:space="preserve"> </w:t>
      </w:r>
      <w:r w:rsidRPr="008256E3">
        <w:rPr>
          <w:rFonts w:ascii="Times New Roman" w:hAnsi="Times New Roman" w:cs="Times New Roman"/>
          <w:b w:val="0"/>
          <w:bCs w:val="0"/>
          <w:sz w:val="24"/>
          <w:szCs w:val="24"/>
        </w:rPr>
        <w:t xml:space="preserve">Light Company </w:t>
      </w:r>
      <w:r w:rsidR="0020053B" w:rsidRPr="00E24619">
        <w:rPr>
          <w:rFonts w:ascii="Times New Roman" w:hAnsi="Times New Roman" w:cs="Times New Roman"/>
          <w:b w:val="0"/>
          <w:bCs w:val="0"/>
          <w:sz w:val="24"/>
          <w:szCs w:val="24"/>
        </w:rPr>
        <w:t xml:space="preserve">(Company) </w:t>
      </w:r>
      <w:r w:rsidR="00465CD0" w:rsidRPr="00E24619">
        <w:rPr>
          <w:rFonts w:ascii="Times New Roman" w:hAnsi="Times New Roman" w:cs="Times New Roman"/>
          <w:b w:val="0"/>
          <w:bCs w:val="0"/>
          <w:sz w:val="24"/>
          <w:szCs w:val="24"/>
        </w:rPr>
        <w:t xml:space="preserve">is </w:t>
      </w:r>
      <w:r w:rsidR="004F2A17">
        <w:rPr>
          <w:rFonts w:ascii="Times New Roman" w:hAnsi="Times New Roman" w:cs="Times New Roman"/>
          <w:b w:val="0"/>
          <w:bCs w:val="0"/>
          <w:sz w:val="24"/>
          <w:szCs w:val="24"/>
        </w:rPr>
        <w:t>requesting</w:t>
      </w:r>
      <w:r w:rsidR="004F2A17" w:rsidRPr="00E24619">
        <w:rPr>
          <w:rFonts w:ascii="Times New Roman" w:hAnsi="Times New Roman" w:cs="Times New Roman"/>
          <w:b w:val="0"/>
          <w:bCs w:val="0"/>
          <w:sz w:val="24"/>
          <w:szCs w:val="24"/>
        </w:rPr>
        <w:t xml:space="preserve"> </w:t>
      </w:r>
      <w:r w:rsidR="004F2A17">
        <w:rPr>
          <w:rFonts w:ascii="Times New Roman" w:hAnsi="Times New Roman" w:cs="Times New Roman"/>
          <w:b w:val="0"/>
          <w:bCs w:val="0"/>
          <w:sz w:val="24"/>
          <w:szCs w:val="24"/>
        </w:rPr>
        <w:t xml:space="preserve">cancellation of </w:t>
      </w:r>
      <w:r w:rsidR="00465CD0" w:rsidRPr="00E24619">
        <w:rPr>
          <w:rFonts w:ascii="Times New Roman" w:hAnsi="Times New Roman" w:cs="Times New Roman"/>
          <w:b w:val="0"/>
          <w:bCs w:val="0"/>
          <w:sz w:val="24"/>
          <w:szCs w:val="24"/>
        </w:rPr>
        <w:t xml:space="preserve">the </w:t>
      </w:r>
      <w:r w:rsidR="0071709D" w:rsidRPr="00E24619">
        <w:rPr>
          <w:rFonts w:ascii="Times New Roman" w:hAnsi="Times New Roman" w:cs="Times New Roman"/>
          <w:b w:val="0"/>
          <w:bCs w:val="0"/>
          <w:sz w:val="24"/>
          <w:szCs w:val="24"/>
        </w:rPr>
        <w:t xml:space="preserve">Energy FinAnswer and </w:t>
      </w:r>
      <w:r w:rsidR="00465CD0" w:rsidRPr="00E24619">
        <w:rPr>
          <w:rFonts w:ascii="Times New Roman" w:hAnsi="Times New Roman" w:cs="Times New Roman"/>
          <w:b w:val="0"/>
          <w:bCs w:val="0"/>
          <w:sz w:val="24"/>
          <w:szCs w:val="24"/>
        </w:rPr>
        <w:t>FinAnswer Express energy efficiency incentive program</w:t>
      </w:r>
      <w:r w:rsidR="0071709D" w:rsidRPr="00E24619">
        <w:rPr>
          <w:rFonts w:ascii="Times New Roman" w:hAnsi="Times New Roman" w:cs="Times New Roman"/>
          <w:b w:val="0"/>
          <w:bCs w:val="0"/>
          <w:sz w:val="24"/>
          <w:szCs w:val="24"/>
        </w:rPr>
        <w:t>s</w:t>
      </w:r>
      <w:r w:rsidR="00EA44CE" w:rsidRPr="00E24619">
        <w:rPr>
          <w:rFonts w:ascii="Times New Roman" w:hAnsi="Times New Roman" w:cs="Times New Roman"/>
          <w:b w:val="0"/>
          <w:bCs w:val="0"/>
          <w:sz w:val="24"/>
          <w:szCs w:val="24"/>
        </w:rPr>
        <w:t xml:space="preserve"> for Washington customers</w:t>
      </w:r>
      <w:r w:rsidR="00465CD0" w:rsidRPr="00E24619">
        <w:rPr>
          <w:rFonts w:ascii="Times New Roman" w:hAnsi="Times New Roman" w:cs="Times New Roman"/>
          <w:b w:val="0"/>
          <w:bCs w:val="0"/>
          <w:sz w:val="24"/>
          <w:szCs w:val="24"/>
        </w:rPr>
        <w:t xml:space="preserve"> offered through Schedule 115</w:t>
      </w:r>
      <w:r w:rsidR="0071709D" w:rsidRPr="00E24619">
        <w:rPr>
          <w:rFonts w:ascii="Times New Roman" w:hAnsi="Times New Roman" w:cs="Times New Roman"/>
          <w:b w:val="0"/>
          <w:bCs w:val="0"/>
          <w:sz w:val="24"/>
          <w:szCs w:val="24"/>
        </w:rPr>
        <w:t xml:space="preserve"> and 125</w:t>
      </w:r>
      <w:r w:rsidR="004F2A17">
        <w:rPr>
          <w:rFonts w:ascii="Times New Roman" w:hAnsi="Times New Roman" w:cs="Times New Roman"/>
          <w:b w:val="0"/>
          <w:bCs w:val="0"/>
          <w:sz w:val="24"/>
          <w:szCs w:val="24"/>
        </w:rPr>
        <w:t xml:space="preserve"> and </w:t>
      </w:r>
      <w:r w:rsidR="007A2B12">
        <w:rPr>
          <w:rFonts w:ascii="Times New Roman" w:hAnsi="Times New Roman" w:cs="Times New Roman"/>
          <w:b w:val="0"/>
          <w:bCs w:val="0"/>
          <w:sz w:val="24"/>
          <w:szCs w:val="24"/>
        </w:rPr>
        <w:t xml:space="preserve">approval to </w:t>
      </w:r>
      <w:r w:rsidR="004F2A17">
        <w:rPr>
          <w:rFonts w:ascii="Times New Roman" w:hAnsi="Times New Roman" w:cs="Times New Roman"/>
          <w:b w:val="0"/>
          <w:bCs w:val="0"/>
          <w:sz w:val="24"/>
          <w:szCs w:val="24"/>
        </w:rPr>
        <w:t>consolidate these two schedules, with modifications, under a proposed Schedule 140</w:t>
      </w:r>
      <w:r w:rsidR="00465CD0" w:rsidRPr="00E24619">
        <w:rPr>
          <w:rFonts w:ascii="Times New Roman" w:hAnsi="Times New Roman" w:cs="Times New Roman"/>
          <w:b w:val="0"/>
          <w:bCs w:val="0"/>
          <w:sz w:val="24"/>
          <w:szCs w:val="24"/>
        </w:rPr>
        <w:t xml:space="preserve">. </w:t>
      </w:r>
      <w:r w:rsidR="00465CD0" w:rsidRPr="00E24619">
        <w:rPr>
          <w:rFonts w:ascii="Times New Roman" w:hAnsi="Times New Roman" w:cs="Times New Roman"/>
          <w:b w:val="0"/>
          <w:sz w:val="24"/>
          <w:szCs w:val="24"/>
        </w:rPr>
        <w:t xml:space="preserve">The changes are intended to a) </w:t>
      </w:r>
      <w:r w:rsidR="0071709D" w:rsidRPr="00E24619">
        <w:rPr>
          <w:rFonts w:ascii="Times New Roman" w:hAnsi="Times New Roman" w:cs="Times New Roman"/>
          <w:b w:val="0"/>
          <w:sz w:val="24"/>
          <w:szCs w:val="24"/>
        </w:rPr>
        <w:t>add new incentive offers</w:t>
      </w:r>
      <w:r w:rsidR="00EA44CE" w:rsidRPr="00E24619">
        <w:rPr>
          <w:rFonts w:ascii="Times New Roman" w:hAnsi="Times New Roman" w:cs="Times New Roman"/>
          <w:b w:val="0"/>
          <w:sz w:val="24"/>
          <w:szCs w:val="24"/>
        </w:rPr>
        <w:t xml:space="preserve"> and measures </w:t>
      </w:r>
      <w:r w:rsidR="0071709D" w:rsidRPr="00E24619">
        <w:rPr>
          <w:rFonts w:ascii="Times New Roman" w:hAnsi="Times New Roman" w:cs="Times New Roman"/>
          <w:b w:val="0"/>
          <w:sz w:val="24"/>
          <w:szCs w:val="24"/>
        </w:rPr>
        <w:t xml:space="preserve">for prescriptive incentives, b) </w:t>
      </w:r>
      <w:r w:rsidR="00465CD0" w:rsidRPr="00E24619">
        <w:rPr>
          <w:rFonts w:ascii="Times New Roman" w:hAnsi="Times New Roman" w:cs="Times New Roman"/>
          <w:b w:val="0"/>
          <w:bCs w:val="0"/>
          <w:sz w:val="24"/>
          <w:szCs w:val="24"/>
        </w:rPr>
        <w:t xml:space="preserve">align </w:t>
      </w:r>
      <w:r w:rsidR="0071709D" w:rsidRPr="00E24619">
        <w:rPr>
          <w:rFonts w:ascii="Times New Roman" w:hAnsi="Times New Roman" w:cs="Times New Roman"/>
          <w:b w:val="0"/>
          <w:bCs w:val="0"/>
          <w:sz w:val="24"/>
          <w:szCs w:val="24"/>
        </w:rPr>
        <w:t xml:space="preserve">existing measures </w:t>
      </w:r>
      <w:r w:rsidR="00465CD0" w:rsidRPr="00E24619">
        <w:rPr>
          <w:rFonts w:ascii="Times New Roman" w:hAnsi="Times New Roman" w:cs="Times New Roman"/>
          <w:b w:val="0"/>
          <w:bCs w:val="0"/>
          <w:sz w:val="24"/>
          <w:szCs w:val="24"/>
        </w:rPr>
        <w:t>with changes in markets, codes, standards, and third party specifications,</w:t>
      </w:r>
      <w:r w:rsidR="0071709D" w:rsidRPr="00E24619">
        <w:rPr>
          <w:rFonts w:ascii="Times New Roman" w:hAnsi="Times New Roman" w:cs="Times New Roman"/>
          <w:b w:val="0"/>
          <w:sz w:val="24"/>
          <w:szCs w:val="24"/>
        </w:rPr>
        <w:t xml:space="preserve"> c</w:t>
      </w:r>
      <w:r w:rsidR="00465CD0" w:rsidRPr="00E24619">
        <w:rPr>
          <w:rFonts w:ascii="Times New Roman" w:hAnsi="Times New Roman" w:cs="Times New Roman"/>
          <w:b w:val="0"/>
          <w:sz w:val="24"/>
          <w:szCs w:val="24"/>
        </w:rPr>
        <w:t>) increase overall participation and energy savings ach</w:t>
      </w:r>
      <w:r w:rsidR="0071709D" w:rsidRPr="00E24619">
        <w:rPr>
          <w:rFonts w:ascii="Times New Roman" w:hAnsi="Times New Roman" w:cs="Times New Roman"/>
          <w:b w:val="0"/>
          <w:sz w:val="24"/>
          <w:szCs w:val="24"/>
        </w:rPr>
        <w:t>ieved through the program, and d</w:t>
      </w:r>
      <w:r w:rsidR="00465CD0" w:rsidRPr="00E24619">
        <w:rPr>
          <w:rFonts w:ascii="Times New Roman" w:hAnsi="Times New Roman" w:cs="Times New Roman"/>
          <w:b w:val="0"/>
          <w:sz w:val="24"/>
          <w:szCs w:val="24"/>
        </w:rPr>
        <w:t>) improv</w:t>
      </w:r>
      <w:r w:rsidR="0071709D" w:rsidRPr="00E24619">
        <w:rPr>
          <w:rFonts w:ascii="Times New Roman" w:hAnsi="Times New Roman" w:cs="Times New Roman"/>
          <w:b w:val="0"/>
          <w:sz w:val="24"/>
          <w:szCs w:val="24"/>
        </w:rPr>
        <w:t xml:space="preserve">e administration of the program by combining the </w:t>
      </w:r>
      <w:r w:rsidR="0020053B" w:rsidRPr="00E24619">
        <w:rPr>
          <w:rFonts w:ascii="Times New Roman" w:hAnsi="Times New Roman" w:cs="Times New Roman"/>
          <w:b w:val="0"/>
          <w:sz w:val="24"/>
          <w:szCs w:val="24"/>
        </w:rPr>
        <w:t xml:space="preserve">two schedules </w:t>
      </w:r>
      <w:r w:rsidR="00C20FF6">
        <w:rPr>
          <w:rFonts w:ascii="Times New Roman" w:hAnsi="Times New Roman" w:cs="Times New Roman"/>
          <w:b w:val="0"/>
          <w:sz w:val="24"/>
          <w:szCs w:val="24"/>
        </w:rPr>
        <w:t xml:space="preserve">into a single tariff and standardizing the administration of the </w:t>
      </w:r>
      <w:r w:rsidR="0020053B" w:rsidRPr="00E24619">
        <w:rPr>
          <w:rFonts w:ascii="Times New Roman" w:hAnsi="Times New Roman" w:cs="Times New Roman"/>
          <w:b w:val="0"/>
          <w:sz w:val="24"/>
          <w:szCs w:val="24"/>
        </w:rPr>
        <w:t xml:space="preserve">new schedule through the </w:t>
      </w:r>
      <w:r w:rsidR="00C20FF6">
        <w:rPr>
          <w:rFonts w:ascii="Times New Roman" w:hAnsi="Times New Roman" w:cs="Times New Roman"/>
          <w:b w:val="0"/>
          <w:sz w:val="24"/>
          <w:szCs w:val="24"/>
        </w:rPr>
        <w:t xml:space="preserve">flexible and more responsive </w:t>
      </w:r>
      <w:r w:rsidR="0020053B" w:rsidRPr="00E24619">
        <w:rPr>
          <w:rFonts w:ascii="Times New Roman" w:hAnsi="Times New Roman" w:cs="Times New Roman"/>
          <w:b w:val="0"/>
          <w:sz w:val="24"/>
          <w:szCs w:val="24"/>
        </w:rPr>
        <w:t xml:space="preserve">change process described below. </w:t>
      </w:r>
      <w:r w:rsidR="00465CD0" w:rsidRPr="00E24619">
        <w:rPr>
          <w:rFonts w:ascii="Times New Roman" w:hAnsi="Times New Roman" w:cs="Times New Roman"/>
          <w:b w:val="0"/>
          <w:sz w:val="24"/>
          <w:szCs w:val="24"/>
        </w:rPr>
        <w:t xml:space="preserve"> </w:t>
      </w:r>
      <w:r w:rsidR="0071709D" w:rsidRPr="00E24619">
        <w:rPr>
          <w:rFonts w:ascii="Times New Roman" w:hAnsi="Times New Roman" w:cs="Times New Roman"/>
          <w:b w:val="0"/>
          <w:sz w:val="24"/>
          <w:szCs w:val="24"/>
        </w:rPr>
        <w:t xml:space="preserve"> </w:t>
      </w:r>
    </w:p>
    <w:p w:rsidR="00465CD0" w:rsidRPr="00E24619" w:rsidRDefault="00465CD0" w:rsidP="00CA3572">
      <w:pPr>
        <w:pStyle w:val="Heading1"/>
        <w:spacing w:before="0" w:after="0"/>
        <w:ind w:firstLine="720"/>
        <w:jc w:val="both"/>
        <w:rPr>
          <w:rFonts w:ascii="Times New Roman" w:hAnsi="Times New Roman" w:cs="Times New Roman"/>
          <w:sz w:val="24"/>
          <w:szCs w:val="24"/>
        </w:rPr>
      </w:pPr>
    </w:p>
    <w:p w:rsidR="005809A3" w:rsidRPr="00E24619" w:rsidRDefault="005809A3" w:rsidP="007A2B12">
      <w:pPr>
        <w:rPr>
          <w:rFonts w:ascii="Times New Roman" w:hAnsi="Times New Roman"/>
        </w:rPr>
      </w:pPr>
      <w:r w:rsidRPr="00E24619">
        <w:rPr>
          <w:rFonts w:ascii="Times New Roman" w:hAnsi="Times New Roman"/>
        </w:rPr>
        <w:t xml:space="preserve">Schedule 115 follows the </w:t>
      </w:r>
      <w:r w:rsidR="00635EE3">
        <w:rPr>
          <w:rFonts w:ascii="Times New Roman" w:hAnsi="Times New Roman"/>
        </w:rPr>
        <w:t xml:space="preserve">same </w:t>
      </w:r>
      <w:r w:rsidR="00C20FF6">
        <w:rPr>
          <w:rFonts w:ascii="Times New Roman" w:hAnsi="Times New Roman"/>
        </w:rPr>
        <w:t xml:space="preserve">administrative </w:t>
      </w:r>
      <w:r w:rsidRPr="00E24619">
        <w:rPr>
          <w:rFonts w:ascii="Times New Roman" w:hAnsi="Times New Roman"/>
        </w:rPr>
        <w:t xml:space="preserve">change process </w:t>
      </w:r>
      <w:r w:rsidR="00C20FF6">
        <w:rPr>
          <w:rFonts w:ascii="Times New Roman" w:hAnsi="Times New Roman"/>
        </w:rPr>
        <w:t xml:space="preserve">the company proposes </w:t>
      </w:r>
      <w:r w:rsidR="00635EE3">
        <w:rPr>
          <w:rFonts w:ascii="Times New Roman" w:hAnsi="Times New Roman"/>
        </w:rPr>
        <w:t xml:space="preserve">for </w:t>
      </w:r>
      <w:r w:rsidR="002A5F22">
        <w:rPr>
          <w:rFonts w:ascii="Times New Roman" w:hAnsi="Times New Roman"/>
        </w:rPr>
        <w:t xml:space="preserve">the </w:t>
      </w:r>
      <w:r w:rsidR="00C20FF6">
        <w:rPr>
          <w:rFonts w:ascii="Times New Roman" w:hAnsi="Times New Roman"/>
        </w:rPr>
        <w:t>new schedule</w:t>
      </w:r>
      <w:r w:rsidR="00635EE3">
        <w:rPr>
          <w:rFonts w:ascii="Times New Roman" w:hAnsi="Times New Roman"/>
        </w:rPr>
        <w:t xml:space="preserve">, </w:t>
      </w:r>
      <w:r w:rsidRPr="00E24619">
        <w:rPr>
          <w:rFonts w:ascii="Times New Roman" w:hAnsi="Times New Roman"/>
        </w:rPr>
        <w:t xml:space="preserve">which </w:t>
      </w:r>
      <w:r w:rsidR="00862F65" w:rsidRPr="00E24619">
        <w:rPr>
          <w:rFonts w:ascii="Times New Roman" w:hAnsi="Times New Roman"/>
        </w:rPr>
        <w:t xml:space="preserve">includes advisory group input but </w:t>
      </w:r>
      <w:r w:rsidRPr="00E24619">
        <w:rPr>
          <w:rFonts w:ascii="Times New Roman" w:hAnsi="Times New Roman"/>
        </w:rPr>
        <w:t xml:space="preserve">does not require formal commission action. </w:t>
      </w:r>
      <w:r w:rsidR="00635EE3">
        <w:rPr>
          <w:rFonts w:ascii="Times New Roman" w:hAnsi="Times New Roman"/>
        </w:rPr>
        <w:t xml:space="preserve">However, </w:t>
      </w:r>
      <w:r w:rsidRPr="00E24619">
        <w:rPr>
          <w:rFonts w:ascii="Times New Roman" w:hAnsi="Times New Roman"/>
        </w:rPr>
        <w:t xml:space="preserve">Schedule 125 utilizes a program change process that requires formal commission approval </w:t>
      </w:r>
      <w:r w:rsidR="002C4FF5" w:rsidRPr="00E24619">
        <w:rPr>
          <w:rFonts w:ascii="Times New Roman" w:hAnsi="Times New Roman"/>
        </w:rPr>
        <w:t xml:space="preserve">but also </w:t>
      </w:r>
      <w:r w:rsidRPr="00E24619">
        <w:rPr>
          <w:rFonts w:ascii="Times New Roman" w:hAnsi="Times New Roman"/>
        </w:rPr>
        <w:t xml:space="preserve">contains offers that are managed in </w:t>
      </w:r>
      <w:r w:rsidR="00C20FF6">
        <w:rPr>
          <w:rFonts w:ascii="Times New Roman" w:hAnsi="Times New Roman"/>
        </w:rPr>
        <w:t xml:space="preserve">a </w:t>
      </w:r>
      <w:r w:rsidRPr="00E24619">
        <w:rPr>
          <w:rFonts w:ascii="Times New Roman" w:hAnsi="Times New Roman"/>
        </w:rPr>
        <w:t>manner similar to Schedule 115.</w:t>
      </w:r>
    </w:p>
    <w:p w:rsidR="005809A3" w:rsidRPr="00E24619" w:rsidRDefault="005809A3" w:rsidP="00CA3572">
      <w:pPr>
        <w:ind w:firstLine="720"/>
        <w:jc w:val="both"/>
        <w:rPr>
          <w:rFonts w:ascii="Times New Roman" w:hAnsi="Times New Roman"/>
        </w:rPr>
      </w:pPr>
    </w:p>
    <w:p w:rsidR="00D9430E" w:rsidRPr="00E24619" w:rsidRDefault="002D558C" w:rsidP="007A2B12">
      <w:pPr>
        <w:rPr>
          <w:rFonts w:ascii="Times New Roman" w:hAnsi="Times New Roman"/>
        </w:rPr>
      </w:pPr>
      <w:r w:rsidRPr="00E24619">
        <w:rPr>
          <w:rFonts w:ascii="Times New Roman" w:hAnsi="Times New Roman"/>
        </w:rPr>
        <w:t xml:space="preserve">To </w:t>
      </w:r>
      <w:r w:rsidR="00D9430E" w:rsidRPr="00E24619">
        <w:rPr>
          <w:rFonts w:ascii="Times New Roman" w:hAnsi="Times New Roman"/>
        </w:rPr>
        <w:t xml:space="preserve">streamline </w:t>
      </w:r>
      <w:r w:rsidR="00EE1FC0" w:rsidRPr="00E24619">
        <w:rPr>
          <w:rFonts w:ascii="Times New Roman" w:hAnsi="Times New Roman"/>
        </w:rPr>
        <w:t xml:space="preserve">administration, </w:t>
      </w:r>
      <w:r w:rsidR="00D9430E" w:rsidRPr="00E24619">
        <w:rPr>
          <w:rFonts w:ascii="Times New Roman" w:hAnsi="Times New Roman"/>
        </w:rPr>
        <w:t>the Company requests to cancel the two existing tariffs and consolidate the programs into a single tariff</w:t>
      </w:r>
      <w:r w:rsidR="00CA3572">
        <w:rPr>
          <w:rFonts w:ascii="Times New Roman" w:hAnsi="Times New Roman"/>
        </w:rPr>
        <w:t xml:space="preserve">, </w:t>
      </w:r>
      <w:r w:rsidR="00EE1FC0" w:rsidRPr="00E24619">
        <w:rPr>
          <w:rFonts w:ascii="Times New Roman" w:hAnsi="Times New Roman"/>
        </w:rPr>
        <w:t>Schedule 140 - Non-Residential Energ</w:t>
      </w:r>
      <w:r w:rsidR="00CA3572">
        <w:rPr>
          <w:rFonts w:ascii="Times New Roman" w:hAnsi="Times New Roman"/>
        </w:rPr>
        <w:t>y Efficiency</w:t>
      </w:r>
      <w:r w:rsidR="00E03255" w:rsidRPr="00E24619">
        <w:rPr>
          <w:rFonts w:ascii="Times New Roman" w:hAnsi="Times New Roman"/>
        </w:rPr>
        <w:t xml:space="preserve">.   The new tariff </w:t>
      </w:r>
      <w:r w:rsidR="00D9430E" w:rsidRPr="00E24619">
        <w:rPr>
          <w:rFonts w:ascii="Times New Roman" w:hAnsi="Times New Roman"/>
        </w:rPr>
        <w:t>will utilize the modification procedure established with the approval of Advice No. 06-008 by the Washington Utilities and Transportation Commission. In Advice No. 06-008 (Docket No. UE-061710), the Company described the program change process as follows:</w:t>
      </w:r>
    </w:p>
    <w:p w:rsidR="00D9430E" w:rsidRPr="00E24619" w:rsidRDefault="00D9430E" w:rsidP="00CA3572">
      <w:pPr>
        <w:ind w:firstLine="720"/>
        <w:jc w:val="both"/>
        <w:rPr>
          <w:rFonts w:ascii="Times New Roman" w:hAnsi="Times New Roman"/>
        </w:rPr>
      </w:pPr>
    </w:p>
    <w:p w:rsidR="00D9430E" w:rsidRPr="00E24619" w:rsidRDefault="00D9430E" w:rsidP="00CA3572">
      <w:pPr>
        <w:tabs>
          <w:tab w:val="left" w:pos="720"/>
        </w:tabs>
        <w:ind w:left="720" w:right="1440"/>
        <w:jc w:val="both"/>
        <w:rPr>
          <w:rFonts w:ascii="Times New Roman" w:hAnsi="Times New Roman"/>
        </w:rPr>
      </w:pPr>
      <w:r w:rsidRPr="00E24619">
        <w:rPr>
          <w:rFonts w:ascii="Times New Roman" w:hAnsi="Times New Roman"/>
        </w:rPr>
        <w:t xml:space="preserve">“…the Company would present information on proposed changes to its Advisory Group and seek comments prior to making changes. Changes would be clearly posted on the Web site and emailed to the appropriate Commission staff person with at least 45 days advance notice.” </w:t>
      </w:r>
    </w:p>
    <w:p w:rsidR="00D9430E" w:rsidRPr="00E24619" w:rsidRDefault="00D9430E" w:rsidP="00CA3572">
      <w:pPr>
        <w:ind w:firstLine="720"/>
        <w:jc w:val="both"/>
        <w:rPr>
          <w:rFonts w:ascii="Times New Roman" w:hAnsi="Times New Roman"/>
        </w:rPr>
      </w:pPr>
      <w:r w:rsidRPr="00E24619">
        <w:rPr>
          <w:rFonts w:ascii="Times New Roman" w:hAnsi="Times New Roman"/>
        </w:rPr>
        <w:t xml:space="preserve"> </w:t>
      </w:r>
    </w:p>
    <w:p w:rsidR="00D9430E" w:rsidRPr="00E24619" w:rsidRDefault="00D9430E" w:rsidP="00CA3572">
      <w:pPr>
        <w:ind w:firstLine="720"/>
        <w:jc w:val="both"/>
        <w:rPr>
          <w:rFonts w:ascii="Times New Roman" w:hAnsi="Times New Roman"/>
        </w:rPr>
      </w:pPr>
    </w:p>
    <w:p w:rsidR="00A73B8D" w:rsidRPr="00E24619" w:rsidRDefault="00EE1FC0" w:rsidP="007A2B12">
      <w:pPr>
        <w:rPr>
          <w:rFonts w:ascii="Times New Roman" w:hAnsi="Times New Roman"/>
        </w:rPr>
      </w:pPr>
      <w:r w:rsidRPr="00E24619">
        <w:rPr>
          <w:rFonts w:ascii="Times New Roman" w:hAnsi="Times New Roman"/>
        </w:rPr>
        <w:lastRenderedPageBreak/>
        <w:t xml:space="preserve">If approved, Schedule 140 </w:t>
      </w:r>
      <w:r w:rsidR="00A73B8D" w:rsidRPr="00E24619">
        <w:rPr>
          <w:rFonts w:ascii="Times New Roman" w:hAnsi="Times New Roman"/>
        </w:rPr>
        <w:t>will consist of the tariff (</w:t>
      </w:r>
      <w:r w:rsidR="002C5379" w:rsidRPr="00E24619">
        <w:rPr>
          <w:rFonts w:ascii="Times New Roman" w:hAnsi="Times New Roman"/>
        </w:rPr>
        <w:t>Attachment A</w:t>
      </w:r>
      <w:r w:rsidR="00A73B8D" w:rsidRPr="00E24619">
        <w:rPr>
          <w:rFonts w:ascii="Times New Roman" w:hAnsi="Times New Roman"/>
        </w:rPr>
        <w:t xml:space="preserve">) </w:t>
      </w:r>
      <w:r w:rsidR="00C20FF6">
        <w:rPr>
          <w:rFonts w:ascii="Times New Roman" w:hAnsi="Times New Roman"/>
        </w:rPr>
        <w:t>that contains general information on the program</w:t>
      </w:r>
      <w:r w:rsidR="00E67AF3">
        <w:rPr>
          <w:rFonts w:ascii="Times New Roman" w:hAnsi="Times New Roman"/>
        </w:rPr>
        <w:t xml:space="preserve"> with more detailed program specifics such as qualifying equipment and incentives posted to the Company Web site. The information proposed to be posted to the </w:t>
      </w:r>
      <w:r w:rsidR="00635EE3">
        <w:rPr>
          <w:rFonts w:ascii="Times New Roman" w:hAnsi="Times New Roman"/>
        </w:rPr>
        <w:t>w</w:t>
      </w:r>
      <w:r w:rsidR="00E67AF3">
        <w:rPr>
          <w:rFonts w:ascii="Times New Roman" w:hAnsi="Times New Roman"/>
        </w:rPr>
        <w:t xml:space="preserve">ebsite is provided </w:t>
      </w:r>
      <w:r w:rsidRPr="00E24619">
        <w:rPr>
          <w:rFonts w:ascii="Times New Roman" w:hAnsi="Times New Roman"/>
        </w:rPr>
        <w:t xml:space="preserve">in </w:t>
      </w:r>
      <w:r w:rsidR="002C5379" w:rsidRPr="00E24619">
        <w:rPr>
          <w:rFonts w:ascii="Times New Roman" w:hAnsi="Times New Roman"/>
        </w:rPr>
        <w:t>Attachment B</w:t>
      </w:r>
      <w:r w:rsidRPr="00E24619">
        <w:rPr>
          <w:rFonts w:ascii="Times New Roman" w:hAnsi="Times New Roman"/>
        </w:rPr>
        <w:t xml:space="preserve">: WA Incentive Tables and Information. Subsequent changes to this information will follow the program change process </w:t>
      </w:r>
      <w:r w:rsidR="00B7372B" w:rsidRPr="00E24619">
        <w:rPr>
          <w:rFonts w:ascii="Times New Roman" w:hAnsi="Times New Roman"/>
        </w:rPr>
        <w:t>described above</w:t>
      </w:r>
      <w:r w:rsidRPr="00E24619">
        <w:rPr>
          <w:rFonts w:ascii="Times New Roman" w:hAnsi="Times New Roman"/>
        </w:rPr>
        <w:t xml:space="preserve">. </w:t>
      </w:r>
      <w:r w:rsidR="00B7372B" w:rsidRPr="00E24619">
        <w:rPr>
          <w:rFonts w:ascii="Times New Roman" w:hAnsi="Times New Roman"/>
        </w:rPr>
        <w:t xml:space="preserve"> </w:t>
      </w:r>
    </w:p>
    <w:p w:rsidR="00A73B8D" w:rsidRPr="00E24619" w:rsidRDefault="00A73B8D" w:rsidP="00CA3572">
      <w:pPr>
        <w:ind w:firstLine="720"/>
        <w:jc w:val="both"/>
        <w:rPr>
          <w:rFonts w:ascii="Times New Roman" w:hAnsi="Times New Roman"/>
        </w:rPr>
      </w:pPr>
    </w:p>
    <w:p w:rsidR="00EA44CE" w:rsidRPr="00E24619" w:rsidRDefault="00D5568D" w:rsidP="007A2B12">
      <w:pPr>
        <w:rPr>
          <w:rFonts w:ascii="Times New Roman" w:hAnsi="Times New Roman"/>
        </w:rPr>
      </w:pPr>
      <w:r w:rsidRPr="00E24619">
        <w:rPr>
          <w:rFonts w:ascii="Times New Roman" w:hAnsi="Times New Roman"/>
        </w:rPr>
        <w:t>T</w:t>
      </w:r>
      <w:r w:rsidR="00D9430E" w:rsidRPr="00E24619">
        <w:rPr>
          <w:rFonts w:ascii="Times New Roman" w:hAnsi="Times New Roman"/>
        </w:rPr>
        <w:t>he Company</w:t>
      </w:r>
      <w:r w:rsidR="002C4FF5" w:rsidRPr="00E24619">
        <w:rPr>
          <w:rFonts w:ascii="Times New Roman" w:hAnsi="Times New Roman"/>
        </w:rPr>
        <w:t xml:space="preserve"> </w:t>
      </w:r>
      <w:r w:rsidR="00D9430E" w:rsidRPr="00E24619">
        <w:rPr>
          <w:rFonts w:ascii="Times New Roman" w:hAnsi="Times New Roman"/>
        </w:rPr>
        <w:t>propos</w:t>
      </w:r>
      <w:r w:rsidRPr="00E24619">
        <w:rPr>
          <w:rFonts w:ascii="Times New Roman" w:hAnsi="Times New Roman"/>
        </w:rPr>
        <w:t xml:space="preserve">ed </w:t>
      </w:r>
      <w:r w:rsidR="00D9430E" w:rsidRPr="00E24619">
        <w:rPr>
          <w:rFonts w:ascii="Times New Roman" w:hAnsi="Times New Roman"/>
        </w:rPr>
        <w:t xml:space="preserve">program </w:t>
      </w:r>
      <w:r w:rsidRPr="00E24619">
        <w:rPr>
          <w:rFonts w:ascii="Times New Roman" w:hAnsi="Times New Roman"/>
        </w:rPr>
        <w:t xml:space="preserve">additions and enhancements </w:t>
      </w:r>
      <w:r w:rsidR="00D9430E" w:rsidRPr="00E24619">
        <w:rPr>
          <w:rFonts w:ascii="Times New Roman" w:hAnsi="Times New Roman"/>
        </w:rPr>
        <w:t>describe</w:t>
      </w:r>
      <w:r w:rsidR="00B95E36" w:rsidRPr="00E24619">
        <w:rPr>
          <w:rFonts w:ascii="Times New Roman" w:hAnsi="Times New Roman"/>
        </w:rPr>
        <w:t>d</w:t>
      </w:r>
      <w:r w:rsidR="00D9430E" w:rsidRPr="00E24619">
        <w:rPr>
          <w:rFonts w:ascii="Times New Roman" w:hAnsi="Times New Roman"/>
        </w:rPr>
        <w:t xml:space="preserve"> more fully below</w:t>
      </w:r>
      <w:r w:rsidR="00EA44CE" w:rsidRPr="00E24619">
        <w:rPr>
          <w:rFonts w:ascii="Times New Roman" w:hAnsi="Times New Roman"/>
        </w:rPr>
        <w:t xml:space="preserve"> </w:t>
      </w:r>
      <w:r w:rsidRPr="00E24619">
        <w:rPr>
          <w:rFonts w:ascii="Times New Roman" w:hAnsi="Times New Roman"/>
        </w:rPr>
        <w:t xml:space="preserve">are designed to </w:t>
      </w:r>
      <w:r w:rsidR="00EA44CE" w:rsidRPr="00E24619">
        <w:rPr>
          <w:rFonts w:ascii="Times New Roman" w:hAnsi="Times New Roman"/>
        </w:rPr>
        <w:t xml:space="preserve">support </w:t>
      </w:r>
      <w:r w:rsidR="00D9430E" w:rsidRPr="00E24619">
        <w:rPr>
          <w:rFonts w:ascii="Times New Roman" w:hAnsi="Times New Roman"/>
        </w:rPr>
        <w:t>continuing acqui</w:t>
      </w:r>
      <w:r w:rsidR="008F5112" w:rsidRPr="00E24619">
        <w:rPr>
          <w:rFonts w:ascii="Times New Roman" w:hAnsi="Times New Roman"/>
        </w:rPr>
        <w:t xml:space="preserve">sition of </w:t>
      </w:r>
      <w:r w:rsidR="00D9430E" w:rsidRPr="00E24619">
        <w:rPr>
          <w:rFonts w:ascii="Times New Roman" w:hAnsi="Times New Roman"/>
        </w:rPr>
        <w:t>all cost-effective conservation</w:t>
      </w:r>
      <w:r w:rsidR="005809A3" w:rsidRPr="00E24619">
        <w:rPr>
          <w:rFonts w:ascii="Times New Roman" w:hAnsi="Times New Roman"/>
        </w:rPr>
        <w:t xml:space="preserve"> from business customers</w:t>
      </w:r>
      <w:r w:rsidR="00EA44CE" w:rsidRPr="00E24619">
        <w:rPr>
          <w:rFonts w:ascii="Times New Roman" w:hAnsi="Times New Roman"/>
        </w:rPr>
        <w:t xml:space="preserve"> and help reinforce the ongoing ethos of energy efficient new construction, facility upgrades, and ongoing operations. </w:t>
      </w:r>
    </w:p>
    <w:p w:rsidR="00B95E36" w:rsidRPr="00E24619" w:rsidRDefault="00B95E36" w:rsidP="00CA3572">
      <w:pPr>
        <w:jc w:val="both"/>
        <w:rPr>
          <w:rFonts w:ascii="Times New Roman" w:hAnsi="Times New Roman"/>
          <w:b/>
        </w:rPr>
      </w:pPr>
    </w:p>
    <w:p w:rsidR="00D9430E" w:rsidRPr="00E24619" w:rsidRDefault="00B95E36" w:rsidP="00CA3572">
      <w:pPr>
        <w:jc w:val="both"/>
        <w:rPr>
          <w:rFonts w:ascii="Times New Roman" w:hAnsi="Times New Roman"/>
        </w:rPr>
      </w:pPr>
      <w:r w:rsidRPr="00E24619">
        <w:rPr>
          <w:rFonts w:ascii="Times New Roman" w:hAnsi="Times New Roman"/>
          <w:b/>
        </w:rPr>
        <w:t xml:space="preserve">Proposed </w:t>
      </w:r>
      <w:r w:rsidR="004B6416" w:rsidRPr="00E24619">
        <w:rPr>
          <w:rFonts w:ascii="Times New Roman" w:hAnsi="Times New Roman"/>
          <w:b/>
        </w:rPr>
        <w:t xml:space="preserve">Program Offer </w:t>
      </w:r>
      <w:r w:rsidRPr="00E24619">
        <w:rPr>
          <w:rFonts w:ascii="Times New Roman" w:hAnsi="Times New Roman"/>
          <w:b/>
        </w:rPr>
        <w:t>Changes</w:t>
      </w:r>
    </w:p>
    <w:p w:rsidR="00B95E36" w:rsidRPr="00E24619" w:rsidRDefault="00B95E36" w:rsidP="00CA3572">
      <w:pPr>
        <w:ind w:firstLine="720"/>
        <w:jc w:val="both"/>
        <w:rPr>
          <w:rFonts w:ascii="Times New Roman" w:hAnsi="Times New Roman"/>
        </w:rPr>
      </w:pPr>
    </w:p>
    <w:p w:rsidR="003953C1" w:rsidRPr="00E24619" w:rsidRDefault="004B6416" w:rsidP="007A2B12">
      <w:pPr>
        <w:rPr>
          <w:rFonts w:ascii="Times New Roman" w:hAnsi="Times New Roman"/>
        </w:rPr>
      </w:pPr>
      <w:r w:rsidRPr="00E24619">
        <w:rPr>
          <w:rFonts w:ascii="Times New Roman" w:hAnsi="Times New Roman"/>
        </w:rPr>
        <w:t xml:space="preserve"> </w:t>
      </w:r>
      <w:r w:rsidR="003953C1" w:rsidRPr="00E24619">
        <w:rPr>
          <w:rFonts w:ascii="Times New Roman" w:hAnsi="Times New Roman"/>
        </w:rPr>
        <w:t xml:space="preserve">The Company </w:t>
      </w:r>
      <w:r w:rsidR="00073485" w:rsidRPr="00E24619">
        <w:rPr>
          <w:rFonts w:ascii="Times New Roman" w:hAnsi="Times New Roman"/>
          <w:szCs w:val="24"/>
        </w:rPr>
        <w:t>retained third part</w:t>
      </w:r>
      <w:r w:rsidR="00223901" w:rsidRPr="00E24619">
        <w:rPr>
          <w:rFonts w:ascii="Times New Roman" w:hAnsi="Times New Roman"/>
          <w:szCs w:val="24"/>
        </w:rPr>
        <w:t xml:space="preserve">ies </w:t>
      </w:r>
      <w:r w:rsidR="00073485" w:rsidRPr="00E24619">
        <w:rPr>
          <w:rFonts w:ascii="Times New Roman" w:hAnsi="Times New Roman"/>
          <w:szCs w:val="24"/>
        </w:rPr>
        <w:t xml:space="preserve">through a competitive bidding process to </w:t>
      </w:r>
      <w:r w:rsidR="00E9388C">
        <w:rPr>
          <w:rFonts w:ascii="Times New Roman" w:hAnsi="Times New Roman"/>
          <w:szCs w:val="24"/>
        </w:rPr>
        <w:t xml:space="preserve">assist in the </w:t>
      </w:r>
      <w:r w:rsidR="00073485" w:rsidRPr="00E24619">
        <w:rPr>
          <w:rFonts w:ascii="Times New Roman" w:hAnsi="Times New Roman"/>
          <w:szCs w:val="24"/>
        </w:rPr>
        <w:t xml:space="preserve">review </w:t>
      </w:r>
      <w:r w:rsidR="00635EE3">
        <w:rPr>
          <w:rFonts w:ascii="Times New Roman" w:hAnsi="Times New Roman"/>
          <w:szCs w:val="24"/>
        </w:rPr>
        <w:t xml:space="preserve">of </w:t>
      </w:r>
      <w:r w:rsidR="00073485" w:rsidRPr="00E24619">
        <w:rPr>
          <w:rFonts w:ascii="Times New Roman" w:hAnsi="Times New Roman"/>
          <w:szCs w:val="24"/>
        </w:rPr>
        <w:t xml:space="preserve">the </w:t>
      </w:r>
      <w:r w:rsidR="00223901" w:rsidRPr="00E24619">
        <w:rPr>
          <w:rFonts w:ascii="Times New Roman" w:hAnsi="Times New Roman"/>
          <w:szCs w:val="24"/>
        </w:rPr>
        <w:t xml:space="preserve">current prescriptive </w:t>
      </w:r>
      <w:r w:rsidR="00073485" w:rsidRPr="00E24619">
        <w:rPr>
          <w:rFonts w:ascii="Times New Roman" w:hAnsi="Times New Roman"/>
          <w:szCs w:val="24"/>
        </w:rPr>
        <w:t>program</w:t>
      </w:r>
      <w:r w:rsidR="00223901" w:rsidRPr="00E24619">
        <w:rPr>
          <w:rStyle w:val="FootnoteReference"/>
          <w:rFonts w:ascii="Times New Roman" w:hAnsi="Times New Roman"/>
          <w:szCs w:val="24"/>
        </w:rPr>
        <w:footnoteReference w:id="2"/>
      </w:r>
      <w:r w:rsidR="00073485" w:rsidRPr="00E24619">
        <w:rPr>
          <w:rFonts w:ascii="Times New Roman" w:hAnsi="Times New Roman"/>
          <w:szCs w:val="24"/>
        </w:rPr>
        <w:t xml:space="preserve"> and to </w:t>
      </w:r>
      <w:r w:rsidR="00E67AF3">
        <w:rPr>
          <w:rFonts w:ascii="Times New Roman" w:hAnsi="Times New Roman"/>
          <w:szCs w:val="24"/>
        </w:rPr>
        <w:t xml:space="preserve">assist in the validation of company </w:t>
      </w:r>
      <w:r w:rsidR="00223901" w:rsidRPr="00E24619">
        <w:rPr>
          <w:rFonts w:ascii="Times New Roman" w:hAnsi="Times New Roman"/>
          <w:szCs w:val="24"/>
        </w:rPr>
        <w:t>estimate</w:t>
      </w:r>
      <w:r w:rsidR="002C4FF5" w:rsidRPr="00E24619">
        <w:rPr>
          <w:rFonts w:ascii="Times New Roman" w:hAnsi="Times New Roman"/>
          <w:szCs w:val="24"/>
        </w:rPr>
        <w:t>s</w:t>
      </w:r>
      <w:r w:rsidR="00E67AF3">
        <w:rPr>
          <w:rFonts w:ascii="Times New Roman" w:hAnsi="Times New Roman"/>
          <w:szCs w:val="24"/>
        </w:rPr>
        <w:t xml:space="preserve"> and market applicability</w:t>
      </w:r>
      <w:r w:rsidR="00223901" w:rsidRPr="00E24619">
        <w:rPr>
          <w:rFonts w:ascii="Times New Roman" w:hAnsi="Times New Roman"/>
          <w:szCs w:val="24"/>
        </w:rPr>
        <w:t xml:space="preserve"> for energy management opportunities. </w:t>
      </w:r>
      <w:r w:rsidR="00073485" w:rsidRPr="00E24619">
        <w:rPr>
          <w:rFonts w:ascii="Times New Roman" w:hAnsi="Times New Roman"/>
          <w:szCs w:val="24"/>
        </w:rPr>
        <w:t>The review</w:t>
      </w:r>
      <w:r w:rsidR="003953C1" w:rsidRPr="00E24619">
        <w:rPr>
          <w:rFonts w:ascii="Times New Roman" w:hAnsi="Times New Roman"/>
          <w:szCs w:val="24"/>
        </w:rPr>
        <w:t>s</w:t>
      </w:r>
      <w:r w:rsidR="00073485" w:rsidRPr="00E24619">
        <w:rPr>
          <w:rFonts w:ascii="Times New Roman" w:hAnsi="Times New Roman"/>
          <w:szCs w:val="24"/>
        </w:rPr>
        <w:t xml:space="preserve"> </w:t>
      </w:r>
      <w:r w:rsidR="00CA3572">
        <w:rPr>
          <w:rFonts w:ascii="Times New Roman" w:hAnsi="Times New Roman"/>
          <w:szCs w:val="24"/>
        </w:rPr>
        <w:t>targeted ways</w:t>
      </w:r>
      <w:r w:rsidR="00223901" w:rsidRPr="00E24619">
        <w:rPr>
          <w:rFonts w:ascii="Times New Roman" w:hAnsi="Times New Roman"/>
          <w:szCs w:val="24"/>
        </w:rPr>
        <w:t xml:space="preserve"> to </w:t>
      </w:r>
      <w:r w:rsidR="00073485" w:rsidRPr="00E24619">
        <w:rPr>
          <w:rFonts w:ascii="Times New Roman" w:hAnsi="Times New Roman"/>
          <w:szCs w:val="24"/>
        </w:rPr>
        <w:t>increase the level of energy savings achieved</w:t>
      </w:r>
      <w:r w:rsidR="002C4FF5" w:rsidRPr="00E24619">
        <w:rPr>
          <w:rFonts w:ascii="Times New Roman" w:hAnsi="Times New Roman"/>
          <w:szCs w:val="24"/>
        </w:rPr>
        <w:t xml:space="preserve">, </w:t>
      </w:r>
      <w:r w:rsidR="00073485" w:rsidRPr="00E24619">
        <w:rPr>
          <w:rFonts w:ascii="Times New Roman" w:hAnsi="Times New Roman"/>
          <w:szCs w:val="24"/>
        </w:rPr>
        <w:t xml:space="preserve">increase the comprehensiveness of the </w:t>
      </w:r>
      <w:r w:rsidR="00223901" w:rsidRPr="00E24619">
        <w:rPr>
          <w:rFonts w:ascii="Times New Roman" w:hAnsi="Times New Roman"/>
          <w:szCs w:val="24"/>
        </w:rPr>
        <w:t>prescriptive measures</w:t>
      </w:r>
      <w:r w:rsidR="002C4FF5" w:rsidRPr="00E24619">
        <w:rPr>
          <w:rFonts w:ascii="Times New Roman" w:hAnsi="Times New Roman"/>
          <w:szCs w:val="24"/>
        </w:rPr>
        <w:t>,</w:t>
      </w:r>
      <w:r w:rsidR="00223901" w:rsidRPr="00E24619">
        <w:rPr>
          <w:rFonts w:ascii="Times New Roman" w:hAnsi="Times New Roman"/>
          <w:szCs w:val="24"/>
        </w:rPr>
        <w:t xml:space="preserve"> and to provide </w:t>
      </w:r>
      <w:r w:rsidR="00CA3572">
        <w:rPr>
          <w:rFonts w:ascii="Times New Roman" w:hAnsi="Times New Roman"/>
          <w:szCs w:val="24"/>
        </w:rPr>
        <w:t>initial economics for</w:t>
      </w:r>
      <w:r w:rsidR="00223901" w:rsidRPr="00E24619">
        <w:rPr>
          <w:rFonts w:ascii="Times New Roman" w:hAnsi="Times New Roman"/>
          <w:szCs w:val="24"/>
        </w:rPr>
        <w:t xml:space="preserve"> energy management. </w:t>
      </w:r>
      <w:r w:rsidR="00073485" w:rsidRPr="00E24619">
        <w:rPr>
          <w:rFonts w:ascii="Times New Roman" w:hAnsi="Times New Roman"/>
          <w:szCs w:val="24"/>
        </w:rPr>
        <w:t>Several of the program modifications described herein have been informed by th</w:t>
      </w:r>
      <w:r w:rsidR="003953C1" w:rsidRPr="00E24619">
        <w:rPr>
          <w:rFonts w:ascii="Times New Roman" w:hAnsi="Times New Roman"/>
          <w:szCs w:val="24"/>
        </w:rPr>
        <w:t>ese reviews</w:t>
      </w:r>
      <w:r w:rsidR="00CA3572">
        <w:rPr>
          <w:rFonts w:ascii="Times New Roman" w:hAnsi="Times New Roman"/>
          <w:szCs w:val="24"/>
        </w:rPr>
        <w:t>,</w:t>
      </w:r>
      <w:r w:rsidR="003953C1" w:rsidRPr="00E24619">
        <w:rPr>
          <w:rFonts w:ascii="Times New Roman" w:hAnsi="Times New Roman"/>
          <w:szCs w:val="24"/>
        </w:rPr>
        <w:t xml:space="preserve"> and </w:t>
      </w:r>
      <w:r w:rsidR="00CA3572">
        <w:rPr>
          <w:rFonts w:ascii="Times New Roman" w:hAnsi="Times New Roman"/>
          <w:szCs w:val="24"/>
        </w:rPr>
        <w:t xml:space="preserve">the </w:t>
      </w:r>
      <w:r w:rsidR="003953C1" w:rsidRPr="00E24619">
        <w:rPr>
          <w:rFonts w:ascii="Times New Roman" w:hAnsi="Times New Roman"/>
          <w:szCs w:val="24"/>
        </w:rPr>
        <w:t>p</w:t>
      </w:r>
      <w:r w:rsidR="00073485" w:rsidRPr="00E24619">
        <w:rPr>
          <w:rFonts w:ascii="Times New Roman" w:hAnsi="Times New Roman"/>
          <w:szCs w:val="24"/>
        </w:rPr>
        <w:t xml:space="preserve">rojections </w:t>
      </w:r>
      <w:r w:rsidR="001D3F1E" w:rsidRPr="00E24619">
        <w:rPr>
          <w:rFonts w:ascii="Times New Roman" w:hAnsi="Times New Roman"/>
          <w:szCs w:val="24"/>
        </w:rPr>
        <w:t xml:space="preserve">were </w:t>
      </w:r>
      <w:r w:rsidR="00223901" w:rsidRPr="00E24619">
        <w:rPr>
          <w:rFonts w:ascii="Times New Roman" w:hAnsi="Times New Roman"/>
          <w:szCs w:val="24"/>
        </w:rPr>
        <w:t>used to inform cost effectiveness</w:t>
      </w:r>
      <w:r w:rsidR="003953C1" w:rsidRPr="00E24619">
        <w:rPr>
          <w:rFonts w:ascii="Times New Roman" w:hAnsi="Times New Roman"/>
          <w:szCs w:val="24"/>
        </w:rPr>
        <w:t xml:space="preserve">. The projections </w:t>
      </w:r>
      <w:r w:rsidR="001D3F1E" w:rsidRPr="00E24619">
        <w:rPr>
          <w:rFonts w:ascii="Times New Roman" w:hAnsi="Times New Roman"/>
          <w:szCs w:val="24"/>
        </w:rPr>
        <w:t xml:space="preserve">are </w:t>
      </w:r>
      <w:r w:rsidR="00073485" w:rsidRPr="00E24619">
        <w:rPr>
          <w:rFonts w:ascii="Times New Roman" w:hAnsi="Times New Roman"/>
          <w:szCs w:val="24"/>
        </w:rPr>
        <w:t xml:space="preserve">intended to capture the relative magnitude of </w:t>
      </w:r>
      <w:r w:rsidR="00CA3572">
        <w:rPr>
          <w:rFonts w:ascii="Times New Roman" w:hAnsi="Times New Roman"/>
          <w:szCs w:val="24"/>
        </w:rPr>
        <w:t>impacts</w:t>
      </w:r>
      <w:r w:rsidR="00073485" w:rsidRPr="00E24619">
        <w:rPr>
          <w:rFonts w:ascii="Times New Roman" w:hAnsi="Times New Roman"/>
          <w:szCs w:val="24"/>
        </w:rPr>
        <w:t xml:space="preserve"> resulting from the program changes for a typical year. Actual results in a</w:t>
      </w:r>
      <w:r w:rsidR="00E30A0E" w:rsidRPr="00E24619">
        <w:rPr>
          <w:rFonts w:ascii="Times New Roman" w:hAnsi="Times New Roman"/>
          <w:szCs w:val="24"/>
        </w:rPr>
        <w:t xml:space="preserve"> </w:t>
      </w:r>
      <w:r w:rsidR="00073485" w:rsidRPr="00E24619">
        <w:rPr>
          <w:rFonts w:ascii="Times New Roman" w:hAnsi="Times New Roman"/>
          <w:szCs w:val="24"/>
        </w:rPr>
        <w:t xml:space="preserve">reporting period will be affected by customer access to capital, customer-specific business outlook, and other factors not </w:t>
      </w:r>
      <w:r w:rsidR="002C4FF5" w:rsidRPr="00E24619">
        <w:rPr>
          <w:rFonts w:ascii="Times New Roman" w:hAnsi="Times New Roman"/>
          <w:szCs w:val="24"/>
        </w:rPr>
        <w:t>controlled</w:t>
      </w:r>
      <w:r w:rsidR="00073485" w:rsidRPr="00E24619">
        <w:rPr>
          <w:rFonts w:ascii="Times New Roman" w:hAnsi="Times New Roman"/>
          <w:szCs w:val="24"/>
        </w:rPr>
        <w:t xml:space="preserve"> by the Company.  </w:t>
      </w:r>
      <w:r w:rsidR="003953C1" w:rsidRPr="00E24619">
        <w:rPr>
          <w:rFonts w:ascii="Times New Roman" w:hAnsi="Times New Roman"/>
        </w:rPr>
        <w:t xml:space="preserve">A summary of key </w:t>
      </w:r>
      <w:r w:rsidR="00635EE3">
        <w:rPr>
          <w:rFonts w:ascii="Times New Roman" w:hAnsi="Times New Roman"/>
        </w:rPr>
        <w:t xml:space="preserve">program </w:t>
      </w:r>
      <w:r w:rsidR="003953C1" w:rsidRPr="00E24619">
        <w:rPr>
          <w:rFonts w:ascii="Times New Roman" w:hAnsi="Times New Roman"/>
        </w:rPr>
        <w:t xml:space="preserve">changes are provided in the </w:t>
      </w:r>
      <w:r w:rsidR="00CA3572">
        <w:rPr>
          <w:rFonts w:ascii="Times New Roman" w:hAnsi="Times New Roman"/>
        </w:rPr>
        <w:t>Table 1</w:t>
      </w:r>
      <w:r w:rsidR="003953C1" w:rsidRPr="00E24619">
        <w:rPr>
          <w:rFonts w:ascii="Times New Roman" w:hAnsi="Times New Roman"/>
        </w:rPr>
        <w:t xml:space="preserve"> below.  </w:t>
      </w:r>
    </w:p>
    <w:p w:rsidR="003953C1" w:rsidRPr="00E24619" w:rsidRDefault="003953C1" w:rsidP="003953C1">
      <w:pPr>
        <w:ind w:firstLine="720"/>
        <w:rPr>
          <w:rFonts w:ascii="Times New Roman" w:hAnsi="Times New Roman"/>
          <w:color w:val="1F497D"/>
        </w:rPr>
      </w:pPr>
    </w:p>
    <w:p w:rsidR="00BC61BC" w:rsidRPr="00E24619" w:rsidRDefault="00BC61BC" w:rsidP="00D9430E">
      <w:pPr>
        <w:ind w:firstLine="720"/>
        <w:rPr>
          <w:rFonts w:ascii="Times New Roman" w:hAnsi="Times New Roman"/>
        </w:rPr>
      </w:pPr>
    </w:p>
    <w:p w:rsidR="00D9430E" w:rsidRPr="00E24619" w:rsidRDefault="00D9430E" w:rsidP="00D9430E">
      <w:pPr>
        <w:ind w:firstLine="720"/>
        <w:jc w:val="center"/>
        <w:rPr>
          <w:rFonts w:ascii="Times New Roman" w:hAnsi="Times New Roman"/>
          <w:b/>
        </w:rPr>
      </w:pPr>
      <w:r w:rsidRPr="00E24619">
        <w:rPr>
          <w:rFonts w:ascii="Times New Roman" w:hAnsi="Times New Roman"/>
          <w:b/>
        </w:rPr>
        <w:t>Table 1 – Program C</w:t>
      </w:r>
      <w:r w:rsidR="00336116" w:rsidRPr="00E24619">
        <w:rPr>
          <w:rFonts w:ascii="Times New Roman" w:hAnsi="Times New Roman"/>
          <w:b/>
        </w:rPr>
        <w:t xml:space="preserve">hange </w:t>
      </w:r>
      <w:r w:rsidR="005809A3" w:rsidRPr="00E24619">
        <w:rPr>
          <w:rFonts w:ascii="Times New Roman" w:hAnsi="Times New Roman"/>
          <w:b/>
        </w:rPr>
        <w:t xml:space="preserve">Overview </w:t>
      </w:r>
    </w:p>
    <w:p w:rsidR="00B95E36" w:rsidRPr="00E24619" w:rsidRDefault="00B95E36" w:rsidP="00D9430E">
      <w:pPr>
        <w:ind w:firstLine="720"/>
        <w:jc w:val="center"/>
        <w:rPr>
          <w:rFonts w:ascii="Times New Roman" w:hAnsi="Times New Roman"/>
          <w:b/>
        </w:rPr>
      </w:pPr>
    </w:p>
    <w:tbl>
      <w:tblPr>
        <w:tblStyle w:val="TableGrid"/>
        <w:tblW w:w="8730" w:type="dxa"/>
        <w:jc w:val="center"/>
        <w:tblLook w:val="0600" w:firstRow="0" w:lastRow="0" w:firstColumn="0" w:lastColumn="0" w:noHBand="1" w:noVBand="1"/>
      </w:tblPr>
      <w:tblGrid>
        <w:gridCol w:w="1539"/>
        <w:gridCol w:w="2308"/>
        <w:gridCol w:w="1978"/>
        <w:gridCol w:w="2905"/>
      </w:tblGrid>
      <w:tr w:rsidR="00D9430E" w:rsidRPr="00E24619" w:rsidTr="007A2B12">
        <w:trPr>
          <w:trHeight w:val="375"/>
          <w:tblHeader/>
          <w:jc w:val="center"/>
        </w:trPr>
        <w:tc>
          <w:tcPr>
            <w:tcW w:w="1539" w:type="dxa"/>
            <w:tcBorders>
              <w:bottom w:val="single" w:sz="4" w:space="0" w:color="000000" w:themeColor="text1"/>
            </w:tcBorders>
            <w:hideMark/>
          </w:tcPr>
          <w:p w:rsidR="00D9430E" w:rsidRPr="00E24619" w:rsidRDefault="00D9430E" w:rsidP="009B187B">
            <w:pPr>
              <w:jc w:val="center"/>
              <w:rPr>
                <w:rFonts w:ascii="Times New Roman" w:hAnsi="Times New Roman"/>
                <w:b/>
                <w:bCs/>
                <w:color w:val="000000"/>
                <w:sz w:val="20"/>
              </w:rPr>
            </w:pPr>
            <w:r w:rsidRPr="00E24619">
              <w:rPr>
                <w:rFonts w:ascii="Times New Roman" w:hAnsi="Times New Roman"/>
                <w:b/>
                <w:bCs/>
                <w:color w:val="000000"/>
                <w:sz w:val="20"/>
              </w:rPr>
              <w:t>Tariff</w:t>
            </w:r>
          </w:p>
        </w:tc>
        <w:tc>
          <w:tcPr>
            <w:tcW w:w="2308" w:type="dxa"/>
            <w:hideMark/>
          </w:tcPr>
          <w:p w:rsidR="00D9430E" w:rsidRPr="00E24619" w:rsidRDefault="00D9430E" w:rsidP="009B187B">
            <w:pPr>
              <w:jc w:val="center"/>
              <w:rPr>
                <w:rFonts w:ascii="Times New Roman" w:hAnsi="Times New Roman"/>
                <w:b/>
                <w:bCs/>
                <w:color w:val="000000"/>
                <w:sz w:val="20"/>
              </w:rPr>
            </w:pPr>
            <w:r w:rsidRPr="00E24619">
              <w:rPr>
                <w:rFonts w:ascii="Times New Roman" w:hAnsi="Times New Roman"/>
                <w:b/>
                <w:bCs/>
                <w:color w:val="000000"/>
                <w:sz w:val="20"/>
              </w:rPr>
              <w:t>Current</w:t>
            </w:r>
          </w:p>
        </w:tc>
        <w:tc>
          <w:tcPr>
            <w:tcW w:w="1978" w:type="dxa"/>
            <w:hideMark/>
          </w:tcPr>
          <w:p w:rsidR="00D9430E" w:rsidRPr="00E24619" w:rsidRDefault="00D9430E" w:rsidP="009B187B">
            <w:pPr>
              <w:jc w:val="center"/>
              <w:rPr>
                <w:rFonts w:ascii="Times New Roman" w:hAnsi="Times New Roman"/>
                <w:b/>
                <w:bCs/>
                <w:color w:val="000000"/>
                <w:sz w:val="20"/>
              </w:rPr>
            </w:pPr>
            <w:r w:rsidRPr="00E24619">
              <w:rPr>
                <w:rFonts w:ascii="Times New Roman" w:hAnsi="Times New Roman"/>
                <w:b/>
                <w:bCs/>
                <w:color w:val="000000"/>
                <w:sz w:val="20"/>
              </w:rPr>
              <w:t xml:space="preserve">Proposed for Schedule 140 </w:t>
            </w:r>
          </w:p>
        </w:tc>
        <w:tc>
          <w:tcPr>
            <w:tcW w:w="2905" w:type="dxa"/>
          </w:tcPr>
          <w:p w:rsidR="00D9430E" w:rsidRPr="00E24619" w:rsidRDefault="00D9430E" w:rsidP="009B187B">
            <w:pPr>
              <w:jc w:val="center"/>
              <w:rPr>
                <w:rFonts w:ascii="Times New Roman" w:hAnsi="Times New Roman"/>
                <w:b/>
                <w:bCs/>
                <w:color w:val="000000"/>
                <w:sz w:val="20"/>
              </w:rPr>
            </w:pPr>
            <w:r w:rsidRPr="00E24619">
              <w:rPr>
                <w:rFonts w:ascii="Times New Roman" w:hAnsi="Times New Roman"/>
                <w:b/>
                <w:bCs/>
                <w:color w:val="000000"/>
                <w:sz w:val="20"/>
              </w:rPr>
              <w:t>Comments</w:t>
            </w:r>
          </w:p>
        </w:tc>
      </w:tr>
      <w:tr w:rsidR="00D9430E" w:rsidRPr="00E24619" w:rsidTr="007A2B12">
        <w:trPr>
          <w:trHeight w:val="300"/>
          <w:jc w:val="center"/>
        </w:trPr>
        <w:tc>
          <w:tcPr>
            <w:tcW w:w="1539" w:type="dxa"/>
            <w:tcBorders>
              <w:top w:val="single" w:sz="4" w:space="0" w:color="000000" w:themeColor="text1"/>
              <w:bottom w:val="nil"/>
            </w:tcBorders>
            <w:hideMark/>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t>125 - Energy FinAnswer</w:t>
            </w:r>
          </w:p>
        </w:tc>
        <w:tc>
          <w:tcPr>
            <w:tcW w:w="230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$0.15/kWh + $50/kW</w:t>
            </w:r>
          </w:p>
        </w:tc>
        <w:tc>
          <w:tcPr>
            <w:tcW w:w="197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$0.15/kWh</w:t>
            </w:r>
          </w:p>
        </w:tc>
        <w:tc>
          <w:tcPr>
            <w:tcW w:w="2905" w:type="dxa"/>
          </w:tcPr>
          <w:p w:rsidR="00D9430E" w:rsidRPr="00E24619" w:rsidRDefault="00D9430E" w:rsidP="00E9388C">
            <w:pPr>
              <w:rPr>
                <w:rFonts w:ascii="Times New Roman" w:hAnsi="Times New Roman"/>
                <w:color w:val="000000"/>
                <w:sz w:val="20"/>
              </w:rPr>
            </w:pPr>
            <w:r w:rsidRPr="00E24619">
              <w:rPr>
                <w:rFonts w:ascii="Times New Roman" w:hAnsi="Times New Roman"/>
                <w:color w:val="000000"/>
                <w:sz w:val="20"/>
              </w:rPr>
              <w:t>Focus incentive</w:t>
            </w:r>
            <w:r w:rsidR="00BC61BC" w:rsidRPr="00E24619">
              <w:rPr>
                <w:rFonts w:ascii="Times New Roman" w:hAnsi="Times New Roman"/>
                <w:color w:val="000000"/>
                <w:sz w:val="20"/>
              </w:rPr>
              <w:t>s</w:t>
            </w:r>
            <w:r w:rsidRPr="00E24619">
              <w:rPr>
                <w:rFonts w:ascii="Times New Roman" w:hAnsi="Times New Roman"/>
                <w:color w:val="000000"/>
                <w:sz w:val="20"/>
              </w:rPr>
              <w:t xml:space="preserve"> on energy efficiency</w:t>
            </w:r>
            <w:r w:rsidR="00E9388C">
              <w:rPr>
                <w:rFonts w:ascii="Times New Roman" w:hAnsi="Times New Roman"/>
                <w:color w:val="000000"/>
                <w:sz w:val="20"/>
              </w:rPr>
              <w:t xml:space="preserve"> and simplify offer</w:t>
            </w:r>
            <w:r w:rsidRPr="00E24619">
              <w:rPr>
                <w:rFonts w:ascii="Times New Roman" w:hAnsi="Times New Roman"/>
                <w:color w:val="000000"/>
                <w:sz w:val="20"/>
              </w:rPr>
              <w:t xml:space="preserve">. </w:t>
            </w:r>
          </w:p>
        </w:tc>
      </w:tr>
      <w:tr w:rsidR="00D9430E" w:rsidRPr="00E24619" w:rsidTr="007A2B12">
        <w:trPr>
          <w:trHeight w:val="300"/>
          <w:jc w:val="center"/>
        </w:trPr>
        <w:tc>
          <w:tcPr>
            <w:tcW w:w="1539" w:type="dxa"/>
            <w:tcBorders>
              <w:top w:val="nil"/>
              <w:bottom w:val="nil"/>
            </w:tcBorders>
          </w:tcPr>
          <w:p w:rsidR="00D9430E" w:rsidRPr="00E24619" w:rsidRDefault="00D9430E" w:rsidP="009B187B">
            <w:pPr>
              <w:rPr>
                <w:rFonts w:ascii="Times New Roman" w:hAnsi="Times New Roman"/>
                <w:b/>
                <w:bCs/>
                <w:color w:val="000000"/>
                <w:sz w:val="20"/>
              </w:rPr>
            </w:pPr>
          </w:p>
        </w:tc>
        <w:tc>
          <w:tcPr>
            <w:tcW w:w="2308" w:type="dxa"/>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Eligible project costs capped at 60%</w:t>
            </w:r>
          </w:p>
        </w:tc>
        <w:tc>
          <w:tcPr>
            <w:tcW w:w="1978" w:type="dxa"/>
          </w:tcPr>
          <w:p w:rsidR="00D9430E" w:rsidRPr="00E24619" w:rsidRDefault="00D9430E" w:rsidP="001D3F1E">
            <w:pPr>
              <w:rPr>
                <w:rFonts w:ascii="Times New Roman" w:hAnsi="Times New Roman"/>
                <w:color w:val="000000"/>
                <w:sz w:val="20"/>
              </w:rPr>
            </w:pPr>
            <w:r w:rsidRPr="00E24619">
              <w:rPr>
                <w:rFonts w:ascii="Times New Roman" w:hAnsi="Times New Roman"/>
                <w:color w:val="000000"/>
                <w:sz w:val="20"/>
              </w:rPr>
              <w:t>Increase project cost</w:t>
            </w:r>
            <w:r w:rsidR="001D3F1E" w:rsidRPr="00E24619">
              <w:rPr>
                <w:rFonts w:ascii="Times New Roman" w:hAnsi="Times New Roman"/>
                <w:color w:val="000000"/>
                <w:sz w:val="20"/>
              </w:rPr>
              <w:t xml:space="preserve"> cap</w:t>
            </w:r>
            <w:r w:rsidRPr="00E24619">
              <w:rPr>
                <w:rFonts w:ascii="Times New Roman" w:hAnsi="Times New Roman"/>
                <w:color w:val="000000"/>
                <w:sz w:val="20"/>
              </w:rPr>
              <w:t xml:space="preserve"> to 70%</w:t>
            </w:r>
          </w:p>
        </w:tc>
        <w:tc>
          <w:tcPr>
            <w:tcW w:w="2905" w:type="dxa"/>
          </w:tcPr>
          <w:p w:rsidR="00D9430E" w:rsidRPr="00E24619" w:rsidRDefault="00D9430E" w:rsidP="00CA3572">
            <w:pPr>
              <w:rPr>
                <w:rFonts w:ascii="Times New Roman" w:hAnsi="Times New Roman"/>
                <w:color w:val="000000"/>
                <w:sz w:val="20"/>
              </w:rPr>
            </w:pPr>
            <w:r w:rsidRPr="00E24619">
              <w:rPr>
                <w:rFonts w:ascii="Times New Roman" w:hAnsi="Times New Roman"/>
                <w:color w:val="000000"/>
                <w:sz w:val="20"/>
              </w:rPr>
              <w:t>Increases incentives</w:t>
            </w:r>
            <w:r w:rsidR="00CA3572">
              <w:rPr>
                <w:rFonts w:ascii="Times New Roman" w:hAnsi="Times New Roman"/>
                <w:color w:val="000000"/>
                <w:sz w:val="20"/>
              </w:rPr>
              <w:t xml:space="preserve"> to</w:t>
            </w:r>
            <w:r w:rsidR="00002F8E" w:rsidRPr="00E24619">
              <w:rPr>
                <w:rFonts w:ascii="Times New Roman" w:hAnsi="Times New Roman"/>
                <w:color w:val="000000"/>
                <w:sz w:val="20"/>
              </w:rPr>
              <w:t xml:space="preserve"> increase </w:t>
            </w:r>
            <w:r w:rsidRPr="00E24619">
              <w:rPr>
                <w:rFonts w:ascii="Times New Roman" w:hAnsi="Times New Roman"/>
                <w:color w:val="000000"/>
                <w:sz w:val="20"/>
              </w:rPr>
              <w:t xml:space="preserve">participation. </w:t>
            </w:r>
          </w:p>
        </w:tc>
      </w:tr>
      <w:tr w:rsidR="00D9430E" w:rsidRPr="00E24619" w:rsidTr="007A2B12">
        <w:trPr>
          <w:trHeight w:val="765"/>
          <w:jc w:val="center"/>
        </w:trPr>
        <w:tc>
          <w:tcPr>
            <w:tcW w:w="1539" w:type="dxa"/>
            <w:tcBorders>
              <w:top w:val="nil"/>
              <w:bottom w:val="nil"/>
            </w:tcBorders>
            <w:hideMark/>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t> </w:t>
            </w:r>
          </w:p>
        </w:tc>
        <w:tc>
          <w:tcPr>
            <w:tcW w:w="2308" w:type="dxa"/>
            <w:hideMark/>
          </w:tcPr>
          <w:p w:rsidR="00D9430E" w:rsidRPr="00E24619" w:rsidRDefault="00CA3572" w:rsidP="009B187B">
            <w:pPr>
              <w:rPr>
                <w:rFonts w:ascii="Times New Roman" w:hAnsi="Times New Roman"/>
                <w:color w:val="000000"/>
                <w:sz w:val="20"/>
              </w:rPr>
            </w:pPr>
            <w:r>
              <w:rPr>
                <w:rFonts w:ascii="Times New Roman" w:hAnsi="Times New Roman"/>
                <w:color w:val="000000"/>
                <w:sz w:val="20"/>
              </w:rPr>
              <w:t>Customer pays for C</w:t>
            </w:r>
            <w:r w:rsidR="00D9430E" w:rsidRPr="00E24619">
              <w:rPr>
                <w:rFonts w:ascii="Times New Roman" w:hAnsi="Times New Roman"/>
                <w:color w:val="000000"/>
                <w:sz w:val="20"/>
              </w:rPr>
              <w:t>ommissioning</w:t>
            </w:r>
          </w:p>
        </w:tc>
        <w:tc>
          <w:tcPr>
            <w:tcW w:w="197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Program funds Savings Verification</w:t>
            </w:r>
          </w:p>
        </w:tc>
        <w:tc>
          <w:tcPr>
            <w:tcW w:w="2905" w:type="dxa"/>
          </w:tcPr>
          <w:p w:rsidR="00D9430E" w:rsidRPr="00E24619" w:rsidRDefault="00D9430E" w:rsidP="00EA38AA">
            <w:pPr>
              <w:rPr>
                <w:rFonts w:ascii="Times New Roman" w:hAnsi="Times New Roman"/>
                <w:color w:val="000000"/>
                <w:sz w:val="20"/>
              </w:rPr>
            </w:pPr>
            <w:r w:rsidRPr="00E24619">
              <w:rPr>
                <w:rFonts w:ascii="Times New Roman" w:hAnsi="Times New Roman"/>
                <w:color w:val="000000"/>
                <w:sz w:val="20"/>
              </w:rPr>
              <w:t xml:space="preserve">Decreases </w:t>
            </w:r>
            <w:r w:rsidR="00EA38AA" w:rsidRPr="00E24619">
              <w:rPr>
                <w:rFonts w:ascii="Times New Roman" w:hAnsi="Times New Roman"/>
                <w:color w:val="000000"/>
                <w:sz w:val="20"/>
              </w:rPr>
              <w:t>program</w:t>
            </w:r>
            <w:r w:rsidR="00002F8E" w:rsidRPr="00E24619">
              <w:rPr>
                <w:rFonts w:ascii="Times New Roman" w:hAnsi="Times New Roman"/>
                <w:color w:val="000000"/>
                <w:sz w:val="20"/>
              </w:rPr>
              <w:t xml:space="preserve"> </w:t>
            </w:r>
            <w:r w:rsidRPr="00E24619">
              <w:rPr>
                <w:rFonts w:ascii="Times New Roman" w:hAnsi="Times New Roman"/>
                <w:color w:val="000000"/>
                <w:sz w:val="20"/>
              </w:rPr>
              <w:t xml:space="preserve">complexity </w:t>
            </w:r>
            <w:r w:rsidR="00EA38AA" w:rsidRPr="00E24619">
              <w:rPr>
                <w:rFonts w:ascii="Times New Roman" w:hAnsi="Times New Roman"/>
                <w:color w:val="000000"/>
                <w:sz w:val="20"/>
              </w:rPr>
              <w:t xml:space="preserve">for customers </w:t>
            </w:r>
            <w:r w:rsidRPr="00E24619">
              <w:rPr>
                <w:rFonts w:ascii="Times New Roman" w:hAnsi="Times New Roman"/>
                <w:color w:val="000000"/>
                <w:sz w:val="20"/>
              </w:rPr>
              <w:t xml:space="preserve">and </w:t>
            </w:r>
            <w:r w:rsidR="00002F8E" w:rsidRPr="00E24619">
              <w:rPr>
                <w:rFonts w:ascii="Times New Roman" w:hAnsi="Times New Roman"/>
                <w:color w:val="000000"/>
                <w:sz w:val="20"/>
              </w:rPr>
              <w:t xml:space="preserve">reduces customer project costs. </w:t>
            </w:r>
          </w:p>
        </w:tc>
      </w:tr>
      <w:tr w:rsidR="00D9430E" w:rsidRPr="00E24619" w:rsidTr="007A2B12">
        <w:tblPrEx>
          <w:tblLook w:val="04A0" w:firstRow="1" w:lastRow="0" w:firstColumn="1" w:lastColumn="0" w:noHBand="0" w:noVBand="1"/>
        </w:tblPrEx>
        <w:trPr>
          <w:trHeight w:val="629"/>
          <w:jc w:val="center"/>
        </w:trPr>
        <w:tc>
          <w:tcPr>
            <w:tcW w:w="1539" w:type="dxa"/>
            <w:tcBorders>
              <w:top w:val="nil"/>
              <w:bottom w:val="single" w:sz="4" w:space="0" w:color="auto"/>
            </w:tcBorders>
            <w:hideMark/>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t> </w:t>
            </w:r>
          </w:p>
        </w:tc>
        <w:tc>
          <w:tcPr>
            <w:tcW w:w="230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New Construction Design Assistance</w:t>
            </w:r>
          </w:p>
        </w:tc>
        <w:tc>
          <w:tcPr>
            <w:tcW w:w="197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 xml:space="preserve">Discontinue unique incentive </w:t>
            </w:r>
          </w:p>
        </w:tc>
        <w:tc>
          <w:tcPr>
            <w:tcW w:w="2905" w:type="dxa"/>
          </w:tcPr>
          <w:p w:rsidR="00D9430E" w:rsidRPr="00E24619" w:rsidRDefault="00D9430E" w:rsidP="00EC1407">
            <w:pPr>
              <w:rPr>
                <w:rFonts w:ascii="Times New Roman" w:hAnsi="Times New Roman"/>
                <w:color w:val="000000"/>
                <w:sz w:val="20"/>
              </w:rPr>
            </w:pPr>
            <w:r w:rsidRPr="00E24619">
              <w:rPr>
                <w:rFonts w:ascii="Times New Roman" w:hAnsi="Times New Roman"/>
                <w:color w:val="000000"/>
                <w:sz w:val="20"/>
              </w:rPr>
              <w:t xml:space="preserve">Low participation and offer not moving the market. </w:t>
            </w:r>
            <w:r w:rsidR="00EC1407" w:rsidRPr="00E24619">
              <w:rPr>
                <w:rFonts w:ascii="Times New Roman" w:hAnsi="Times New Roman"/>
                <w:color w:val="000000"/>
                <w:sz w:val="20"/>
              </w:rPr>
              <w:t xml:space="preserve">Custom </w:t>
            </w:r>
            <w:r w:rsidRPr="00E24619">
              <w:rPr>
                <w:rFonts w:ascii="Times New Roman" w:hAnsi="Times New Roman"/>
                <w:color w:val="000000"/>
                <w:sz w:val="20"/>
              </w:rPr>
              <w:t>New Construction projects will be incentivized through the custom tract.</w:t>
            </w:r>
          </w:p>
        </w:tc>
      </w:tr>
      <w:tr w:rsidR="00D9430E" w:rsidRPr="00E24619" w:rsidTr="007A2B12">
        <w:tblPrEx>
          <w:tblLook w:val="04A0" w:firstRow="1" w:lastRow="0" w:firstColumn="1" w:lastColumn="0" w:noHBand="0" w:noVBand="1"/>
        </w:tblPrEx>
        <w:trPr>
          <w:trHeight w:val="584"/>
          <w:jc w:val="center"/>
        </w:trPr>
        <w:tc>
          <w:tcPr>
            <w:tcW w:w="1539" w:type="dxa"/>
            <w:tcBorders>
              <w:top w:val="single" w:sz="4" w:space="0" w:color="auto"/>
              <w:bottom w:val="single" w:sz="4" w:space="0" w:color="auto"/>
            </w:tcBorders>
            <w:hideMark/>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lastRenderedPageBreak/>
              <w:t> </w:t>
            </w:r>
          </w:p>
        </w:tc>
        <w:tc>
          <w:tcPr>
            <w:tcW w:w="2308" w:type="dxa"/>
            <w:tcBorders>
              <w:bottom w:val="single" w:sz="4" w:space="0" w:color="auto"/>
            </w:tcBorders>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Design Honorarium</w:t>
            </w:r>
          </w:p>
        </w:tc>
        <w:tc>
          <w:tcPr>
            <w:tcW w:w="197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Discontinue incentive</w:t>
            </w:r>
          </w:p>
        </w:tc>
        <w:tc>
          <w:tcPr>
            <w:tcW w:w="2905" w:type="dxa"/>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Low participation and offer not moving the market.</w:t>
            </w:r>
          </w:p>
        </w:tc>
      </w:tr>
      <w:tr w:rsidR="00D9430E" w:rsidRPr="00E24619" w:rsidTr="007A2B12">
        <w:tblPrEx>
          <w:tblLook w:val="04A0" w:firstRow="1" w:lastRow="0" w:firstColumn="1" w:lastColumn="0" w:noHBand="0" w:noVBand="1"/>
        </w:tblPrEx>
        <w:trPr>
          <w:trHeight w:val="510"/>
          <w:jc w:val="center"/>
        </w:trPr>
        <w:tc>
          <w:tcPr>
            <w:tcW w:w="1539" w:type="dxa"/>
            <w:tcBorders>
              <w:top w:val="single" w:sz="4" w:space="0" w:color="auto"/>
              <w:bottom w:val="nil"/>
            </w:tcBorders>
            <w:hideMark/>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t> </w:t>
            </w:r>
          </w:p>
        </w:tc>
        <w:tc>
          <w:tcPr>
            <w:tcW w:w="2308" w:type="dxa"/>
            <w:tcBorders>
              <w:top w:val="single" w:sz="4" w:space="0" w:color="auto"/>
            </w:tcBorders>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Design Incentive</w:t>
            </w:r>
          </w:p>
        </w:tc>
        <w:tc>
          <w:tcPr>
            <w:tcW w:w="197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Discontinue incentive</w:t>
            </w:r>
          </w:p>
        </w:tc>
        <w:tc>
          <w:tcPr>
            <w:tcW w:w="2905" w:type="dxa"/>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Low participation and offer not moving the market.</w:t>
            </w:r>
          </w:p>
        </w:tc>
      </w:tr>
      <w:tr w:rsidR="00D9430E" w:rsidRPr="00E24619" w:rsidTr="007A2B12">
        <w:tblPrEx>
          <w:tblLook w:val="04A0" w:firstRow="1" w:lastRow="0" w:firstColumn="1" w:lastColumn="0" w:noHBand="0" w:noVBand="1"/>
        </w:tblPrEx>
        <w:trPr>
          <w:trHeight w:val="863"/>
          <w:jc w:val="center"/>
        </w:trPr>
        <w:tc>
          <w:tcPr>
            <w:tcW w:w="1539" w:type="dxa"/>
            <w:tcBorders>
              <w:top w:val="nil"/>
              <w:bottom w:val="nil"/>
            </w:tcBorders>
            <w:hideMark/>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t> </w:t>
            </w:r>
          </w:p>
        </w:tc>
        <w:tc>
          <w:tcPr>
            <w:tcW w:w="230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 xml:space="preserve">Minimum 20,000 SF of </w:t>
            </w:r>
            <w:r w:rsidR="00EF1147" w:rsidRPr="00E24619">
              <w:rPr>
                <w:rFonts w:ascii="Times New Roman" w:hAnsi="Times New Roman"/>
                <w:color w:val="000000"/>
                <w:sz w:val="20"/>
              </w:rPr>
              <w:t xml:space="preserve">existing </w:t>
            </w:r>
            <w:r w:rsidRPr="00E24619">
              <w:rPr>
                <w:rFonts w:ascii="Times New Roman" w:hAnsi="Times New Roman"/>
                <w:color w:val="000000"/>
                <w:sz w:val="20"/>
              </w:rPr>
              <w:t>commercial space to be eligible</w:t>
            </w:r>
          </w:p>
        </w:tc>
        <w:tc>
          <w:tcPr>
            <w:tcW w:w="197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Remove minimum space requirement</w:t>
            </w:r>
          </w:p>
        </w:tc>
        <w:tc>
          <w:tcPr>
            <w:tcW w:w="2905" w:type="dxa"/>
          </w:tcPr>
          <w:p w:rsidR="00D9430E" w:rsidRPr="00E24619" w:rsidRDefault="00002F8E" w:rsidP="00E9388C">
            <w:pPr>
              <w:rPr>
                <w:rFonts w:ascii="Times New Roman" w:hAnsi="Times New Roman"/>
                <w:color w:val="000000"/>
                <w:sz w:val="20"/>
              </w:rPr>
            </w:pPr>
            <w:r w:rsidRPr="00E24619">
              <w:rPr>
                <w:rFonts w:ascii="Times New Roman" w:hAnsi="Times New Roman"/>
                <w:color w:val="000000"/>
                <w:sz w:val="20"/>
              </w:rPr>
              <w:t xml:space="preserve">Remove administrative barrier </w:t>
            </w:r>
            <w:r w:rsidR="00CA3572">
              <w:rPr>
                <w:rFonts w:ascii="Times New Roman" w:hAnsi="Times New Roman"/>
                <w:color w:val="000000"/>
                <w:sz w:val="20"/>
              </w:rPr>
              <w:t>to</w:t>
            </w:r>
            <w:r w:rsidR="005E4534" w:rsidRPr="00E24619">
              <w:rPr>
                <w:rFonts w:ascii="Times New Roman" w:hAnsi="Times New Roman"/>
                <w:color w:val="000000"/>
                <w:sz w:val="20"/>
              </w:rPr>
              <w:t xml:space="preserve"> increase</w:t>
            </w:r>
            <w:r w:rsidR="00D9430E" w:rsidRPr="00E24619">
              <w:rPr>
                <w:rFonts w:ascii="Times New Roman" w:hAnsi="Times New Roman"/>
                <w:color w:val="000000"/>
                <w:sz w:val="20"/>
              </w:rPr>
              <w:t xml:space="preserve"> participation.</w:t>
            </w:r>
          </w:p>
        </w:tc>
      </w:tr>
      <w:tr w:rsidR="00D9430E" w:rsidRPr="00E24619" w:rsidTr="007A2B12">
        <w:tblPrEx>
          <w:tblLook w:val="04A0" w:firstRow="1" w:lastRow="0" w:firstColumn="1" w:lastColumn="0" w:noHBand="0" w:noVBand="1"/>
        </w:tblPrEx>
        <w:trPr>
          <w:trHeight w:val="300"/>
          <w:jc w:val="center"/>
        </w:trPr>
        <w:tc>
          <w:tcPr>
            <w:tcW w:w="1539" w:type="dxa"/>
            <w:tcBorders>
              <w:top w:val="nil"/>
              <w:bottom w:val="single" w:sz="4" w:space="0" w:color="000000" w:themeColor="text1"/>
            </w:tcBorders>
            <w:hideMark/>
          </w:tcPr>
          <w:p w:rsidR="00D9430E" w:rsidRPr="00E24619" w:rsidRDefault="00D9430E" w:rsidP="009B187B">
            <w:pPr>
              <w:rPr>
                <w:rFonts w:ascii="Times New Roman" w:hAnsi="Times New Roman"/>
                <w:b/>
                <w:bCs/>
                <w:color w:val="000000"/>
                <w:sz w:val="20"/>
              </w:rPr>
            </w:pPr>
          </w:p>
          <w:p w:rsidR="00B95E36" w:rsidRPr="00E24619" w:rsidRDefault="00B95E36" w:rsidP="009B187B">
            <w:pPr>
              <w:rPr>
                <w:rFonts w:ascii="Times New Roman" w:hAnsi="Times New Roman"/>
                <w:b/>
                <w:bCs/>
                <w:color w:val="000000"/>
                <w:sz w:val="20"/>
              </w:rPr>
            </w:pPr>
          </w:p>
          <w:p w:rsidR="00B95E36" w:rsidRPr="00E24619" w:rsidRDefault="00B95E36" w:rsidP="009B187B">
            <w:pPr>
              <w:rPr>
                <w:rFonts w:ascii="Times New Roman" w:hAnsi="Times New Roman"/>
                <w:b/>
                <w:bCs/>
                <w:color w:val="000000"/>
                <w:sz w:val="20"/>
              </w:rPr>
            </w:pPr>
          </w:p>
          <w:p w:rsidR="00B95E36" w:rsidRPr="00E24619" w:rsidRDefault="00B95E36" w:rsidP="009B187B">
            <w:pPr>
              <w:rPr>
                <w:rFonts w:ascii="Times New Roman" w:hAnsi="Times New Roman"/>
                <w:b/>
                <w:bCs/>
                <w:color w:val="000000"/>
                <w:sz w:val="20"/>
              </w:rPr>
            </w:pPr>
          </w:p>
          <w:p w:rsidR="00B95E36" w:rsidRPr="00E24619" w:rsidRDefault="00B95E36" w:rsidP="009B187B">
            <w:pPr>
              <w:rPr>
                <w:rFonts w:ascii="Times New Roman" w:hAnsi="Times New Roman"/>
                <w:b/>
                <w:bCs/>
                <w:color w:val="000000"/>
                <w:sz w:val="20"/>
              </w:rPr>
            </w:pPr>
          </w:p>
          <w:p w:rsidR="00B95E36" w:rsidRPr="00E24619" w:rsidRDefault="00B95E36" w:rsidP="009B187B">
            <w:pPr>
              <w:rPr>
                <w:rFonts w:ascii="Times New Roman" w:hAnsi="Times New Roman"/>
                <w:b/>
                <w:bCs/>
                <w:color w:val="000000"/>
                <w:sz w:val="20"/>
              </w:rPr>
            </w:pPr>
          </w:p>
        </w:tc>
        <w:tc>
          <w:tcPr>
            <w:tcW w:w="230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Custom incentives available for listed measures</w:t>
            </w:r>
          </w:p>
        </w:tc>
        <w:tc>
          <w:tcPr>
            <w:tcW w:w="1978" w:type="dxa"/>
            <w:hideMark/>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Listed measures paid at listed amounts.</w:t>
            </w:r>
          </w:p>
        </w:tc>
        <w:tc>
          <w:tcPr>
            <w:tcW w:w="2905" w:type="dxa"/>
          </w:tcPr>
          <w:p w:rsidR="00D9430E" w:rsidRPr="00E24619" w:rsidRDefault="00D9430E" w:rsidP="00EF1147">
            <w:pPr>
              <w:rPr>
                <w:rFonts w:ascii="Times New Roman" w:hAnsi="Times New Roman"/>
                <w:color w:val="000000"/>
                <w:sz w:val="20"/>
              </w:rPr>
            </w:pPr>
            <w:r w:rsidRPr="00E24619">
              <w:rPr>
                <w:rFonts w:ascii="Times New Roman" w:hAnsi="Times New Roman"/>
                <w:color w:val="000000"/>
                <w:sz w:val="20"/>
              </w:rPr>
              <w:t xml:space="preserve">Simplify </w:t>
            </w:r>
            <w:r w:rsidR="00002F8E" w:rsidRPr="00E24619">
              <w:rPr>
                <w:rFonts w:ascii="Times New Roman" w:hAnsi="Times New Roman"/>
                <w:color w:val="000000"/>
                <w:sz w:val="20"/>
              </w:rPr>
              <w:t xml:space="preserve">customer participation </w:t>
            </w:r>
            <w:r w:rsidRPr="00E24619">
              <w:rPr>
                <w:rFonts w:ascii="Times New Roman" w:hAnsi="Times New Roman"/>
                <w:color w:val="000000"/>
                <w:sz w:val="20"/>
              </w:rPr>
              <w:t>process</w:t>
            </w:r>
            <w:r w:rsidR="00B95E36" w:rsidRPr="00E24619">
              <w:rPr>
                <w:rFonts w:ascii="Times New Roman" w:hAnsi="Times New Roman"/>
                <w:color w:val="000000"/>
                <w:sz w:val="20"/>
              </w:rPr>
              <w:t>. T</w:t>
            </w:r>
            <w:r w:rsidRPr="00E24619">
              <w:rPr>
                <w:rFonts w:ascii="Times New Roman" w:hAnsi="Times New Roman"/>
                <w:color w:val="000000"/>
                <w:sz w:val="20"/>
              </w:rPr>
              <w:t>he</w:t>
            </w:r>
            <w:r w:rsidR="00B95E36" w:rsidRPr="00E24619">
              <w:rPr>
                <w:rFonts w:ascii="Times New Roman" w:hAnsi="Times New Roman"/>
                <w:color w:val="000000"/>
                <w:sz w:val="20"/>
              </w:rPr>
              <w:t xml:space="preserve"> listed</w:t>
            </w:r>
            <w:r w:rsidRPr="00E24619">
              <w:rPr>
                <w:rFonts w:ascii="Times New Roman" w:hAnsi="Times New Roman"/>
                <w:color w:val="000000"/>
                <w:sz w:val="20"/>
              </w:rPr>
              <w:t xml:space="preserve"> incentive is always the incentive paid</w:t>
            </w:r>
            <w:r w:rsidR="00EF1147" w:rsidRPr="00E24619">
              <w:rPr>
                <w:rFonts w:ascii="Times New Roman" w:hAnsi="Times New Roman"/>
                <w:color w:val="000000"/>
                <w:sz w:val="20"/>
              </w:rPr>
              <w:t xml:space="preserve"> (subject to caps where applicable)</w:t>
            </w:r>
            <w:r w:rsidRPr="00E24619">
              <w:rPr>
                <w:rFonts w:ascii="Times New Roman" w:hAnsi="Times New Roman"/>
                <w:color w:val="000000"/>
                <w:sz w:val="20"/>
              </w:rPr>
              <w:t>. Allow prescriptive and custom measures to be included in single project.</w:t>
            </w:r>
          </w:p>
        </w:tc>
      </w:tr>
      <w:tr w:rsidR="00D9430E" w:rsidRPr="00E24619" w:rsidTr="007A2B12">
        <w:tblPrEx>
          <w:tblLook w:val="04A0" w:firstRow="1" w:lastRow="0" w:firstColumn="1" w:lastColumn="0" w:noHBand="0" w:noVBand="1"/>
        </w:tblPrEx>
        <w:trPr>
          <w:trHeight w:val="300"/>
          <w:jc w:val="center"/>
        </w:trPr>
        <w:tc>
          <w:tcPr>
            <w:tcW w:w="1539" w:type="dxa"/>
            <w:tcBorders>
              <w:top w:val="single" w:sz="4" w:space="0" w:color="000000" w:themeColor="text1"/>
              <w:bottom w:val="nil"/>
            </w:tcBorders>
            <w:hideMark/>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t>115 - FinAnswer Express</w:t>
            </w:r>
          </w:p>
        </w:tc>
        <w:tc>
          <w:tcPr>
            <w:tcW w:w="2308" w:type="dxa"/>
          </w:tcPr>
          <w:p w:rsidR="00D9430E" w:rsidRPr="00E24619" w:rsidRDefault="00D9430E" w:rsidP="009B187B">
            <w:pPr>
              <w:rPr>
                <w:rFonts w:ascii="Times New Roman" w:hAnsi="Times New Roman"/>
                <w:b/>
                <w:color w:val="000000"/>
                <w:sz w:val="20"/>
              </w:rPr>
            </w:pPr>
          </w:p>
        </w:tc>
        <w:tc>
          <w:tcPr>
            <w:tcW w:w="1978" w:type="dxa"/>
          </w:tcPr>
          <w:p w:rsidR="00D9430E" w:rsidRPr="00E24619" w:rsidRDefault="00D9430E" w:rsidP="009B187B">
            <w:pPr>
              <w:rPr>
                <w:rFonts w:ascii="Times New Roman" w:hAnsi="Times New Roman"/>
                <w:b/>
                <w:color w:val="000000"/>
                <w:sz w:val="20"/>
              </w:rPr>
            </w:pPr>
          </w:p>
        </w:tc>
        <w:tc>
          <w:tcPr>
            <w:tcW w:w="2905" w:type="dxa"/>
          </w:tcPr>
          <w:p w:rsidR="00D9430E" w:rsidRPr="00E24619" w:rsidRDefault="00E24619" w:rsidP="009B187B">
            <w:pPr>
              <w:rPr>
                <w:rFonts w:ascii="Times New Roman" w:hAnsi="Times New Roman"/>
                <w:b/>
                <w:color w:val="000000"/>
                <w:sz w:val="20"/>
              </w:rPr>
            </w:pPr>
            <w:r w:rsidRPr="00E24619">
              <w:rPr>
                <w:rFonts w:ascii="Times New Roman" w:hAnsi="Times New Roman"/>
                <w:color w:val="000000"/>
                <w:sz w:val="20"/>
              </w:rPr>
              <w:t>See Attachment D: Explanation of Prescriptive Changes</w:t>
            </w:r>
          </w:p>
        </w:tc>
      </w:tr>
      <w:tr w:rsidR="00D9430E" w:rsidRPr="00E24619" w:rsidTr="007A2B12">
        <w:tblPrEx>
          <w:tblLook w:val="04A0" w:firstRow="1" w:lastRow="0" w:firstColumn="1" w:lastColumn="0" w:noHBand="0" w:noVBand="1"/>
        </w:tblPrEx>
        <w:trPr>
          <w:trHeight w:val="1275"/>
          <w:jc w:val="center"/>
        </w:trPr>
        <w:tc>
          <w:tcPr>
            <w:tcW w:w="1539" w:type="dxa"/>
            <w:tcBorders>
              <w:top w:val="single" w:sz="4" w:space="0" w:color="000000" w:themeColor="text1"/>
              <w:bottom w:val="nil"/>
            </w:tcBorders>
          </w:tcPr>
          <w:p w:rsidR="00D9430E" w:rsidRPr="00E24619" w:rsidRDefault="00D9430E" w:rsidP="009B187B">
            <w:pPr>
              <w:rPr>
                <w:rFonts w:ascii="Times New Roman" w:hAnsi="Times New Roman"/>
                <w:b/>
                <w:bCs/>
                <w:color w:val="000000"/>
                <w:sz w:val="20"/>
              </w:rPr>
            </w:pPr>
            <w:r w:rsidRPr="00E24619">
              <w:rPr>
                <w:rFonts w:ascii="Times New Roman" w:hAnsi="Times New Roman"/>
                <w:b/>
                <w:bCs/>
                <w:color w:val="000000"/>
                <w:sz w:val="20"/>
              </w:rPr>
              <w:t>140 – New options in consolidated tariff</w:t>
            </w:r>
          </w:p>
        </w:tc>
        <w:tc>
          <w:tcPr>
            <w:tcW w:w="2308" w:type="dxa"/>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N/A</w:t>
            </w:r>
          </w:p>
        </w:tc>
        <w:tc>
          <w:tcPr>
            <w:tcW w:w="1978" w:type="dxa"/>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Energy Management</w:t>
            </w:r>
          </w:p>
          <w:p w:rsidR="00D9430E" w:rsidRPr="00E24619" w:rsidRDefault="00D9430E" w:rsidP="009B187B">
            <w:pPr>
              <w:rPr>
                <w:rFonts w:ascii="Times New Roman" w:hAnsi="Times New Roman"/>
                <w:color w:val="000000"/>
                <w:sz w:val="20"/>
              </w:rPr>
            </w:pPr>
          </w:p>
        </w:tc>
        <w:tc>
          <w:tcPr>
            <w:tcW w:w="2905" w:type="dxa"/>
          </w:tcPr>
          <w:p w:rsidR="00BC61BC" w:rsidRPr="00E24619" w:rsidRDefault="00BC61BC" w:rsidP="00B95E36">
            <w:pPr>
              <w:rPr>
                <w:rFonts w:ascii="Times New Roman" w:hAnsi="Times New Roman"/>
                <w:color w:val="000000"/>
                <w:sz w:val="20"/>
              </w:rPr>
            </w:pPr>
            <w:r w:rsidRPr="00E24619">
              <w:rPr>
                <w:rFonts w:ascii="Times New Roman" w:hAnsi="Times New Roman"/>
                <w:color w:val="000000"/>
                <w:sz w:val="20"/>
              </w:rPr>
              <w:t xml:space="preserve">$0.02/kWh </w:t>
            </w:r>
          </w:p>
          <w:p w:rsidR="00BC61BC" w:rsidRPr="00E24619" w:rsidRDefault="00BC61BC" w:rsidP="00B95E36">
            <w:pPr>
              <w:rPr>
                <w:rFonts w:ascii="Times New Roman" w:hAnsi="Times New Roman"/>
                <w:color w:val="000000"/>
                <w:sz w:val="20"/>
              </w:rPr>
            </w:pPr>
          </w:p>
          <w:p w:rsidR="00D9430E" w:rsidRPr="00E24619" w:rsidRDefault="00D9430E" w:rsidP="00B95E36">
            <w:pPr>
              <w:rPr>
                <w:rFonts w:ascii="Times New Roman" w:hAnsi="Times New Roman"/>
                <w:color w:val="000000"/>
                <w:sz w:val="20"/>
              </w:rPr>
            </w:pPr>
            <w:r w:rsidRPr="00E24619">
              <w:rPr>
                <w:rFonts w:ascii="Times New Roman" w:hAnsi="Times New Roman"/>
                <w:color w:val="000000"/>
                <w:sz w:val="20"/>
              </w:rPr>
              <w:t xml:space="preserve">See discussion below. </w:t>
            </w:r>
          </w:p>
        </w:tc>
      </w:tr>
      <w:tr w:rsidR="00D9430E" w:rsidRPr="00E24619" w:rsidTr="007A2B12">
        <w:tblPrEx>
          <w:tblLook w:val="04A0" w:firstRow="1" w:lastRow="0" w:firstColumn="1" w:lastColumn="0" w:noHBand="0" w:noVBand="1"/>
        </w:tblPrEx>
        <w:trPr>
          <w:trHeight w:val="1275"/>
          <w:jc w:val="center"/>
        </w:trPr>
        <w:tc>
          <w:tcPr>
            <w:tcW w:w="1539" w:type="dxa"/>
            <w:tcBorders>
              <w:top w:val="nil"/>
              <w:bottom w:val="single" w:sz="4" w:space="0" w:color="000000" w:themeColor="text1"/>
            </w:tcBorders>
          </w:tcPr>
          <w:p w:rsidR="00D9430E" w:rsidRPr="00E24619" w:rsidRDefault="00D9430E" w:rsidP="009B187B">
            <w:pPr>
              <w:rPr>
                <w:rFonts w:ascii="Times New Roman" w:hAnsi="Times New Roman"/>
                <w:b/>
                <w:bCs/>
                <w:color w:val="000000"/>
                <w:sz w:val="20"/>
              </w:rPr>
            </w:pPr>
          </w:p>
        </w:tc>
        <w:tc>
          <w:tcPr>
            <w:tcW w:w="2308" w:type="dxa"/>
          </w:tcPr>
          <w:p w:rsidR="00D9430E" w:rsidRPr="00E24619" w:rsidRDefault="00D9430E" w:rsidP="009B187B">
            <w:pPr>
              <w:rPr>
                <w:rFonts w:ascii="Times New Roman" w:hAnsi="Times New Roman"/>
                <w:color w:val="000000"/>
                <w:sz w:val="20"/>
              </w:rPr>
            </w:pPr>
            <w:r w:rsidRPr="00E24619">
              <w:rPr>
                <w:rFonts w:ascii="Times New Roman" w:hAnsi="Times New Roman"/>
                <w:color w:val="000000"/>
                <w:sz w:val="20"/>
              </w:rPr>
              <w:t>N/A</w:t>
            </w:r>
          </w:p>
        </w:tc>
        <w:tc>
          <w:tcPr>
            <w:tcW w:w="1978" w:type="dxa"/>
          </w:tcPr>
          <w:p w:rsidR="00D9430E" w:rsidRPr="00E24619" w:rsidRDefault="00D9430E" w:rsidP="002C5379">
            <w:pPr>
              <w:rPr>
                <w:rFonts w:ascii="Times New Roman" w:hAnsi="Times New Roman"/>
                <w:color w:val="000000"/>
                <w:sz w:val="20"/>
              </w:rPr>
            </w:pPr>
            <w:r w:rsidRPr="00E24619">
              <w:rPr>
                <w:rFonts w:ascii="Times New Roman" w:hAnsi="Times New Roman"/>
                <w:color w:val="000000"/>
                <w:sz w:val="20"/>
              </w:rPr>
              <w:t xml:space="preserve">Use modification procedure approved in </w:t>
            </w:r>
            <w:r w:rsidRPr="00E24619">
              <w:rPr>
                <w:rFonts w:ascii="Times New Roman" w:hAnsi="Times New Roman"/>
                <w:sz w:val="20"/>
              </w:rPr>
              <w:t xml:space="preserve">Docket No. UE-061710 for </w:t>
            </w:r>
            <w:r w:rsidR="00E30A0E" w:rsidRPr="00E24619">
              <w:rPr>
                <w:rFonts w:ascii="Times New Roman" w:hAnsi="Times New Roman"/>
                <w:sz w:val="20"/>
              </w:rPr>
              <w:t xml:space="preserve">information contained in Attachment </w:t>
            </w:r>
            <w:r w:rsidR="002C5379" w:rsidRPr="00E24619">
              <w:rPr>
                <w:rFonts w:ascii="Times New Roman" w:hAnsi="Times New Roman"/>
                <w:sz w:val="20"/>
              </w:rPr>
              <w:t>B</w:t>
            </w:r>
            <w:r w:rsidR="00E30A0E" w:rsidRPr="00E24619">
              <w:rPr>
                <w:rFonts w:ascii="Times New Roman" w:hAnsi="Times New Roman"/>
                <w:sz w:val="20"/>
              </w:rPr>
              <w:t xml:space="preserve"> – WA Incentive Tables and </w:t>
            </w:r>
            <w:r w:rsidR="002C5379" w:rsidRPr="00E24619">
              <w:rPr>
                <w:rFonts w:ascii="Times New Roman" w:hAnsi="Times New Roman"/>
                <w:sz w:val="20"/>
              </w:rPr>
              <w:t>Information CLEAN</w:t>
            </w:r>
          </w:p>
        </w:tc>
        <w:tc>
          <w:tcPr>
            <w:tcW w:w="2905" w:type="dxa"/>
          </w:tcPr>
          <w:p w:rsidR="00D9430E" w:rsidRPr="00E24619" w:rsidRDefault="00BC61BC" w:rsidP="009B187B">
            <w:pPr>
              <w:rPr>
                <w:rFonts w:ascii="Times New Roman" w:hAnsi="Times New Roman"/>
                <w:color w:val="000000"/>
                <w:sz w:val="20"/>
              </w:rPr>
            </w:pPr>
            <w:r w:rsidRPr="00E24619">
              <w:rPr>
                <w:rFonts w:ascii="Times New Roman" w:hAnsi="Times New Roman"/>
                <w:color w:val="000000"/>
                <w:sz w:val="20"/>
              </w:rPr>
              <w:t xml:space="preserve">Streamline program </w:t>
            </w:r>
            <w:r w:rsidR="00D9430E" w:rsidRPr="00E24619">
              <w:rPr>
                <w:rFonts w:ascii="Times New Roman" w:hAnsi="Times New Roman"/>
                <w:color w:val="000000"/>
                <w:sz w:val="20"/>
              </w:rPr>
              <w:t xml:space="preserve">modification processes. </w:t>
            </w:r>
          </w:p>
        </w:tc>
      </w:tr>
    </w:tbl>
    <w:p w:rsidR="005B5656" w:rsidRPr="00E24619" w:rsidRDefault="005B5656" w:rsidP="00B95E36">
      <w:pPr>
        <w:rPr>
          <w:rFonts w:ascii="Times New Roman" w:hAnsi="Times New Roman"/>
        </w:rPr>
      </w:pPr>
    </w:p>
    <w:p w:rsidR="001A0E4F" w:rsidRDefault="003953C1" w:rsidP="001A0E4F">
      <w:pPr>
        <w:rPr>
          <w:rFonts w:ascii="Times New Roman" w:hAnsi="Times New Roman"/>
        </w:rPr>
      </w:pPr>
      <w:r w:rsidRPr="00E24619">
        <w:rPr>
          <w:rFonts w:ascii="Times New Roman" w:hAnsi="Times New Roman"/>
          <w:color w:val="FF0000"/>
        </w:rPr>
        <w:t xml:space="preserve"> </w:t>
      </w:r>
    </w:p>
    <w:p w:rsidR="00E30A0E" w:rsidRPr="00E24619" w:rsidRDefault="00E30A0E" w:rsidP="001A0E4F">
      <w:pPr>
        <w:rPr>
          <w:rFonts w:ascii="Times New Roman" w:hAnsi="Times New Roman"/>
        </w:rPr>
      </w:pPr>
      <w:r w:rsidRPr="00E24619">
        <w:rPr>
          <w:rFonts w:ascii="Times New Roman" w:hAnsi="Times New Roman"/>
        </w:rPr>
        <w:t>The current offer for custom energy efficiency projects is a combination of $0.15/kWh and $50/kW</w:t>
      </w:r>
      <w:r w:rsidR="00CA3572">
        <w:rPr>
          <w:rFonts w:ascii="Times New Roman" w:hAnsi="Times New Roman"/>
        </w:rPr>
        <w:t>,</w:t>
      </w:r>
      <w:r w:rsidRPr="00E24619">
        <w:rPr>
          <w:rFonts w:ascii="Times New Roman" w:hAnsi="Times New Roman"/>
        </w:rPr>
        <w:t xml:space="preserve"> not to exceed a specified percentage of projects costs</w:t>
      </w:r>
      <w:r w:rsidR="00EA38AA" w:rsidRPr="00E24619">
        <w:rPr>
          <w:rFonts w:ascii="Times New Roman" w:hAnsi="Times New Roman"/>
        </w:rPr>
        <w:t>. The current cost cap is 60</w:t>
      </w:r>
      <w:r w:rsidR="00CA3572">
        <w:rPr>
          <w:rFonts w:ascii="Times New Roman" w:hAnsi="Times New Roman"/>
        </w:rPr>
        <w:t>%</w:t>
      </w:r>
      <w:r w:rsidR="00EA38AA" w:rsidRPr="00E24619">
        <w:rPr>
          <w:rFonts w:ascii="Times New Roman" w:hAnsi="Times New Roman"/>
        </w:rPr>
        <w:t xml:space="preserve"> with a proposal to increase the cost cap to </w:t>
      </w:r>
      <w:r w:rsidR="00CA3572">
        <w:rPr>
          <w:rFonts w:ascii="Times New Roman" w:hAnsi="Times New Roman"/>
        </w:rPr>
        <w:t>70%</w:t>
      </w:r>
      <w:r w:rsidRPr="00E24619">
        <w:rPr>
          <w:rFonts w:ascii="Times New Roman" w:hAnsi="Times New Roman"/>
        </w:rPr>
        <w:t xml:space="preserve">. A </w:t>
      </w:r>
      <w:r w:rsidR="002E2100" w:rsidRPr="00E24619">
        <w:rPr>
          <w:rFonts w:ascii="Times New Roman" w:hAnsi="Times New Roman"/>
        </w:rPr>
        <w:t xml:space="preserve">company </w:t>
      </w:r>
      <w:r w:rsidRPr="00E24619">
        <w:rPr>
          <w:rFonts w:ascii="Times New Roman" w:hAnsi="Times New Roman"/>
        </w:rPr>
        <w:t>review of completed and forecasted projects indicate</w:t>
      </w:r>
      <w:r w:rsidR="002E2100" w:rsidRPr="00E24619">
        <w:rPr>
          <w:rFonts w:ascii="Times New Roman" w:hAnsi="Times New Roman"/>
        </w:rPr>
        <w:t>s</w:t>
      </w:r>
      <w:r w:rsidRPr="00E24619">
        <w:rPr>
          <w:rFonts w:ascii="Times New Roman" w:hAnsi="Times New Roman"/>
        </w:rPr>
        <w:t xml:space="preserve"> the energy (kWh) component of the current offer represents the vast majority of the available incentive</w:t>
      </w:r>
      <w:r w:rsidR="002E2100" w:rsidRPr="00E24619">
        <w:rPr>
          <w:rFonts w:ascii="Times New Roman" w:hAnsi="Times New Roman"/>
        </w:rPr>
        <w:t>. A review of</w:t>
      </w:r>
      <w:r w:rsidR="00F3529F" w:rsidRPr="00E24619">
        <w:rPr>
          <w:rFonts w:ascii="Times New Roman" w:hAnsi="Times New Roman"/>
        </w:rPr>
        <w:t xml:space="preserve"> a sample of </w:t>
      </w:r>
      <w:r w:rsidR="002E2100" w:rsidRPr="00E24619">
        <w:rPr>
          <w:rFonts w:ascii="Times New Roman" w:hAnsi="Times New Roman"/>
        </w:rPr>
        <w:t xml:space="preserve">other programs using a “standard offer” incentive indicates that most programs focus on $/kWh. A small minority of energy efficiency programs utilize $/kW, but research did not immediately locate another energy efficiency program that utilized both $/kWh and $/kW. </w:t>
      </w:r>
      <w:r w:rsidR="00F3529F" w:rsidRPr="00E24619">
        <w:rPr>
          <w:rFonts w:ascii="Times New Roman" w:hAnsi="Times New Roman"/>
        </w:rPr>
        <w:t xml:space="preserve">This adjustment should be viewed in combination with the proposal </w:t>
      </w:r>
      <w:r w:rsidR="00902A86" w:rsidRPr="00E24619">
        <w:rPr>
          <w:rFonts w:ascii="Times New Roman" w:hAnsi="Times New Roman"/>
        </w:rPr>
        <w:t>to increase the project cost cap from 60</w:t>
      </w:r>
      <w:r w:rsidR="00CA3572">
        <w:rPr>
          <w:rFonts w:ascii="Times New Roman" w:hAnsi="Times New Roman"/>
        </w:rPr>
        <w:t>%</w:t>
      </w:r>
      <w:r w:rsidR="00902A86" w:rsidRPr="00E24619">
        <w:rPr>
          <w:rFonts w:ascii="Times New Roman" w:hAnsi="Times New Roman"/>
        </w:rPr>
        <w:t xml:space="preserve"> to 70</w:t>
      </w:r>
      <w:r w:rsidR="00CA3572">
        <w:rPr>
          <w:rFonts w:ascii="Times New Roman" w:hAnsi="Times New Roman"/>
        </w:rPr>
        <w:t>%</w:t>
      </w:r>
      <w:r w:rsidR="00902A86" w:rsidRPr="00E24619">
        <w:rPr>
          <w:rFonts w:ascii="Times New Roman" w:hAnsi="Times New Roman"/>
        </w:rPr>
        <w:t xml:space="preserve"> and to fund savings verification instead of requiring the customer to pay and contract for commissioning separately</w:t>
      </w:r>
      <w:r w:rsidR="00F3529F" w:rsidRPr="00E24619">
        <w:rPr>
          <w:rFonts w:ascii="Times New Roman" w:hAnsi="Times New Roman"/>
        </w:rPr>
        <w:t xml:space="preserve">. </w:t>
      </w:r>
    </w:p>
    <w:p w:rsidR="00E24619" w:rsidRDefault="00E24619" w:rsidP="00E24619">
      <w:pPr>
        <w:rPr>
          <w:rFonts w:ascii="Times New Roman" w:hAnsi="Times New Roman"/>
          <w:b/>
        </w:rPr>
      </w:pPr>
    </w:p>
    <w:p w:rsidR="0093083A" w:rsidRDefault="0093083A" w:rsidP="00E24619">
      <w:pPr>
        <w:rPr>
          <w:rFonts w:ascii="Times New Roman" w:hAnsi="Times New Roman"/>
          <w:b/>
        </w:rPr>
      </w:pPr>
    </w:p>
    <w:p w:rsidR="0093083A" w:rsidRDefault="0093083A" w:rsidP="00E24619">
      <w:pPr>
        <w:rPr>
          <w:rFonts w:ascii="Times New Roman" w:hAnsi="Times New Roman"/>
          <w:b/>
        </w:rPr>
      </w:pPr>
    </w:p>
    <w:p w:rsidR="00E30A0E" w:rsidRPr="00E24619" w:rsidRDefault="009238EF" w:rsidP="00E24619">
      <w:pPr>
        <w:rPr>
          <w:rFonts w:ascii="Times New Roman" w:hAnsi="Times New Roman"/>
          <w:b/>
        </w:rPr>
      </w:pPr>
      <w:r w:rsidRPr="00E24619">
        <w:rPr>
          <w:rFonts w:ascii="Times New Roman" w:hAnsi="Times New Roman"/>
          <w:b/>
        </w:rPr>
        <w:lastRenderedPageBreak/>
        <w:t xml:space="preserve">Alignment with Regional </w:t>
      </w:r>
      <w:r w:rsidR="008A6AD9" w:rsidRPr="00E24619">
        <w:rPr>
          <w:rFonts w:ascii="Times New Roman" w:hAnsi="Times New Roman"/>
          <w:b/>
        </w:rPr>
        <w:t>Technical Forum (RTF)</w:t>
      </w:r>
      <w:r w:rsidRPr="00E24619">
        <w:rPr>
          <w:rFonts w:ascii="Times New Roman" w:hAnsi="Times New Roman"/>
          <w:b/>
        </w:rPr>
        <w:t xml:space="preserve"> </w:t>
      </w:r>
    </w:p>
    <w:p w:rsidR="009238EF" w:rsidRPr="00E24619" w:rsidRDefault="009238EF" w:rsidP="00E24619">
      <w:pPr>
        <w:rPr>
          <w:rFonts w:ascii="Times New Roman" w:hAnsi="Times New Roman"/>
          <w:b/>
        </w:rPr>
      </w:pPr>
    </w:p>
    <w:p w:rsidR="009238EF" w:rsidRPr="00E24619" w:rsidRDefault="009238EF" w:rsidP="007A2B12">
      <w:pPr>
        <w:rPr>
          <w:rFonts w:ascii="Times New Roman" w:hAnsi="Times New Roman"/>
        </w:rPr>
      </w:pPr>
      <w:r w:rsidRPr="00E24619">
        <w:rPr>
          <w:rFonts w:ascii="Times New Roman" w:hAnsi="Times New Roman"/>
        </w:rPr>
        <w:t xml:space="preserve">The measure review process for existing and new measures included a requirement to assess whether the RTF </w:t>
      </w:r>
      <w:r w:rsidR="008A6AD9" w:rsidRPr="00E24619">
        <w:rPr>
          <w:rFonts w:ascii="Times New Roman" w:hAnsi="Times New Roman"/>
        </w:rPr>
        <w:t xml:space="preserve">is currently maintaining </w:t>
      </w:r>
      <w:r w:rsidRPr="00E24619">
        <w:rPr>
          <w:rFonts w:ascii="Times New Roman" w:hAnsi="Times New Roman"/>
        </w:rPr>
        <w:t>unit energy savings (UES) value</w:t>
      </w:r>
      <w:r w:rsidR="008A6AD9" w:rsidRPr="00E24619">
        <w:rPr>
          <w:rFonts w:ascii="Times New Roman" w:hAnsi="Times New Roman"/>
        </w:rPr>
        <w:t>(s)</w:t>
      </w:r>
      <w:r w:rsidRPr="00E24619">
        <w:rPr>
          <w:rFonts w:ascii="Times New Roman" w:hAnsi="Times New Roman"/>
        </w:rPr>
        <w:t xml:space="preserve"> that </w:t>
      </w:r>
      <w:r w:rsidR="008A6AD9" w:rsidRPr="00E24619">
        <w:rPr>
          <w:rFonts w:ascii="Times New Roman" w:hAnsi="Times New Roman"/>
        </w:rPr>
        <w:t xml:space="preserve">are applicable to the proposed measure(s). The results of this work are included in both Attachment </w:t>
      </w:r>
      <w:r w:rsidR="002C5379" w:rsidRPr="00E24619">
        <w:rPr>
          <w:rFonts w:ascii="Times New Roman" w:hAnsi="Times New Roman"/>
        </w:rPr>
        <w:t>D</w:t>
      </w:r>
      <w:r w:rsidR="00CA3572">
        <w:rPr>
          <w:rFonts w:ascii="Times New Roman" w:hAnsi="Times New Roman"/>
        </w:rPr>
        <w:t xml:space="preserve"> – Explanation of Prescriptive Changes</w:t>
      </w:r>
      <w:r w:rsidR="008A6AD9" w:rsidRPr="00E24619">
        <w:rPr>
          <w:rFonts w:ascii="Times New Roman" w:hAnsi="Times New Roman"/>
        </w:rPr>
        <w:t xml:space="preserve"> for irrigation, industrial, farm and dairy measures</w:t>
      </w:r>
      <w:r w:rsidR="00CA3572">
        <w:rPr>
          <w:rFonts w:ascii="Times New Roman" w:hAnsi="Times New Roman"/>
        </w:rPr>
        <w:t>;</w:t>
      </w:r>
      <w:r w:rsidR="008A6AD9" w:rsidRPr="00E24619">
        <w:rPr>
          <w:rFonts w:ascii="Times New Roman" w:hAnsi="Times New Roman"/>
        </w:rPr>
        <w:t xml:space="preserve"> and in </w:t>
      </w:r>
      <w:r w:rsidR="00902A86" w:rsidRPr="00E24619">
        <w:rPr>
          <w:rFonts w:ascii="Times New Roman" w:hAnsi="Times New Roman"/>
        </w:rPr>
        <w:t>Attachment</w:t>
      </w:r>
      <w:r w:rsidR="008A6AD9" w:rsidRPr="00E24619">
        <w:rPr>
          <w:rFonts w:ascii="Times New Roman" w:hAnsi="Times New Roman"/>
        </w:rPr>
        <w:t xml:space="preserve"> </w:t>
      </w:r>
      <w:r w:rsidR="002C5379" w:rsidRPr="00E24619">
        <w:rPr>
          <w:rFonts w:ascii="Times New Roman" w:hAnsi="Times New Roman"/>
        </w:rPr>
        <w:t>E</w:t>
      </w:r>
      <w:r w:rsidR="008A6AD9" w:rsidRPr="00E24619">
        <w:rPr>
          <w:rFonts w:ascii="Times New Roman" w:hAnsi="Times New Roman"/>
        </w:rPr>
        <w:t xml:space="preserve"> – RTF Al</w:t>
      </w:r>
      <w:r w:rsidR="002C5379" w:rsidRPr="00E24619">
        <w:rPr>
          <w:rFonts w:ascii="Times New Roman" w:hAnsi="Times New Roman"/>
        </w:rPr>
        <w:t>ignment for Commercial Measures</w:t>
      </w:r>
      <w:r w:rsidR="008A6AD9" w:rsidRPr="00E24619">
        <w:rPr>
          <w:rFonts w:ascii="Times New Roman" w:hAnsi="Times New Roman"/>
        </w:rPr>
        <w:t xml:space="preserve">.  </w:t>
      </w:r>
      <w:r w:rsidRPr="00E24619">
        <w:rPr>
          <w:rFonts w:ascii="Times New Roman" w:hAnsi="Times New Roman"/>
        </w:rPr>
        <w:t xml:space="preserve">  </w:t>
      </w:r>
    </w:p>
    <w:p w:rsidR="009238EF" w:rsidRPr="00E24619" w:rsidRDefault="009238EF" w:rsidP="00CA3572">
      <w:pPr>
        <w:jc w:val="both"/>
        <w:rPr>
          <w:rFonts w:ascii="Times New Roman" w:hAnsi="Times New Roman"/>
          <w:b/>
        </w:rPr>
      </w:pPr>
    </w:p>
    <w:p w:rsidR="00D9430E" w:rsidRPr="00E24619" w:rsidRDefault="00B95E36" w:rsidP="00CA3572">
      <w:pPr>
        <w:jc w:val="both"/>
        <w:rPr>
          <w:rFonts w:ascii="Times New Roman" w:hAnsi="Times New Roman"/>
          <w:b/>
        </w:rPr>
      </w:pPr>
      <w:r w:rsidRPr="00E24619">
        <w:rPr>
          <w:rFonts w:ascii="Times New Roman" w:hAnsi="Times New Roman"/>
          <w:b/>
        </w:rPr>
        <w:t>Energy Management</w:t>
      </w:r>
    </w:p>
    <w:p w:rsidR="00B95E36" w:rsidRPr="00E24619" w:rsidRDefault="00B95E36" w:rsidP="00CA3572">
      <w:pPr>
        <w:jc w:val="both"/>
        <w:rPr>
          <w:rFonts w:ascii="Times New Roman" w:hAnsi="Times New Roman"/>
          <w:b/>
          <w:caps/>
        </w:rPr>
      </w:pPr>
    </w:p>
    <w:p w:rsidR="00D9430E" w:rsidRPr="00E24619" w:rsidRDefault="008D22F5" w:rsidP="007A2B12">
      <w:pPr>
        <w:rPr>
          <w:rFonts w:ascii="Times New Roman" w:hAnsi="Times New Roman"/>
          <w:color w:val="000000" w:themeColor="text1"/>
        </w:rPr>
      </w:pPr>
      <w:r w:rsidRPr="00E24619">
        <w:rPr>
          <w:rFonts w:ascii="Times New Roman" w:hAnsi="Times New Roman"/>
        </w:rPr>
        <w:t xml:space="preserve">The addition of </w:t>
      </w:r>
      <w:r w:rsidR="00512797" w:rsidRPr="00E24619">
        <w:rPr>
          <w:rFonts w:ascii="Times New Roman" w:hAnsi="Times New Roman"/>
        </w:rPr>
        <w:t>E</w:t>
      </w:r>
      <w:r w:rsidRPr="00E24619">
        <w:rPr>
          <w:rFonts w:ascii="Times New Roman" w:hAnsi="Times New Roman"/>
        </w:rPr>
        <w:t xml:space="preserve">nergy </w:t>
      </w:r>
      <w:r w:rsidR="00512797" w:rsidRPr="00E24619">
        <w:rPr>
          <w:rFonts w:ascii="Times New Roman" w:hAnsi="Times New Roman"/>
        </w:rPr>
        <w:t>M</w:t>
      </w:r>
      <w:r w:rsidRPr="00E24619">
        <w:rPr>
          <w:rFonts w:ascii="Times New Roman" w:hAnsi="Times New Roman"/>
        </w:rPr>
        <w:t>anagement incentives expands the pr</w:t>
      </w:r>
      <w:r w:rsidR="00902A86" w:rsidRPr="00E24619">
        <w:rPr>
          <w:rFonts w:ascii="Times New Roman" w:hAnsi="Times New Roman"/>
        </w:rPr>
        <w:t>ograms</w:t>
      </w:r>
      <w:r w:rsidRPr="00E24619">
        <w:rPr>
          <w:rFonts w:ascii="Times New Roman" w:hAnsi="Times New Roman"/>
        </w:rPr>
        <w:t xml:space="preserve"> beyond the current focus on capital projects and helps the </w:t>
      </w:r>
      <w:r w:rsidR="00902A86" w:rsidRPr="00E24619">
        <w:rPr>
          <w:rFonts w:ascii="Times New Roman" w:hAnsi="Times New Roman"/>
        </w:rPr>
        <w:t>Company</w:t>
      </w:r>
      <w:r w:rsidR="00D9430E" w:rsidRPr="00E24619">
        <w:rPr>
          <w:rFonts w:ascii="Times New Roman" w:hAnsi="Times New Roman"/>
        </w:rPr>
        <w:t xml:space="preserve"> p</w:t>
      </w:r>
      <w:r w:rsidR="002C4FF5" w:rsidRPr="00E24619">
        <w:rPr>
          <w:rFonts w:ascii="Times New Roman" w:hAnsi="Times New Roman"/>
        </w:rPr>
        <w:t>artner with c</w:t>
      </w:r>
      <w:r w:rsidR="00D9430E" w:rsidRPr="00E24619">
        <w:rPr>
          <w:rFonts w:ascii="Times New Roman" w:hAnsi="Times New Roman"/>
        </w:rPr>
        <w:t>ustomer</w:t>
      </w:r>
      <w:r w:rsidR="002C4FF5" w:rsidRPr="00E24619">
        <w:rPr>
          <w:rFonts w:ascii="Times New Roman" w:hAnsi="Times New Roman"/>
        </w:rPr>
        <w:t>s to e</w:t>
      </w:r>
      <w:r w:rsidR="00D9430E" w:rsidRPr="00E24619">
        <w:rPr>
          <w:rFonts w:ascii="Times New Roman" w:hAnsi="Times New Roman"/>
        </w:rPr>
        <w:t>nsure ongoing efficiency improvements in the operation and management of facilities and industrial processes.</w:t>
      </w:r>
      <w:r w:rsidR="00512797" w:rsidRPr="00E24619">
        <w:rPr>
          <w:rFonts w:ascii="Times New Roman" w:hAnsi="Times New Roman"/>
        </w:rPr>
        <w:t xml:space="preserve"> </w:t>
      </w:r>
      <w:r w:rsidR="00D9430E" w:rsidRPr="00E24619">
        <w:rPr>
          <w:rFonts w:ascii="Times New Roman" w:hAnsi="Times New Roman"/>
        </w:rPr>
        <w:t>Energy Management is a system of practices that creates reliable and persistent electric energy savings</w:t>
      </w:r>
      <w:r w:rsidR="00902A86" w:rsidRPr="00E24619">
        <w:rPr>
          <w:rFonts w:ascii="Times New Roman" w:hAnsi="Times New Roman"/>
        </w:rPr>
        <w:t xml:space="preserve"> through improved operations,</w:t>
      </w:r>
      <w:r w:rsidR="00D9430E" w:rsidRPr="00E24619">
        <w:rPr>
          <w:rFonts w:ascii="Times New Roman" w:hAnsi="Times New Roman"/>
        </w:rPr>
        <w:t xml:space="preserve"> maintenance</w:t>
      </w:r>
      <w:r w:rsidR="00512797" w:rsidRPr="00E24619">
        <w:rPr>
          <w:rFonts w:ascii="Times New Roman" w:hAnsi="Times New Roman"/>
        </w:rPr>
        <w:t xml:space="preserve"> </w:t>
      </w:r>
      <w:r w:rsidR="00D9430E" w:rsidRPr="00E24619">
        <w:rPr>
          <w:rFonts w:ascii="Times New Roman" w:hAnsi="Times New Roman"/>
        </w:rPr>
        <w:t>and management practices at customer sites</w:t>
      </w:r>
      <w:r w:rsidR="00902A86" w:rsidRPr="00E24619">
        <w:rPr>
          <w:rFonts w:ascii="Times New Roman" w:hAnsi="Times New Roman"/>
        </w:rPr>
        <w:t xml:space="preserve">. It </w:t>
      </w:r>
      <w:r w:rsidR="00512797" w:rsidRPr="00E24619">
        <w:rPr>
          <w:rFonts w:ascii="Times New Roman" w:hAnsi="Times New Roman"/>
        </w:rPr>
        <w:t xml:space="preserve">is </w:t>
      </w:r>
      <w:r w:rsidR="00D9430E" w:rsidRPr="00E24619">
        <w:rPr>
          <w:rFonts w:ascii="Times New Roman" w:hAnsi="Times New Roman"/>
          <w:color w:val="000000" w:themeColor="text1"/>
        </w:rPr>
        <w:t>designed to complement program offerings for capital improvements and the current Energy Project Manager</w:t>
      </w:r>
      <w:r w:rsidR="00512797" w:rsidRPr="00E24619">
        <w:rPr>
          <w:rFonts w:ascii="Times New Roman" w:hAnsi="Times New Roman"/>
          <w:color w:val="000000" w:themeColor="text1"/>
        </w:rPr>
        <w:t xml:space="preserve"> co-funding offer.</w:t>
      </w:r>
      <w:r w:rsidR="00D9430E" w:rsidRPr="00E24619">
        <w:rPr>
          <w:rFonts w:ascii="Times New Roman" w:hAnsi="Times New Roman"/>
          <w:color w:val="000000" w:themeColor="text1"/>
        </w:rPr>
        <w:t xml:space="preserve"> </w:t>
      </w:r>
    </w:p>
    <w:p w:rsidR="00B95E36" w:rsidRPr="00E24619" w:rsidRDefault="00B95E36" w:rsidP="00CA3572">
      <w:pPr>
        <w:ind w:firstLine="720"/>
        <w:jc w:val="both"/>
        <w:rPr>
          <w:rFonts w:ascii="Times New Roman" w:hAnsi="Times New Roman"/>
          <w:color w:val="000000" w:themeColor="text1"/>
        </w:rPr>
      </w:pPr>
    </w:p>
    <w:p w:rsidR="00D9430E" w:rsidRPr="00E24619" w:rsidRDefault="00D9430E" w:rsidP="007A2B12">
      <w:pPr>
        <w:rPr>
          <w:rFonts w:ascii="Times New Roman" w:hAnsi="Times New Roman"/>
          <w:color w:val="000000" w:themeColor="text1"/>
        </w:rPr>
      </w:pPr>
      <w:r w:rsidRPr="00E24619">
        <w:rPr>
          <w:rFonts w:ascii="Times New Roman" w:hAnsi="Times New Roman"/>
          <w:color w:val="000000" w:themeColor="text1"/>
        </w:rPr>
        <w:t>Energy Management will offer multiple levels of engagement: Strategic Energy Management, Persistent Commissioning, Industrial Re-commissioning</w:t>
      </w:r>
      <w:r w:rsidR="00512797" w:rsidRPr="00E24619">
        <w:rPr>
          <w:rFonts w:ascii="Times New Roman" w:hAnsi="Times New Roman"/>
          <w:color w:val="000000" w:themeColor="text1"/>
        </w:rPr>
        <w:t xml:space="preserve"> </w:t>
      </w:r>
      <w:r w:rsidRPr="00E24619">
        <w:rPr>
          <w:rFonts w:ascii="Times New Roman" w:hAnsi="Times New Roman"/>
          <w:color w:val="000000" w:themeColor="text1"/>
        </w:rPr>
        <w:t xml:space="preserve">and Re-commissioning. The level of engagement will be in direct response to the customer’s specific needs and their commitment to a process that can extend from 12 </w:t>
      </w:r>
      <w:r w:rsidR="00E25622" w:rsidRPr="00E24619">
        <w:rPr>
          <w:rFonts w:ascii="Times New Roman" w:hAnsi="Times New Roman"/>
          <w:color w:val="000000" w:themeColor="text1"/>
        </w:rPr>
        <w:t>-</w:t>
      </w:r>
      <w:r w:rsidRPr="00E24619">
        <w:rPr>
          <w:rFonts w:ascii="Times New Roman" w:hAnsi="Times New Roman"/>
          <w:color w:val="000000" w:themeColor="text1"/>
        </w:rPr>
        <w:t xml:space="preserve"> 24 months and produce measurable savings.  Savings are site specific and </w:t>
      </w:r>
      <w:r w:rsidRPr="00E24619">
        <w:rPr>
          <w:rFonts w:ascii="Times New Roman" w:hAnsi="Times New Roman"/>
        </w:rPr>
        <w:t xml:space="preserve">monitoring of building systems and industrial process controls is used to identify and quantify energy savings. </w:t>
      </w:r>
      <w:r w:rsidR="00E25622" w:rsidRPr="00E24619">
        <w:rPr>
          <w:rFonts w:ascii="Times New Roman" w:hAnsi="Times New Roman"/>
        </w:rPr>
        <w:t>E</w:t>
      </w:r>
      <w:r w:rsidRPr="00E24619">
        <w:rPr>
          <w:rFonts w:ascii="Times New Roman" w:hAnsi="Times New Roman"/>
          <w:color w:val="000000" w:themeColor="text1"/>
        </w:rPr>
        <w:t xml:space="preserve">nergy savings potential for the Washington service territory </w:t>
      </w:r>
      <w:r w:rsidR="00E25622" w:rsidRPr="00E24619">
        <w:rPr>
          <w:rFonts w:ascii="Times New Roman" w:hAnsi="Times New Roman"/>
          <w:color w:val="000000" w:themeColor="text1"/>
        </w:rPr>
        <w:t xml:space="preserve">was developed </w:t>
      </w:r>
      <w:r w:rsidRPr="00E24619">
        <w:rPr>
          <w:rFonts w:ascii="Times New Roman" w:hAnsi="Times New Roman"/>
          <w:color w:val="000000" w:themeColor="text1"/>
        </w:rPr>
        <w:t>by analyzing customer loads, facility types</w:t>
      </w:r>
      <w:r w:rsidR="00902A86" w:rsidRPr="00E24619">
        <w:rPr>
          <w:rFonts w:ascii="Times New Roman" w:hAnsi="Times New Roman"/>
          <w:color w:val="000000" w:themeColor="text1"/>
        </w:rPr>
        <w:t>,</w:t>
      </w:r>
      <w:r w:rsidRPr="00E24619">
        <w:rPr>
          <w:rFonts w:ascii="Times New Roman" w:hAnsi="Times New Roman"/>
          <w:color w:val="000000" w:themeColor="text1"/>
        </w:rPr>
        <w:t xml:space="preserve"> and typical end uses in facilities </w:t>
      </w:r>
      <w:r w:rsidR="00CA3572">
        <w:rPr>
          <w:rFonts w:ascii="Times New Roman" w:hAnsi="Times New Roman"/>
          <w:color w:val="000000" w:themeColor="text1"/>
        </w:rPr>
        <w:t>that use</w:t>
      </w:r>
      <w:r w:rsidRPr="00E24619">
        <w:rPr>
          <w:rFonts w:ascii="Times New Roman" w:hAnsi="Times New Roman"/>
          <w:color w:val="000000" w:themeColor="text1"/>
        </w:rPr>
        <w:t xml:space="preserve"> at least </w:t>
      </w:r>
      <w:r w:rsidR="00512797" w:rsidRPr="00E24619">
        <w:rPr>
          <w:rFonts w:ascii="Times New Roman" w:hAnsi="Times New Roman"/>
          <w:color w:val="000000" w:themeColor="text1"/>
        </w:rPr>
        <w:t>5</w:t>
      </w:r>
      <w:r w:rsidRPr="00E24619">
        <w:rPr>
          <w:rFonts w:ascii="Times New Roman" w:hAnsi="Times New Roman"/>
          <w:color w:val="000000" w:themeColor="text1"/>
        </w:rPr>
        <w:t>00,000 kWh/year</w:t>
      </w:r>
      <w:r w:rsidR="00E25622" w:rsidRPr="00E24619">
        <w:rPr>
          <w:rStyle w:val="FootnoteReference"/>
          <w:rFonts w:ascii="Times New Roman" w:hAnsi="Times New Roman"/>
          <w:color w:val="000000" w:themeColor="text1"/>
        </w:rPr>
        <w:footnoteReference w:id="3"/>
      </w:r>
      <w:r w:rsidRPr="00E24619">
        <w:rPr>
          <w:rFonts w:ascii="Times New Roman" w:hAnsi="Times New Roman"/>
          <w:color w:val="000000" w:themeColor="text1"/>
        </w:rPr>
        <w:t xml:space="preserve">.  Initial incentive levels and program design utilizing three year measure life assumption </w:t>
      </w:r>
      <w:r w:rsidR="00902A86" w:rsidRPr="00E24619">
        <w:rPr>
          <w:rFonts w:ascii="Times New Roman" w:hAnsi="Times New Roman"/>
          <w:color w:val="000000" w:themeColor="text1"/>
        </w:rPr>
        <w:t>were</w:t>
      </w:r>
      <w:r w:rsidRPr="00E24619">
        <w:rPr>
          <w:rFonts w:ascii="Times New Roman" w:hAnsi="Times New Roman"/>
          <w:color w:val="000000" w:themeColor="text1"/>
        </w:rPr>
        <w:t xml:space="preserve"> also </w:t>
      </w:r>
      <w:r w:rsidR="00E25622" w:rsidRPr="00E24619">
        <w:rPr>
          <w:rFonts w:ascii="Times New Roman" w:hAnsi="Times New Roman"/>
          <w:color w:val="000000" w:themeColor="text1"/>
        </w:rPr>
        <w:t xml:space="preserve">included in the analysis. </w:t>
      </w:r>
      <w:r w:rsidRPr="00E24619">
        <w:rPr>
          <w:rFonts w:ascii="Times New Roman" w:hAnsi="Times New Roman"/>
          <w:color w:val="000000" w:themeColor="text1"/>
        </w:rPr>
        <w:t xml:space="preserve">  </w:t>
      </w:r>
    </w:p>
    <w:p w:rsidR="00B95E36" w:rsidRPr="00E24619" w:rsidRDefault="00B95E36" w:rsidP="00CA3572">
      <w:pPr>
        <w:jc w:val="both"/>
        <w:rPr>
          <w:rFonts w:ascii="Times New Roman" w:hAnsi="Times New Roman"/>
          <w:b/>
          <w:caps/>
        </w:rPr>
      </w:pPr>
    </w:p>
    <w:p w:rsidR="00D9430E" w:rsidRPr="00E24619" w:rsidRDefault="00020467" w:rsidP="00CA3572">
      <w:pPr>
        <w:jc w:val="both"/>
        <w:rPr>
          <w:rFonts w:ascii="Times New Roman" w:hAnsi="Times New Roman"/>
          <w:b/>
          <w:caps/>
        </w:rPr>
      </w:pPr>
      <w:r w:rsidRPr="00E24619">
        <w:rPr>
          <w:rFonts w:ascii="Times New Roman" w:hAnsi="Times New Roman"/>
          <w:b/>
        </w:rPr>
        <w:t>Cost Effectiveness Analysis</w:t>
      </w:r>
    </w:p>
    <w:p w:rsidR="00D9430E" w:rsidRPr="00E24619" w:rsidRDefault="00155569" w:rsidP="007A2B12">
      <w:pPr>
        <w:spacing w:before="100" w:beforeAutospacing="1" w:after="100" w:afterAutospacing="1"/>
        <w:rPr>
          <w:rFonts w:ascii="Times New Roman" w:hAnsi="Times New Roman"/>
        </w:rPr>
      </w:pPr>
      <w:r w:rsidRPr="00E24619">
        <w:rPr>
          <w:rFonts w:ascii="Times New Roman" w:hAnsi="Times New Roman"/>
        </w:rPr>
        <w:t xml:space="preserve">The following </w:t>
      </w:r>
      <w:r w:rsidR="00D9430E" w:rsidRPr="00E24619">
        <w:rPr>
          <w:rFonts w:ascii="Times New Roman" w:hAnsi="Times New Roman"/>
        </w:rPr>
        <w:t>approach was taken to the cost effectiveness analysis. Step one was to establish a two year business as usual case of the current programs without enhancements. T</w:t>
      </w:r>
      <w:r w:rsidR="00E32459" w:rsidRPr="00E24619">
        <w:rPr>
          <w:rFonts w:ascii="Times New Roman" w:hAnsi="Times New Roman"/>
        </w:rPr>
        <w:t xml:space="preserve">he use of a </w:t>
      </w:r>
      <w:r w:rsidR="00EC1407" w:rsidRPr="00E24619">
        <w:rPr>
          <w:rFonts w:ascii="Times New Roman" w:hAnsi="Times New Roman"/>
        </w:rPr>
        <w:t>two-</w:t>
      </w:r>
      <w:r w:rsidR="00E32459" w:rsidRPr="00E24619">
        <w:rPr>
          <w:rFonts w:ascii="Times New Roman" w:hAnsi="Times New Roman"/>
        </w:rPr>
        <w:t>year time</w:t>
      </w:r>
      <w:r w:rsidRPr="00E24619">
        <w:rPr>
          <w:rFonts w:ascii="Times New Roman" w:hAnsi="Times New Roman"/>
        </w:rPr>
        <w:t xml:space="preserve">frame </w:t>
      </w:r>
      <w:r w:rsidR="00D9430E" w:rsidRPr="00E24619">
        <w:rPr>
          <w:rFonts w:ascii="Times New Roman" w:hAnsi="Times New Roman"/>
        </w:rPr>
        <w:t xml:space="preserve">is designed to align with </w:t>
      </w:r>
      <w:r w:rsidR="0081496A" w:rsidRPr="00E24619">
        <w:rPr>
          <w:rFonts w:ascii="Times New Roman" w:hAnsi="Times New Roman"/>
        </w:rPr>
        <w:t xml:space="preserve">2014-2015 </w:t>
      </w:r>
      <w:r w:rsidR="00D9430E" w:rsidRPr="00E24619">
        <w:rPr>
          <w:rFonts w:ascii="Times New Roman" w:hAnsi="Times New Roman"/>
        </w:rPr>
        <w:t xml:space="preserve">biennial period.  </w:t>
      </w:r>
      <w:r w:rsidR="0081496A" w:rsidRPr="00E24619">
        <w:rPr>
          <w:rFonts w:ascii="Times New Roman" w:hAnsi="Times New Roman"/>
        </w:rPr>
        <w:t xml:space="preserve">Realization rates and </w:t>
      </w:r>
      <w:r w:rsidR="00D9430E" w:rsidRPr="00E24619">
        <w:rPr>
          <w:rFonts w:ascii="Times New Roman" w:hAnsi="Times New Roman"/>
        </w:rPr>
        <w:t>measure life utilized in the 2012 Washington a</w:t>
      </w:r>
      <w:r w:rsidR="00902A86" w:rsidRPr="00E24619">
        <w:rPr>
          <w:rFonts w:ascii="Times New Roman" w:hAnsi="Times New Roman"/>
        </w:rPr>
        <w:t xml:space="preserve">nnual report were incorporated </w:t>
      </w:r>
      <w:r w:rsidR="00D9430E" w:rsidRPr="00E24619">
        <w:rPr>
          <w:rFonts w:ascii="Times New Roman" w:hAnsi="Times New Roman"/>
        </w:rPr>
        <w:t xml:space="preserve">in the assessment of the business as </w:t>
      </w:r>
      <w:r w:rsidRPr="00E24619">
        <w:rPr>
          <w:rFonts w:ascii="Times New Roman" w:hAnsi="Times New Roman"/>
        </w:rPr>
        <w:t xml:space="preserve">usual </w:t>
      </w:r>
      <w:r w:rsidR="00D9430E" w:rsidRPr="00E24619">
        <w:rPr>
          <w:rFonts w:ascii="Times New Roman" w:hAnsi="Times New Roman"/>
        </w:rPr>
        <w:t>case.  Th</w:t>
      </w:r>
      <w:r w:rsidRPr="00E24619">
        <w:rPr>
          <w:rFonts w:ascii="Times New Roman" w:hAnsi="Times New Roman"/>
        </w:rPr>
        <w:t xml:space="preserve">is case </w:t>
      </w:r>
      <w:r w:rsidR="00D9430E" w:rsidRPr="00E24619">
        <w:rPr>
          <w:rFonts w:ascii="Times New Roman" w:hAnsi="Times New Roman"/>
        </w:rPr>
        <w:t xml:space="preserve">was then assessed for cost effectiveness </w:t>
      </w:r>
      <w:r w:rsidR="00902A86" w:rsidRPr="00E24619">
        <w:rPr>
          <w:rFonts w:ascii="Times New Roman" w:hAnsi="Times New Roman"/>
        </w:rPr>
        <w:t xml:space="preserve">using the 71% Load Factor West </w:t>
      </w:r>
      <w:r w:rsidR="00D9430E" w:rsidRPr="00E24619">
        <w:rPr>
          <w:rFonts w:ascii="Times New Roman" w:hAnsi="Times New Roman"/>
        </w:rPr>
        <w:t>System Load Shape decrement values</w:t>
      </w:r>
      <w:r w:rsidRPr="00E24619">
        <w:rPr>
          <w:rFonts w:ascii="Times New Roman" w:hAnsi="Times New Roman"/>
        </w:rPr>
        <w:t xml:space="preserve"> from </w:t>
      </w:r>
      <w:r w:rsidR="00D9430E" w:rsidRPr="00E24619">
        <w:rPr>
          <w:rFonts w:ascii="Times New Roman" w:hAnsi="Times New Roman"/>
        </w:rPr>
        <w:t>Appendix N, Volume II of the 2013 IRP</w:t>
      </w:r>
      <w:r w:rsidRPr="00E24619">
        <w:rPr>
          <w:rFonts w:ascii="Times New Roman" w:hAnsi="Times New Roman"/>
        </w:rPr>
        <w:t xml:space="preserve">.  </w:t>
      </w:r>
      <w:r w:rsidR="00D9430E" w:rsidRPr="00E24619">
        <w:rPr>
          <w:rFonts w:ascii="Times New Roman" w:hAnsi="Times New Roman"/>
        </w:rPr>
        <w:t xml:space="preserve">Once the performance of the </w:t>
      </w:r>
      <w:r w:rsidR="00902A86" w:rsidRPr="00E24619">
        <w:rPr>
          <w:rFonts w:ascii="Times New Roman" w:hAnsi="Times New Roman"/>
        </w:rPr>
        <w:t xml:space="preserve">base case was assessed, measure </w:t>
      </w:r>
      <w:r w:rsidR="00CA3572">
        <w:rPr>
          <w:rFonts w:ascii="Times New Roman" w:hAnsi="Times New Roman"/>
        </w:rPr>
        <w:t>group</w:t>
      </w:r>
      <w:r w:rsidR="00902A86" w:rsidRPr="00E24619">
        <w:rPr>
          <w:rFonts w:ascii="Times New Roman" w:hAnsi="Times New Roman"/>
        </w:rPr>
        <w:t xml:space="preserve"> impacts </w:t>
      </w:r>
      <w:r w:rsidR="00D9430E" w:rsidRPr="00E24619">
        <w:rPr>
          <w:rFonts w:ascii="Times New Roman" w:hAnsi="Times New Roman"/>
        </w:rPr>
        <w:t xml:space="preserve">were assessed at the measure group level using the same load shape and decrement values. The measures </w:t>
      </w:r>
      <w:r w:rsidRPr="00E24619">
        <w:rPr>
          <w:rFonts w:ascii="Times New Roman" w:hAnsi="Times New Roman"/>
        </w:rPr>
        <w:t xml:space="preserve">assessed </w:t>
      </w:r>
      <w:r w:rsidR="00D9430E" w:rsidRPr="00E24619">
        <w:rPr>
          <w:rFonts w:ascii="Times New Roman" w:hAnsi="Times New Roman"/>
        </w:rPr>
        <w:t xml:space="preserve">are: </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Increase custom incentive cost cap from 60% to 70% of project cost</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lastRenderedPageBreak/>
        <w:t>Eliminate kW incentive and fund commissioning</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Food Service</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HVAC</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Irrigation</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Compressed Air</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Potato Storage fan VFD</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Adaptive Refrigeration Control</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Fast Acting Door</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End Use compressed air reduction</w:t>
      </w:r>
    </w:p>
    <w:p w:rsidR="00D9430E" w:rsidRPr="00E24619" w:rsidRDefault="00D9430E"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 xml:space="preserve">Waste water – low power mixing </w:t>
      </w:r>
    </w:p>
    <w:p w:rsidR="00932772" w:rsidRPr="00E24619" w:rsidRDefault="00932772" w:rsidP="00CA3572">
      <w:pPr>
        <w:pStyle w:val="ListParagraph"/>
        <w:numPr>
          <w:ilvl w:val="0"/>
          <w:numId w:val="4"/>
        </w:numPr>
        <w:spacing w:before="100" w:beforeAutospacing="1" w:after="100" w:afterAutospacing="1" w:line="360" w:lineRule="auto"/>
        <w:rPr>
          <w:rFonts w:ascii="Times New Roman" w:hAnsi="Times New Roman"/>
          <w:sz w:val="24"/>
          <w:szCs w:val="24"/>
        </w:rPr>
      </w:pPr>
      <w:r w:rsidRPr="00E24619">
        <w:rPr>
          <w:rFonts w:ascii="Times New Roman" w:hAnsi="Times New Roman"/>
          <w:sz w:val="24"/>
          <w:szCs w:val="24"/>
        </w:rPr>
        <w:t xml:space="preserve">Energy Management </w:t>
      </w:r>
    </w:p>
    <w:p w:rsidR="00786A19" w:rsidRPr="00E24619" w:rsidRDefault="00D9430E" w:rsidP="007A2B12">
      <w:pPr>
        <w:spacing w:before="100" w:beforeAutospacing="1" w:after="100" w:afterAutospacing="1"/>
        <w:rPr>
          <w:rFonts w:ascii="Times New Roman" w:hAnsi="Times New Roman"/>
          <w:b/>
        </w:rPr>
      </w:pPr>
      <w:r w:rsidRPr="00E24619">
        <w:rPr>
          <w:rFonts w:ascii="Times New Roman" w:hAnsi="Times New Roman"/>
        </w:rPr>
        <w:t xml:space="preserve">Inputs for measure costs, measure life, </w:t>
      </w:r>
      <w:r w:rsidR="00786A19" w:rsidRPr="00E24619">
        <w:rPr>
          <w:rFonts w:ascii="Times New Roman" w:hAnsi="Times New Roman"/>
        </w:rPr>
        <w:t xml:space="preserve">and </w:t>
      </w:r>
      <w:r w:rsidRPr="00E24619">
        <w:rPr>
          <w:rFonts w:ascii="Times New Roman" w:hAnsi="Times New Roman"/>
        </w:rPr>
        <w:t>realization rates were specific to the me</w:t>
      </w:r>
      <w:r w:rsidR="00726CC1" w:rsidRPr="00E24619">
        <w:rPr>
          <w:rFonts w:ascii="Times New Roman" w:hAnsi="Times New Roman"/>
        </w:rPr>
        <w:t>asure groups,</w:t>
      </w:r>
      <w:r w:rsidR="0081496A" w:rsidRPr="00E24619">
        <w:rPr>
          <w:rFonts w:ascii="Times New Roman" w:hAnsi="Times New Roman"/>
        </w:rPr>
        <w:t xml:space="preserve"> and in </w:t>
      </w:r>
      <w:r w:rsidR="00726CC1" w:rsidRPr="00E24619">
        <w:rPr>
          <w:rFonts w:ascii="Times New Roman" w:hAnsi="Times New Roman"/>
        </w:rPr>
        <w:t xml:space="preserve">most cases </w:t>
      </w:r>
      <w:r w:rsidR="0081496A" w:rsidRPr="00E24619">
        <w:rPr>
          <w:rFonts w:ascii="Times New Roman" w:hAnsi="Times New Roman"/>
        </w:rPr>
        <w:t xml:space="preserve">align with </w:t>
      </w:r>
      <w:r w:rsidR="00726CC1" w:rsidRPr="00E24619">
        <w:rPr>
          <w:rFonts w:ascii="Times New Roman" w:hAnsi="Times New Roman"/>
        </w:rPr>
        <w:t>2012 annual report assumptions. Results are displayed at the measure level in A</w:t>
      </w:r>
      <w:r w:rsidR="00C559C9" w:rsidRPr="00E24619">
        <w:rPr>
          <w:rFonts w:ascii="Times New Roman" w:hAnsi="Times New Roman"/>
        </w:rPr>
        <w:t xml:space="preserve">ttachment </w:t>
      </w:r>
      <w:r w:rsidR="002C5379" w:rsidRPr="00E24619">
        <w:rPr>
          <w:rFonts w:ascii="Times New Roman" w:hAnsi="Times New Roman"/>
        </w:rPr>
        <w:t>F</w:t>
      </w:r>
      <w:r w:rsidR="00786A19" w:rsidRPr="00E24619">
        <w:rPr>
          <w:rFonts w:ascii="Times New Roman" w:hAnsi="Times New Roman"/>
        </w:rPr>
        <w:t xml:space="preserve">: </w:t>
      </w:r>
      <w:r w:rsidR="00AC5065" w:rsidRPr="00E24619">
        <w:rPr>
          <w:rFonts w:ascii="Times New Roman" w:hAnsi="Times New Roman"/>
        </w:rPr>
        <w:t xml:space="preserve">wattsmart </w:t>
      </w:r>
      <w:r w:rsidR="00786A19" w:rsidRPr="00E24619">
        <w:rPr>
          <w:rFonts w:ascii="Times New Roman" w:hAnsi="Times New Roman"/>
        </w:rPr>
        <w:t xml:space="preserve">Cost </w:t>
      </w:r>
      <w:r w:rsidR="002C5379" w:rsidRPr="00E24619">
        <w:rPr>
          <w:rFonts w:ascii="Times New Roman" w:hAnsi="Times New Roman"/>
        </w:rPr>
        <w:t>E</w:t>
      </w:r>
      <w:r w:rsidR="00C559C9" w:rsidRPr="00E24619">
        <w:rPr>
          <w:rFonts w:ascii="Times New Roman" w:hAnsi="Times New Roman"/>
        </w:rPr>
        <w:t>ffectiveness</w:t>
      </w:r>
      <w:r w:rsidR="002C5379" w:rsidRPr="00E24619">
        <w:rPr>
          <w:rFonts w:ascii="Times New Roman" w:hAnsi="Times New Roman"/>
        </w:rPr>
        <w:t xml:space="preserve"> Analysis</w:t>
      </w:r>
      <w:r w:rsidR="00C559C9" w:rsidRPr="00E24619">
        <w:rPr>
          <w:rFonts w:ascii="Times New Roman" w:hAnsi="Times New Roman"/>
        </w:rPr>
        <w:t xml:space="preserve"> </w:t>
      </w:r>
      <w:r w:rsidR="00726CC1" w:rsidRPr="00E24619">
        <w:rPr>
          <w:rFonts w:ascii="Times New Roman" w:hAnsi="Times New Roman"/>
        </w:rPr>
        <w:t xml:space="preserve"> </w:t>
      </w:r>
      <w:r w:rsidRPr="00E24619">
        <w:rPr>
          <w:rFonts w:ascii="Times New Roman" w:hAnsi="Times New Roman"/>
        </w:rPr>
        <w:t xml:space="preserve"> Benefit and cost contributions from the measure groups were then added to the business as usual case to assess the overall impacts of the changes. Results of the cost effectiveness ana</w:t>
      </w:r>
      <w:r w:rsidR="00726CC1" w:rsidRPr="00E24619">
        <w:rPr>
          <w:rFonts w:ascii="Times New Roman" w:hAnsi="Times New Roman"/>
        </w:rPr>
        <w:t>lysis for the enhanced program</w:t>
      </w:r>
      <w:r w:rsidR="00786A19" w:rsidRPr="00E24619">
        <w:rPr>
          <w:rFonts w:ascii="Times New Roman" w:hAnsi="Times New Roman"/>
        </w:rPr>
        <w:t xml:space="preserve"> are provided in Table 2</w:t>
      </w:r>
      <w:r w:rsidRPr="00E24619">
        <w:rPr>
          <w:rFonts w:ascii="Times New Roman" w:hAnsi="Times New Roman"/>
        </w:rPr>
        <w:t xml:space="preserve"> below. </w:t>
      </w:r>
    </w:p>
    <w:tbl>
      <w:tblPr>
        <w:tblpPr w:leftFromText="180" w:rightFromText="180" w:vertAnchor="text" w:horzAnchor="margin" w:tblpXSpec="center" w:tblpY="639"/>
        <w:tblW w:w="9080" w:type="dxa"/>
        <w:tblLook w:val="04A0" w:firstRow="1" w:lastRow="0" w:firstColumn="1" w:lastColumn="0" w:noHBand="0" w:noVBand="1"/>
      </w:tblPr>
      <w:tblGrid>
        <w:gridCol w:w="2481"/>
        <w:gridCol w:w="1236"/>
        <w:gridCol w:w="1302"/>
        <w:gridCol w:w="1228"/>
        <w:gridCol w:w="1350"/>
        <w:gridCol w:w="1483"/>
      </w:tblGrid>
      <w:tr w:rsidR="00E24619" w:rsidRPr="00E24619" w:rsidTr="007A2B12">
        <w:trPr>
          <w:trHeight w:val="615"/>
        </w:trPr>
        <w:tc>
          <w:tcPr>
            <w:tcW w:w="2481" w:type="dxa"/>
            <w:tcBorders>
              <w:top w:val="single" w:sz="8" w:space="0" w:color="BFBFBF"/>
              <w:left w:val="single" w:sz="8" w:space="0" w:color="BFBFBF"/>
              <w:bottom w:val="single" w:sz="8" w:space="0" w:color="BFBFBF"/>
              <w:right w:val="single" w:sz="8" w:space="0" w:color="BFBFBF"/>
            </w:tcBorders>
            <w:shd w:val="clear" w:color="000000" w:fill="005DAA"/>
            <w:vAlign w:val="center"/>
            <w:hideMark/>
          </w:tcPr>
          <w:p w:rsidR="00E24619" w:rsidRPr="00E24619" w:rsidRDefault="00E24619" w:rsidP="00E24619">
            <w:pPr>
              <w:keepNext/>
              <w:keepLines/>
              <w:rPr>
                <w:rFonts w:ascii="Times New Roman" w:eastAsia="Times New Roman" w:hAnsi="Times New Roman"/>
                <w:b/>
                <w:bCs/>
                <w:color w:val="FFFFFF"/>
              </w:rPr>
            </w:pPr>
            <w:r w:rsidRPr="00E24619">
              <w:rPr>
                <w:rFonts w:ascii="Times New Roman" w:eastAsia="Times New Roman" w:hAnsi="Times New Roman"/>
                <w:b/>
                <w:bCs/>
                <w:color w:val="FFFFFF"/>
              </w:rPr>
              <w:t>Cost-Effectiveness Test</w:t>
            </w:r>
          </w:p>
        </w:tc>
        <w:tc>
          <w:tcPr>
            <w:tcW w:w="1236" w:type="dxa"/>
            <w:tcBorders>
              <w:top w:val="single" w:sz="8" w:space="0" w:color="BFBFBF"/>
              <w:left w:val="nil"/>
              <w:bottom w:val="single" w:sz="8" w:space="0" w:color="BFBFBF"/>
              <w:right w:val="single" w:sz="8" w:space="0" w:color="BFBFBF"/>
            </w:tcBorders>
            <w:shd w:val="clear" w:color="000000" w:fill="005DAA"/>
            <w:vAlign w:val="center"/>
            <w:hideMark/>
          </w:tcPr>
          <w:p w:rsidR="00E24619" w:rsidRPr="00E24619" w:rsidRDefault="00E24619" w:rsidP="00E24619">
            <w:pPr>
              <w:keepNext/>
              <w:keepLines/>
              <w:jc w:val="center"/>
              <w:rPr>
                <w:rFonts w:ascii="Times New Roman" w:eastAsia="Times New Roman" w:hAnsi="Times New Roman"/>
                <w:b/>
                <w:bCs/>
                <w:color w:val="FFFFFF"/>
              </w:rPr>
            </w:pPr>
            <w:r w:rsidRPr="00E24619">
              <w:rPr>
                <w:rFonts w:ascii="Times New Roman" w:eastAsia="Times New Roman" w:hAnsi="Times New Roman"/>
                <w:b/>
                <w:bCs/>
                <w:color w:val="FFFFFF"/>
              </w:rPr>
              <w:t>Levelized $/kWh</w:t>
            </w:r>
          </w:p>
        </w:tc>
        <w:tc>
          <w:tcPr>
            <w:tcW w:w="1302" w:type="dxa"/>
            <w:tcBorders>
              <w:top w:val="single" w:sz="8" w:space="0" w:color="BFBFBF"/>
              <w:left w:val="nil"/>
              <w:bottom w:val="single" w:sz="8" w:space="0" w:color="BFBFBF"/>
              <w:right w:val="single" w:sz="8" w:space="0" w:color="BFBFBF"/>
            </w:tcBorders>
            <w:shd w:val="clear" w:color="000000" w:fill="005DAA"/>
            <w:vAlign w:val="center"/>
            <w:hideMark/>
          </w:tcPr>
          <w:p w:rsidR="00E24619" w:rsidRPr="00E24619" w:rsidRDefault="00E24619" w:rsidP="00E24619">
            <w:pPr>
              <w:keepNext/>
              <w:keepLines/>
              <w:jc w:val="center"/>
              <w:rPr>
                <w:rFonts w:ascii="Times New Roman" w:eastAsia="Times New Roman" w:hAnsi="Times New Roman"/>
                <w:b/>
                <w:bCs/>
                <w:color w:val="FFFFFF"/>
              </w:rPr>
            </w:pPr>
            <w:r w:rsidRPr="00E24619">
              <w:rPr>
                <w:rFonts w:ascii="Times New Roman" w:eastAsia="Times New Roman" w:hAnsi="Times New Roman"/>
                <w:b/>
                <w:bCs/>
                <w:color w:val="FFFFFF"/>
              </w:rPr>
              <w:t>Costs</w:t>
            </w:r>
          </w:p>
        </w:tc>
        <w:tc>
          <w:tcPr>
            <w:tcW w:w="1228" w:type="dxa"/>
            <w:tcBorders>
              <w:top w:val="single" w:sz="8" w:space="0" w:color="BFBFBF"/>
              <w:left w:val="nil"/>
              <w:bottom w:val="single" w:sz="8" w:space="0" w:color="BFBFBF"/>
              <w:right w:val="single" w:sz="8" w:space="0" w:color="BFBFBF"/>
            </w:tcBorders>
            <w:shd w:val="clear" w:color="000000" w:fill="005DAA"/>
            <w:vAlign w:val="center"/>
            <w:hideMark/>
          </w:tcPr>
          <w:p w:rsidR="00E24619" w:rsidRPr="00E24619" w:rsidRDefault="00E24619" w:rsidP="00E24619">
            <w:pPr>
              <w:keepNext/>
              <w:keepLines/>
              <w:jc w:val="center"/>
              <w:rPr>
                <w:rFonts w:ascii="Times New Roman" w:eastAsia="Times New Roman" w:hAnsi="Times New Roman"/>
                <w:b/>
                <w:bCs/>
                <w:color w:val="FFFFFF"/>
              </w:rPr>
            </w:pPr>
            <w:r w:rsidRPr="00E24619">
              <w:rPr>
                <w:rFonts w:ascii="Times New Roman" w:eastAsia="Times New Roman" w:hAnsi="Times New Roman"/>
                <w:b/>
                <w:bCs/>
                <w:color w:val="FFFFFF"/>
              </w:rPr>
              <w:t>Benefits</w:t>
            </w:r>
          </w:p>
        </w:tc>
        <w:tc>
          <w:tcPr>
            <w:tcW w:w="1350" w:type="dxa"/>
            <w:tcBorders>
              <w:top w:val="single" w:sz="8" w:space="0" w:color="BFBFBF"/>
              <w:left w:val="nil"/>
              <w:bottom w:val="single" w:sz="8" w:space="0" w:color="BFBFBF"/>
              <w:right w:val="single" w:sz="8" w:space="0" w:color="BFBFBF"/>
            </w:tcBorders>
            <w:shd w:val="clear" w:color="000000" w:fill="005DAA"/>
            <w:vAlign w:val="center"/>
            <w:hideMark/>
          </w:tcPr>
          <w:p w:rsidR="00E24619" w:rsidRPr="00E24619" w:rsidRDefault="00E24619" w:rsidP="00E24619">
            <w:pPr>
              <w:keepNext/>
              <w:keepLines/>
              <w:jc w:val="center"/>
              <w:rPr>
                <w:rFonts w:ascii="Times New Roman" w:eastAsia="Times New Roman" w:hAnsi="Times New Roman"/>
                <w:b/>
                <w:bCs/>
                <w:color w:val="FFFFFF"/>
              </w:rPr>
            </w:pPr>
            <w:r w:rsidRPr="00E24619">
              <w:rPr>
                <w:rFonts w:ascii="Times New Roman" w:eastAsia="Times New Roman" w:hAnsi="Times New Roman"/>
                <w:b/>
                <w:bCs/>
                <w:color w:val="FFFFFF"/>
              </w:rPr>
              <w:t>Net Benefits</w:t>
            </w:r>
          </w:p>
        </w:tc>
        <w:tc>
          <w:tcPr>
            <w:tcW w:w="1483" w:type="dxa"/>
            <w:tcBorders>
              <w:top w:val="single" w:sz="8" w:space="0" w:color="BFBFBF"/>
              <w:left w:val="nil"/>
              <w:bottom w:val="single" w:sz="8" w:space="0" w:color="BFBFBF"/>
              <w:right w:val="single" w:sz="8" w:space="0" w:color="BFBFBF"/>
            </w:tcBorders>
            <w:shd w:val="clear" w:color="000000" w:fill="005DAA"/>
            <w:vAlign w:val="center"/>
            <w:hideMark/>
          </w:tcPr>
          <w:p w:rsidR="00E24619" w:rsidRPr="00E24619" w:rsidRDefault="00E24619" w:rsidP="00E24619">
            <w:pPr>
              <w:keepNext/>
              <w:keepLines/>
              <w:jc w:val="center"/>
              <w:rPr>
                <w:rFonts w:ascii="Times New Roman" w:eastAsia="Times New Roman" w:hAnsi="Times New Roman"/>
                <w:b/>
                <w:bCs/>
                <w:color w:val="FFFFFF"/>
              </w:rPr>
            </w:pPr>
            <w:r w:rsidRPr="00E24619">
              <w:rPr>
                <w:rFonts w:ascii="Times New Roman" w:eastAsia="Times New Roman" w:hAnsi="Times New Roman"/>
                <w:b/>
                <w:bCs/>
                <w:color w:val="FFFFFF"/>
              </w:rPr>
              <w:t>Benefit/Cost Ratio</w:t>
            </w:r>
          </w:p>
        </w:tc>
      </w:tr>
      <w:tr w:rsidR="00E24619" w:rsidRPr="00E24619" w:rsidTr="007A2B12">
        <w:trPr>
          <w:trHeight w:val="525"/>
        </w:trPr>
        <w:tc>
          <w:tcPr>
            <w:tcW w:w="2481" w:type="dxa"/>
            <w:tcBorders>
              <w:top w:val="nil"/>
              <w:left w:val="single" w:sz="8" w:space="0" w:color="BFBFBF"/>
              <w:bottom w:val="single" w:sz="8" w:space="0" w:color="BFBFBF"/>
              <w:right w:val="single" w:sz="8" w:space="0" w:color="BFBFBF"/>
            </w:tcBorders>
            <w:shd w:val="clear" w:color="auto" w:fill="auto"/>
            <w:vAlign w:val="center"/>
            <w:hideMark/>
          </w:tcPr>
          <w:p w:rsidR="00E24619" w:rsidRPr="00E24619" w:rsidRDefault="00E24619" w:rsidP="00E24619">
            <w:pPr>
              <w:keepNext/>
              <w:keepLines/>
              <w:rPr>
                <w:rFonts w:ascii="Times New Roman" w:eastAsia="Times New Roman" w:hAnsi="Times New Roman"/>
                <w:color w:val="000000"/>
                <w:sz w:val="20"/>
              </w:rPr>
            </w:pPr>
            <w:r w:rsidRPr="00E24619">
              <w:rPr>
                <w:rFonts w:ascii="Times New Roman" w:eastAsia="Times New Roman" w:hAnsi="Times New Roman"/>
                <w:color w:val="000000"/>
                <w:sz w:val="20"/>
              </w:rPr>
              <w:t>Total Resource Cost Test (PTRC) + Conservation Adder</w:t>
            </w:r>
          </w:p>
        </w:tc>
        <w:tc>
          <w:tcPr>
            <w:tcW w:w="1236"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$0.049</w:t>
            </w:r>
          </w:p>
        </w:tc>
        <w:tc>
          <w:tcPr>
            <w:tcW w:w="1302"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$20,625,185</w:t>
            </w:r>
          </w:p>
        </w:tc>
        <w:tc>
          <w:tcPr>
            <w:tcW w:w="1228"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$32,999,523</w:t>
            </w:r>
          </w:p>
        </w:tc>
        <w:tc>
          <w:tcPr>
            <w:tcW w:w="1350"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$12,374,339</w:t>
            </w:r>
          </w:p>
        </w:tc>
        <w:tc>
          <w:tcPr>
            <w:tcW w:w="1483"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1.60</w:t>
            </w:r>
          </w:p>
        </w:tc>
      </w:tr>
      <w:tr w:rsidR="00E24619" w:rsidRPr="00E24619" w:rsidTr="007A2B12">
        <w:trPr>
          <w:trHeight w:val="525"/>
        </w:trPr>
        <w:tc>
          <w:tcPr>
            <w:tcW w:w="2481" w:type="dxa"/>
            <w:tcBorders>
              <w:top w:val="nil"/>
              <w:left w:val="single" w:sz="8" w:space="0" w:color="BFBFBF"/>
              <w:bottom w:val="single" w:sz="8" w:space="0" w:color="BFBFBF"/>
              <w:right w:val="single" w:sz="8" w:space="0" w:color="BFBFBF"/>
            </w:tcBorders>
            <w:shd w:val="clear" w:color="auto" w:fill="auto"/>
            <w:vAlign w:val="center"/>
            <w:hideMark/>
          </w:tcPr>
          <w:p w:rsidR="00E24619" w:rsidRPr="00E24619" w:rsidRDefault="00E24619" w:rsidP="00E24619">
            <w:pPr>
              <w:keepNext/>
              <w:keepLines/>
              <w:rPr>
                <w:rFonts w:ascii="Times New Roman" w:eastAsia="Times New Roman" w:hAnsi="Times New Roman"/>
                <w:color w:val="000000"/>
                <w:sz w:val="20"/>
              </w:rPr>
            </w:pPr>
            <w:r w:rsidRPr="00E24619">
              <w:rPr>
                <w:rFonts w:ascii="Times New Roman" w:eastAsia="Times New Roman" w:hAnsi="Times New Roman"/>
                <w:color w:val="000000"/>
                <w:sz w:val="20"/>
              </w:rPr>
              <w:t>Total Resource Cost Test (TRC) No Adder</w:t>
            </w:r>
          </w:p>
        </w:tc>
        <w:tc>
          <w:tcPr>
            <w:tcW w:w="1236"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$0.049</w:t>
            </w:r>
          </w:p>
        </w:tc>
        <w:tc>
          <w:tcPr>
            <w:tcW w:w="1302"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$20,625,185</w:t>
            </w:r>
          </w:p>
        </w:tc>
        <w:tc>
          <w:tcPr>
            <w:tcW w:w="1228"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$29,999,567</w:t>
            </w:r>
          </w:p>
        </w:tc>
        <w:tc>
          <w:tcPr>
            <w:tcW w:w="1350"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$9,374,382</w:t>
            </w:r>
          </w:p>
        </w:tc>
        <w:tc>
          <w:tcPr>
            <w:tcW w:w="1483"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1.45</w:t>
            </w:r>
          </w:p>
        </w:tc>
      </w:tr>
      <w:tr w:rsidR="00E24619" w:rsidRPr="00E24619" w:rsidTr="007A2B12">
        <w:trPr>
          <w:trHeight w:val="315"/>
        </w:trPr>
        <w:tc>
          <w:tcPr>
            <w:tcW w:w="2481" w:type="dxa"/>
            <w:tcBorders>
              <w:top w:val="nil"/>
              <w:left w:val="single" w:sz="8" w:space="0" w:color="BFBFBF"/>
              <w:bottom w:val="single" w:sz="8" w:space="0" w:color="BFBFBF"/>
              <w:right w:val="single" w:sz="8" w:space="0" w:color="BFBFBF"/>
            </w:tcBorders>
            <w:shd w:val="clear" w:color="auto" w:fill="auto"/>
            <w:vAlign w:val="center"/>
            <w:hideMark/>
          </w:tcPr>
          <w:p w:rsidR="00E24619" w:rsidRPr="00E24619" w:rsidRDefault="00E24619" w:rsidP="00E24619">
            <w:pPr>
              <w:keepNext/>
              <w:keepLines/>
              <w:rPr>
                <w:rFonts w:ascii="Times New Roman" w:eastAsia="Times New Roman" w:hAnsi="Times New Roman"/>
                <w:color w:val="000000"/>
                <w:sz w:val="20"/>
              </w:rPr>
            </w:pPr>
            <w:r w:rsidRPr="00E24619">
              <w:rPr>
                <w:rFonts w:ascii="Times New Roman" w:eastAsia="Times New Roman" w:hAnsi="Times New Roman"/>
                <w:color w:val="000000"/>
                <w:sz w:val="20"/>
              </w:rPr>
              <w:t>Utility Cost Test (UCT)</w:t>
            </w:r>
          </w:p>
        </w:tc>
        <w:tc>
          <w:tcPr>
            <w:tcW w:w="1236"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$0.023</w:t>
            </w:r>
          </w:p>
        </w:tc>
        <w:tc>
          <w:tcPr>
            <w:tcW w:w="1302"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$9,623,150</w:t>
            </w:r>
          </w:p>
        </w:tc>
        <w:tc>
          <w:tcPr>
            <w:tcW w:w="1228"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$29,999,567</w:t>
            </w:r>
          </w:p>
        </w:tc>
        <w:tc>
          <w:tcPr>
            <w:tcW w:w="1350"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$20,376,416</w:t>
            </w:r>
          </w:p>
        </w:tc>
        <w:tc>
          <w:tcPr>
            <w:tcW w:w="1483"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3.12</w:t>
            </w:r>
          </w:p>
        </w:tc>
      </w:tr>
      <w:tr w:rsidR="00E24619" w:rsidRPr="00E24619" w:rsidTr="007A2B12">
        <w:trPr>
          <w:trHeight w:val="315"/>
        </w:trPr>
        <w:tc>
          <w:tcPr>
            <w:tcW w:w="2481" w:type="dxa"/>
            <w:tcBorders>
              <w:top w:val="nil"/>
              <w:left w:val="single" w:sz="8" w:space="0" w:color="BFBFBF"/>
              <w:bottom w:val="single" w:sz="8" w:space="0" w:color="BFBFBF"/>
              <w:right w:val="single" w:sz="8" w:space="0" w:color="BFBFBF"/>
            </w:tcBorders>
            <w:shd w:val="clear" w:color="auto" w:fill="auto"/>
            <w:vAlign w:val="center"/>
            <w:hideMark/>
          </w:tcPr>
          <w:p w:rsidR="00E24619" w:rsidRPr="00E24619" w:rsidRDefault="00E24619" w:rsidP="00E24619">
            <w:pPr>
              <w:keepNext/>
              <w:keepLines/>
              <w:rPr>
                <w:rFonts w:ascii="Times New Roman" w:eastAsia="Times New Roman" w:hAnsi="Times New Roman"/>
                <w:color w:val="000000"/>
                <w:sz w:val="20"/>
              </w:rPr>
            </w:pPr>
            <w:r w:rsidRPr="00E24619">
              <w:rPr>
                <w:rFonts w:ascii="Times New Roman" w:eastAsia="Times New Roman" w:hAnsi="Times New Roman"/>
                <w:color w:val="000000"/>
                <w:sz w:val="20"/>
              </w:rPr>
              <w:t>Rate Impact Test (RIM)</w:t>
            </w:r>
          </w:p>
        </w:tc>
        <w:tc>
          <w:tcPr>
            <w:tcW w:w="1236"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p>
        </w:tc>
        <w:tc>
          <w:tcPr>
            <w:tcW w:w="1302"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$41,466,116</w:t>
            </w:r>
          </w:p>
        </w:tc>
        <w:tc>
          <w:tcPr>
            <w:tcW w:w="1228"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$29,999,567</w:t>
            </w:r>
          </w:p>
        </w:tc>
        <w:tc>
          <w:tcPr>
            <w:tcW w:w="1350"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($11,466,549)</w:t>
            </w:r>
          </w:p>
        </w:tc>
        <w:tc>
          <w:tcPr>
            <w:tcW w:w="1483"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0.72</w:t>
            </w:r>
          </w:p>
        </w:tc>
      </w:tr>
      <w:tr w:rsidR="00E24619" w:rsidRPr="00E24619" w:rsidTr="007A2B12">
        <w:trPr>
          <w:trHeight w:val="315"/>
        </w:trPr>
        <w:tc>
          <w:tcPr>
            <w:tcW w:w="2481" w:type="dxa"/>
            <w:tcBorders>
              <w:top w:val="nil"/>
              <w:left w:val="single" w:sz="8" w:space="0" w:color="BFBFBF"/>
              <w:bottom w:val="single" w:sz="8" w:space="0" w:color="BFBFBF"/>
              <w:right w:val="single" w:sz="8" w:space="0" w:color="BFBFBF"/>
            </w:tcBorders>
            <w:shd w:val="clear" w:color="auto" w:fill="auto"/>
            <w:vAlign w:val="center"/>
            <w:hideMark/>
          </w:tcPr>
          <w:p w:rsidR="00E24619" w:rsidRPr="00E24619" w:rsidRDefault="00E24619" w:rsidP="00E24619">
            <w:pPr>
              <w:keepNext/>
              <w:keepLines/>
              <w:rPr>
                <w:rFonts w:ascii="Times New Roman" w:eastAsia="Times New Roman" w:hAnsi="Times New Roman"/>
                <w:color w:val="000000"/>
                <w:sz w:val="20"/>
              </w:rPr>
            </w:pPr>
            <w:r w:rsidRPr="00E24619">
              <w:rPr>
                <w:rFonts w:ascii="Times New Roman" w:eastAsia="Times New Roman" w:hAnsi="Times New Roman"/>
                <w:color w:val="000000"/>
                <w:sz w:val="20"/>
              </w:rPr>
              <w:t>Participant Cost Test (PCT)</w:t>
            </w:r>
          </w:p>
        </w:tc>
        <w:tc>
          <w:tcPr>
            <w:tcW w:w="1236"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p>
        </w:tc>
        <w:tc>
          <w:tcPr>
            <w:tcW w:w="1302"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$16,449,077</w:t>
            </w:r>
          </w:p>
        </w:tc>
        <w:tc>
          <w:tcPr>
            <w:tcW w:w="1228"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$37,290,008</w:t>
            </w:r>
          </w:p>
        </w:tc>
        <w:tc>
          <w:tcPr>
            <w:tcW w:w="1350"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$20,840,931</w:t>
            </w:r>
          </w:p>
        </w:tc>
        <w:tc>
          <w:tcPr>
            <w:tcW w:w="1483" w:type="dxa"/>
            <w:tcBorders>
              <w:top w:val="nil"/>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right"/>
              <w:rPr>
                <w:rFonts w:ascii="Times New Roman" w:hAnsi="Times New Roman"/>
                <w:color w:val="000000"/>
                <w:sz w:val="20"/>
              </w:rPr>
            </w:pPr>
            <w:r w:rsidRPr="00E24619">
              <w:rPr>
                <w:rFonts w:ascii="Times New Roman" w:hAnsi="Times New Roman"/>
                <w:color w:val="000000"/>
                <w:sz w:val="20"/>
              </w:rPr>
              <w:t>2.27</w:t>
            </w:r>
          </w:p>
        </w:tc>
      </w:tr>
      <w:tr w:rsidR="00E24619" w:rsidRPr="00E24619" w:rsidTr="007A2B12">
        <w:trPr>
          <w:trHeight w:val="525"/>
        </w:trPr>
        <w:tc>
          <w:tcPr>
            <w:tcW w:w="2481" w:type="dxa"/>
            <w:tcBorders>
              <w:top w:val="nil"/>
              <w:left w:val="single" w:sz="8" w:space="0" w:color="BFBFBF"/>
              <w:bottom w:val="single" w:sz="8" w:space="0" w:color="BFBFBF"/>
              <w:right w:val="single" w:sz="8" w:space="0" w:color="BFBFBF"/>
            </w:tcBorders>
            <w:shd w:val="clear" w:color="auto" w:fill="auto"/>
            <w:vAlign w:val="center"/>
            <w:hideMark/>
          </w:tcPr>
          <w:p w:rsidR="00E24619" w:rsidRPr="00E24619" w:rsidRDefault="00E24619" w:rsidP="00E24619">
            <w:pPr>
              <w:keepNext/>
              <w:keepLines/>
              <w:rPr>
                <w:rFonts w:ascii="Times New Roman" w:eastAsia="Times New Roman" w:hAnsi="Times New Roman"/>
                <w:color w:val="000000"/>
                <w:sz w:val="20"/>
              </w:rPr>
            </w:pPr>
            <w:r w:rsidRPr="00E24619">
              <w:rPr>
                <w:rFonts w:ascii="Times New Roman" w:eastAsia="Times New Roman" w:hAnsi="Times New Roman"/>
                <w:color w:val="000000"/>
                <w:sz w:val="20"/>
              </w:rPr>
              <w:t>Lifecycle Revenue Impact ($/KWh)</w:t>
            </w:r>
          </w:p>
        </w:tc>
        <w:tc>
          <w:tcPr>
            <w:tcW w:w="6599" w:type="dxa"/>
            <w:gridSpan w:val="5"/>
            <w:tcBorders>
              <w:top w:val="single" w:sz="8" w:space="0" w:color="BFBFBF"/>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center"/>
              <w:rPr>
                <w:rFonts w:ascii="Times New Roman" w:hAnsi="Times New Roman"/>
                <w:color w:val="000000"/>
                <w:sz w:val="20"/>
              </w:rPr>
            </w:pPr>
            <w:r w:rsidRPr="00E24619">
              <w:rPr>
                <w:rFonts w:ascii="Times New Roman" w:hAnsi="Times New Roman"/>
                <w:color w:val="000000"/>
                <w:sz w:val="20"/>
              </w:rPr>
              <w:t>0.000196463</w:t>
            </w:r>
          </w:p>
        </w:tc>
      </w:tr>
      <w:tr w:rsidR="00E24619" w:rsidRPr="00E24619" w:rsidTr="007A2B12">
        <w:trPr>
          <w:trHeight w:val="525"/>
        </w:trPr>
        <w:tc>
          <w:tcPr>
            <w:tcW w:w="2481" w:type="dxa"/>
            <w:tcBorders>
              <w:top w:val="nil"/>
              <w:left w:val="single" w:sz="8" w:space="0" w:color="BFBFBF"/>
              <w:bottom w:val="single" w:sz="8" w:space="0" w:color="BFBFBF"/>
              <w:right w:val="single" w:sz="8" w:space="0" w:color="BFBFBF"/>
            </w:tcBorders>
            <w:shd w:val="clear" w:color="auto" w:fill="auto"/>
            <w:vAlign w:val="center"/>
            <w:hideMark/>
          </w:tcPr>
          <w:p w:rsidR="00E24619" w:rsidRPr="00E24619" w:rsidRDefault="00E24619" w:rsidP="00E24619">
            <w:pPr>
              <w:keepNext/>
              <w:keepLines/>
              <w:rPr>
                <w:rFonts w:ascii="Times New Roman" w:eastAsia="Times New Roman" w:hAnsi="Times New Roman"/>
                <w:color w:val="000000"/>
                <w:sz w:val="20"/>
              </w:rPr>
            </w:pPr>
            <w:r w:rsidRPr="00E24619">
              <w:rPr>
                <w:rFonts w:ascii="Times New Roman" w:eastAsia="Times New Roman" w:hAnsi="Times New Roman"/>
                <w:color w:val="000000"/>
                <w:sz w:val="20"/>
              </w:rPr>
              <w:t>Discounted Participant Payback (years)</w:t>
            </w:r>
          </w:p>
        </w:tc>
        <w:tc>
          <w:tcPr>
            <w:tcW w:w="6599" w:type="dxa"/>
            <w:gridSpan w:val="5"/>
            <w:tcBorders>
              <w:top w:val="single" w:sz="8" w:space="0" w:color="BFBFBF"/>
              <w:left w:val="nil"/>
              <w:bottom w:val="single" w:sz="8" w:space="0" w:color="BFBFBF"/>
              <w:right w:val="single" w:sz="8" w:space="0" w:color="BFBFBF"/>
            </w:tcBorders>
            <w:shd w:val="clear" w:color="auto" w:fill="auto"/>
            <w:vAlign w:val="center"/>
            <w:hideMark/>
          </w:tcPr>
          <w:p w:rsidR="00E24619" w:rsidRPr="00E24619" w:rsidRDefault="00E24619" w:rsidP="00E24619">
            <w:pPr>
              <w:autoSpaceDE w:val="0"/>
              <w:autoSpaceDN w:val="0"/>
              <w:adjustRightInd w:val="0"/>
              <w:jc w:val="center"/>
              <w:rPr>
                <w:rFonts w:ascii="Times New Roman" w:hAnsi="Times New Roman"/>
                <w:color w:val="000000"/>
                <w:sz w:val="20"/>
              </w:rPr>
            </w:pPr>
            <w:r w:rsidRPr="00E24619">
              <w:rPr>
                <w:rFonts w:ascii="Times New Roman" w:hAnsi="Times New Roman"/>
                <w:color w:val="000000"/>
                <w:sz w:val="20"/>
              </w:rPr>
              <w:t>4.26</w:t>
            </w:r>
          </w:p>
        </w:tc>
      </w:tr>
    </w:tbl>
    <w:p w:rsidR="00786A19" w:rsidRPr="00E24619" w:rsidRDefault="00E24619" w:rsidP="00786A19">
      <w:pPr>
        <w:spacing w:before="100" w:beforeAutospacing="1" w:after="100" w:afterAutospacing="1"/>
        <w:jc w:val="center"/>
        <w:rPr>
          <w:rFonts w:ascii="Times New Roman" w:hAnsi="Times New Roman"/>
        </w:rPr>
      </w:pPr>
      <w:r w:rsidRPr="00E24619">
        <w:rPr>
          <w:rFonts w:ascii="Times New Roman" w:hAnsi="Times New Roman"/>
          <w:b/>
        </w:rPr>
        <w:t xml:space="preserve"> </w:t>
      </w:r>
      <w:r w:rsidR="00786A19" w:rsidRPr="00E24619">
        <w:rPr>
          <w:rFonts w:ascii="Times New Roman" w:hAnsi="Times New Roman"/>
          <w:b/>
        </w:rPr>
        <w:t>Table 2</w:t>
      </w:r>
      <w:r w:rsidR="00D9430E" w:rsidRPr="00E24619">
        <w:rPr>
          <w:rFonts w:ascii="Times New Roman" w:hAnsi="Times New Roman"/>
          <w:b/>
        </w:rPr>
        <w:t xml:space="preserve"> – Cost effectiveness analysis for the enhanced program</w:t>
      </w:r>
    </w:p>
    <w:p w:rsidR="00CA3572" w:rsidRDefault="00CA3572" w:rsidP="00E24619">
      <w:pPr>
        <w:pStyle w:val="in"/>
        <w:spacing w:before="100" w:beforeAutospacing="1" w:after="100" w:afterAutospacing="1" w:line="240" w:lineRule="auto"/>
        <w:ind w:left="0" w:firstLine="720"/>
        <w:rPr>
          <w:rFonts w:ascii="Times New Roman" w:hAnsi="Times New Roman" w:cs="Times New Roman"/>
          <w:sz w:val="24"/>
          <w:szCs w:val="24"/>
        </w:rPr>
      </w:pPr>
    </w:p>
    <w:p w:rsidR="005E4534" w:rsidRPr="00E24619" w:rsidRDefault="00D9430E" w:rsidP="007A2B12">
      <w:pPr>
        <w:pStyle w:val="in"/>
        <w:spacing w:before="100" w:beforeAutospacing="1" w:after="100" w:afterAutospacing="1" w:line="240" w:lineRule="auto"/>
        <w:ind w:left="0"/>
        <w:rPr>
          <w:rFonts w:ascii="Times New Roman" w:hAnsi="Times New Roman" w:cs="Times New Roman"/>
          <w:bCs/>
          <w:sz w:val="24"/>
          <w:szCs w:val="24"/>
        </w:rPr>
      </w:pPr>
      <w:r w:rsidRPr="00E24619">
        <w:rPr>
          <w:rFonts w:ascii="Times New Roman" w:hAnsi="Times New Roman" w:cs="Times New Roman"/>
          <w:sz w:val="24"/>
          <w:szCs w:val="24"/>
        </w:rPr>
        <w:lastRenderedPageBreak/>
        <w:t>Inputs utilized in the analysis of t</w:t>
      </w:r>
      <w:r w:rsidR="004519DE" w:rsidRPr="00E24619">
        <w:rPr>
          <w:rFonts w:ascii="Times New Roman" w:hAnsi="Times New Roman" w:cs="Times New Roman"/>
          <w:sz w:val="24"/>
          <w:szCs w:val="24"/>
        </w:rPr>
        <w:t xml:space="preserve">he business as usual case and </w:t>
      </w:r>
      <w:r w:rsidRPr="00E24619">
        <w:rPr>
          <w:rFonts w:ascii="Times New Roman" w:hAnsi="Times New Roman" w:cs="Times New Roman"/>
          <w:sz w:val="24"/>
          <w:szCs w:val="24"/>
        </w:rPr>
        <w:t xml:space="preserve">measure groups are provided in Tables 1-3 </w:t>
      </w:r>
      <w:r w:rsidR="00AC5065" w:rsidRPr="00E24619">
        <w:rPr>
          <w:rFonts w:ascii="Times New Roman" w:hAnsi="Times New Roman" w:cs="Times New Roman"/>
          <w:sz w:val="24"/>
          <w:szCs w:val="24"/>
        </w:rPr>
        <w:t xml:space="preserve">of </w:t>
      </w:r>
      <w:r w:rsidRPr="00E24619">
        <w:rPr>
          <w:rFonts w:ascii="Times New Roman" w:hAnsi="Times New Roman" w:cs="Times New Roman"/>
          <w:sz w:val="24"/>
          <w:szCs w:val="24"/>
        </w:rPr>
        <w:t xml:space="preserve">Attachment </w:t>
      </w:r>
      <w:r w:rsidR="00AC5065" w:rsidRPr="00E24619">
        <w:rPr>
          <w:rFonts w:ascii="Times New Roman" w:hAnsi="Times New Roman" w:cs="Times New Roman"/>
          <w:sz w:val="24"/>
          <w:szCs w:val="24"/>
        </w:rPr>
        <w:t>F</w:t>
      </w:r>
      <w:r w:rsidR="00786A19" w:rsidRPr="00E24619">
        <w:rPr>
          <w:rFonts w:ascii="Times New Roman" w:hAnsi="Times New Roman" w:cs="Times New Roman"/>
          <w:sz w:val="24"/>
          <w:szCs w:val="24"/>
        </w:rPr>
        <w:t xml:space="preserve">: </w:t>
      </w:r>
      <w:r w:rsidR="00AC5065" w:rsidRPr="00E24619">
        <w:rPr>
          <w:rFonts w:ascii="Times New Roman" w:hAnsi="Times New Roman" w:cs="Times New Roman"/>
          <w:sz w:val="24"/>
          <w:szCs w:val="24"/>
        </w:rPr>
        <w:t xml:space="preserve">wattsmart </w:t>
      </w:r>
      <w:r w:rsidR="00786A19" w:rsidRPr="00E24619">
        <w:rPr>
          <w:rFonts w:ascii="Times New Roman" w:hAnsi="Times New Roman" w:cs="Times New Roman"/>
          <w:sz w:val="24"/>
          <w:szCs w:val="24"/>
        </w:rPr>
        <w:t>C</w:t>
      </w:r>
      <w:r w:rsidR="00AC5065" w:rsidRPr="00E24619">
        <w:rPr>
          <w:rFonts w:ascii="Times New Roman" w:hAnsi="Times New Roman" w:cs="Times New Roman"/>
          <w:sz w:val="24"/>
          <w:szCs w:val="24"/>
        </w:rPr>
        <w:t>ost E</w:t>
      </w:r>
      <w:r w:rsidR="00C559C9" w:rsidRPr="00E24619">
        <w:rPr>
          <w:rFonts w:ascii="Times New Roman" w:hAnsi="Times New Roman" w:cs="Times New Roman"/>
          <w:sz w:val="24"/>
          <w:szCs w:val="24"/>
        </w:rPr>
        <w:t>ffectiveness</w:t>
      </w:r>
      <w:r w:rsidR="00AC5065" w:rsidRPr="00E24619">
        <w:rPr>
          <w:rFonts w:ascii="Times New Roman" w:hAnsi="Times New Roman" w:cs="Times New Roman"/>
          <w:sz w:val="24"/>
          <w:szCs w:val="24"/>
        </w:rPr>
        <w:t xml:space="preserve"> Analysis. </w:t>
      </w:r>
      <w:r w:rsidR="00E60AA9" w:rsidRPr="00E24619">
        <w:rPr>
          <w:rFonts w:ascii="Times New Roman" w:hAnsi="Times New Roman" w:cs="Times New Roman"/>
          <w:bCs/>
          <w:sz w:val="24"/>
          <w:szCs w:val="24"/>
        </w:rPr>
        <w:t>T</w:t>
      </w:r>
      <w:r w:rsidR="009E4426" w:rsidRPr="00E24619">
        <w:rPr>
          <w:rFonts w:ascii="Times New Roman" w:hAnsi="Times New Roman" w:cs="Times New Roman"/>
          <w:bCs/>
          <w:sz w:val="24"/>
          <w:szCs w:val="24"/>
        </w:rPr>
        <w:t xml:space="preserve">he </w:t>
      </w:r>
      <w:r w:rsidR="00E60AA9" w:rsidRPr="00E24619">
        <w:rPr>
          <w:rFonts w:ascii="Times New Roman" w:hAnsi="Times New Roman" w:cs="Times New Roman"/>
          <w:bCs/>
          <w:sz w:val="24"/>
          <w:szCs w:val="24"/>
        </w:rPr>
        <w:t xml:space="preserve">additions/changes to the </w:t>
      </w:r>
      <w:r w:rsidR="009E4426" w:rsidRPr="00E24619">
        <w:rPr>
          <w:rFonts w:ascii="Times New Roman" w:hAnsi="Times New Roman" w:cs="Times New Roman"/>
          <w:bCs/>
          <w:sz w:val="24"/>
          <w:szCs w:val="24"/>
        </w:rPr>
        <w:t xml:space="preserve">Food Service and HVAC measure groups are not forecasted </w:t>
      </w:r>
      <w:r w:rsidR="00E60AA9" w:rsidRPr="00E24619">
        <w:rPr>
          <w:rFonts w:ascii="Times New Roman" w:hAnsi="Times New Roman" w:cs="Times New Roman"/>
          <w:bCs/>
          <w:sz w:val="24"/>
          <w:szCs w:val="24"/>
        </w:rPr>
        <w:t>to be cost effective from a total resource perspective though they are from a utility cost perspective. The total resource outcome is driven primarily by the challenges of identifying incremental costs for the upgrades which are based on incremental costs (and efficiency) above baseline equipment. Since these purchases typically occur when existing equipment fails and the opportunity to inf</w:t>
      </w:r>
      <w:r w:rsidR="00786A19" w:rsidRPr="00E24619">
        <w:rPr>
          <w:rFonts w:ascii="Times New Roman" w:hAnsi="Times New Roman" w:cs="Times New Roman"/>
          <w:bCs/>
          <w:sz w:val="24"/>
          <w:szCs w:val="24"/>
        </w:rPr>
        <w:t>luence a customer to purchase</w:t>
      </w:r>
      <w:r w:rsidR="00E60AA9" w:rsidRPr="00E24619">
        <w:rPr>
          <w:rFonts w:ascii="Times New Roman" w:hAnsi="Times New Roman" w:cs="Times New Roman"/>
          <w:bCs/>
          <w:sz w:val="24"/>
          <w:szCs w:val="24"/>
        </w:rPr>
        <w:t xml:space="preserve"> more efficient replacement equipment is limited (and potentially lost), the company believes it is appropriate to offer these incentives for these measures.   </w:t>
      </w:r>
    </w:p>
    <w:p w:rsidR="00786A19" w:rsidRPr="00E24619" w:rsidRDefault="00786A19" w:rsidP="00CA3572">
      <w:pPr>
        <w:pStyle w:val="in"/>
        <w:spacing w:before="100" w:beforeAutospacing="1" w:after="100" w:afterAutospacing="1" w:line="240" w:lineRule="auto"/>
        <w:ind w:left="0"/>
        <w:jc w:val="both"/>
        <w:rPr>
          <w:rFonts w:ascii="Times New Roman" w:hAnsi="Times New Roman" w:cs="Times New Roman"/>
          <w:b/>
          <w:sz w:val="24"/>
          <w:szCs w:val="24"/>
        </w:rPr>
      </w:pPr>
      <w:r w:rsidRPr="00E24619">
        <w:rPr>
          <w:rFonts w:ascii="Times New Roman" w:hAnsi="Times New Roman" w:cs="Times New Roman"/>
          <w:b/>
          <w:bCs/>
          <w:sz w:val="24"/>
          <w:szCs w:val="24"/>
        </w:rPr>
        <w:t>T</w:t>
      </w:r>
      <w:r w:rsidR="00B32FF3" w:rsidRPr="00E24619">
        <w:rPr>
          <w:rFonts w:ascii="Times New Roman" w:hAnsi="Times New Roman" w:cs="Times New Roman"/>
          <w:b/>
          <w:sz w:val="24"/>
          <w:szCs w:val="24"/>
        </w:rPr>
        <w:t>ransition</w:t>
      </w:r>
    </w:p>
    <w:p w:rsidR="00B32FF3" w:rsidRPr="00E24619" w:rsidRDefault="00B32FF3" w:rsidP="007A2B12">
      <w:pPr>
        <w:pStyle w:val="in"/>
        <w:spacing w:before="100" w:beforeAutospacing="1" w:after="100" w:afterAutospacing="1" w:line="240" w:lineRule="auto"/>
        <w:ind w:left="0"/>
        <w:rPr>
          <w:rFonts w:ascii="Times New Roman" w:hAnsi="Times New Roman" w:cs="Times New Roman"/>
          <w:b/>
          <w:caps/>
          <w:sz w:val="24"/>
          <w:szCs w:val="24"/>
        </w:rPr>
      </w:pPr>
      <w:r w:rsidRPr="00E24619">
        <w:rPr>
          <w:rFonts w:ascii="Times New Roman" w:hAnsi="Times New Roman" w:cs="Times New Roman"/>
          <w:sz w:val="24"/>
          <w:szCs w:val="24"/>
        </w:rPr>
        <w:t xml:space="preserve">In the event the Commission approves the Company’s request, customers with Incentive Agreements in place prior to this filing will receive incentives consistent with the tariff(s) at the time the agreement was issued. Customers with Incentive Agreements issued between the date of this filing and the effective date approved by the Commission will receive final project incentive(s) under the new tariff unless their project would have received a higher incentive amount under the existing </w:t>
      </w:r>
      <w:r w:rsidR="00EC1407" w:rsidRPr="00E24619">
        <w:rPr>
          <w:rFonts w:ascii="Times New Roman" w:hAnsi="Times New Roman" w:cs="Times New Roman"/>
          <w:sz w:val="24"/>
          <w:szCs w:val="24"/>
        </w:rPr>
        <w:t>program(s)</w:t>
      </w:r>
      <w:r w:rsidRPr="00E24619">
        <w:rPr>
          <w:rFonts w:ascii="Times New Roman" w:hAnsi="Times New Roman" w:cs="Times New Roman"/>
          <w:sz w:val="24"/>
          <w:szCs w:val="24"/>
        </w:rPr>
        <w:t xml:space="preserve">.  </w:t>
      </w:r>
    </w:p>
    <w:p w:rsidR="00D9430E" w:rsidRPr="00E24619" w:rsidRDefault="00020467" w:rsidP="00CA3572">
      <w:pPr>
        <w:jc w:val="both"/>
        <w:rPr>
          <w:rFonts w:ascii="Times New Roman" w:hAnsi="Times New Roman"/>
          <w:b/>
        </w:rPr>
      </w:pPr>
      <w:r w:rsidRPr="00E24619">
        <w:rPr>
          <w:rFonts w:ascii="Times New Roman" w:hAnsi="Times New Roman"/>
          <w:b/>
        </w:rPr>
        <w:t>Stakeholder Involvement</w:t>
      </w:r>
    </w:p>
    <w:p w:rsidR="00020467" w:rsidRPr="00E24619" w:rsidRDefault="00020467" w:rsidP="00CA3572">
      <w:pPr>
        <w:jc w:val="both"/>
        <w:rPr>
          <w:rFonts w:ascii="Times New Roman" w:hAnsi="Times New Roman"/>
          <w:b/>
        </w:rPr>
      </w:pPr>
    </w:p>
    <w:p w:rsidR="00D9430E" w:rsidRPr="00E24619" w:rsidRDefault="00D9430E" w:rsidP="007A2B12">
      <w:pPr>
        <w:rPr>
          <w:rFonts w:ascii="Times New Roman" w:hAnsi="Times New Roman"/>
        </w:rPr>
      </w:pPr>
      <w:r w:rsidRPr="00E24619">
        <w:rPr>
          <w:rFonts w:ascii="Times New Roman" w:hAnsi="Times New Roman"/>
        </w:rPr>
        <w:t>In accordance with Docket UE-111880 Order 01, Item (3)(a)(iii) concerning Advisory Group guidance on tariff modification, the Company presented an initial overview of the consolidated program offering to the Washington Demand-Side Management Advisory Group on October 14, 2013.</w:t>
      </w:r>
    </w:p>
    <w:p w:rsidR="00020467" w:rsidRPr="00E24619" w:rsidRDefault="00020467" w:rsidP="00CA3572">
      <w:pPr>
        <w:ind w:firstLine="720"/>
        <w:jc w:val="both"/>
        <w:rPr>
          <w:rFonts w:ascii="Times New Roman" w:hAnsi="Times New Roman"/>
        </w:rPr>
      </w:pPr>
    </w:p>
    <w:p w:rsidR="00D9430E" w:rsidRPr="00E24619" w:rsidRDefault="00D9430E" w:rsidP="007A2B12">
      <w:pPr>
        <w:rPr>
          <w:rFonts w:ascii="Times New Roman" w:hAnsi="Times New Roman"/>
          <w:b/>
        </w:rPr>
      </w:pPr>
      <w:r w:rsidRPr="00E24619">
        <w:rPr>
          <w:rFonts w:ascii="Times New Roman" w:hAnsi="Times New Roman"/>
        </w:rPr>
        <w:t xml:space="preserve">In accordance with Docket UE-111880 Order 01, Item (3)(d), the filing package was provided to </w:t>
      </w:r>
      <w:r w:rsidR="00E24619" w:rsidRPr="00E24619">
        <w:rPr>
          <w:rFonts w:ascii="Times New Roman" w:hAnsi="Times New Roman"/>
        </w:rPr>
        <w:t>the Advisory Group on November 6</w:t>
      </w:r>
      <w:r w:rsidRPr="00E24619">
        <w:rPr>
          <w:rFonts w:ascii="Times New Roman" w:hAnsi="Times New Roman"/>
        </w:rPr>
        <w:t xml:space="preserve">, 2013, prior to this </w:t>
      </w:r>
      <w:r w:rsidR="00726CC1" w:rsidRPr="00E24619">
        <w:rPr>
          <w:rFonts w:ascii="Times New Roman" w:hAnsi="Times New Roman"/>
        </w:rPr>
        <w:t xml:space="preserve">advice filing being submitted to the Commission. </w:t>
      </w:r>
      <w:r w:rsidR="00E340E8">
        <w:rPr>
          <w:rFonts w:ascii="Times New Roman" w:hAnsi="Times New Roman"/>
        </w:rPr>
        <w:t xml:space="preserve">The Company responded to questions from the group on the minor reduction in the cost effectiveness of the program, the reason the Company continues to provide incentives for HVAC measures that are not cost effective and provided additional information on the new Energy Management incentive offer. </w:t>
      </w:r>
    </w:p>
    <w:p w:rsidR="00020467" w:rsidRPr="00E24619" w:rsidRDefault="00020467" w:rsidP="00CA3572">
      <w:pPr>
        <w:autoSpaceDE w:val="0"/>
        <w:autoSpaceDN w:val="0"/>
        <w:adjustRightInd w:val="0"/>
        <w:ind w:firstLine="720"/>
        <w:jc w:val="both"/>
        <w:rPr>
          <w:rFonts w:ascii="Times New Roman" w:hAnsi="Times New Roman"/>
        </w:rPr>
      </w:pPr>
    </w:p>
    <w:p w:rsidR="00020467" w:rsidRPr="00E24619" w:rsidRDefault="00020467" w:rsidP="00CA3572">
      <w:pPr>
        <w:autoSpaceDE w:val="0"/>
        <w:autoSpaceDN w:val="0"/>
        <w:adjustRightInd w:val="0"/>
        <w:jc w:val="both"/>
        <w:rPr>
          <w:rFonts w:ascii="Times New Roman" w:hAnsi="Times New Roman"/>
          <w:b/>
        </w:rPr>
      </w:pPr>
      <w:r w:rsidRPr="00E24619">
        <w:rPr>
          <w:rFonts w:ascii="Times New Roman" w:hAnsi="Times New Roman"/>
          <w:b/>
        </w:rPr>
        <w:t>Request</w:t>
      </w:r>
    </w:p>
    <w:p w:rsidR="00020467" w:rsidRPr="00E24619" w:rsidRDefault="00020467" w:rsidP="00CA3572">
      <w:pPr>
        <w:autoSpaceDE w:val="0"/>
        <w:autoSpaceDN w:val="0"/>
        <w:adjustRightInd w:val="0"/>
        <w:jc w:val="both"/>
        <w:rPr>
          <w:rFonts w:ascii="Times New Roman" w:hAnsi="Times New Roman"/>
        </w:rPr>
      </w:pPr>
    </w:p>
    <w:p w:rsidR="00D9430E" w:rsidRPr="00E24619" w:rsidRDefault="008256E3" w:rsidP="007A2B12">
      <w:pPr>
        <w:autoSpaceDE w:val="0"/>
        <w:autoSpaceDN w:val="0"/>
        <w:adjustRightInd w:val="0"/>
        <w:rPr>
          <w:rFonts w:ascii="Times New Roman" w:hAnsi="Times New Roman"/>
        </w:rPr>
      </w:pPr>
      <w:r>
        <w:rPr>
          <w:rFonts w:ascii="Times New Roman" w:hAnsi="Times New Roman"/>
        </w:rPr>
        <w:t>The Company</w:t>
      </w:r>
      <w:r w:rsidR="00D9430E" w:rsidRPr="00E24619">
        <w:rPr>
          <w:rFonts w:ascii="Times New Roman" w:hAnsi="Times New Roman"/>
        </w:rPr>
        <w:t xml:space="preserve"> respectfully requests that the Washington Utilities and Transportation Commission </w:t>
      </w:r>
      <w:r w:rsidR="00FE5AC5" w:rsidRPr="00E24619">
        <w:rPr>
          <w:rFonts w:ascii="Times New Roman" w:hAnsi="Times New Roman"/>
        </w:rPr>
        <w:t>approve</w:t>
      </w:r>
      <w:r w:rsidR="00D9430E" w:rsidRPr="00E24619">
        <w:rPr>
          <w:rFonts w:ascii="Times New Roman" w:hAnsi="Times New Roman"/>
        </w:rPr>
        <w:t xml:space="preserve"> the Company</w:t>
      </w:r>
      <w:r w:rsidR="00FE5AC5" w:rsidRPr="00E24619">
        <w:rPr>
          <w:rFonts w:ascii="Times New Roman" w:hAnsi="Times New Roman"/>
        </w:rPr>
        <w:t>’s request</w:t>
      </w:r>
      <w:r w:rsidR="00D9430E" w:rsidRPr="00E24619">
        <w:rPr>
          <w:rFonts w:ascii="Times New Roman" w:hAnsi="Times New Roman"/>
        </w:rPr>
        <w:t xml:space="preserve"> to cancel Electric Service Schedules No. 115 – Commercial and Industrial Energy Efficiency Incentives Optional for Qualifying Customers, and 125 – Commercial and Industrial Energy Services Optional for Qualifying Customers, and approve the attached Electric Service Schedule No. 140, Non-Residential Energy Efficiency effective January 1, 2014</w:t>
      </w:r>
      <w:r w:rsidR="00786A19" w:rsidRPr="00E24619">
        <w:rPr>
          <w:rFonts w:ascii="Times New Roman" w:hAnsi="Times New Roman"/>
        </w:rPr>
        <w:t xml:space="preserve">, including information contained in </w:t>
      </w:r>
      <w:r w:rsidR="00AC5065" w:rsidRPr="00E24619">
        <w:rPr>
          <w:rFonts w:ascii="Times New Roman" w:hAnsi="Times New Roman"/>
        </w:rPr>
        <w:t>Attachment B</w:t>
      </w:r>
      <w:r w:rsidR="00786A19" w:rsidRPr="00E24619">
        <w:rPr>
          <w:rFonts w:ascii="Times New Roman" w:hAnsi="Times New Roman"/>
        </w:rPr>
        <w:t xml:space="preserve">: WA Incentive Tables and Information </w:t>
      </w:r>
      <w:r w:rsidR="00AC5065" w:rsidRPr="00E24619">
        <w:rPr>
          <w:rFonts w:ascii="Times New Roman" w:hAnsi="Times New Roman"/>
        </w:rPr>
        <w:t>CLEAN 110513</w:t>
      </w:r>
      <w:r w:rsidR="00D9430E" w:rsidRPr="00E24619">
        <w:rPr>
          <w:rFonts w:ascii="Times New Roman" w:hAnsi="Times New Roman"/>
        </w:rPr>
        <w:t xml:space="preserve">. </w:t>
      </w:r>
    </w:p>
    <w:p w:rsidR="00D9430E" w:rsidRPr="00E24619" w:rsidRDefault="00D9430E" w:rsidP="00CA3572">
      <w:pPr>
        <w:autoSpaceDE w:val="0"/>
        <w:autoSpaceDN w:val="0"/>
        <w:adjustRightInd w:val="0"/>
        <w:ind w:firstLine="720"/>
        <w:jc w:val="both"/>
        <w:rPr>
          <w:rFonts w:ascii="Times New Roman" w:hAnsi="Times New Roman"/>
        </w:rPr>
      </w:pPr>
    </w:p>
    <w:p w:rsidR="00736433" w:rsidRDefault="00736433" w:rsidP="007A2B12">
      <w:pPr>
        <w:spacing w:after="200"/>
        <w:rPr>
          <w:rFonts w:ascii="Times New Roman" w:hAnsi="Times New Roman"/>
        </w:rPr>
      </w:pPr>
    </w:p>
    <w:p w:rsidR="00DF786C" w:rsidRPr="00E24619" w:rsidRDefault="00DF786C" w:rsidP="007A2B12">
      <w:pPr>
        <w:spacing w:after="200"/>
        <w:rPr>
          <w:rFonts w:ascii="Times New Roman" w:hAnsi="Times New Roman"/>
        </w:rPr>
      </w:pPr>
      <w:r w:rsidRPr="00E24619">
        <w:rPr>
          <w:rFonts w:ascii="Times New Roman" w:hAnsi="Times New Roman"/>
        </w:rPr>
        <w:lastRenderedPageBreak/>
        <w:t>Please direct any informal inquiries regarding this filing to Gary Tawwater at 503-813-6805.</w:t>
      </w:r>
    </w:p>
    <w:p w:rsidR="00FF7F41" w:rsidRPr="00E24619" w:rsidRDefault="00FF7F41" w:rsidP="00E24619">
      <w:pPr>
        <w:autoSpaceDE w:val="0"/>
        <w:autoSpaceDN w:val="0"/>
        <w:adjustRightInd w:val="0"/>
        <w:rPr>
          <w:rFonts w:ascii="Times New Roman" w:hAnsi="Times New Roman"/>
          <w:szCs w:val="24"/>
        </w:rPr>
      </w:pPr>
    </w:p>
    <w:p w:rsidR="00FF7F41" w:rsidRPr="00E24619" w:rsidRDefault="00E61028" w:rsidP="00E24619">
      <w:pPr>
        <w:autoSpaceDE w:val="0"/>
        <w:autoSpaceDN w:val="0"/>
        <w:adjustRightInd w:val="0"/>
        <w:rPr>
          <w:rFonts w:ascii="Times New Roman" w:hAnsi="Times New Roman"/>
          <w:szCs w:val="24"/>
        </w:rPr>
      </w:pPr>
      <w:r w:rsidRPr="00E24619">
        <w:rPr>
          <w:rFonts w:ascii="Times New Roman" w:hAnsi="Times New Roman"/>
          <w:szCs w:val="24"/>
        </w:rPr>
        <w:t>Sincerely,</w:t>
      </w:r>
    </w:p>
    <w:p w:rsidR="00FF7F41" w:rsidRDefault="00FF7F41" w:rsidP="00E24619">
      <w:pPr>
        <w:autoSpaceDE w:val="0"/>
        <w:autoSpaceDN w:val="0"/>
        <w:adjustRightInd w:val="0"/>
        <w:rPr>
          <w:rFonts w:ascii="Times New Roman" w:hAnsi="Times New Roman"/>
          <w:szCs w:val="24"/>
        </w:rPr>
      </w:pPr>
    </w:p>
    <w:p w:rsidR="00736433" w:rsidRPr="00E24619" w:rsidRDefault="00736433" w:rsidP="00E24619">
      <w:pPr>
        <w:autoSpaceDE w:val="0"/>
        <w:autoSpaceDN w:val="0"/>
        <w:adjustRightInd w:val="0"/>
        <w:rPr>
          <w:rFonts w:ascii="Times New Roman" w:hAnsi="Times New Roman"/>
          <w:szCs w:val="24"/>
        </w:rPr>
      </w:pPr>
    </w:p>
    <w:p w:rsidR="00FF7F41" w:rsidRPr="00E24619" w:rsidRDefault="00FF7F41" w:rsidP="00E24619">
      <w:pPr>
        <w:autoSpaceDE w:val="0"/>
        <w:autoSpaceDN w:val="0"/>
        <w:adjustRightInd w:val="0"/>
        <w:rPr>
          <w:rFonts w:ascii="Times New Roman" w:hAnsi="Times New Roman"/>
          <w:szCs w:val="24"/>
        </w:rPr>
      </w:pPr>
    </w:p>
    <w:p w:rsidR="00FF7F41" w:rsidRPr="00E24619" w:rsidRDefault="00E27A65" w:rsidP="00E24619">
      <w:pPr>
        <w:autoSpaceDE w:val="0"/>
        <w:autoSpaceDN w:val="0"/>
        <w:adjustRightInd w:val="0"/>
        <w:rPr>
          <w:rFonts w:ascii="Times New Roman" w:hAnsi="Times New Roman"/>
          <w:szCs w:val="24"/>
        </w:rPr>
      </w:pPr>
      <w:r w:rsidRPr="00E24619">
        <w:rPr>
          <w:rFonts w:ascii="Times New Roman" w:hAnsi="Times New Roman"/>
          <w:szCs w:val="24"/>
        </w:rPr>
        <w:t>Kathryn Hymas</w:t>
      </w:r>
    </w:p>
    <w:p w:rsidR="00FF7F41" w:rsidRPr="00E24619" w:rsidRDefault="00E61028" w:rsidP="00E24619">
      <w:pPr>
        <w:autoSpaceDE w:val="0"/>
        <w:autoSpaceDN w:val="0"/>
        <w:adjustRightInd w:val="0"/>
        <w:rPr>
          <w:rFonts w:ascii="Times New Roman" w:hAnsi="Times New Roman"/>
          <w:szCs w:val="24"/>
        </w:rPr>
      </w:pPr>
      <w:r w:rsidRPr="00E24619">
        <w:rPr>
          <w:rFonts w:ascii="Times New Roman" w:hAnsi="Times New Roman"/>
          <w:szCs w:val="24"/>
        </w:rPr>
        <w:t xml:space="preserve">Vice President of </w:t>
      </w:r>
      <w:r w:rsidR="00E27A65" w:rsidRPr="00E24619">
        <w:rPr>
          <w:rFonts w:ascii="Times New Roman" w:hAnsi="Times New Roman"/>
          <w:szCs w:val="24"/>
        </w:rPr>
        <w:t>Finance and Demand Side Management</w:t>
      </w:r>
    </w:p>
    <w:p w:rsidR="00FF7F41" w:rsidRPr="00E24619" w:rsidRDefault="00FF7F41" w:rsidP="00E24619">
      <w:pPr>
        <w:autoSpaceDE w:val="0"/>
        <w:autoSpaceDN w:val="0"/>
        <w:adjustRightInd w:val="0"/>
        <w:rPr>
          <w:rFonts w:ascii="Times New Roman" w:hAnsi="Times New Roman"/>
          <w:szCs w:val="24"/>
        </w:rPr>
      </w:pPr>
    </w:p>
    <w:p w:rsidR="001A1AAA" w:rsidRPr="00E24619" w:rsidRDefault="00E61028" w:rsidP="00E24619">
      <w:pPr>
        <w:rPr>
          <w:rFonts w:ascii="Times New Roman" w:hAnsi="Times New Roman"/>
          <w:szCs w:val="24"/>
        </w:rPr>
      </w:pPr>
      <w:r w:rsidRPr="00E24619">
        <w:rPr>
          <w:rFonts w:ascii="Times New Roman" w:hAnsi="Times New Roman"/>
          <w:szCs w:val="24"/>
        </w:rPr>
        <w:t>Enclosures</w:t>
      </w:r>
      <w:r w:rsidR="00E25622" w:rsidRPr="00E24619">
        <w:rPr>
          <w:rFonts w:ascii="Times New Roman" w:hAnsi="Times New Roman"/>
          <w:szCs w:val="24"/>
        </w:rPr>
        <w:t>/Attachments</w:t>
      </w:r>
      <w:r w:rsidR="003D1750" w:rsidRPr="00E24619">
        <w:rPr>
          <w:rFonts w:ascii="Times New Roman" w:hAnsi="Times New Roman"/>
          <w:szCs w:val="24"/>
        </w:rPr>
        <w:t xml:space="preserve"> </w:t>
      </w:r>
    </w:p>
    <w:p w:rsidR="00E25622" w:rsidRPr="00E24619" w:rsidRDefault="00E25622" w:rsidP="00E24619">
      <w:pPr>
        <w:rPr>
          <w:rFonts w:ascii="Times New Roman" w:hAnsi="Times New Roman"/>
          <w:szCs w:val="24"/>
        </w:rPr>
      </w:pPr>
      <w:r w:rsidRPr="00E24619">
        <w:rPr>
          <w:rFonts w:ascii="Times New Roman" w:hAnsi="Times New Roman"/>
          <w:szCs w:val="24"/>
        </w:rPr>
        <w:t xml:space="preserve">A: </w:t>
      </w:r>
      <w:r w:rsidR="00A94D36" w:rsidRPr="00E24619">
        <w:rPr>
          <w:rFonts w:ascii="Times New Roman" w:hAnsi="Times New Roman"/>
          <w:szCs w:val="24"/>
        </w:rPr>
        <w:t xml:space="preserve"> Proposed Electric Service Schedule 140: Non-Residential Energy Efficiency</w:t>
      </w:r>
      <w:r w:rsidR="00C862FC" w:rsidRPr="00E24619">
        <w:rPr>
          <w:rFonts w:ascii="Times New Roman" w:hAnsi="Times New Roman"/>
          <w:szCs w:val="24"/>
        </w:rPr>
        <w:t xml:space="preserve"> </w:t>
      </w:r>
      <w:r w:rsidRPr="00E24619">
        <w:rPr>
          <w:rFonts w:ascii="Times New Roman" w:hAnsi="Times New Roman"/>
          <w:szCs w:val="24"/>
        </w:rPr>
        <w:t xml:space="preserve"> </w:t>
      </w:r>
    </w:p>
    <w:p w:rsidR="00E25622" w:rsidRPr="00E24619" w:rsidRDefault="00E25622" w:rsidP="00E24619">
      <w:pPr>
        <w:rPr>
          <w:rFonts w:ascii="Times New Roman" w:hAnsi="Times New Roman"/>
          <w:szCs w:val="24"/>
        </w:rPr>
      </w:pPr>
      <w:r w:rsidRPr="00E24619">
        <w:rPr>
          <w:rFonts w:ascii="Times New Roman" w:hAnsi="Times New Roman"/>
          <w:szCs w:val="24"/>
        </w:rPr>
        <w:t xml:space="preserve">B: </w:t>
      </w:r>
      <w:r w:rsidR="00C862FC" w:rsidRPr="00E24619">
        <w:rPr>
          <w:rFonts w:ascii="Times New Roman" w:hAnsi="Times New Roman"/>
          <w:szCs w:val="24"/>
        </w:rPr>
        <w:t xml:space="preserve"> </w:t>
      </w:r>
      <w:r w:rsidR="00A94D36" w:rsidRPr="00E24619">
        <w:rPr>
          <w:rFonts w:ascii="Times New Roman" w:hAnsi="Times New Roman"/>
          <w:szCs w:val="24"/>
        </w:rPr>
        <w:t>Supporting document for web language and new incentives - clean</w:t>
      </w:r>
    </w:p>
    <w:p w:rsidR="004519DE" w:rsidRPr="00E24619" w:rsidRDefault="009238EF" w:rsidP="00E24619">
      <w:pPr>
        <w:rPr>
          <w:rFonts w:ascii="Times New Roman" w:hAnsi="Times New Roman"/>
          <w:szCs w:val="24"/>
        </w:rPr>
      </w:pPr>
      <w:r w:rsidRPr="00E24619">
        <w:rPr>
          <w:rFonts w:ascii="Times New Roman" w:hAnsi="Times New Roman"/>
          <w:szCs w:val="24"/>
        </w:rPr>
        <w:t>C</w:t>
      </w:r>
      <w:r w:rsidR="004519DE" w:rsidRPr="00E24619">
        <w:rPr>
          <w:rFonts w:ascii="Times New Roman" w:hAnsi="Times New Roman"/>
          <w:szCs w:val="24"/>
        </w:rPr>
        <w:t xml:space="preserve">: </w:t>
      </w:r>
      <w:r w:rsidRPr="00E24619">
        <w:rPr>
          <w:rFonts w:ascii="Times New Roman" w:hAnsi="Times New Roman"/>
          <w:szCs w:val="24"/>
        </w:rPr>
        <w:t xml:space="preserve"> </w:t>
      </w:r>
      <w:r w:rsidR="00A94D36" w:rsidRPr="00E24619">
        <w:rPr>
          <w:rFonts w:ascii="Times New Roman" w:hAnsi="Times New Roman"/>
          <w:szCs w:val="24"/>
        </w:rPr>
        <w:t>Supporting document for web language and new incentives - marked changes</w:t>
      </w:r>
    </w:p>
    <w:p w:rsidR="00223901" w:rsidRPr="00E24619" w:rsidRDefault="009238EF" w:rsidP="00E24619">
      <w:pPr>
        <w:rPr>
          <w:rFonts w:ascii="Times New Roman" w:hAnsi="Times New Roman"/>
          <w:szCs w:val="24"/>
        </w:rPr>
      </w:pPr>
      <w:r w:rsidRPr="00E24619">
        <w:rPr>
          <w:rFonts w:ascii="Times New Roman" w:hAnsi="Times New Roman"/>
          <w:szCs w:val="24"/>
        </w:rPr>
        <w:t>D</w:t>
      </w:r>
      <w:r w:rsidR="00223901" w:rsidRPr="00E24619">
        <w:rPr>
          <w:rFonts w:ascii="Times New Roman" w:hAnsi="Times New Roman"/>
          <w:szCs w:val="24"/>
        </w:rPr>
        <w:t xml:space="preserve">: </w:t>
      </w:r>
      <w:r w:rsidR="00A94D36" w:rsidRPr="00E24619">
        <w:rPr>
          <w:rFonts w:ascii="Times New Roman" w:hAnsi="Times New Roman"/>
          <w:szCs w:val="24"/>
        </w:rPr>
        <w:t xml:space="preserve"> </w:t>
      </w:r>
      <w:r w:rsidR="00CA3572">
        <w:rPr>
          <w:rFonts w:ascii="Times New Roman" w:hAnsi="Times New Roman"/>
          <w:szCs w:val="24"/>
        </w:rPr>
        <w:t>Explanation of</w:t>
      </w:r>
      <w:r w:rsidR="00223901" w:rsidRPr="00E24619">
        <w:rPr>
          <w:rFonts w:ascii="Times New Roman" w:hAnsi="Times New Roman"/>
          <w:szCs w:val="24"/>
        </w:rPr>
        <w:t xml:space="preserve"> prescriptive changes </w:t>
      </w:r>
    </w:p>
    <w:p w:rsidR="00223901" w:rsidRPr="00E24619" w:rsidRDefault="009238EF" w:rsidP="00E24619">
      <w:pPr>
        <w:rPr>
          <w:rFonts w:ascii="Times New Roman" w:hAnsi="Times New Roman"/>
          <w:szCs w:val="24"/>
        </w:rPr>
      </w:pPr>
      <w:r w:rsidRPr="00E24619">
        <w:rPr>
          <w:rFonts w:ascii="Times New Roman" w:hAnsi="Times New Roman"/>
          <w:szCs w:val="24"/>
        </w:rPr>
        <w:t>E</w:t>
      </w:r>
      <w:r w:rsidR="00223901" w:rsidRPr="00E24619">
        <w:rPr>
          <w:rFonts w:ascii="Times New Roman" w:hAnsi="Times New Roman"/>
          <w:szCs w:val="24"/>
        </w:rPr>
        <w:t xml:space="preserve">: </w:t>
      </w:r>
      <w:r w:rsidR="00A94D36" w:rsidRPr="00E24619">
        <w:rPr>
          <w:rFonts w:ascii="Times New Roman" w:hAnsi="Times New Roman"/>
          <w:szCs w:val="24"/>
        </w:rPr>
        <w:t xml:space="preserve"> </w:t>
      </w:r>
      <w:r w:rsidRPr="00E24619">
        <w:rPr>
          <w:rFonts w:ascii="Times New Roman" w:hAnsi="Times New Roman"/>
          <w:szCs w:val="24"/>
        </w:rPr>
        <w:t xml:space="preserve">Alignment with RTF for commercial prescriptive measures </w:t>
      </w:r>
      <w:r w:rsidR="00223901" w:rsidRPr="00E24619">
        <w:rPr>
          <w:rFonts w:ascii="Times New Roman" w:hAnsi="Times New Roman"/>
          <w:szCs w:val="24"/>
        </w:rPr>
        <w:t xml:space="preserve"> </w:t>
      </w:r>
    </w:p>
    <w:p w:rsidR="00A94D36" w:rsidRPr="00E24619" w:rsidRDefault="00A94D36" w:rsidP="00E24619">
      <w:pPr>
        <w:rPr>
          <w:rFonts w:ascii="Times New Roman" w:hAnsi="Times New Roman"/>
          <w:szCs w:val="24"/>
        </w:rPr>
      </w:pPr>
      <w:r w:rsidRPr="00E24619">
        <w:rPr>
          <w:rFonts w:ascii="Times New Roman" w:hAnsi="Times New Roman"/>
          <w:szCs w:val="24"/>
        </w:rPr>
        <w:t>F:  Cost Effectiveness Analysis</w:t>
      </w:r>
    </w:p>
    <w:p w:rsidR="00A94D36" w:rsidRPr="00E24619" w:rsidRDefault="00A94D36" w:rsidP="00E24619">
      <w:pPr>
        <w:rPr>
          <w:rFonts w:ascii="Times New Roman" w:hAnsi="Times New Roman"/>
          <w:szCs w:val="24"/>
        </w:rPr>
      </w:pPr>
      <w:r w:rsidRPr="00E24619">
        <w:rPr>
          <w:rFonts w:ascii="Times New Roman" w:hAnsi="Times New Roman"/>
          <w:szCs w:val="24"/>
        </w:rPr>
        <w:t xml:space="preserve">G: </w:t>
      </w:r>
      <w:r w:rsidR="00E24619">
        <w:rPr>
          <w:rFonts w:ascii="Times New Roman" w:hAnsi="Times New Roman"/>
          <w:szCs w:val="24"/>
        </w:rPr>
        <w:t xml:space="preserve"> </w:t>
      </w:r>
      <w:r w:rsidRPr="00E24619">
        <w:rPr>
          <w:rFonts w:ascii="Times New Roman" w:hAnsi="Times New Roman"/>
          <w:szCs w:val="24"/>
        </w:rPr>
        <w:t>Schedule 115, marked Canceled</w:t>
      </w:r>
      <w:r w:rsidR="00AC5065" w:rsidRPr="00E24619">
        <w:rPr>
          <w:rFonts w:ascii="Times New Roman" w:hAnsi="Times New Roman"/>
          <w:szCs w:val="24"/>
        </w:rPr>
        <w:t xml:space="preserve"> </w:t>
      </w:r>
    </w:p>
    <w:p w:rsidR="00A94D36" w:rsidRDefault="00A94D36" w:rsidP="00E24619">
      <w:pPr>
        <w:rPr>
          <w:rFonts w:ascii="Times New Roman" w:hAnsi="Times New Roman"/>
          <w:szCs w:val="24"/>
        </w:rPr>
      </w:pPr>
      <w:r w:rsidRPr="00E24619">
        <w:rPr>
          <w:rFonts w:ascii="Times New Roman" w:hAnsi="Times New Roman"/>
          <w:szCs w:val="24"/>
        </w:rPr>
        <w:t xml:space="preserve">H: </w:t>
      </w:r>
      <w:r w:rsidR="00E24619">
        <w:rPr>
          <w:rFonts w:ascii="Times New Roman" w:hAnsi="Times New Roman"/>
          <w:szCs w:val="24"/>
        </w:rPr>
        <w:t xml:space="preserve"> </w:t>
      </w:r>
      <w:r w:rsidRPr="00E24619">
        <w:rPr>
          <w:rFonts w:ascii="Times New Roman" w:hAnsi="Times New Roman"/>
          <w:szCs w:val="24"/>
        </w:rPr>
        <w:t>Schedule 125, marked Canceled</w:t>
      </w:r>
    </w:p>
    <w:p w:rsidR="005E36D8" w:rsidRDefault="005E36D8" w:rsidP="00E24619">
      <w:pPr>
        <w:rPr>
          <w:rFonts w:ascii="Times New Roman" w:hAnsi="Times New Roman"/>
          <w:szCs w:val="24"/>
        </w:rPr>
      </w:pPr>
      <w:r>
        <w:rPr>
          <w:rFonts w:ascii="Times New Roman" w:hAnsi="Times New Roman"/>
          <w:szCs w:val="24"/>
        </w:rPr>
        <w:t>I:   Notice</w:t>
      </w:r>
    </w:p>
    <w:p w:rsidR="005E36D8" w:rsidRPr="00E24619" w:rsidRDefault="005E36D8" w:rsidP="00E24619">
      <w:pPr>
        <w:rPr>
          <w:rFonts w:ascii="Times New Roman" w:hAnsi="Times New Roman"/>
          <w:szCs w:val="24"/>
        </w:rPr>
      </w:pPr>
      <w:r>
        <w:rPr>
          <w:rFonts w:ascii="Times New Roman" w:hAnsi="Times New Roman"/>
          <w:szCs w:val="24"/>
        </w:rPr>
        <w:t>J:   List of Proposed Tariff Sheets</w:t>
      </w:r>
    </w:p>
    <w:p w:rsidR="00A94D36" w:rsidRPr="00FA61BD" w:rsidRDefault="00A94D36" w:rsidP="00E24619">
      <w:pPr>
        <w:rPr>
          <w:rFonts w:ascii="Times New Roman" w:hAnsi="Times New Roman"/>
          <w:szCs w:val="24"/>
        </w:rPr>
      </w:pPr>
    </w:p>
    <w:sectPr w:rsidR="00A94D36" w:rsidRPr="00FA61BD" w:rsidSect="00D0390D">
      <w:headerReference w:type="default" r:id="rId15"/>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D1" w:rsidRDefault="00AF75D1" w:rsidP="00964072">
      <w:r>
        <w:separator/>
      </w:r>
    </w:p>
  </w:endnote>
  <w:endnote w:type="continuationSeparator" w:id="0">
    <w:p w:rsidR="00AF75D1" w:rsidRDefault="00AF75D1" w:rsidP="00964072">
      <w:r>
        <w:continuationSeparator/>
      </w:r>
    </w:p>
  </w:endnote>
  <w:endnote w:type="continuationNotice" w:id="1">
    <w:p w:rsidR="00AF75D1" w:rsidRDefault="00AF7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FE" w:rsidRDefault="00C64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FE" w:rsidRDefault="00C64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FE" w:rsidRDefault="00C64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D1" w:rsidRDefault="00AF75D1" w:rsidP="00964072">
      <w:r>
        <w:separator/>
      </w:r>
    </w:p>
  </w:footnote>
  <w:footnote w:type="continuationSeparator" w:id="0">
    <w:p w:rsidR="00AF75D1" w:rsidRDefault="00AF75D1" w:rsidP="00964072">
      <w:r>
        <w:continuationSeparator/>
      </w:r>
    </w:p>
  </w:footnote>
  <w:footnote w:type="continuationNotice" w:id="1">
    <w:p w:rsidR="00AF75D1" w:rsidRDefault="00AF75D1"/>
  </w:footnote>
  <w:footnote w:id="2">
    <w:p w:rsidR="009B187B" w:rsidRDefault="009B187B">
      <w:pPr>
        <w:pStyle w:val="FootnoteText"/>
      </w:pPr>
      <w:r>
        <w:rPr>
          <w:rStyle w:val="FootnoteReference"/>
        </w:rPr>
        <w:footnoteRef/>
      </w:r>
      <w:r>
        <w:t xml:space="preserve"> </w:t>
      </w:r>
      <w:proofErr w:type="spellStart"/>
      <w:r>
        <w:t>FinAnswer</w:t>
      </w:r>
      <w:proofErr w:type="spellEnd"/>
      <w:r>
        <w:t xml:space="preserve"> Express</w:t>
      </w:r>
      <w:r w:rsidR="00736433">
        <w:t>.</w:t>
      </w:r>
      <w:r>
        <w:t xml:space="preserve"> </w:t>
      </w:r>
    </w:p>
  </w:footnote>
  <w:footnote w:id="3">
    <w:p w:rsidR="009B187B" w:rsidRDefault="009B187B">
      <w:pPr>
        <w:pStyle w:val="FootnoteText"/>
      </w:pPr>
      <w:r>
        <w:rPr>
          <w:rStyle w:val="FootnoteReference"/>
        </w:rPr>
        <w:footnoteRef/>
      </w:r>
      <w:r>
        <w:t xml:space="preserve"> Research conducted by </w:t>
      </w:r>
      <w:proofErr w:type="spellStart"/>
      <w:r>
        <w:t>EnerNoc</w:t>
      </w:r>
      <w:proofErr w:type="spellEnd"/>
      <w:r>
        <w:t xml:space="preserve"> Utility Solutions</w:t>
      </w:r>
      <w:r w:rsidR="00736433">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FE" w:rsidRDefault="00C64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FE" w:rsidRDefault="00C64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FE" w:rsidRDefault="00C644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7B" w:rsidRDefault="009B187B">
    <w:pPr>
      <w:pStyle w:val="Header"/>
    </w:pPr>
    <w:r>
      <w:t>Washington Utilities and Transportation Commission</w:t>
    </w:r>
  </w:p>
  <w:p w:rsidR="009B187B" w:rsidRDefault="009B187B">
    <w:pPr>
      <w:pStyle w:val="Header"/>
    </w:pPr>
    <w:r>
      <w:t xml:space="preserve">November </w:t>
    </w:r>
    <w:r w:rsidR="005333D1">
      <w:t>12</w:t>
    </w:r>
    <w:r>
      <w:t>, 2013</w:t>
    </w:r>
  </w:p>
  <w:p w:rsidR="009B187B" w:rsidRDefault="009B187B">
    <w:pPr>
      <w:pStyle w:val="Header"/>
    </w:pPr>
    <w:r>
      <w:t xml:space="preserve">Page </w:t>
    </w:r>
    <w:r>
      <w:fldChar w:fldCharType="begin"/>
    </w:r>
    <w:r>
      <w:instrText xml:space="preserve"> PAGE   \* MERGEFORMAT </w:instrText>
    </w:r>
    <w:r>
      <w:fldChar w:fldCharType="separate"/>
    </w:r>
    <w:r w:rsidR="00C644FE">
      <w:rPr>
        <w:noProof/>
      </w:rPr>
      <w:t>7</w:t>
    </w:r>
    <w:r>
      <w:rPr>
        <w:noProof/>
      </w:rPr>
      <w:fldChar w:fldCharType="end"/>
    </w:r>
  </w:p>
  <w:p w:rsidR="009B187B" w:rsidRDefault="009B187B">
    <w:pPr>
      <w:pStyle w:val="Header"/>
    </w:pPr>
  </w:p>
  <w:p w:rsidR="009B187B" w:rsidRDefault="009B1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73485"/>
    <w:rsid w:val="00087031"/>
    <w:rsid w:val="00093756"/>
    <w:rsid w:val="000A039D"/>
    <w:rsid w:val="000A1A56"/>
    <w:rsid w:val="000B3DB4"/>
    <w:rsid w:val="000B679C"/>
    <w:rsid w:val="000D424B"/>
    <w:rsid w:val="000D6421"/>
    <w:rsid w:val="000D6661"/>
    <w:rsid w:val="000E52A3"/>
    <w:rsid w:val="001028F3"/>
    <w:rsid w:val="0010419F"/>
    <w:rsid w:val="00104940"/>
    <w:rsid w:val="00120ED6"/>
    <w:rsid w:val="00146750"/>
    <w:rsid w:val="00153ADF"/>
    <w:rsid w:val="001544F1"/>
    <w:rsid w:val="00155569"/>
    <w:rsid w:val="00161A49"/>
    <w:rsid w:val="001711C6"/>
    <w:rsid w:val="001810B6"/>
    <w:rsid w:val="00184DEC"/>
    <w:rsid w:val="001867CD"/>
    <w:rsid w:val="00194B73"/>
    <w:rsid w:val="001A0E4F"/>
    <w:rsid w:val="001A1AAA"/>
    <w:rsid w:val="001B5731"/>
    <w:rsid w:val="001C03CC"/>
    <w:rsid w:val="001D3F1E"/>
    <w:rsid w:val="001D5E3E"/>
    <w:rsid w:val="001E5191"/>
    <w:rsid w:val="001E7A07"/>
    <w:rsid w:val="001F666C"/>
    <w:rsid w:val="0020053B"/>
    <w:rsid w:val="002023C3"/>
    <w:rsid w:val="00204C32"/>
    <w:rsid w:val="00223901"/>
    <w:rsid w:val="0023742A"/>
    <w:rsid w:val="00246066"/>
    <w:rsid w:val="00256D1D"/>
    <w:rsid w:val="00264351"/>
    <w:rsid w:val="002732B3"/>
    <w:rsid w:val="00294D95"/>
    <w:rsid w:val="00295285"/>
    <w:rsid w:val="002A5F22"/>
    <w:rsid w:val="002B6E29"/>
    <w:rsid w:val="002C4FF5"/>
    <w:rsid w:val="002C5379"/>
    <w:rsid w:val="002D4B38"/>
    <w:rsid w:val="002D558C"/>
    <w:rsid w:val="002D566A"/>
    <w:rsid w:val="002E2100"/>
    <w:rsid w:val="0030206E"/>
    <w:rsid w:val="00324462"/>
    <w:rsid w:val="00336116"/>
    <w:rsid w:val="003529A2"/>
    <w:rsid w:val="0036142F"/>
    <w:rsid w:val="00362362"/>
    <w:rsid w:val="003953C1"/>
    <w:rsid w:val="003C06E2"/>
    <w:rsid w:val="003C0961"/>
    <w:rsid w:val="003C3A72"/>
    <w:rsid w:val="003D1750"/>
    <w:rsid w:val="003F1BF1"/>
    <w:rsid w:val="003F46BF"/>
    <w:rsid w:val="00401389"/>
    <w:rsid w:val="00415673"/>
    <w:rsid w:val="00416F66"/>
    <w:rsid w:val="004251F1"/>
    <w:rsid w:val="00427F34"/>
    <w:rsid w:val="00430A5B"/>
    <w:rsid w:val="00433F8F"/>
    <w:rsid w:val="00444015"/>
    <w:rsid w:val="004519DE"/>
    <w:rsid w:val="00461F6B"/>
    <w:rsid w:val="00465CD0"/>
    <w:rsid w:val="004703DE"/>
    <w:rsid w:val="004864BC"/>
    <w:rsid w:val="00490EF1"/>
    <w:rsid w:val="004912AA"/>
    <w:rsid w:val="004A2CB1"/>
    <w:rsid w:val="004B6416"/>
    <w:rsid w:val="004C0652"/>
    <w:rsid w:val="004E21BD"/>
    <w:rsid w:val="004F2A17"/>
    <w:rsid w:val="00512797"/>
    <w:rsid w:val="005333D1"/>
    <w:rsid w:val="0055510F"/>
    <w:rsid w:val="00567B61"/>
    <w:rsid w:val="00570932"/>
    <w:rsid w:val="005809A3"/>
    <w:rsid w:val="005B5656"/>
    <w:rsid w:val="005C1D31"/>
    <w:rsid w:val="005C7B60"/>
    <w:rsid w:val="005D0D90"/>
    <w:rsid w:val="005D31B6"/>
    <w:rsid w:val="005E36D8"/>
    <w:rsid w:val="005E4534"/>
    <w:rsid w:val="00602D96"/>
    <w:rsid w:val="00607AC6"/>
    <w:rsid w:val="006256E3"/>
    <w:rsid w:val="0062691B"/>
    <w:rsid w:val="0063012A"/>
    <w:rsid w:val="00630B8F"/>
    <w:rsid w:val="00630E32"/>
    <w:rsid w:val="00630EFC"/>
    <w:rsid w:val="00635EE3"/>
    <w:rsid w:val="006545EE"/>
    <w:rsid w:val="00654CBD"/>
    <w:rsid w:val="006657F4"/>
    <w:rsid w:val="00673B1F"/>
    <w:rsid w:val="006768B8"/>
    <w:rsid w:val="0069250E"/>
    <w:rsid w:val="006970F0"/>
    <w:rsid w:val="006C4A31"/>
    <w:rsid w:val="006E0B27"/>
    <w:rsid w:val="00707CB4"/>
    <w:rsid w:val="0071709D"/>
    <w:rsid w:val="00726CC1"/>
    <w:rsid w:val="00736433"/>
    <w:rsid w:val="00736C33"/>
    <w:rsid w:val="00740321"/>
    <w:rsid w:val="007557AB"/>
    <w:rsid w:val="00761271"/>
    <w:rsid w:val="00761853"/>
    <w:rsid w:val="00761CD2"/>
    <w:rsid w:val="007644B8"/>
    <w:rsid w:val="00765F30"/>
    <w:rsid w:val="00786A19"/>
    <w:rsid w:val="00797F5A"/>
    <w:rsid w:val="007A1865"/>
    <w:rsid w:val="007A2B12"/>
    <w:rsid w:val="007B7BE5"/>
    <w:rsid w:val="007D4D94"/>
    <w:rsid w:val="007D7BC6"/>
    <w:rsid w:val="007E22BC"/>
    <w:rsid w:val="007E2AA1"/>
    <w:rsid w:val="007E5F59"/>
    <w:rsid w:val="00800B4E"/>
    <w:rsid w:val="00813422"/>
    <w:rsid w:val="0081496A"/>
    <w:rsid w:val="00816E57"/>
    <w:rsid w:val="008256E3"/>
    <w:rsid w:val="00830EE8"/>
    <w:rsid w:val="0083371F"/>
    <w:rsid w:val="00862F65"/>
    <w:rsid w:val="00874DFF"/>
    <w:rsid w:val="00875C27"/>
    <w:rsid w:val="008806A0"/>
    <w:rsid w:val="00881054"/>
    <w:rsid w:val="00884EE8"/>
    <w:rsid w:val="008A048F"/>
    <w:rsid w:val="008A6AD9"/>
    <w:rsid w:val="008C5B1F"/>
    <w:rsid w:val="008D22F5"/>
    <w:rsid w:val="008E5EB7"/>
    <w:rsid w:val="008F5112"/>
    <w:rsid w:val="00902A86"/>
    <w:rsid w:val="009100EA"/>
    <w:rsid w:val="00910441"/>
    <w:rsid w:val="009115EE"/>
    <w:rsid w:val="00921099"/>
    <w:rsid w:val="009238EF"/>
    <w:rsid w:val="0093083A"/>
    <w:rsid w:val="00932772"/>
    <w:rsid w:val="00953370"/>
    <w:rsid w:val="00964072"/>
    <w:rsid w:val="00985F57"/>
    <w:rsid w:val="00990199"/>
    <w:rsid w:val="009A7E4D"/>
    <w:rsid w:val="009B187B"/>
    <w:rsid w:val="009B2806"/>
    <w:rsid w:val="009B35AF"/>
    <w:rsid w:val="009B4F02"/>
    <w:rsid w:val="009B6768"/>
    <w:rsid w:val="009C778E"/>
    <w:rsid w:val="009D7379"/>
    <w:rsid w:val="009E2BC0"/>
    <w:rsid w:val="009E4426"/>
    <w:rsid w:val="009F1DA9"/>
    <w:rsid w:val="00A00F2B"/>
    <w:rsid w:val="00A165B3"/>
    <w:rsid w:val="00A73B8D"/>
    <w:rsid w:val="00A76DD3"/>
    <w:rsid w:val="00A86A08"/>
    <w:rsid w:val="00A94D36"/>
    <w:rsid w:val="00AA6891"/>
    <w:rsid w:val="00AB6B55"/>
    <w:rsid w:val="00AC175E"/>
    <w:rsid w:val="00AC5065"/>
    <w:rsid w:val="00AC713D"/>
    <w:rsid w:val="00AD525E"/>
    <w:rsid w:val="00AD5E3D"/>
    <w:rsid w:val="00AE3851"/>
    <w:rsid w:val="00AF35A9"/>
    <w:rsid w:val="00AF4DE3"/>
    <w:rsid w:val="00AF75D1"/>
    <w:rsid w:val="00B32FF3"/>
    <w:rsid w:val="00B37839"/>
    <w:rsid w:val="00B428AA"/>
    <w:rsid w:val="00B44A3F"/>
    <w:rsid w:val="00B45451"/>
    <w:rsid w:val="00B7372B"/>
    <w:rsid w:val="00B74533"/>
    <w:rsid w:val="00B95E36"/>
    <w:rsid w:val="00BA4CEE"/>
    <w:rsid w:val="00BC61BC"/>
    <w:rsid w:val="00BC716A"/>
    <w:rsid w:val="00BD22FD"/>
    <w:rsid w:val="00BD3612"/>
    <w:rsid w:val="00C02FB1"/>
    <w:rsid w:val="00C05C76"/>
    <w:rsid w:val="00C20FF6"/>
    <w:rsid w:val="00C219B7"/>
    <w:rsid w:val="00C52A4A"/>
    <w:rsid w:val="00C559C9"/>
    <w:rsid w:val="00C56CB3"/>
    <w:rsid w:val="00C644FE"/>
    <w:rsid w:val="00C64F06"/>
    <w:rsid w:val="00C66AEE"/>
    <w:rsid w:val="00C76B10"/>
    <w:rsid w:val="00C8212F"/>
    <w:rsid w:val="00C862FC"/>
    <w:rsid w:val="00C90214"/>
    <w:rsid w:val="00CA03E0"/>
    <w:rsid w:val="00CA3520"/>
    <w:rsid w:val="00CA3572"/>
    <w:rsid w:val="00CB7DAC"/>
    <w:rsid w:val="00CD240F"/>
    <w:rsid w:val="00CE3E12"/>
    <w:rsid w:val="00D0390D"/>
    <w:rsid w:val="00D119CC"/>
    <w:rsid w:val="00D16AF8"/>
    <w:rsid w:val="00D1787B"/>
    <w:rsid w:val="00D5568D"/>
    <w:rsid w:val="00D57F9B"/>
    <w:rsid w:val="00D604AC"/>
    <w:rsid w:val="00D71FA8"/>
    <w:rsid w:val="00D72C2E"/>
    <w:rsid w:val="00D73BE9"/>
    <w:rsid w:val="00D7512F"/>
    <w:rsid w:val="00D9430E"/>
    <w:rsid w:val="00D9496C"/>
    <w:rsid w:val="00DA3AED"/>
    <w:rsid w:val="00DD322E"/>
    <w:rsid w:val="00DF610A"/>
    <w:rsid w:val="00DF786C"/>
    <w:rsid w:val="00E03255"/>
    <w:rsid w:val="00E10ABB"/>
    <w:rsid w:val="00E24619"/>
    <w:rsid w:val="00E25622"/>
    <w:rsid w:val="00E27A65"/>
    <w:rsid w:val="00E27ABE"/>
    <w:rsid w:val="00E30A0E"/>
    <w:rsid w:val="00E32459"/>
    <w:rsid w:val="00E340E8"/>
    <w:rsid w:val="00E5529C"/>
    <w:rsid w:val="00E60AA9"/>
    <w:rsid w:val="00E61028"/>
    <w:rsid w:val="00E648C5"/>
    <w:rsid w:val="00E67AF3"/>
    <w:rsid w:val="00E76F0B"/>
    <w:rsid w:val="00E8112C"/>
    <w:rsid w:val="00E927DA"/>
    <w:rsid w:val="00E9388C"/>
    <w:rsid w:val="00E96C13"/>
    <w:rsid w:val="00EA38AA"/>
    <w:rsid w:val="00EA44CE"/>
    <w:rsid w:val="00EB2F1F"/>
    <w:rsid w:val="00EC13EE"/>
    <w:rsid w:val="00EC1407"/>
    <w:rsid w:val="00ED3559"/>
    <w:rsid w:val="00ED434E"/>
    <w:rsid w:val="00EE1FC0"/>
    <w:rsid w:val="00EF0CF7"/>
    <w:rsid w:val="00EF1147"/>
    <w:rsid w:val="00F050E2"/>
    <w:rsid w:val="00F179BA"/>
    <w:rsid w:val="00F3529F"/>
    <w:rsid w:val="00F35A44"/>
    <w:rsid w:val="00F4002C"/>
    <w:rsid w:val="00F5586E"/>
    <w:rsid w:val="00F61D02"/>
    <w:rsid w:val="00F63A42"/>
    <w:rsid w:val="00FA61BD"/>
    <w:rsid w:val="00FC1B0A"/>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505FD-024B-43A8-91D1-117DAC455032}"/>
</file>

<file path=customXml/itemProps2.xml><?xml version="1.0" encoding="utf-8"?>
<ds:datastoreItem xmlns:ds="http://schemas.openxmlformats.org/officeDocument/2006/customXml" ds:itemID="{34F3FD0E-E62F-4ECF-BDB4-627D46676505}"/>
</file>

<file path=customXml/itemProps3.xml><?xml version="1.0" encoding="utf-8"?>
<ds:datastoreItem xmlns:ds="http://schemas.openxmlformats.org/officeDocument/2006/customXml" ds:itemID="{47DAE502-14CD-49CD-BC7A-DB427C0378A8}"/>
</file>

<file path=customXml/itemProps4.xml><?xml version="1.0" encoding="utf-8"?>
<ds:datastoreItem xmlns:ds="http://schemas.openxmlformats.org/officeDocument/2006/customXml" ds:itemID="{B9DCADE2-A648-40EC-A6B7-71FB66AD2113}"/>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12188</Characters>
  <Application>Microsoft Office Word</Application>
  <DocSecurity>0</DocSecurity>
  <Lines>101</Lines>
  <Paragraphs>28</Paragraphs>
  <ScaleCrop>false</ScaleCrop>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2013-11-12T18:45:00Z</dcterms:created>
  <dcterms:modified xsi:type="dcterms:W3CDTF">2013-11-12T18:45:00Z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0x0101006E56B4D1795A2E4DB2F0B01679ED314A001AA7C0586A89A94783BF854927FF99D1</vt:lpwstr>
  </property>
  <property fmtid="{D5CDD505-2E9C-101B-9397-08002B2CF9AE}" pid="4" name="_docset_NoMedatataSyncRequired">
    <vt:lpwstr>False</vt:lpwstr>
  </property>
</Properties>
</file>