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08" w:rsidRPr="00AC5FF0" w:rsidRDefault="0091770F" w:rsidP="00D0215C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bookmarkStart w:id="0" w:name="_GoBack"/>
      <w:bookmarkEnd w:id="0"/>
      <w:r w:rsidRPr="00AC5FF0">
        <w:rPr>
          <w:rFonts w:ascii="Times New Roman" w:hAnsi="Times New Roman"/>
          <w:b/>
          <w:color w:val="000000" w:themeColor="text1"/>
          <w:szCs w:val="24"/>
        </w:rPr>
        <w:t xml:space="preserve">BEFORE THE WASHINGTON </w:t>
      </w:r>
    </w:p>
    <w:p w:rsidR="00D0215C" w:rsidRPr="00AC5FF0" w:rsidRDefault="0091770F" w:rsidP="00D0215C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AC5FF0">
        <w:rPr>
          <w:rFonts w:ascii="Times New Roman" w:hAnsi="Times New Roman"/>
          <w:b/>
          <w:color w:val="000000" w:themeColor="text1"/>
          <w:szCs w:val="24"/>
        </w:rPr>
        <w:t xml:space="preserve">UTILITIES </w:t>
      </w:r>
      <w:smartTag w:uri="urn:schemas-microsoft-com:office:smarttags" w:element="stockticker">
        <w:r w:rsidRPr="00AC5FF0">
          <w:rPr>
            <w:rFonts w:ascii="Times New Roman" w:hAnsi="Times New Roman"/>
            <w:b/>
            <w:color w:val="000000" w:themeColor="text1"/>
            <w:szCs w:val="24"/>
          </w:rPr>
          <w:t>AND</w:t>
        </w:r>
      </w:smartTag>
      <w:r w:rsidRPr="00AC5FF0">
        <w:rPr>
          <w:rFonts w:ascii="Times New Roman" w:hAnsi="Times New Roman"/>
          <w:b/>
          <w:color w:val="000000" w:themeColor="text1"/>
          <w:szCs w:val="24"/>
        </w:rPr>
        <w:t xml:space="preserve"> TRANSPORTATION COMMISSION</w:t>
      </w:r>
    </w:p>
    <w:p w:rsidR="00D0215C" w:rsidRPr="00AC5FF0" w:rsidRDefault="00D0215C" w:rsidP="00D0215C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8"/>
        <w:gridCol w:w="4248"/>
      </w:tblGrid>
      <w:tr w:rsidR="00D0215C" w:rsidRPr="00AC5FF0" w:rsidTr="00FB5DB0">
        <w:tc>
          <w:tcPr>
            <w:tcW w:w="4608" w:type="dxa"/>
            <w:tcBorders>
              <w:top w:val="nil"/>
              <w:left w:val="nil"/>
            </w:tcBorders>
          </w:tcPr>
          <w:p w:rsidR="00D0215C" w:rsidRPr="00AC5FF0" w:rsidRDefault="0091770F" w:rsidP="004B76C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In the Matter of</w:t>
            </w:r>
          </w:p>
          <w:p w:rsidR="00D0215C" w:rsidRPr="00AC5FF0" w:rsidRDefault="00D0215C" w:rsidP="004B76C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D0215C" w:rsidRPr="00AC5FF0" w:rsidRDefault="0091770F" w:rsidP="004B76C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PACIFIC POWER </w:t>
            </w:r>
            <w:r w:rsidR="00C55210" w:rsidRPr="00AC5FF0">
              <w:rPr>
                <w:rFonts w:ascii="Times New Roman" w:hAnsi="Times New Roman"/>
                <w:color w:val="000000" w:themeColor="text1"/>
                <w:szCs w:val="24"/>
              </w:rPr>
              <w:t>&amp; LIGHT COMPANY</w:t>
            </w:r>
          </w:p>
          <w:p w:rsidR="00D0215C" w:rsidRPr="00AC5FF0" w:rsidRDefault="00D0215C" w:rsidP="004B76C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6E63C3" w:rsidRPr="00AC5FF0" w:rsidRDefault="0091770F" w:rsidP="007E06C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Petition for </w:t>
            </w:r>
            <w:r w:rsidR="007E06C1">
              <w:rPr>
                <w:rFonts w:ascii="Times New Roman" w:hAnsi="Times New Roman"/>
                <w:color w:val="000000" w:themeColor="text1"/>
                <w:szCs w:val="24"/>
              </w:rPr>
              <w:t>a One-Time Exemption from the Provisions of WAC 480-109-200(3)</w:t>
            </w:r>
            <w:r w:rsidR="008E37EC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D0215C" w:rsidRPr="00AC5FF0" w:rsidRDefault="00D0215C" w:rsidP="004B76C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D0215C" w:rsidRPr="00AC5FF0" w:rsidRDefault="00962448" w:rsidP="008E37EC">
            <w:pPr>
              <w:ind w:left="72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DOCKET UE-</w:t>
            </w:r>
            <w:r w:rsidR="00821911">
              <w:rPr>
                <w:rFonts w:ascii="Times New Roman" w:hAnsi="Times New Roman"/>
                <w:color w:val="000000" w:themeColor="text1"/>
                <w:szCs w:val="24"/>
              </w:rPr>
              <w:t>131063</w:t>
            </w:r>
            <w:r w:rsidR="0091770F"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  <w:p w:rsidR="00D0215C" w:rsidRPr="00AC5FF0" w:rsidRDefault="00D0215C" w:rsidP="00FB5DB0">
            <w:pPr>
              <w:ind w:left="72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D0215C" w:rsidRPr="00AC5FF0" w:rsidRDefault="0091770F" w:rsidP="007E06C1">
            <w:pPr>
              <w:ind w:left="72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PACIFICORP’S PETITION FOR </w:t>
            </w:r>
            <w:r w:rsidR="007E06C1">
              <w:rPr>
                <w:rFonts w:ascii="Times New Roman" w:hAnsi="Times New Roman"/>
                <w:color w:val="000000" w:themeColor="text1"/>
                <w:szCs w:val="24"/>
              </w:rPr>
              <w:t>WAIVER</w:t>
            </w:r>
          </w:p>
        </w:tc>
      </w:tr>
    </w:tbl>
    <w:p w:rsidR="00D0215C" w:rsidRPr="00AC5FF0" w:rsidRDefault="00D0215C" w:rsidP="00232A38">
      <w:pPr>
        <w:keepNext/>
        <w:rPr>
          <w:rFonts w:ascii="Times New Roman" w:hAnsi="Times New Roman"/>
          <w:color w:val="000000" w:themeColor="text1"/>
          <w:szCs w:val="24"/>
        </w:rPr>
      </w:pPr>
    </w:p>
    <w:p w:rsidR="00F35F64" w:rsidRPr="00AC5FF0" w:rsidRDefault="00F35F64" w:rsidP="00F35F64">
      <w:pPr>
        <w:pStyle w:val="Heading1"/>
        <w:rPr>
          <w:color w:val="000000" w:themeColor="text1"/>
          <w:szCs w:val="24"/>
        </w:rPr>
      </w:pPr>
      <w:r w:rsidRPr="00AC5FF0">
        <w:rPr>
          <w:color w:val="000000" w:themeColor="text1"/>
          <w:szCs w:val="24"/>
        </w:rPr>
        <w:t>I.</w:t>
      </w:r>
      <w:r w:rsidR="00C55210" w:rsidRPr="00AC5FF0">
        <w:rPr>
          <w:color w:val="000000" w:themeColor="text1"/>
          <w:szCs w:val="24"/>
        </w:rPr>
        <w:tab/>
      </w:r>
      <w:r w:rsidRPr="00AC5FF0">
        <w:rPr>
          <w:color w:val="000000" w:themeColor="text1"/>
          <w:szCs w:val="24"/>
        </w:rPr>
        <w:t>INTRODUCTION</w:t>
      </w:r>
    </w:p>
    <w:p w:rsidR="007B79E5" w:rsidRPr="00AC5FF0" w:rsidRDefault="007B79E5" w:rsidP="00324C07">
      <w:pPr>
        <w:rPr>
          <w:rFonts w:ascii="Times New Roman" w:hAnsi="Times New Roman"/>
          <w:color w:val="000000" w:themeColor="text1"/>
          <w:szCs w:val="24"/>
        </w:rPr>
      </w:pPr>
    </w:p>
    <w:p w:rsidR="00EB143A" w:rsidRPr="00AC5FF0" w:rsidRDefault="00EB143A" w:rsidP="00C5521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="0091770F" w:rsidRPr="00AC5FF0">
        <w:rPr>
          <w:rFonts w:ascii="Times New Roman" w:hAnsi="Times New Roman"/>
          <w:color w:val="000000" w:themeColor="text1"/>
          <w:szCs w:val="24"/>
        </w:rPr>
        <w:t xml:space="preserve">In accordance with </w:t>
      </w:r>
      <w:r w:rsidR="007E06C1">
        <w:rPr>
          <w:rFonts w:ascii="Times New Roman" w:hAnsi="Times New Roman"/>
          <w:color w:val="000000" w:themeColor="text1"/>
          <w:szCs w:val="24"/>
        </w:rPr>
        <w:t xml:space="preserve">WAC 480-07-110(2) and </w:t>
      </w:r>
      <w:smartTag w:uri="urn:schemas-microsoft-com:office:smarttags" w:element="stockticker">
        <w:r w:rsidR="0091770F" w:rsidRPr="00AC5FF0">
          <w:rPr>
            <w:rFonts w:ascii="Times New Roman" w:hAnsi="Times New Roman"/>
            <w:color w:val="000000" w:themeColor="text1"/>
            <w:szCs w:val="24"/>
          </w:rPr>
          <w:t>WAC</w:t>
        </w:r>
      </w:smartTag>
      <w:r w:rsidR="0091770F" w:rsidRPr="00AC5FF0">
        <w:rPr>
          <w:rFonts w:ascii="Times New Roman" w:hAnsi="Times New Roman"/>
          <w:color w:val="000000" w:themeColor="text1"/>
          <w:szCs w:val="24"/>
        </w:rPr>
        <w:t xml:space="preserve"> 480-</w:t>
      </w:r>
      <w:r w:rsidR="00F35F64" w:rsidRPr="00AC5FF0">
        <w:rPr>
          <w:rFonts w:ascii="Times New Roman" w:hAnsi="Times New Roman"/>
          <w:color w:val="000000" w:themeColor="text1"/>
          <w:szCs w:val="24"/>
        </w:rPr>
        <w:t>07-370(b)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, Pacific Power &amp; Light Company</w:t>
      </w:r>
      <w:r w:rsidR="00D063DC">
        <w:rPr>
          <w:rFonts w:ascii="Times New Roman" w:hAnsi="Times New Roman"/>
          <w:color w:val="000000" w:themeColor="text1"/>
          <w:szCs w:val="24"/>
        </w:rPr>
        <w:t xml:space="preserve">, a division of 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PacifiCorp</w:t>
      </w:r>
      <w:r w:rsidR="00821911">
        <w:rPr>
          <w:rFonts w:ascii="Times New Roman" w:hAnsi="Times New Roman"/>
          <w:color w:val="000000" w:themeColor="text1"/>
          <w:szCs w:val="24"/>
        </w:rPr>
        <w:t xml:space="preserve"> (Pacific Power</w:t>
      </w:r>
      <w:r w:rsidR="00821911" w:rsidRPr="00AC5FF0">
        <w:rPr>
          <w:rFonts w:ascii="Times New Roman" w:hAnsi="Times New Roman"/>
          <w:color w:val="000000" w:themeColor="text1"/>
          <w:szCs w:val="24"/>
        </w:rPr>
        <w:t xml:space="preserve"> or Company)</w:t>
      </w:r>
      <w:r w:rsidR="00D063DC">
        <w:rPr>
          <w:rFonts w:ascii="Times New Roman" w:hAnsi="Times New Roman"/>
          <w:color w:val="000000" w:themeColor="text1"/>
          <w:szCs w:val="24"/>
        </w:rPr>
        <w:t xml:space="preserve">, </w:t>
      </w:r>
      <w:r w:rsidR="0091770F" w:rsidRPr="00AC5FF0">
        <w:rPr>
          <w:rFonts w:ascii="Times New Roman" w:hAnsi="Times New Roman"/>
          <w:color w:val="000000" w:themeColor="text1"/>
          <w:szCs w:val="24"/>
        </w:rPr>
        <w:t xml:space="preserve">petitions the Washington Utilities and Transportation Commission (Commission) for </w:t>
      </w:r>
      <w:r w:rsidR="00F35F64" w:rsidRPr="00AC5FF0">
        <w:rPr>
          <w:rFonts w:ascii="Times New Roman" w:hAnsi="Times New Roman"/>
          <w:color w:val="000000" w:themeColor="text1"/>
          <w:szCs w:val="24"/>
        </w:rPr>
        <w:t>an order</w:t>
      </w:r>
      <w:r w:rsidR="00657327">
        <w:rPr>
          <w:rFonts w:ascii="Times New Roman" w:hAnsi="Times New Roman"/>
          <w:color w:val="000000" w:themeColor="text1"/>
          <w:szCs w:val="24"/>
        </w:rPr>
        <w:t xml:space="preserve"> waiving the requirements of WAC 480-109-200(3) and</w:t>
      </w:r>
      <w:r w:rsidR="007E06C1">
        <w:rPr>
          <w:rFonts w:ascii="Times New Roman" w:hAnsi="Times New Roman"/>
          <w:color w:val="000000" w:themeColor="text1"/>
          <w:szCs w:val="24"/>
        </w:rPr>
        <w:t xml:space="preserve"> authorizing the Company to use </w:t>
      </w:r>
      <w:r w:rsidR="002354DD">
        <w:rPr>
          <w:rFonts w:ascii="Times New Roman" w:hAnsi="Times New Roman"/>
          <w:color w:val="000000" w:themeColor="text1"/>
          <w:szCs w:val="24"/>
        </w:rPr>
        <w:t xml:space="preserve">eligible </w:t>
      </w:r>
      <w:r w:rsidR="007E06C1">
        <w:rPr>
          <w:rFonts w:ascii="Times New Roman" w:hAnsi="Times New Roman"/>
          <w:color w:val="000000" w:themeColor="text1"/>
          <w:szCs w:val="24"/>
        </w:rPr>
        <w:t xml:space="preserve">hydropower generation resources that are not registered in </w:t>
      </w:r>
      <w:r w:rsidR="0014438D">
        <w:rPr>
          <w:rFonts w:ascii="Times New Roman" w:hAnsi="Times New Roman"/>
          <w:color w:val="000000" w:themeColor="text1"/>
          <w:szCs w:val="24"/>
        </w:rPr>
        <w:t>the Western Renewable Energy Generation Information System (</w:t>
      </w:r>
      <w:r w:rsidR="007E06C1">
        <w:rPr>
          <w:rFonts w:ascii="Times New Roman" w:hAnsi="Times New Roman"/>
          <w:color w:val="000000" w:themeColor="text1"/>
          <w:szCs w:val="24"/>
        </w:rPr>
        <w:t>WREGIS</w:t>
      </w:r>
      <w:r w:rsidR="0014438D">
        <w:rPr>
          <w:rFonts w:ascii="Times New Roman" w:hAnsi="Times New Roman"/>
          <w:color w:val="000000" w:themeColor="text1"/>
          <w:szCs w:val="24"/>
        </w:rPr>
        <w:t>)</w:t>
      </w:r>
      <w:r w:rsidR="007E06C1">
        <w:rPr>
          <w:rFonts w:ascii="Times New Roman" w:hAnsi="Times New Roman"/>
          <w:color w:val="000000" w:themeColor="text1"/>
          <w:szCs w:val="24"/>
        </w:rPr>
        <w:t xml:space="preserve"> towards compliance with the Company’s 2013 </w:t>
      </w:r>
      <w:r w:rsidR="002354DD">
        <w:rPr>
          <w:rFonts w:ascii="Times New Roman" w:hAnsi="Times New Roman"/>
          <w:color w:val="000000" w:themeColor="text1"/>
          <w:szCs w:val="24"/>
        </w:rPr>
        <w:t xml:space="preserve">Energy Independence Act (EIA) renewable resource target.  </w:t>
      </w:r>
    </w:p>
    <w:p w:rsidR="00EB143A" w:rsidRPr="00AC5FF0" w:rsidRDefault="00EB143A" w:rsidP="00324C07">
      <w:pPr>
        <w:pStyle w:val="Heading1"/>
        <w:keepNext w:val="0"/>
        <w:spacing w:line="480" w:lineRule="auto"/>
        <w:rPr>
          <w:color w:val="000000" w:themeColor="text1"/>
          <w:szCs w:val="24"/>
        </w:rPr>
      </w:pPr>
      <w:r w:rsidRPr="00AC5FF0">
        <w:rPr>
          <w:color w:val="000000" w:themeColor="text1"/>
          <w:szCs w:val="24"/>
        </w:rPr>
        <w:t>II.</w:t>
      </w:r>
      <w:r w:rsidR="00C55210" w:rsidRPr="00AC5FF0">
        <w:rPr>
          <w:color w:val="000000" w:themeColor="text1"/>
          <w:szCs w:val="24"/>
        </w:rPr>
        <w:tab/>
      </w:r>
      <w:r w:rsidRPr="00AC5FF0">
        <w:rPr>
          <w:color w:val="000000" w:themeColor="text1"/>
          <w:szCs w:val="24"/>
        </w:rPr>
        <w:t>BACKGROUND</w:t>
      </w:r>
    </w:p>
    <w:p w:rsidR="004B76C3" w:rsidRPr="00AC5FF0" w:rsidRDefault="0091770F" w:rsidP="00324C07">
      <w:pPr>
        <w:spacing w:line="480" w:lineRule="auto"/>
        <w:ind w:hanging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i/>
          <w:color w:val="000000" w:themeColor="text1"/>
          <w:szCs w:val="24"/>
        </w:rPr>
        <w:t>2.</w:t>
      </w:r>
      <w:r w:rsidRPr="00AC5FF0">
        <w:rPr>
          <w:rFonts w:ascii="Times New Roman" w:hAnsi="Times New Roman"/>
          <w:i/>
          <w:color w:val="000000" w:themeColor="text1"/>
          <w:szCs w:val="24"/>
        </w:rPr>
        <w:tab/>
      </w:r>
      <w:r w:rsidR="00F91408" w:rsidRPr="00AC5FF0">
        <w:rPr>
          <w:rFonts w:ascii="Times New Roman" w:hAnsi="Times New Roman"/>
          <w:color w:val="000000" w:themeColor="text1"/>
          <w:szCs w:val="24"/>
        </w:rPr>
        <w:tab/>
      </w:r>
      <w:r w:rsidR="00D063DC" w:rsidRPr="00AC5FF0">
        <w:rPr>
          <w:rFonts w:ascii="Times New Roman" w:hAnsi="Times New Roman"/>
          <w:color w:val="000000" w:themeColor="text1"/>
          <w:szCs w:val="24"/>
        </w:rPr>
        <w:t>Pacifi</w:t>
      </w:r>
      <w:r w:rsidR="00D063DC">
        <w:rPr>
          <w:rFonts w:ascii="Times New Roman" w:hAnsi="Times New Roman"/>
          <w:color w:val="000000" w:themeColor="text1"/>
          <w:szCs w:val="24"/>
        </w:rPr>
        <w:t>c Power</w:t>
      </w:r>
      <w:r w:rsidR="00D063DC"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is an electric </w:t>
      </w:r>
      <w:r w:rsidR="00C55210" w:rsidRPr="00AC5FF0">
        <w:rPr>
          <w:rFonts w:ascii="Times New Roman" w:hAnsi="Times New Roman"/>
          <w:color w:val="000000" w:themeColor="text1"/>
          <w:szCs w:val="24"/>
        </w:rPr>
        <w:t>utility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 and public service company doing business in the state of Washington under RCW 80.04.010</w:t>
      </w:r>
      <w:r w:rsidR="008E37EC">
        <w:rPr>
          <w:rFonts w:ascii="Times New Roman" w:hAnsi="Times New Roman"/>
          <w:color w:val="000000" w:themeColor="text1"/>
          <w:szCs w:val="24"/>
        </w:rPr>
        <w:t>,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 and its public utility operations, retail rates, service, and accounting practices</w:t>
      </w:r>
      <w:r w:rsidR="008E37EC">
        <w:rPr>
          <w:rFonts w:ascii="Times New Roman" w:hAnsi="Times New Roman"/>
          <w:color w:val="000000" w:themeColor="text1"/>
          <w:szCs w:val="24"/>
        </w:rPr>
        <w:t xml:space="preserve"> are</w:t>
      </w:r>
      <w:r w:rsidR="00E36FD7">
        <w:rPr>
          <w:rFonts w:ascii="Times New Roman" w:hAnsi="Times New Roman"/>
          <w:color w:val="000000" w:themeColor="text1"/>
          <w:szCs w:val="24"/>
        </w:rPr>
        <w:t xml:space="preserve"> subject to the Commission’s jurisdiction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.  </w:t>
      </w:r>
      <w:r w:rsidR="00D063DC">
        <w:rPr>
          <w:rFonts w:ascii="Times New Roman" w:hAnsi="Times New Roman"/>
          <w:color w:val="000000" w:themeColor="text1"/>
          <w:szCs w:val="24"/>
        </w:rPr>
        <w:t>PacifiCorp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 also provides retail electricity service under the name Pacific Power in Oregon and California and under the name Rocky Mountain Power in </w:t>
      </w:r>
      <w:r w:rsidR="00E36FD7">
        <w:rPr>
          <w:rFonts w:ascii="Times New Roman" w:hAnsi="Times New Roman"/>
          <w:color w:val="000000" w:themeColor="text1"/>
          <w:szCs w:val="24"/>
        </w:rPr>
        <w:t>Idaho, Utah, and Wyoming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.  </w:t>
      </w:r>
      <w:r w:rsidR="00D063DC">
        <w:rPr>
          <w:rFonts w:ascii="Times New Roman" w:hAnsi="Times New Roman"/>
          <w:color w:val="000000" w:themeColor="text1"/>
          <w:szCs w:val="24"/>
        </w:rPr>
        <w:t>The Company</w:t>
      </w:r>
      <w:r w:rsidR="00D063DC" w:rsidRPr="00AC5FF0">
        <w:rPr>
          <w:rFonts w:ascii="Times New Roman" w:hAnsi="Times New Roman"/>
          <w:color w:val="000000" w:themeColor="text1"/>
          <w:szCs w:val="24"/>
        </w:rPr>
        <w:t xml:space="preserve">’s </w:t>
      </w:r>
      <w:r w:rsidRPr="00AC5FF0">
        <w:rPr>
          <w:rFonts w:ascii="Times New Roman" w:hAnsi="Times New Roman"/>
          <w:color w:val="000000" w:themeColor="text1"/>
          <w:szCs w:val="24"/>
        </w:rPr>
        <w:t>principal place of business is 825</w:t>
      </w:r>
      <w:r w:rsidR="002D3B53" w:rsidRPr="00AC5FF0">
        <w:rPr>
          <w:rFonts w:ascii="Times New Roman" w:hAnsi="Times New Roman"/>
          <w:color w:val="000000" w:themeColor="text1"/>
          <w:szCs w:val="24"/>
        </w:rPr>
        <w:t> </w:t>
      </w:r>
      <w:r w:rsidRPr="00AC5FF0">
        <w:rPr>
          <w:rFonts w:ascii="Times New Roman" w:hAnsi="Times New Roman"/>
          <w:color w:val="000000" w:themeColor="text1"/>
          <w:szCs w:val="24"/>
        </w:rPr>
        <w:t>NE</w:t>
      </w:r>
      <w:r w:rsidR="002D3B53" w:rsidRPr="00AC5FF0">
        <w:rPr>
          <w:rFonts w:ascii="Times New Roman" w:hAnsi="Times New Roman"/>
          <w:color w:val="000000" w:themeColor="text1"/>
          <w:szCs w:val="24"/>
        </w:rPr>
        <w:t> </w:t>
      </w:r>
      <w:r w:rsidRPr="00AC5FF0">
        <w:rPr>
          <w:rFonts w:ascii="Times New Roman" w:hAnsi="Times New Roman"/>
          <w:color w:val="000000" w:themeColor="text1"/>
          <w:szCs w:val="24"/>
        </w:rPr>
        <w:t>Multnomah Street, Suite 2000, Portland, Oregon, 97232.</w:t>
      </w:r>
    </w:p>
    <w:p w:rsidR="004B76C3" w:rsidRPr="00AC5FF0" w:rsidRDefault="0091770F" w:rsidP="00324C07">
      <w:pPr>
        <w:keepNext/>
        <w:keepLines/>
        <w:ind w:hanging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i/>
          <w:color w:val="000000" w:themeColor="text1"/>
          <w:szCs w:val="24"/>
        </w:rPr>
        <w:lastRenderedPageBreak/>
        <w:t>3.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="00D063DC" w:rsidRPr="00AC5FF0">
        <w:rPr>
          <w:rFonts w:ascii="Times New Roman" w:hAnsi="Times New Roman"/>
          <w:color w:val="000000" w:themeColor="text1"/>
          <w:szCs w:val="24"/>
        </w:rPr>
        <w:t>Pacifi</w:t>
      </w:r>
      <w:r w:rsidR="00D063DC">
        <w:rPr>
          <w:rFonts w:ascii="Times New Roman" w:hAnsi="Times New Roman"/>
          <w:color w:val="000000" w:themeColor="text1"/>
          <w:szCs w:val="24"/>
        </w:rPr>
        <w:t>c Power</w:t>
      </w:r>
      <w:r w:rsidR="00D063DC" w:rsidRPr="00AC5FF0">
        <w:rPr>
          <w:rFonts w:ascii="Times New Roman" w:hAnsi="Times New Roman"/>
          <w:color w:val="000000" w:themeColor="text1"/>
          <w:szCs w:val="24"/>
        </w:rPr>
        <w:t xml:space="preserve">’s </w:t>
      </w:r>
      <w:r w:rsidR="004B76C3" w:rsidRPr="00AC5FF0">
        <w:rPr>
          <w:rFonts w:ascii="Times New Roman" w:hAnsi="Times New Roman"/>
          <w:color w:val="000000" w:themeColor="text1"/>
          <w:szCs w:val="24"/>
        </w:rPr>
        <w:t>name and address:</w:t>
      </w:r>
    </w:p>
    <w:p w:rsidR="004B76C3" w:rsidRPr="00AC5FF0" w:rsidRDefault="0091770F" w:rsidP="00324C07">
      <w:pPr>
        <w:keepNext/>
        <w:keepLines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</w:p>
    <w:tbl>
      <w:tblPr>
        <w:tblStyle w:val="TableGrid"/>
        <w:tblW w:w="837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3942"/>
      </w:tblGrid>
      <w:tr w:rsidR="00324C07" w:rsidRPr="00AC5FF0" w:rsidTr="0031150D">
        <w:tc>
          <w:tcPr>
            <w:tcW w:w="4428" w:type="dxa"/>
          </w:tcPr>
          <w:p w:rsidR="004B76C3" w:rsidRPr="00AC5FF0" w:rsidRDefault="00D063DC" w:rsidP="0014438D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Pacifi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c Power</w:t>
            </w: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91770F" w:rsidRPr="00AC5FF0">
              <w:rPr>
                <w:rFonts w:ascii="Times New Roman" w:hAnsi="Times New Roman"/>
                <w:color w:val="000000" w:themeColor="text1"/>
                <w:szCs w:val="24"/>
              </w:rPr>
              <w:t>Washington Dockets</w:t>
            </w:r>
          </w:p>
          <w:p w:rsidR="004B76C3" w:rsidRPr="00AC5FF0" w:rsidRDefault="0091770F" w:rsidP="007F188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825 NE Multnomah Street, Suite 2000</w:t>
            </w:r>
          </w:p>
          <w:p w:rsidR="004B76C3" w:rsidRPr="00AC5FF0" w:rsidRDefault="0091770F" w:rsidP="009F4274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4B76C3" w:rsidRPr="00AC5FF0" w:rsidRDefault="000D55D0" w:rsidP="00821911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hyperlink r:id="rId8" w:history="1">
              <w:r w:rsidR="00821911" w:rsidRPr="00CF5821">
                <w:rPr>
                  <w:rStyle w:val="Hyperlink"/>
                  <w:rFonts w:ascii="Times New Roman" w:hAnsi="Times New Roman"/>
                  <w:szCs w:val="24"/>
                </w:rPr>
                <w:t>washingtondockets@pacificorp.com</w:t>
              </w:r>
            </w:hyperlink>
            <w:r w:rsidR="00AC74BD"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942" w:type="dxa"/>
          </w:tcPr>
          <w:p w:rsidR="004B76C3" w:rsidRPr="00AC5FF0" w:rsidRDefault="00022D5F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Etta Lockey</w:t>
            </w:r>
          </w:p>
          <w:p w:rsidR="004B76C3" w:rsidRPr="00AC5FF0" w:rsidRDefault="002354DD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Senior</w:t>
            </w: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91770F" w:rsidRPr="00AC5FF0">
              <w:rPr>
                <w:rFonts w:ascii="Times New Roman" w:hAnsi="Times New Roman"/>
                <w:color w:val="000000" w:themeColor="text1"/>
                <w:szCs w:val="24"/>
              </w:rPr>
              <w:t>Counsel</w:t>
            </w:r>
          </w:p>
          <w:p w:rsidR="004B76C3" w:rsidRPr="00AC5FF0" w:rsidRDefault="0091770F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825 NE Multnomah Street, Suite 1800</w:t>
            </w:r>
          </w:p>
          <w:p w:rsidR="004B76C3" w:rsidRPr="00AC5FF0" w:rsidRDefault="0091770F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4B76C3" w:rsidRDefault="0091770F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Phone: (503) 813-</w:t>
            </w:r>
            <w:r w:rsidR="00D063DC">
              <w:rPr>
                <w:rFonts w:ascii="Times New Roman" w:hAnsi="Times New Roman"/>
                <w:color w:val="000000" w:themeColor="text1"/>
                <w:szCs w:val="24"/>
              </w:rPr>
              <w:t>5701</w:t>
            </w:r>
          </w:p>
          <w:p w:rsidR="00D063DC" w:rsidRPr="00AC5FF0" w:rsidRDefault="000D55D0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hyperlink r:id="rId9" w:history="1">
              <w:r w:rsidR="00821911" w:rsidRPr="00CF5821">
                <w:rPr>
                  <w:rStyle w:val="Hyperlink"/>
                  <w:rFonts w:ascii="Times New Roman" w:hAnsi="Times New Roman"/>
                  <w:szCs w:val="24"/>
                </w:rPr>
                <w:t>etta.lockey@pacificorp.com</w:t>
              </w:r>
            </w:hyperlink>
            <w:r w:rsidR="00821911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  <w:p w:rsidR="00CA6288" w:rsidRPr="00AC5FF0" w:rsidRDefault="00CA6288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CA6288" w:rsidRPr="00AC5FF0" w:rsidRDefault="0091770F" w:rsidP="00E36FD7">
      <w:pPr>
        <w:spacing w:before="240" w:line="480" w:lineRule="auto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 xml:space="preserve">In addition, </w:t>
      </w:r>
      <w:r w:rsidR="00821911">
        <w:rPr>
          <w:rFonts w:ascii="Times New Roman" w:hAnsi="Times New Roman"/>
          <w:color w:val="000000" w:themeColor="text1"/>
          <w:szCs w:val="24"/>
        </w:rPr>
        <w:t>the Company</w:t>
      </w:r>
      <w:r w:rsidR="00F91408"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Pr="00AC5FF0">
        <w:rPr>
          <w:rFonts w:ascii="Times New Roman" w:hAnsi="Times New Roman"/>
          <w:color w:val="000000" w:themeColor="text1"/>
          <w:szCs w:val="24"/>
        </w:rPr>
        <w:t>respectfully requests that all data requests be addressed to:</w:t>
      </w:r>
    </w:p>
    <w:p w:rsidR="004B76C3" w:rsidRPr="00AC5FF0" w:rsidRDefault="0091770F" w:rsidP="00C55210">
      <w:pPr>
        <w:tabs>
          <w:tab w:val="left" w:pos="3600"/>
        </w:tabs>
        <w:spacing w:line="480" w:lineRule="auto"/>
        <w:ind w:firstLine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By e-mail (preferred)</w:t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hyperlink r:id="rId10" w:history="1">
        <w:r w:rsidR="00AC74BD" w:rsidRPr="00AC5FF0">
          <w:rPr>
            <w:rStyle w:val="Hyperlink"/>
            <w:rFonts w:ascii="Times New Roman" w:hAnsi="Times New Roman"/>
            <w:szCs w:val="24"/>
          </w:rPr>
          <w:t>datarequest@pacificorp.com</w:t>
        </w:r>
      </w:hyperlink>
      <w:r w:rsidR="00AC74BD" w:rsidRPr="00AC5FF0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4B76C3" w:rsidRPr="00AC5FF0" w:rsidRDefault="0091770F" w:rsidP="00C55210">
      <w:pPr>
        <w:tabs>
          <w:tab w:val="left" w:pos="3600"/>
        </w:tabs>
        <w:ind w:firstLine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By regular mail</w:t>
      </w:r>
      <w:r w:rsidRPr="00AC5FF0">
        <w:rPr>
          <w:rFonts w:ascii="Times New Roman" w:hAnsi="Times New Roman"/>
          <w:color w:val="000000" w:themeColor="text1"/>
          <w:szCs w:val="24"/>
        </w:rPr>
        <w:tab/>
        <w:t>Data Request Response Center</w:t>
      </w:r>
    </w:p>
    <w:p w:rsidR="004B76C3" w:rsidRPr="00AC5FF0" w:rsidRDefault="0091770F" w:rsidP="00C55210">
      <w:pPr>
        <w:tabs>
          <w:tab w:val="left" w:pos="3600"/>
        </w:tabs>
        <w:ind w:left="360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PacifiCorp</w:t>
      </w:r>
    </w:p>
    <w:p w:rsidR="004B76C3" w:rsidRPr="00AC5FF0" w:rsidRDefault="0091770F" w:rsidP="00C55210">
      <w:pPr>
        <w:tabs>
          <w:tab w:val="left" w:pos="3600"/>
        </w:tabs>
        <w:ind w:left="360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825 NE Multnomah</w:t>
      </w:r>
      <w:r w:rsidR="00AC74BD" w:rsidRPr="00AC5FF0">
        <w:rPr>
          <w:rFonts w:ascii="Times New Roman" w:hAnsi="Times New Roman"/>
          <w:color w:val="000000" w:themeColor="text1"/>
          <w:szCs w:val="24"/>
        </w:rPr>
        <w:t xml:space="preserve"> Street</w:t>
      </w:r>
      <w:r w:rsidRPr="00AC5FF0">
        <w:rPr>
          <w:rFonts w:ascii="Times New Roman" w:hAnsi="Times New Roman"/>
          <w:color w:val="000000" w:themeColor="text1"/>
          <w:szCs w:val="24"/>
        </w:rPr>
        <w:t>, Suite 2000</w:t>
      </w:r>
    </w:p>
    <w:p w:rsidR="004B76C3" w:rsidRPr="00AC5FF0" w:rsidRDefault="0091770F" w:rsidP="00C55210">
      <w:pPr>
        <w:tabs>
          <w:tab w:val="left" w:pos="3600"/>
        </w:tabs>
        <w:spacing w:after="240" w:line="240" w:lineRule="atLeast"/>
        <w:ind w:left="360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Portland, OR  97232</w:t>
      </w:r>
    </w:p>
    <w:p w:rsidR="00CA6288" w:rsidRPr="00AC5FF0" w:rsidRDefault="0091770F" w:rsidP="00E36FD7">
      <w:pPr>
        <w:spacing w:line="480" w:lineRule="auto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Informal inquir</w:t>
      </w:r>
      <w:r w:rsidR="00F91408" w:rsidRPr="00AC5FF0">
        <w:rPr>
          <w:rFonts w:ascii="Times New Roman" w:hAnsi="Times New Roman"/>
          <w:color w:val="000000" w:themeColor="text1"/>
          <w:szCs w:val="24"/>
        </w:rPr>
        <w:t>i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es may be directed to </w:t>
      </w:r>
      <w:r w:rsidR="00821911">
        <w:rPr>
          <w:rFonts w:ascii="Times New Roman" w:hAnsi="Times New Roman"/>
          <w:color w:val="000000" w:themeColor="text1"/>
          <w:szCs w:val="24"/>
        </w:rPr>
        <w:t>Ariel Son, Manager, Regulatory Projects</w:t>
      </w:r>
      <w:r w:rsidR="00AC74BD" w:rsidRPr="00AC5FF0">
        <w:rPr>
          <w:rFonts w:ascii="Times New Roman" w:hAnsi="Times New Roman"/>
          <w:color w:val="000000" w:themeColor="text1"/>
          <w:szCs w:val="24"/>
        </w:rPr>
        <w:t>, at</w:t>
      </w:r>
      <w:r w:rsidR="00821911">
        <w:rPr>
          <w:rFonts w:ascii="Times New Roman" w:hAnsi="Times New Roman"/>
          <w:color w:val="000000" w:themeColor="text1"/>
          <w:szCs w:val="24"/>
        </w:rPr>
        <w:t xml:space="preserve"> (503) </w:t>
      </w:r>
      <w:r w:rsidR="00EB143A" w:rsidRPr="00AC5FF0">
        <w:rPr>
          <w:rFonts w:ascii="Times New Roman" w:hAnsi="Times New Roman"/>
          <w:color w:val="000000" w:themeColor="text1"/>
          <w:szCs w:val="24"/>
        </w:rPr>
        <w:t>813</w:t>
      </w:r>
      <w:r w:rsidR="00D14390">
        <w:rPr>
          <w:rFonts w:ascii="Times New Roman" w:hAnsi="Times New Roman"/>
          <w:color w:val="000000" w:themeColor="text1"/>
          <w:szCs w:val="24"/>
        </w:rPr>
        <w:noBreakHyphen/>
      </w:r>
      <w:r w:rsidR="00821911">
        <w:rPr>
          <w:rFonts w:ascii="Times New Roman" w:hAnsi="Times New Roman"/>
          <w:color w:val="000000" w:themeColor="text1"/>
          <w:szCs w:val="24"/>
        </w:rPr>
        <w:t>5410</w:t>
      </w:r>
      <w:r w:rsidRPr="00AC5FF0">
        <w:rPr>
          <w:rFonts w:ascii="Times New Roman" w:hAnsi="Times New Roman"/>
          <w:color w:val="000000" w:themeColor="text1"/>
          <w:szCs w:val="24"/>
        </w:rPr>
        <w:t>.</w:t>
      </w:r>
    </w:p>
    <w:p w:rsidR="00EB143A" w:rsidRPr="00AC5FF0" w:rsidRDefault="00EB143A" w:rsidP="00563246">
      <w:pPr>
        <w:pStyle w:val="Heading1"/>
        <w:rPr>
          <w:color w:val="000000" w:themeColor="text1"/>
          <w:szCs w:val="24"/>
        </w:rPr>
      </w:pPr>
      <w:r w:rsidRPr="00AC5FF0">
        <w:rPr>
          <w:color w:val="000000" w:themeColor="text1"/>
          <w:szCs w:val="24"/>
        </w:rPr>
        <w:t>III.</w:t>
      </w:r>
      <w:r w:rsidR="00C55210" w:rsidRPr="00AC5FF0">
        <w:rPr>
          <w:color w:val="000000" w:themeColor="text1"/>
          <w:szCs w:val="24"/>
        </w:rPr>
        <w:tab/>
      </w:r>
      <w:r w:rsidRPr="00AC5FF0">
        <w:rPr>
          <w:color w:val="000000" w:themeColor="text1"/>
          <w:szCs w:val="24"/>
        </w:rPr>
        <w:t>THE BASIS FOR</w:t>
      </w:r>
      <w:r w:rsidR="00563246" w:rsidRPr="00AC5FF0">
        <w:rPr>
          <w:color w:val="000000" w:themeColor="text1"/>
          <w:szCs w:val="24"/>
        </w:rPr>
        <w:t xml:space="preserve"> </w:t>
      </w:r>
      <w:r w:rsidR="002354DD">
        <w:rPr>
          <w:color w:val="000000" w:themeColor="text1"/>
          <w:szCs w:val="24"/>
        </w:rPr>
        <w:t xml:space="preserve">A </w:t>
      </w:r>
      <w:r w:rsidR="00657327">
        <w:rPr>
          <w:color w:val="000000" w:themeColor="text1"/>
          <w:szCs w:val="24"/>
        </w:rPr>
        <w:t>WAIVER</w:t>
      </w:r>
      <w:r w:rsidR="002354DD">
        <w:rPr>
          <w:color w:val="000000" w:themeColor="text1"/>
          <w:szCs w:val="24"/>
        </w:rPr>
        <w:t xml:space="preserve"> </w:t>
      </w:r>
    </w:p>
    <w:p w:rsidR="002354DD" w:rsidRPr="00657327" w:rsidRDefault="002354DD" w:rsidP="00925748">
      <w:pPr>
        <w:pStyle w:val="Heading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63246" w:rsidRPr="00AC5FF0" w:rsidRDefault="00563246" w:rsidP="00563246">
      <w:pPr>
        <w:rPr>
          <w:rFonts w:ascii="Times New Roman" w:hAnsi="Times New Roman"/>
          <w:color w:val="000000" w:themeColor="text1"/>
          <w:szCs w:val="24"/>
        </w:rPr>
      </w:pPr>
    </w:p>
    <w:p w:rsidR="00ED5BEC" w:rsidRDefault="00F91408" w:rsidP="00ED5BEC">
      <w:pPr>
        <w:spacing w:line="480" w:lineRule="auto"/>
        <w:ind w:hanging="720"/>
        <w:rPr>
          <w:rFonts w:ascii="Times New Roman" w:hAnsi="Times New Roman"/>
          <w:color w:val="000000" w:themeColor="text1"/>
          <w:szCs w:val="24"/>
        </w:rPr>
      </w:pPr>
      <w:r w:rsidRPr="002354DD">
        <w:rPr>
          <w:rFonts w:ascii="Times New Roman" w:hAnsi="Times New Roman"/>
          <w:i/>
          <w:color w:val="000000" w:themeColor="text1"/>
          <w:szCs w:val="24"/>
        </w:rPr>
        <w:t>4</w:t>
      </w:r>
      <w:r w:rsidR="0014438D">
        <w:rPr>
          <w:rFonts w:ascii="Times New Roman" w:hAnsi="Times New Roman"/>
          <w:i/>
          <w:color w:val="000000" w:themeColor="text1"/>
          <w:szCs w:val="24"/>
        </w:rPr>
        <w:t>.</w:t>
      </w:r>
      <w:r w:rsidR="00ED5BEC">
        <w:rPr>
          <w:rFonts w:ascii="Times New Roman" w:hAnsi="Times New Roman"/>
          <w:color w:val="000000" w:themeColor="text1"/>
          <w:szCs w:val="24"/>
        </w:rPr>
        <w:tab/>
      </w:r>
      <w:r w:rsidR="00657327">
        <w:rPr>
          <w:rFonts w:ascii="Times New Roman" w:hAnsi="Times New Roman"/>
          <w:color w:val="000000" w:themeColor="text1"/>
          <w:szCs w:val="24"/>
        </w:rPr>
        <w:tab/>
      </w:r>
      <w:r w:rsidR="002354DD" w:rsidRPr="00657327">
        <w:rPr>
          <w:rFonts w:ascii="Times New Roman" w:hAnsi="Times New Roman"/>
          <w:color w:val="000000" w:themeColor="text1"/>
          <w:szCs w:val="24"/>
        </w:rPr>
        <w:t xml:space="preserve">In General Order R-578, the Commission adopted </w:t>
      </w:r>
      <w:r w:rsidR="002354DD" w:rsidRPr="002354DD">
        <w:rPr>
          <w:rFonts w:ascii="Times New Roman" w:hAnsi="Times New Roman"/>
          <w:color w:val="000000" w:themeColor="text1"/>
          <w:szCs w:val="24"/>
        </w:rPr>
        <w:t>new rule</w:t>
      </w:r>
      <w:r w:rsidR="002354DD" w:rsidRPr="00657327">
        <w:rPr>
          <w:rFonts w:ascii="Times New Roman" w:hAnsi="Times New Roman"/>
          <w:color w:val="000000" w:themeColor="text1"/>
          <w:szCs w:val="24"/>
        </w:rPr>
        <w:t xml:space="preserve"> </w:t>
      </w:r>
      <w:r w:rsidR="002354DD">
        <w:rPr>
          <w:rFonts w:ascii="Times New Roman" w:hAnsi="Times New Roman"/>
          <w:color w:val="000000" w:themeColor="text1"/>
          <w:szCs w:val="24"/>
        </w:rPr>
        <w:t xml:space="preserve">language </w:t>
      </w:r>
      <w:r w:rsidR="002354DD" w:rsidRPr="00657327">
        <w:rPr>
          <w:rFonts w:ascii="Times New Roman" w:hAnsi="Times New Roman"/>
          <w:color w:val="000000" w:themeColor="text1"/>
          <w:szCs w:val="24"/>
        </w:rPr>
        <w:t>regarding registration in WREGIS of facilities used to comply with Washington’s EIA.</w:t>
      </w:r>
      <w:r w:rsidR="002354DD">
        <w:rPr>
          <w:rFonts w:ascii="Times New Roman" w:hAnsi="Times New Roman"/>
          <w:color w:val="000000" w:themeColor="text1"/>
          <w:szCs w:val="24"/>
        </w:rPr>
        <w:t xml:space="preserve">  Specifically, WAC 480-109-200(3) now requires that “[a]ll eligible hydropower generation and all renewable energy credits used for utility compliance with the renewable resource target must be registered in WREGIS, regardless of facility ownership.”</w:t>
      </w:r>
      <w:r w:rsidR="00ED5BEC">
        <w:rPr>
          <w:rFonts w:ascii="Times New Roman" w:hAnsi="Times New Roman"/>
          <w:color w:val="000000" w:themeColor="text1"/>
          <w:szCs w:val="24"/>
        </w:rPr>
        <w:t xml:space="preserve">  In the order adopting the new rule language, the Commission stated that a utility unable to comply with the WREGIS registration requirement when submitting a 2013 compliance report “may provide documentation and request a one-time exemption from [WAC 480-109-200(3)].”</w:t>
      </w:r>
      <w:r w:rsidR="00ED5BEC">
        <w:rPr>
          <w:rStyle w:val="FootnoteReference"/>
          <w:rFonts w:ascii="Times New Roman" w:hAnsi="Times New Roman"/>
          <w:color w:val="000000" w:themeColor="text1"/>
          <w:szCs w:val="24"/>
        </w:rPr>
        <w:footnoteReference w:id="1"/>
      </w:r>
      <w:r w:rsidR="00ED5BEC">
        <w:rPr>
          <w:rFonts w:ascii="Times New Roman" w:hAnsi="Times New Roman"/>
          <w:color w:val="000000" w:themeColor="text1"/>
          <w:szCs w:val="24"/>
        </w:rPr>
        <w:t xml:space="preserve">  </w:t>
      </w:r>
    </w:p>
    <w:p w:rsidR="00ED5BEC" w:rsidRDefault="00821911" w:rsidP="00657327">
      <w:pPr>
        <w:spacing w:line="480" w:lineRule="auto"/>
        <w:ind w:firstLine="7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lastRenderedPageBreak/>
        <w:t>Pacific Power</w:t>
      </w:r>
      <w:r w:rsidR="00ED5BEC">
        <w:rPr>
          <w:rFonts w:ascii="Times New Roman" w:hAnsi="Times New Roman"/>
          <w:color w:val="000000" w:themeColor="text1"/>
          <w:szCs w:val="24"/>
        </w:rPr>
        <w:t xml:space="preserve"> is unable to comply with the WREGIS registration requirement set forth in WAC 480-109-200(3).  In </w:t>
      </w:r>
      <w:r>
        <w:rPr>
          <w:rFonts w:ascii="Times New Roman" w:hAnsi="Times New Roman"/>
          <w:color w:val="000000" w:themeColor="text1"/>
          <w:szCs w:val="24"/>
        </w:rPr>
        <w:t>the Company</w:t>
      </w:r>
      <w:r w:rsidR="00ED5BEC">
        <w:rPr>
          <w:rFonts w:ascii="Times New Roman" w:hAnsi="Times New Roman"/>
          <w:color w:val="000000" w:themeColor="text1"/>
          <w:szCs w:val="24"/>
        </w:rPr>
        <w:t xml:space="preserve">’s 2013 Washington Energy Independence Act Final Renewable Compliance Report, filed concurrently with this petition, the Company reports the use of the Wanapum Dam hydro facility towards compliance with </w:t>
      </w:r>
      <w:r>
        <w:rPr>
          <w:rFonts w:ascii="Times New Roman" w:hAnsi="Times New Roman"/>
          <w:color w:val="000000" w:themeColor="text1"/>
          <w:szCs w:val="24"/>
        </w:rPr>
        <w:t>Pacific Power’s</w:t>
      </w:r>
      <w:r w:rsidR="00ED5BEC">
        <w:rPr>
          <w:rFonts w:ascii="Times New Roman" w:hAnsi="Times New Roman"/>
          <w:color w:val="000000" w:themeColor="text1"/>
          <w:szCs w:val="24"/>
        </w:rPr>
        <w:t xml:space="preserve"> renewable resource target.  </w:t>
      </w:r>
      <w:r w:rsidR="00657327">
        <w:rPr>
          <w:rFonts w:ascii="Times New Roman" w:hAnsi="Times New Roman"/>
          <w:color w:val="000000" w:themeColor="text1"/>
          <w:szCs w:val="24"/>
        </w:rPr>
        <w:t>A</w:t>
      </w:r>
      <w:r w:rsidR="00ED5BEC">
        <w:rPr>
          <w:rFonts w:ascii="Times New Roman" w:hAnsi="Times New Roman"/>
          <w:color w:val="000000" w:themeColor="text1"/>
          <w:szCs w:val="24"/>
        </w:rPr>
        <w:t xml:space="preserve">t this time, </w:t>
      </w:r>
      <w:r w:rsidR="00657327">
        <w:rPr>
          <w:rFonts w:ascii="Times New Roman" w:hAnsi="Times New Roman"/>
          <w:color w:val="000000" w:themeColor="text1"/>
          <w:szCs w:val="24"/>
        </w:rPr>
        <w:t xml:space="preserve">however, </w:t>
      </w:r>
      <w:r w:rsidR="00ED5BEC">
        <w:rPr>
          <w:rFonts w:ascii="Times New Roman" w:hAnsi="Times New Roman"/>
          <w:color w:val="000000" w:themeColor="text1"/>
          <w:szCs w:val="24"/>
        </w:rPr>
        <w:t xml:space="preserve">Grant </w:t>
      </w:r>
      <w:r w:rsidR="0014438D">
        <w:rPr>
          <w:rFonts w:ascii="Times New Roman" w:hAnsi="Times New Roman"/>
          <w:color w:val="000000" w:themeColor="text1"/>
          <w:szCs w:val="24"/>
        </w:rPr>
        <w:t xml:space="preserve">County </w:t>
      </w:r>
      <w:r w:rsidR="00ED5BEC">
        <w:rPr>
          <w:rFonts w:ascii="Times New Roman" w:hAnsi="Times New Roman"/>
          <w:color w:val="000000" w:themeColor="text1"/>
          <w:szCs w:val="24"/>
        </w:rPr>
        <w:t xml:space="preserve">Public Utility District (Grant PUD) has not registered the Wanapum Dam facility in WREGIS.  The Company respectfully requests the Commission provide a one-time exemption from the requirements of WAC 480-109-200(3) and allow </w:t>
      </w:r>
      <w:r>
        <w:rPr>
          <w:rFonts w:ascii="Times New Roman" w:hAnsi="Times New Roman"/>
          <w:color w:val="000000" w:themeColor="text1"/>
          <w:szCs w:val="24"/>
        </w:rPr>
        <w:t>Pacific Power</w:t>
      </w:r>
      <w:r w:rsidR="00ED5BEC">
        <w:rPr>
          <w:rFonts w:ascii="Times New Roman" w:hAnsi="Times New Roman"/>
          <w:color w:val="000000" w:themeColor="text1"/>
          <w:szCs w:val="24"/>
        </w:rPr>
        <w:t xml:space="preserve"> to use the output from the Wanapum Dam facility towards its renewable resource target for 2013.  The Company continues to work with Grant PUD to ensure that the Wanapum Dam </w:t>
      </w:r>
      <w:r w:rsidR="007C5630">
        <w:rPr>
          <w:rFonts w:ascii="Times New Roman" w:hAnsi="Times New Roman"/>
          <w:color w:val="000000" w:themeColor="text1"/>
          <w:szCs w:val="24"/>
        </w:rPr>
        <w:t xml:space="preserve">and Priest Rapids Dam </w:t>
      </w:r>
      <w:r w:rsidR="00ED5BEC">
        <w:rPr>
          <w:rFonts w:ascii="Times New Roman" w:hAnsi="Times New Roman"/>
          <w:color w:val="000000" w:themeColor="text1"/>
          <w:szCs w:val="24"/>
        </w:rPr>
        <w:t>facilit</w:t>
      </w:r>
      <w:r w:rsidR="007C5630">
        <w:rPr>
          <w:rFonts w:ascii="Times New Roman" w:hAnsi="Times New Roman"/>
          <w:color w:val="000000" w:themeColor="text1"/>
          <w:szCs w:val="24"/>
        </w:rPr>
        <w:t>ies are</w:t>
      </w:r>
      <w:r w:rsidR="00ED5BEC">
        <w:rPr>
          <w:rFonts w:ascii="Times New Roman" w:hAnsi="Times New Roman"/>
          <w:color w:val="000000" w:themeColor="text1"/>
          <w:szCs w:val="24"/>
        </w:rPr>
        <w:t xml:space="preserve"> registered in WREGIS before the Company submits its final renewable compliance report for 2014.   </w:t>
      </w:r>
    </w:p>
    <w:p w:rsidR="0091597D" w:rsidRDefault="00D23226" w:rsidP="00657327">
      <w:pPr>
        <w:spacing w:line="480" w:lineRule="auto"/>
        <w:ind w:firstLine="7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Consistent with the Commission’s directive in General Order R-578, the Company provides the following </w:t>
      </w:r>
      <w:r w:rsidR="005E74EC">
        <w:rPr>
          <w:rFonts w:ascii="Times New Roman" w:hAnsi="Times New Roman"/>
          <w:color w:val="000000" w:themeColor="text1"/>
          <w:szCs w:val="24"/>
        </w:rPr>
        <w:t xml:space="preserve">confidential </w:t>
      </w:r>
      <w:r>
        <w:rPr>
          <w:rFonts w:ascii="Times New Roman" w:hAnsi="Times New Roman"/>
          <w:color w:val="000000" w:themeColor="text1"/>
          <w:szCs w:val="24"/>
        </w:rPr>
        <w:t>documentation associated with the output of the Wanapum Dam</w:t>
      </w:r>
      <w:r w:rsidR="0091597D">
        <w:rPr>
          <w:rFonts w:ascii="Times New Roman" w:hAnsi="Times New Roman"/>
          <w:color w:val="000000" w:themeColor="text1"/>
          <w:szCs w:val="24"/>
        </w:rPr>
        <w:t xml:space="preserve">: </w:t>
      </w:r>
    </w:p>
    <w:p w:rsidR="0091597D" w:rsidRPr="0031150D" w:rsidRDefault="0091597D" w:rsidP="0031150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color w:val="000000" w:themeColor="text1"/>
          <w:szCs w:val="24"/>
        </w:rPr>
      </w:pPr>
      <w:r w:rsidRPr="0031150D">
        <w:rPr>
          <w:rFonts w:ascii="Times New Roman" w:hAnsi="Times New Roman"/>
          <w:color w:val="000000" w:themeColor="text1"/>
          <w:szCs w:val="24"/>
        </w:rPr>
        <w:t>Attachment A:  Letter outlining contract attributes for Wanapum Dam</w:t>
      </w:r>
      <w:r w:rsidR="00F87224" w:rsidRPr="0031150D">
        <w:rPr>
          <w:rFonts w:ascii="Times New Roman" w:hAnsi="Times New Roman"/>
          <w:color w:val="000000" w:themeColor="text1"/>
          <w:szCs w:val="24"/>
        </w:rPr>
        <w:t>/Priest Rapids</w:t>
      </w:r>
    </w:p>
    <w:p w:rsidR="0091597D" w:rsidRPr="0031150D" w:rsidRDefault="0091597D" w:rsidP="0031150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color w:val="000000" w:themeColor="text1"/>
          <w:szCs w:val="24"/>
        </w:rPr>
      </w:pPr>
      <w:r w:rsidRPr="0031150D">
        <w:rPr>
          <w:rFonts w:ascii="Times New Roman" w:hAnsi="Times New Roman"/>
          <w:color w:val="000000" w:themeColor="text1"/>
          <w:szCs w:val="24"/>
        </w:rPr>
        <w:t>Attachment B: Purchaser allocations for 2013</w:t>
      </w:r>
    </w:p>
    <w:p w:rsidR="0031150D" w:rsidRPr="0031150D" w:rsidRDefault="0091597D" w:rsidP="0031150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color w:val="000000" w:themeColor="text1"/>
          <w:szCs w:val="24"/>
        </w:rPr>
      </w:pPr>
      <w:r w:rsidRPr="0031150D">
        <w:rPr>
          <w:rFonts w:ascii="Times New Roman" w:hAnsi="Times New Roman"/>
          <w:color w:val="000000" w:themeColor="text1"/>
          <w:szCs w:val="24"/>
        </w:rPr>
        <w:t xml:space="preserve">Attachment C: </w:t>
      </w:r>
      <w:r w:rsidR="005134DF" w:rsidRPr="0031150D">
        <w:rPr>
          <w:rFonts w:ascii="Times New Roman" w:hAnsi="Times New Roman"/>
          <w:color w:val="000000" w:themeColor="text1"/>
          <w:szCs w:val="24"/>
        </w:rPr>
        <w:t xml:space="preserve">Wanapum </w:t>
      </w:r>
      <w:r w:rsidRPr="0031150D">
        <w:rPr>
          <w:rFonts w:ascii="Times New Roman" w:hAnsi="Times New Roman"/>
          <w:color w:val="000000" w:themeColor="text1"/>
          <w:szCs w:val="24"/>
        </w:rPr>
        <w:t>2012 and 2013 summary of incremental hydrogen</w:t>
      </w:r>
      <w:r w:rsidR="005134DF" w:rsidRPr="0031150D">
        <w:rPr>
          <w:rFonts w:ascii="Times New Roman" w:hAnsi="Times New Roman"/>
          <w:color w:val="000000" w:themeColor="text1"/>
          <w:szCs w:val="24"/>
        </w:rPr>
        <w:t>er</w:t>
      </w:r>
      <w:r w:rsidRPr="0031150D">
        <w:rPr>
          <w:rFonts w:ascii="Times New Roman" w:hAnsi="Times New Roman"/>
          <w:color w:val="000000" w:themeColor="text1"/>
          <w:szCs w:val="24"/>
        </w:rPr>
        <w:t>ation volumes</w:t>
      </w:r>
    </w:p>
    <w:p w:rsidR="005134DF" w:rsidRDefault="00977697" w:rsidP="00977697">
      <w:pPr>
        <w:spacing w:line="480" w:lineRule="auto"/>
        <w:ind w:firstLine="7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If the Commission does not grant </w:t>
      </w:r>
      <w:r w:rsidR="00821911">
        <w:rPr>
          <w:rFonts w:ascii="Times New Roman" w:hAnsi="Times New Roman"/>
          <w:color w:val="000000" w:themeColor="text1"/>
          <w:szCs w:val="24"/>
        </w:rPr>
        <w:t>Pacific Power</w:t>
      </w:r>
      <w:r>
        <w:rPr>
          <w:rFonts w:ascii="Times New Roman" w:hAnsi="Times New Roman"/>
          <w:color w:val="000000" w:themeColor="text1"/>
          <w:szCs w:val="24"/>
        </w:rPr>
        <w:t xml:space="preserve"> a one-time exemption from the requirements of WAC 480-109-200(3), then the Company will use alternative RPS-eligible RECs to </w:t>
      </w:r>
      <w:r w:rsidR="005134DF">
        <w:rPr>
          <w:rFonts w:ascii="Times New Roman" w:hAnsi="Times New Roman"/>
          <w:color w:val="000000" w:themeColor="text1"/>
          <w:szCs w:val="24"/>
        </w:rPr>
        <w:t>fulfill</w:t>
      </w:r>
      <w:r>
        <w:rPr>
          <w:rFonts w:ascii="Times New Roman" w:hAnsi="Times New Roman"/>
          <w:color w:val="000000" w:themeColor="text1"/>
          <w:szCs w:val="24"/>
        </w:rPr>
        <w:t xml:space="preserve"> the 631</w:t>
      </w:r>
      <w:r w:rsidR="005134DF">
        <w:rPr>
          <w:rFonts w:ascii="Times New Roman" w:hAnsi="Times New Roman"/>
          <w:color w:val="000000" w:themeColor="text1"/>
          <w:szCs w:val="24"/>
        </w:rPr>
        <w:t>-</w:t>
      </w:r>
      <w:r>
        <w:rPr>
          <w:rFonts w:ascii="Times New Roman" w:hAnsi="Times New Roman"/>
          <w:color w:val="000000" w:themeColor="text1"/>
          <w:szCs w:val="24"/>
        </w:rPr>
        <w:t xml:space="preserve">REC shortfall.    </w:t>
      </w:r>
    </w:p>
    <w:p w:rsidR="0073313F" w:rsidRPr="00AC5FF0" w:rsidRDefault="0073313F" w:rsidP="0031150D">
      <w:pPr>
        <w:spacing w:line="480" w:lineRule="auto"/>
        <w:ind w:firstLine="720"/>
        <w:rPr>
          <w:rFonts w:ascii="Times New Roman" w:hAnsi="Times New Roman"/>
          <w:color w:val="000000" w:themeColor="text1"/>
          <w:szCs w:val="24"/>
          <w:highlight w:val="yellow"/>
        </w:rPr>
      </w:pPr>
    </w:p>
    <w:p w:rsidR="00ED18AD" w:rsidRPr="00AC5FF0" w:rsidRDefault="00ED18AD" w:rsidP="00FB5DB0">
      <w:pPr>
        <w:pStyle w:val="Heading1"/>
        <w:spacing w:line="240" w:lineRule="auto"/>
        <w:rPr>
          <w:color w:val="000000" w:themeColor="text1"/>
          <w:szCs w:val="24"/>
        </w:rPr>
      </w:pPr>
      <w:r w:rsidRPr="00AC5FF0">
        <w:rPr>
          <w:color w:val="000000" w:themeColor="text1"/>
          <w:szCs w:val="24"/>
        </w:rPr>
        <w:t>IV.</w:t>
      </w:r>
      <w:r w:rsidR="00AC01BB" w:rsidRPr="00AC5FF0">
        <w:rPr>
          <w:color w:val="000000" w:themeColor="text1"/>
          <w:szCs w:val="24"/>
        </w:rPr>
        <w:tab/>
      </w:r>
      <w:r w:rsidRPr="00AC5FF0">
        <w:rPr>
          <w:color w:val="000000" w:themeColor="text1"/>
          <w:szCs w:val="24"/>
        </w:rPr>
        <w:t>CONCLUSION</w:t>
      </w:r>
    </w:p>
    <w:p w:rsidR="007B79E5" w:rsidRPr="00AC5FF0" w:rsidRDefault="007B79E5" w:rsidP="00324C07">
      <w:pPr>
        <w:rPr>
          <w:rFonts w:ascii="Times New Roman" w:hAnsi="Times New Roman"/>
          <w:color w:val="000000" w:themeColor="text1"/>
          <w:szCs w:val="24"/>
        </w:rPr>
      </w:pPr>
    </w:p>
    <w:p w:rsidR="00477F70" w:rsidRPr="00AC5FF0" w:rsidRDefault="007F1887" w:rsidP="00DC489C">
      <w:pPr>
        <w:spacing w:line="480" w:lineRule="auto"/>
        <w:ind w:hanging="7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  <w:szCs w:val="24"/>
        </w:rPr>
        <w:t>5</w:t>
      </w:r>
      <w:r w:rsidR="004F0214">
        <w:rPr>
          <w:rFonts w:ascii="Times New Roman" w:hAnsi="Times New Roman"/>
          <w:i/>
          <w:color w:val="000000" w:themeColor="text1"/>
          <w:szCs w:val="24"/>
        </w:rPr>
        <w:t>.</w:t>
      </w:r>
      <w:r w:rsidR="00D0215C" w:rsidRPr="00AC5FF0">
        <w:rPr>
          <w:rFonts w:ascii="Times New Roman" w:hAnsi="Times New Roman"/>
          <w:color w:val="000000" w:themeColor="text1"/>
          <w:szCs w:val="24"/>
        </w:rPr>
        <w:tab/>
      </w:r>
      <w:r w:rsidR="00DC489C">
        <w:rPr>
          <w:rFonts w:ascii="Times New Roman" w:hAnsi="Times New Roman"/>
          <w:color w:val="000000" w:themeColor="text1"/>
          <w:szCs w:val="24"/>
        </w:rPr>
        <w:tab/>
      </w:r>
      <w:r w:rsidR="00737982" w:rsidRPr="00AC5FF0">
        <w:rPr>
          <w:rFonts w:ascii="Times New Roman" w:hAnsi="Times New Roman"/>
          <w:color w:val="000000" w:themeColor="text1"/>
          <w:szCs w:val="24"/>
        </w:rPr>
        <w:t>Pacifi</w:t>
      </w:r>
      <w:r w:rsidR="00737982">
        <w:rPr>
          <w:rFonts w:ascii="Times New Roman" w:hAnsi="Times New Roman"/>
          <w:color w:val="000000" w:themeColor="text1"/>
          <w:szCs w:val="24"/>
        </w:rPr>
        <w:t>c Power</w:t>
      </w:r>
      <w:r w:rsidR="00737982"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="00ED18AD" w:rsidRPr="00AC5FF0">
        <w:rPr>
          <w:rFonts w:ascii="Times New Roman" w:hAnsi="Times New Roman"/>
          <w:color w:val="000000" w:themeColor="text1"/>
          <w:szCs w:val="24"/>
        </w:rPr>
        <w:t xml:space="preserve">respectfully requests that the Commission </w:t>
      </w:r>
      <w:r w:rsidR="00657327">
        <w:rPr>
          <w:rFonts w:ascii="Times New Roman" w:hAnsi="Times New Roman"/>
          <w:color w:val="000000" w:themeColor="text1"/>
          <w:szCs w:val="24"/>
        </w:rPr>
        <w:t xml:space="preserve">grant the Company a waiver from the requirements of WAC 480-109-200(3) and </w:t>
      </w:r>
      <w:r w:rsidR="00ED18AD" w:rsidRPr="00AC5FF0">
        <w:rPr>
          <w:rFonts w:ascii="Times New Roman" w:hAnsi="Times New Roman"/>
          <w:color w:val="000000" w:themeColor="text1"/>
          <w:szCs w:val="24"/>
        </w:rPr>
        <w:t xml:space="preserve">authorize the Company to </w:t>
      </w:r>
      <w:r w:rsidR="00657327">
        <w:rPr>
          <w:rFonts w:ascii="Times New Roman" w:hAnsi="Times New Roman"/>
          <w:color w:val="000000" w:themeColor="text1"/>
          <w:szCs w:val="24"/>
        </w:rPr>
        <w:t xml:space="preserve">use the output of the Wanapum Dam towards compliance with the Company’s renewable resource target for 2013.  </w:t>
      </w:r>
    </w:p>
    <w:p w:rsidR="00D0215C" w:rsidRPr="00AC5FF0" w:rsidRDefault="00477F70" w:rsidP="00ED18AD">
      <w:pPr>
        <w:spacing w:line="480" w:lineRule="auto"/>
        <w:ind w:hanging="720"/>
        <w:rPr>
          <w:rFonts w:ascii="Times New Roman" w:hAnsi="Times New Roman"/>
          <w:color w:val="000000" w:themeColor="text1"/>
          <w:szCs w:val="24"/>
          <w:highlight w:val="yellow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 xml:space="preserve">Respectfully submitted this </w:t>
      </w:r>
      <w:r w:rsidR="00022D5F">
        <w:rPr>
          <w:rFonts w:ascii="Times New Roman" w:hAnsi="Times New Roman"/>
          <w:color w:val="000000" w:themeColor="text1"/>
          <w:szCs w:val="24"/>
        </w:rPr>
        <w:t>1</w:t>
      </w:r>
      <w:r w:rsidR="00657327">
        <w:rPr>
          <w:rFonts w:ascii="Times New Roman" w:hAnsi="Times New Roman"/>
          <w:color w:val="000000" w:themeColor="text1"/>
          <w:szCs w:val="24"/>
          <w:vertAlign w:val="superscript"/>
        </w:rPr>
        <w:t>st</w:t>
      </w:r>
      <w:r w:rsidR="008857DE" w:rsidRPr="00AC5FF0">
        <w:rPr>
          <w:rFonts w:ascii="Times New Roman" w:hAnsi="Times New Roman"/>
          <w:color w:val="000000" w:themeColor="text1"/>
          <w:szCs w:val="24"/>
        </w:rPr>
        <w:t xml:space="preserve"> day of </w:t>
      </w:r>
      <w:r w:rsidR="00657327">
        <w:rPr>
          <w:rFonts w:ascii="Times New Roman" w:hAnsi="Times New Roman"/>
          <w:color w:val="000000" w:themeColor="text1"/>
          <w:szCs w:val="24"/>
        </w:rPr>
        <w:t>June</w:t>
      </w:r>
      <w:r w:rsidR="008857DE" w:rsidRPr="00AC5FF0">
        <w:rPr>
          <w:rFonts w:ascii="Times New Roman" w:hAnsi="Times New Roman"/>
          <w:color w:val="000000" w:themeColor="text1"/>
          <w:szCs w:val="24"/>
        </w:rPr>
        <w:t>, 201</w:t>
      </w:r>
      <w:r w:rsidR="00657327">
        <w:rPr>
          <w:rFonts w:ascii="Times New Roman" w:hAnsi="Times New Roman"/>
          <w:color w:val="000000" w:themeColor="text1"/>
          <w:szCs w:val="24"/>
        </w:rPr>
        <w:t>5</w:t>
      </w:r>
      <w:r w:rsidRPr="00AC5FF0">
        <w:rPr>
          <w:rFonts w:ascii="Times New Roman" w:hAnsi="Times New Roman"/>
          <w:color w:val="000000" w:themeColor="text1"/>
          <w:szCs w:val="24"/>
        </w:rPr>
        <w:t>.</w:t>
      </w:r>
    </w:p>
    <w:p w:rsidR="00D14390" w:rsidRDefault="00D14390" w:rsidP="00324C07">
      <w:pPr>
        <w:ind w:left="3600" w:hanging="720"/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477F70" w:rsidP="00324C07">
      <w:pPr>
        <w:ind w:left="3600" w:hanging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By:</w:t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="0091770F" w:rsidRPr="00AC5FF0">
        <w:rPr>
          <w:rFonts w:ascii="Times New Roman" w:hAnsi="Times New Roman"/>
          <w:color w:val="000000" w:themeColor="text1"/>
          <w:szCs w:val="24"/>
        </w:rPr>
        <w:t>__________</w:t>
      </w:r>
      <w:r w:rsidRPr="00AC5FF0">
        <w:rPr>
          <w:rFonts w:ascii="Times New Roman" w:hAnsi="Times New Roman"/>
          <w:color w:val="000000" w:themeColor="text1"/>
          <w:szCs w:val="24"/>
        </w:rPr>
        <w:t>___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______________</w:t>
      </w:r>
    </w:p>
    <w:p w:rsidR="00D0215C" w:rsidRPr="00AC5FF0" w:rsidRDefault="00022D5F" w:rsidP="00324C07">
      <w:pPr>
        <w:ind w:left="4320" w:hanging="7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Etta Lockey</w:t>
      </w:r>
    </w:p>
    <w:p w:rsidR="00D0215C" w:rsidRPr="00AC5FF0" w:rsidRDefault="00657327" w:rsidP="00324C07">
      <w:pPr>
        <w:ind w:left="4320" w:hanging="7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Senior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Counsel</w:t>
      </w:r>
    </w:p>
    <w:p w:rsidR="00AC5FF0" w:rsidRPr="00AC5FF0" w:rsidRDefault="00477F70" w:rsidP="00D14390">
      <w:pPr>
        <w:ind w:left="4320" w:hanging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Pacific Power &amp; Light Company</w:t>
      </w:r>
    </w:p>
    <w:sectPr w:rsidR="00AC5FF0" w:rsidRPr="00AC5FF0" w:rsidSect="00D143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296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11" w:rsidRDefault="00176711" w:rsidP="00232A38">
      <w:r>
        <w:separator/>
      </w:r>
    </w:p>
  </w:endnote>
  <w:endnote w:type="continuationSeparator" w:id="0">
    <w:p w:rsidR="00176711" w:rsidRDefault="00176711" w:rsidP="0023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D0" w:rsidRDefault="000D55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51" w:rsidRDefault="00E36FD7" w:rsidP="00D14390">
    <w:pPr>
      <w:pStyle w:val="Footer"/>
      <w:tabs>
        <w:tab w:val="clear" w:pos="8640"/>
        <w:tab w:val="right" w:pos="9000"/>
      </w:tabs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UE-1</w:t>
    </w:r>
    <w:r w:rsidR="00821911">
      <w:rPr>
        <w:rFonts w:ascii="Times New Roman" w:hAnsi="Times New Roman"/>
        <w:szCs w:val="24"/>
      </w:rPr>
      <w:t>31063—</w:t>
    </w:r>
    <w:r w:rsidR="008E37EC" w:rsidRPr="0091770F">
      <w:rPr>
        <w:rFonts w:ascii="Times New Roman" w:hAnsi="Times New Roman"/>
        <w:szCs w:val="24"/>
      </w:rPr>
      <w:t>Pacifi</w:t>
    </w:r>
    <w:r w:rsidR="00821911">
      <w:rPr>
        <w:rFonts w:ascii="Times New Roman" w:hAnsi="Times New Roman"/>
        <w:szCs w:val="24"/>
      </w:rPr>
      <w:t xml:space="preserve">c </w:t>
    </w:r>
    <w:r w:rsidR="008E37EC">
      <w:rPr>
        <w:rFonts w:ascii="Times New Roman" w:hAnsi="Times New Roman"/>
        <w:szCs w:val="24"/>
      </w:rPr>
      <w:t xml:space="preserve">Power &amp; Light Company </w:t>
    </w:r>
    <w:r w:rsidR="00743F51" w:rsidRPr="0091770F">
      <w:rPr>
        <w:rFonts w:ascii="Times New Roman" w:hAnsi="Times New Roman"/>
        <w:szCs w:val="24"/>
      </w:rPr>
      <w:t xml:space="preserve">Petition </w:t>
    </w:r>
    <w:r w:rsidR="00CB7D7B">
      <w:rPr>
        <w:rFonts w:ascii="Times New Roman" w:hAnsi="Times New Roman"/>
        <w:szCs w:val="24"/>
      </w:rPr>
      <w:t xml:space="preserve">for </w:t>
    </w:r>
    <w:r w:rsidR="00657327">
      <w:rPr>
        <w:rFonts w:ascii="Times New Roman" w:hAnsi="Times New Roman"/>
        <w:szCs w:val="24"/>
      </w:rPr>
      <w:t>Waiver</w:t>
    </w:r>
    <w:r w:rsidR="00743F51">
      <w:rPr>
        <w:rFonts w:ascii="Times New Roman" w:hAnsi="Times New Roman"/>
        <w:szCs w:val="24"/>
      </w:rPr>
      <w:tab/>
    </w:r>
    <w:r w:rsidR="00AD21F7" w:rsidRPr="00F91408">
      <w:rPr>
        <w:rFonts w:ascii="Times New Roman" w:hAnsi="Times New Roman"/>
        <w:szCs w:val="24"/>
      </w:rPr>
      <w:fldChar w:fldCharType="begin"/>
    </w:r>
    <w:r w:rsidR="00743F51" w:rsidRPr="00F91408">
      <w:rPr>
        <w:rFonts w:ascii="Times New Roman" w:hAnsi="Times New Roman"/>
        <w:szCs w:val="24"/>
      </w:rPr>
      <w:instrText xml:space="preserve"> PAGE   \* MERGEFORMAT </w:instrText>
    </w:r>
    <w:r w:rsidR="00AD21F7" w:rsidRPr="00F91408">
      <w:rPr>
        <w:rFonts w:ascii="Times New Roman" w:hAnsi="Times New Roman"/>
        <w:szCs w:val="24"/>
      </w:rPr>
      <w:fldChar w:fldCharType="separate"/>
    </w:r>
    <w:r w:rsidR="000D55D0">
      <w:rPr>
        <w:rFonts w:ascii="Times New Roman" w:hAnsi="Times New Roman"/>
        <w:noProof/>
        <w:szCs w:val="24"/>
      </w:rPr>
      <w:t>1</w:t>
    </w:r>
    <w:r w:rsidR="00AD21F7" w:rsidRPr="00F91408">
      <w:rPr>
        <w:rFonts w:ascii="Times New Roman" w:hAnsi="Times New Roman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D0" w:rsidRDefault="000D5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11" w:rsidRDefault="00176711" w:rsidP="00232A38">
      <w:r>
        <w:separator/>
      </w:r>
    </w:p>
  </w:footnote>
  <w:footnote w:type="continuationSeparator" w:id="0">
    <w:p w:rsidR="00176711" w:rsidRDefault="00176711" w:rsidP="00232A38">
      <w:r>
        <w:continuationSeparator/>
      </w:r>
    </w:p>
  </w:footnote>
  <w:footnote w:id="1">
    <w:p w:rsidR="00ED5BEC" w:rsidRPr="00ED5BEC" w:rsidRDefault="00ED5B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In the Matter of Amending, Adopting, and Repealing Rules in WAC 480-109 Relating to the Energy Independence Act</w:t>
      </w:r>
      <w:r>
        <w:t>,</w:t>
      </w:r>
      <w:r w:rsidR="00821911">
        <w:t xml:space="preserve"> General Order R-578, Docket UE-</w:t>
      </w:r>
      <w:r>
        <w:t xml:space="preserve">131723 at n.54 (Mar. 13, 2015).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D0" w:rsidRDefault="000D55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D0" w:rsidRDefault="000D55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D0" w:rsidRDefault="000D55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DA6"/>
    <w:multiLevelType w:val="hybridMultilevel"/>
    <w:tmpl w:val="F8EE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7B7E"/>
    <w:multiLevelType w:val="hybridMultilevel"/>
    <w:tmpl w:val="24264198"/>
    <w:lvl w:ilvl="0" w:tplc="606EE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D21D4"/>
    <w:multiLevelType w:val="hybridMultilevel"/>
    <w:tmpl w:val="230CD408"/>
    <w:lvl w:ilvl="0" w:tplc="75ACAEAA">
      <w:start w:val="1"/>
      <w:numFmt w:val="decimal"/>
      <w:lvlText w:val="%1."/>
      <w:lvlJc w:val="left"/>
      <w:pPr>
        <w:ind w:left="0" w:hanging="72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5C475800"/>
    <w:multiLevelType w:val="hybridMultilevel"/>
    <w:tmpl w:val="B0505EA6"/>
    <w:lvl w:ilvl="0" w:tplc="69AA1752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A692B"/>
    <w:multiLevelType w:val="hybridMultilevel"/>
    <w:tmpl w:val="E6643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ED40B9"/>
    <w:multiLevelType w:val="hybridMultilevel"/>
    <w:tmpl w:val="6456CDC6"/>
    <w:lvl w:ilvl="0" w:tplc="69740BA0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5C"/>
    <w:rsid w:val="000003DF"/>
    <w:rsid w:val="00022D5F"/>
    <w:rsid w:val="00030881"/>
    <w:rsid w:val="00032499"/>
    <w:rsid w:val="00046F6F"/>
    <w:rsid w:val="00063E95"/>
    <w:rsid w:val="000662E7"/>
    <w:rsid w:val="0007310F"/>
    <w:rsid w:val="0008005C"/>
    <w:rsid w:val="000A55FA"/>
    <w:rsid w:val="000B1430"/>
    <w:rsid w:val="000D55D0"/>
    <w:rsid w:val="001010D2"/>
    <w:rsid w:val="00117443"/>
    <w:rsid w:val="001433AC"/>
    <w:rsid w:val="0014438D"/>
    <w:rsid w:val="00144A3D"/>
    <w:rsid w:val="0015310D"/>
    <w:rsid w:val="00162A02"/>
    <w:rsid w:val="00164D52"/>
    <w:rsid w:val="00176711"/>
    <w:rsid w:val="00180866"/>
    <w:rsid w:val="00181DEA"/>
    <w:rsid w:val="00196E53"/>
    <w:rsid w:val="001A4D4F"/>
    <w:rsid w:val="001B5F65"/>
    <w:rsid w:val="001D5B35"/>
    <w:rsid w:val="00204AFC"/>
    <w:rsid w:val="0022446E"/>
    <w:rsid w:val="0022511A"/>
    <w:rsid w:val="00232A38"/>
    <w:rsid w:val="002339FD"/>
    <w:rsid w:val="002354DD"/>
    <w:rsid w:val="00292729"/>
    <w:rsid w:val="002B10EC"/>
    <w:rsid w:val="002B1315"/>
    <w:rsid w:val="002B29FB"/>
    <w:rsid w:val="002B383D"/>
    <w:rsid w:val="002D1319"/>
    <w:rsid w:val="002D3B53"/>
    <w:rsid w:val="002D47CB"/>
    <w:rsid w:val="002F58D7"/>
    <w:rsid w:val="00303467"/>
    <w:rsid w:val="0031150D"/>
    <w:rsid w:val="003203F1"/>
    <w:rsid w:val="00324C07"/>
    <w:rsid w:val="003251A7"/>
    <w:rsid w:val="00332B49"/>
    <w:rsid w:val="00335811"/>
    <w:rsid w:val="00351E00"/>
    <w:rsid w:val="0037220F"/>
    <w:rsid w:val="003732BC"/>
    <w:rsid w:val="00374F84"/>
    <w:rsid w:val="003C518D"/>
    <w:rsid w:val="003D2FC4"/>
    <w:rsid w:val="003D6BCB"/>
    <w:rsid w:val="004319B0"/>
    <w:rsid w:val="00432357"/>
    <w:rsid w:val="004450DF"/>
    <w:rsid w:val="004624CE"/>
    <w:rsid w:val="004662B8"/>
    <w:rsid w:val="00476E08"/>
    <w:rsid w:val="00477F70"/>
    <w:rsid w:val="004B76C3"/>
    <w:rsid w:val="004F0214"/>
    <w:rsid w:val="004F0742"/>
    <w:rsid w:val="004F40E7"/>
    <w:rsid w:val="004F5268"/>
    <w:rsid w:val="00507716"/>
    <w:rsid w:val="00513011"/>
    <w:rsid w:val="005134DF"/>
    <w:rsid w:val="00520F4C"/>
    <w:rsid w:val="00542EB8"/>
    <w:rsid w:val="005431F2"/>
    <w:rsid w:val="0055462C"/>
    <w:rsid w:val="00563246"/>
    <w:rsid w:val="00572B97"/>
    <w:rsid w:val="00573263"/>
    <w:rsid w:val="005921C3"/>
    <w:rsid w:val="005931D8"/>
    <w:rsid w:val="00593558"/>
    <w:rsid w:val="005A04E5"/>
    <w:rsid w:val="005B100C"/>
    <w:rsid w:val="005C6279"/>
    <w:rsid w:val="005E0C86"/>
    <w:rsid w:val="005E42C5"/>
    <w:rsid w:val="005E74EC"/>
    <w:rsid w:val="005F58D5"/>
    <w:rsid w:val="0060273D"/>
    <w:rsid w:val="00610D0E"/>
    <w:rsid w:val="00613B45"/>
    <w:rsid w:val="00613BBB"/>
    <w:rsid w:val="0065131B"/>
    <w:rsid w:val="0065619D"/>
    <w:rsid w:val="00657327"/>
    <w:rsid w:val="00663E03"/>
    <w:rsid w:val="006A1DF6"/>
    <w:rsid w:val="006A55C0"/>
    <w:rsid w:val="006B5095"/>
    <w:rsid w:val="006E63C3"/>
    <w:rsid w:val="00723ACD"/>
    <w:rsid w:val="0073313F"/>
    <w:rsid w:val="0073434A"/>
    <w:rsid w:val="00737982"/>
    <w:rsid w:val="00743F51"/>
    <w:rsid w:val="00745033"/>
    <w:rsid w:val="00745C69"/>
    <w:rsid w:val="007577F3"/>
    <w:rsid w:val="00757E07"/>
    <w:rsid w:val="00777973"/>
    <w:rsid w:val="007A21D6"/>
    <w:rsid w:val="007B59D7"/>
    <w:rsid w:val="007B79E5"/>
    <w:rsid w:val="007C5630"/>
    <w:rsid w:val="007E06C1"/>
    <w:rsid w:val="007F1887"/>
    <w:rsid w:val="00811F82"/>
    <w:rsid w:val="00821911"/>
    <w:rsid w:val="00821B71"/>
    <w:rsid w:val="0082294F"/>
    <w:rsid w:val="00824579"/>
    <w:rsid w:val="008302FC"/>
    <w:rsid w:val="008857DE"/>
    <w:rsid w:val="00896FA2"/>
    <w:rsid w:val="008B756E"/>
    <w:rsid w:val="008C149B"/>
    <w:rsid w:val="008C4BD0"/>
    <w:rsid w:val="008E37EC"/>
    <w:rsid w:val="008F6802"/>
    <w:rsid w:val="00907E25"/>
    <w:rsid w:val="0091597D"/>
    <w:rsid w:val="0091770F"/>
    <w:rsid w:val="00925748"/>
    <w:rsid w:val="009330CF"/>
    <w:rsid w:val="0093315F"/>
    <w:rsid w:val="00937788"/>
    <w:rsid w:val="00941E51"/>
    <w:rsid w:val="00943120"/>
    <w:rsid w:val="009551AA"/>
    <w:rsid w:val="00962448"/>
    <w:rsid w:val="0096463C"/>
    <w:rsid w:val="00977697"/>
    <w:rsid w:val="009976E1"/>
    <w:rsid w:val="009C2F57"/>
    <w:rsid w:val="009C665C"/>
    <w:rsid w:val="009D65B9"/>
    <w:rsid w:val="009F05DF"/>
    <w:rsid w:val="009F4274"/>
    <w:rsid w:val="009F4EC6"/>
    <w:rsid w:val="00A01DA0"/>
    <w:rsid w:val="00A045C1"/>
    <w:rsid w:val="00A10FFD"/>
    <w:rsid w:val="00A14F28"/>
    <w:rsid w:val="00A30865"/>
    <w:rsid w:val="00A3485F"/>
    <w:rsid w:val="00A55E40"/>
    <w:rsid w:val="00A67778"/>
    <w:rsid w:val="00A67BD3"/>
    <w:rsid w:val="00A8159A"/>
    <w:rsid w:val="00A92E2C"/>
    <w:rsid w:val="00AA641E"/>
    <w:rsid w:val="00AC01BB"/>
    <w:rsid w:val="00AC3E4F"/>
    <w:rsid w:val="00AC4D26"/>
    <w:rsid w:val="00AC5FF0"/>
    <w:rsid w:val="00AC74BD"/>
    <w:rsid w:val="00AD0363"/>
    <w:rsid w:val="00AD21F7"/>
    <w:rsid w:val="00AD74F0"/>
    <w:rsid w:val="00AF1988"/>
    <w:rsid w:val="00B309B2"/>
    <w:rsid w:val="00B43F9D"/>
    <w:rsid w:val="00B91535"/>
    <w:rsid w:val="00B976F7"/>
    <w:rsid w:val="00BA093B"/>
    <w:rsid w:val="00BB1B3A"/>
    <w:rsid w:val="00BB5881"/>
    <w:rsid w:val="00BD0580"/>
    <w:rsid w:val="00BD6BC9"/>
    <w:rsid w:val="00BE05A2"/>
    <w:rsid w:val="00BE5AAA"/>
    <w:rsid w:val="00BF02A8"/>
    <w:rsid w:val="00BF68F8"/>
    <w:rsid w:val="00BF7042"/>
    <w:rsid w:val="00C01215"/>
    <w:rsid w:val="00C07F3E"/>
    <w:rsid w:val="00C13619"/>
    <w:rsid w:val="00C14E15"/>
    <w:rsid w:val="00C2159F"/>
    <w:rsid w:val="00C54D0F"/>
    <w:rsid w:val="00C55210"/>
    <w:rsid w:val="00C74CA6"/>
    <w:rsid w:val="00C8345D"/>
    <w:rsid w:val="00C97B33"/>
    <w:rsid w:val="00C97E7A"/>
    <w:rsid w:val="00CA6288"/>
    <w:rsid w:val="00CB7D7B"/>
    <w:rsid w:val="00CC01A1"/>
    <w:rsid w:val="00CD0DF5"/>
    <w:rsid w:val="00CD596B"/>
    <w:rsid w:val="00CD7292"/>
    <w:rsid w:val="00CE5C7D"/>
    <w:rsid w:val="00CE7601"/>
    <w:rsid w:val="00CF4026"/>
    <w:rsid w:val="00D0215C"/>
    <w:rsid w:val="00D063DC"/>
    <w:rsid w:val="00D065BD"/>
    <w:rsid w:val="00D14390"/>
    <w:rsid w:val="00D14A61"/>
    <w:rsid w:val="00D23226"/>
    <w:rsid w:val="00D36608"/>
    <w:rsid w:val="00D407FD"/>
    <w:rsid w:val="00D63BFF"/>
    <w:rsid w:val="00D85428"/>
    <w:rsid w:val="00D9241F"/>
    <w:rsid w:val="00DA7343"/>
    <w:rsid w:val="00DB045A"/>
    <w:rsid w:val="00DC489C"/>
    <w:rsid w:val="00DD4111"/>
    <w:rsid w:val="00DF3FA8"/>
    <w:rsid w:val="00E021AF"/>
    <w:rsid w:val="00E103A1"/>
    <w:rsid w:val="00E23117"/>
    <w:rsid w:val="00E24805"/>
    <w:rsid w:val="00E25A1D"/>
    <w:rsid w:val="00E36FD7"/>
    <w:rsid w:val="00E47857"/>
    <w:rsid w:val="00E55BA9"/>
    <w:rsid w:val="00E61296"/>
    <w:rsid w:val="00E86061"/>
    <w:rsid w:val="00EA41A6"/>
    <w:rsid w:val="00EB143A"/>
    <w:rsid w:val="00EB629D"/>
    <w:rsid w:val="00EC683E"/>
    <w:rsid w:val="00EC6D45"/>
    <w:rsid w:val="00ED18AD"/>
    <w:rsid w:val="00ED5BEC"/>
    <w:rsid w:val="00EE4930"/>
    <w:rsid w:val="00F01FEA"/>
    <w:rsid w:val="00F2193A"/>
    <w:rsid w:val="00F26C95"/>
    <w:rsid w:val="00F35F64"/>
    <w:rsid w:val="00F40697"/>
    <w:rsid w:val="00F6535B"/>
    <w:rsid w:val="00F7799E"/>
    <w:rsid w:val="00F800E1"/>
    <w:rsid w:val="00F85589"/>
    <w:rsid w:val="00F87224"/>
    <w:rsid w:val="00F91408"/>
    <w:rsid w:val="00FB5DB0"/>
    <w:rsid w:val="00FC06D6"/>
    <w:rsid w:val="00FD374F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35F64"/>
    <w:pPr>
      <w:keepNext/>
      <w:spacing w:line="480" w:lineRule="exact"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F35F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63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29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296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2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35F64"/>
    <w:pPr>
      <w:keepNext/>
      <w:spacing w:line="480" w:lineRule="exact"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F35F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63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29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296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2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hingtondockets@pacificorp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atarequest@pacificorp.com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etta.lockey@pacificorp.com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2013-05-31T07:00:00+00:00</OpenedDate>
    <Date1 xmlns="dc463f71-b30c-4ab2-9473-d307f9d35888">2015-06-01T07:00:00+00:00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0E7E2D575A91488313886DDDAE0955" ma:contentTypeVersion="135" ma:contentTypeDescription="" ma:contentTypeScope="" ma:versionID="1581388fd737508e349f43b1e7d2be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BFD0875-45C9-455B-AAB5-81095E138A66}"/>
</file>

<file path=customXml/itemProps2.xml><?xml version="1.0" encoding="utf-8"?>
<ds:datastoreItem xmlns:ds="http://schemas.openxmlformats.org/officeDocument/2006/customXml" ds:itemID="{410A1089-FE27-4F84-922A-FD652E0833E5}"/>
</file>

<file path=customXml/itemProps3.xml><?xml version="1.0" encoding="utf-8"?>
<ds:datastoreItem xmlns:ds="http://schemas.openxmlformats.org/officeDocument/2006/customXml" ds:itemID="{5F1A598A-9800-492D-956B-B3EFE60B5C75}"/>
</file>

<file path=customXml/itemProps4.xml><?xml version="1.0" encoding="utf-8"?>
<ds:datastoreItem xmlns:ds="http://schemas.openxmlformats.org/officeDocument/2006/customXml" ds:itemID="{72460927-1DA4-482E-BCD7-F02328D1D1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2015-06-01T21:28:00Z</dcterms:created>
  <dcterms:modified xsi:type="dcterms:W3CDTF">2015-06-01T21:28:00Z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0x0101006E56B4D1795A2E4DB2F0B01679ED314A00DC0E7E2D575A91488313886DDDAE0955</vt:lpwstr>
  </property>
  <property fmtid="{D5CDD505-2E9C-101B-9397-08002B2CF9AE}" pid="4" name="_docset_NoMedatataSyncRequired">
    <vt:lpwstr>False</vt:lpwstr>
  </property>
</Properties>
</file>