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Default="00252B75">
      <w:r>
        <w:rPr>
          <w:noProof/>
        </w:rPr>
        <w:drawing>
          <wp:anchor distT="0" distB="0" distL="114300" distR="114300" simplePos="0" relativeHeight="251657728" behindDoc="1" locked="1" layoutInCell="1" allowOverlap="1">
            <wp:simplePos x="0" y="0"/>
            <wp:positionH relativeFrom="page">
              <wp:align>left</wp:align>
            </wp:positionH>
            <wp:positionV relativeFrom="page">
              <wp:align>top</wp:align>
            </wp:positionV>
            <wp:extent cx="7699375" cy="2743835"/>
            <wp:effectExtent l="19050" t="0" r="0" b="0"/>
            <wp:wrapNone/>
            <wp:docPr id="2" name="Picture 2" descr="LNG&amp;S-LH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amp;S-LH_top"/>
                    <pic:cNvPicPr>
                      <a:picLocks noChangeAspect="1" noChangeArrowheads="1"/>
                    </pic:cNvPicPr>
                  </pic:nvPicPr>
                  <pic:blipFill>
                    <a:blip r:embed="rId7" cstate="print"/>
                    <a:srcRect/>
                    <a:stretch>
                      <a:fillRect/>
                    </a:stretch>
                  </pic:blipFill>
                  <pic:spPr bwMode="auto">
                    <a:xfrm>
                      <a:off x="0" y="0"/>
                      <a:ext cx="7699375" cy="2743835"/>
                    </a:xfrm>
                    <a:prstGeom prst="rect">
                      <a:avLst/>
                    </a:prstGeom>
                    <a:noFill/>
                  </pic:spPr>
                </pic:pic>
              </a:graphicData>
            </a:graphic>
          </wp:anchor>
        </w:drawing>
      </w:r>
    </w:p>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B3FB2" w:rsidRDefault="008B3FB2"/>
    <w:p w:rsidR="008914BB" w:rsidRDefault="008914BB" w:rsidP="00E75987">
      <w:pPr>
        <w:jc w:val="right"/>
        <w:rPr>
          <w:sz w:val="18"/>
          <w:szCs w:val="18"/>
        </w:rPr>
      </w:pPr>
    </w:p>
    <w:p w:rsidR="00E75987" w:rsidRDefault="00E75987" w:rsidP="008576BE">
      <w:pPr>
        <w:jc w:val="right"/>
        <w:rPr>
          <w:sz w:val="18"/>
          <w:szCs w:val="18"/>
        </w:rPr>
      </w:pPr>
    </w:p>
    <w:p w:rsidR="008576BE" w:rsidRDefault="008576BE" w:rsidP="008576BE">
      <w:pPr>
        <w:jc w:val="right"/>
        <w:outlineLvl w:val="0"/>
        <w:rPr>
          <w:rFonts w:ascii="Times New Roman" w:hAnsi="Times New Roman"/>
          <w:sz w:val="18"/>
          <w:szCs w:val="18"/>
        </w:rPr>
      </w:pPr>
      <w:r>
        <w:rPr>
          <w:rFonts w:ascii="Times New Roman" w:hAnsi="Times New Roman"/>
          <w:sz w:val="18"/>
          <w:szCs w:val="18"/>
        </w:rPr>
        <w:t>Brooks E. Harlow</w:t>
      </w:r>
    </w:p>
    <w:p w:rsidR="008576BE" w:rsidRDefault="008576BE" w:rsidP="008576BE">
      <w:pPr>
        <w:jc w:val="right"/>
        <w:rPr>
          <w:rFonts w:ascii="Times New Roman" w:hAnsi="Times New Roman"/>
          <w:sz w:val="18"/>
          <w:szCs w:val="18"/>
        </w:rPr>
      </w:pPr>
      <w:r>
        <w:rPr>
          <w:rFonts w:ascii="Times New Roman" w:hAnsi="Times New Roman"/>
          <w:sz w:val="18"/>
          <w:szCs w:val="18"/>
        </w:rPr>
        <w:t>(703) 584-8680</w:t>
      </w:r>
    </w:p>
    <w:p w:rsidR="008576BE" w:rsidRPr="00740475" w:rsidRDefault="008576BE" w:rsidP="008576BE">
      <w:pPr>
        <w:jc w:val="right"/>
        <w:rPr>
          <w:rFonts w:ascii="Times New Roman" w:hAnsi="Times New Roman"/>
          <w:sz w:val="18"/>
          <w:szCs w:val="18"/>
        </w:rPr>
      </w:pPr>
      <w:r>
        <w:rPr>
          <w:rFonts w:ascii="Times New Roman" w:hAnsi="Times New Roman"/>
          <w:sz w:val="18"/>
          <w:szCs w:val="18"/>
        </w:rPr>
        <w:t>bharlow@fcclaw.com</w:t>
      </w:r>
    </w:p>
    <w:p w:rsidR="00C14492" w:rsidRDefault="00C14492" w:rsidP="00E75987">
      <w:pPr>
        <w:jc w:val="center"/>
        <w:rPr>
          <w:b/>
        </w:rPr>
      </w:pPr>
    </w:p>
    <w:p w:rsidR="001966CB" w:rsidRDefault="00A44EBB" w:rsidP="000A6A4A">
      <w:pPr>
        <w:jc w:val="both"/>
      </w:pPr>
      <w:r w:rsidRPr="00F0415D">
        <w:t xml:space="preserve">June </w:t>
      </w:r>
      <w:r w:rsidR="00F0415D">
        <w:t>1</w:t>
      </w:r>
      <w:r w:rsidRPr="00F0415D">
        <w:t>5, 2012</w:t>
      </w:r>
    </w:p>
    <w:p w:rsidR="001966CB" w:rsidRDefault="001966CB" w:rsidP="000A6A4A">
      <w:pPr>
        <w:jc w:val="both"/>
      </w:pPr>
    </w:p>
    <w:p w:rsidR="001966CB" w:rsidRPr="001966CB" w:rsidRDefault="005A4DE9" w:rsidP="000A6A4A">
      <w:pPr>
        <w:jc w:val="both"/>
        <w:rPr>
          <w:b/>
          <w:u w:val="single"/>
        </w:rPr>
      </w:pPr>
      <w:r>
        <w:rPr>
          <w:b/>
          <w:u w:val="single"/>
        </w:rPr>
        <w:t>VIA WUTC WEB PORTAL</w:t>
      </w:r>
    </w:p>
    <w:p w:rsidR="001966CB" w:rsidRDefault="001966CB" w:rsidP="000A6A4A">
      <w:pPr>
        <w:jc w:val="both"/>
        <w:rPr>
          <w:b/>
        </w:rPr>
      </w:pPr>
    </w:p>
    <w:p w:rsidR="001476B6" w:rsidRDefault="000F6097" w:rsidP="000A6A4A">
      <w:pPr>
        <w:jc w:val="both"/>
      </w:pPr>
      <w:r>
        <w:t xml:space="preserve">Mr. </w:t>
      </w:r>
      <w:r w:rsidR="00200F62">
        <w:t>David Danner</w:t>
      </w:r>
    </w:p>
    <w:p w:rsidR="000F6097" w:rsidRDefault="009657B6" w:rsidP="000A6A4A">
      <w:pPr>
        <w:jc w:val="both"/>
      </w:pPr>
      <w:r>
        <w:t>Executive Director</w:t>
      </w:r>
    </w:p>
    <w:p w:rsidR="001966CB" w:rsidRDefault="000F6097" w:rsidP="000A6A4A">
      <w:pPr>
        <w:jc w:val="both"/>
      </w:pPr>
      <w:r>
        <w:t>Washington Utilities and Transportation Commission</w:t>
      </w:r>
    </w:p>
    <w:p w:rsidR="001966CB" w:rsidRDefault="000F6097" w:rsidP="000A6A4A">
      <w:pPr>
        <w:jc w:val="both"/>
      </w:pPr>
      <w:r>
        <w:t>1300 S. Evergreen Park Drive, S.W.</w:t>
      </w:r>
    </w:p>
    <w:p w:rsidR="000F6097" w:rsidRDefault="000F6097" w:rsidP="000A6A4A">
      <w:pPr>
        <w:jc w:val="both"/>
      </w:pPr>
      <w:r>
        <w:t>Olympia, WA  98504-7250</w:t>
      </w:r>
    </w:p>
    <w:p w:rsidR="00EB4F16" w:rsidRDefault="00EB4F16" w:rsidP="000A6A4A">
      <w:pPr>
        <w:jc w:val="both"/>
      </w:pPr>
    </w:p>
    <w:p w:rsidR="00EB4F16" w:rsidRPr="00EB4F16" w:rsidRDefault="00EB4F16" w:rsidP="000F6097">
      <w:pPr>
        <w:jc w:val="both"/>
        <w:rPr>
          <w:b/>
        </w:rPr>
      </w:pPr>
      <w:r>
        <w:rPr>
          <w:b/>
        </w:rPr>
        <w:t>Re:</w:t>
      </w:r>
      <w:r>
        <w:rPr>
          <w:b/>
        </w:rPr>
        <w:tab/>
      </w:r>
      <w:r w:rsidR="00A44EBB">
        <w:rPr>
          <w:b/>
        </w:rPr>
        <w:t>UT-120451</w:t>
      </w:r>
      <w:r w:rsidR="000F6097">
        <w:rPr>
          <w:b/>
        </w:rPr>
        <w:t xml:space="preserve"> Request </w:t>
      </w:r>
      <w:r w:rsidR="00A44EBB">
        <w:rPr>
          <w:b/>
        </w:rPr>
        <w:t>of Dex One to Expedite</w:t>
      </w:r>
    </w:p>
    <w:p w:rsidR="001966CB" w:rsidRDefault="001966CB" w:rsidP="000A6A4A">
      <w:pPr>
        <w:jc w:val="both"/>
      </w:pPr>
    </w:p>
    <w:p w:rsidR="001966CB" w:rsidRDefault="001966CB" w:rsidP="000A6A4A">
      <w:pPr>
        <w:jc w:val="both"/>
      </w:pPr>
      <w:r>
        <w:t xml:space="preserve">Dear </w:t>
      </w:r>
      <w:r w:rsidR="000F6097">
        <w:t xml:space="preserve">Mr. </w:t>
      </w:r>
      <w:r w:rsidR="00200F62">
        <w:t>Danner</w:t>
      </w:r>
      <w:r>
        <w:t>:</w:t>
      </w:r>
    </w:p>
    <w:p w:rsidR="001966CB" w:rsidRDefault="001966CB" w:rsidP="000A6A4A">
      <w:pPr>
        <w:jc w:val="both"/>
      </w:pPr>
    </w:p>
    <w:p w:rsidR="00A44EBB" w:rsidRDefault="00EB4F16" w:rsidP="00A44EBB">
      <w:pPr>
        <w:spacing w:line="276" w:lineRule="auto"/>
        <w:rPr>
          <w:rFonts w:ascii="Times New Roman" w:eastAsiaTheme="minorHAnsi" w:hAnsi="Times New Roman"/>
        </w:rPr>
      </w:pPr>
      <w:r>
        <w:tab/>
      </w:r>
      <w:r w:rsidR="00A44EBB" w:rsidRPr="00A44EBB">
        <w:rPr>
          <w:rFonts w:ascii="Times New Roman" w:eastAsiaTheme="minorHAnsi" w:hAnsi="Times New Roman"/>
        </w:rPr>
        <w:t>Dex One</w:t>
      </w:r>
      <w:r w:rsidR="00252B75">
        <w:rPr>
          <w:rFonts w:ascii="Times New Roman" w:eastAsiaTheme="minorHAnsi" w:hAnsi="Times New Roman"/>
        </w:rPr>
        <w:t xml:space="preserve"> Corporation</w:t>
      </w:r>
      <w:r w:rsidR="00A44EBB" w:rsidRPr="00A44EBB">
        <w:rPr>
          <w:rFonts w:ascii="Times New Roman" w:eastAsiaTheme="minorHAnsi" w:hAnsi="Times New Roman"/>
        </w:rPr>
        <w:t xml:space="preserve"> (“Dex One”), filed comments last month in the above rulemaking docket.  The Commission’s rulemaking is particularly timely, given th</w:t>
      </w:r>
      <w:r w:rsidR="002E697A">
        <w:rPr>
          <w:rFonts w:ascii="Times New Roman" w:eastAsiaTheme="minorHAnsi" w:hAnsi="Times New Roman"/>
        </w:rPr>
        <w:t>at</w:t>
      </w:r>
      <w:r w:rsidR="00A44EBB" w:rsidRPr="00A44EBB">
        <w:rPr>
          <w:rFonts w:ascii="Times New Roman" w:eastAsiaTheme="minorHAnsi" w:hAnsi="Times New Roman"/>
        </w:rPr>
        <w:t xml:space="preserve"> Dex One has begun to implement a change from “saturation” delivery of residential white pages to “upon request” white pages this year in major metropolitan markets in states that do not have regulations such as WAC 480-120-251.  The switch to upon request delivery has been w</w:t>
      </w:r>
      <w:r w:rsidR="00A3484B">
        <w:rPr>
          <w:rFonts w:ascii="Times New Roman" w:eastAsiaTheme="minorHAnsi" w:hAnsi="Times New Roman"/>
        </w:rPr>
        <w:t>ell-received</w:t>
      </w:r>
      <w:r w:rsidR="00A44EBB" w:rsidRPr="00A44EBB">
        <w:rPr>
          <w:rFonts w:ascii="Times New Roman" w:eastAsiaTheme="minorHAnsi" w:hAnsi="Times New Roman"/>
        </w:rPr>
        <w:t xml:space="preserve"> by other state commissions who recognize public interest benefits of not continuing to automatically deliver</w:t>
      </w:r>
      <w:r w:rsidR="00A3484B">
        <w:rPr>
          <w:rFonts w:ascii="Times New Roman" w:eastAsiaTheme="minorHAnsi" w:hAnsi="Times New Roman"/>
        </w:rPr>
        <w:t xml:space="preserve">  printed</w:t>
      </w:r>
      <w:r w:rsidR="00A44EBB" w:rsidRPr="00A44EBB">
        <w:rPr>
          <w:rFonts w:ascii="Times New Roman" w:eastAsiaTheme="minorHAnsi" w:hAnsi="Times New Roman"/>
        </w:rPr>
        <w:t xml:space="preserve"> </w:t>
      </w:r>
      <w:r w:rsidR="00100B1B">
        <w:rPr>
          <w:rFonts w:ascii="Times New Roman" w:eastAsiaTheme="minorHAnsi" w:hAnsi="Times New Roman"/>
        </w:rPr>
        <w:t xml:space="preserve">residential </w:t>
      </w:r>
      <w:r w:rsidR="00A44EBB" w:rsidRPr="00A44EBB">
        <w:rPr>
          <w:rFonts w:ascii="Times New Roman" w:eastAsiaTheme="minorHAnsi" w:hAnsi="Times New Roman"/>
        </w:rPr>
        <w:t>white pages directories to the roughly 95% of households that are unlikely to use it even once in an entire year.  Attached for filing in the docket</w:t>
      </w:r>
      <w:r w:rsidR="00A3484B">
        <w:rPr>
          <w:rFonts w:ascii="Times New Roman" w:eastAsiaTheme="minorHAnsi" w:hAnsi="Times New Roman"/>
        </w:rPr>
        <w:t>,</w:t>
      </w:r>
      <w:r w:rsidR="00A44EBB" w:rsidRPr="00A44EBB">
        <w:rPr>
          <w:rFonts w:ascii="Times New Roman" w:eastAsiaTheme="minorHAnsi" w:hAnsi="Times New Roman"/>
        </w:rPr>
        <w:t xml:space="preserve"> as a supplement to Dex One’s comments</w:t>
      </w:r>
      <w:r w:rsidR="00A3484B">
        <w:rPr>
          <w:rFonts w:ascii="Times New Roman" w:eastAsiaTheme="minorHAnsi" w:hAnsi="Times New Roman"/>
        </w:rPr>
        <w:t>,</w:t>
      </w:r>
      <w:r w:rsidR="00A44EBB" w:rsidRPr="00A44EBB">
        <w:rPr>
          <w:rFonts w:ascii="Times New Roman" w:eastAsiaTheme="minorHAnsi" w:hAnsi="Times New Roman"/>
        </w:rPr>
        <w:t xml:space="preserve"> is a slide deck that provides an overview of the reason</w:t>
      </w:r>
      <w:r w:rsidR="00A3484B">
        <w:rPr>
          <w:rFonts w:ascii="Times New Roman" w:eastAsiaTheme="minorHAnsi" w:hAnsi="Times New Roman"/>
        </w:rPr>
        <w:t>s</w:t>
      </w:r>
      <w:r w:rsidR="00A44EBB" w:rsidRPr="00A44EBB">
        <w:rPr>
          <w:rFonts w:ascii="Times New Roman" w:eastAsiaTheme="minorHAnsi" w:hAnsi="Times New Roman"/>
        </w:rPr>
        <w:t xml:space="preserve"> for the change, in addition to examples of the material</w:t>
      </w:r>
      <w:r w:rsidR="00A3484B">
        <w:rPr>
          <w:rFonts w:ascii="Times New Roman" w:eastAsiaTheme="minorHAnsi" w:hAnsi="Times New Roman"/>
        </w:rPr>
        <w:t>s Dex One is using</w:t>
      </w:r>
      <w:r w:rsidR="00A44EBB" w:rsidRPr="00A44EBB">
        <w:rPr>
          <w:rFonts w:ascii="Times New Roman" w:eastAsiaTheme="minorHAnsi" w:hAnsi="Times New Roman"/>
        </w:rPr>
        <w:t xml:space="preserve"> to notify customers of how they can request a free copy of the printed </w:t>
      </w:r>
      <w:r w:rsidR="00100B1B">
        <w:rPr>
          <w:rFonts w:ascii="Times New Roman" w:eastAsiaTheme="minorHAnsi" w:hAnsi="Times New Roman"/>
        </w:rPr>
        <w:t xml:space="preserve">residential </w:t>
      </w:r>
      <w:r w:rsidR="00A44EBB" w:rsidRPr="00A44EBB">
        <w:rPr>
          <w:rFonts w:ascii="Times New Roman" w:eastAsiaTheme="minorHAnsi" w:hAnsi="Times New Roman"/>
        </w:rPr>
        <w:t>white pages if they want one.</w:t>
      </w:r>
    </w:p>
    <w:p w:rsidR="00A44EBB" w:rsidRDefault="00A44EBB" w:rsidP="00A44EBB">
      <w:pPr>
        <w:spacing w:line="276" w:lineRule="auto"/>
        <w:rPr>
          <w:rFonts w:ascii="Times New Roman" w:eastAsiaTheme="minorHAnsi" w:hAnsi="Times New Roman"/>
        </w:rPr>
      </w:pPr>
    </w:p>
    <w:p w:rsidR="00EB654C" w:rsidRDefault="00A44EBB" w:rsidP="00BD27F9">
      <w:pPr>
        <w:spacing w:line="276" w:lineRule="auto"/>
        <w:rPr>
          <w:rFonts w:ascii="Times New Roman" w:eastAsiaTheme="minorHAnsi" w:hAnsi="Times New Roman"/>
        </w:rPr>
      </w:pPr>
      <w:r>
        <w:rPr>
          <w:rFonts w:ascii="Times New Roman" w:eastAsiaTheme="minorHAnsi" w:hAnsi="Times New Roman"/>
        </w:rPr>
        <w:tab/>
      </w:r>
      <w:r w:rsidR="00470ED2">
        <w:rPr>
          <w:rFonts w:ascii="Times New Roman" w:eastAsiaTheme="minorHAnsi" w:hAnsi="Times New Roman"/>
        </w:rPr>
        <w:t>This fall, Dex One will be planning for distribution of its 2013 residential white pages.  Lead times for ordering printed copies are several months in major metropolitan markets, as millions of pages must be printed, bound, and shipped to distribution points in those markets.  Accordingly</w:t>
      </w:r>
      <w:r w:rsidRPr="00A44EBB">
        <w:rPr>
          <w:rFonts w:ascii="Times New Roman" w:eastAsiaTheme="minorHAnsi" w:hAnsi="Times New Roman"/>
        </w:rPr>
        <w:t xml:space="preserve">, Dex One </w:t>
      </w:r>
      <w:r w:rsidR="00470ED2">
        <w:rPr>
          <w:rFonts w:ascii="Times New Roman" w:eastAsiaTheme="minorHAnsi" w:hAnsi="Times New Roman"/>
        </w:rPr>
        <w:t>is hopeful the rulemaking can be concluded by</w:t>
      </w:r>
      <w:r w:rsidR="00EB654C">
        <w:rPr>
          <w:rFonts w:ascii="Times New Roman" w:eastAsiaTheme="minorHAnsi" w:hAnsi="Times New Roman"/>
        </w:rPr>
        <w:t xml:space="preserve"> early this fall—</w:t>
      </w:r>
      <w:r w:rsidR="00470ED2">
        <w:rPr>
          <w:rFonts w:ascii="Times New Roman" w:eastAsiaTheme="minorHAnsi" w:hAnsi="Times New Roman"/>
        </w:rPr>
        <w:t xml:space="preserve">September </w:t>
      </w:r>
      <w:r w:rsidR="00EB654C">
        <w:rPr>
          <w:rFonts w:ascii="Times New Roman" w:eastAsiaTheme="minorHAnsi" w:hAnsi="Times New Roman"/>
        </w:rPr>
        <w:lastRenderedPageBreak/>
        <w:t>if possible—to ensure that</w:t>
      </w:r>
      <w:r w:rsidR="00470ED2">
        <w:rPr>
          <w:rFonts w:ascii="Times New Roman" w:eastAsiaTheme="minorHAnsi" w:hAnsi="Times New Roman"/>
        </w:rPr>
        <w:t xml:space="preserve"> cost and environmental benefits</w:t>
      </w:r>
      <w:r w:rsidR="00EB654C">
        <w:rPr>
          <w:rFonts w:ascii="Times New Roman" w:eastAsiaTheme="minorHAnsi" w:hAnsi="Times New Roman"/>
        </w:rPr>
        <w:t xml:space="preserve"> of a rule change</w:t>
      </w:r>
      <w:r w:rsidR="00470ED2">
        <w:rPr>
          <w:rFonts w:ascii="Times New Roman" w:eastAsiaTheme="minorHAnsi" w:hAnsi="Times New Roman"/>
        </w:rPr>
        <w:t xml:space="preserve"> can be realized in the 2013 publication and distribution cycle</w:t>
      </w:r>
      <w:r w:rsidR="00EB654C">
        <w:rPr>
          <w:rFonts w:ascii="Times New Roman" w:eastAsiaTheme="minorHAnsi" w:hAnsi="Times New Roman"/>
        </w:rPr>
        <w:t>s</w:t>
      </w:r>
      <w:r w:rsidR="00470ED2">
        <w:rPr>
          <w:rFonts w:ascii="Times New Roman" w:eastAsiaTheme="minorHAnsi" w:hAnsi="Times New Roman"/>
        </w:rPr>
        <w:t xml:space="preserve">.  Dex One will greatly appreciate any steps </w:t>
      </w:r>
      <w:r w:rsidRPr="00A44EBB">
        <w:rPr>
          <w:rFonts w:ascii="Times New Roman" w:eastAsiaTheme="minorHAnsi" w:hAnsi="Times New Roman"/>
        </w:rPr>
        <w:t xml:space="preserve">the Commission </w:t>
      </w:r>
      <w:r w:rsidR="00470ED2">
        <w:rPr>
          <w:rFonts w:ascii="Times New Roman" w:eastAsiaTheme="minorHAnsi" w:hAnsi="Times New Roman"/>
        </w:rPr>
        <w:t xml:space="preserve">may be able to take to </w:t>
      </w:r>
      <w:r w:rsidRPr="00A44EBB">
        <w:rPr>
          <w:rFonts w:ascii="Times New Roman" w:eastAsiaTheme="minorHAnsi" w:hAnsi="Times New Roman"/>
        </w:rPr>
        <w:t xml:space="preserve">expedite the completion of the rulemaking to repeal or modify WAC 480-120-251.  </w:t>
      </w:r>
    </w:p>
    <w:p w:rsidR="00EB654C" w:rsidRDefault="00EB654C" w:rsidP="00BD27F9">
      <w:pPr>
        <w:spacing w:line="276" w:lineRule="auto"/>
        <w:rPr>
          <w:rFonts w:ascii="Times New Roman" w:eastAsiaTheme="minorHAnsi" w:hAnsi="Times New Roman"/>
        </w:rPr>
      </w:pPr>
    </w:p>
    <w:p w:rsidR="00BD27F9" w:rsidRDefault="00BD27F9" w:rsidP="00EB654C">
      <w:pPr>
        <w:spacing w:line="276" w:lineRule="auto"/>
        <w:ind w:firstLine="720"/>
        <w:rPr>
          <w:rFonts w:ascii="Times New Roman" w:eastAsiaTheme="minorHAnsi" w:hAnsi="Times New Roman"/>
        </w:rPr>
      </w:pPr>
      <w:r>
        <w:rPr>
          <w:rFonts w:ascii="Times New Roman" w:eastAsiaTheme="minorHAnsi" w:hAnsi="Times New Roman"/>
        </w:rPr>
        <w:t>We note that e</w:t>
      </w:r>
      <w:r w:rsidR="00A44EBB" w:rsidRPr="00A44EBB">
        <w:rPr>
          <w:rFonts w:ascii="Times New Roman" w:eastAsiaTheme="minorHAnsi" w:hAnsi="Times New Roman"/>
        </w:rPr>
        <w:t>ven if the current rule is repealed in its entirety, Dex One would plan to offer a free printed residential white pages directory consistent with the notice and outreach plan summarized in th</w:t>
      </w:r>
      <w:r w:rsidR="00A44EBB">
        <w:rPr>
          <w:rFonts w:ascii="Times New Roman" w:eastAsiaTheme="minorHAnsi" w:hAnsi="Times New Roman"/>
        </w:rPr>
        <w:t>e attached slides.</w:t>
      </w:r>
      <w:r w:rsidR="007B3C13">
        <w:rPr>
          <w:rFonts w:ascii="Times New Roman" w:eastAsiaTheme="minorHAnsi" w:hAnsi="Times New Roman"/>
        </w:rPr>
        <w:t xml:space="preserve"> We know from experience both that the overwhelming majority of consumers in major metropolitan markets will appreciate not receiving a large book that they no longer find to be of any use and that the small percentage who do still use the printed residential white pages find it easy and convenient to call and request a free copy.  The sooner Dex One can implement “upon request” delivery of residential white pages in Washington, the better for all concerned.  </w:t>
      </w:r>
    </w:p>
    <w:p w:rsidR="00BD27F9" w:rsidRDefault="00BD27F9" w:rsidP="00BD27F9">
      <w:pPr>
        <w:spacing w:line="276" w:lineRule="auto"/>
        <w:rPr>
          <w:rFonts w:ascii="Times New Roman" w:eastAsiaTheme="minorHAnsi" w:hAnsi="Times New Roman"/>
        </w:rPr>
      </w:pPr>
    </w:p>
    <w:p w:rsidR="000C3CC6" w:rsidRDefault="00470ED2">
      <w:pPr>
        <w:spacing w:line="276" w:lineRule="auto"/>
        <w:ind w:firstLine="720"/>
        <w:rPr>
          <w:rFonts w:ascii="Times New Roman" w:eastAsiaTheme="minorHAnsi" w:hAnsi="Times New Roman"/>
        </w:rPr>
      </w:pPr>
      <w:r>
        <w:rPr>
          <w:rFonts w:ascii="Times New Roman" w:eastAsiaTheme="minorHAnsi" w:hAnsi="Times New Roman"/>
        </w:rPr>
        <w:t xml:space="preserve">While Dex </w:t>
      </w:r>
      <w:r w:rsidR="00324E2F">
        <w:rPr>
          <w:rFonts w:ascii="Times New Roman" w:eastAsiaTheme="minorHAnsi" w:hAnsi="Times New Roman"/>
        </w:rPr>
        <w:t>One c</w:t>
      </w:r>
      <w:r>
        <w:rPr>
          <w:rFonts w:ascii="Times New Roman" w:eastAsiaTheme="minorHAnsi" w:hAnsi="Times New Roman"/>
        </w:rPr>
        <w:t xml:space="preserve">ontinues to </w:t>
      </w:r>
      <w:r w:rsidR="00324E2F">
        <w:rPr>
          <w:rFonts w:ascii="Times New Roman" w:eastAsiaTheme="minorHAnsi" w:hAnsi="Times New Roman"/>
        </w:rPr>
        <w:t>believe that any regulation of directory distribution—white or yellow pages—is no longer necessary to protect the public interest, should the Commission decide to retain some form of rule, we offer the following points that should be incorporated in any revision of the rule:</w:t>
      </w:r>
    </w:p>
    <w:p w:rsidR="000C3CC6" w:rsidRDefault="000C3CC6">
      <w:pPr>
        <w:spacing w:line="276" w:lineRule="auto"/>
        <w:ind w:firstLine="720"/>
        <w:rPr>
          <w:rFonts w:ascii="Times New Roman" w:eastAsiaTheme="minorHAnsi" w:hAnsi="Times New Roman"/>
        </w:rPr>
      </w:pPr>
    </w:p>
    <w:p w:rsidR="000C3CC6" w:rsidRDefault="00324E2F">
      <w:pPr>
        <w:pStyle w:val="ListParagraph"/>
        <w:numPr>
          <w:ilvl w:val="0"/>
          <w:numId w:val="1"/>
        </w:numPr>
        <w:spacing w:line="276" w:lineRule="auto"/>
        <w:rPr>
          <w:rFonts w:ascii="Times New Roman" w:eastAsiaTheme="minorHAnsi" w:hAnsi="Times New Roman"/>
        </w:rPr>
      </w:pPr>
      <w:r>
        <w:rPr>
          <w:rFonts w:ascii="Times New Roman" w:eastAsiaTheme="minorHAnsi" w:hAnsi="Times New Roman"/>
        </w:rPr>
        <w:t>Opt-in distribution should be allowed for white pages.  Opt-out is not efficient and fails to achieve the public interest goals for a print publication that only</w:t>
      </w:r>
      <w:r w:rsidR="00EB654C">
        <w:rPr>
          <w:rFonts w:ascii="Times New Roman" w:eastAsiaTheme="minorHAnsi" w:hAnsi="Times New Roman"/>
        </w:rPr>
        <w:t xml:space="preserve"> about 5</w:t>
      </w:r>
      <w:r>
        <w:rPr>
          <w:rFonts w:ascii="Times New Roman" w:eastAsiaTheme="minorHAnsi" w:hAnsi="Times New Roman"/>
        </w:rPr>
        <w:t>% or less of households will use.</w:t>
      </w:r>
    </w:p>
    <w:p w:rsidR="00F0415D" w:rsidRDefault="00F0415D" w:rsidP="00F0415D">
      <w:pPr>
        <w:pStyle w:val="ListParagraph"/>
        <w:spacing w:line="276" w:lineRule="auto"/>
        <w:ind w:left="1440"/>
        <w:rPr>
          <w:rFonts w:ascii="Times New Roman" w:eastAsiaTheme="minorHAnsi" w:hAnsi="Times New Roman"/>
        </w:rPr>
      </w:pPr>
    </w:p>
    <w:p w:rsidR="000C3CC6" w:rsidRDefault="00324E2F">
      <w:pPr>
        <w:pStyle w:val="ListParagraph"/>
        <w:numPr>
          <w:ilvl w:val="0"/>
          <w:numId w:val="1"/>
        </w:numPr>
        <w:spacing w:line="276" w:lineRule="auto"/>
        <w:rPr>
          <w:rFonts w:ascii="Times New Roman" w:eastAsiaTheme="minorHAnsi" w:hAnsi="Times New Roman"/>
        </w:rPr>
      </w:pPr>
      <w:r>
        <w:rPr>
          <w:rFonts w:ascii="Times New Roman" w:eastAsiaTheme="minorHAnsi" w:hAnsi="Times New Roman"/>
        </w:rPr>
        <w:t>The switch to opt-in should not be mandated.  It should be left to the discretion of the directory publisher (or LEC, if the LEC still publishes in-house), since it may not be efficient or consistent with consumer demands in smaller markets.</w:t>
      </w:r>
    </w:p>
    <w:p w:rsidR="00F0415D" w:rsidRDefault="00F0415D" w:rsidP="00F0415D">
      <w:pPr>
        <w:pStyle w:val="ListParagraph"/>
        <w:spacing w:line="276" w:lineRule="auto"/>
        <w:ind w:left="1440"/>
        <w:rPr>
          <w:rFonts w:ascii="Times New Roman" w:eastAsiaTheme="minorHAnsi" w:hAnsi="Times New Roman"/>
        </w:rPr>
      </w:pPr>
    </w:p>
    <w:p w:rsidR="000C3CC6" w:rsidRDefault="00F0415D">
      <w:pPr>
        <w:pStyle w:val="ListParagraph"/>
        <w:numPr>
          <w:ilvl w:val="0"/>
          <w:numId w:val="1"/>
        </w:numPr>
        <w:spacing w:line="276" w:lineRule="auto"/>
        <w:rPr>
          <w:rFonts w:ascii="Times New Roman" w:eastAsiaTheme="minorHAnsi" w:hAnsi="Times New Roman"/>
        </w:rPr>
      </w:pPr>
      <w:r>
        <w:rPr>
          <w:rFonts w:ascii="Times New Roman" w:eastAsiaTheme="minorHAnsi" w:hAnsi="Times New Roman"/>
        </w:rPr>
        <w:t>Customer n</w:t>
      </w:r>
      <w:r w:rsidR="00324E2F">
        <w:rPr>
          <w:rFonts w:ascii="Times New Roman" w:eastAsiaTheme="minorHAnsi" w:hAnsi="Times New Roman"/>
        </w:rPr>
        <w:t xml:space="preserve">otification should be ubiquitous, but </w:t>
      </w:r>
      <w:r w:rsidR="000A2D50" w:rsidRPr="000A2D50">
        <w:rPr>
          <w:rFonts w:ascii="Times New Roman" w:eastAsiaTheme="minorHAnsi" w:hAnsi="Times New Roman"/>
          <w:b/>
          <w:i/>
        </w:rPr>
        <w:t>contextual</w:t>
      </w:r>
      <w:r w:rsidR="00E64220">
        <w:rPr>
          <w:rFonts w:ascii="Times New Roman" w:eastAsiaTheme="minorHAnsi" w:hAnsi="Times New Roman"/>
        </w:rPr>
        <w:t xml:space="preserve">; </w:t>
      </w:r>
      <w:r w:rsidR="00E64220" w:rsidRPr="00EB654C">
        <w:rPr>
          <w:rFonts w:ascii="Times New Roman" w:eastAsiaTheme="minorHAnsi" w:hAnsi="Times New Roman"/>
          <w:i/>
        </w:rPr>
        <w:t>i.e.</w:t>
      </w:r>
      <w:r w:rsidR="00E64220">
        <w:rPr>
          <w:rFonts w:ascii="Times New Roman" w:eastAsiaTheme="minorHAnsi" w:hAnsi="Times New Roman"/>
        </w:rPr>
        <w:t xml:space="preserve"> related to phone directories.</w:t>
      </w:r>
      <w:r w:rsidR="00324E2F">
        <w:rPr>
          <w:rFonts w:ascii="Times New Roman" w:eastAsiaTheme="minorHAnsi" w:hAnsi="Times New Roman"/>
        </w:rPr>
        <w:t xml:space="preserve">  </w:t>
      </w:r>
      <w:r w:rsidR="00EB654C">
        <w:rPr>
          <w:rFonts w:ascii="Times New Roman" w:eastAsiaTheme="minorHAnsi" w:hAnsi="Times New Roman"/>
        </w:rPr>
        <w:t>But details should be left to the publisher’s discretion.  If any specific notice requirement is proposed, Dex suggests that it tie</w:t>
      </w:r>
      <w:r w:rsidR="00324E2F">
        <w:rPr>
          <w:rFonts w:ascii="Times New Roman" w:eastAsiaTheme="minorHAnsi" w:hAnsi="Times New Roman"/>
        </w:rPr>
        <w:t xml:space="preserve"> notices </w:t>
      </w:r>
      <w:r w:rsidR="00EB654C">
        <w:rPr>
          <w:rFonts w:ascii="Times New Roman" w:eastAsiaTheme="minorHAnsi" w:hAnsi="Times New Roman"/>
        </w:rPr>
        <w:t>to a</w:t>
      </w:r>
      <w:r w:rsidR="00E64220">
        <w:rPr>
          <w:rFonts w:ascii="Times New Roman" w:eastAsiaTheme="minorHAnsi" w:hAnsi="Times New Roman"/>
        </w:rPr>
        <w:t xml:space="preserve"> publisher’s yellow pages, such as Dex One provides</w:t>
      </w:r>
      <w:r w:rsidR="00324E2F">
        <w:rPr>
          <w:rFonts w:ascii="Times New Roman" w:eastAsiaTheme="minorHAnsi" w:hAnsi="Times New Roman"/>
        </w:rPr>
        <w:t xml:space="preserve"> in other states as shown in the attached slide deck</w:t>
      </w:r>
      <w:r w:rsidR="00EB654C">
        <w:rPr>
          <w:rFonts w:ascii="Times New Roman" w:eastAsiaTheme="minorHAnsi" w:hAnsi="Times New Roman"/>
        </w:rPr>
        <w:t>, again because such notice is contextual</w:t>
      </w:r>
      <w:r w:rsidR="00324E2F">
        <w:rPr>
          <w:rFonts w:ascii="Times New Roman" w:eastAsiaTheme="minorHAnsi" w:hAnsi="Times New Roman"/>
        </w:rPr>
        <w:t>.</w:t>
      </w:r>
      <w:r w:rsidR="00E64220">
        <w:rPr>
          <w:rFonts w:ascii="Times New Roman" w:eastAsiaTheme="minorHAnsi" w:hAnsi="Times New Roman"/>
        </w:rPr>
        <w:t xml:space="preserve">  Experience shows that direct mail, billing inserts, and other non-contextual notifications are very ineffective and yet can be very costly.</w:t>
      </w:r>
    </w:p>
    <w:p w:rsidR="00F0415D" w:rsidRDefault="00F0415D" w:rsidP="00F0415D">
      <w:pPr>
        <w:pStyle w:val="ListParagraph"/>
        <w:spacing w:line="276" w:lineRule="auto"/>
        <w:ind w:left="1440"/>
        <w:rPr>
          <w:rFonts w:ascii="Times New Roman" w:eastAsiaTheme="minorHAnsi" w:hAnsi="Times New Roman"/>
        </w:rPr>
      </w:pPr>
    </w:p>
    <w:p w:rsidR="000C3CC6" w:rsidRDefault="00E64220">
      <w:pPr>
        <w:pStyle w:val="ListParagraph"/>
        <w:numPr>
          <w:ilvl w:val="0"/>
          <w:numId w:val="1"/>
        </w:numPr>
        <w:spacing w:line="276" w:lineRule="auto"/>
        <w:rPr>
          <w:rFonts w:ascii="Times New Roman" w:eastAsiaTheme="minorHAnsi" w:hAnsi="Times New Roman"/>
        </w:rPr>
      </w:pPr>
      <w:r>
        <w:rPr>
          <w:rFonts w:ascii="Times New Roman" w:eastAsiaTheme="minorHAnsi" w:hAnsi="Times New Roman"/>
        </w:rPr>
        <w:t xml:space="preserve">Dex One does not object to requiring emergency numbers, government listings, and phone company information to be delivered on a saturation basis; </w:t>
      </w:r>
      <w:r w:rsidRPr="00EB654C">
        <w:rPr>
          <w:rFonts w:ascii="Times New Roman" w:eastAsiaTheme="minorHAnsi" w:hAnsi="Times New Roman"/>
          <w:i/>
        </w:rPr>
        <w:t>e.g</w:t>
      </w:r>
      <w:r>
        <w:rPr>
          <w:rFonts w:ascii="Times New Roman" w:eastAsiaTheme="minorHAnsi" w:hAnsi="Times New Roman"/>
        </w:rPr>
        <w:t>. in a publisher’s yellow pages.</w:t>
      </w:r>
    </w:p>
    <w:p w:rsidR="000C3CC6" w:rsidRDefault="00E64220">
      <w:pPr>
        <w:pStyle w:val="ListParagraph"/>
        <w:numPr>
          <w:ilvl w:val="0"/>
          <w:numId w:val="1"/>
        </w:numPr>
        <w:spacing w:line="276" w:lineRule="auto"/>
        <w:rPr>
          <w:rFonts w:ascii="Times New Roman" w:eastAsiaTheme="minorHAnsi" w:hAnsi="Times New Roman"/>
        </w:rPr>
      </w:pPr>
      <w:r>
        <w:rPr>
          <w:rFonts w:ascii="Times New Roman" w:eastAsiaTheme="minorHAnsi" w:hAnsi="Times New Roman"/>
        </w:rPr>
        <w:lastRenderedPageBreak/>
        <w:t>Regulations should be kept to a minimum, as the market is very competitive—particularly considering online options for consumers—and is evolving rapidly.  Publishers need flexibility to keep up with the changes and</w:t>
      </w:r>
      <w:r w:rsidR="00BD27F9">
        <w:rPr>
          <w:rFonts w:ascii="Times New Roman" w:eastAsiaTheme="minorHAnsi" w:hAnsi="Times New Roman"/>
        </w:rPr>
        <w:t xml:space="preserve"> to</w:t>
      </w:r>
      <w:r>
        <w:rPr>
          <w:rFonts w:ascii="Times New Roman" w:eastAsiaTheme="minorHAnsi" w:hAnsi="Times New Roman"/>
        </w:rPr>
        <w:t xml:space="preserve"> keep their print publications financially viable and healthy.</w:t>
      </w:r>
    </w:p>
    <w:p w:rsidR="00A44EBB" w:rsidRDefault="00A44EBB" w:rsidP="00A44EBB">
      <w:pPr>
        <w:spacing w:line="276" w:lineRule="auto"/>
        <w:rPr>
          <w:rFonts w:ascii="Times New Roman" w:eastAsiaTheme="minorHAnsi" w:hAnsi="Times New Roman"/>
        </w:rPr>
      </w:pPr>
    </w:p>
    <w:p w:rsidR="00A44EBB" w:rsidRPr="00A44EBB" w:rsidRDefault="00A44EBB" w:rsidP="00A44EBB">
      <w:pPr>
        <w:spacing w:after="200" w:line="276" w:lineRule="auto"/>
        <w:rPr>
          <w:rFonts w:ascii="Times New Roman" w:eastAsiaTheme="minorHAnsi" w:hAnsi="Times New Roman"/>
        </w:rPr>
      </w:pPr>
      <w:r>
        <w:rPr>
          <w:rFonts w:ascii="Times New Roman" w:eastAsiaTheme="minorHAnsi" w:hAnsi="Times New Roman"/>
        </w:rPr>
        <w:tab/>
      </w:r>
      <w:r w:rsidR="00E64220">
        <w:rPr>
          <w:rFonts w:ascii="Times New Roman" w:eastAsiaTheme="minorHAnsi" w:hAnsi="Times New Roman"/>
        </w:rPr>
        <w:t xml:space="preserve">Again, Dex One appreciates the Commission’s consideration of the need to update its </w:t>
      </w:r>
      <w:r w:rsidR="00BD27F9">
        <w:rPr>
          <w:rFonts w:ascii="Times New Roman" w:eastAsiaTheme="minorHAnsi" w:hAnsi="Times New Roman"/>
        </w:rPr>
        <w:t xml:space="preserve">directory rule.  We have substantial experience with these issues on both the business and regulatory sides.  We look forward to working with the staff and would be happy to serve as a resource for the Commission as it works through the rulemaking process. </w:t>
      </w:r>
    </w:p>
    <w:p w:rsidR="00555475" w:rsidRDefault="00555475" w:rsidP="00555475">
      <w:r>
        <w:tab/>
      </w:r>
      <w:r>
        <w:tab/>
      </w:r>
      <w:r>
        <w:tab/>
      </w:r>
      <w:r>
        <w:tab/>
      </w:r>
      <w:r>
        <w:tab/>
      </w:r>
      <w:r w:rsidR="00A44EBB">
        <w:t>Very truly yours</w:t>
      </w:r>
      <w:r>
        <w:t>,</w:t>
      </w:r>
    </w:p>
    <w:p w:rsidR="00555475" w:rsidRDefault="00555475" w:rsidP="00555475"/>
    <w:p w:rsidR="00555475" w:rsidRDefault="00A74701" w:rsidP="00915857">
      <w:pPr>
        <w:ind w:left="3600"/>
      </w:pPr>
      <w:r>
        <w:rPr>
          <w:noProof/>
        </w:rPr>
        <w:drawing>
          <wp:inline distT="0" distB="0" distL="0" distR="0">
            <wp:extent cx="1933575" cy="390525"/>
            <wp:effectExtent l="19050" t="0" r="9525" b="0"/>
            <wp:docPr id="1"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8" cstate="print"/>
                    <a:srcRect/>
                    <a:stretch>
                      <a:fillRect/>
                    </a:stretch>
                  </pic:blipFill>
                  <pic:spPr bwMode="auto">
                    <a:xfrm>
                      <a:off x="0" y="0"/>
                      <a:ext cx="1933575" cy="390525"/>
                    </a:xfrm>
                    <a:prstGeom prst="rect">
                      <a:avLst/>
                    </a:prstGeom>
                    <a:noFill/>
                    <a:ln w="9525">
                      <a:noFill/>
                      <a:miter lim="800000"/>
                      <a:headEnd/>
                      <a:tailEnd/>
                    </a:ln>
                  </pic:spPr>
                </pic:pic>
              </a:graphicData>
            </a:graphic>
          </wp:inline>
        </w:drawing>
      </w:r>
    </w:p>
    <w:p w:rsidR="00555475" w:rsidRDefault="00555475" w:rsidP="00555475"/>
    <w:p w:rsidR="00555475" w:rsidRDefault="00555475" w:rsidP="00555475">
      <w:r>
        <w:tab/>
      </w:r>
      <w:r>
        <w:tab/>
      </w:r>
      <w:r>
        <w:tab/>
      </w:r>
      <w:r>
        <w:tab/>
      </w:r>
      <w:r>
        <w:tab/>
      </w:r>
      <w:r w:rsidR="0016576F">
        <w:t>Brooks E. Harlow</w:t>
      </w:r>
    </w:p>
    <w:p w:rsidR="00555475" w:rsidRDefault="0085114B" w:rsidP="00555475">
      <w:r>
        <w:tab/>
      </w:r>
      <w:r>
        <w:tab/>
      </w:r>
      <w:r>
        <w:tab/>
      </w:r>
      <w:r>
        <w:tab/>
      </w:r>
      <w:r>
        <w:tab/>
      </w:r>
    </w:p>
    <w:p w:rsidR="00555475" w:rsidRDefault="00555475" w:rsidP="00555475">
      <w:pPr>
        <w:rPr>
          <w:i/>
        </w:rPr>
      </w:pPr>
      <w:r>
        <w:tab/>
      </w:r>
      <w:r>
        <w:tab/>
      </w:r>
      <w:r>
        <w:tab/>
      </w:r>
      <w:r>
        <w:tab/>
      </w:r>
      <w:r>
        <w:tab/>
      </w:r>
      <w:r>
        <w:rPr>
          <w:i/>
        </w:rPr>
        <w:t xml:space="preserve">Counsel for </w:t>
      </w:r>
      <w:r w:rsidR="00A44EBB">
        <w:rPr>
          <w:i/>
        </w:rPr>
        <w:t>Dex One.</w:t>
      </w:r>
    </w:p>
    <w:p w:rsidR="00555475" w:rsidRDefault="00555475" w:rsidP="00555475">
      <w:pPr>
        <w:rPr>
          <w:i/>
        </w:rPr>
      </w:pPr>
    </w:p>
    <w:p w:rsidR="00A44EBB" w:rsidRPr="007D0B5E" w:rsidRDefault="00A44EBB" w:rsidP="00A44EBB">
      <w:pPr>
        <w:rPr>
          <w:rFonts w:ascii="Times New Roman" w:hAnsi="Times New Roman"/>
          <w:sz w:val="20"/>
        </w:rPr>
      </w:pPr>
      <w:r>
        <w:rPr>
          <w:rFonts w:ascii="Times New Roman" w:hAnsi="Times New Roman"/>
          <w:i/>
          <w:sz w:val="20"/>
        </w:rPr>
        <w:t>CC via email:</w:t>
      </w:r>
    </w:p>
    <w:p w:rsidR="00A3484B" w:rsidRDefault="00A3484B" w:rsidP="00A44EBB">
      <w:pPr>
        <w:rPr>
          <w:sz w:val="20"/>
        </w:rPr>
      </w:pPr>
      <w:r>
        <w:rPr>
          <w:sz w:val="20"/>
        </w:rPr>
        <w:t>Brian Thomas</w:t>
      </w:r>
    </w:p>
    <w:p w:rsidR="00A44EBB" w:rsidRDefault="00A44EBB" w:rsidP="00A44EBB">
      <w:pPr>
        <w:rPr>
          <w:sz w:val="20"/>
        </w:rPr>
      </w:pPr>
      <w:r>
        <w:rPr>
          <w:sz w:val="20"/>
        </w:rPr>
        <w:t>John Cupp</w:t>
      </w:r>
    </w:p>
    <w:p w:rsidR="00200F62" w:rsidRDefault="00200F62" w:rsidP="00A44EBB"/>
    <w:p w:rsidR="00555475" w:rsidRPr="00555475" w:rsidRDefault="00A44EBB" w:rsidP="00555475">
      <w:pPr>
        <w:rPr>
          <w:rFonts w:ascii="Times New Roman" w:hAnsi="Times New Roman"/>
          <w:szCs w:val="24"/>
        </w:rPr>
      </w:pPr>
      <w:r>
        <w:rPr>
          <w:rFonts w:ascii="Times New Roman" w:hAnsi="Times New Roman"/>
          <w:szCs w:val="24"/>
        </w:rPr>
        <w:t>Attachment</w:t>
      </w:r>
    </w:p>
    <w:sectPr w:rsidR="00555475" w:rsidRPr="00555475" w:rsidSect="001379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0E" w:rsidRDefault="00CA180E" w:rsidP="00F452C3">
      <w:r>
        <w:separator/>
      </w:r>
    </w:p>
  </w:endnote>
  <w:endnote w:type="continuationSeparator" w:id="0">
    <w:p w:rsidR="00CA180E" w:rsidRDefault="00CA180E" w:rsidP="00F45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B5" w:rsidRDefault="000C1D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B5" w:rsidRDefault="000C1D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B5" w:rsidRDefault="000C1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0E" w:rsidRDefault="00CA180E" w:rsidP="00F452C3">
      <w:r>
        <w:separator/>
      </w:r>
    </w:p>
  </w:footnote>
  <w:footnote w:type="continuationSeparator" w:id="0">
    <w:p w:rsidR="00CA180E" w:rsidRDefault="00CA180E" w:rsidP="00F45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B5" w:rsidRDefault="000C1D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A9" w:rsidRDefault="00716C27" w:rsidP="00BA5CDF">
    <w:pPr>
      <w:pStyle w:val="Header"/>
    </w:pPr>
    <w:r>
      <w:t>UT-</w:t>
    </w:r>
    <w:r w:rsidR="00A44EBB">
      <w:t>120451</w:t>
    </w:r>
  </w:p>
  <w:p w:rsidR="00716C27" w:rsidRDefault="00A44EBB" w:rsidP="00BA5CDF">
    <w:pPr>
      <w:pStyle w:val="Header"/>
    </w:pPr>
    <w:r>
      <w:t xml:space="preserve">June </w:t>
    </w:r>
    <w:r w:rsidR="00F0415D">
      <w:t>1</w:t>
    </w:r>
    <w:r>
      <w:t>5</w:t>
    </w:r>
    <w:r w:rsidR="00716C27">
      <w:t>, 2012</w:t>
    </w:r>
  </w:p>
  <w:p w:rsidR="002241A9" w:rsidRDefault="002241A9" w:rsidP="00BA5CDF">
    <w:pPr>
      <w:pStyle w:val="Header"/>
    </w:pPr>
    <w:r>
      <w:t xml:space="preserve">Page </w:t>
    </w:r>
    <w:r w:rsidR="00A7210A">
      <w:fldChar w:fldCharType="begin"/>
    </w:r>
    <w:r w:rsidR="00DE361D">
      <w:instrText xml:space="preserve"> PAGE </w:instrText>
    </w:r>
    <w:r w:rsidR="00A7210A">
      <w:fldChar w:fldCharType="separate"/>
    </w:r>
    <w:r w:rsidR="000C1DB5">
      <w:rPr>
        <w:noProof/>
      </w:rPr>
      <w:t>3</w:t>
    </w:r>
    <w:r w:rsidR="00A7210A">
      <w:fldChar w:fldCharType="end"/>
    </w:r>
    <w:r>
      <w:t xml:space="preserve"> of </w:t>
    </w:r>
    <w:r w:rsidR="00A7210A">
      <w:fldChar w:fldCharType="begin"/>
    </w:r>
    <w:r w:rsidR="00DE361D">
      <w:instrText xml:space="preserve"> NUMPAGES  </w:instrText>
    </w:r>
    <w:r w:rsidR="00A7210A">
      <w:fldChar w:fldCharType="separate"/>
    </w:r>
    <w:r w:rsidR="000C1DB5">
      <w:rPr>
        <w:noProof/>
      </w:rPr>
      <w:t>3</w:t>
    </w:r>
    <w:r w:rsidR="00A7210A">
      <w:fldChar w:fldCharType="end"/>
    </w:r>
  </w:p>
  <w:p w:rsidR="002241A9" w:rsidRDefault="002241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B5" w:rsidRDefault="000C1D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68E8"/>
    <w:multiLevelType w:val="hybridMultilevel"/>
    <w:tmpl w:val="9A380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1966CB"/>
    <w:rsid w:val="00022A83"/>
    <w:rsid w:val="0002506D"/>
    <w:rsid w:val="00053892"/>
    <w:rsid w:val="0008467E"/>
    <w:rsid w:val="00092049"/>
    <w:rsid w:val="000A2D50"/>
    <w:rsid w:val="000A6A4A"/>
    <w:rsid w:val="000B7F4C"/>
    <w:rsid w:val="000C1DB5"/>
    <w:rsid w:val="000C2191"/>
    <w:rsid w:val="000C3CC6"/>
    <w:rsid w:val="000D289B"/>
    <w:rsid w:val="000F6097"/>
    <w:rsid w:val="00100B1B"/>
    <w:rsid w:val="00121A26"/>
    <w:rsid w:val="00137938"/>
    <w:rsid w:val="001476B6"/>
    <w:rsid w:val="0016576F"/>
    <w:rsid w:val="001779EA"/>
    <w:rsid w:val="001966CB"/>
    <w:rsid w:val="001A6EC7"/>
    <w:rsid w:val="001A7FEE"/>
    <w:rsid w:val="00200F62"/>
    <w:rsid w:val="00210691"/>
    <w:rsid w:val="00221B09"/>
    <w:rsid w:val="002241A9"/>
    <w:rsid w:val="0023065A"/>
    <w:rsid w:val="00252B75"/>
    <w:rsid w:val="00273062"/>
    <w:rsid w:val="00285A15"/>
    <w:rsid w:val="002A6F1F"/>
    <w:rsid w:val="002C48AD"/>
    <w:rsid w:val="002C5BBC"/>
    <w:rsid w:val="002E4FF7"/>
    <w:rsid w:val="002E697A"/>
    <w:rsid w:val="00302022"/>
    <w:rsid w:val="00316A13"/>
    <w:rsid w:val="00324E2F"/>
    <w:rsid w:val="00364C23"/>
    <w:rsid w:val="003B09AF"/>
    <w:rsid w:val="003B50D7"/>
    <w:rsid w:val="003B5AAF"/>
    <w:rsid w:val="003C3CFE"/>
    <w:rsid w:val="003F07DC"/>
    <w:rsid w:val="00401424"/>
    <w:rsid w:val="0041052A"/>
    <w:rsid w:val="00436B86"/>
    <w:rsid w:val="004468F5"/>
    <w:rsid w:val="00456712"/>
    <w:rsid w:val="00470ED2"/>
    <w:rsid w:val="00477197"/>
    <w:rsid w:val="004771A4"/>
    <w:rsid w:val="00492894"/>
    <w:rsid w:val="004C5CB2"/>
    <w:rsid w:val="00512DEF"/>
    <w:rsid w:val="00531FDE"/>
    <w:rsid w:val="005324FE"/>
    <w:rsid w:val="00555475"/>
    <w:rsid w:val="005A4DE9"/>
    <w:rsid w:val="005B106C"/>
    <w:rsid w:val="005C16FD"/>
    <w:rsid w:val="005D5B15"/>
    <w:rsid w:val="005E75A6"/>
    <w:rsid w:val="005F4EB7"/>
    <w:rsid w:val="00610C57"/>
    <w:rsid w:val="00617F4E"/>
    <w:rsid w:val="0063253F"/>
    <w:rsid w:val="00640151"/>
    <w:rsid w:val="006B6BD7"/>
    <w:rsid w:val="006D214B"/>
    <w:rsid w:val="006D35E9"/>
    <w:rsid w:val="006D6578"/>
    <w:rsid w:val="006F16A9"/>
    <w:rsid w:val="007055AB"/>
    <w:rsid w:val="0071040C"/>
    <w:rsid w:val="00716C27"/>
    <w:rsid w:val="00732591"/>
    <w:rsid w:val="00746E99"/>
    <w:rsid w:val="00753308"/>
    <w:rsid w:val="00772AB3"/>
    <w:rsid w:val="00774273"/>
    <w:rsid w:val="00780594"/>
    <w:rsid w:val="007B3C13"/>
    <w:rsid w:val="007E1E7F"/>
    <w:rsid w:val="008075EB"/>
    <w:rsid w:val="008170F3"/>
    <w:rsid w:val="00821B42"/>
    <w:rsid w:val="0085114B"/>
    <w:rsid w:val="008576BE"/>
    <w:rsid w:val="00864740"/>
    <w:rsid w:val="008914BB"/>
    <w:rsid w:val="008A1A2F"/>
    <w:rsid w:val="008A1CD2"/>
    <w:rsid w:val="008B02A1"/>
    <w:rsid w:val="008B3FB2"/>
    <w:rsid w:val="00915857"/>
    <w:rsid w:val="009541A6"/>
    <w:rsid w:val="009657B6"/>
    <w:rsid w:val="009802C0"/>
    <w:rsid w:val="00A3484B"/>
    <w:rsid w:val="00A44EBB"/>
    <w:rsid w:val="00A606CA"/>
    <w:rsid w:val="00A63253"/>
    <w:rsid w:val="00A7210A"/>
    <w:rsid w:val="00A74701"/>
    <w:rsid w:val="00A81C07"/>
    <w:rsid w:val="00A87773"/>
    <w:rsid w:val="00AD0687"/>
    <w:rsid w:val="00B34C22"/>
    <w:rsid w:val="00B37D7D"/>
    <w:rsid w:val="00B76D13"/>
    <w:rsid w:val="00B95D75"/>
    <w:rsid w:val="00BA5CDF"/>
    <w:rsid w:val="00BA71D9"/>
    <w:rsid w:val="00BB5D47"/>
    <w:rsid w:val="00BD27F9"/>
    <w:rsid w:val="00BD4274"/>
    <w:rsid w:val="00C11975"/>
    <w:rsid w:val="00C14492"/>
    <w:rsid w:val="00C4257C"/>
    <w:rsid w:val="00C6077A"/>
    <w:rsid w:val="00C75A2E"/>
    <w:rsid w:val="00CA180E"/>
    <w:rsid w:val="00CE3DB7"/>
    <w:rsid w:val="00D07B31"/>
    <w:rsid w:val="00D11CDA"/>
    <w:rsid w:val="00DE361D"/>
    <w:rsid w:val="00DE4460"/>
    <w:rsid w:val="00E07758"/>
    <w:rsid w:val="00E412FA"/>
    <w:rsid w:val="00E44410"/>
    <w:rsid w:val="00E64220"/>
    <w:rsid w:val="00E75987"/>
    <w:rsid w:val="00EA3416"/>
    <w:rsid w:val="00EB35C8"/>
    <w:rsid w:val="00EB4F16"/>
    <w:rsid w:val="00EB654C"/>
    <w:rsid w:val="00EC4BB4"/>
    <w:rsid w:val="00EF2C7C"/>
    <w:rsid w:val="00F0415D"/>
    <w:rsid w:val="00F2377A"/>
    <w:rsid w:val="00F420AC"/>
    <w:rsid w:val="00F452C3"/>
    <w:rsid w:val="00F53475"/>
    <w:rsid w:val="00F971D6"/>
    <w:rsid w:val="00FD187E"/>
    <w:rsid w:val="00FD42A7"/>
    <w:rsid w:val="00FD7C65"/>
    <w:rsid w:val="00FE1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966CB"/>
    <w:rPr>
      <w:rFonts w:ascii="Tahoma" w:hAnsi="Tahoma" w:cs="Tahoma"/>
      <w:sz w:val="16"/>
      <w:szCs w:val="16"/>
    </w:rPr>
  </w:style>
  <w:style w:type="character" w:customStyle="1" w:styleId="BalloonTextChar">
    <w:name w:val="Balloon Text Char"/>
    <w:basedOn w:val="DefaultParagraphFont"/>
    <w:link w:val="BalloonText"/>
    <w:uiPriority w:val="99"/>
    <w:semiHidden/>
    <w:rsid w:val="001966CB"/>
    <w:rPr>
      <w:rFonts w:ascii="Tahoma" w:hAnsi="Tahoma" w:cs="Tahoma"/>
      <w:sz w:val="16"/>
      <w:szCs w:val="16"/>
    </w:rPr>
  </w:style>
  <w:style w:type="paragraph" w:customStyle="1" w:styleId="Default">
    <w:name w:val="Default"/>
    <w:rsid w:val="00F452C3"/>
    <w:pPr>
      <w:autoSpaceDE w:val="0"/>
      <w:autoSpaceDN w:val="0"/>
      <w:adjustRightInd w:val="0"/>
    </w:pPr>
    <w:rPr>
      <w:rFonts w:ascii="Times New Roman" w:hAnsi="Times New Roman"/>
      <w:color w:val="000000"/>
      <w:sz w:val="24"/>
      <w:szCs w:val="24"/>
    </w:rPr>
  </w:style>
  <w:style w:type="paragraph" w:customStyle="1" w:styleId="20sp05">
    <w:name w:val="_2.0sp 0.5&quot;"/>
    <w:basedOn w:val="Normal"/>
    <w:rsid w:val="00F452C3"/>
    <w:pPr>
      <w:suppressAutoHyphens/>
      <w:spacing w:line="480" w:lineRule="auto"/>
      <w:ind w:firstLine="720"/>
    </w:pPr>
    <w:rPr>
      <w:rFonts w:ascii="Times New Roman" w:eastAsia="SimSun" w:hAnsi="Times New Roman"/>
      <w:sz w:val="26"/>
    </w:rPr>
  </w:style>
  <w:style w:type="character" w:styleId="FootnoteReference">
    <w:name w:val="footnote reference"/>
    <w:semiHidden/>
    <w:rsid w:val="00F452C3"/>
    <w:rPr>
      <w:vertAlign w:val="superscript"/>
    </w:rPr>
  </w:style>
  <w:style w:type="paragraph" w:styleId="FootnoteText">
    <w:name w:val="footnote text"/>
    <w:basedOn w:val="Normal"/>
    <w:link w:val="FootnoteTextChar"/>
    <w:semiHidden/>
    <w:rsid w:val="00F452C3"/>
    <w:pPr>
      <w:suppressAutoHyphens/>
      <w:spacing w:after="120"/>
    </w:pPr>
    <w:rPr>
      <w:rFonts w:ascii="Times New Roman" w:eastAsia="SimSun" w:hAnsi="Times New Roman"/>
      <w:sz w:val="20"/>
    </w:rPr>
  </w:style>
  <w:style w:type="character" w:customStyle="1" w:styleId="FootnoteTextChar">
    <w:name w:val="Footnote Text Char"/>
    <w:basedOn w:val="DefaultParagraphFont"/>
    <w:link w:val="FootnoteText"/>
    <w:semiHidden/>
    <w:rsid w:val="00F452C3"/>
    <w:rPr>
      <w:rFonts w:ascii="Times New Roman" w:eastAsia="SimSun" w:hAnsi="Times New Roman"/>
    </w:rPr>
  </w:style>
  <w:style w:type="paragraph" w:styleId="EndnoteText">
    <w:name w:val="endnote text"/>
    <w:basedOn w:val="Normal"/>
    <w:link w:val="EndnoteTextChar"/>
    <w:uiPriority w:val="99"/>
    <w:semiHidden/>
    <w:unhideWhenUsed/>
    <w:rsid w:val="005E75A6"/>
    <w:rPr>
      <w:sz w:val="20"/>
    </w:rPr>
  </w:style>
  <w:style w:type="character" w:customStyle="1" w:styleId="EndnoteTextChar">
    <w:name w:val="Endnote Text Char"/>
    <w:basedOn w:val="DefaultParagraphFont"/>
    <w:link w:val="EndnoteText"/>
    <w:uiPriority w:val="99"/>
    <w:semiHidden/>
    <w:rsid w:val="005E75A6"/>
    <w:rPr>
      <w:rFonts w:ascii="Times" w:hAnsi="Times"/>
    </w:rPr>
  </w:style>
  <w:style w:type="character" w:styleId="EndnoteReference">
    <w:name w:val="endnote reference"/>
    <w:basedOn w:val="DefaultParagraphFont"/>
    <w:uiPriority w:val="99"/>
    <w:semiHidden/>
    <w:unhideWhenUsed/>
    <w:rsid w:val="005E75A6"/>
    <w:rPr>
      <w:vertAlign w:val="superscript"/>
    </w:rPr>
  </w:style>
  <w:style w:type="paragraph" w:styleId="Header">
    <w:name w:val="header"/>
    <w:basedOn w:val="Normal"/>
    <w:link w:val="HeaderChar"/>
    <w:uiPriority w:val="99"/>
    <w:unhideWhenUsed/>
    <w:rsid w:val="005D5B15"/>
    <w:pPr>
      <w:tabs>
        <w:tab w:val="center" w:pos="4680"/>
        <w:tab w:val="right" w:pos="9360"/>
      </w:tabs>
    </w:pPr>
  </w:style>
  <w:style w:type="character" w:customStyle="1" w:styleId="HeaderChar">
    <w:name w:val="Header Char"/>
    <w:basedOn w:val="DefaultParagraphFont"/>
    <w:link w:val="Header"/>
    <w:uiPriority w:val="99"/>
    <w:rsid w:val="005D5B15"/>
    <w:rPr>
      <w:rFonts w:ascii="Times" w:hAnsi="Times"/>
      <w:sz w:val="24"/>
    </w:rPr>
  </w:style>
  <w:style w:type="paragraph" w:styleId="Footer">
    <w:name w:val="footer"/>
    <w:basedOn w:val="Normal"/>
    <w:link w:val="FooterChar"/>
    <w:uiPriority w:val="99"/>
    <w:semiHidden/>
    <w:unhideWhenUsed/>
    <w:rsid w:val="005D5B15"/>
    <w:pPr>
      <w:tabs>
        <w:tab w:val="center" w:pos="4680"/>
        <w:tab w:val="right" w:pos="9360"/>
      </w:tabs>
    </w:pPr>
  </w:style>
  <w:style w:type="character" w:customStyle="1" w:styleId="FooterChar">
    <w:name w:val="Footer Char"/>
    <w:basedOn w:val="DefaultParagraphFont"/>
    <w:link w:val="Footer"/>
    <w:uiPriority w:val="99"/>
    <w:semiHidden/>
    <w:rsid w:val="005D5B15"/>
    <w:rPr>
      <w:rFonts w:ascii="Times" w:hAnsi="Times"/>
      <w:sz w:val="24"/>
    </w:rPr>
  </w:style>
  <w:style w:type="character" w:styleId="CommentReference">
    <w:name w:val="annotation reference"/>
    <w:basedOn w:val="DefaultParagraphFont"/>
    <w:uiPriority w:val="99"/>
    <w:semiHidden/>
    <w:unhideWhenUsed/>
    <w:rsid w:val="00AD0687"/>
    <w:rPr>
      <w:sz w:val="16"/>
      <w:szCs w:val="16"/>
    </w:rPr>
  </w:style>
  <w:style w:type="paragraph" w:styleId="CommentText">
    <w:name w:val="annotation text"/>
    <w:basedOn w:val="Normal"/>
    <w:link w:val="CommentTextChar"/>
    <w:uiPriority w:val="99"/>
    <w:semiHidden/>
    <w:unhideWhenUsed/>
    <w:rsid w:val="00AD0687"/>
    <w:rPr>
      <w:sz w:val="20"/>
    </w:rPr>
  </w:style>
  <w:style w:type="character" w:customStyle="1" w:styleId="CommentTextChar">
    <w:name w:val="Comment Text Char"/>
    <w:basedOn w:val="DefaultParagraphFont"/>
    <w:link w:val="CommentText"/>
    <w:uiPriority w:val="99"/>
    <w:semiHidden/>
    <w:rsid w:val="00AD0687"/>
    <w:rPr>
      <w:rFonts w:ascii="Times" w:hAnsi="Times"/>
    </w:rPr>
  </w:style>
  <w:style w:type="paragraph" w:styleId="CommentSubject">
    <w:name w:val="annotation subject"/>
    <w:basedOn w:val="CommentText"/>
    <w:next w:val="CommentText"/>
    <w:link w:val="CommentSubjectChar"/>
    <w:uiPriority w:val="99"/>
    <w:semiHidden/>
    <w:unhideWhenUsed/>
    <w:rsid w:val="00AD0687"/>
    <w:rPr>
      <w:b/>
      <w:bCs/>
    </w:rPr>
  </w:style>
  <w:style w:type="character" w:customStyle="1" w:styleId="CommentSubjectChar">
    <w:name w:val="Comment Subject Char"/>
    <w:basedOn w:val="CommentTextChar"/>
    <w:link w:val="CommentSubject"/>
    <w:uiPriority w:val="99"/>
    <w:semiHidden/>
    <w:rsid w:val="00AD0687"/>
    <w:rPr>
      <w:b/>
      <w:bCs/>
    </w:rPr>
  </w:style>
  <w:style w:type="paragraph" w:styleId="ListParagraph">
    <w:name w:val="List Paragraph"/>
    <w:basedOn w:val="Normal"/>
    <w:uiPriority w:val="34"/>
    <w:qFormat/>
    <w:rsid w:val="00324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2012-06-15T07:00:00+00:00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90C9B-312A-48A3-9DD8-4901B51C1CF5}"/>
</file>

<file path=customXml/itemProps2.xml><?xml version="1.0" encoding="utf-8"?>
<ds:datastoreItem xmlns:ds="http://schemas.openxmlformats.org/officeDocument/2006/customXml" ds:itemID="{C9B576DC-54B0-4B98-BA4F-F44745A5D07B}"/>
</file>

<file path=customXml/itemProps3.xml><?xml version="1.0" encoding="utf-8"?>
<ds:datastoreItem xmlns:ds="http://schemas.openxmlformats.org/officeDocument/2006/customXml" ds:itemID="{DF157FA0-7CD6-4E1E-AF7B-E652470C6D27}"/>
</file>

<file path=customXml/itemProps4.xml><?xml version="1.0" encoding="utf-8"?>
<ds:datastoreItem xmlns:ds="http://schemas.openxmlformats.org/officeDocument/2006/customXml" ds:itemID="{9C1E9872-C5C7-4D7A-98D5-AF5079FCC21B}"/>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2012-06-15T19:05:00Z</dcterms:created>
  <dcterms:modified xsi:type="dcterms:W3CDTF">2012-06-15T19:06:00Z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