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BD4" w:rsidRPr="005F0BD4" w:rsidRDefault="005F0BD4" w:rsidP="005F0BD4">
      <w:pPr>
        <w:jc w:val="center"/>
      </w:pPr>
    </w:p>
    <w:p w:rsidR="005F0BD4" w:rsidRPr="005F0BD4" w:rsidRDefault="005F0BD4" w:rsidP="005F0BD4">
      <w:pPr>
        <w:jc w:val="center"/>
      </w:pPr>
      <w:r w:rsidRPr="005F0BD4">
        <w:t xml:space="preserve">BEFORE THE </w:t>
      </w:r>
      <w:smartTag w:uri="urn:schemas-microsoft-com:office:smarttags" w:element="PostalCode">
        <w:smartTag w:uri="urn:schemas-microsoft-com:office:smarttags" w:element="place">
          <w:r w:rsidRPr="005F0BD4">
            <w:t>WASHINGTON</w:t>
          </w:r>
        </w:smartTag>
      </w:smartTag>
      <w:r w:rsidRPr="005F0BD4">
        <w:t xml:space="preserve"> UTILITIES AND TRANSPORTATION COMMISSION</w:t>
      </w:r>
    </w:p>
    <w:p w:rsidR="005F0BD4" w:rsidRPr="005F0BD4" w:rsidRDefault="005F0BD4" w:rsidP="005F0BD4">
      <w:pPr>
        <w:jc w:val="center"/>
      </w:pPr>
    </w:p>
    <w:p w:rsidR="005F0BD4" w:rsidRPr="005F0BD4" w:rsidRDefault="005F0BD4" w:rsidP="005F0BD4"/>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5F0BD4" w:rsidRPr="005F0BD4" w:rsidTr="00270346">
        <w:tc>
          <w:tcPr>
            <w:tcW w:w="4590" w:type="dxa"/>
            <w:tcBorders>
              <w:top w:val="single" w:sz="6" w:space="0" w:color="FFFFFF"/>
              <w:left w:val="single" w:sz="6" w:space="0" w:color="FFFFFF"/>
              <w:bottom w:val="single" w:sz="7" w:space="0" w:color="000000"/>
              <w:right w:val="single" w:sz="6" w:space="0" w:color="FFFFFF"/>
            </w:tcBorders>
          </w:tcPr>
          <w:p w:rsidR="005F0BD4" w:rsidRPr="005F0BD4" w:rsidRDefault="005F0BD4" w:rsidP="005F0BD4">
            <w:r w:rsidRPr="005F0BD4">
              <w:t xml:space="preserve">In the Matter of the Petition of </w:t>
            </w:r>
          </w:p>
          <w:p w:rsidR="005F0BD4" w:rsidRPr="005F0BD4" w:rsidRDefault="005F0BD4" w:rsidP="005F0BD4"/>
          <w:p w:rsidR="005F0BD4" w:rsidRPr="005F0BD4" w:rsidRDefault="005F0BD4" w:rsidP="005F0BD4">
            <w:r w:rsidRPr="005F0BD4">
              <w:t xml:space="preserve">PUGET SOUND ENERGY, INC. </w:t>
            </w:r>
          </w:p>
          <w:p w:rsidR="005F0BD4" w:rsidRPr="005F0BD4" w:rsidRDefault="005F0BD4" w:rsidP="005F0BD4"/>
          <w:p w:rsidR="005F0BD4" w:rsidRPr="005F0BD4" w:rsidRDefault="005F0BD4" w:rsidP="005F0BD4">
            <w:r w:rsidRPr="005F0BD4">
              <w:t xml:space="preserve">For an Accounting Order Authorizing Accounting Treatment Related to Payments for Major Maintenance Activities </w:t>
            </w:r>
          </w:p>
          <w:p w:rsidR="005F0BD4" w:rsidRPr="005F0BD4" w:rsidRDefault="005F0BD4" w:rsidP="005F0BD4"/>
          <w:p w:rsidR="005F0BD4" w:rsidRPr="005F0BD4" w:rsidRDefault="005F0BD4" w:rsidP="005F0BD4"/>
          <w:p w:rsidR="005F0BD4" w:rsidRPr="005F0BD4" w:rsidRDefault="005F0BD4" w:rsidP="005F0BD4">
            <w:r w:rsidRPr="005F0BD4">
              <w:t>WASHINGTON UTILITIES AND TRANSPORTATION COMMISSION,</w:t>
            </w:r>
          </w:p>
          <w:p w:rsidR="005F0BD4" w:rsidRPr="005F0BD4" w:rsidRDefault="005F0BD4" w:rsidP="005F0BD4"/>
          <w:p w:rsidR="005F0BD4" w:rsidRPr="005F0BD4" w:rsidRDefault="005F0BD4" w:rsidP="005F0BD4">
            <w:r w:rsidRPr="005F0BD4">
              <w:tab/>
            </w:r>
            <w:r w:rsidRPr="005F0BD4">
              <w:tab/>
              <w:t>Complainant,</w:t>
            </w:r>
          </w:p>
          <w:p w:rsidR="005F0BD4" w:rsidRPr="005F0BD4" w:rsidRDefault="005F0BD4" w:rsidP="005F0BD4"/>
          <w:p w:rsidR="005F0BD4" w:rsidRPr="005F0BD4" w:rsidRDefault="005F0BD4" w:rsidP="005F0BD4">
            <w:r w:rsidRPr="005F0BD4">
              <w:t>v.</w:t>
            </w:r>
          </w:p>
          <w:p w:rsidR="005F0BD4" w:rsidRPr="005F0BD4" w:rsidRDefault="005F0BD4" w:rsidP="005F0BD4"/>
          <w:p w:rsidR="005F0BD4" w:rsidRPr="005F0BD4" w:rsidRDefault="005F0BD4" w:rsidP="005F0BD4">
            <w:r w:rsidRPr="005F0BD4">
              <w:t xml:space="preserve">PUGET SOUND ENERGY, INC. </w:t>
            </w:r>
          </w:p>
          <w:p w:rsidR="005F0BD4" w:rsidRPr="005F0BD4" w:rsidRDefault="005F0BD4" w:rsidP="005F0BD4"/>
          <w:p w:rsidR="005F0BD4" w:rsidRPr="005F0BD4" w:rsidRDefault="005F0BD4" w:rsidP="005F0BD4">
            <w:r w:rsidRPr="005F0BD4">
              <w:tab/>
            </w:r>
            <w:r w:rsidRPr="005F0BD4">
              <w:tab/>
              <w:t>Respondent.</w:t>
            </w:r>
          </w:p>
          <w:p w:rsidR="005F0BD4" w:rsidRPr="005F0BD4" w:rsidRDefault="005F0BD4" w:rsidP="005F0BD4"/>
          <w:p w:rsidR="005F0BD4" w:rsidRPr="005F0BD4" w:rsidRDefault="005F0BD4" w:rsidP="005F0BD4"/>
          <w:p w:rsidR="005F0BD4" w:rsidRPr="005F0BD4" w:rsidRDefault="005F0BD4" w:rsidP="005F0BD4">
            <w:r w:rsidRPr="005F0BD4">
              <w:t xml:space="preserve">In the Matter of the Petition of </w:t>
            </w:r>
          </w:p>
          <w:p w:rsidR="005F0BD4" w:rsidRPr="005F0BD4" w:rsidRDefault="005F0BD4" w:rsidP="005F0BD4"/>
          <w:p w:rsidR="005F0BD4" w:rsidRPr="005F0BD4" w:rsidRDefault="005F0BD4" w:rsidP="005F0BD4">
            <w:r w:rsidRPr="005F0BD4">
              <w:t xml:space="preserve">PUGET SOUND ENERGY, INC. </w:t>
            </w:r>
          </w:p>
          <w:p w:rsidR="005F0BD4" w:rsidRPr="005F0BD4" w:rsidRDefault="005F0BD4" w:rsidP="005F0BD4"/>
          <w:p w:rsidR="005F0BD4" w:rsidRPr="005F0BD4" w:rsidRDefault="005F0BD4" w:rsidP="005F0BD4">
            <w:r w:rsidRPr="005F0BD4">
              <w:t>For an Accounting Order Authorizing Accounting the Sale of the Water Rights and Associated Assets of the Electron Hydroelectric Project in Accordance with WAC 480-143 and RCW 80.12</w:t>
            </w:r>
          </w:p>
          <w:p w:rsidR="005F0BD4" w:rsidRPr="005F0BD4" w:rsidRDefault="005F0BD4" w:rsidP="005F0BD4"/>
        </w:tc>
        <w:tc>
          <w:tcPr>
            <w:tcW w:w="4590" w:type="dxa"/>
            <w:tcBorders>
              <w:top w:val="single" w:sz="6" w:space="0" w:color="FFFFFF"/>
              <w:left w:val="single" w:sz="7" w:space="0" w:color="000000"/>
              <w:bottom w:val="single" w:sz="6" w:space="0" w:color="FFFFFF"/>
              <w:right w:val="single" w:sz="6" w:space="0" w:color="FFFFFF"/>
            </w:tcBorders>
          </w:tcPr>
          <w:p w:rsidR="005F0BD4" w:rsidRPr="005F0BD4" w:rsidRDefault="005F0BD4" w:rsidP="005F0BD4">
            <w:pPr>
              <w:ind w:left="416"/>
            </w:pPr>
            <w:r w:rsidRPr="005F0BD4">
              <w:t>DOCKET UE-130583</w:t>
            </w: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r w:rsidRPr="005F0BD4">
              <w:t>DOCKET UE-130617</w:t>
            </w: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r w:rsidRPr="005F0BD4">
              <w:t xml:space="preserve">DOCKET UE-131099 </w:t>
            </w:r>
          </w:p>
          <w:p w:rsidR="005F0BD4" w:rsidRPr="005F0BD4" w:rsidRDefault="005F0BD4" w:rsidP="005F0BD4">
            <w:pPr>
              <w:ind w:left="416"/>
            </w:pPr>
          </w:p>
          <w:p w:rsidR="005F0BD4" w:rsidRPr="005F0BD4" w:rsidRDefault="005F0BD4" w:rsidP="005F0BD4">
            <w:pPr>
              <w:ind w:left="416"/>
            </w:pPr>
            <w:r>
              <w:t xml:space="preserve">COMMISSION STAFF REPLY TO PSE’S RESPONSE TO STAFF’S </w:t>
            </w:r>
            <w:r w:rsidRPr="005F0BD4">
              <w:t>MOTION FOR CONSOLIDATION</w:t>
            </w:r>
          </w:p>
        </w:tc>
      </w:tr>
    </w:tbl>
    <w:p w:rsidR="005F0BD4" w:rsidRPr="005F0BD4" w:rsidRDefault="005F0BD4" w:rsidP="005F0BD4">
      <w:pPr>
        <w:jc w:val="center"/>
      </w:pPr>
    </w:p>
    <w:p w:rsidR="005F0BD4" w:rsidRPr="005F0BD4" w:rsidRDefault="005F0BD4" w:rsidP="005F0BD4">
      <w:pPr>
        <w:jc w:val="center"/>
      </w:pPr>
    </w:p>
    <w:p w:rsidR="003A7687" w:rsidRPr="00541B3F" w:rsidRDefault="005F0BD4" w:rsidP="005F0BD4">
      <w:pPr>
        <w:jc w:val="center"/>
        <w:rPr>
          <w:b/>
        </w:rPr>
      </w:pPr>
      <w:r w:rsidRPr="005F0BD4">
        <w:tab/>
      </w:r>
      <w:r w:rsidR="00541B3F">
        <w:rPr>
          <w:b/>
        </w:rPr>
        <w:t>I.</w:t>
      </w:r>
      <w:r w:rsidR="00541B3F">
        <w:rPr>
          <w:b/>
        </w:rPr>
        <w:tab/>
      </w:r>
      <w:r w:rsidR="00455FDA">
        <w:rPr>
          <w:b/>
        </w:rPr>
        <w:t xml:space="preserve">INTRODUCTION </w:t>
      </w:r>
    </w:p>
    <w:p w:rsidR="003A7687" w:rsidRDefault="003A7687"/>
    <w:p w:rsidR="003A7687" w:rsidRDefault="00455FDA" w:rsidP="00455FDA">
      <w:pPr>
        <w:pStyle w:val="ListParagraph"/>
        <w:numPr>
          <w:ilvl w:val="0"/>
          <w:numId w:val="4"/>
        </w:numPr>
        <w:spacing w:line="480" w:lineRule="auto"/>
      </w:pPr>
      <w:r>
        <w:tab/>
      </w:r>
      <w:r w:rsidR="004F1911">
        <w:t xml:space="preserve">Commission </w:t>
      </w:r>
      <w:r w:rsidR="003A7687">
        <w:t>Staff’s</w:t>
      </w:r>
      <w:r w:rsidR="00DC527D">
        <w:t xml:space="preserve"> </w:t>
      </w:r>
      <w:r w:rsidR="003A7687">
        <w:t>Motion for Consolidation asked the Commission to consolidate two dockets with the Company’s Power Cost Only Rate Case (PCORC), Docket UE-131617.  The two dockets are</w:t>
      </w:r>
      <w:r w:rsidR="00F21F5C">
        <w:t>:</w:t>
      </w:r>
      <w:r w:rsidR="003A7687">
        <w:t xml:space="preserve"> Docket UE-131099, Application Related to Property Transfer – Electron, and Docket UE-130583 – Major Maintenance Accounting Petition. </w:t>
      </w:r>
    </w:p>
    <w:p w:rsidR="00541B3F" w:rsidRDefault="00455FDA" w:rsidP="00455FDA">
      <w:pPr>
        <w:pStyle w:val="ListParagraph"/>
        <w:numPr>
          <w:ilvl w:val="0"/>
          <w:numId w:val="4"/>
        </w:numPr>
        <w:spacing w:line="480" w:lineRule="auto"/>
      </w:pPr>
      <w:r>
        <w:lastRenderedPageBreak/>
        <w:tab/>
      </w:r>
      <w:r w:rsidR="004F1911">
        <w:t xml:space="preserve">In </w:t>
      </w:r>
      <w:r w:rsidR="00DC527D">
        <w:t>PSE’s R</w:t>
      </w:r>
      <w:r w:rsidR="004F1911">
        <w:t>esponse,</w:t>
      </w:r>
      <w:r w:rsidR="00DC527D">
        <w:rPr>
          <w:rStyle w:val="FootnoteReference"/>
        </w:rPr>
        <w:footnoteReference w:id="1"/>
      </w:r>
      <w:r w:rsidR="004F1911">
        <w:t xml:space="preserve"> </w:t>
      </w:r>
      <w:r w:rsidR="00DC527D">
        <w:t>the Company</w:t>
      </w:r>
      <w:r w:rsidR="003A7687">
        <w:t xml:space="preserve"> </w:t>
      </w:r>
      <w:r w:rsidR="004F1911">
        <w:t xml:space="preserve">opposes </w:t>
      </w:r>
      <w:r w:rsidR="003A7687">
        <w:t xml:space="preserve">consolidation of the Major Maintenance Accounting Petition, </w:t>
      </w:r>
      <w:r w:rsidR="000624C1">
        <w:t xml:space="preserve">but </w:t>
      </w:r>
      <w:r w:rsidR="003A7687">
        <w:t>support</w:t>
      </w:r>
      <w:r w:rsidR="004F1911">
        <w:t>s</w:t>
      </w:r>
      <w:r w:rsidR="003A7687">
        <w:t xml:space="preserve"> consolidation of the Application Related to Property Transfer – Electron, so long as the entire Electron docket is consolidated.</w:t>
      </w:r>
      <w:r w:rsidR="00541B3F">
        <w:t xml:space="preserve">  </w:t>
      </w:r>
    </w:p>
    <w:p w:rsidR="004F1911" w:rsidRDefault="00455FDA" w:rsidP="00455FDA">
      <w:pPr>
        <w:pStyle w:val="ListParagraph"/>
        <w:numPr>
          <w:ilvl w:val="0"/>
          <w:numId w:val="4"/>
        </w:numPr>
        <w:spacing w:line="480" w:lineRule="auto"/>
      </w:pPr>
      <w:r>
        <w:tab/>
      </w:r>
      <w:r w:rsidR="00541B3F">
        <w:t xml:space="preserve">By notice dated July 30, 2013, the Commission allowed </w:t>
      </w:r>
      <w:r w:rsidR="00DC527D">
        <w:t>Commission Staff (</w:t>
      </w:r>
      <w:r w:rsidR="00541B3F">
        <w:t>Staff</w:t>
      </w:r>
      <w:r w:rsidR="00DC527D">
        <w:t>)</w:t>
      </w:r>
      <w:r w:rsidR="00541B3F">
        <w:t xml:space="preserve"> and other parties to reply to </w:t>
      </w:r>
      <w:r w:rsidR="00DC527D">
        <w:t>PSE’s Response</w:t>
      </w:r>
      <w:r w:rsidR="00541B3F">
        <w:t xml:space="preserve">.  </w:t>
      </w:r>
    </w:p>
    <w:p w:rsidR="003A7687" w:rsidRDefault="004F1911" w:rsidP="00455FDA">
      <w:pPr>
        <w:pStyle w:val="ListParagraph"/>
        <w:numPr>
          <w:ilvl w:val="0"/>
          <w:numId w:val="4"/>
        </w:numPr>
        <w:spacing w:line="480" w:lineRule="auto"/>
      </w:pPr>
      <w:r>
        <w:tab/>
      </w:r>
      <w:r w:rsidR="00DC527D">
        <w:t>As we explain</w:t>
      </w:r>
      <w:r w:rsidR="00B568BD">
        <w:t xml:space="preserve"> below</w:t>
      </w:r>
      <w:r w:rsidR="00DC527D">
        <w:t xml:space="preserve">, </w:t>
      </w:r>
      <w:r w:rsidR="003A7687">
        <w:t xml:space="preserve">Staff agrees with PSE that the </w:t>
      </w:r>
      <w:r w:rsidR="000624C1">
        <w:t xml:space="preserve">Commission should consolidate the </w:t>
      </w:r>
      <w:r w:rsidR="003A7687">
        <w:t xml:space="preserve">entirety of the Electron docket with the PCORC.  </w:t>
      </w:r>
      <w:r w:rsidR="00B568BD">
        <w:t xml:space="preserve">However, </w:t>
      </w:r>
      <w:r w:rsidR="00A34808">
        <w:t xml:space="preserve">Staff disagrees with PSE </w:t>
      </w:r>
      <w:r w:rsidR="00B568BD">
        <w:t>a</w:t>
      </w:r>
      <w:r w:rsidR="003A7687">
        <w:t>s to the Major Maintenance Accounting Petition</w:t>
      </w:r>
      <w:r w:rsidR="00270346">
        <w:t>.</w:t>
      </w:r>
      <w:r>
        <w:t xml:space="preserve">  </w:t>
      </w:r>
      <w:r w:rsidR="00B568BD">
        <w:t xml:space="preserve">In </w:t>
      </w:r>
      <w:r w:rsidR="00DB5565">
        <w:t xml:space="preserve">brief, </w:t>
      </w:r>
      <w:r>
        <w:t xml:space="preserve">PSE has </w:t>
      </w:r>
      <w:r w:rsidR="00ED5AA0">
        <w:t xml:space="preserve">not </w:t>
      </w:r>
      <w:r>
        <w:t xml:space="preserve">identified </w:t>
      </w:r>
      <w:r w:rsidR="00ED5AA0">
        <w:t>any</w:t>
      </w:r>
      <w:r>
        <w:t xml:space="preserve"> harm from consolidating </w:t>
      </w:r>
      <w:r w:rsidR="00270346">
        <w:t xml:space="preserve">the Major Maintenance Accounting Petition </w:t>
      </w:r>
      <w:r>
        <w:t>docket</w:t>
      </w:r>
      <w:r w:rsidR="00ED5AA0">
        <w:t xml:space="preserve"> with the PCORC</w:t>
      </w:r>
      <w:r w:rsidR="001232C6">
        <w:t xml:space="preserve"> docket</w:t>
      </w:r>
      <w:r>
        <w:t xml:space="preserve">, and the issues </w:t>
      </w:r>
      <w:r w:rsidR="00ED5AA0">
        <w:t xml:space="preserve">in each docket </w:t>
      </w:r>
      <w:r>
        <w:t>overlap.</w:t>
      </w:r>
      <w:r w:rsidR="00270346">
        <w:t xml:space="preserve">  The</w:t>
      </w:r>
      <w:r w:rsidR="001232C6">
        <w:t xml:space="preserve">refore, the </w:t>
      </w:r>
      <w:r w:rsidR="00270346">
        <w:t xml:space="preserve">Commission should </w:t>
      </w:r>
      <w:r w:rsidR="001232C6">
        <w:t xml:space="preserve">also </w:t>
      </w:r>
      <w:r w:rsidR="00270346">
        <w:t xml:space="preserve">consolidate that docket with the PCORC </w:t>
      </w:r>
      <w:r w:rsidR="001232C6">
        <w:t>docket</w:t>
      </w:r>
      <w:r w:rsidR="00270346">
        <w:t>.</w:t>
      </w:r>
    </w:p>
    <w:p w:rsidR="003A7687" w:rsidRDefault="003A7687" w:rsidP="003A7687">
      <w:pPr>
        <w:spacing w:line="480" w:lineRule="auto"/>
        <w:jc w:val="center"/>
        <w:rPr>
          <w:b/>
        </w:rPr>
      </w:pPr>
      <w:r>
        <w:rPr>
          <w:b/>
        </w:rPr>
        <w:t>II.</w:t>
      </w:r>
      <w:r>
        <w:rPr>
          <w:b/>
        </w:rPr>
        <w:tab/>
      </w:r>
      <w:r w:rsidR="00455FDA">
        <w:rPr>
          <w:b/>
        </w:rPr>
        <w:t>DISCUSSION</w:t>
      </w:r>
    </w:p>
    <w:p w:rsidR="003A7687" w:rsidRPr="00F21F5C" w:rsidRDefault="003A7687" w:rsidP="003A7687">
      <w:pPr>
        <w:spacing w:line="480" w:lineRule="auto"/>
        <w:rPr>
          <w:b/>
        </w:rPr>
      </w:pPr>
      <w:r w:rsidRPr="00F21F5C">
        <w:rPr>
          <w:b/>
        </w:rPr>
        <w:t>A.</w:t>
      </w:r>
      <w:r w:rsidRPr="00F21F5C">
        <w:rPr>
          <w:b/>
        </w:rPr>
        <w:tab/>
      </w:r>
      <w:r w:rsidR="00F21F5C" w:rsidRPr="00F21F5C">
        <w:rPr>
          <w:b/>
        </w:rPr>
        <w:t>Docket UE-131099, Application Related to Property Transfer – Electron</w:t>
      </w:r>
    </w:p>
    <w:p w:rsidR="00541B3F" w:rsidRDefault="00455FDA" w:rsidP="00455FDA">
      <w:pPr>
        <w:pStyle w:val="ListParagraph"/>
        <w:numPr>
          <w:ilvl w:val="0"/>
          <w:numId w:val="4"/>
        </w:numPr>
        <w:spacing w:line="480" w:lineRule="auto"/>
      </w:pPr>
      <w:r>
        <w:tab/>
      </w:r>
      <w:r w:rsidR="003A7687">
        <w:t xml:space="preserve">Staff initially </w:t>
      </w:r>
      <w:r w:rsidR="00F21F5C">
        <w:t xml:space="preserve">was concerned </w:t>
      </w:r>
      <w:r w:rsidR="003A7687">
        <w:t xml:space="preserve">that </w:t>
      </w:r>
      <w:r w:rsidR="00F21F5C">
        <w:t xml:space="preserve">because </w:t>
      </w:r>
      <w:r w:rsidR="003A7687">
        <w:t xml:space="preserve">the </w:t>
      </w:r>
      <w:r w:rsidR="00F21F5C">
        <w:t xml:space="preserve">execution </w:t>
      </w:r>
      <w:r w:rsidR="003A7687">
        <w:t xml:space="preserve">of the contract for PSE’s sale of the Electron facility </w:t>
      </w:r>
      <w:r w:rsidR="00F21F5C">
        <w:t xml:space="preserve">would occur prior to a Commission order in the PCORC, the </w:t>
      </w:r>
      <w:r w:rsidR="004F1911">
        <w:t xml:space="preserve">Commission would need to decide the </w:t>
      </w:r>
      <w:r w:rsidR="00F21F5C">
        <w:t xml:space="preserve">property transfer aspect of the Company’s application outside the PCORC.  </w:t>
      </w:r>
      <w:r w:rsidR="00541B3F">
        <w:t>Accordingly, Staff moved for consolidation only as to the accounting and ratemaking aspects of th</w:t>
      </w:r>
      <w:r w:rsidR="004F1911">
        <w:t>e Electron application</w:t>
      </w:r>
      <w:r w:rsidR="00541B3F">
        <w:t>.</w:t>
      </w:r>
    </w:p>
    <w:p w:rsidR="003A7687" w:rsidRPr="00455FDA" w:rsidRDefault="00455FDA" w:rsidP="00455FDA">
      <w:pPr>
        <w:pStyle w:val="ListParagraph"/>
        <w:numPr>
          <w:ilvl w:val="0"/>
          <w:numId w:val="4"/>
        </w:numPr>
        <w:spacing w:line="480" w:lineRule="auto"/>
        <w:rPr>
          <w:b/>
        </w:rPr>
      </w:pPr>
      <w:r>
        <w:tab/>
      </w:r>
      <w:r w:rsidR="00F21F5C">
        <w:t xml:space="preserve">Based on PSE’s recommendation that the entire Electron docket be consolidated with the PCORC (PSE Response at 3, </w:t>
      </w:r>
      <w:r w:rsidR="00F21F5C" w:rsidRPr="00455FDA">
        <w:rPr>
          <w:rFonts w:cs="Times New Roman"/>
        </w:rPr>
        <w:t>¶</w:t>
      </w:r>
      <w:r w:rsidR="00F21F5C">
        <w:t xml:space="preserve"> 4), Staff no longer has that concern.  Consequently, Staff concurs with PSE’s recommendation that the Commission consolidate the entire Electron docket with the PCORC.</w:t>
      </w:r>
      <w:r w:rsidR="003A7687">
        <w:t xml:space="preserve"> </w:t>
      </w:r>
      <w:r w:rsidR="003A7687" w:rsidRPr="00455FDA">
        <w:rPr>
          <w:b/>
        </w:rPr>
        <w:t xml:space="preserve"> </w:t>
      </w:r>
    </w:p>
    <w:p w:rsidR="00F21F5C" w:rsidRDefault="00F21F5C" w:rsidP="00455FDA">
      <w:pPr>
        <w:keepNext/>
        <w:spacing w:line="480" w:lineRule="auto"/>
        <w:rPr>
          <w:b/>
        </w:rPr>
      </w:pPr>
      <w:r w:rsidRPr="00F21F5C">
        <w:rPr>
          <w:b/>
        </w:rPr>
        <w:lastRenderedPageBreak/>
        <w:t>B.</w:t>
      </w:r>
      <w:r w:rsidRPr="00F21F5C">
        <w:rPr>
          <w:b/>
        </w:rPr>
        <w:tab/>
        <w:t>Docket UE-130583 – Major Maintenance Accounting Petition</w:t>
      </w:r>
    </w:p>
    <w:p w:rsidR="00F21F5C" w:rsidRDefault="00455FDA" w:rsidP="00455FDA">
      <w:pPr>
        <w:pStyle w:val="ListParagraph"/>
        <w:numPr>
          <w:ilvl w:val="0"/>
          <w:numId w:val="4"/>
        </w:numPr>
        <w:spacing w:line="480" w:lineRule="auto"/>
      </w:pPr>
      <w:r>
        <w:tab/>
      </w:r>
      <w:r w:rsidR="00F21F5C">
        <w:t xml:space="preserve">PSE opposes consolidation of the Major Maintenance Accounting Petition with the PCORC.  </w:t>
      </w:r>
      <w:r w:rsidR="00B568BD">
        <w:t xml:space="preserve">The Company’s </w:t>
      </w:r>
      <w:r w:rsidR="00DC527D">
        <w:t xml:space="preserve">core argument is that </w:t>
      </w:r>
      <w:r w:rsidR="00F21F5C">
        <w:t xml:space="preserve">the accounting petition is simply “the initial step … to allow these costs to even be considered in a PCORC or general rate case,” and the PCORC “stands on its own” </w:t>
      </w:r>
      <w:r w:rsidR="001B6347">
        <w:t xml:space="preserve">on </w:t>
      </w:r>
      <w:r w:rsidR="00F21F5C">
        <w:t>th</w:t>
      </w:r>
      <w:r w:rsidR="001B6347">
        <w:t>e</w:t>
      </w:r>
      <w:r w:rsidR="00F21F5C">
        <w:t xml:space="preserve"> issue</w:t>
      </w:r>
      <w:r w:rsidR="001B6347">
        <w:t xml:space="preserve"> of cost recovery</w:t>
      </w:r>
      <w:r w:rsidR="00F21F5C">
        <w:t xml:space="preserve">.  PSE Response at 5, </w:t>
      </w:r>
      <w:r w:rsidR="00F21F5C" w:rsidRPr="00455FDA">
        <w:rPr>
          <w:rFonts w:cs="Times New Roman"/>
        </w:rPr>
        <w:t>¶</w:t>
      </w:r>
      <w:r w:rsidR="00F21F5C">
        <w:t xml:space="preserve"> 10 and at 5-6, </w:t>
      </w:r>
      <w:r w:rsidR="00F21F5C" w:rsidRPr="00455FDA">
        <w:rPr>
          <w:rFonts w:cs="Times New Roman"/>
        </w:rPr>
        <w:t>¶</w:t>
      </w:r>
      <w:r w:rsidR="00F21F5C">
        <w:t xml:space="preserve"> 11.  </w:t>
      </w:r>
    </w:p>
    <w:p w:rsidR="00270346" w:rsidRDefault="00455FDA" w:rsidP="00455FDA">
      <w:pPr>
        <w:pStyle w:val="ListParagraph"/>
        <w:numPr>
          <w:ilvl w:val="0"/>
          <w:numId w:val="4"/>
        </w:numPr>
        <w:spacing w:line="480" w:lineRule="auto"/>
      </w:pPr>
      <w:r>
        <w:tab/>
      </w:r>
      <w:r w:rsidR="001B6347">
        <w:t xml:space="preserve">In fact, the issues presented in the </w:t>
      </w:r>
      <w:r w:rsidR="00541B3F">
        <w:t xml:space="preserve">Major Maintenance </w:t>
      </w:r>
      <w:r w:rsidR="001B6347">
        <w:t>Accounting Petit</w:t>
      </w:r>
      <w:r w:rsidR="00EB0ED4">
        <w:t>i</w:t>
      </w:r>
      <w:r w:rsidR="001B6347">
        <w:t>on and the PCORC are interrelated, and the</w:t>
      </w:r>
      <w:r w:rsidR="000624C1">
        <w:t xml:space="preserve"> Commission should decide the</w:t>
      </w:r>
      <w:r w:rsidR="001B6347">
        <w:t xml:space="preserve">se issues on one record.  </w:t>
      </w:r>
      <w:r w:rsidR="000624C1">
        <w:t>This is particularly important because i</w:t>
      </w:r>
      <w:r w:rsidR="001B6347">
        <w:t xml:space="preserve">f the Commission grants PSE’s accounting petition first, </w:t>
      </w:r>
      <w:r w:rsidR="000624C1">
        <w:t xml:space="preserve">as PSE wants, </w:t>
      </w:r>
      <w:r w:rsidR="001B6347">
        <w:t xml:space="preserve">that would authorize PSE to create a regulatory asset on its books and </w:t>
      </w:r>
      <w:r w:rsidR="00D50814">
        <w:t xml:space="preserve">potentially earn and </w:t>
      </w:r>
      <w:r w:rsidR="001B6347">
        <w:t>accrue interest on the deferred amounts</w:t>
      </w:r>
      <w:r w:rsidR="00D50814">
        <w:t xml:space="preserve"> if granted by the Commission</w:t>
      </w:r>
      <w:r w:rsidR="00EB0ED4">
        <w:t>.  PSE would amortize these amounts</w:t>
      </w:r>
      <w:r w:rsidR="00D01DE8">
        <w:t xml:space="preserve"> in the PCORC</w:t>
      </w:r>
      <w:r w:rsidR="00D01DE8">
        <w:rPr>
          <w:rStyle w:val="FootnoteReference"/>
        </w:rPr>
        <w:footnoteReference w:id="2"/>
      </w:r>
      <w:r w:rsidR="00EB0ED4">
        <w:t xml:space="preserve"> only when the </w:t>
      </w:r>
      <w:r w:rsidR="001B6347">
        <w:t>Commission order</w:t>
      </w:r>
      <w:r w:rsidR="00EB0ED4">
        <w:t>ed</w:t>
      </w:r>
      <w:r w:rsidR="001B6347">
        <w:t xml:space="preserve"> the Company to </w:t>
      </w:r>
      <w:r w:rsidR="00EB0ED4">
        <w:t>do so</w:t>
      </w:r>
      <w:r w:rsidR="001B6347">
        <w:t xml:space="preserve">.  </w:t>
      </w:r>
    </w:p>
    <w:p w:rsidR="001B6347" w:rsidRDefault="00455FDA" w:rsidP="00455FDA">
      <w:pPr>
        <w:pStyle w:val="ListParagraph"/>
        <w:numPr>
          <w:ilvl w:val="0"/>
          <w:numId w:val="4"/>
        </w:numPr>
        <w:spacing w:line="480" w:lineRule="auto"/>
      </w:pPr>
      <w:r>
        <w:tab/>
      </w:r>
      <w:r w:rsidR="001B6347">
        <w:t>Staff opposes the creation of a regulatory asset for major maintenance expenses in the first place</w:t>
      </w:r>
      <w:r w:rsidR="00EB0ED4">
        <w:t xml:space="preserve">.  Moreover, </w:t>
      </w:r>
      <w:r w:rsidR="00541B3F">
        <w:t xml:space="preserve">it is Staff’s view that </w:t>
      </w:r>
      <w:r w:rsidR="001B6347">
        <w:t xml:space="preserve">PSE </w:t>
      </w:r>
      <w:r w:rsidR="00B568BD">
        <w:t>w</w:t>
      </w:r>
      <w:r w:rsidR="001B6347">
        <w:t xml:space="preserve">ould amortize these costs </w:t>
      </w:r>
      <w:r w:rsidR="004F1911">
        <w:t xml:space="preserve">beginning on the date </w:t>
      </w:r>
      <w:r w:rsidR="006E3C72">
        <w:t xml:space="preserve">of </w:t>
      </w:r>
      <w:r w:rsidR="00ED5AA0">
        <w:t xml:space="preserve">the </w:t>
      </w:r>
      <w:r w:rsidR="006E3C72">
        <w:t xml:space="preserve">first </w:t>
      </w:r>
      <w:bookmarkStart w:id="0" w:name="_GoBack"/>
      <w:bookmarkEnd w:id="0"/>
      <w:r w:rsidR="006E3C72">
        <w:t>major maintenance event</w:t>
      </w:r>
      <w:r w:rsidR="00672797">
        <w:t>, up until the next event</w:t>
      </w:r>
      <w:r w:rsidR="00B568BD">
        <w:t xml:space="preserve">.  This is </w:t>
      </w:r>
      <w:r w:rsidR="00EB0ED4">
        <w:t xml:space="preserve">consistent with the “ASC 908” accounting procedure referred to by PSE.  </w:t>
      </w:r>
      <w:r w:rsidR="00541B3F" w:rsidRPr="00455FDA">
        <w:rPr>
          <w:i/>
        </w:rPr>
        <w:t xml:space="preserve">See </w:t>
      </w:r>
      <w:r w:rsidR="00EB0ED4">
        <w:t xml:space="preserve">PSE Response at 3-4, </w:t>
      </w:r>
      <w:r w:rsidR="00EB0ED4" w:rsidRPr="00455FDA">
        <w:rPr>
          <w:rFonts w:cs="Times New Roman"/>
        </w:rPr>
        <w:t>¶</w:t>
      </w:r>
      <w:r w:rsidR="00EB0ED4">
        <w:t xml:space="preserve"> 6.  Nothing in that </w:t>
      </w:r>
      <w:r w:rsidR="00541B3F">
        <w:t xml:space="preserve">ASC 908 </w:t>
      </w:r>
      <w:r w:rsidR="00EB0ED4">
        <w:t>accounting procedure</w:t>
      </w:r>
      <w:r w:rsidR="004F1911">
        <w:t xml:space="preserve"> </w:t>
      </w:r>
      <w:r w:rsidR="00EB0ED4">
        <w:t>requires or necessitates the creation of a regulatory asset.</w:t>
      </w:r>
    </w:p>
    <w:p w:rsidR="0021530C" w:rsidRDefault="0021530C" w:rsidP="00455FDA">
      <w:pPr>
        <w:pStyle w:val="ListParagraph"/>
        <w:numPr>
          <w:ilvl w:val="0"/>
          <w:numId w:val="4"/>
        </w:numPr>
        <w:spacing w:line="480" w:lineRule="auto"/>
      </w:pPr>
      <w:r>
        <w:tab/>
      </w:r>
      <w:r w:rsidR="00A34808">
        <w:t>Contrary to PSE’s suggestion, g</w:t>
      </w:r>
      <w:r w:rsidR="001232C6">
        <w:t xml:space="preserve">ranting PSE’s accounting petition </w:t>
      </w:r>
      <w:r w:rsidR="00A34808">
        <w:t xml:space="preserve">now would be </w:t>
      </w:r>
      <w:r w:rsidR="001232C6">
        <w:t>much more tha</w:t>
      </w:r>
      <w:r w:rsidR="00A34808">
        <w:t>n</w:t>
      </w:r>
      <w:r w:rsidR="001232C6">
        <w:t xml:space="preserve"> </w:t>
      </w:r>
      <w:r w:rsidR="00A34808">
        <w:t xml:space="preserve">just </w:t>
      </w:r>
      <w:r w:rsidR="001232C6">
        <w:t xml:space="preserve">the “initial step” toward cost recovery.  </w:t>
      </w:r>
      <w:r w:rsidR="00E3794F">
        <w:rPr>
          <w:i/>
        </w:rPr>
        <w:t xml:space="preserve">See </w:t>
      </w:r>
      <w:r w:rsidR="00A34808">
        <w:t xml:space="preserve">PSE Response at 5, </w:t>
      </w:r>
      <w:r w:rsidR="00A34808" w:rsidRPr="00455FDA">
        <w:rPr>
          <w:rFonts w:cs="Times New Roman"/>
        </w:rPr>
        <w:t>¶</w:t>
      </w:r>
      <w:r w:rsidR="00A34808">
        <w:t xml:space="preserve"> 10.  </w:t>
      </w:r>
      <w:r w:rsidR="001232C6">
        <w:t>U</w:t>
      </w:r>
      <w:r>
        <w:t>nder Accounting Standard FASB 980-340-25</w:t>
      </w:r>
      <w:r w:rsidR="00A34808">
        <w:t>,</w:t>
      </w:r>
      <w:r>
        <w:t xml:space="preserve"> the existence of a regulatory asset </w:t>
      </w:r>
      <w:r w:rsidR="001232C6">
        <w:t xml:space="preserve">means </w:t>
      </w:r>
      <w:r>
        <w:lastRenderedPageBreak/>
        <w:t>recovery of those specific costs is reasonably assured.</w:t>
      </w:r>
      <w:r w:rsidR="001232C6">
        <w:rPr>
          <w:rStyle w:val="FootnoteReference"/>
        </w:rPr>
        <w:footnoteReference w:id="3"/>
      </w:r>
      <w:r>
        <w:t xml:space="preserve">  The</w:t>
      </w:r>
      <w:r w:rsidR="001232C6">
        <w:t xml:space="preserve"> </w:t>
      </w:r>
      <w:r>
        <w:t xml:space="preserve">Commission </w:t>
      </w:r>
      <w:r w:rsidR="001232C6">
        <w:t>needs a full record before deciding that is the proper result</w:t>
      </w:r>
      <w:r>
        <w:t>.</w:t>
      </w:r>
    </w:p>
    <w:p w:rsidR="00AB2A69" w:rsidRDefault="00455FDA" w:rsidP="00455FDA">
      <w:pPr>
        <w:pStyle w:val="ListParagraph"/>
        <w:numPr>
          <w:ilvl w:val="0"/>
          <w:numId w:val="4"/>
        </w:numPr>
        <w:spacing w:line="480" w:lineRule="auto"/>
      </w:pPr>
      <w:r>
        <w:tab/>
      </w:r>
      <w:r w:rsidR="00EB0ED4">
        <w:t xml:space="preserve">We note </w:t>
      </w:r>
      <w:r w:rsidR="000624C1">
        <w:t xml:space="preserve">with concern </w:t>
      </w:r>
      <w:r w:rsidR="00EB0ED4">
        <w:t xml:space="preserve">that </w:t>
      </w:r>
      <w:r w:rsidR="00B568BD">
        <w:t xml:space="preserve">apparently, </w:t>
      </w:r>
      <w:r w:rsidR="00F21F5C">
        <w:t xml:space="preserve">PSE already </w:t>
      </w:r>
      <w:r w:rsidR="000624C1">
        <w:t xml:space="preserve">has </w:t>
      </w:r>
      <w:r w:rsidR="00F21F5C">
        <w:t xml:space="preserve">created a regulatory asset </w:t>
      </w:r>
      <w:r w:rsidR="000624C1">
        <w:t>(</w:t>
      </w:r>
      <w:r w:rsidR="00F21F5C">
        <w:t>or regulatory assets</w:t>
      </w:r>
      <w:r w:rsidR="000624C1">
        <w:t>)</w:t>
      </w:r>
      <w:r w:rsidR="00F21F5C">
        <w:t xml:space="preserve"> for major maintenance</w:t>
      </w:r>
      <w:r w:rsidR="00AB2A69">
        <w:t>,</w:t>
      </w:r>
      <w:r w:rsidR="00910BBE">
        <w:rPr>
          <w:rStyle w:val="FootnoteReference"/>
        </w:rPr>
        <w:footnoteReference w:id="4"/>
      </w:r>
      <w:r w:rsidR="00AB2A69">
        <w:t xml:space="preserve"> based on </w:t>
      </w:r>
      <w:r w:rsidR="00B568BD">
        <w:t xml:space="preserve">what </w:t>
      </w:r>
      <w:r w:rsidR="001B6347">
        <w:t>PSE</w:t>
      </w:r>
      <w:r w:rsidR="00B568BD">
        <w:t xml:space="preserve"> calls its</w:t>
      </w:r>
      <w:r w:rsidR="001B6347">
        <w:t xml:space="preserve"> </w:t>
      </w:r>
      <w:r w:rsidR="00DC527D">
        <w:t xml:space="preserve">“interpretation” </w:t>
      </w:r>
      <w:r w:rsidR="001B6347">
        <w:t xml:space="preserve">of </w:t>
      </w:r>
      <w:r w:rsidR="00AB2A69">
        <w:t>Paragraph 163 of Final Order 11 in the Company’s 2009 general rate case</w:t>
      </w:r>
      <w:r w:rsidR="00B568BD">
        <w:t>.</w:t>
      </w:r>
      <w:r w:rsidR="00AB2A69">
        <w:rPr>
          <w:rStyle w:val="FootnoteReference"/>
        </w:rPr>
        <w:footnoteReference w:id="5"/>
      </w:r>
      <w:r w:rsidR="00AB2A69">
        <w:t xml:space="preserve"> </w:t>
      </w:r>
      <w:r w:rsidR="00B568BD">
        <w:t xml:space="preserve"> </w:t>
      </w:r>
      <w:r w:rsidR="00A34808">
        <w:t>Yet</w:t>
      </w:r>
      <w:r w:rsidR="00ED5AA0">
        <w:t>,</w:t>
      </w:r>
      <w:r w:rsidR="00B568BD">
        <w:t xml:space="preserve"> </w:t>
      </w:r>
      <w:r w:rsidR="00DB5565">
        <w:t xml:space="preserve">as PSE acknowledges (PSE Response at 4, </w:t>
      </w:r>
      <w:r w:rsidR="00DB5565">
        <w:rPr>
          <w:rFonts w:cs="Times New Roman"/>
        </w:rPr>
        <w:t>¶</w:t>
      </w:r>
      <w:r w:rsidR="00DB5565">
        <w:t xml:space="preserve"> 6), </w:t>
      </w:r>
      <w:r w:rsidR="00B568BD">
        <w:t>in Paragraph</w:t>
      </w:r>
      <w:r w:rsidR="00ED5AA0">
        <w:t xml:space="preserve"> 163</w:t>
      </w:r>
      <w:r w:rsidR="00B568BD">
        <w:t xml:space="preserve">, </w:t>
      </w:r>
      <w:r w:rsidR="00AB2A69">
        <w:t xml:space="preserve">the Commission </w:t>
      </w:r>
      <w:r w:rsidR="00B568BD">
        <w:t>merely stated</w:t>
      </w:r>
      <w:r w:rsidR="00AB2A69">
        <w:t>:</w:t>
      </w:r>
    </w:p>
    <w:p w:rsidR="00F21F5C" w:rsidRPr="003A37CE" w:rsidRDefault="00AB2A69" w:rsidP="00AB2A69">
      <w:pPr>
        <w:ind w:left="720"/>
        <w:rPr>
          <w:szCs w:val="24"/>
        </w:rPr>
      </w:pPr>
      <w:r w:rsidRPr="003A37CE">
        <w:rPr>
          <w:szCs w:val="24"/>
        </w:rPr>
        <w:t>All parties advocate that major plaint maintenance should be handled using the “deferral method,” though it appears the parties may have some different ideas about what this means in practice.  While we accept in principle the use of a deferral methodology for major plant maintenance expenses, we have no need to decide its finer points here. This undoubtedly will be brought before the Commission in some future proceeding when such costs are incurred and it will then be ripe for decision.</w:t>
      </w:r>
    </w:p>
    <w:p w:rsidR="00AB2A69" w:rsidRDefault="00AB2A69" w:rsidP="00AB2A69">
      <w:pPr>
        <w:ind w:left="720"/>
        <w:rPr>
          <w:sz w:val="25"/>
          <w:szCs w:val="25"/>
        </w:rPr>
      </w:pPr>
    </w:p>
    <w:p w:rsidR="00AB2A69" w:rsidRDefault="00AB2A69" w:rsidP="00AB2A69">
      <w:pPr>
        <w:spacing w:line="480" w:lineRule="auto"/>
        <w:rPr>
          <w:sz w:val="25"/>
          <w:szCs w:val="25"/>
        </w:rPr>
      </w:pPr>
      <w:r>
        <w:rPr>
          <w:sz w:val="25"/>
          <w:szCs w:val="25"/>
        </w:rPr>
        <w:t>No</w:t>
      </w:r>
      <w:r w:rsidR="001B6347">
        <w:rPr>
          <w:sz w:val="25"/>
          <w:szCs w:val="25"/>
        </w:rPr>
        <w:t xml:space="preserve">thing </w:t>
      </w:r>
      <w:r>
        <w:rPr>
          <w:sz w:val="25"/>
          <w:szCs w:val="25"/>
        </w:rPr>
        <w:t>in th</w:t>
      </w:r>
      <w:r w:rsidR="00B568BD">
        <w:rPr>
          <w:sz w:val="25"/>
          <w:szCs w:val="25"/>
        </w:rPr>
        <w:t>is</w:t>
      </w:r>
      <w:r>
        <w:rPr>
          <w:sz w:val="25"/>
          <w:szCs w:val="25"/>
        </w:rPr>
        <w:t xml:space="preserve"> language </w:t>
      </w:r>
      <w:r w:rsidR="001B6347">
        <w:rPr>
          <w:sz w:val="25"/>
          <w:szCs w:val="25"/>
        </w:rPr>
        <w:t xml:space="preserve">suggests </w:t>
      </w:r>
      <w:r>
        <w:rPr>
          <w:sz w:val="25"/>
          <w:szCs w:val="25"/>
        </w:rPr>
        <w:t>the Commission authorize</w:t>
      </w:r>
      <w:r w:rsidR="001B6347">
        <w:rPr>
          <w:sz w:val="25"/>
          <w:szCs w:val="25"/>
        </w:rPr>
        <w:t>d</w:t>
      </w:r>
      <w:r>
        <w:rPr>
          <w:sz w:val="25"/>
          <w:szCs w:val="25"/>
        </w:rPr>
        <w:t xml:space="preserve"> PSE to create a regulatory asset.  Indeed, if th</w:t>
      </w:r>
      <w:r w:rsidR="00B568BD">
        <w:rPr>
          <w:sz w:val="25"/>
          <w:szCs w:val="25"/>
        </w:rPr>
        <w:t xml:space="preserve">e Commission has already </w:t>
      </w:r>
      <w:r>
        <w:rPr>
          <w:sz w:val="25"/>
          <w:szCs w:val="25"/>
        </w:rPr>
        <w:t xml:space="preserve">authorized PSE to create a regulatory asset, </w:t>
      </w:r>
      <w:r w:rsidR="001B6347">
        <w:rPr>
          <w:sz w:val="25"/>
          <w:szCs w:val="25"/>
        </w:rPr>
        <w:t xml:space="preserve">PSE’s </w:t>
      </w:r>
      <w:r>
        <w:rPr>
          <w:sz w:val="25"/>
          <w:szCs w:val="25"/>
        </w:rPr>
        <w:t xml:space="preserve">current accounting petition would be </w:t>
      </w:r>
      <w:r w:rsidR="00B568BD">
        <w:rPr>
          <w:sz w:val="25"/>
          <w:szCs w:val="25"/>
        </w:rPr>
        <w:t xml:space="preserve">mostly </w:t>
      </w:r>
      <w:r w:rsidR="001B6347">
        <w:rPr>
          <w:sz w:val="25"/>
          <w:szCs w:val="25"/>
        </w:rPr>
        <w:t>un</w:t>
      </w:r>
      <w:r>
        <w:rPr>
          <w:sz w:val="25"/>
          <w:szCs w:val="25"/>
        </w:rPr>
        <w:t>necessary.</w:t>
      </w:r>
    </w:p>
    <w:p w:rsidR="000624C1" w:rsidRDefault="00455FDA" w:rsidP="00455FDA">
      <w:pPr>
        <w:pStyle w:val="ListParagraph"/>
        <w:numPr>
          <w:ilvl w:val="0"/>
          <w:numId w:val="4"/>
        </w:numPr>
        <w:spacing w:line="480" w:lineRule="auto"/>
        <w:rPr>
          <w:sz w:val="25"/>
          <w:szCs w:val="25"/>
        </w:rPr>
      </w:pPr>
      <w:r>
        <w:rPr>
          <w:sz w:val="25"/>
          <w:szCs w:val="25"/>
        </w:rPr>
        <w:tab/>
      </w:r>
      <w:r w:rsidR="00EB0ED4" w:rsidRPr="00455FDA">
        <w:rPr>
          <w:sz w:val="25"/>
          <w:szCs w:val="25"/>
        </w:rPr>
        <w:t xml:space="preserve">PSE </w:t>
      </w:r>
      <w:r w:rsidR="00B568BD">
        <w:rPr>
          <w:sz w:val="25"/>
          <w:szCs w:val="25"/>
        </w:rPr>
        <w:t xml:space="preserve">goes on to </w:t>
      </w:r>
      <w:r w:rsidR="000624C1" w:rsidRPr="00455FDA">
        <w:rPr>
          <w:sz w:val="25"/>
          <w:szCs w:val="25"/>
        </w:rPr>
        <w:t>argue</w:t>
      </w:r>
      <w:r w:rsidR="00EB0ED4" w:rsidRPr="00455FDA">
        <w:rPr>
          <w:sz w:val="25"/>
          <w:szCs w:val="25"/>
        </w:rPr>
        <w:t xml:space="preserve"> </w:t>
      </w:r>
      <w:r w:rsidR="000624C1" w:rsidRPr="00455FDA">
        <w:rPr>
          <w:sz w:val="25"/>
          <w:szCs w:val="25"/>
        </w:rPr>
        <w:t xml:space="preserve">that the Commission should simply grant the Company’s petition because </w:t>
      </w:r>
      <w:r w:rsidR="004F1911">
        <w:rPr>
          <w:sz w:val="25"/>
          <w:szCs w:val="25"/>
        </w:rPr>
        <w:t xml:space="preserve">the relief PSE seeks </w:t>
      </w:r>
      <w:r w:rsidR="00EB0ED4" w:rsidRPr="00455FDA">
        <w:rPr>
          <w:sz w:val="25"/>
          <w:szCs w:val="25"/>
        </w:rPr>
        <w:t>is “consistent with the direction from the Commission”</w:t>
      </w:r>
      <w:r w:rsidR="000624C1" w:rsidRPr="00455FDA">
        <w:rPr>
          <w:sz w:val="25"/>
          <w:szCs w:val="25"/>
        </w:rPr>
        <w:t xml:space="preserve"> on the issue of major maintenance accounting.  </w:t>
      </w:r>
      <w:r w:rsidR="00EB0ED4" w:rsidRPr="00455FDA">
        <w:rPr>
          <w:sz w:val="25"/>
          <w:szCs w:val="25"/>
        </w:rPr>
        <w:t xml:space="preserve">PSE Response at 5, </w:t>
      </w:r>
      <w:r w:rsidR="00EB0ED4" w:rsidRPr="00455FDA">
        <w:rPr>
          <w:rFonts w:cs="Times New Roman"/>
          <w:sz w:val="25"/>
          <w:szCs w:val="25"/>
        </w:rPr>
        <w:t>¶</w:t>
      </w:r>
      <w:r w:rsidR="00EB0ED4" w:rsidRPr="00455FDA">
        <w:rPr>
          <w:sz w:val="25"/>
          <w:szCs w:val="25"/>
        </w:rPr>
        <w:t xml:space="preserve"> 11</w:t>
      </w:r>
      <w:r w:rsidR="000624C1" w:rsidRPr="00455FDA">
        <w:rPr>
          <w:sz w:val="25"/>
          <w:szCs w:val="25"/>
        </w:rPr>
        <w:t xml:space="preserve">.  </w:t>
      </w:r>
      <w:r w:rsidR="00B568BD">
        <w:rPr>
          <w:sz w:val="25"/>
          <w:szCs w:val="25"/>
        </w:rPr>
        <w:t>Not so</w:t>
      </w:r>
      <w:r w:rsidR="001232C6">
        <w:rPr>
          <w:sz w:val="25"/>
          <w:szCs w:val="25"/>
        </w:rPr>
        <w:t xml:space="preserve">, because in </w:t>
      </w:r>
      <w:r w:rsidR="00B568BD">
        <w:rPr>
          <w:sz w:val="25"/>
          <w:szCs w:val="25"/>
        </w:rPr>
        <w:t>fact</w:t>
      </w:r>
      <w:r w:rsidR="00541B3F" w:rsidRPr="00455FDA">
        <w:rPr>
          <w:sz w:val="25"/>
          <w:szCs w:val="25"/>
        </w:rPr>
        <w:t xml:space="preserve">, </w:t>
      </w:r>
      <w:r w:rsidR="000624C1" w:rsidRPr="00455FDA">
        <w:rPr>
          <w:sz w:val="25"/>
          <w:szCs w:val="25"/>
        </w:rPr>
        <w:t xml:space="preserve">the </w:t>
      </w:r>
      <w:r w:rsidR="00EB0ED4" w:rsidRPr="00455FDA">
        <w:rPr>
          <w:sz w:val="25"/>
          <w:szCs w:val="25"/>
        </w:rPr>
        <w:t xml:space="preserve">Commission has </w:t>
      </w:r>
      <w:r w:rsidR="004F1911">
        <w:rPr>
          <w:sz w:val="25"/>
          <w:szCs w:val="25"/>
        </w:rPr>
        <w:t xml:space="preserve">yet to </w:t>
      </w:r>
      <w:r w:rsidR="00EB0ED4" w:rsidRPr="00455FDA">
        <w:rPr>
          <w:sz w:val="25"/>
          <w:szCs w:val="25"/>
        </w:rPr>
        <w:t xml:space="preserve">decide </w:t>
      </w:r>
      <w:r w:rsidR="004F1911">
        <w:rPr>
          <w:sz w:val="25"/>
          <w:szCs w:val="25"/>
        </w:rPr>
        <w:t xml:space="preserve">whether </w:t>
      </w:r>
      <w:r w:rsidR="00EB0ED4" w:rsidRPr="00455FDA">
        <w:rPr>
          <w:sz w:val="25"/>
          <w:szCs w:val="25"/>
        </w:rPr>
        <w:t xml:space="preserve">PSE should </w:t>
      </w:r>
      <w:r w:rsidR="004F1911">
        <w:rPr>
          <w:sz w:val="25"/>
          <w:szCs w:val="25"/>
        </w:rPr>
        <w:t xml:space="preserve">be </w:t>
      </w:r>
      <w:r w:rsidR="004F1911">
        <w:rPr>
          <w:sz w:val="25"/>
          <w:szCs w:val="25"/>
        </w:rPr>
        <w:lastRenderedPageBreak/>
        <w:t xml:space="preserve">allowed to </w:t>
      </w:r>
      <w:r w:rsidR="00EB0ED4" w:rsidRPr="00455FDA">
        <w:rPr>
          <w:sz w:val="25"/>
          <w:szCs w:val="25"/>
        </w:rPr>
        <w:t>create a regulatory asset</w:t>
      </w:r>
      <w:r w:rsidR="004F1911">
        <w:rPr>
          <w:sz w:val="25"/>
          <w:szCs w:val="25"/>
        </w:rPr>
        <w:t xml:space="preserve">, and the Commission has not </w:t>
      </w:r>
      <w:r w:rsidR="000624C1" w:rsidRPr="00455FDA">
        <w:rPr>
          <w:sz w:val="25"/>
          <w:szCs w:val="25"/>
        </w:rPr>
        <w:t xml:space="preserve">established </w:t>
      </w:r>
      <w:r w:rsidR="00EB0ED4" w:rsidRPr="00455FDA">
        <w:rPr>
          <w:sz w:val="25"/>
          <w:szCs w:val="25"/>
        </w:rPr>
        <w:t>any particular amortization procedure related to major maintenance</w:t>
      </w:r>
      <w:r w:rsidR="004F1911">
        <w:rPr>
          <w:sz w:val="25"/>
          <w:szCs w:val="25"/>
        </w:rPr>
        <w:t xml:space="preserve"> expense</w:t>
      </w:r>
      <w:r w:rsidR="00EB0ED4" w:rsidRPr="00455FDA">
        <w:rPr>
          <w:sz w:val="25"/>
          <w:szCs w:val="25"/>
        </w:rPr>
        <w:t>.</w:t>
      </w:r>
      <w:r w:rsidR="000624C1" w:rsidRPr="00455FDA">
        <w:rPr>
          <w:sz w:val="25"/>
          <w:szCs w:val="25"/>
        </w:rPr>
        <w:t xml:space="preserve">  </w:t>
      </w:r>
      <w:r w:rsidR="004F1911">
        <w:rPr>
          <w:sz w:val="25"/>
          <w:szCs w:val="25"/>
        </w:rPr>
        <w:t>T</w:t>
      </w:r>
      <w:r w:rsidR="000624C1" w:rsidRPr="00455FDA">
        <w:rPr>
          <w:sz w:val="25"/>
          <w:szCs w:val="25"/>
        </w:rPr>
        <w:t xml:space="preserve">here simply </w:t>
      </w:r>
      <w:r w:rsidR="004F1911">
        <w:rPr>
          <w:sz w:val="25"/>
          <w:szCs w:val="25"/>
        </w:rPr>
        <w:t xml:space="preserve">is </w:t>
      </w:r>
      <w:r w:rsidR="000624C1" w:rsidRPr="00455FDA">
        <w:rPr>
          <w:sz w:val="25"/>
          <w:szCs w:val="25"/>
        </w:rPr>
        <w:t>no basis for PSE to claim its petition is “consistent with the direction from the Commission” on these crucial points.</w:t>
      </w:r>
    </w:p>
    <w:p w:rsidR="00E3794F" w:rsidRPr="00455FDA" w:rsidRDefault="00E3794F" w:rsidP="00455FDA">
      <w:pPr>
        <w:pStyle w:val="ListParagraph"/>
        <w:numPr>
          <w:ilvl w:val="0"/>
          <w:numId w:val="4"/>
        </w:numPr>
        <w:spacing w:line="480" w:lineRule="auto"/>
        <w:rPr>
          <w:sz w:val="25"/>
          <w:szCs w:val="25"/>
        </w:rPr>
      </w:pPr>
      <w:r>
        <w:tab/>
        <w:t>Notably, PSE fails to identify any substantial harm to the Company by consolidating the accounting petition with the PCORC.  Staff cannot identify any such harm, either.</w:t>
      </w:r>
    </w:p>
    <w:p w:rsidR="00541B3F" w:rsidRDefault="00455FDA" w:rsidP="00455FDA">
      <w:pPr>
        <w:pStyle w:val="ListParagraph"/>
        <w:numPr>
          <w:ilvl w:val="0"/>
          <w:numId w:val="4"/>
        </w:numPr>
        <w:spacing w:line="480" w:lineRule="auto"/>
      </w:pPr>
      <w:r>
        <w:rPr>
          <w:sz w:val="25"/>
          <w:szCs w:val="25"/>
        </w:rPr>
        <w:tab/>
      </w:r>
      <w:r w:rsidR="00A34808">
        <w:t xml:space="preserve">The bottom line is that the issues in the PCORC and the Major Maintenance Accounting Petition are interrelated.  </w:t>
      </w:r>
      <w:r w:rsidR="00854792">
        <w:t>As we have explained, d</w:t>
      </w:r>
      <w:r w:rsidR="00A34808">
        <w:t xml:space="preserve">eciding the accounting petition first will prejudice Staff because under that scenario, the regulatory asset will have been created, and the Commission </w:t>
      </w:r>
      <w:r w:rsidR="00E3794F">
        <w:t xml:space="preserve">prematurely </w:t>
      </w:r>
      <w:r w:rsidR="00A34808">
        <w:t>will have</w:t>
      </w:r>
      <w:r w:rsidR="00E3794F">
        <w:t xml:space="preserve"> </w:t>
      </w:r>
      <w:r w:rsidR="00A34808">
        <w:t>given</w:t>
      </w:r>
      <w:r w:rsidR="00E3794F">
        <w:t>, in effect,</w:t>
      </w:r>
      <w:r w:rsidR="00A34808">
        <w:t xml:space="preserve"> reasonable assurance that PSE will recover </w:t>
      </w:r>
      <w:r w:rsidR="00E3794F">
        <w:t xml:space="preserve">a return of and on </w:t>
      </w:r>
      <w:r w:rsidR="00A34808">
        <w:t xml:space="preserve">the specific costs deferred.  </w:t>
      </w:r>
    </w:p>
    <w:p w:rsidR="001B6347" w:rsidRDefault="00541B3F" w:rsidP="00455FDA">
      <w:pPr>
        <w:keepNext/>
        <w:spacing w:line="480" w:lineRule="auto"/>
        <w:jc w:val="center"/>
        <w:rPr>
          <w:b/>
        </w:rPr>
      </w:pPr>
      <w:r>
        <w:rPr>
          <w:b/>
        </w:rPr>
        <w:t>III.</w:t>
      </w:r>
      <w:r>
        <w:rPr>
          <w:b/>
        </w:rPr>
        <w:tab/>
      </w:r>
      <w:r w:rsidR="00455FDA">
        <w:rPr>
          <w:b/>
        </w:rPr>
        <w:t>CONCLUSION</w:t>
      </w:r>
    </w:p>
    <w:p w:rsidR="00541B3F" w:rsidRPr="00455FDA" w:rsidRDefault="00455FDA" w:rsidP="00455FDA">
      <w:pPr>
        <w:pStyle w:val="ListParagraph"/>
        <w:numPr>
          <w:ilvl w:val="0"/>
          <w:numId w:val="4"/>
        </w:numPr>
        <w:spacing w:line="480" w:lineRule="auto"/>
        <w:rPr>
          <w:sz w:val="25"/>
          <w:szCs w:val="25"/>
        </w:rPr>
      </w:pPr>
      <w:r>
        <w:tab/>
      </w:r>
      <w:r w:rsidR="00541B3F">
        <w:t xml:space="preserve">For the reasons stated above, </w:t>
      </w:r>
      <w:r w:rsidR="001232C6">
        <w:t xml:space="preserve">and in Staff’s Motion, </w:t>
      </w:r>
      <w:r w:rsidR="00541B3F">
        <w:t xml:space="preserve">the Commission should grant Staff’s Motion to Consolidate, but also consolidate the entirely of </w:t>
      </w:r>
      <w:r w:rsidR="004F1911">
        <w:t xml:space="preserve">Docket UE-131099, </w:t>
      </w:r>
      <w:r w:rsidR="00541B3F">
        <w:t>the Application Related to Property Transfer – Electron, rather than just the accounting an</w:t>
      </w:r>
      <w:r w:rsidR="00F67399">
        <w:t>d</w:t>
      </w:r>
      <w:r w:rsidR="00541B3F">
        <w:t xml:space="preserve"> ratemaking issues</w:t>
      </w:r>
      <w:r w:rsidR="00F67399">
        <w:t>, as Staff originally requested</w:t>
      </w:r>
      <w:r w:rsidR="00541B3F">
        <w:t>.</w:t>
      </w:r>
    </w:p>
    <w:p w:rsidR="00455FDA" w:rsidRPr="009F67A5" w:rsidRDefault="00455FDA" w:rsidP="00455FDA">
      <w:pPr>
        <w:widowControl w:val="0"/>
        <w:autoSpaceDE w:val="0"/>
        <w:autoSpaceDN w:val="0"/>
        <w:adjustRightInd w:val="0"/>
        <w:ind w:left="720"/>
        <w:rPr>
          <w:rFonts w:eastAsia="Times New Roman" w:cs="Times New Roman"/>
          <w:szCs w:val="24"/>
        </w:rPr>
      </w:pPr>
      <w:r w:rsidRPr="009F67A5">
        <w:rPr>
          <w:rFonts w:eastAsia="Times New Roman" w:cs="Times New Roman"/>
          <w:szCs w:val="24"/>
        </w:rPr>
        <w:t xml:space="preserve">DATED this </w:t>
      </w:r>
      <w:r>
        <w:rPr>
          <w:rFonts w:eastAsia="Times New Roman" w:cs="Times New Roman"/>
          <w:szCs w:val="24"/>
        </w:rPr>
        <w:t>1</w:t>
      </w:r>
      <w:r w:rsidRPr="00455FDA">
        <w:rPr>
          <w:rFonts w:eastAsia="Times New Roman" w:cs="Times New Roman"/>
          <w:szCs w:val="24"/>
          <w:vertAlign w:val="superscript"/>
        </w:rPr>
        <w:t>st</w:t>
      </w:r>
      <w:r>
        <w:rPr>
          <w:rFonts w:eastAsia="Times New Roman" w:cs="Times New Roman"/>
          <w:szCs w:val="24"/>
        </w:rPr>
        <w:t xml:space="preserve"> </w:t>
      </w:r>
      <w:r w:rsidRPr="009F67A5">
        <w:rPr>
          <w:rFonts w:eastAsia="Times New Roman" w:cs="Times New Roman"/>
          <w:szCs w:val="24"/>
        </w:rPr>
        <w:t xml:space="preserve">day of </w:t>
      </w:r>
      <w:r>
        <w:rPr>
          <w:rFonts w:eastAsia="Times New Roman" w:cs="Times New Roman"/>
          <w:szCs w:val="24"/>
        </w:rPr>
        <w:t xml:space="preserve">August </w:t>
      </w:r>
      <w:r w:rsidRPr="009F67A5">
        <w:rPr>
          <w:rFonts w:eastAsia="Times New Roman" w:cs="Times New Roman"/>
          <w:szCs w:val="24"/>
        </w:rPr>
        <w:t>2013.</w:t>
      </w:r>
    </w:p>
    <w:p w:rsidR="00455FDA" w:rsidRPr="009F67A5" w:rsidRDefault="00455FDA" w:rsidP="00455FDA">
      <w:pPr>
        <w:widowControl w:val="0"/>
        <w:autoSpaceDE w:val="0"/>
        <w:autoSpaceDN w:val="0"/>
        <w:adjustRightInd w:val="0"/>
        <w:ind w:left="720"/>
        <w:rPr>
          <w:rFonts w:eastAsia="Times New Roman" w:cs="Times New Roman"/>
          <w:szCs w:val="24"/>
        </w:rPr>
      </w:pPr>
    </w:p>
    <w:p w:rsidR="00455FDA" w:rsidRPr="009F67A5" w:rsidRDefault="00455FDA" w:rsidP="00455FDA">
      <w:pPr>
        <w:widowControl w:val="0"/>
        <w:autoSpaceDE w:val="0"/>
        <w:autoSpaceDN w:val="0"/>
        <w:adjustRightInd w:val="0"/>
        <w:ind w:left="720"/>
        <w:rPr>
          <w:rFonts w:eastAsia="Times New Roman" w:cs="Times New Roman"/>
          <w:szCs w:val="24"/>
        </w:rPr>
      </w:pPr>
      <w:r w:rsidRPr="009F67A5">
        <w:rPr>
          <w:rFonts w:eastAsia="Times New Roman" w:cs="Times New Roman"/>
          <w:szCs w:val="24"/>
        </w:rPr>
        <w:tab/>
      </w:r>
      <w:r w:rsidRPr="009F67A5">
        <w:rPr>
          <w:rFonts w:eastAsia="Times New Roman" w:cs="Times New Roman"/>
          <w:szCs w:val="24"/>
        </w:rPr>
        <w:tab/>
      </w:r>
      <w:r w:rsidRPr="009F67A5">
        <w:rPr>
          <w:rFonts w:eastAsia="Times New Roman" w:cs="Times New Roman"/>
          <w:szCs w:val="24"/>
        </w:rPr>
        <w:tab/>
      </w:r>
      <w:r w:rsidRPr="009F67A5">
        <w:rPr>
          <w:rFonts w:eastAsia="Times New Roman" w:cs="Times New Roman"/>
          <w:szCs w:val="24"/>
        </w:rPr>
        <w:tab/>
      </w:r>
      <w:r w:rsidRPr="009F67A5">
        <w:rPr>
          <w:rFonts w:eastAsia="Times New Roman" w:cs="Times New Roman"/>
          <w:szCs w:val="24"/>
        </w:rPr>
        <w:tab/>
      </w:r>
      <w:r w:rsidRPr="009F67A5">
        <w:rPr>
          <w:rFonts w:eastAsia="Times New Roman" w:cs="Times New Roman"/>
          <w:szCs w:val="24"/>
        </w:rPr>
        <w:tab/>
        <w:t xml:space="preserve">Respectfully submitted, </w:t>
      </w:r>
    </w:p>
    <w:p w:rsidR="00455FDA" w:rsidRPr="009F67A5" w:rsidRDefault="00455FDA" w:rsidP="00455FDA">
      <w:pPr>
        <w:ind w:left="686"/>
        <w:rPr>
          <w:rFonts w:eastAsia="Times New Roman" w:cs="Times New Roman"/>
          <w:szCs w:val="24"/>
        </w:rPr>
      </w:pPr>
    </w:p>
    <w:p w:rsidR="00455FDA" w:rsidRPr="009F67A5" w:rsidRDefault="00455FDA" w:rsidP="00455FDA">
      <w:pPr>
        <w:widowControl w:val="0"/>
        <w:autoSpaceDE w:val="0"/>
        <w:autoSpaceDN w:val="0"/>
        <w:adjustRightInd w:val="0"/>
        <w:ind w:left="5040"/>
        <w:jc w:val="both"/>
        <w:rPr>
          <w:rFonts w:eastAsia="Times New Roman" w:cs="Times New Roman"/>
          <w:szCs w:val="24"/>
        </w:rPr>
      </w:pPr>
      <w:r w:rsidRPr="009F67A5">
        <w:rPr>
          <w:rFonts w:eastAsia="Times New Roman" w:cs="Times New Roman"/>
          <w:szCs w:val="24"/>
        </w:rPr>
        <w:t xml:space="preserve">ROBERT W. FERGUSON </w:t>
      </w:r>
    </w:p>
    <w:p w:rsidR="00455FDA" w:rsidRPr="009F67A5" w:rsidRDefault="00455FDA" w:rsidP="00455FDA">
      <w:pPr>
        <w:widowControl w:val="0"/>
        <w:autoSpaceDE w:val="0"/>
        <w:autoSpaceDN w:val="0"/>
        <w:adjustRightInd w:val="0"/>
        <w:ind w:firstLine="5040"/>
        <w:jc w:val="both"/>
        <w:rPr>
          <w:rFonts w:eastAsia="Times New Roman" w:cs="Times New Roman"/>
          <w:szCs w:val="24"/>
        </w:rPr>
      </w:pPr>
      <w:r w:rsidRPr="009F67A5">
        <w:rPr>
          <w:rFonts w:eastAsia="Times New Roman" w:cs="Times New Roman"/>
          <w:szCs w:val="24"/>
        </w:rPr>
        <w:t>Attorney General</w:t>
      </w:r>
    </w:p>
    <w:p w:rsidR="00455FDA" w:rsidRPr="009F67A5" w:rsidRDefault="00455FDA" w:rsidP="00455FDA">
      <w:pPr>
        <w:widowControl w:val="0"/>
        <w:autoSpaceDE w:val="0"/>
        <w:autoSpaceDN w:val="0"/>
        <w:adjustRightInd w:val="0"/>
        <w:jc w:val="both"/>
        <w:rPr>
          <w:rFonts w:eastAsia="Times New Roman" w:cs="Times New Roman"/>
          <w:szCs w:val="24"/>
        </w:rPr>
      </w:pPr>
    </w:p>
    <w:p w:rsidR="00455FDA" w:rsidRPr="009F67A5" w:rsidRDefault="00455FDA" w:rsidP="00455FDA">
      <w:pPr>
        <w:widowControl w:val="0"/>
        <w:autoSpaceDE w:val="0"/>
        <w:autoSpaceDN w:val="0"/>
        <w:adjustRightInd w:val="0"/>
        <w:jc w:val="both"/>
        <w:rPr>
          <w:rFonts w:eastAsia="Times New Roman" w:cs="Times New Roman"/>
          <w:szCs w:val="24"/>
        </w:rPr>
      </w:pPr>
    </w:p>
    <w:p w:rsidR="00455FDA" w:rsidRPr="009F67A5" w:rsidRDefault="00455FDA" w:rsidP="00455FDA">
      <w:pPr>
        <w:widowControl w:val="0"/>
        <w:autoSpaceDE w:val="0"/>
        <w:autoSpaceDN w:val="0"/>
        <w:adjustRightInd w:val="0"/>
        <w:jc w:val="both"/>
        <w:rPr>
          <w:rFonts w:eastAsia="Times New Roman" w:cs="Times New Roman"/>
          <w:szCs w:val="24"/>
        </w:rPr>
      </w:pPr>
    </w:p>
    <w:p w:rsidR="00455FDA" w:rsidRPr="009F67A5" w:rsidRDefault="00455FDA" w:rsidP="00455FDA">
      <w:pPr>
        <w:widowControl w:val="0"/>
        <w:autoSpaceDE w:val="0"/>
        <w:autoSpaceDN w:val="0"/>
        <w:adjustRightInd w:val="0"/>
        <w:ind w:left="1440" w:firstLine="3600"/>
        <w:jc w:val="both"/>
        <w:rPr>
          <w:rFonts w:eastAsia="Times New Roman" w:cs="Times New Roman"/>
          <w:szCs w:val="24"/>
        </w:rPr>
      </w:pPr>
      <w:r w:rsidRPr="009F67A5">
        <w:rPr>
          <w:rFonts w:eastAsia="Times New Roman" w:cs="Times New Roman"/>
          <w:szCs w:val="24"/>
        </w:rPr>
        <w:t>______________________________</w:t>
      </w:r>
    </w:p>
    <w:p w:rsidR="00455FDA" w:rsidRPr="009F67A5" w:rsidRDefault="00455FDA" w:rsidP="00455FDA">
      <w:pPr>
        <w:widowControl w:val="0"/>
        <w:autoSpaceDE w:val="0"/>
        <w:autoSpaceDN w:val="0"/>
        <w:adjustRightInd w:val="0"/>
        <w:ind w:firstLine="5040"/>
        <w:jc w:val="both"/>
        <w:rPr>
          <w:rFonts w:eastAsia="Times New Roman" w:cs="Times New Roman"/>
          <w:szCs w:val="24"/>
        </w:rPr>
      </w:pPr>
      <w:r>
        <w:rPr>
          <w:rFonts w:eastAsia="Times New Roman" w:cs="Times New Roman"/>
          <w:szCs w:val="24"/>
        </w:rPr>
        <w:t>DONALD T. TROTTER</w:t>
      </w:r>
    </w:p>
    <w:p w:rsidR="00455FDA" w:rsidRPr="009F67A5" w:rsidRDefault="00455FDA" w:rsidP="00455FDA">
      <w:pPr>
        <w:widowControl w:val="0"/>
        <w:autoSpaceDE w:val="0"/>
        <w:autoSpaceDN w:val="0"/>
        <w:adjustRightInd w:val="0"/>
        <w:ind w:left="1440" w:firstLine="3600"/>
        <w:jc w:val="both"/>
        <w:rPr>
          <w:rFonts w:eastAsia="Times New Roman" w:cs="Times New Roman"/>
          <w:szCs w:val="24"/>
        </w:rPr>
      </w:pPr>
      <w:r w:rsidRPr="009F67A5">
        <w:rPr>
          <w:rFonts w:eastAsia="Times New Roman" w:cs="Times New Roman"/>
          <w:szCs w:val="24"/>
        </w:rPr>
        <w:t>Assistant Attorney General</w:t>
      </w:r>
    </w:p>
    <w:p w:rsidR="00455FDA" w:rsidRPr="009F67A5" w:rsidRDefault="00455FDA" w:rsidP="00455FDA">
      <w:pPr>
        <w:widowControl w:val="0"/>
        <w:autoSpaceDE w:val="0"/>
        <w:autoSpaceDN w:val="0"/>
        <w:adjustRightInd w:val="0"/>
        <w:ind w:left="2160" w:firstLine="2880"/>
        <w:jc w:val="both"/>
        <w:rPr>
          <w:rFonts w:eastAsia="Times New Roman" w:cs="Times New Roman"/>
          <w:szCs w:val="24"/>
        </w:rPr>
      </w:pPr>
      <w:r w:rsidRPr="009F67A5">
        <w:rPr>
          <w:rFonts w:eastAsia="Times New Roman" w:cs="Times New Roman"/>
          <w:szCs w:val="24"/>
        </w:rPr>
        <w:t xml:space="preserve">Counsel for </w:t>
      </w:r>
      <w:smartTag w:uri="urn:schemas-microsoft-com:office:smarttags" w:element="place">
        <w:smartTag w:uri="urn:schemas-microsoft-com:office:smarttags" w:element="PostalCode">
          <w:r w:rsidRPr="009F67A5">
            <w:rPr>
              <w:rFonts w:eastAsia="Times New Roman" w:cs="Times New Roman"/>
              <w:szCs w:val="24"/>
            </w:rPr>
            <w:t>Washington</w:t>
          </w:r>
        </w:smartTag>
      </w:smartTag>
      <w:r w:rsidRPr="009F67A5">
        <w:rPr>
          <w:rFonts w:eastAsia="Times New Roman" w:cs="Times New Roman"/>
          <w:szCs w:val="24"/>
        </w:rPr>
        <w:t xml:space="preserve"> Utilities and</w:t>
      </w:r>
    </w:p>
    <w:p w:rsidR="000624C1" w:rsidRPr="00EE5F5D" w:rsidRDefault="00455FDA" w:rsidP="00EE5F5D">
      <w:pPr>
        <w:widowControl w:val="0"/>
        <w:autoSpaceDE w:val="0"/>
        <w:autoSpaceDN w:val="0"/>
        <w:adjustRightInd w:val="0"/>
        <w:ind w:left="2880" w:firstLine="2160"/>
        <w:jc w:val="both"/>
        <w:rPr>
          <w:rFonts w:eastAsia="Times New Roman" w:cs="Times New Roman"/>
          <w:szCs w:val="24"/>
        </w:rPr>
      </w:pPr>
      <w:r w:rsidRPr="009F67A5">
        <w:rPr>
          <w:rFonts w:eastAsia="Times New Roman" w:cs="Times New Roman"/>
          <w:szCs w:val="24"/>
        </w:rPr>
        <w:t>Transportation Commission Staff</w:t>
      </w:r>
    </w:p>
    <w:sectPr w:rsidR="000624C1" w:rsidRPr="00EE5F5D" w:rsidSect="003A37CE">
      <w:footerReference w:type="default" r:id="rId9"/>
      <w:pgSz w:w="12240" w:h="15840"/>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BD7" w:rsidRDefault="00FC1BD7" w:rsidP="00AB2A69">
      <w:r>
        <w:separator/>
      </w:r>
    </w:p>
  </w:endnote>
  <w:endnote w:type="continuationSeparator" w:id="0">
    <w:p w:rsidR="00FC1BD7" w:rsidRDefault="00FC1BD7" w:rsidP="00AB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7CE" w:rsidRPr="003A37CE" w:rsidRDefault="003A37CE">
    <w:pPr>
      <w:pStyle w:val="Footer"/>
      <w:rPr>
        <w:sz w:val="20"/>
        <w:szCs w:val="20"/>
      </w:rPr>
    </w:pPr>
  </w:p>
  <w:p w:rsidR="003A37CE" w:rsidRPr="003A37CE" w:rsidRDefault="003A37CE">
    <w:pPr>
      <w:pStyle w:val="Footer"/>
      <w:rPr>
        <w:sz w:val="20"/>
        <w:szCs w:val="20"/>
      </w:rPr>
    </w:pPr>
    <w:r w:rsidRPr="003A37CE">
      <w:rPr>
        <w:sz w:val="20"/>
        <w:szCs w:val="20"/>
      </w:rPr>
      <w:t xml:space="preserve">COMMISSION STAFF REPLY - </w:t>
    </w:r>
    <w:r w:rsidRPr="003A37CE">
      <w:rPr>
        <w:sz w:val="20"/>
        <w:szCs w:val="20"/>
      </w:rPr>
      <w:fldChar w:fldCharType="begin"/>
    </w:r>
    <w:r w:rsidRPr="003A37CE">
      <w:rPr>
        <w:sz w:val="20"/>
        <w:szCs w:val="20"/>
      </w:rPr>
      <w:instrText xml:space="preserve"> PAGE   \* MERGEFORMAT </w:instrText>
    </w:r>
    <w:r w:rsidRPr="003A37CE">
      <w:rPr>
        <w:sz w:val="20"/>
        <w:szCs w:val="20"/>
      </w:rPr>
      <w:fldChar w:fldCharType="separate"/>
    </w:r>
    <w:r w:rsidR="006E3C72">
      <w:rPr>
        <w:noProof/>
        <w:sz w:val="20"/>
        <w:szCs w:val="20"/>
      </w:rPr>
      <w:t>3</w:t>
    </w:r>
    <w:r w:rsidRPr="003A37CE">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BD7" w:rsidRDefault="00FC1BD7" w:rsidP="00AB2A69">
      <w:r>
        <w:separator/>
      </w:r>
    </w:p>
  </w:footnote>
  <w:footnote w:type="continuationSeparator" w:id="0">
    <w:p w:rsidR="00FC1BD7" w:rsidRDefault="00FC1BD7" w:rsidP="00AB2A69">
      <w:r>
        <w:continuationSeparator/>
      </w:r>
    </w:p>
  </w:footnote>
  <w:footnote w:id="1">
    <w:p w:rsidR="001232C6" w:rsidRDefault="001232C6">
      <w:pPr>
        <w:pStyle w:val="FootnoteText"/>
      </w:pPr>
      <w:r>
        <w:rPr>
          <w:rStyle w:val="FootnoteReference"/>
        </w:rPr>
        <w:footnoteRef/>
      </w:r>
      <w:r>
        <w:t xml:space="preserve"> PSE’s Response to Commission Staff’s Motion for Consolidation (PSE Response) (July 25, 2013).</w:t>
      </w:r>
    </w:p>
  </w:footnote>
  <w:footnote w:id="2">
    <w:p w:rsidR="00D01DE8" w:rsidRDefault="00D01DE8">
      <w:pPr>
        <w:pStyle w:val="FootnoteText"/>
      </w:pPr>
      <w:r>
        <w:rPr>
          <w:rStyle w:val="FootnoteReference"/>
        </w:rPr>
        <w:footnoteRef/>
      </w:r>
      <w:r>
        <w:t xml:space="preserve"> </w:t>
      </w:r>
      <w:r w:rsidR="00854792">
        <w:rPr>
          <w:i/>
        </w:rPr>
        <w:t xml:space="preserve">See </w:t>
      </w:r>
      <w:r>
        <w:rPr>
          <w:i/>
        </w:rPr>
        <w:t>Puget Sound Energy, Inc.,</w:t>
      </w:r>
      <w:r w:rsidRPr="007E50F7">
        <w:t xml:space="preserve"> Docket U</w:t>
      </w:r>
      <w:r>
        <w:t>E</w:t>
      </w:r>
      <w:r w:rsidRPr="007E50F7">
        <w:t>-</w:t>
      </w:r>
      <w:r>
        <w:t>130583,</w:t>
      </w:r>
      <w:r w:rsidRPr="007E50F7">
        <w:t xml:space="preserve"> </w:t>
      </w:r>
      <w:r>
        <w:t xml:space="preserve">Petition for an Accounting Order </w:t>
      </w:r>
      <w:r w:rsidRPr="007E50F7">
        <w:t>(</w:t>
      </w:r>
      <w:r w:rsidR="003A37CE">
        <w:t>April 24, 2013) at page </w:t>
      </w:r>
      <w:r>
        <w:t>8.</w:t>
      </w:r>
    </w:p>
  </w:footnote>
  <w:footnote w:id="3">
    <w:p w:rsidR="001232C6" w:rsidRDefault="001232C6" w:rsidP="001232C6">
      <w:pPr>
        <w:pStyle w:val="NormalWeb"/>
        <w:ind w:firstLine="0"/>
        <w:rPr>
          <w:sz w:val="20"/>
          <w:szCs w:val="20"/>
        </w:rPr>
      </w:pPr>
      <w:r w:rsidRPr="00091422">
        <w:rPr>
          <w:rStyle w:val="FootnoteReference"/>
          <w:sz w:val="20"/>
          <w:szCs w:val="20"/>
        </w:rPr>
        <w:footnoteRef/>
      </w:r>
      <w:r w:rsidRPr="00091422">
        <w:rPr>
          <w:sz w:val="20"/>
          <w:szCs w:val="20"/>
        </w:rPr>
        <w:t xml:space="preserve"> </w:t>
      </w:r>
      <w:r>
        <w:rPr>
          <w:sz w:val="20"/>
          <w:szCs w:val="20"/>
        </w:rPr>
        <w:t xml:space="preserve">FASB 980-340-25 states, in pertinent part: </w:t>
      </w:r>
    </w:p>
    <w:p w:rsidR="001232C6" w:rsidRPr="00091422" w:rsidRDefault="001232C6" w:rsidP="001232C6">
      <w:pPr>
        <w:pStyle w:val="NormalWeb"/>
        <w:ind w:left="630" w:firstLine="0"/>
        <w:rPr>
          <w:sz w:val="20"/>
          <w:szCs w:val="20"/>
        </w:rPr>
      </w:pPr>
      <w:r w:rsidRPr="00091422">
        <w:rPr>
          <w:sz w:val="20"/>
          <w:szCs w:val="20"/>
        </w:rPr>
        <w:t xml:space="preserve">Rate actions of a regulator can provide reasonable assurance of the existence of an asset. An entity shall </w:t>
      </w:r>
      <w:r w:rsidRPr="00091422">
        <w:rPr>
          <w:bCs/>
          <w:sz w:val="20"/>
          <w:szCs w:val="20"/>
        </w:rPr>
        <w:t>capitalize</w:t>
      </w:r>
      <w:r w:rsidRPr="00091422">
        <w:rPr>
          <w:sz w:val="20"/>
          <w:szCs w:val="20"/>
        </w:rPr>
        <w:t xml:space="preserve"> all or part of an </w:t>
      </w:r>
      <w:r w:rsidRPr="00091422">
        <w:rPr>
          <w:bCs/>
          <w:sz w:val="20"/>
          <w:szCs w:val="20"/>
        </w:rPr>
        <w:t>incurred cost</w:t>
      </w:r>
      <w:r w:rsidRPr="00091422">
        <w:rPr>
          <w:sz w:val="20"/>
          <w:szCs w:val="20"/>
        </w:rPr>
        <w:t xml:space="preserve"> that would otherwise be charged to expense if both of the following criteria are met:</w:t>
      </w:r>
    </w:p>
    <w:p w:rsidR="001232C6" w:rsidRDefault="00672797" w:rsidP="001232C6">
      <w:pPr>
        <w:ind w:left="630"/>
        <w:rPr>
          <w:rFonts w:eastAsia="Times New Roman" w:cs="Times New Roman"/>
          <w:sz w:val="20"/>
          <w:szCs w:val="20"/>
        </w:rPr>
      </w:pPr>
      <w:r>
        <w:rPr>
          <w:rFonts w:eastAsia="Times New Roman" w:cs="Times New Roman"/>
          <w:sz w:val="20"/>
          <w:szCs w:val="20"/>
        </w:rPr>
        <w:t>a. It</w:t>
      </w:r>
      <w:r w:rsidR="001232C6" w:rsidRPr="00A62AFF">
        <w:rPr>
          <w:rFonts w:eastAsia="Times New Roman" w:cs="Times New Roman"/>
          <w:sz w:val="20"/>
          <w:szCs w:val="20"/>
        </w:rPr>
        <w:t xml:space="preserve"> is probable (as defined in Topic </w:t>
      </w:r>
      <w:hyperlink r:id="rId1" w:history="1">
        <w:r w:rsidR="001232C6" w:rsidRPr="00A62AFF">
          <w:rPr>
            <w:rFonts w:eastAsia="Times New Roman" w:cs="Times New Roman"/>
            <w:color w:val="000000"/>
            <w:sz w:val="20"/>
            <w:szCs w:val="20"/>
            <w:u w:val="single"/>
          </w:rPr>
          <w:t>450</w:t>
        </w:r>
      </w:hyperlink>
      <w:r w:rsidR="001232C6" w:rsidRPr="00A62AFF">
        <w:rPr>
          <w:rFonts w:eastAsia="Times New Roman" w:cs="Times New Roman"/>
          <w:sz w:val="20"/>
          <w:szCs w:val="20"/>
        </w:rPr>
        <w:t xml:space="preserve">) that future revenue in an amount at least equal to the capitalized cost will result from inclusion of that cost in </w:t>
      </w:r>
      <w:r w:rsidR="001232C6" w:rsidRPr="00A62AFF">
        <w:rPr>
          <w:rFonts w:eastAsia="Times New Roman" w:cs="Times New Roman"/>
          <w:bCs/>
          <w:sz w:val="20"/>
          <w:szCs w:val="20"/>
        </w:rPr>
        <w:t>allowable costs</w:t>
      </w:r>
      <w:r w:rsidR="001232C6" w:rsidRPr="00A62AFF">
        <w:rPr>
          <w:rFonts w:eastAsia="Times New Roman" w:cs="Times New Roman"/>
          <w:sz w:val="20"/>
          <w:szCs w:val="20"/>
        </w:rPr>
        <w:t xml:space="preserve"> for rate-making purposes.</w:t>
      </w:r>
    </w:p>
    <w:p w:rsidR="001232C6" w:rsidRDefault="001232C6" w:rsidP="001232C6">
      <w:pPr>
        <w:ind w:left="630"/>
      </w:pPr>
      <w:r>
        <w:rPr>
          <w:rFonts w:eastAsia="Times New Roman" w:cs="Times New Roman"/>
          <w:sz w:val="20"/>
          <w:szCs w:val="20"/>
        </w:rPr>
        <w:t xml:space="preserve">b. </w:t>
      </w:r>
      <w:r w:rsidRPr="00A62AFF">
        <w:rPr>
          <w:rFonts w:eastAsia="Times New Roman" w:cs="Times New Roman"/>
          <w:sz w:val="20"/>
          <w:szCs w:val="20"/>
        </w:rPr>
        <w:t>Based on available evidence, the future revenue will be provided to permit recovery of the previously incurred cost rather than to provide for expected levels of similar future costs. If the revenue will be provided through an automatic rate-adjustment clause, this criterion requires that the regulator’s intent clearly be to permit recovery of the previously incurred cost.</w:t>
      </w:r>
    </w:p>
  </w:footnote>
  <w:footnote w:id="4">
    <w:p w:rsidR="001232C6" w:rsidRDefault="001232C6">
      <w:pPr>
        <w:pStyle w:val="FootnoteText"/>
      </w:pPr>
      <w:r>
        <w:rPr>
          <w:rStyle w:val="FootnoteReference"/>
        </w:rPr>
        <w:footnoteRef/>
      </w:r>
      <w:r>
        <w:t xml:space="preserve"> </w:t>
      </w:r>
      <w:r w:rsidRPr="00AB2A69">
        <w:rPr>
          <w:i/>
        </w:rPr>
        <w:t xml:space="preserve">Utilities and Transp. Comm’n v. Puget Sound Energy, Inc., </w:t>
      </w:r>
      <w:r w:rsidRPr="00AB2A69">
        <w:t>Docket UE-</w:t>
      </w:r>
      <w:r>
        <w:t>130617 (PCORC), PSE witness Katherine J. Barnard’s Exhibit No.</w:t>
      </w:r>
      <w:r w:rsidR="00A34808">
        <w:t xml:space="preserve"> </w:t>
      </w:r>
      <w:r>
        <w:t xml:space="preserve">KJB-1CT, at </w:t>
      </w:r>
      <w:r w:rsidR="00E3794F">
        <w:t xml:space="preserve">pages </w:t>
      </w:r>
      <w:r>
        <w:t>32-35.</w:t>
      </w:r>
    </w:p>
  </w:footnote>
  <w:footnote w:id="5">
    <w:p w:rsidR="001232C6" w:rsidRPr="00AB2A69" w:rsidRDefault="001232C6" w:rsidP="00AB2A69">
      <w:pPr>
        <w:spacing w:line="264" w:lineRule="auto"/>
      </w:pPr>
      <w:r w:rsidRPr="00AB2A69">
        <w:rPr>
          <w:rStyle w:val="FootnoteReference"/>
          <w:sz w:val="20"/>
          <w:szCs w:val="20"/>
        </w:rPr>
        <w:footnoteRef/>
      </w:r>
      <w:r w:rsidRPr="00AB2A69">
        <w:rPr>
          <w:sz w:val="20"/>
          <w:szCs w:val="20"/>
        </w:rPr>
        <w:t xml:space="preserve"> </w:t>
      </w:r>
      <w:r w:rsidRPr="00AB2A69">
        <w:rPr>
          <w:i/>
          <w:sz w:val="20"/>
          <w:szCs w:val="20"/>
        </w:rPr>
        <w:t xml:space="preserve">Utilities and Transp. Comm’n v. Puget Sound Energy, Inc., </w:t>
      </w:r>
      <w:r w:rsidRPr="00AB2A69">
        <w:rPr>
          <w:sz w:val="20"/>
          <w:szCs w:val="20"/>
        </w:rPr>
        <w:t>Dockets UE-090704 and UG-090705, Order 11, Rejecting Tariff Sheets;</w:t>
      </w:r>
      <w:r>
        <w:rPr>
          <w:sz w:val="20"/>
          <w:szCs w:val="20"/>
        </w:rPr>
        <w:t xml:space="preserve"> </w:t>
      </w:r>
      <w:r w:rsidRPr="00AB2A69">
        <w:rPr>
          <w:sz w:val="20"/>
          <w:szCs w:val="20"/>
        </w:rPr>
        <w:t>Authorizing And Requiring Compliance Filing</w:t>
      </w:r>
      <w:r>
        <w:rPr>
          <w:sz w:val="20"/>
          <w:szCs w:val="20"/>
        </w:rPr>
        <w:t xml:space="preserve"> (April 2, 2010) at </w:t>
      </w:r>
      <w:r w:rsidR="00E3794F">
        <w:rPr>
          <w:sz w:val="20"/>
          <w:szCs w:val="20"/>
        </w:rPr>
        <w:t xml:space="preserve">page </w:t>
      </w:r>
      <w:r>
        <w:rPr>
          <w:sz w:val="20"/>
          <w:szCs w:val="20"/>
        </w:rPr>
        <w:t xml:space="preserve">61, </w:t>
      </w:r>
      <w:r>
        <w:rPr>
          <w:rFonts w:cs="Times New Roman"/>
          <w:sz w:val="20"/>
          <w:szCs w:val="20"/>
        </w:rPr>
        <w:t>¶</w:t>
      </w:r>
      <w:r>
        <w:rPr>
          <w:sz w:val="20"/>
          <w:szCs w:val="20"/>
        </w:rPr>
        <w:t xml:space="preserve"> 163.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527FF"/>
    <w:multiLevelType w:val="hybridMultilevel"/>
    <w:tmpl w:val="524EE17E"/>
    <w:lvl w:ilvl="0" w:tplc="2FB82D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D76A7"/>
    <w:multiLevelType w:val="multilevel"/>
    <w:tmpl w:val="6D42EA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21131AC8"/>
    <w:multiLevelType w:val="hybridMultilevel"/>
    <w:tmpl w:val="0464AE98"/>
    <w:lvl w:ilvl="0" w:tplc="808C15CE">
      <w:start w:val="1"/>
      <w:numFmt w:val="decimal"/>
      <w:lvlText w:val="%1"/>
      <w:lvlJc w:val="left"/>
      <w:pPr>
        <w:tabs>
          <w:tab w:val="num" w:pos="720"/>
        </w:tabs>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2EB36F4"/>
    <w:multiLevelType w:val="hybridMultilevel"/>
    <w:tmpl w:val="FAECE284"/>
    <w:lvl w:ilvl="0" w:tplc="808C15CE">
      <w:start w:val="1"/>
      <w:numFmt w:val="decimal"/>
      <w:lvlText w:val="%1"/>
      <w:lvlJc w:val="left"/>
      <w:pPr>
        <w:tabs>
          <w:tab w:val="num" w:pos="1440"/>
        </w:tabs>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ACF3E3E"/>
    <w:multiLevelType w:val="hybridMultilevel"/>
    <w:tmpl w:val="1E9ED676"/>
    <w:lvl w:ilvl="0" w:tplc="109EC64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687"/>
    <w:rsid w:val="000624C1"/>
    <w:rsid w:val="001232C6"/>
    <w:rsid w:val="001B6347"/>
    <w:rsid w:val="0021530C"/>
    <w:rsid w:val="00270346"/>
    <w:rsid w:val="003463B9"/>
    <w:rsid w:val="003A37CE"/>
    <w:rsid w:val="003A4AC0"/>
    <w:rsid w:val="003A7687"/>
    <w:rsid w:val="003C0A4B"/>
    <w:rsid w:val="00423C0C"/>
    <w:rsid w:val="00455FDA"/>
    <w:rsid w:val="004C0A4B"/>
    <w:rsid w:val="004F1911"/>
    <w:rsid w:val="005202C4"/>
    <w:rsid w:val="005210F0"/>
    <w:rsid w:val="00541B3F"/>
    <w:rsid w:val="005F0456"/>
    <w:rsid w:val="005F0BD4"/>
    <w:rsid w:val="00612BAC"/>
    <w:rsid w:val="00672797"/>
    <w:rsid w:val="006E3C72"/>
    <w:rsid w:val="007B3A20"/>
    <w:rsid w:val="008351D4"/>
    <w:rsid w:val="00854792"/>
    <w:rsid w:val="008D23AD"/>
    <w:rsid w:val="00910BBE"/>
    <w:rsid w:val="00974162"/>
    <w:rsid w:val="00996F42"/>
    <w:rsid w:val="00A34808"/>
    <w:rsid w:val="00AB2A69"/>
    <w:rsid w:val="00AD2181"/>
    <w:rsid w:val="00B568BD"/>
    <w:rsid w:val="00B742D8"/>
    <w:rsid w:val="00B74343"/>
    <w:rsid w:val="00BD4419"/>
    <w:rsid w:val="00C73C4B"/>
    <w:rsid w:val="00D01DE8"/>
    <w:rsid w:val="00D50814"/>
    <w:rsid w:val="00D808C5"/>
    <w:rsid w:val="00DB5565"/>
    <w:rsid w:val="00DC32BB"/>
    <w:rsid w:val="00DC527D"/>
    <w:rsid w:val="00E3794F"/>
    <w:rsid w:val="00EA7BCA"/>
    <w:rsid w:val="00EB0ED4"/>
    <w:rsid w:val="00ED5AA0"/>
    <w:rsid w:val="00EE5F5D"/>
    <w:rsid w:val="00F21F5C"/>
    <w:rsid w:val="00F67399"/>
    <w:rsid w:val="00FC1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unhideWhenUsed/>
    <w:qFormat/>
    <w:rsid w:val="00AB2A69"/>
    <w:rPr>
      <w:sz w:val="20"/>
      <w:szCs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rsid w:val="00AB2A69"/>
    <w:rPr>
      <w:sz w:val="20"/>
      <w:szCs w:val="20"/>
    </w:rPr>
  </w:style>
  <w:style w:type="character" w:styleId="FootnoteReference">
    <w:name w:val="footnote reference"/>
    <w:basedOn w:val="DefaultParagraphFont"/>
    <w:uiPriority w:val="99"/>
    <w:semiHidden/>
    <w:unhideWhenUsed/>
    <w:rsid w:val="00AB2A69"/>
    <w:rPr>
      <w:vertAlign w:val="superscript"/>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basedOn w:val="DefaultParagraphFont"/>
    <w:uiPriority w:val="99"/>
    <w:locked/>
    <w:rsid w:val="00AB2A69"/>
    <w:rPr>
      <w:sz w:val="22"/>
    </w:rPr>
  </w:style>
  <w:style w:type="paragraph" w:styleId="BalloonText">
    <w:name w:val="Balloon Text"/>
    <w:basedOn w:val="Normal"/>
    <w:link w:val="BalloonTextChar"/>
    <w:uiPriority w:val="99"/>
    <w:semiHidden/>
    <w:unhideWhenUsed/>
    <w:rsid w:val="008351D4"/>
    <w:rPr>
      <w:rFonts w:ascii="Tahoma" w:hAnsi="Tahoma" w:cs="Tahoma"/>
      <w:sz w:val="16"/>
      <w:szCs w:val="16"/>
    </w:rPr>
  </w:style>
  <w:style w:type="character" w:customStyle="1" w:styleId="BalloonTextChar">
    <w:name w:val="Balloon Text Char"/>
    <w:basedOn w:val="DefaultParagraphFont"/>
    <w:link w:val="BalloonText"/>
    <w:uiPriority w:val="99"/>
    <w:semiHidden/>
    <w:rsid w:val="008351D4"/>
    <w:rPr>
      <w:rFonts w:ascii="Tahoma" w:hAnsi="Tahoma" w:cs="Tahoma"/>
      <w:sz w:val="16"/>
      <w:szCs w:val="16"/>
    </w:rPr>
  </w:style>
  <w:style w:type="paragraph" w:styleId="ListParagraph">
    <w:name w:val="List Paragraph"/>
    <w:basedOn w:val="Normal"/>
    <w:uiPriority w:val="34"/>
    <w:qFormat/>
    <w:rsid w:val="00455FDA"/>
    <w:pPr>
      <w:ind w:left="720"/>
      <w:contextualSpacing/>
    </w:pPr>
  </w:style>
  <w:style w:type="character" w:styleId="CommentReference">
    <w:name w:val="annotation reference"/>
    <w:basedOn w:val="DefaultParagraphFont"/>
    <w:uiPriority w:val="99"/>
    <w:semiHidden/>
    <w:unhideWhenUsed/>
    <w:rsid w:val="00DC527D"/>
    <w:rPr>
      <w:sz w:val="16"/>
      <w:szCs w:val="16"/>
    </w:rPr>
  </w:style>
  <w:style w:type="paragraph" w:styleId="CommentText">
    <w:name w:val="annotation text"/>
    <w:basedOn w:val="Normal"/>
    <w:link w:val="CommentTextChar"/>
    <w:uiPriority w:val="99"/>
    <w:semiHidden/>
    <w:unhideWhenUsed/>
    <w:rsid w:val="00DC527D"/>
    <w:rPr>
      <w:sz w:val="20"/>
      <w:szCs w:val="20"/>
    </w:rPr>
  </w:style>
  <w:style w:type="character" w:customStyle="1" w:styleId="CommentTextChar">
    <w:name w:val="Comment Text Char"/>
    <w:basedOn w:val="DefaultParagraphFont"/>
    <w:link w:val="CommentText"/>
    <w:uiPriority w:val="99"/>
    <w:semiHidden/>
    <w:rsid w:val="00DC527D"/>
    <w:rPr>
      <w:sz w:val="20"/>
      <w:szCs w:val="20"/>
    </w:rPr>
  </w:style>
  <w:style w:type="paragraph" w:styleId="CommentSubject">
    <w:name w:val="annotation subject"/>
    <w:basedOn w:val="CommentText"/>
    <w:next w:val="CommentText"/>
    <w:link w:val="CommentSubjectChar"/>
    <w:uiPriority w:val="99"/>
    <w:semiHidden/>
    <w:unhideWhenUsed/>
    <w:rsid w:val="00DC527D"/>
    <w:rPr>
      <w:b/>
      <w:bCs/>
    </w:rPr>
  </w:style>
  <w:style w:type="character" w:customStyle="1" w:styleId="CommentSubjectChar">
    <w:name w:val="Comment Subject Char"/>
    <w:basedOn w:val="CommentTextChar"/>
    <w:link w:val="CommentSubject"/>
    <w:uiPriority w:val="99"/>
    <w:semiHidden/>
    <w:rsid w:val="00DC527D"/>
    <w:rPr>
      <w:b/>
      <w:bCs/>
      <w:sz w:val="20"/>
      <w:szCs w:val="20"/>
    </w:rPr>
  </w:style>
  <w:style w:type="character" w:styleId="Hyperlink">
    <w:name w:val="Hyperlink"/>
    <w:basedOn w:val="DefaultParagraphFont"/>
    <w:uiPriority w:val="99"/>
    <w:semiHidden/>
    <w:unhideWhenUsed/>
    <w:rsid w:val="0021530C"/>
    <w:rPr>
      <w:color w:val="000000"/>
      <w:u w:val="single"/>
    </w:rPr>
  </w:style>
  <w:style w:type="paragraph" w:styleId="NormalWeb">
    <w:name w:val="Normal (Web)"/>
    <w:basedOn w:val="Normal"/>
    <w:uiPriority w:val="99"/>
    <w:unhideWhenUsed/>
    <w:rsid w:val="0021530C"/>
    <w:pPr>
      <w:ind w:firstLine="630"/>
    </w:pPr>
    <w:rPr>
      <w:rFonts w:eastAsia="Times New Roman" w:cs="Times New Roman"/>
      <w:szCs w:val="24"/>
    </w:rPr>
  </w:style>
  <w:style w:type="paragraph" w:styleId="Revision">
    <w:name w:val="Revision"/>
    <w:hidden/>
    <w:uiPriority w:val="99"/>
    <w:semiHidden/>
    <w:rsid w:val="00672797"/>
  </w:style>
  <w:style w:type="paragraph" w:styleId="Header">
    <w:name w:val="header"/>
    <w:basedOn w:val="Normal"/>
    <w:link w:val="HeaderChar"/>
    <w:uiPriority w:val="99"/>
    <w:unhideWhenUsed/>
    <w:rsid w:val="003A37CE"/>
    <w:pPr>
      <w:tabs>
        <w:tab w:val="center" w:pos="4680"/>
        <w:tab w:val="right" w:pos="9360"/>
      </w:tabs>
    </w:pPr>
  </w:style>
  <w:style w:type="character" w:customStyle="1" w:styleId="HeaderChar">
    <w:name w:val="Header Char"/>
    <w:basedOn w:val="DefaultParagraphFont"/>
    <w:link w:val="Header"/>
    <w:uiPriority w:val="99"/>
    <w:rsid w:val="003A37CE"/>
  </w:style>
  <w:style w:type="paragraph" w:styleId="Footer">
    <w:name w:val="footer"/>
    <w:basedOn w:val="Normal"/>
    <w:link w:val="FooterChar"/>
    <w:uiPriority w:val="99"/>
    <w:unhideWhenUsed/>
    <w:rsid w:val="003A37CE"/>
    <w:pPr>
      <w:tabs>
        <w:tab w:val="center" w:pos="4680"/>
        <w:tab w:val="right" w:pos="9360"/>
      </w:tabs>
    </w:pPr>
  </w:style>
  <w:style w:type="character" w:customStyle="1" w:styleId="FooterChar">
    <w:name w:val="Footer Char"/>
    <w:basedOn w:val="DefaultParagraphFont"/>
    <w:link w:val="Footer"/>
    <w:uiPriority w:val="99"/>
    <w:rsid w:val="003A37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unhideWhenUsed/>
    <w:qFormat/>
    <w:rsid w:val="00AB2A69"/>
    <w:rPr>
      <w:sz w:val="20"/>
      <w:szCs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rsid w:val="00AB2A69"/>
    <w:rPr>
      <w:sz w:val="20"/>
      <w:szCs w:val="20"/>
    </w:rPr>
  </w:style>
  <w:style w:type="character" w:styleId="FootnoteReference">
    <w:name w:val="footnote reference"/>
    <w:basedOn w:val="DefaultParagraphFont"/>
    <w:uiPriority w:val="99"/>
    <w:semiHidden/>
    <w:unhideWhenUsed/>
    <w:rsid w:val="00AB2A69"/>
    <w:rPr>
      <w:vertAlign w:val="superscript"/>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basedOn w:val="DefaultParagraphFont"/>
    <w:uiPriority w:val="99"/>
    <w:locked/>
    <w:rsid w:val="00AB2A69"/>
    <w:rPr>
      <w:sz w:val="22"/>
    </w:rPr>
  </w:style>
  <w:style w:type="paragraph" w:styleId="BalloonText">
    <w:name w:val="Balloon Text"/>
    <w:basedOn w:val="Normal"/>
    <w:link w:val="BalloonTextChar"/>
    <w:uiPriority w:val="99"/>
    <w:semiHidden/>
    <w:unhideWhenUsed/>
    <w:rsid w:val="008351D4"/>
    <w:rPr>
      <w:rFonts w:ascii="Tahoma" w:hAnsi="Tahoma" w:cs="Tahoma"/>
      <w:sz w:val="16"/>
      <w:szCs w:val="16"/>
    </w:rPr>
  </w:style>
  <w:style w:type="character" w:customStyle="1" w:styleId="BalloonTextChar">
    <w:name w:val="Balloon Text Char"/>
    <w:basedOn w:val="DefaultParagraphFont"/>
    <w:link w:val="BalloonText"/>
    <w:uiPriority w:val="99"/>
    <w:semiHidden/>
    <w:rsid w:val="008351D4"/>
    <w:rPr>
      <w:rFonts w:ascii="Tahoma" w:hAnsi="Tahoma" w:cs="Tahoma"/>
      <w:sz w:val="16"/>
      <w:szCs w:val="16"/>
    </w:rPr>
  </w:style>
  <w:style w:type="paragraph" w:styleId="ListParagraph">
    <w:name w:val="List Paragraph"/>
    <w:basedOn w:val="Normal"/>
    <w:uiPriority w:val="34"/>
    <w:qFormat/>
    <w:rsid w:val="00455FDA"/>
    <w:pPr>
      <w:ind w:left="720"/>
      <w:contextualSpacing/>
    </w:pPr>
  </w:style>
  <w:style w:type="character" w:styleId="CommentReference">
    <w:name w:val="annotation reference"/>
    <w:basedOn w:val="DefaultParagraphFont"/>
    <w:uiPriority w:val="99"/>
    <w:semiHidden/>
    <w:unhideWhenUsed/>
    <w:rsid w:val="00DC527D"/>
    <w:rPr>
      <w:sz w:val="16"/>
      <w:szCs w:val="16"/>
    </w:rPr>
  </w:style>
  <w:style w:type="paragraph" w:styleId="CommentText">
    <w:name w:val="annotation text"/>
    <w:basedOn w:val="Normal"/>
    <w:link w:val="CommentTextChar"/>
    <w:uiPriority w:val="99"/>
    <w:semiHidden/>
    <w:unhideWhenUsed/>
    <w:rsid w:val="00DC527D"/>
    <w:rPr>
      <w:sz w:val="20"/>
      <w:szCs w:val="20"/>
    </w:rPr>
  </w:style>
  <w:style w:type="character" w:customStyle="1" w:styleId="CommentTextChar">
    <w:name w:val="Comment Text Char"/>
    <w:basedOn w:val="DefaultParagraphFont"/>
    <w:link w:val="CommentText"/>
    <w:uiPriority w:val="99"/>
    <w:semiHidden/>
    <w:rsid w:val="00DC527D"/>
    <w:rPr>
      <w:sz w:val="20"/>
      <w:szCs w:val="20"/>
    </w:rPr>
  </w:style>
  <w:style w:type="paragraph" w:styleId="CommentSubject">
    <w:name w:val="annotation subject"/>
    <w:basedOn w:val="CommentText"/>
    <w:next w:val="CommentText"/>
    <w:link w:val="CommentSubjectChar"/>
    <w:uiPriority w:val="99"/>
    <w:semiHidden/>
    <w:unhideWhenUsed/>
    <w:rsid w:val="00DC527D"/>
    <w:rPr>
      <w:b/>
      <w:bCs/>
    </w:rPr>
  </w:style>
  <w:style w:type="character" w:customStyle="1" w:styleId="CommentSubjectChar">
    <w:name w:val="Comment Subject Char"/>
    <w:basedOn w:val="CommentTextChar"/>
    <w:link w:val="CommentSubject"/>
    <w:uiPriority w:val="99"/>
    <w:semiHidden/>
    <w:rsid w:val="00DC527D"/>
    <w:rPr>
      <w:b/>
      <w:bCs/>
      <w:sz w:val="20"/>
      <w:szCs w:val="20"/>
    </w:rPr>
  </w:style>
  <w:style w:type="character" w:styleId="Hyperlink">
    <w:name w:val="Hyperlink"/>
    <w:basedOn w:val="DefaultParagraphFont"/>
    <w:uiPriority w:val="99"/>
    <w:semiHidden/>
    <w:unhideWhenUsed/>
    <w:rsid w:val="0021530C"/>
    <w:rPr>
      <w:color w:val="000000"/>
      <w:u w:val="single"/>
    </w:rPr>
  </w:style>
  <w:style w:type="paragraph" w:styleId="NormalWeb">
    <w:name w:val="Normal (Web)"/>
    <w:basedOn w:val="Normal"/>
    <w:uiPriority w:val="99"/>
    <w:unhideWhenUsed/>
    <w:rsid w:val="0021530C"/>
    <w:pPr>
      <w:ind w:firstLine="630"/>
    </w:pPr>
    <w:rPr>
      <w:rFonts w:eastAsia="Times New Roman" w:cs="Times New Roman"/>
      <w:szCs w:val="24"/>
    </w:rPr>
  </w:style>
  <w:style w:type="paragraph" w:styleId="Revision">
    <w:name w:val="Revision"/>
    <w:hidden/>
    <w:uiPriority w:val="99"/>
    <w:semiHidden/>
    <w:rsid w:val="00672797"/>
  </w:style>
  <w:style w:type="paragraph" w:styleId="Header">
    <w:name w:val="header"/>
    <w:basedOn w:val="Normal"/>
    <w:link w:val="HeaderChar"/>
    <w:uiPriority w:val="99"/>
    <w:unhideWhenUsed/>
    <w:rsid w:val="003A37CE"/>
    <w:pPr>
      <w:tabs>
        <w:tab w:val="center" w:pos="4680"/>
        <w:tab w:val="right" w:pos="9360"/>
      </w:tabs>
    </w:pPr>
  </w:style>
  <w:style w:type="character" w:customStyle="1" w:styleId="HeaderChar">
    <w:name w:val="Header Char"/>
    <w:basedOn w:val="DefaultParagraphFont"/>
    <w:link w:val="Header"/>
    <w:uiPriority w:val="99"/>
    <w:rsid w:val="003A37CE"/>
  </w:style>
  <w:style w:type="paragraph" w:styleId="Footer">
    <w:name w:val="footer"/>
    <w:basedOn w:val="Normal"/>
    <w:link w:val="FooterChar"/>
    <w:uiPriority w:val="99"/>
    <w:unhideWhenUsed/>
    <w:rsid w:val="003A37CE"/>
    <w:pPr>
      <w:tabs>
        <w:tab w:val="center" w:pos="4680"/>
        <w:tab w:val="right" w:pos="9360"/>
      </w:tabs>
    </w:pPr>
  </w:style>
  <w:style w:type="character" w:customStyle="1" w:styleId="FooterChar">
    <w:name w:val="Footer Char"/>
    <w:basedOn w:val="DefaultParagraphFont"/>
    <w:link w:val="Footer"/>
    <w:uiPriority w:val="99"/>
    <w:rsid w:val="003A3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68870">
      <w:bodyDiv w:val="1"/>
      <w:marLeft w:val="1125"/>
      <w:marRight w:val="750"/>
      <w:marTop w:val="300"/>
      <w:marBottom w:val="108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law.resource.org/pub/us/code/bean/fasb.html/fasb.450.20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2013-04-25T07:00:00+00:00</OpenedDate>
    <Date1 xmlns="dc463f71-b30c-4ab2-9473-d307f9d35888">2013-08-01T07:00:00+00:00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C83C83ECB19D4DB5F4F888CFD68042" ma:contentTypeVersion="135" ma:contentTypeDescription="" ma:contentTypeScope="" ma:versionID="f9a628cbf326db48f4ee322a25a2e0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959339-885E-4D94-9892-040E8D1999F2}"/>
</file>

<file path=customXml/itemProps2.xml><?xml version="1.0" encoding="utf-8"?>
<ds:datastoreItem xmlns:ds="http://schemas.openxmlformats.org/officeDocument/2006/customXml" ds:itemID="{EAC4487E-13C6-4777-AA8B-8AC73030F621}"/>
</file>

<file path=customXml/itemProps3.xml><?xml version="1.0" encoding="utf-8"?>
<ds:datastoreItem xmlns:ds="http://schemas.openxmlformats.org/officeDocument/2006/customXml" ds:itemID="{7DA475E6-DC48-46EA-AF5A-EDE6D97E7D87}"/>
</file>

<file path=customXml/itemProps4.xml><?xml version="1.0" encoding="utf-8"?>
<ds:datastoreItem xmlns:ds="http://schemas.openxmlformats.org/officeDocument/2006/customXml" ds:itemID="{B638D23F-03DE-4F75-9F1D-3AC274544FBB}"/>
</file>

<file path=customXml/itemProps5.xml><?xml version="1.0" encoding="utf-8"?>
<ds:datastoreItem xmlns:ds="http://schemas.openxmlformats.org/officeDocument/2006/customXml" ds:itemID="{A494E25E-6B88-4D42-B37C-ADB40254A2BA}"/>
</file>

<file path=docProps/app.xml><?xml version="1.0" encoding="utf-8"?>
<Properties xmlns="http://schemas.openxmlformats.org/officeDocument/2006/extended-properties" xmlns:vt="http://schemas.openxmlformats.org/officeDocument/2006/docPropsVTypes">
  <Template>Normal.dotm</Template>
  <TotalTime>12</TotalTime>
  <Pages>5</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Trotter</dc:creator>
  <cp:lastModifiedBy>Krista Gross</cp:lastModifiedBy>
  <cp:revision>5</cp:revision>
  <dcterms:created xsi:type="dcterms:W3CDTF">2013-07-31T23:22:00Z</dcterms:created>
  <dcterms:modified xsi:type="dcterms:W3CDTF">2013-08-01T21:20:00Z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0x0101006E56B4D1795A2E4DB2F0B01679ED314A0007C83C83ECB19D4DB5F4F888CFD68042</vt:lpwstr>
  </property>
  <property fmtid="{D5CDD505-2E9C-101B-9397-08002B2CF9AE}" pid="3" name="_docset_NoMedatataSyncRequired">
    <vt:lpwstr>False</vt:lpwstr>
  </property>
</Properties>
</file>