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sidR="00E76C8A">
        <w:rPr>
          <w:b/>
          <w:bCs/>
        </w:rPr>
        <w:t xml:space="preserve">___ </w:t>
      </w:r>
      <w:r w:rsidR="00CC63ED">
        <w:rPr>
          <w:b/>
          <w:bCs/>
        </w:rPr>
        <w:t>(</w:t>
      </w:r>
      <w:r w:rsidR="003C5F0F">
        <w:rPr>
          <w:b/>
          <w:bCs/>
        </w:rPr>
        <w:t>TES-</w:t>
      </w:r>
      <w:r w:rsidR="005D51D0">
        <w:rPr>
          <w:b/>
          <w:bCs/>
        </w:rPr>
        <w:t>4</w:t>
      </w:r>
      <w:r>
        <w:rPr>
          <w:b/>
          <w:bCs/>
        </w:rPr>
        <w:t>T</w:t>
      </w:r>
      <w:r w:rsidR="003C5F0F">
        <w:rPr>
          <w:b/>
          <w:bCs/>
        </w:rPr>
        <w:t>)</w:t>
      </w:r>
      <w:r>
        <w:rPr>
          <w:b/>
          <w:bCs/>
        </w:rPr>
        <w:t xml:space="preserve"> </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 UE-100749</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1C7B44">
        <w:rPr>
          <w:b/>
          <w:bCs/>
        </w:rPr>
        <w:t xml:space="preserve">Thomas E. </w:t>
      </w:r>
      <w:r w:rsidR="00E76C8A">
        <w:rPr>
          <w:b/>
          <w:bCs/>
        </w:rPr>
        <w:t>Schooley</w:t>
      </w:r>
      <w:r>
        <w:rPr>
          <w:b/>
          <w:bCs/>
        </w:rPr>
        <w:t xml:space="preserve"> </w:t>
      </w: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FB2A42" w:rsidRPr="00FB2A42" w:rsidRDefault="00FB2A42" w:rsidP="00FB2A42">
      <w:pPr>
        <w:tabs>
          <w:tab w:val="center" w:pos="4680"/>
        </w:tabs>
        <w:ind w:right="-108" w:hanging="180"/>
        <w:jc w:val="both"/>
        <w:rPr>
          <w:b/>
        </w:rPr>
      </w:pPr>
      <w:r w:rsidRPr="00FB2A42">
        <w:rPr>
          <w:b/>
        </w:rPr>
        <w:t>BEFORE THE WASHINGTON UTILITIES AND TRANSPORTATION COMMISSION</w:t>
      </w:r>
    </w:p>
    <w:p w:rsidR="00FB2A42" w:rsidRPr="00FB2A42" w:rsidRDefault="00FB2A42" w:rsidP="00FB2A42">
      <w:pPr>
        <w:jc w:val="both"/>
        <w:rPr>
          <w:b/>
        </w:rPr>
      </w:pPr>
    </w:p>
    <w:p w:rsidR="00FB2A42" w:rsidRPr="00FB2A42" w:rsidRDefault="00FB2A42" w:rsidP="00FB2A42">
      <w:pPr>
        <w:jc w:val="both"/>
        <w:rPr>
          <w:b/>
        </w:rPr>
      </w:pPr>
    </w:p>
    <w:tbl>
      <w:tblPr>
        <w:tblW w:w="0" w:type="auto"/>
        <w:tblInd w:w="124" w:type="dxa"/>
        <w:tblLayout w:type="fixed"/>
        <w:tblCellMar>
          <w:left w:w="124" w:type="dxa"/>
          <w:right w:w="124" w:type="dxa"/>
        </w:tblCellMar>
        <w:tblLook w:val="0000"/>
      </w:tblPr>
      <w:tblGrid>
        <w:gridCol w:w="4590"/>
        <w:gridCol w:w="4590"/>
      </w:tblGrid>
      <w:tr w:rsidR="00FB2A42" w:rsidRPr="00FB2A42" w:rsidTr="00045A65">
        <w:tc>
          <w:tcPr>
            <w:tcW w:w="4590" w:type="dxa"/>
            <w:tcBorders>
              <w:top w:val="single" w:sz="6" w:space="0" w:color="FFFFFF"/>
              <w:left w:val="single" w:sz="6" w:space="0" w:color="FFFFFF"/>
              <w:bottom w:val="single" w:sz="7" w:space="0" w:color="000000"/>
              <w:right w:val="single" w:sz="6" w:space="0" w:color="FFFFFF"/>
            </w:tcBorders>
          </w:tcPr>
          <w:p w:rsidR="00FB2A42" w:rsidRPr="00FB2A42" w:rsidRDefault="00FB2A42" w:rsidP="00045A65">
            <w:pPr>
              <w:rPr>
                <w:b/>
              </w:rPr>
            </w:pPr>
          </w:p>
          <w:p w:rsidR="00FB2A42" w:rsidRPr="00FB2A42" w:rsidRDefault="00FB2A42" w:rsidP="00045A65">
            <w:pPr>
              <w:rPr>
                <w:b/>
              </w:rPr>
            </w:pPr>
            <w:r w:rsidRPr="00FB2A42">
              <w:rPr>
                <w:b/>
              </w:rPr>
              <w:t xml:space="preserve">WASHINGTON UTILITIES AND TRANSPORTATION COMMISSION, </w:t>
            </w:r>
          </w:p>
          <w:p w:rsidR="00FB2A42" w:rsidRPr="00FB2A42" w:rsidRDefault="00FB2A42" w:rsidP="00045A65">
            <w:pPr>
              <w:rPr>
                <w:b/>
              </w:rPr>
            </w:pPr>
          </w:p>
          <w:p w:rsidR="00FB2A42" w:rsidRPr="00FB2A42" w:rsidRDefault="00FB2A42" w:rsidP="00045A65">
            <w:pPr>
              <w:rPr>
                <w:b/>
              </w:rPr>
            </w:pPr>
            <w:r w:rsidRPr="00FB2A42">
              <w:rPr>
                <w:b/>
              </w:rPr>
              <w:tab/>
            </w:r>
            <w:r w:rsidRPr="00FB2A42">
              <w:rPr>
                <w:b/>
              </w:rPr>
              <w:tab/>
              <w:t>Complainant,</w:t>
            </w:r>
          </w:p>
          <w:p w:rsidR="00FB2A42" w:rsidRPr="00FB2A42" w:rsidRDefault="00FB2A42" w:rsidP="00045A65">
            <w:pPr>
              <w:rPr>
                <w:b/>
              </w:rPr>
            </w:pPr>
          </w:p>
          <w:p w:rsidR="00FB2A42" w:rsidRPr="00FB2A42" w:rsidRDefault="00FB2A42" w:rsidP="00045A65">
            <w:pPr>
              <w:rPr>
                <w:b/>
              </w:rPr>
            </w:pPr>
            <w:r w:rsidRPr="00FB2A42">
              <w:rPr>
                <w:b/>
              </w:rPr>
              <w:tab/>
              <w:t>v.</w:t>
            </w:r>
          </w:p>
          <w:p w:rsidR="00FB2A42" w:rsidRPr="00FB2A42" w:rsidRDefault="00FB2A42" w:rsidP="00045A65">
            <w:pPr>
              <w:rPr>
                <w:b/>
              </w:rPr>
            </w:pPr>
          </w:p>
          <w:p w:rsidR="00FB2A42" w:rsidRPr="00FB2A42" w:rsidRDefault="00FB2A42" w:rsidP="00045A65">
            <w:pPr>
              <w:rPr>
                <w:b/>
              </w:rPr>
            </w:pPr>
            <w:r w:rsidRPr="00FB2A42">
              <w:rPr>
                <w:b/>
              </w:rPr>
              <w:t xml:space="preserve">PACIFICORP D/B/A PACIFIC POWER &amp; LIGHT COMPANY, </w:t>
            </w:r>
          </w:p>
          <w:p w:rsidR="00FB2A42" w:rsidRPr="00FB2A42" w:rsidRDefault="00FB2A42" w:rsidP="00045A65">
            <w:pPr>
              <w:rPr>
                <w:b/>
              </w:rPr>
            </w:pPr>
          </w:p>
          <w:p w:rsidR="00FB2A42" w:rsidRPr="00FB2A42" w:rsidRDefault="00FB2A42" w:rsidP="00045A65">
            <w:pPr>
              <w:spacing w:after="19"/>
              <w:rPr>
                <w:b/>
              </w:rPr>
            </w:pPr>
            <w:r w:rsidRPr="00FB2A42">
              <w:rPr>
                <w:b/>
              </w:rPr>
              <w:tab/>
            </w:r>
            <w:r w:rsidRPr="00FB2A42">
              <w:rPr>
                <w:b/>
              </w:rPr>
              <w:tab/>
              <w:t>Respondent.</w:t>
            </w:r>
          </w:p>
          <w:p w:rsidR="00FB2A42" w:rsidRPr="00FB2A42" w:rsidRDefault="00FB2A42" w:rsidP="00045A65">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FB2A42" w:rsidRPr="00FB2A42" w:rsidRDefault="00FB2A42" w:rsidP="00045A65">
            <w:pPr>
              <w:ind w:firstLine="720"/>
              <w:rPr>
                <w:b/>
              </w:rPr>
            </w:pPr>
            <w:r w:rsidRPr="00FB2A42">
              <w:rPr>
                <w:b/>
              </w:rPr>
              <w:t xml:space="preserve">DOCKET UE-100749 </w:t>
            </w:r>
          </w:p>
          <w:p w:rsidR="00FB2A42" w:rsidRPr="00FB2A42" w:rsidRDefault="00FB2A42" w:rsidP="00045A65">
            <w:pPr>
              <w:rPr>
                <w:b/>
              </w:rPr>
            </w:pPr>
          </w:p>
          <w:p w:rsidR="00FB2A42" w:rsidRPr="00FB2A42" w:rsidRDefault="00FB2A42" w:rsidP="00FB2A42">
            <w:pPr>
              <w:spacing w:after="19"/>
              <w:ind w:left="720"/>
              <w:rPr>
                <w:b/>
              </w:rPr>
            </w:pPr>
          </w:p>
        </w:tc>
      </w:tr>
    </w:tbl>
    <w:p w:rsidR="00C3471C" w:rsidRDefault="00C3471C" w:rsidP="00C3471C">
      <w:pPr>
        <w:rPr>
          <w:b/>
          <w:bCs/>
        </w:rPr>
      </w:pPr>
    </w:p>
    <w:p w:rsidR="00C3471C" w:rsidRDefault="00C3471C" w:rsidP="00C3471C">
      <w:pPr>
        <w:rPr>
          <w:b/>
          <w:bCs/>
        </w:rPr>
      </w:pPr>
    </w:p>
    <w:p w:rsidR="00C3471C" w:rsidRDefault="00591985" w:rsidP="00C3471C">
      <w:pPr>
        <w:tabs>
          <w:tab w:val="center" w:pos="4680"/>
        </w:tabs>
        <w:jc w:val="center"/>
        <w:rPr>
          <w:b/>
          <w:bCs/>
        </w:rPr>
      </w:pPr>
      <w:r>
        <w:rPr>
          <w:b/>
          <w:bCs/>
        </w:rPr>
        <w:t xml:space="preserve">CROSS-ANSWERING </w:t>
      </w:r>
      <w:r w:rsidR="00C3471C">
        <w:rPr>
          <w:b/>
          <w:bCs/>
        </w:rPr>
        <w:t>TESTIMONY OF</w:t>
      </w:r>
    </w:p>
    <w:p w:rsidR="00C3471C" w:rsidRDefault="00C3471C" w:rsidP="00C3471C">
      <w:pPr>
        <w:jc w:val="center"/>
        <w:rPr>
          <w:b/>
          <w:bCs/>
        </w:rPr>
      </w:pPr>
    </w:p>
    <w:p w:rsidR="00C3471C" w:rsidRDefault="003C5F0F" w:rsidP="00C3471C">
      <w:pPr>
        <w:tabs>
          <w:tab w:val="center" w:pos="4680"/>
        </w:tabs>
        <w:jc w:val="center"/>
        <w:rPr>
          <w:b/>
          <w:bCs/>
        </w:rPr>
      </w:pPr>
      <w:r>
        <w:rPr>
          <w:b/>
          <w:bCs/>
        </w:rPr>
        <w:t>Thomas E. Schooley</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C3471C" w:rsidRDefault="00C3471C" w:rsidP="00C3471C">
      <w:pPr>
        <w:rPr>
          <w:b/>
          <w:bCs/>
        </w:rPr>
      </w:pPr>
    </w:p>
    <w:p w:rsidR="00EB7CDA" w:rsidRDefault="00111376" w:rsidP="003C5F0F">
      <w:pPr>
        <w:jc w:val="center"/>
        <w:rPr>
          <w:b/>
          <w:bCs/>
          <w:i/>
        </w:rPr>
      </w:pPr>
      <w:r>
        <w:rPr>
          <w:b/>
          <w:bCs/>
          <w:i/>
        </w:rPr>
        <w:t xml:space="preserve">Revenue Requirements, </w:t>
      </w:r>
      <w:r w:rsidR="003C5F0F" w:rsidRPr="003C5F0F">
        <w:rPr>
          <w:b/>
          <w:bCs/>
          <w:i/>
        </w:rPr>
        <w:t>Cost-of-Service, R</w:t>
      </w:r>
      <w:r w:rsidR="0039298A">
        <w:rPr>
          <w:b/>
          <w:bCs/>
          <w:i/>
        </w:rPr>
        <w:t>evenue Allocation,</w:t>
      </w:r>
    </w:p>
    <w:p w:rsidR="00C3471C" w:rsidRPr="003C5F0F" w:rsidRDefault="0039298A" w:rsidP="003C5F0F">
      <w:pPr>
        <w:jc w:val="center"/>
        <w:rPr>
          <w:b/>
          <w:bCs/>
          <w:i/>
        </w:rPr>
      </w:pPr>
      <w:r>
        <w:rPr>
          <w:b/>
          <w:bCs/>
          <w:i/>
        </w:rPr>
        <w:t xml:space="preserve">Rate </w:t>
      </w:r>
      <w:r w:rsidR="003C5F0F" w:rsidRPr="003C5F0F">
        <w:rPr>
          <w:b/>
          <w:bCs/>
          <w:i/>
        </w:rPr>
        <w:t>Design</w:t>
      </w:r>
      <w:r w:rsidR="00E64487">
        <w:rPr>
          <w:b/>
          <w:bCs/>
          <w:i/>
        </w:rPr>
        <w:t>, and Low Income Program</w:t>
      </w:r>
      <w:r w:rsidR="00A20618">
        <w:rPr>
          <w:b/>
          <w:bCs/>
          <w:i/>
        </w:rPr>
        <w:t>s</w:t>
      </w:r>
    </w:p>
    <w:p w:rsidR="00C3471C" w:rsidRDefault="00C3471C" w:rsidP="00C3471C">
      <w:pPr>
        <w:rPr>
          <w:b/>
          <w:bCs/>
        </w:rPr>
      </w:pPr>
    </w:p>
    <w:p w:rsidR="00C3471C" w:rsidRDefault="00C3471C" w:rsidP="00C3471C">
      <w:pPr>
        <w:rPr>
          <w:b/>
          <w:bCs/>
        </w:rPr>
      </w:pPr>
    </w:p>
    <w:p w:rsidR="00C3471C" w:rsidRDefault="00591985" w:rsidP="00C3471C">
      <w:pPr>
        <w:tabs>
          <w:tab w:val="center" w:pos="4680"/>
        </w:tabs>
        <w:jc w:val="center"/>
        <w:rPr>
          <w:b/>
          <w:bCs/>
        </w:rPr>
      </w:pPr>
      <w:r>
        <w:rPr>
          <w:b/>
          <w:bCs/>
        </w:rPr>
        <w:t>Novem</w:t>
      </w:r>
      <w:r w:rsidR="00FB2A42">
        <w:rPr>
          <w:b/>
          <w:bCs/>
        </w:rPr>
        <w:t>ber 5, 2010</w:t>
      </w:r>
    </w:p>
    <w:p w:rsidR="00C3471C" w:rsidRDefault="00C3471C" w:rsidP="00C3471C">
      <w:pPr>
        <w:tabs>
          <w:tab w:val="center" w:pos="4680"/>
        </w:tabs>
        <w:jc w:val="center"/>
        <w:rPr>
          <w:b/>
          <w:bCs/>
        </w:rPr>
      </w:pPr>
    </w:p>
    <w:p w:rsidR="00C3471C" w:rsidRDefault="00C3471C" w:rsidP="00C3471C">
      <w:pPr>
        <w:tabs>
          <w:tab w:val="center" w:pos="4680"/>
        </w:tabs>
        <w:rPr>
          <w:b/>
          <w:bCs/>
        </w:rPr>
      </w:pPr>
    </w:p>
    <w:p w:rsidR="00C3471C" w:rsidRDefault="00C3471C" w:rsidP="00C3471C">
      <w:pPr>
        <w:tabs>
          <w:tab w:val="center" w:pos="4680"/>
        </w:tabs>
        <w:sectPr w:rsidR="00C3471C" w:rsidSect="00C3471C">
          <w:footerReference w:type="default" r:id="rId8"/>
          <w:pgSz w:w="12240" w:h="15840" w:code="1"/>
          <w:pgMar w:top="1440" w:right="1440" w:bottom="1440" w:left="1872" w:header="720" w:footer="720" w:gutter="0"/>
          <w:cols w:space="720"/>
          <w:titlePg/>
          <w:docGrid w:linePitch="360"/>
        </w:sectPr>
      </w:pPr>
    </w:p>
    <w:p w:rsidR="007604DF" w:rsidRDefault="007604DF" w:rsidP="007604DF">
      <w:pPr>
        <w:pStyle w:val="Heading3"/>
        <w:keepNext w:val="0"/>
        <w:widowControl w:val="0"/>
      </w:pPr>
      <w:r>
        <w:lastRenderedPageBreak/>
        <w:t>TABLE OF CONTENTS</w:t>
      </w:r>
    </w:p>
    <w:p w:rsidR="007604DF" w:rsidRDefault="007604DF" w:rsidP="007604DF"/>
    <w:p w:rsidR="007604DF" w:rsidRPr="005B3D61" w:rsidRDefault="007604DF" w:rsidP="007604DF">
      <w:pPr>
        <w:pStyle w:val="Heading3"/>
        <w:tabs>
          <w:tab w:val="left" w:pos="720"/>
          <w:tab w:val="left" w:pos="1440"/>
          <w:tab w:val="left" w:pos="2160"/>
          <w:tab w:val="right" w:leader="dot" w:pos="9000"/>
        </w:tabs>
        <w:spacing w:line="240" w:lineRule="auto"/>
        <w:jc w:val="left"/>
        <w:rPr>
          <w:b w:val="0"/>
        </w:rPr>
      </w:pPr>
      <w:r w:rsidRPr="005B3D61">
        <w:rPr>
          <w:b w:val="0"/>
        </w:rPr>
        <w:t xml:space="preserve">I. </w:t>
      </w:r>
      <w:r>
        <w:rPr>
          <w:b w:val="0"/>
        </w:rPr>
        <w:tab/>
      </w:r>
      <w:r w:rsidRPr="005B3D61">
        <w:rPr>
          <w:b w:val="0"/>
        </w:rPr>
        <w:t>INTRODUCTION</w:t>
      </w:r>
      <w:r>
        <w:rPr>
          <w:b w:val="0"/>
        </w:rPr>
        <w:t xml:space="preserve"> </w:t>
      </w:r>
      <w:r w:rsidR="009667D7">
        <w:rPr>
          <w:b w:val="0"/>
        </w:rPr>
        <w:t>AND SCOPE OF TESTIMONY</w:t>
      </w:r>
      <w:r>
        <w:rPr>
          <w:b w:val="0"/>
        </w:rPr>
        <w:tab/>
        <w:t>1</w:t>
      </w:r>
    </w:p>
    <w:p w:rsidR="007604DF" w:rsidRPr="005B3D61" w:rsidRDefault="007604DF" w:rsidP="007604DF">
      <w:pPr>
        <w:pStyle w:val="Heading3"/>
        <w:tabs>
          <w:tab w:val="left" w:pos="720"/>
          <w:tab w:val="left" w:pos="1440"/>
          <w:tab w:val="left" w:pos="2160"/>
          <w:tab w:val="left" w:pos="2880"/>
          <w:tab w:val="left" w:pos="3600"/>
          <w:tab w:val="right" w:leader="dot" w:pos="9000"/>
        </w:tabs>
        <w:spacing w:line="240" w:lineRule="auto"/>
        <w:jc w:val="left"/>
        <w:rPr>
          <w:b w:val="0"/>
        </w:rPr>
      </w:pPr>
    </w:p>
    <w:p w:rsidR="007604DF" w:rsidRPr="005B3D61" w:rsidRDefault="007604DF" w:rsidP="007604DF">
      <w:pPr>
        <w:pStyle w:val="BodyTextIndent"/>
        <w:tabs>
          <w:tab w:val="left" w:pos="720"/>
          <w:tab w:val="left" w:pos="1440"/>
          <w:tab w:val="left" w:pos="2160"/>
          <w:tab w:val="left" w:pos="2880"/>
          <w:tab w:val="right" w:leader="dot" w:pos="9000"/>
        </w:tabs>
        <w:spacing w:line="240" w:lineRule="auto"/>
        <w:rPr>
          <w:caps/>
        </w:rPr>
      </w:pPr>
      <w:r w:rsidRPr="005B3D61">
        <w:rPr>
          <w:caps/>
        </w:rPr>
        <w:t>II.</w:t>
      </w:r>
      <w:r w:rsidRPr="005B3D61">
        <w:rPr>
          <w:caps/>
        </w:rPr>
        <w:tab/>
      </w:r>
      <w:r w:rsidR="00111376">
        <w:rPr>
          <w:caps/>
        </w:rPr>
        <w:t>Revenue Requirements</w:t>
      </w:r>
      <w:r>
        <w:rPr>
          <w:caps/>
        </w:rPr>
        <w:t xml:space="preserve"> </w:t>
      </w:r>
      <w:r>
        <w:rPr>
          <w:caps/>
        </w:rPr>
        <w:tab/>
        <w:t>2</w:t>
      </w: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rPr>
          <w:caps/>
        </w:rPr>
      </w:pPr>
    </w:p>
    <w:p w:rsidR="007604DF" w:rsidRPr="005B3D61" w:rsidRDefault="007604DF" w:rsidP="007604DF">
      <w:pPr>
        <w:tabs>
          <w:tab w:val="left" w:pos="720"/>
          <w:tab w:val="left" w:pos="1440"/>
          <w:tab w:val="left" w:pos="2160"/>
          <w:tab w:val="left" w:pos="2880"/>
          <w:tab w:val="left" w:pos="3600"/>
          <w:tab w:val="right" w:leader="dot" w:pos="9000"/>
        </w:tabs>
        <w:ind w:left="720" w:hanging="720"/>
      </w:pPr>
      <w:r w:rsidRPr="005B3D61">
        <w:tab/>
        <w:t>A.</w:t>
      </w:r>
      <w:r w:rsidRPr="005B3D61">
        <w:tab/>
      </w:r>
      <w:r w:rsidRPr="005B3D61">
        <w:rPr>
          <w:bCs/>
        </w:rPr>
        <w:t>Working Capital</w:t>
      </w:r>
      <w:r w:rsidRPr="005B3D61">
        <w:t xml:space="preserve"> Methods</w:t>
      </w:r>
      <w:r>
        <w:t xml:space="preserve"> </w:t>
      </w:r>
      <w:r>
        <w:tab/>
        <w:t>2</w:t>
      </w:r>
    </w:p>
    <w:p w:rsidR="007604DF" w:rsidRPr="005B3D61" w:rsidRDefault="007604DF" w:rsidP="007604DF">
      <w:pPr>
        <w:pStyle w:val="ListParagraph"/>
        <w:tabs>
          <w:tab w:val="left" w:pos="720"/>
          <w:tab w:val="left" w:pos="1440"/>
          <w:tab w:val="left" w:pos="2160"/>
          <w:tab w:val="left" w:pos="2880"/>
          <w:tab w:val="left" w:pos="3600"/>
          <w:tab w:val="right" w:leader="dot" w:pos="9000"/>
        </w:tabs>
        <w:ind w:left="0" w:firstLine="720"/>
      </w:pPr>
    </w:p>
    <w:p w:rsidR="007604DF" w:rsidRPr="005B3D61" w:rsidRDefault="007604DF" w:rsidP="007604DF">
      <w:pPr>
        <w:pStyle w:val="Heading1"/>
        <w:tabs>
          <w:tab w:val="left" w:pos="720"/>
          <w:tab w:val="left" w:pos="1440"/>
          <w:tab w:val="left" w:pos="2160"/>
          <w:tab w:val="left" w:pos="2880"/>
          <w:tab w:val="left" w:pos="3600"/>
          <w:tab w:val="right" w:leader="dot" w:pos="9000"/>
        </w:tabs>
        <w:spacing w:line="240" w:lineRule="auto"/>
        <w:rPr>
          <w:b w:val="0"/>
        </w:rPr>
      </w:pPr>
      <w:r w:rsidRPr="005B3D61">
        <w:rPr>
          <w:b w:val="0"/>
        </w:rPr>
        <w:tab/>
        <w:t>B.</w:t>
      </w:r>
      <w:r w:rsidRPr="005B3D61">
        <w:rPr>
          <w:b w:val="0"/>
        </w:rPr>
        <w:tab/>
        <w:t>Residential Revenue</w:t>
      </w:r>
      <w:r w:rsidR="00EB7CDA">
        <w:rPr>
          <w:b w:val="0"/>
        </w:rPr>
        <w:t>s</w:t>
      </w:r>
      <w:r w:rsidRPr="005B3D61">
        <w:rPr>
          <w:b w:val="0"/>
        </w:rPr>
        <w:t xml:space="preserve"> Adjustment</w:t>
      </w:r>
      <w:r>
        <w:rPr>
          <w:b w:val="0"/>
        </w:rPr>
        <w:t xml:space="preserve"> </w:t>
      </w:r>
      <w:r>
        <w:rPr>
          <w:b w:val="0"/>
        </w:rPr>
        <w:tab/>
      </w:r>
      <w:r w:rsidR="0027398C">
        <w:rPr>
          <w:b w:val="0"/>
        </w:rPr>
        <w:t>4</w:t>
      </w:r>
    </w:p>
    <w:p w:rsidR="007604DF" w:rsidRPr="005B3D61" w:rsidRDefault="007604DF" w:rsidP="007604DF">
      <w:pPr>
        <w:pStyle w:val="Heading1"/>
        <w:tabs>
          <w:tab w:val="left" w:pos="720"/>
          <w:tab w:val="left" w:pos="1440"/>
          <w:tab w:val="left" w:pos="2160"/>
          <w:tab w:val="left" w:pos="2880"/>
          <w:tab w:val="left" w:pos="3600"/>
          <w:tab w:val="right" w:leader="dot" w:pos="9000"/>
        </w:tabs>
        <w:spacing w:line="240" w:lineRule="auto"/>
        <w:rPr>
          <w:b w:val="0"/>
        </w:rPr>
      </w:pP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pPr>
      <w:r w:rsidRPr="005B3D61">
        <w:t>I</w:t>
      </w:r>
      <w:r w:rsidR="009667D7">
        <w:t>II</w:t>
      </w:r>
      <w:r w:rsidRPr="005B3D61">
        <w:t>.</w:t>
      </w:r>
      <w:r w:rsidRPr="005B3D61">
        <w:tab/>
        <w:t>COST-OF-SERVICE AND REVENUE ALLOCATION</w:t>
      </w:r>
      <w:r>
        <w:t xml:space="preserve"> </w:t>
      </w:r>
      <w:r>
        <w:tab/>
      </w:r>
      <w:r w:rsidR="0027398C">
        <w:t>6</w:t>
      </w: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pPr>
      <w:r w:rsidRPr="005B3D61">
        <w:tab/>
      </w:r>
    </w:p>
    <w:p w:rsidR="007604DF" w:rsidRPr="005B3D61" w:rsidRDefault="007604DF" w:rsidP="007604DF">
      <w:pPr>
        <w:pStyle w:val="BodyTextIndent"/>
        <w:numPr>
          <w:ilvl w:val="0"/>
          <w:numId w:val="8"/>
        </w:numPr>
        <w:tabs>
          <w:tab w:val="left" w:pos="720"/>
          <w:tab w:val="left" w:pos="1440"/>
          <w:tab w:val="left" w:pos="2160"/>
          <w:tab w:val="left" w:pos="2880"/>
          <w:tab w:val="right" w:leader="dot" w:pos="9000"/>
        </w:tabs>
        <w:spacing w:line="240" w:lineRule="auto"/>
        <w:ind w:left="1440" w:hanging="720"/>
      </w:pPr>
      <w:r w:rsidRPr="005B3D61">
        <w:t>Cost of Service Study</w:t>
      </w:r>
      <w:r>
        <w:t xml:space="preserve"> </w:t>
      </w:r>
      <w:r>
        <w:tab/>
      </w:r>
      <w:r w:rsidR="0027398C">
        <w:t>6</w:t>
      </w: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pPr>
    </w:p>
    <w:p w:rsidR="007604DF" w:rsidRPr="005B3D61" w:rsidRDefault="007604DF" w:rsidP="007604DF">
      <w:pPr>
        <w:tabs>
          <w:tab w:val="left" w:pos="720"/>
          <w:tab w:val="left" w:pos="1440"/>
          <w:tab w:val="left" w:pos="2160"/>
          <w:tab w:val="left" w:pos="2880"/>
          <w:tab w:val="right" w:leader="dot" w:pos="9000"/>
        </w:tabs>
        <w:ind w:left="720"/>
      </w:pPr>
      <w:r w:rsidRPr="005B3D61">
        <w:t>B.</w:t>
      </w:r>
      <w:r w:rsidRPr="005B3D61">
        <w:tab/>
        <w:t>Revenue Allocation</w:t>
      </w:r>
      <w:r>
        <w:t xml:space="preserve"> </w:t>
      </w:r>
      <w:r>
        <w:tab/>
      </w:r>
      <w:r w:rsidR="0027398C">
        <w:t>10</w:t>
      </w:r>
    </w:p>
    <w:p w:rsidR="007604DF" w:rsidRPr="005B3D61" w:rsidRDefault="007604DF" w:rsidP="007604DF">
      <w:pPr>
        <w:pStyle w:val="Heading1"/>
        <w:tabs>
          <w:tab w:val="left" w:pos="720"/>
          <w:tab w:val="left" w:pos="1440"/>
          <w:tab w:val="left" w:pos="2160"/>
          <w:tab w:val="left" w:pos="2880"/>
          <w:tab w:val="left" w:pos="3600"/>
          <w:tab w:val="right" w:leader="dot" w:pos="9000"/>
        </w:tabs>
        <w:spacing w:line="240" w:lineRule="auto"/>
        <w:rPr>
          <w:b w:val="0"/>
        </w:rPr>
      </w:pPr>
    </w:p>
    <w:p w:rsidR="007604DF" w:rsidRPr="005B3D61" w:rsidRDefault="009667D7" w:rsidP="007954EB">
      <w:pPr>
        <w:pStyle w:val="BodyTextIndent"/>
        <w:tabs>
          <w:tab w:val="left" w:pos="720"/>
          <w:tab w:val="left" w:pos="1440"/>
          <w:tab w:val="left" w:pos="2160"/>
          <w:tab w:val="right" w:leader="dot" w:pos="9000"/>
        </w:tabs>
        <w:spacing w:line="240" w:lineRule="auto"/>
      </w:pPr>
      <w:r>
        <w:t>I</w:t>
      </w:r>
      <w:r w:rsidR="007604DF" w:rsidRPr="005B3D61">
        <w:t>V.</w:t>
      </w:r>
      <w:r w:rsidR="007604DF" w:rsidRPr="005B3D61">
        <w:tab/>
        <w:t>RATE DESIGN</w:t>
      </w:r>
      <w:r w:rsidR="007954EB">
        <w:t xml:space="preserve"> </w:t>
      </w:r>
      <w:r w:rsidR="007954EB">
        <w:tab/>
      </w:r>
      <w:r w:rsidR="00EB7CDA">
        <w:t>13</w:t>
      </w: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pPr>
    </w:p>
    <w:p w:rsidR="007604DF" w:rsidRDefault="007604DF" w:rsidP="007604DF">
      <w:pPr>
        <w:pStyle w:val="BodyTextIndent"/>
        <w:tabs>
          <w:tab w:val="left" w:pos="720"/>
          <w:tab w:val="left" w:pos="1440"/>
          <w:tab w:val="left" w:pos="2160"/>
          <w:tab w:val="left" w:pos="2880"/>
          <w:tab w:val="left" w:pos="3600"/>
          <w:tab w:val="right" w:leader="dot" w:pos="9000"/>
        </w:tabs>
        <w:spacing w:line="240" w:lineRule="auto"/>
      </w:pPr>
      <w:r w:rsidRPr="005B3D61">
        <w:t>V.</w:t>
      </w:r>
      <w:r w:rsidRPr="005B3D61">
        <w:tab/>
        <w:t xml:space="preserve">LOW INCOME BILL ASSISTANCE AND LOW INCOME </w:t>
      </w:r>
    </w:p>
    <w:p w:rsidR="007604DF" w:rsidRPr="005B3D61" w:rsidRDefault="007604DF" w:rsidP="007604DF">
      <w:pPr>
        <w:pStyle w:val="BodyTextIndent"/>
        <w:tabs>
          <w:tab w:val="left" w:pos="720"/>
          <w:tab w:val="left" w:pos="1440"/>
          <w:tab w:val="left" w:pos="2160"/>
          <w:tab w:val="left" w:pos="2880"/>
          <w:tab w:val="right" w:leader="dot" w:pos="9000"/>
        </w:tabs>
        <w:spacing w:line="240" w:lineRule="auto"/>
      </w:pPr>
      <w:r>
        <w:tab/>
      </w:r>
      <w:r w:rsidRPr="005B3D61">
        <w:t>WEATHERIZATION</w:t>
      </w:r>
      <w:r>
        <w:t xml:space="preserve"> </w:t>
      </w:r>
      <w:r>
        <w:tab/>
      </w:r>
      <w:r w:rsidR="00EB7CDA">
        <w:t>16</w:t>
      </w:r>
    </w:p>
    <w:p w:rsidR="007604DF" w:rsidRPr="005B3D61" w:rsidRDefault="007604DF" w:rsidP="007604DF">
      <w:pPr>
        <w:tabs>
          <w:tab w:val="left" w:pos="720"/>
          <w:tab w:val="left" w:pos="1440"/>
          <w:tab w:val="left" w:pos="2160"/>
          <w:tab w:val="left" w:pos="2880"/>
          <w:tab w:val="left" w:pos="3600"/>
          <w:tab w:val="right" w:leader="dot" w:pos="9000"/>
        </w:tabs>
        <w:rPr>
          <w:color w:val="1F497D"/>
        </w:rPr>
      </w:pPr>
    </w:p>
    <w:p w:rsidR="007604DF" w:rsidRDefault="007604DF" w:rsidP="007604DF">
      <w:pPr>
        <w:tabs>
          <w:tab w:val="left" w:pos="720"/>
          <w:tab w:val="left" w:pos="1440"/>
          <w:tab w:val="left" w:pos="2160"/>
          <w:tab w:val="left" w:pos="2880"/>
          <w:tab w:val="left" w:pos="3600"/>
          <w:tab w:val="right" w:leader="dot" w:pos="9000"/>
        </w:tabs>
      </w:pPr>
      <w:r w:rsidRPr="005B3D61">
        <w:rPr>
          <w:color w:val="1F497D"/>
        </w:rPr>
        <w:tab/>
      </w:r>
      <w:r w:rsidRPr="005B3D61">
        <w:t>A.</w:t>
      </w:r>
      <w:r w:rsidRPr="005B3D61">
        <w:tab/>
        <w:t>Low Income Bill Assistance</w:t>
      </w:r>
      <w:r>
        <w:t xml:space="preserve"> </w:t>
      </w:r>
      <w:r>
        <w:tab/>
      </w:r>
      <w:r w:rsidR="00EB7CDA">
        <w:t>16</w:t>
      </w:r>
    </w:p>
    <w:p w:rsidR="007604DF" w:rsidRPr="005B3D61" w:rsidRDefault="007604DF" w:rsidP="007604DF">
      <w:pPr>
        <w:tabs>
          <w:tab w:val="left" w:pos="720"/>
          <w:tab w:val="left" w:pos="1440"/>
          <w:tab w:val="left" w:pos="2160"/>
          <w:tab w:val="left" w:pos="2880"/>
          <w:tab w:val="left" w:pos="3600"/>
          <w:tab w:val="right" w:leader="dot" w:pos="9000"/>
        </w:tabs>
      </w:pP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pPr>
      <w:r w:rsidRPr="005B3D61">
        <w:tab/>
        <w:t>B.</w:t>
      </w:r>
      <w:r w:rsidRPr="005B3D61">
        <w:tab/>
        <w:t>Low Income Weatherization</w:t>
      </w:r>
      <w:r>
        <w:t xml:space="preserve"> </w:t>
      </w:r>
      <w:r>
        <w:tab/>
      </w:r>
      <w:r w:rsidR="00EB7CDA">
        <w:t>18</w:t>
      </w:r>
    </w:p>
    <w:p w:rsidR="007604DF" w:rsidRPr="005B3D61" w:rsidRDefault="007604DF" w:rsidP="007604DF">
      <w:pPr>
        <w:pStyle w:val="BodyTextIndent"/>
        <w:tabs>
          <w:tab w:val="left" w:pos="720"/>
          <w:tab w:val="left" w:pos="1440"/>
          <w:tab w:val="left" w:pos="2160"/>
          <w:tab w:val="left" w:pos="2880"/>
          <w:tab w:val="left" w:pos="3600"/>
          <w:tab w:val="right" w:leader="dot" w:pos="9000"/>
        </w:tabs>
        <w:spacing w:line="240" w:lineRule="auto"/>
      </w:pPr>
    </w:p>
    <w:p w:rsidR="005150BA" w:rsidRPr="00FB6F77" w:rsidRDefault="005150BA" w:rsidP="00FB6F77"/>
    <w:p w:rsidR="00FB6F77" w:rsidRDefault="00FB6F77" w:rsidP="00FB6F77">
      <w:pPr>
        <w:pStyle w:val="Heading3"/>
        <w:keepNext w:val="0"/>
        <w:widowControl w:val="0"/>
        <w:jc w:val="left"/>
      </w:pPr>
    </w:p>
    <w:p w:rsidR="00FB6F77" w:rsidRDefault="00FB6F77" w:rsidP="00C3471C">
      <w:pPr>
        <w:pStyle w:val="Heading3"/>
        <w:jc w:val="left"/>
        <w:sectPr w:rsidR="00FB6F77" w:rsidSect="007604DF">
          <w:footerReference w:type="default" r:id="rId9"/>
          <w:pgSz w:w="12240" w:h="15840" w:code="1"/>
          <w:pgMar w:top="1440" w:right="1440" w:bottom="1440" w:left="1872" w:header="720" w:footer="720" w:gutter="0"/>
          <w:pgNumType w:fmt="lowerRoman" w:start="1"/>
          <w:cols w:space="720"/>
          <w:docGrid w:linePitch="360"/>
        </w:sectPr>
      </w:pPr>
    </w:p>
    <w:p w:rsidR="00FB6F77" w:rsidRDefault="00FB6F77" w:rsidP="00FB6F77">
      <w:pPr>
        <w:pStyle w:val="Heading3"/>
      </w:pPr>
      <w:r>
        <w:lastRenderedPageBreak/>
        <w:t>I.  INTRODUCTION</w:t>
      </w:r>
      <w:r w:rsidR="009667D7">
        <w:t xml:space="preserve"> AND SCOPE OF TESTIMONY</w:t>
      </w:r>
    </w:p>
    <w:p w:rsidR="00FB6F77" w:rsidRDefault="00FB6F77" w:rsidP="00C3471C">
      <w:pPr>
        <w:pStyle w:val="Heading3"/>
        <w:jc w:val="left"/>
      </w:pPr>
    </w:p>
    <w:p w:rsidR="00C3471C" w:rsidRDefault="00C3471C" w:rsidP="00C3471C">
      <w:pPr>
        <w:pStyle w:val="Heading3"/>
        <w:jc w:val="left"/>
        <w:rPr>
          <w:b w:val="0"/>
          <w:bCs w:val="0"/>
        </w:rPr>
      </w:pPr>
      <w:r>
        <w:t>Q.</w:t>
      </w:r>
      <w:r>
        <w:tab/>
        <w:t>Please state your name and business address.</w:t>
      </w:r>
      <w:r>
        <w:rPr>
          <w:b w:val="0"/>
          <w:bCs w:val="0"/>
        </w:rPr>
        <w:t xml:space="preserve">  </w:t>
      </w:r>
    </w:p>
    <w:p w:rsidR="00C3471C" w:rsidRDefault="00C3471C" w:rsidP="00C3471C">
      <w:pPr>
        <w:pStyle w:val="BodyTextIndent"/>
      </w:pPr>
      <w:r>
        <w:t>A.</w:t>
      </w:r>
      <w:r>
        <w:tab/>
      </w:r>
      <w:r w:rsidR="00E76C8A">
        <w:t>My name is</w:t>
      </w:r>
      <w:r>
        <w:t xml:space="preserve"> </w:t>
      </w:r>
      <w:r w:rsidR="00F9110B">
        <w:t>Thomas E. Schooley</w:t>
      </w:r>
      <w:r>
        <w:t xml:space="preserve">.  My business address is </w:t>
      </w:r>
      <w:r w:rsidR="001C7B44">
        <w:t xml:space="preserve">The Richard Hemstad Building, </w:t>
      </w:r>
      <w:r>
        <w:t xml:space="preserve">1300 S. Evergreen Park Drive S.W., P.O. Box 47250, </w:t>
      </w:r>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r>
        <w:t xml:space="preserve">.  </w:t>
      </w:r>
      <w:r w:rsidR="001C7B44">
        <w:t>My email address is tschoole@utc.wa.gov.</w:t>
      </w:r>
    </w:p>
    <w:p w:rsidR="00C3471C" w:rsidRDefault="00C3471C" w:rsidP="00C3471C">
      <w:pPr>
        <w:spacing w:line="480" w:lineRule="auto"/>
        <w:ind w:left="720" w:hanging="720"/>
      </w:pPr>
    </w:p>
    <w:p w:rsidR="00C3471C" w:rsidRDefault="00C3471C" w:rsidP="00C3471C">
      <w:pPr>
        <w:pStyle w:val="Heading1"/>
      </w:pPr>
      <w:r>
        <w:t>Q.</w:t>
      </w:r>
      <w:r>
        <w:tab/>
      </w:r>
      <w:r w:rsidR="00911547">
        <w:t>A</w:t>
      </w:r>
      <w:r>
        <w:t xml:space="preserve">re you </w:t>
      </w:r>
      <w:r w:rsidR="00911547">
        <w:t xml:space="preserve">the same Thomas E. Schooley </w:t>
      </w:r>
      <w:r w:rsidR="0039298A">
        <w:t>who</w:t>
      </w:r>
      <w:r w:rsidR="00911547">
        <w:t xml:space="preserve"> submitted testimony on </w:t>
      </w:r>
      <w:r w:rsidR="0039298A">
        <w:t xml:space="preserve">behalf of Staff on </w:t>
      </w:r>
      <w:r w:rsidR="00911547">
        <w:t>October 5, 2010</w:t>
      </w:r>
      <w:r w:rsidR="00A20618">
        <w:t>,</w:t>
      </w:r>
      <w:r w:rsidR="003E7C5A">
        <w:t xml:space="preserve"> in this docket</w:t>
      </w:r>
      <w:r>
        <w:t xml:space="preserve">?  </w:t>
      </w:r>
    </w:p>
    <w:p w:rsidR="00C3471C" w:rsidRDefault="00C3471C" w:rsidP="00C3471C">
      <w:pPr>
        <w:spacing w:line="480" w:lineRule="auto"/>
        <w:ind w:left="720" w:hanging="720"/>
      </w:pPr>
      <w:r>
        <w:t>A.</w:t>
      </w:r>
      <w:r>
        <w:tab/>
      </w:r>
      <w:r w:rsidR="00911547">
        <w:t>Yes</w:t>
      </w:r>
      <w:r w:rsidR="00F9110B">
        <w:t>.</w:t>
      </w:r>
      <w:r>
        <w:t xml:space="preserve">   </w:t>
      </w:r>
    </w:p>
    <w:p w:rsidR="00C3471C" w:rsidRDefault="00C3471C" w:rsidP="00C3471C">
      <w:pPr>
        <w:spacing w:line="480" w:lineRule="auto"/>
        <w:ind w:left="720" w:hanging="720"/>
      </w:pPr>
    </w:p>
    <w:p w:rsidR="00DE6831" w:rsidRPr="00DE6831" w:rsidRDefault="00B16725" w:rsidP="00DE6831">
      <w:pPr>
        <w:pStyle w:val="BodyTextIndent"/>
        <w:rPr>
          <w:b/>
        </w:rPr>
      </w:pPr>
      <w:r w:rsidRPr="00DE6831">
        <w:rPr>
          <w:b/>
        </w:rPr>
        <w:t>Q.</w:t>
      </w:r>
      <w:r w:rsidRPr="00DE6831">
        <w:rPr>
          <w:b/>
        </w:rPr>
        <w:tab/>
        <w:t xml:space="preserve">What is the scope of your </w:t>
      </w:r>
      <w:r w:rsidR="00911547" w:rsidRPr="00DE6831">
        <w:rPr>
          <w:b/>
        </w:rPr>
        <w:t xml:space="preserve">cross-answering </w:t>
      </w:r>
      <w:r w:rsidRPr="00DE6831">
        <w:rPr>
          <w:b/>
        </w:rPr>
        <w:t>testimony</w:t>
      </w:r>
      <w:r w:rsidR="00A20618">
        <w:rPr>
          <w:b/>
        </w:rPr>
        <w:t>?</w:t>
      </w:r>
    </w:p>
    <w:p w:rsidR="000936EB" w:rsidRDefault="00A20618" w:rsidP="00A20618">
      <w:pPr>
        <w:pStyle w:val="BodyTextIndent"/>
      </w:pPr>
      <w:r>
        <w:t>A.</w:t>
      </w:r>
      <w:r>
        <w:tab/>
      </w:r>
      <w:r w:rsidR="003E7C5A" w:rsidRPr="00DE6831">
        <w:t xml:space="preserve">Staff </w:t>
      </w:r>
      <w:r w:rsidR="0097197B">
        <w:t xml:space="preserve">responds to Public Counsel and </w:t>
      </w:r>
      <w:r w:rsidR="00B2403A" w:rsidRPr="00DE6831">
        <w:t xml:space="preserve">ICNU </w:t>
      </w:r>
      <w:r w:rsidR="00021EE0" w:rsidRPr="00DE6831">
        <w:t xml:space="preserve">witness </w:t>
      </w:r>
      <w:r w:rsidR="003E7C5A" w:rsidRPr="00DE6831">
        <w:t xml:space="preserve">Mr. </w:t>
      </w:r>
      <w:r w:rsidR="00021EE0" w:rsidRPr="00DE6831">
        <w:t>Meyer</w:t>
      </w:r>
      <w:r w:rsidR="003E7C5A" w:rsidRPr="00DE6831">
        <w:t>’s</w:t>
      </w:r>
      <w:r w:rsidR="00021EE0" w:rsidRPr="00DE6831">
        <w:t xml:space="preserve"> propos</w:t>
      </w:r>
      <w:r w:rsidR="003E7C5A" w:rsidRPr="00DE6831">
        <w:t>al</w:t>
      </w:r>
      <w:r w:rsidR="00021EE0" w:rsidRPr="00DE6831">
        <w:t xml:space="preserve"> that “PacifiCorp be required to perform a lead-lag study before the next rate case” </w:t>
      </w:r>
      <w:r w:rsidR="00C114B9">
        <w:t xml:space="preserve">and </w:t>
      </w:r>
      <w:r w:rsidR="0097197B">
        <w:t xml:space="preserve">his </w:t>
      </w:r>
      <w:r w:rsidR="000936EB" w:rsidRPr="000936EB">
        <w:t xml:space="preserve">Residential Revenues </w:t>
      </w:r>
      <w:r w:rsidR="0097197B">
        <w:t>adjustment</w:t>
      </w:r>
      <w:r w:rsidR="000936EB">
        <w:t xml:space="preserve">, which purports </w:t>
      </w:r>
      <w:r w:rsidR="00EB7CDA">
        <w:t>to “normalize”</w:t>
      </w:r>
      <w:r w:rsidR="0097197B">
        <w:t xml:space="preserve"> test year residential class revenues by </w:t>
      </w:r>
      <w:r w:rsidR="000936EB">
        <w:t xml:space="preserve">adding </w:t>
      </w:r>
      <w:r w:rsidR="0097197B">
        <w:t xml:space="preserve">$2.24 million </w:t>
      </w:r>
      <w:r w:rsidR="000936EB">
        <w:t>to test year revenues.</w:t>
      </w:r>
      <w:r w:rsidR="00021EE0" w:rsidRPr="00DE6831">
        <w:t xml:space="preserve"> </w:t>
      </w:r>
      <w:r w:rsidR="00C114B9">
        <w:t xml:space="preserve"> </w:t>
      </w:r>
    </w:p>
    <w:p w:rsidR="00DE6831" w:rsidRPr="00DE6831" w:rsidRDefault="000936EB" w:rsidP="00A20618">
      <w:pPr>
        <w:pStyle w:val="BodyTextIndent"/>
      </w:pPr>
      <w:r>
        <w:tab/>
      </w:r>
      <w:r>
        <w:tab/>
      </w:r>
      <w:r w:rsidR="003E7C5A" w:rsidRPr="00DE6831">
        <w:t xml:space="preserve">Staff </w:t>
      </w:r>
      <w:r w:rsidR="00DE6831">
        <w:t xml:space="preserve">also </w:t>
      </w:r>
      <w:r w:rsidR="0097197B">
        <w:t xml:space="preserve">responds to </w:t>
      </w:r>
      <w:r w:rsidR="003E7C5A" w:rsidRPr="00DE6831">
        <w:t>ICNU witness M</w:t>
      </w:r>
      <w:r w:rsidR="006450AA" w:rsidRPr="00DE6831">
        <w:t>r.</w:t>
      </w:r>
      <w:r w:rsidR="003E7C5A" w:rsidRPr="00DE6831">
        <w:t xml:space="preserve"> S</w:t>
      </w:r>
      <w:r w:rsidR="006450AA" w:rsidRPr="00DE6831">
        <w:t>choenbeck</w:t>
      </w:r>
      <w:r w:rsidR="003E7C5A" w:rsidRPr="00DE6831">
        <w:t>’s</w:t>
      </w:r>
      <w:r w:rsidR="006450AA" w:rsidRPr="00DE6831">
        <w:t xml:space="preserve"> </w:t>
      </w:r>
      <w:r w:rsidR="0039298A">
        <w:t xml:space="preserve">proposal for allocating demand-related costs, and his </w:t>
      </w:r>
      <w:r w:rsidR="003E7C5A" w:rsidRPr="00DE6831">
        <w:t>claim</w:t>
      </w:r>
      <w:r w:rsidR="000526AD">
        <w:t xml:space="preserve"> regarding rate spread,</w:t>
      </w:r>
      <w:r w:rsidR="003E7C5A" w:rsidRPr="00DE6831">
        <w:t xml:space="preserve"> that</w:t>
      </w:r>
      <w:r w:rsidR="006450AA" w:rsidRPr="00DE6831">
        <w:t xml:space="preserve"> class rates </w:t>
      </w:r>
      <w:r w:rsidR="003E7C5A" w:rsidRPr="00DE6831">
        <w:t xml:space="preserve">of return </w:t>
      </w:r>
      <w:r w:rsidR="006450AA" w:rsidRPr="00DE6831">
        <w:t xml:space="preserve">are </w:t>
      </w:r>
      <w:r w:rsidR="0039298A">
        <w:t xml:space="preserve">in need of no further adjustment </w:t>
      </w:r>
      <w:r w:rsidR="006450AA" w:rsidRPr="00DE6831">
        <w:t xml:space="preserve">when </w:t>
      </w:r>
      <w:r w:rsidR="003E7C5A" w:rsidRPr="00DE6831">
        <w:t xml:space="preserve">they are </w:t>
      </w:r>
      <w:r w:rsidR="006450AA" w:rsidRPr="00DE6831">
        <w:t xml:space="preserve">between 90% and 110% of parity.  </w:t>
      </w:r>
    </w:p>
    <w:p w:rsidR="003E7C5A" w:rsidRPr="003E7C5A" w:rsidRDefault="003E7C5A" w:rsidP="00DE6831">
      <w:pPr>
        <w:pStyle w:val="BodyTextIndent"/>
      </w:pPr>
      <w:r w:rsidRPr="003E7C5A">
        <w:tab/>
      </w:r>
      <w:r w:rsidRPr="003E7C5A">
        <w:tab/>
        <w:t xml:space="preserve">On the issue of the basic customer charge, Staff challenges the assertion of The Energy Project’s witness </w:t>
      </w:r>
      <w:r w:rsidR="001A1155" w:rsidRPr="003E7C5A">
        <w:t xml:space="preserve">Mr. Eberdt </w:t>
      </w:r>
      <w:r w:rsidR="00F97C6B" w:rsidRPr="003E7C5A">
        <w:t xml:space="preserve">that </w:t>
      </w:r>
      <w:r w:rsidRPr="003E7C5A">
        <w:t xml:space="preserve">the </w:t>
      </w:r>
      <w:r w:rsidR="0097197B">
        <w:t xml:space="preserve">customer’s </w:t>
      </w:r>
      <w:r w:rsidRPr="003E7C5A">
        <w:t xml:space="preserve">incentive to </w:t>
      </w:r>
      <w:r w:rsidR="0077697A" w:rsidRPr="003E7C5A">
        <w:t>conser</w:t>
      </w:r>
      <w:r w:rsidR="006A72E3">
        <w:t>ve</w:t>
      </w:r>
      <w:r w:rsidR="0077697A" w:rsidRPr="003E7C5A">
        <w:t xml:space="preserve"> will be impeded by increasing the flat rate monthly basic charge</w:t>
      </w:r>
      <w:r w:rsidR="0097197B">
        <w:t>,</w:t>
      </w:r>
      <w:r w:rsidR="0077697A" w:rsidRPr="003E7C5A">
        <w:t xml:space="preserve"> with less of an </w:t>
      </w:r>
      <w:r w:rsidR="0077697A" w:rsidRPr="003E7C5A">
        <w:lastRenderedPageBreak/>
        <w:t xml:space="preserve">increase going to the per kilowatt-hour charges.  </w:t>
      </w:r>
      <w:r w:rsidRPr="003E7C5A">
        <w:t xml:space="preserve">I </w:t>
      </w:r>
      <w:r w:rsidR="00DE6831">
        <w:t xml:space="preserve">also </w:t>
      </w:r>
      <w:r w:rsidRPr="003E7C5A">
        <w:t xml:space="preserve">show </w:t>
      </w:r>
      <w:r w:rsidR="00DE6831">
        <w:t>why Mr. Eber</w:t>
      </w:r>
      <w:r w:rsidR="0039298A">
        <w:t>d</w:t>
      </w:r>
      <w:r w:rsidR="00DE6831">
        <w:t xml:space="preserve">t is wrong to rely on </w:t>
      </w:r>
      <w:r w:rsidR="00F7493B" w:rsidRPr="003E7C5A">
        <w:t xml:space="preserve">a 1990 </w:t>
      </w:r>
      <w:r w:rsidR="00DE6831">
        <w:t>C</w:t>
      </w:r>
      <w:r w:rsidR="00F7493B" w:rsidRPr="003E7C5A">
        <w:t>ommission order</w:t>
      </w:r>
      <w:r w:rsidR="00DE6831">
        <w:t xml:space="preserve"> to support his position</w:t>
      </w:r>
      <w:r w:rsidR="0084124F" w:rsidRPr="003E7C5A">
        <w:t>.</w:t>
      </w:r>
    </w:p>
    <w:p w:rsidR="000C0818" w:rsidRPr="000C0818" w:rsidRDefault="003E7C5A" w:rsidP="003E7C5A">
      <w:pPr>
        <w:spacing w:line="480" w:lineRule="auto"/>
        <w:ind w:left="720"/>
      </w:pPr>
      <w:r>
        <w:tab/>
        <w:t xml:space="preserve">On low income assistance issues, </w:t>
      </w:r>
      <w:r w:rsidR="00D529BA">
        <w:t>Staff responds to</w:t>
      </w:r>
      <w:r>
        <w:t xml:space="preserve"> three </w:t>
      </w:r>
      <w:r w:rsidR="00F7493B">
        <w:t>proposals</w:t>
      </w:r>
      <w:r w:rsidR="00D529BA">
        <w:t xml:space="preserve"> of The Energy Project</w:t>
      </w:r>
      <w:r>
        <w:t xml:space="preserve">: 1) </w:t>
      </w:r>
      <w:r w:rsidR="00D529BA">
        <w:t xml:space="preserve">To </w:t>
      </w:r>
      <w:r w:rsidR="0084124F">
        <w:t>increase low-income bill assistance (LIBA) funds</w:t>
      </w:r>
      <w:r w:rsidR="00DE6831">
        <w:t xml:space="preserve"> </w:t>
      </w:r>
      <w:r w:rsidR="00D529BA">
        <w:t xml:space="preserve">greater </w:t>
      </w:r>
      <w:r w:rsidR="00DE6831">
        <w:t>than PacifiCorp and Staff propose</w:t>
      </w:r>
      <w:r>
        <w:t xml:space="preserve">; 2) </w:t>
      </w:r>
      <w:r w:rsidR="00D529BA">
        <w:t>To r</w:t>
      </w:r>
      <w:r w:rsidR="00DE6831">
        <w:t xml:space="preserve">etain annual certification of </w:t>
      </w:r>
      <w:r w:rsidR="0084124F">
        <w:t xml:space="preserve">LIBA participants </w:t>
      </w:r>
      <w:r w:rsidR="00DE6831">
        <w:t xml:space="preserve">because certification </w:t>
      </w:r>
      <w:r w:rsidR="0084124F">
        <w:t>every other year</w:t>
      </w:r>
      <w:r w:rsidR="00DE6831">
        <w:t>, as proposed by PacifiCorp,</w:t>
      </w:r>
      <w:r w:rsidR="0084124F">
        <w:t xml:space="preserve"> will “endanger the ability of the agencies to provide service”</w:t>
      </w:r>
      <w:r>
        <w:t xml:space="preserve">; and 3) </w:t>
      </w:r>
      <w:r w:rsidR="00D529BA">
        <w:t xml:space="preserve">To provide </w:t>
      </w:r>
      <w:r w:rsidR="0084124F">
        <w:t>greater funding of energy efficienc</w:t>
      </w:r>
      <w:r w:rsidR="00DE6831">
        <w:t xml:space="preserve">y programs </w:t>
      </w:r>
      <w:r w:rsidR="0084124F">
        <w:t xml:space="preserve">for low-income households.  I </w:t>
      </w:r>
      <w:r>
        <w:t xml:space="preserve">explain why each of these proposals is </w:t>
      </w:r>
      <w:r w:rsidR="0084124F">
        <w:t>inadequa</w:t>
      </w:r>
      <w:r>
        <w:t>te</w:t>
      </w:r>
      <w:r w:rsidR="0084124F">
        <w:t>.</w:t>
      </w:r>
    </w:p>
    <w:p w:rsidR="000C0818" w:rsidRDefault="000C0818" w:rsidP="00C32E23">
      <w:pPr>
        <w:pStyle w:val="BodyTextIndent"/>
      </w:pPr>
    </w:p>
    <w:p w:rsidR="007276C3" w:rsidRDefault="00A45EBB" w:rsidP="00A45EBB">
      <w:pPr>
        <w:pStyle w:val="BodyTextIndent"/>
        <w:jc w:val="center"/>
        <w:rPr>
          <w:b/>
          <w:caps/>
        </w:rPr>
      </w:pPr>
      <w:r w:rsidRPr="00A45EBB">
        <w:rPr>
          <w:b/>
          <w:caps/>
        </w:rPr>
        <w:t>II.</w:t>
      </w:r>
      <w:r w:rsidR="00E76C8A">
        <w:rPr>
          <w:b/>
          <w:caps/>
        </w:rPr>
        <w:tab/>
      </w:r>
      <w:r w:rsidR="009667D7">
        <w:rPr>
          <w:b/>
          <w:caps/>
        </w:rPr>
        <w:t>REVENUE rEQUIREMENTS</w:t>
      </w:r>
    </w:p>
    <w:p w:rsidR="00601923" w:rsidRPr="00A45EBB" w:rsidRDefault="00601923" w:rsidP="00DE6831">
      <w:pPr>
        <w:pStyle w:val="BodyTextIndent"/>
        <w:rPr>
          <w:b/>
          <w:caps/>
        </w:rPr>
      </w:pPr>
    </w:p>
    <w:p w:rsidR="00601923" w:rsidRDefault="00DE6831" w:rsidP="00DE6831">
      <w:pPr>
        <w:spacing w:line="480" w:lineRule="auto"/>
        <w:ind w:left="720" w:hanging="720"/>
        <w:rPr>
          <w:b/>
        </w:rPr>
      </w:pPr>
      <w:r>
        <w:rPr>
          <w:b/>
        </w:rPr>
        <w:tab/>
      </w:r>
      <w:r w:rsidR="00601923">
        <w:rPr>
          <w:b/>
        </w:rPr>
        <w:t>A</w:t>
      </w:r>
      <w:r w:rsidR="00EF5A6D">
        <w:rPr>
          <w:b/>
        </w:rPr>
        <w:t>.</w:t>
      </w:r>
      <w:r w:rsidR="00EF5A6D">
        <w:rPr>
          <w:b/>
        </w:rPr>
        <w:tab/>
      </w:r>
      <w:r w:rsidR="00EF5A6D" w:rsidRPr="00BE4946">
        <w:rPr>
          <w:b/>
          <w:bCs/>
        </w:rPr>
        <w:t>Working Capital</w:t>
      </w:r>
      <w:r w:rsidR="00FD75F4">
        <w:rPr>
          <w:b/>
        </w:rPr>
        <w:t xml:space="preserve"> Methods</w:t>
      </w:r>
    </w:p>
    <w:p w:rsidR="00601923" w:rsidRDefault="00601923" w:rsidP="00DE6831">
      <w:pPr>
        <w:pStyle w:val="ListParagraph"/>
        <w:spacing w:line="480" w:lineRule="auto"/>
        <w:ind w:left="0" w:firstLine="720"/>
        <w:rPr>
          <w:b/>
        </w:rPr>
      </w:pPr>
    </w:p>
    <w:p w:rsidR="00F27CBA" w:rsidRPr="001253FE" w:rsidRDefault="00EF5A6D" w:rsidP="0097197B">
      <w:pPr>
        <w:pStyle w:val="Heading2"/>
        <w:spacing w:before="0" w:after="0" w:line="480" w:lineRule="auto"/>
        <w:ind w:left="720" w:hanging="720"/>
        <w:rPr>
          <w:rFonts w:ascii="Times New Roman" w:hAnsi="Times New Roman"/>
          <w:i w:val="0"/>
          <w:sz w:val="24"/>
          <w:szCs w:val="24"/>
        </w:rPr>
      </w:pPr>
      <w:r w:rsidRPr="00601923">
        <w:rPr>
          <w:rFonts w:ascii="Times New Roman" w:hAnsi="Times New Roman"/>
          <w:i w:val="0"/>
          <w:sz w:val="24"/>
          <w:szCs w:val="24"/>
        </w:rPr>
        <w:t>Q.</w:t>
      </w:r>
      <w:r w:rsidRPr="00601923">
        <w:rPr>
          <w:rFonts w:ascii="Times New Roman" w:hAnsi="Times New Roman"/>
          <w:i w:val="0"/>
          <w:sz w:val="24"/>
          <w:szCs w:val="24"/>
        </w:rPr>
        <w:tab/>
      </w:r>
      <w:r w:rsidR="00F27CBA" w:rsidRPr="001253FE">
        <w:rPr>
          <w:rFonts w:ascii="Times New Roman" w:hAnsi="Times New Roman"/>
          <w:i w:val="0"/>
          <w:sz w:val="24"/>
          <w:szCs w:val="24"/>
        </w:rPr>
        <w:t xml:space="preserve">What is the </w:t>
      </w:r>
      <w:r w:rsidR="00DE6831">
        <w:rPr>
          <w:rFonts w:ascii="Times New Roman" w:hAnsi="Times New Roman"/>
          <w:i w:val="0"/>
          <w:sz w:val="24"/>
          <w:szCs w:val="24"/>
        </w:rPr>
        <w:t xml:space="preserve">working capital </w:t>
      </w:r>
      <w:r w:rsidR="00F27CBA" w:rsidRPr="001253FE">
        <w:rPr>
          <w:rFonts w:ascii="Times New Roman" w:hAnsi="Times New Roman"/>
          <w:i w:val="0"/>
          <w:sz w:val="24"/>
          <w:szCs w:val="24"/>
        </w:rPr>
        <w:t xml:space="preserve">proposal of </w:t>
      </w:r>
      <w:r w:rsidR="0097197B">
        <w:rPr>
          <w:rFonts w:ascii="Times New Roman" w:hAnsi="Times New Roman"/>
          <w:i w:val="0"/>
          <w:sz w:val="24"/>
          <w:szCs w:val="24"/>
        </w:rPr>
        <w:t xml:space="preserve">Public Counsel and </w:t>
      </w:r>
      <w:r w:rsidR="00F27CBA" w:rsidRPr="001253FE">
        <w:rPr>
          <w:rFonts w:ascii="Times New Roman" w:hAnsi="Times New Roman"/>
          <w:i w:val="0"/>
          <w:sz w:val="24"/>
          <w:szCs w:val="24"/>
        </w:rPr>
        <w:t>ICNU?</w:t>
      </w:r>
    </w:p>
    <w:p w:rsidR="00FB6F77" w:rsidRDefault="00EF5A6D" w:rsidP="00DE6831">
      <w:pPr>
        <w:pStyle w:val="Heading2"/>
        <w:spacing w:before="0" w:after="0" w:line="480" w:lineRule="auto"/>
        <w:ind w:left="720" w:hanging="720"/>
        <w:rPr>
          <w:rFonts w:ascii="Times New Roman" w:hAnsi="Times New Roman"/>
          <w:b w:val="0"/>
          <w:bCs w:val="0"/>
          <w:i w:val="0"/>
          <w:sz w:val="24"/>
          <w:szCs w:val="24"/>
        </w:rPr>
      </w:pPr>
      <w:r w:rsidRPr="001253FE">
        <w:rPr>
          <w:rFonts w:ascii="Times New Roman" w:hAnsi="Times New Roman"/>
          <w:b w:val="0"/>
          <w:i w:val="0"/>
          <w:sz w:val="24"/>
          <w:szCs w:val="24"/>
        </w:rPr>
        <w:t>A.</w:t>
      </w:r>
      <w:r w:rsidRPr="001253FE">
        <w:rPr>
          <w:rFonts w:ascii="Times New Roman" w:hAnsi="Times New Roman"/>
          <w:b w:val="0"/>
          <w:i w:val="0"/>
          <w:sz w:val="24"/>
          <w:szCs w:val="24"/>
        </w:rPr>
        <w:tab/>
      </w:r>
      <w:r w:rsidR="002642D5">
        <w:rPr>
          <w:rFonts w:ascii="Times New Roman" w:hAnsi="Times New Roman"/>
          <w:b w:val="0"/>
          <w:i w:val="0"/>
          <w:sz w:val="24"/>
          <w:szCs w:val="24"/>
        </w:rPr>
        <w:t>Public Counsel and ICNU</w:t>
      </w:r>
      <w:r w:rsidR="00F27CBA" w:rsidRPr="001253FE">
        <w:rPr>
          <w:rFonts w:ascii="Times New Roman" w:hAnsi="Times New Roman"/>
          <w:b w:val="0"/>
          <w:bCs w:val="0"/>
          <w:i w:val="0"/>
          <w:sz w:val="24"/>
          <w:szCs w:val="24"/>
        </w:rPr>
        <w:t xml:space="preserve"> propose no working capital allowance for PacifiCorp on the grounds that the Company’s 45-day method does not adequately determine working capital needs.  </w:t>
      </w:r>
      <w:r w:rsidR="002642D5">
        <w:rPr>
          <w:rFonts w:ascii="Times New Roman" w:hAnsi="Times New Roman"/>
          <w:b w:val="0"/>
          <w:bCs w:val="0"/>
          <w:i w:val="0"/>
          <w:sz w:val="24"/>
          <w:szCs w:val="24"/>
        </w:rPr>
        <w:t>They also</w:t>
      </w:r>
      <w:r w:rsidR="001253FE" w:rsidRPr="001253FE">
        <w:rPr>
          <w:rFonts w:ascii="Times New Roman" w:hAnsi="Times New Roman"/>
          <w:b w:val="0"/>
          <w:bCs w:val="0"/>
          <w:i w:val="0"/>
          <w:sz w:val="24"/>
          <w:szCs w:val="24"/>
        </w:rPr>
        <w:t xml:space="preserve"> recommend “that PacifiCorp be required to file a lead-lag study before the next rate case”</w:t>
      </w:r>
      <w:r w:rsidR="00DE6831">
        <w:rPr>
          <w:rFonts w:ascii="Times New Roman" w:hAnsi="Times New Roman"/>
          <w:b w:val="0"/>
          <w:bCs w:val="0"/>
          <w:i w:val="0"/>
          <w:sz w:val="24"/>
          <w:szCs w:val="24"/>
        </w:rPr>
        <w:t>.</w:t>
      </w:r>
      <w:r w:rsidR="00DE6831">
        <w:rPr>
          <w:rStyle w:val="FootnoteReference"/>
          <w:rFonts w:ascii="Times New Roman" w:hAnsi="Times New Roman"/>
          <w:b w:val="0"/>
          <w:bCs w:val="0"/>
          <w:i w:val="0"/>
          <w:sz w:val="24"/>
          <w:szCs w:val="24"/>
        </w:rPr>
        <w:footnoteReference w:id="1"/>
      </w:r>
    </w:p>
    <w:p w:rsidR="001253FE" w:rsidRDefault="001253FE" w:rsidP="00DE6831">
      <w:pPr>
        <w:spacing w:line="480" w:lineRule="auto"/>
      </w:pPr>
    </w:p>
    <w:p w:rsidR="00A00636" w:rsidRDefault="001253FE" w:rsidP="00DE6831">
      <w:pPr>
        <w:pStyle w:val="Heading1"/>
      </w:pPr>
      <w:r>
        <w:lastRenderedPageBreak/>
        <w:t>Q.</w:t>
      </w:r>
      <w:r>
        <w:tab/>
        <w:t xml:space="preserve">What is </w:t>
      </w:r>
      <w:r w:rsidR="000526AD">
        <w:t>Staff’s</w:t>
      </w:r>
      <w:r>
        <w:t xml:space="preserve"> response to these proposals?</w:t>
      </w:r>
    </w:p>
    <w:p w:rsidR="001253FE" w:rsidRPr="00A00636" w:rsidRDefault="001253FE" w:rsidP="00A00636">
      <w:pPr>
        <w:pStyle w:val="Heading1"/>
        <w:rPr>
          <w:b w:val="0"/>
        </w:rPr>
      </w:pPr>
      <w:r w:rsidRPr="00A00636">
        <w:rPr>
          <w:b w:val="0"/>
        </w:rPr>
        <w:t>A.</w:t>
      </w:r>
      <w:r w:rsidRPr="00A00636">
        <w:rPr>
          <w:b w:val="0"/>
        </w:rPr>
        <w:tab/>
      </w:r>
      <w:r w:rsidR="00DE6831">
        <w:rPr>
          <w:b w:val="0"/>
        </w:rPr>
        <w:t>Staff</w:t>
      </w:r>
      <w:r w:rsidR="0097197B">
        <w:rPr>
          <w:b w:val="0"/>
        </w:rPr>
        <w:t>, Public Counsel</w:t>
      </w:r>
      <w:r w:rsidR="00DE6831">
        <w:rPr>
          <w:b w:val="0"/>
        </w:rPr>
        <w:t xml:space="preserve"> and ICNU agree</w:t>
      </w:r>
      <w:r w:rsidRPr="00A00636">
        <w:rPr>
          <w:b w:val="0"/>
        </w:rPr>
        <w:t xml:space="preserve"> </w:t>
      </w:r>
      <w:r w:rsidR="00A00636" w:rsidRPr="00A00636">
        <w:rPr>
          <w:b w:val="0"/>
        </w:rPr>
        <w:t xml:space="preserve">there is </w:t>
      </w:r>
      <w:r w:rsidRPr="00A00636">
        <w:rPr>
          <w:b w:val="0"/>
        </w:rPr>
        <w:t xml:space="preserve">no </w:t>
      </w:r>
      <w:r w:rsidR="00A00636" w:rsidRPr="00A00636">
        <w:rPr>
          <w:b w:val="0"/>
        </w:rPr>
        <w:t xml:space="preserve">need for a </w:t>
      </w:r>
      <w:r w:rsidRPr="00A00636">
        <w:rPr>
          <w:b w:val="0"/>
        </w:rPr>
        <w:t xml:space="preserve">working capital </w:t>
      </w:r>
      <w:r w:rsidR="00A00636" w:rsidRPr="00A00636">
        <w:rPr>
          <w:b w:val="0"/>
        </w:rPr>
        <w:t xml:space="preserve">adjustment in the revenue requirements.  However, the </w:t>
      </w:r>
      <w:r w:rsidR="0039298A">
        <w:rPr>
          <w:b w:val="0"/>
        </w:rPr>
        <w:t xml:space="preserve">reason </w:t>
      </w:r>
      <w:r w:rsidR="0097197B">
        <w:rPr>
          <w:b w:val="0"/>
        </w:rPr>
        <w:t xml:space="preserve">Public Counsel and </w:t>
      </w:r>
      <w:r w:rsidR="00DE6831">
        <w:rPr>
          <w:b w:val="0"/>
        </w:rPr>
        <w:t xml:space="preserve">ICNU provide </w:t>
      </w:r>
      <w:r w:rsidR="00A00636" w:rsidRPr="00A00636">
        <w:rPr>
          <w:b w:val="0"/>
        </w:rPr>
        <w:t xml:space="preserve">is very different than </w:t>
      </w:r>
      <w:r w:rsidR="0097197B">
        <w:rPr>
          <w:b w:val="0"/>
        </w:rPr>
        <w:t>Staff’s</w:t>
      </w:r>
      <w:r w:rsidR="00DE6831">
        <w:rPr>
          <w:b w:val="0"/>
        </w:rPr>
        <w:t>,</w:t>
      </w:r>
      <w:r w:rsidR="00A00636" w:rsidRPr="00A00636">
        <w:rPr>
          <w:b w:val="0"/>
        </w:rPr>
        <w:t xml:space="preserve"> and it does not go far enough.</w:t>
      </w:r>
    </w:p>
    <w:p w:rsidR="005A5165" w:rsidRDefault="005A5165" w:rsidP="005A5165">
      <w:pPr>
        <w:pStyle w:val="BodyTextIndent"/>
      </w:pPr>
    </w:p>
    <w:p w:rsidR="009F6692" w:rsidRDefault="009F6692" w:rsidP="009F6692">
      <w:pPr>
        <w:pStyle w:val="Heading1"/>
      </w:pPr>
      <w:r>
        <w:t>Q.</w:t>
      </w:r>
      <w:r>
        <w:tab/>
        <w:t>Please explain.</w:t>
      </w:r>
    </w:p>
    <w:p w:rsidR="000526AD" w:rsidRDefault="009F6692" w:rsidP="005A5165">
      <w:pPr>
        <w:pStyle w:val="BodyTextIndent"/>
      </w:pPr>
      <w:r>
        <w:t>A.</w:t>
      </w:r>
      <w:r>
        <w:tab/>
      </w:r>
      <w:r w:rsidR="002642D5">
        <w:t xml:space="preserve">Public Counsel’s and ICNU’s witness </w:t>
      </w:r>
      <w:r>
        <w:t>Mr. Meyer states that a lead-lag study produces a more accurate result than the 45-day working capital method.</w:t>
      </w:r>
      <w:r w:rsidR="00DE6831">
        <w:rPr>
          <w:rStyle w:val="FootnoteReference"/>
        </w:rPr>
        <w:footnoteReference w:id="2"/>
      </w:r>
      <w:r>
        <w:t xml:space="preserve">  </w:t>
      </w:r>
      <w:r w:rsidR="00DE6831">
        <w:t>While</w:t>
      </w:r>
      <w:r w:rsidR="0039298A">
        <w:t xml:space="preserve"> Staff can agree </w:t>
      </w:r>
      <w:r w:rsidR="00DE6831">
        <w:t>t</w:t>
      </w:r>
      <w:r>
        <w:t xml:space="preserve">he results </w:t>
      </w:r>
      <w:r w:rsidR="00DE6831">
        <w:t xml:space="preserve">from </w:t>
      </w:r>
      <w:r>
        <w:t xml:space="preserve">a lead-lag study may be more precise than </w:t>
      </w:r>
      <w:r w:rsidR="00DE6831">
        <w:t xml:space="preserve">results from </w:t>
      </w:r>
      <w:r>
        <w:t>the 45-day method</w:t>
      </w:r>
      <w:r w:rsidR="00DE6831">
        <w:t xml:space="preserve">, </w:t>
      </w:r>
      <w:r>
        <w:t xml:space="preserve">neither </w:t>
      </w:r>
      <w:r w:rsidR="000526AD">
        <w:t xml:space="preserve">of these </w:t>
      </w:r>
      <w:r>
        <w:t>method</w:t>
      </w:r>
      <w:r w:rsidR="000526AD">
        <w:t>s</w:t>
      </w:r>
      <w:r>
        <w:t xml:space="preserve"> measures the amount of working capital supplied by investors.</w:t>
      </w:r>
      <w:r w:rsidR="00F83D36">
        <w:t xml:space="preserve">  </w:t>
      </w:r>
      <w:r w:rsidR="0039298A">
        <w:t>In other words, b</w:t>
      </w:r>
      <w:r w:rsidR="00F83D36">
        <w:t xml:space="preserve">oth </w:t>
      </w:r>
      <w:r w:rsidR="00DE6831">
        <w:t xml:space="preserve">methods share the same flaw:  they assume </w:t>
      </w:r>
      <w:r w:rsidR="00F83D36">
        <w:t xml:space="preserve">that because </w:t>
      </w:r>
      <w:r w:rsidR="00DE6831">
        <w:t xml:space="preserve">the method derives a </w:t>
      </w:r>
      <w:r w:rsidR="00F83D36">
        <w:t xml:space="preserve">dollar </w:t>
      </w:r>
      <w:r w:rsidR="00DE6831">
        <w:t>amount</w:t>
      </w:r>
      <w:r w:rsidR="00F83D36">
        <w:t xml:space="preserve">, </w:t>
      </w:r>
      <w:r w:rsidR="00DE6831">
        <w:t xml:space="preserve">that amount must be provided by </w:t>
      </w:r>
      <w:r w:rsidR="00F83D36">
        <w:t>investors.</w:t>
      </w:r>
      <w:r w:rsidR="0039298A">
        <w:t xml:space="preserve">  </w:t>
      </w:r>
    </w:p>
    <w:p w:rsidR="009F6692" w:rsidRDefault="000526AD" w:rsidP="005A5165">
      <w:pPr>
        <w:pStyle w:val="BodyTextIndent"/>
      </w:pPr>
      <w:r>
        <w:tab/>
      </w:r>
      <w:r>
        <w:tab/>
      </w:r>
      <w:r w:rsidR="0039298A">
        <w:t xml:space="preserve">This may not be critical for a private business, but regulated utilities are permitted to earn a rate of return only on funds supplied by investors.  Therefore, the Commission should use a method for measuring working capital that demonstrates, not assumes, the amount derived is supplied by investors.   </w:t>
      </w:r>
    </w:p>
    <w:p w:rsidR="00CA6AA4" w:rsidRDefault="00CA6AA4" w:rsidP="005A5165">
      <w:pPr>
        <w:pStyle w:val="BodyTextIndent"/>
      </w:pPr>
    </w:p>
    <w:p w:rsidR="00CA6AA4" w:rsidRDefault="00CA6AA4" w:rsidP="00CA6AA4">
      <w:pPr>
        <w:pStyle w:val="Heading1"/>
      </w:pPr>
      <w:r>
        <w:t>Q.</w:t>
      </w:r>
      <w:r>
        <w:tab/>
        <w:t>Do</w:t>
      </w:r>
      <w:r w:rsidR="0097197B">
        <w:t xml:space="preserve">es Staff </w:t>
      </w:r>
      <w:r>
        <w:t xml:space="preserve">agree with </w:t>
      </w:r>
      <w:r w:rsidR="0097197B">
        <w:t xml:space="preserve">Public Counsel and ICNU </w:t>
      </w:r>
      <w:r>
        <w:t xml:space="preserve">that </w:t>
      </w:r>
      <w:r w:rsidR="00D54977">
        <w:t xml:space="preserve">the Commission should require </w:t>
      </w:r>
      <w:r>
        <w:t>PacifiCorp to perform a lead-lag study before the next rate case?</w:t>
      </w:r>
    </w:p>
    <w:p w:rsidR="00CA6AA4" w:rsidRDefault="00CA6AA4" w:rsidP="005A5165">
      <w:pPr>
        <w:pStyle w:val="BodyTextIndent"/>
      </w:pPr>
      <w:r>
        <w:t>A.</w:t>
      </w:r>
      <w:r>
        <w:tab/>
        <w:t xml:space="preserve">No.  </w:t>
      </w:r>
      <w:r w:rsidR="00E35FAD">
        <w:t xml:space="preserve">Staff is concerned this could be perceived as Commission advance acceptance of a lead-lag study.  In any event, </w:t>
      </w:r>
      <w:r w:rsidR="006E5A89">
        <w:t xml:space="preserve">PacifiCorp should retain the right to decide </w:t>
      </w:r>
      <w:r w:rsidR="000526AD">
        <w:t>the</w:t>
      </w:r>
      <w:r w:rsidR="006E5A89">
        <w:t xml:space="preserve"> method it wishes to file </w:t>
      </w:r>
      <w:r w:rsidR="000526AD">
        <w:t xml:space="preserve">in support of </w:t>
      </w:r>
      <w:r w:rsidR="006E5A89">
        <w:t>a working capital adjustment, if any.</w:t>
      </w:r>
    </w:p>
    <w:p w:rsidR="00095D1B" w:rsidRDefault="00095D1B" w:rsidP="005A5165">
      <w:pPr>
        <w:pStyle w:val="BodyTextIndent"/>
      </w:pPr>
    </w:p>
    <w:p w:rsidR="00ED0B3C" w:rsidRPr="00ED0B3C" w:rsidRDefault="00ED0B3C" w:rsidP="007C099F">
      <w:pPr>
        <w:pStyle w:val="Heading1"/>
        <w:rPr>
          <w:b w:val="0"/>
        </w:rPr>
      </w:pPr>
      <w:r>
        <w:tab/>
        <w:t>B.</w:t>
      </w:r>
      <w:r>
        <w:tab/>
        <w:t>Residential Revenue</w:t>
      </w:r>
      <w:r w:rsidR="002642D5">
        <w:t>s</w:t>
      </w:r>
      <w:r>
        <w:t xml:space="preserve"> Adjustment</w:t>
      </w:r>
    </w:p>
    <w:p w:rsidR="00ED0B3C" w:rsidRDefault="00ED0B3C" w:rsidP="007C099F">
      <w:pPr>
        <w:pStyle w:val="Heading1"/>
      </w:pPr>
    </w:p>
    <w:p w:rsidR="00095D1B" w:rsidRDefault="00095D1B" w:rsidP="007C099F">
      <w:pPr>
        <w:pStyle w:val="Heading1"/>
      </w:pPr>
      <w:r>
        <w:t>Q.</w:t>
      </w:r>
      <w:r>
        <w:tab/>
        <w:t xml:space="preserve">What is </w:t>
      </w:r>
      <w:r w:rsidR="0097197B">
        <w:t xml:space="preserve">Public Counsel’s and </w:t>
      </w:r>
      <w:r>
        <w:t>ICNU’s position on residential revenues?</w:t>
      </w:r>
    </w:p>
    <w:p w:rsidR="00095D1B" w:rsidRDefault="00095D1B" w:rsidP="005A5165">
      <w:pPr>
        <w:pStyle w:val="BodyTextIndent"/>
      </w:pPr>
      <w:r>
        <w:t>A.</w:t>
      </w:r>
      <w:r>
        <w:tab/>
      </w:r>
      <w:r w:rsidR="0097197B">
        <w:t>Public Counsel</w:t>
      </w:r>
      <w:r w:rsidR="002642D5">
        <w:t xml:space="preserve"> </w:t>
      </w:r>
      <w:r w:rsidR="0097197B">
        <w:t xml:space="preserve">and </w:t>
      </w:r>
      <w:r>
        <w:t xml:space="preserve">ICNU claim residential revenues are </w:t>
      </w:r>
      <w:r w:rsidR="000936EB">
        <w:t>under</w:t>
      </w:r>
      <w:r w:rsidR="00542394">
        <w:t>stated</w:t>
      </w:r>
      <w:r>
        <w:t xml:space="preserve"> by $2.2</w:t>
      </w:r>
      <w:r w:rsidR="0097197B">
        <w:t>4</w:t>
      </w:r>
      <w:r>
        <w:t xml:space="preserve"> million.  </w:t>
      </w:r>
      <w:r w:rsidR="002642D5">
        <w:t>Mr. Meyer</w:t>
      </w:r>
      <w:r w:rsidR="009667D7">
        <w:t xml:space="preserve"> takes </w:t>
      </w:r>
      <w:r>
        <w:t>the average of the past five years of</w:t>
      </w:r>
      <w:r w:rsidR="007C099F">
        <w:t xml:space="preserve"> actual</w:t>
      </w:r>
      <w:r>
        <w:t xml:space="preserve"> us</w:t>
      </w:r>
      <w:r w:rsidR="007C099F">
        <w:t xml:space="preserve">e per </w:t>
      </w:r>
      <w:r w:rsidR="0097197B">
        <w:t xml:space="preserve">residential </w:t>
      </w:r>
      <w:r w:rsidR="007C099F">
        <w:t>customer</w:t>
      </w:r>
      <w:r w:rsidR="009667D7">
        <w:t xml:space="preserve"> and multiplies by the number of PacifiCorp’s residential customers and the residential margin energy rate, to produce $2.24 million in additional test year revenues.</w:t>
      </w:r>
      <w:r w:rsidR="000936EB">
        <w:rPr>
          <w:rStyle w:val="FootnoteReference"/>
        </w:rPr>
        <w:footnoteReference w:id="3"/>
      </w:r>
      <w:r w:rsidR="007C099F">
        <w:t xml:space="preserve">  </w:t>
      </w:r>
    </w:p>
    <w:p w:rsidR="007C099F" w:rsidRDefault="007C099F" w:rsidP="005A5165">
      <w:pPr>
        <w:pStyle w:val="BodyTextIndent"/>
      </w:pPr>
    </w:p>
    <w:p w:rsidR="009667D7" w:rsidRPr="009667D7" w:rsidRDefault="009667D7" w:rsidP="007C099F">
      <w:pPr>
        <w:pStyle w:val="Heading1"/>
      </w:pPr>
      <w:r>
        <w:t>Q.</w:t>
      </w:r>
      <w:r>
        <w:tab/>
        <w:t xml:space="preserve">What are the principal </w:t>
      </w:r>
      <w:r w:rsidR="00975C07">
        <w:t>deficiencies</w:t>
      </w:r>
      <w:r>
        <w:t xml:space="preserve"> </w:t>
      </w:r>
      <w:r w:rsidR="00975C07">
        <w:t>in</w:t>
      </w:r>
      <w:r>
        <w:t xml:space="preserve"> Public Counsel’s and ICNU’s adjustment?</w:t>
      </w:r>
    </w:p>
    <w:p w:rsidR="009667D7" w:rsidRPr="009667D7" w:rsidRDefault="009667D7" w:rsidP="007C099F">
      <w:pPr>
        <w:pStyle w:val="Heading1"/>
        <w:rPr>
          <w:b w:val="0"/>
        </w:rPr>
      </w:pPr>
      <w:r>
        <w:rPr>
          <w:b w:val="0"/>
        </w:rPr>
        <w:t>A.</w:t>
      </w:r>
      <w:r>
        <w:rPr>
          <w:b w:val="0"/>
        </w:rPr>
        <w:tab/>
        <w:t xml:space="preserve">The principal </w:t>
      </w:r>
      <w:r w:rsidR="00975C07">
        <w:rPr>
          <w:b w:val="0"/>
        </w:rPr>
        <w:t>deficiencies</w:t>
      </w:r>
      <w:r w:rsidR="00917AFD">
        <w:rPr>
          <w:rStyle w:val="FootnoteReference"/>
          <w:b w:val="0"/>
        </w:rPr>
        <w:footnoteReference w:id="4"/>
      </w:r>
      <w:r>
        <w:rPr>
          <w:b w:val="0"/>
        </w:rPr>
        <w:t xml:space="preserve"> are that Public Counsel and ICNU should have used temperature normalized usage, not use actual usage, and they fail to account for factors that offset the additional revenue they seek to impute to PacifiCorp.</w:t>
      </w:r>
    </w:p>
    <w:p w:rsidR="009667D7" w:rsidRDefault="009667D7" w:rsidP="007C099F">
      <w:pPr>
        <w:pStyle w:val="Heading1"/>
      </w:pPr>
    </w:p>
    <w:p w:rsidR="007C099F" w:rsidRDefault="007C099F" w:rsidP="007C099F">
      <w:pPr>
        <w:pStyle w:val="Heading1"/>
      </w:pPr>
      <w:r>
        <w:t>Q.</w:t>
      </w:r>
      <w:r>
        <w:tab/>
        <w:t>Please explain</w:t>
      </w:r>
      <w:r w:rsidR="009667D7">
        <w:t xml:space="preserve"> why Public Counsel and ICNU should have used temperature normalized usage rather than actual usage</w:t>
      </w:r>
      <w:r>
        <w:t>.</w:t>
      </w:r>
    </w:p>
    <w:p w:rsidR="009667D7" w:rsidRDefault="007C099F" w:rsidP="005A5165">
      <w:pPr>
        <w:pStyle w:val="BodyTextIndent"/>
      </w:pPr>
      <w:r>
        <w:t>A.</w:t>
      </w:r>
      <w:r>
        <w:tab/>
        <w:t>The primary influence on residential customer us</w:t>
      </w:r>
      <w:r w:rsidR="0097197B">
        <w:t>ag</w:t>
      </w:r>
      <w:r>
        <w:t xml:space="preserve">e is temperature.  </w:t>
      </w:r>
      <w:r w:rsidR="009667D7">
        <w:t>This can easily be seen by comparing actual and temperature normalized usage for two recent periods.</w:t>
      </w:r>
    </w:p>
    <w:p w:rsidR="007C099F" w:rsidRDefault="009667D7" w:rsidP="009667D7">
      <w:pPr>
        <w:pStyle w:val="BodyTextIndent"/>
      </w:pPr>
      <w:r>
        <w:lastRenderedPageBreak/>
        <w:tab/>
      </w:r>
      <w:r>
        <w:tab/>
      </w:r>
      <w:r w:rsidR="007C099F">
        <w:t xml:space="preserve">For </w:t>
      </w:r>
      <w:r w:rsidR="0097197B">
        <w:t xml:space="preserve">example, </w:t>
      </w:r>
      <w:r w:rsidR="00917AFD">
        <w:t>for</w:t>
      </w:r>
      <w:r w:rsidR="007C099F">
        <w:t xml:space="preserve"> th</w:t>
      </w:r>
      <w:r>
        <w:t>e</w:t>
      </w:r>
      <w:r w:rsidR="007C099F">
        <w:t xml:space="preserve"> test year</w:t>
      </w:r>
      <w:r>
        <w:t xml:space="preserve"> in this case</w:t>
      </w:r>
      <w:r w:rsidR="007C099F">
        <w:t xml:space="preserve">, </w:t>
      </w:r>
      <w:r>
        <w:t xml:space="preserve">the 12 months ending December </w:t>
      </w:r>
      <w:r w:rsidR="007C099F">
        <w:t xml:space="preserve">2009, actual residential customer consumption </w:t>
      </w:r>
      <w:r w:rsidR="0097197B">
        <w:t>was</w:t>
      </w:r>
      <w:r w:rsidR="007C099F">
        <w:t xml:space="preserve"> 1,674,853,410 kilowatt-hours</w:t>
      </w:r>
      <w:r w:rsidR="00ED0B3C">
        <w:t xml:space="preserve"> (kWh)</w:t>
      </w:r>
      <w:r w:rsidR="00DF0DA3">
        <w:rPr>
          <w:rStyle w:val="FootnoteReference"/>
        </w:rPr>
        <w:footnoteReference w:id="5"/>
      </w:r>
      <w:r w:rsidR="007C099F">
        <w:t xml:space="preserve">.  In </w:t>
      </w:r>
      <w:r w:rsidR="0097197B">
        <w:t xml:space="preserve">PacifiCorp’s </w:t>
      </w:r>
      <w:r w:rsidR="007C099F">
        <w:t xml:space="preserve">last general rate case, Docket UE-090205, the actual residential </w:t>
      </w:r>
      <w:r w:rsidR="0097197B">
        <w:t xml:space="preserve">customer consumption </w:t>
      </w:r>
      <w:r w:rsidR="007C099F">
        <w:t>w</w:t>
      </w:r>
      <w:r w:rsidR="0097197B">
        <w:t>as</w:t>
      </w:r>
      <w:r w:rsidR="007C099F">
        <w:t xml:space="preserve"> 1,642,846,995 </w:t>
      </w:r>
      <w:r w:rsidR="0097197B">
        <w:t>k</w:t>
      </w:r>
      <w:r w:rsidR="00ED0B3C">
        <w:t>W</w:t>
      </w:r>
      <w:r w:rsidR="0097197B">
        <w:t xml:space="preserve">h, </w:t>
      </w:r>
      <w:r w:rsidR="007C099F">
        <w:t xml:space="preserve">for the </w:t>
      </w:r>
      <w:r w:rsidR="00ED0B3C">
        <w:t>12</w:t>
      </w:r>
      <w:r w:rsidR="0097197B">
        <w:t xml:space="preserve"> months </w:t>
      </w:r>
      <w:r w:rsidR="007C099F">
        <w:t>ending June 2008</w:t>
      </w:r>
      <w:r w:rsidR="00A65B5B">
        <w:rPr>
          <w:rStyle w:val="FootnoteReference"/>
        </w:rPr>
        <w:footnoteReference w:id="6"/>
      </w:r>
      <w:r w:rsidR="007C099F">
        <w:t>.</w:t>
      </w:r>
      <w:r>
        <w:t xml:space="preserve">  Th</w:t>
      </w:r>
      <w:r w:rsidR="00975C07">
        <w:t>ese</w:t>
      </w:r>
      <w:r>
        <w:t xml:space="preserve"> data show that residential customers increased their </w:t>
      </w:r>
      <w:r w:rsidR="00BA1FA1">
        <w:t xml:space="preserve">actual </w:t>
      </w:r>
      <w:r>
        <w:t xml:space="preserve">usage by over 32 million kWh between the 12 months ending June 2008, and the 12 months ending December 2009, about a </w:t>
      </w:r>
      <w:r w:rsidR="00DF0DA3">
        <w:t>two percent</w:t>
      </w:r>
      <w:r w:rsidR="0097197B">
        <w:t xml:space="preserve"> increase</w:t>
      </w:r>
      <w:r w:rsidR="00DF0DA3">
        <w:t>.</w:t>
      </w:r>
    </w:p>
    <w:p w:rsidR="00DF0DA3" w:rsidRDefault="00A42D23" w:rsidP="00917AFD">
      <w:pPr>
        <w:pStyle w:val="BodyTextIndent"/>
      </w:pPr>
      <w:r>
        <w:tab/>
      </w:r>
      <w:r>
        <w:tab/>
        <w:t>However, on a temperature normalized basis, there was virtually no change in usage</w:t>
      </w:r>
      <w:r w:rsidR="00917AFD">
        <w:t xml:space="preserve">:  </w:t>
      </w:r>
      <w:r w:rsidR="00DF0DA3">
        <w:t>1,585 million k</w:t>
      </w:r>
      <w:r w:rsidR="00473369">
        <w:t>W</w:t>
      </w:r>
      <w:r w:rsidR="00DF0DA3">
        <w:t xml:space="preserve">h </w:t>
      </w:r>
      <w:r w:rsidR="00ED0B3C">
        <w:t>(</w:t>
      </w:r>
      <w:r w:rsidR="00917AFD">
        <w:t>12 month</w:t>
      </w:r>
      <w:r w:rsidR="00BA1FA1">
        <w:t>s</w:t>
      </w:r>
      <w:r w:rsidR="00917AFD">
        <w:t xml:space="preserve"> ending </w:t>
      </w:r>
      <w:r w:rsidR="00ED0B3C">
        <w:t xml:space="preserve">2009) </w:t>
      </w:r>
      <w:r w:rsidR="003D4346">
        <w:t>versus</w:t>
      </w:r>
      <w:r w:rsidR="00DF0DA3">
        <w:t xml:space="preserve"> 1,582 million k</w:t>
      </w:r>
      <w:r w:rsidR="00473369">
        <w:t>W</w:t>
      </w:r>
      <w:r w:rsidR="00DF0DA3">
        <w:t>h</w:t>
      </w:r>
      <w:r w:rsidR="00ED0B3C">
        <w:t xml:space="preserve"> (12 months ending June 2008)</w:t>
      </w:r>
      <w:r w:rsidR="00DF0DA3">
        <w:t>.</w:t>
      </w:r>
    </w:p>
    <w:p w:rsidR="00EE19FF" w:rsidRDefault="00EE19FF" w:rsidP="00917AFD">
      <w:pPr>
        <w:pStyle w:val="BodyTextIndent"/>
      </w:pPr>
      <w:r>
        <w:tab/>
      </w:r>
      <w:r>
        <w:tab/>
      </w:r>
      <w:r w:rsidR="00975C07">
        <w:t>Moreover, w</w:t>
      </w:r>
      <w:r>
        <w:t>hen the increase in customers from June 2008 to December 2009 is taken into consideration, the normalized usage per residential customer actually declines</w:t>
      </w:r>
      <w:r w:rsidR="00975C07">
        <w:t xml:space="preserve"> slightly over the two periods</w:t>
      </w:r>
      <w:r>
        <w:t>.</w:t>
      </w:r>
      <w:r>
        <w:rPr>
          <w:rStyle w:val="FootnoteReference"/>
        </w:rPr>
        <w:footnoteReference w:id="7"/>
      </w:r>
    </w:p>
    <w:p w:rsidR="00917AFD" w:rsidRDefault="00917AFD" w:rsidP="00917AFD">
      <w:pPr>
        <w:pStyle w:val="BodyTextIndent"/>
      </w:pPr>
      <w:r>
        <w:tab/>
      </w:r>
      <w:r>
        <w:tab/>
        <w:t xml:space="preserve">In other words, </w:t>
      </w:r>
      <w:r w:rsidR="003D4346">
        <w:t>all</w:t>
      </w:r>
      <w:r>
        <w:t xml:space="preserve"> of the increase in actual usage </w:t>
      </w:r>
      <w:r w:rsidR="003D4346">
        <w:t>over</w:t>
      </w:r>
      <w:r>
        <w:t xml:space="preserve"> these two recent period</w:t>
      </w:r>
      <w:r w:rsidR="003D4346">
        <w:t>s</w:t>
      </w:r>
      <w:r>
        <w:t xml:space="preserve"> can be explained by temperature differences alone.</w:t>
      </w:r>
      <w:r w:rsidR="003D4346">
        <w:t xml:space="preserve">  Public Counsel and ICNU ignore this fact.</w:t>
      </w:r>
    </w:p>
    <w:p w:rsidR="00ED0B3C" w:rsidRDefault="00ED0B3C" w:rsidP="005A5165">
      <w:pPr>
        <w:pStyle w:val="BodyTextIndent"/>
      </w:pPr>
    </w:p>
    <w:p w:rsidR="000936EB" w:rsidRDefault="000936EB" w:rsidP="00542394">
      <w:pPr>
        <w:pStyle w:val="Heading1"/>
      </w:pPr>
      <w:r>
        <w:t>Q.</w:t>
      </w:r>
      <w:r>
        <w:tab/>
      </w:r>
      <w:r w:rsidR="003D4346">
        <w:t>D</w:t>
      </w:r>
      <w:r>
        <w:t xml:space="preserve">o Public Counsel and ICNU support </w:t>
      </w:r>
      <w:r w:rsidRPr="00542394">
        <w:t>th</w:t>
      </w:r>
      <w:r w:rsidR="003D4346">
        <w:t>e matching</w:t>
      </w:r>
      <w:r w:rsidR="00E8209C" w:rsidRPr="00542394">
        <w:t xml:space="preserve"> principle</w:t>
      </w:r>
      <w:r w:rsidRPr="00542394">
        <w:t>?</w:t>
      </w:r>
    </w:p>
    <w:p w:rsidR="00EB7CDA" w:rsidRDefault="000936EB">
      <w:r>
        <w:t>A.</w:t>
      </w:r>
      <w:r>
        <w:tab/>
        <w:t xml:space="preserve">Yes. </w:t>
      </w:r>
      <w:r w:rsidR="00E8209C">
        <w:t xml:space="preserve"> </w:t>
      </w:r>
      <w:r w:rsidR="00A42D23">
        <w:t xml:space="preserve">See </w:t>
      </w:r>
      <w:r w:rsidR="00970720">
        <w:t>Mr. Meyer’s testimony</w:t>
      </w:r>
      <w:r w:rsidR="00A42D23">
        <w:t xml:space="preserve"> at</w:t>
      </w:r>
      <w:r w:rsidR="00970720">
        <w:t xml:space="preserve"> page 21.</w:t>
      </w:r>
      <w:r w:rsidR="00EB7CDA">
        <w:t xml:space="preserve">  </w:t>
      </w:r>
      <w:r w:rsidR="00EB7CDA">
        <w:br w:type="page"/>
      </w:r>
    </w:p>
    <w:p w:rsidR="000936EB" w:rsidRDefault="000936EB" w:rsidP="005A5165">
      <w:pPr>
        <w:pStyle w:val="BodyTextIndent"/>
        <w:rPr>
          <w:b/>
        </w:rPr>
      </w:pPr>
      <w:r>
        <w:rPr>
          <w:b/>
        </w:rPr>
        <w:lastRenderedPageBreak/>
        <w:t>Q.</w:t>
      </w:r>
      <w:r>
        <w:rPr>
          <w:b/>
        </w:rPr>
        <w:tab/>
        <w:t xml:space="preserve">Do Public Counsel and ICNU </w:t>
      </w:r>
      <w:r w:rsidR="003D4346">
        <w:rPr>
          <w:b/>
        </w:rPr>
        <w:t xml:space="preserve">violate </w:t>
      </w:r>
      <w:r>
        <w:rPr>
          <w:b/>
        </w:rPr>
        <w:t>th</w:t>
      </w:r>
      <w:r w:rsidR="003D4346">
        <w:rPr>
          <w:b/>
        </w:rPr>
        <w:t>at</w:t>
      </w:r>
      <w:r w:rsidR="00C64EBD">
        <w:rPr>
          <w:b/>
        </w:rPr>
        <w:t xml:space="preserve"> </w:t>
      </w:r>
      <w:r>
        <w:rPr>
          <w:b/>
        </w:rPr>
        <w:t>principle in their Residential Revenues adjustment?</w:t>
      </w:r>
    </w:p>
    <w:p w:rsidR="00ED0B3C" w:rsidRPr="00ED0B3C" w:rsidRDefault="000936EB" w:rsidP="005A5165">
      <w:pPr>
        <w:pStyle w:val="BodyTextIndent"/>
      </w:pPr>
      <w:r>
        <w:t>A.</w:t>
      </w:r>
      <w:r>
        <w:tab/>
      </w:r>
      <w:r w:rsidR="003D4346">
        <w:t xml:space="preserve">Yes.  In their Residential Revenues adjustment, </w:t>
      </w:r>
      <w:r w:rsidRPr="000936EB">
        <w:t xml:space="preserve">Public Counsel and ICNU recognize </w:t>
      </w:r>
      <w:r w:rsidR="00A42D23">
        <w:t xml:space="preserve">additional </w:t>
      </w:r>
      <w:r w:rsidRPr="000936EB">
        <w:t>revenues</w:t>
      </w:r>
      <w:r w:rsidR="003D4346">
        <w:t xml:space="preserve"> only.  They</w:t>
      </w:r>
      <w:r w:rsidR="00A42D23">
        <w:t xml:space="preserve"> </w:t>
      </w:r>
      <w:r w:rsidR="003D4346">
        <w:t xml:space="preserve">completely </w:t>
      </w:r>
      <w:r w:rsidR="00A42D23">
        <w:t xml:space="preserve">ignore </w:t>
      </w:r>
      <w:r w:rsidRPr="000936EB">
        <w:t xml:space="preserve">the </w:t>
      </w:r>
      <w:r w:rsidR="00A42D23">
        <w:t xml:space="preserve">additional power </w:t>
      </w:r>
      <w:r w:rsidRPr="000936EB">
        <w:t xml:space="preserve">costs </w:t>
      </w:r>
      <w:r w:rsidR="00A42D23">
        <w:t xml:space="preserve">and other costs </w:t>
      </w:r>
      <w:r w:rsidRPr="000936EB">
        <w:t xml:space="preserve">PacifiCorp would incur to generate the </w:t>
      </w:r>
      <w:r w:rsidR="00A42D23">
        <w:t xml:space="preserve">kWh sold to obtain those </w:t>
      </w:r>
      <w:r w:rsidR="003D4346">
        <w:t xml:space="preserve">additional </w:t>
      </w:r>
      <w:r w:rsidR="00A42D23">
        <w:t>revenues</w:t>
      </w:r>
      <w:r w:rsidRPr="000936EB">
        <w:t xml:space="preserve">.  </w:t>
      </w:r>
      <w:r w:rsidR="00A42D23">
        <w:t>Moreover, i</w:t>
      </w:r>
      <w:r w:rsidRPr="000936EB">
        <w:t xml:space="preserve">ncreasing kWh sales in Washington has other corollary effects on </w:t>
      </w:r>
      <w:r w:rsidR="00542394">
        <w:t>inter</w:t>
      </w:r>
      <w:r w:rsidR="00BF7F21">
        <w:t>-</w:t>
      </w:r>
      <w:r w:rsidR="00542394">
        <w:t xml:space="preserve">jurisdictional </w:t>
      </w:r>
      <w:r w:rsidRPr="000936EB">
        <w:t xml:space="preserve">allocation factors and the production factor.  </w:t>
      </w:r>
      <w:r>
        <w:t xml:space="preserve">Public Counsel and ICNU </w:t>
      </w:r>
      <w:r w:rsidR="002642D5">
        <w:t>recognize</w:t>
      </w:r>
      <w:r>
        <w:t xml:space="preserve"> </w:t>
      </w:r>
      <w:r w:rsidR="00A42D23">
        <w:t>none</w:t>
      </w:r>
      <w:r w:rsidR="002642D5">
        <w:t xml:space="preserve"> of </w:t>
      </w:r>
      <w:r>
        <w:t>t</w:t>
      </w:r>
      <w:r w:rsidRPr="000936EB">
        <w:t xml:space="preserve">hese </w:t>
      </w:r>
      <w:r w:rsidR="003D4346">
        <w:t xml:space="preserve">offsetting </w:t>
      </w:r>
      <w:r w:rsidRPr="000936EB">
        <w:t>effects</w:t>
      </w:r>
      <w:r w:rsidR="003D4346">
        <w:t>, either.</w:t>
      </w:r>
    </w:p>
    <w:p w:rsidR="00E8209C" w:rsidRDefault="00E8209C" w:rsidP="00E8209C">
      <w:pPr>
        <w:pStyle w:val="BodyTextIndent"/>
      </w:pPr>
    </w:p>
    <w:p w:rsidR="00E8209C" w:rsidRDefault="00E8209C" w:rsidP="00E8209C">
      <w:pPr>
        <w:pStyle w:val="BodyTextIndent"/>
        <w:rPr>
          <w:b/>
        </w:rPr>
      </w:pPr>
      <w:r>
        <w:rPr>
          <w:b/>
        </w:rPr>
        <w:t>Q.</w:t>
      </w:r>
      <w:r>
        <w:rPr>
          <w:b/>
        </w:rPr>
        <w:tab/>
        <w:t xml:space="preserve">How should the Commission address Public Counsel’s and ICNU’s </w:t>
      </w:r>
      <w:r w:rsidR="006C635C">
        <w:rPr>
          <w:b/>
        </w:rPr>
        <w:t>Residential</w:t>
      </w:r>
      <w:r>
        <w:rPr>
          <w:b/>
        </w:rPr>
        <w:t xml:space="preserve"> </w:t>
      </w:r>
      <w:r w:rsidR="000936EB">
        <w:rPr>
          <w:b/>
        </w:rPr>
        <w:t xml:space="preserve">Rate </w:t>
      </w:r>
      <w:r>
        <w:rPr>
          <w:b/>
        </w:rPr>
        <w:t>Revenue</w:t>
      </w:r>
      <w:r w:rsidR="002642D5">
        <w:rPr>
          <w:b/>
        </w:rPr>
        <w:t>s</w:t>
      </w:r>
      <w:r>
        <w:rPr>
          <w:b/>
        </w:rPr>
        <w:t xml:space="preserve"> adjustment?</w:t>
      </w:r>
    </w:p>
    <w:p w:rsidR="00DF0DA3" w:rsidRDefault="00E8209C" w:rsidP="00E8209C">
      <w:pPr>
        <w:pStyle w:val="BodyTextIndent"/>
      </w:pPr>
      <w:r>
        <w:t>A.</w:t>
      </w:r>
      <w:r>
        <w:tab/>
        <w:t>T</w:t>
      </w:r>
      <w:r w:rsidR="00ED0B3C">
        <w:t>he</w:t>
      </w:r>
      <w:r w:rsidR="00A65B5B">
        <w:t xml:space="preserve"> Commission should reject </w:t>
      </w:r>
      <w:r w:rsidR="00ED0B3C">
        <w:t xml:space="preserve">Public Counsel’s and </w:t>
      </w:r>
      <w:r w:rsidR="00A65B5B">
        <w:t>ICNU’s adjustment</w:t>
      </w:r>
      <w:r>
        <w:t>, for the reasons I have stated.</w:t>
      </w:r>
    </w:p>
    <w:p w:rsidR="006B0266" w:rsidRDefault="006B0266" w:rsidP="005A5165">
      <w:pPr>
        <w:pStyle w:val="BodyTextIndent"/>
      </w:pPr>
    </w:p>
    <w:p w:rsidR="005A5165" w:rsidRDefault="00A82383" w:rsidP="005A5165">
      <w:pPr>
        <w:pStyle w:val="BodyTextIndent"/>
        <w:jc w:val="center"/>
        <w:rPr>
          <w:b/>
        </w:rPr>
      </w:pPr>
      <w:r>
        <w:rPr>
          <w:b/>
        </w:rPr>
        <w:t>I</w:t>
      </w:r>
      <w:r w:rsidR="00EB7CDA">
        <w:rPr>
          <w:b/>
        </w:rPr>
        <w:t>II</w:t>
      </w:r>
      <w:r w:rsidR="006B0266">
        <w:rPr>
          <w:b/>
        </w:rPr>
        <w:t>.</w:t>
      </w:r>
      <w:r w:rsidR="00D54977">
        <w:rPr>
          <w:b/>
        </w:rPr>
        <w:tab/>
      </w:r>
      <w:r w:rsidR="004753B1">
        <w:rPr>
          <w:b/>
        </w:rPr>
        <w:t xml:space="preserve">COST-OF-SERVICE AND </w:t>
      </w:r>
      <w:r w:rsidR="005A5165">
        <w:rPr>
          <w:b/>
        </w:rPr>
        <w:t>REVENUE ALLOCATION</w:t>
      </w:r>
    </w:p>
    <w:p w:rsidR="00091F34" w:rsidRDefault="00F00F1A" w:rsidP="005A5165">
      <w:pPr>
        <w:pStyle w:val="BodyTextIndent"/>
        <w:rPr>
          <w:b/>
        </w:rPr>
      </w:pPr>
      <w:r>
        <w:rPr>
          <w:b/>
        </w:rPr>
        <w:tab/>
      </w:r>
    </w:p>
    <w:p w:rsidR="00F00F1A" w:rsidRDefault="0027398C" w:rsidP="0027398C">
      <w:pPr>
        <w:pStyle w:val="BodyTextIndent"/>
        <w:ind w:firstLine="0"/>
        <w:rPr>
          <w:b/>
        </w:rPr>
      </w:pPr>
      <w:r>
        <w:rPr>
          <w:b/>
        </w:rPr>
        <w:t>A.</w:t>
      </w:r>
      <w:r>
        <w:rPr>
          <w:b/>
        </w:rPr>
        <w:tab/>
      </w:r>
      <w:r w:rsidR="00F00F1A">
        <w:rPr>
          <w:b/>
        </w:rPr>
        <w:t xml:space="preserve">Cost of Service </w:t>
      </w:r>
      <w:r w:rsidR="0039298A">
        <w:rPr>
          <w:b/>
        </w:rPr>
        <w:t>Study</w:t>
      </w:r>
    </w:p>
    <w:p w:rsidR="00F00F1A" w:rsidRDefault="00F00F1A" w:rsidP="005A5165">
      <w:pPr>
        <w:pStyle w:val="BodyTextIndent"/>
        <w:rPr>
          <w:b/>
        </w:rPr>
      </w:pPr>
    </w:p>
    <w:p w:rsidR="005A5165" w:rsidRDefault="005A5165" w:rsidP="005A5165">
      <w:pPr>
        <w:pStyle w:val="BodyTextIndent"/>
        <w:rPr>
          <w:b/>
        </w:rPr>
      </w:pPr>
      <w:r w:rsidRPr="003C5F0F">
        <w:rPr>
          <w:b/>
        </w:rPr>
        <w:t>Q.</w:t>
      </w:r>
      <w:r w:rsidRPr="003C5F0F">
        <w:rPr>
          <w:b/>
        </w:rPr>
        <w:tab/>
      </w:r>
      <w:r w:rsidR="00091F34">
        <w:rPr>
          <w:b/>
        </w:rPr>
        <w:t xml:space="preserve">What </w:t>
      </w:r>
      <w:r w:rsidR="00D54977">
        <w:rPr>
          <w:b/>
        </w:rPr>
        <w:t xml:space="preserve">exception does </w:t>
      </w:r>
      <w:r w:rsidR="004753B1">
        <w:rPr>
          <w:b/>
        </w:rPr>
        <w:t xml:space="preserve">ICNU </w:t>
      </w:r>
      <w:r w:rsidR="00D54977">
        <w:rPr>
          <w:b/>
        </w:rPr>
        <w:t>take with</w:t>
      </w:r>
      <w:r w:rsidR="00091F34">
        <w:rPr>
          <w:b/>
        </w:rPr>
        <w:t xml:space="preserve"> </w:t>
      </w:r>
      <w:r w:rsidR="004753B1">
        <w:rPr>
          <w:b/>
        </w:rPr>
        <w:t>PacifiCorp’s cost of service study</w:t>
      </w:r>
      <w:r w:rsidR="00091F34">
        <w:rPr>
          <w:b/>
        </w:rPr>
        <w:t>?</w:t>
      </w:r>
    </w:p>
    <w:p w:rsidR="004753B1" w:rsidRPr="00D54977" w:rsidRDefault="004753B1" w:rsidP="005A5165">
      <w:pPr>
        <w:pStyle w:val="BodyTextIndent"/>
      </w:pPr>
      <w:r w:rsidRPr="00D54977">
        <w:t>A.</w:t>
      </w:r>
      <w:r w:rsidRPr="00D54977">
        <w:tab/>
      </w:r>
      <w:r w:rsidR="000526AD">
        <w:t>ICNU</w:t>
      </w:r>
      <w:r w:rsidRPr="00D54977">
        <w:t xml:space="preserve"> disagrees with PacifiCorp’s use of the top 100 winter hours and top 100 summer hours of electricity consumption to allocate demand</w:t>
      </w:r>
      <w:r w:rsidR="0039298A">
        <w:t>-</w:t>
      </w:r>
      <w:r w:rsidRPr="00D54977">
        <w:t xml:space="preserve">related costs.  </w:t>
      </w:r>
      <w:r w:rsidR="000526AD">
        <w:t xml:space="preserve">According to ICNU witness Mr. Schoenbeck, </w:t>
      </w:r>
      <w:r w:rsidRPr="00D54977">
        <w:t>this is too many hours</w:t>
      </w:r>
      <w:r w:rsidR="00D54977">
        <w:t>,</w:t>
      </w:r>
      <w:r w:rsidRPr="00D54977">
        <w:t xml:space="preserve"> and </w:t>
      </w:r>
      <w:r w:rsidR="000526AD">
        <w:t xml:space="preserve">he </w:t>
      </w:r>
      <w:r w:rsidRPr="00D54977">
        <w:t xml:space="preserve">suggests </w:t>
      </w:r>
      <w:r w:rsidR="00D54977">
        <w:lastRenderedPageBreak/>
        <w:t xml:space="preserve">PacifiCorp use </w:t>
      </w:r>
      <w:r w:rsidRPr="00D54977">
        <w:t>far fewer hours</w:t>
      </w:r>
      <w:r w:rsidR="00AE7A1B" w:rsidRPr="00D54977">
        <w:t xml:space="preserve">, </w:t>
      </w:r>
      <w:r w:rsidR="00D54977">
        <w:t xml:space="preserve">namely, </w:t>
      </w:r>
      <w:r w:rsidR="00AE7A1B" w:rsidRPr="00D54977">
        <w:t xml:space="preserve">only those </w:t>
      </w:r>
      <w:r w:rsidR="00D54977">
        <w:t xml:space="preserve">hours </w:t>
      </w:r>
      <w:r w:rsidR="00AE7A1B" w:rsidRPr="00D54977">
        <w:t>within 95 percent of the system peak hour</w:t>
      </w:r>
      <w:r w:rsidRPr="00D54977">
        <w:t>.</w:t>
      </w:r>
      <w:r w:rsidR="00AE7A1B" w:rsidRPr="00D54977">
        <w:t xml:space="preserve">  </w:t>
      </w:r>
      <w:r w:rsidR="00D54977">
        <w:t xml:space="preserve">According to Mr. Schoenbeck, this </w:t>
      </w:r>
      <w:r w:rsidR="000526AD">
        <w:t xml:space="preserve">amounts to </w:t>
      </w:r>
      <w:r w:rsidR="00AE7A1B" w:rsidRPr="00D54977">
        <w:t>71 hours.</w:t>
      </w:r>
      <w:r w:rsidR="00D54977">
        <w:rPr>
          <w:rStyle w:val="FootnoteReference"/>
        </w:rPr>
        <w:footnoteReference w:id="8"/>
      </w:r>
    </w:p>
    <w:p w:rsidR="00AE7A1B" w:rsidRPr="00D54977" w:rsidRDefault="00AE7A1B" w:rsidP="005A5165">
      <w:pPr>
        <w:pStyle w:val="BodyTextIndent"/>
      </w:pPr>
    </w:p>
    <w:p w:rsidR="00AE7A1B" w:rsidRDefault="00AE7A1B" w:rsidP="005A5165">
      <w:pPr>
        <w:pStyle w:val="BodyTextIndent"/>
        <w:rPr>
          <w:b/>
        </w:rPr>
      </w:pPr>
      <w:r>
        <w:rPr>
          <w:b/>
        </w:rPr>
        <w:t>Q.</w:t>
      </w:r>
      <w:r>
        <w:rPr>
          <w:b/>
        </w:rPr>
        <w:tab/>
        <w:t xml:space="preserve">What is </w:t>
      </w:r>
      <w:r w:rsidR="000526AD">
        <w:rPr>
          <w:b/>
        </w:rPr>
        <w:t>ICNU’s</w:t>
      </w:r>
      <w:r>
        <w:rPr>
          <w:b/>
        </w:rPr>
        <w:t xml:space="preserve"> </w:t>
      </w:r>
      <w:r w:rsidR="00D54977">
        <w:rPr>
          <w:b/>
        </w:rPr>
        <w:t xml:space="preserve">theory </w:t>
      </w:r>
      <w:r>
        <w:rPr>
          <w:b/>
        </w:rPr>
        <w:t>for using only 71 hours to allocate peak demand to the customer classes?</w:t>
      </w:r>
    </w:p>
    <w:p w:rsidR="00623987" w:rsidRDefault="00AE7A1B" w:rsidP="005A5165">
      <w:pPr>
        <w:pStyle w:val="BodyTextIndent"/>
      </w:pPr>
      <w:r w:rsidRPr="00AE7A1B">
        <w:t>A.</w:t>
      </w:r>
      <w:r w:rsidRPr="00AE7A1B">
        <w:tab/>
      </w:r>
      <w:r w:rsidR="000526AD">
        <w:t>ICNU’s</w:t>
      </w:r>
      <w:r w:rsidR="00D54977">
        <w:t xml:space="preserve"> theory is that </w:t>
      </w:r>
      <w:r w:rsidRPr="00AE7A1B">
        <w:t xml:space="preserve">the </w:t>
      </w:r>
      <w:r w:rsidR="00623987">
        <w:t xml:space="preserve">peak demand drives the </w:t>
      </w:r>
      <w:r w:rsidR="00E35FAD">
        <w:t xml:space="preserve">Company’s </w:t>
      </w:r>
      <w:r w:rsidRPr="00AE7A1B">
        <w:t xml:space="preserve">need for facilities to meet </w:t>
      </w:r>
      <w:r w:rsidR="00623987">
        <w:t xml:space="preserve">that </w:t>
      </w:r>
      <w:r w:rsidRPr="00AE7A1B">
        <w:t>peak demand</w:t>
      </w:r>
      <w:r w:rsidR="008172A4">
        <w:t>.</w:t>
      </w:r>
      <w:r w:rsidR="00623987">
        <w:t xml:space="preserve">  Therefore</w:t>
      </w:r>
      <w:r w:rsidR="008172A4">
        <w:t>,</w:t>
      </w:r>
      <w:r w:rsidR="00623987">
        <w:t xml:space="preserve"> the customers demanding electricity in the peak hours should pay for their demands</w:t>
      </w:r>
      <w:r w:rsidR="00D54977">
        <w:rPr>
          <w:rStyle w:val="FootnoteReference"/>
        </w:rPr>
        <w:footnoteReference w:id="9"/>
      </w:r>
      <w:r w:rsidR="00E35FAD">
        <w:t>.</w:t>
      </w:r>
    </w:p>
    <w:p w:rsidR="00623987" w:rsidRDefault="00623987" w:rsidP="005A5165">
      <w:pPr>
        <w:pStyle w:val="BodyTextIndent"/>
      </w:pPr>
    </w:p>
    <w:p w:rsidR="00623987" w:rsidRDefault="00623987" w:rsidP="00623987">
      <w:pPr>
        <w:pStyle w:val="Heading1"/>
      </w:pPr>
      <w:r>
        <w:t>Q.</w:t>
      </w:r>
      <w:r>
        <w:tab/>
      </w:r>
      <w:r w:rsidR="00D54977">
        <w:t>Is Mr. Schoenbeck’s theory valid</w:t>
      </w:r>
      <w:r>
        <w:t>?</w:t>
      </w:r>
    </w:p>
    <w:p w:rsidR="00D54977" w:rsidRDefault="00623987" w:rsidP="005A5165">
      <w:pPr>
        <w:pStyle w:val="BodyTextIndent"/>
      </w:pPr>
      <w:r>
        <w:t>A.</w:t>
      </w:r>
      <w:r>
        <w:tab/>
      </w:r>
      <w:r w:rsidR="00E35FAD">
        <w:t>Staff</w:t>
      </w:r>
      <w:r w:rsidR="007A6466">
        <w:t xml:space="preserve"> can agree with the general theory that the cost of meeting peak demand </w:t>
      </w:r>
      <w:r w:rsidR="001F057C">
        <w:t>should be shared by those imposing the load at peak times.  However,</w:t>
      </w:r>
      <w:r>
        <w:t xml:space="preserve"> </w:t>
      </w:r>
      <w:r w:rsidR="003B094F">
        <w:t xml:space="preserve">peak </w:t>
      </w:r>
      <w:r>
        <w:t xml:space="preserve">demand occurring over </w:t>
      </w:r>
      <w:r w:rsidR="00D54977">
        <w:t>only 71 hours</w:t>
      </w:r>
      <w:r w:rsidR="001F057C">
        <w:t>, or 0.8 percent,</w:t>
      </w:r>
      <w:r w:rsidR="00D54977">
        <w:t xml:space="preserve"> of the year is a </w:t>
      </w:r>
      <w:r w:rsidR="000526AD">
        <w:t xml:space="preserve">very </w:t>
      </w:r>
      <w:r>
        <w:t>narrow period of time</w:t>
      </w:r>
      <w:r w:rsidR="00D54977">
        <w:t xml:space="preserve">, and </w:t>
      </w:r>
      <w:r w:rsidR="000526AD">
        <w:t xml:space="preserve">it </w:t>
      </w:r>
      <w:r w:rsidR="00D54977">
        <w:t xml:space="preserve">is not </w:t>
      </w:r>
      <w:r w:rsidR="000634F9">
        <w:t>representative of peak cost causation on the system</w:t>
      </w:r>
      <w:r>
        <w:t xml:space="preserve">.  </w:t>
      </w:r>
      <w:r w:rsidR="00D54977">
        <w:t>Demand cost</w:t>
      </w:r>
      <w:r w:rsidR="000526AD">
        <w:t>s</w:t>
      </w:r>
      <w:r w:rsidR="00D54977">
        <w:t xml:space="preserve"> should be </w:t>
      </w:r>
      <w:r>
        <w:t xml:space="preserve">allocated to those who use the system during times of sustained </w:t>
      </w:r>
      <w:r w:rsidR="008172A4">
        <w:t xml:space="preserve">high </w:t>
      </w:r>
      <w:r>
        <w:t xml:space="preserve">demand, not just the absolute peak times.  </w:t>
      </w:r>
    </w:p>
    <w:p w:rsidR="00AE7A1B" w:rsidRPr="00AE7A1B" w:rsidRDefault="00D54977" w:rsidP="005A5165">
      <w:pPr>
        <w:pStyle w:val="BodyTextIndent"/>
      </w:pPr>
      <w:r>
        <w:tab/>
      </w:r>
      <w:r>
        <w:tab/>
      </w:r>
      <w:r w:rsidR="00623987">
        <w:t>The Company use</w:t>
      </w:r>
      <w:r>
        <w:t>d</w:t>
      </w:r>
      <w:r w:rsidR="00623987">
        <w:t xml:space="preserve"> 200 hours </w:t>
      </w:r>
      <w:r>
        <w:t xml:space="preserve">in </w:t>
      </w:r>
      <w:r w:rsidR="0039298A">
        <w:t>its</w:t>
      </w:r>
      <w:r>
        <w:t xml:space="preserve"> study, which is</w:t>
      </w:r>
      <w:r w:rsidR="00623987">
        <w:t xml:space="preserve"> about 2.25 percent of all the hours in a year.</w:t>
      </w:r>
      <w:r w:rsidR="00AE7A1B" w:rsidRPr="00AE7A1B">
        <w:t xml:space="preserve"> </w:t>
      </w:r>
      <w:r>
        <w:t xml:space="preserve"> </w:t>
      </w:r>
      <w:r w:rsidR="00623987">
        <w:t xml:space="preserve">This </w:t>
      </w:r>
      <w:r>
        <w:t xml:space="preserve">is much </w:t>
      </w:r>
      <w:r w:rsidR="00623987">
        <w:t>fair</w:t>
      </w:r>
      <w:r w:rsidR="00FC3A19">
        <w:t>er</w:t>
      </w:r>
      <w:r w:rsidR="00623987">
        <w:t xml:space="preserve"> period of time over which to judge the customers</w:t>
      </w:r>
      <w:r w:rsidR="00C931FD">
        <w:t>’</w:t>
      </w:r>
      <w:r w:rsidR="00623987">
        <w:t xml:space="preserve"> electric demand.</w:t>
      </w:r>
      <w:r w:rsidR="00021C97">
        <w:t xml:space="preserve">  The use of 200 peak hours was expressly accepted by the Commission in </w:t>
      </w:r>
      <w:r w:rsidR="00021C97">
        <w:rPr>
          <w:i/>
        </w:rPr>
        <w:t xml:space="preserve">UTC v. Puget Sound Energy, Inc, </w:t>
      </w:r>
      <w:r w:rsidR="00021C97">
        <w:t>Dockets UE-920433/UE-920499/UE-921262, 9</w:t>
      </w:r>
      <w:r w:rsidR="00021C97" w:rsidRPr="00A76400">
        <w:rPr>
          <w:vertAlign w:val="superscript"/>
        </w:rPr>
        <w:t>th</w:t>
      </w:r>
      <w:r w:rsidR="00021C97">
        <w:t xml:space="preserve"> Supplemental Order, page 11 (August 17, 1993).</w:t>
      </w:r>
    </w:p>
    <w:p w:rsidR="00AE7A1B" w:rsidRDefault="00AE7A1B" w:rsidP="005A5165">
      <w:pPr>
        <w:pStyle w:val="BodyTextIndent"/>
        <w:rPr>
          <w:b/>
        </w:rPr>
      </w:pPr>
    </w:p>
    <w:p w:rsidR="00AE7A1B" w:rsidRPr="003C5F0F" w:rsidRDefault="00AE7A1B" w:rsidP="005A5165">
      <w:pPr>
        <w:pStyle w:val="BodyTextIndent"/>
        <w:rPr>
          <w:b/>
        </w:rPr>
      </w:pPr>
      <w:r>
        <w:rPr>
          <w:b/>
        </w:rPr>
        <w:lastRenderedPageBreak/>
        <w:t>Q.</w:t>
      </w:r>
      <w:r>
        <w:rPr>
          <w:b/>
        </w:rPr>
        <w:tab/>
      </w:r>
      <w:r w:rsidR="00C931FD">
        <w:rPr>
          <w:b/>
        </w:rPr>
        <w:t xml:space="preserve">What effect </w:t>
      </w:r>
      <w:r w:rsidR="00801C0B">
        <w:rPr>
          <w:b/>
        </w:rPr>
        <w:t xml:space="preserve">does </w:t>
      </w:r>
      <w:r w:rsidR="00D54977">
        <w:rPr>
          <w:b/>
        </w:rPr>
        <w:t xml:space="preserve">ICNU’s proposed 71 hours </w:t>
      </w:r>
      <w:r w:rsidR="00801C0B">
        <w:rPr>
          <w:b/>
        </w:rPr>
        <w:t xml:space="preserve">have </w:t>
      </w:r>
      <w:r w:rsidR="00C931FD">
        <w:rPr>
          <w:b/>
        </w:rPr>
        <w:t>on the allocation of demand costs</w:t>
      </w:r>
      <w:r>
        <w:rPr>
          <w:b/>
        </w:rPr>
        <w:t>?</w:t>
      </w:r>
    </w:p>
    <w:p w:rsidR="00D54977" w:rsidRDefault="005A5165" w:rsidP="008E6FF7">
      <w:pPr>
        <w:pStyle w:val="BodyTextIndent"/>
      </w:pPr>
      <w:r>
        <w:t>A.</w:t>
      </w:r>
      <w:r>
        <w:tab/>
      </w:r>
      <w:r w:rsidR="00E8209C" w:rsidRPr="00E8209C">
        <w:t>Restricting demand allocations to only 71 hours during the very highest consumption days will drive costs to the residential class, all else equal.</w:t>
      </w:r>
      <w:r w:rsidR="00E8209C">
        <w:t xml:space="preserve">  This is because, more so than other classes, the </w:t>
      </w:r>
      <w:r w:rsidR="00801C0B">
        <w:t xml:space="preserve">residential class consumes more energy on the coldest days of the year than on average.  </w:t>
      </w:r>
      <w:r w:rsidR="00D54977">
        <w:t xml:space="preserve">PacifiCorp’s use of </w:t>
      </w:r>
      <w:r w:rsidR="00744447">
        <w:t xml:space="preserve">more hours to determine peak allocations </w:t>
      </w:r>
      <w:r w:rsidR="00687A61">
        <w:t>shares more demand-related</w:t>
      </w:r>
      <w:r w:rsidR="00744447">
        <w:t xml:space="preserve"> cost</w:t>
      </w:r>
      <w:r w:rsidR="00687A61">
        <w:t>s with</w:t>
      </w:r>
      <w:r w:rsidR="00744447">
        <w:t xml:space="preserve"> the industrial schedules.  Commercial schedules are less affected by the choice of hours.  </w:t>
      </w:r>
    </w:p>
    <w:p w:rsidR="005E2FAF" w:rsidRDefault="00D54977" w:rsidP="005E2FAF">
      <w:pPr>
        <w:pStyle w:val="BodyTextIndent"/>
      </w:pPr>
      <w:r>
        <w:tab/>
      </w:r>
      <w:r>
        <w:tab/>
      </w:r>
      <w:r w:rsidR="000526AD">
        <w:t>Moreover, e</w:t>
      </w:r>
      <w:r w:rsidR="00744447">
        <w:t>ventually</w:t>
      </w:r>
      <w:r>
        <w:t>,</w:t>
      </w:r>
      <w:r w:rsidR="00744447">
        <w:t xml:space="preserve"> this shifting of costs manifests itself in the parity ratios </w:t>
      </w:r>
      <w:r w:rsidR="00E8209C">
        <w:t>for</w:t>
      </w:r>
      <w:r w:rsidR="00744447">
        <w:t xml:space="preserve"> each customer schedule, thereby affecting the potential for </w:t>
      </w:r>
      <w:r w:rsidR="000526AD">
        <w:t xml:space="preserve">higher </w:t>
      </w:r>
      <w:r w:rsidR="00744447">
        <w:t xml:space="preserve">rate increases </w:t>
      </w:r>
      <w:r w:rsidR="000526AD">
        <w:t>to the residential class, all else equal</w:t>
      </w:r>
      <w:r w:rsidR="00744447">
        <w:t>.</w:t>
      </w:r>
      <w:r w:rsidR="00A42D23">
        <w:t xml:space="preserve">  These effects are shown in my table 1 below:</w:t>
      </w:r>
    </w:p>
    <w:p w:rsidR="00E8209C" w:rsidRDefault="007604DF" w:rsidP="00633EB2">
      <w:pPr>
        <w:spacing w:line="480" w:lineRule="auto"/>
        <w:ind w:left="3600"/>
      </w:pPr>
      <w:r>
        <w:rPr>
          <w:noProof/>
        </w:rPr>
        <w:drawing>
          <wp:anchor distT="0" distB="0" distL="114300" distR="114300" simplePos="0" relativeHeight="251657216" behindDoc="1" locked="0" layoutInCell="1" allowOverlap="1">
            <wp:simplePos x="0" y="0"/>
            <wp:positionH relativeFrom="column">
              <wp:posOffset>1144905</wp:posOffset>
            </wp:positionH>
            <wp:positionV relativeFrom="paragraph">
              <wp:posOffset>259715</wp:posOffset>
            </wp:positionV>
            <wp:extent cx="3324225" cy="2209800"/>
            <wp:effectExtent l="19050" t="0" r="9525" b="0"/>
            <wp:wrapTight wrapText="bothSides">
              <wp:wrapPolygon edited="0">
                <wp:start x="-124" y="0"/>
                <wp:lineTo x="-124" y="21228"/>
                <wp:lineTo x="21662" y="21228"/>
                <wp:lineTo x="21662" y="0"/>
                <wp:lineTo x="-124" y="0"/>
              </wp:wrapPolygon>
            </wp:wrapTight>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0" cstate="print"/>
                    <a:srcRect/>
                    <a:stretch>
                      <a:fillRect/>
                    </a:stretch>
                  </pic:blipFill>
                  <pic:spPr bwMode="auto">
                    <a:xfrm>
                      <a:off x="0" y="0"/>
                      <a:ext cx="3324225" cy="2209800"/>
                    </a:xfrm>
                    <a:prstGeom prst="rect">
                      <a:avLst/>
                    </a:prstGeom>
                    <a:noFill/>
                  </pic:spPr>
                </pic:pic>
              </a:graphicData>
            </a:graphic>
          </wp:anchor>
        </w:drawing>
      </w:r>
      <w:r w:rsidR="00633EB2">
        <w:t xml:space="preserve">     </w:t>
      </w:r>
      <w:r w:rsidR="00FC3A19">
        <w:t xml:space="preserve">Table </w:t>
      </w:r>
      <w:r w:rsidR="00807754">
        <w:t>1</w:t>
      </w:r>
    </w:p>
    <w:p w:rsidR="00311392" w:rsidRDefault="00311392" w:rsidP="00311392"/>
    <w:p w:rsidR="00311392" w:rsidRDefault="00311392" w:rsidP="00311392"/>
    <w:p w:rsidR="00311392" w:rsidRDefault="00311392" w:rsidP="00311392"/>
    <w:p w:rsidR="00311392" w:rsidRDefault="00311392" w:rsidP="00311392"/>
    <w:p w:rsidR="00311392" w:rsidRDefault="00311392" w:rsidP="00311392"/>
    <w:p w:rsidR="007D08E1" w:rsidRDefault="007D08E1" w:rsidP="00311392"/>
    <w:p w:rsidR="007D08E1" w:rsidRDefault="007D08E1" w:rsidP="00311392"/>
    <w:p w:rsidR="007D08E1" w:rsidRDefault="007D08E1" w:rsidP="00311392"/>
    <w:p w:rsidR="007D08E1" w:rsidRDefault="007D08E1" w:rsidP="00311392"/>
    <w:p w:rsidR="007D08E1" w:rsidRDefault="007D08E1" w:rsidP="00311392"/>
    <w:p w:rsidR="00311392" w:rsidRDefault="00311392" w:rsidP="00311392"/>
    <w:p w:rsidR="00311392" w:rsidRDefault="00311392" w:rsidP="00311392"/>
    <w:p w:rsidR="00EB7CDA" w:rsidRDefault="00EB7CDA" w:rsidP="00311392"/>
    <w:p w:rsidR="00EB7CDA" w:rsidRDefault="00EB7CDA" w:rsidP="00311392"/>
    <w:p w:rsidR="00842481" w:rsidRDefault="00744447" w:rsidP="00495D6C">
      <w:pPr>
        <w:pStyle w:val="Heading1"/>
      </w:pPr>
      <w:r>
        <w:t>Q.</w:t>
      </w:r>
      <w:r w:rsidR="006B0266">
        <w:tab/>
        <w:t xml:space="preserve">Please explain your </w:t>
      </w:r>
      <w:r w:rsidR="00FC3A19">
        <w:t xml:space="preserve">Table </w:t>
      </w:r>
      <w:r w:rsidR="00807754">
        <w:t>1</w:t>
      </w:r>
      <w:r w:rsidR="006B0266">
        <w:t>.</w:t>
      </w:r>
    </w:p>
    <w:p w:rsidR="00807754" w:rsidRDefault="006B0266" w:rsidP="00EB7CDA">
      <w:pPr>
        <w:pStyle w:val="Heading1"/>
        <w:keepNext w:val="0"/>
        <w:rPr>
          <w:b w:val="0"/>
        </w:rPr>
      </w:pPr>
      <w:r w:rsidRPr="00842481">
        <w:rPr>
          <w:b w:val="0"/>
        </w:rPr>
        <w:t>A.</w:t>
      </w:r>
      <w:r w:rsidRPr="00842481">
        <w:rPr>
          <w:b w:val="0"/>
        </w:rPr>
        <w:tab/>
      </w:r>
      <w:r w:rsidR="00FC3A19">
        <w:rPr>
          <w:b w:val="0"/>
        </w:rPr>
        <w:t xml:space="preserve">Table </w:t>
      </w:r>
      <w:r w:rsidR="00807754">
        <w:rPr>
          <w:b w:val="0"/>
        </w:rPr>
        <w:t>1</w:t>
      </w:r>
      <w:r w:rsidRPr="00842481">
        <w:rPr>
          <w:b w:val="0"/>
        </w:rPr>
        <w:t xml:space="preserve"> is based on </w:t>
      </w:r>
      <w:r w:rsidR="00495D6C" w:rsidRPr="00495D6C">
        <w:rPr>
          <w:b w:val="0"/>
        </w:rPr>
        <w:t>PacifiCorp witness Mr. Paice’s Exhibit No. ___ (CCP-2)</w:t>
      </w:r>
      <w:r w:rsidR="00807754">
        <w:rPr>
          <w:b w:val="0"/>
        </w:rPr>
        <w:t>.</w:t>
      </w:r>
      <w:r w:rsidR="00495D6C">
        <w:rPr>
          <w:b w:val="0"/>
        </w:rPr>
        <w:t xml:space="preserve"> </w:t>
      </w:r>
      <w:r w:rsidRPr="00842481">
        <w:rPr>
          <w:b w:val="0"/>
        </w:rPr>
        <w:t>The</w:t>
      </w:r>
      <w:r w:rsidR="00842481">
        <w:rPr>
          <w:b w:val="0"/>
        </w:rPr>
        <w:t xml:space="preserve"> </w:t>
      </w:r>
      <w:r w:rsidR="00495D6C">
        <w:rPr>
          <w:b w:val="0"/>
        </w:rPr>
        <w:t xml:space="preserve">only </w:t>
      </w:r>
      <w:r w:rsidR="00842481">
        <w:rPr>
          <w:b w:val="0"/>
        </w:rPr>
        <w:t xml:space="preserve">variable is the input </w:t>
      </w:r>
      <w:r w:rsidR="00283276">
        <w:rPr>
          <w:b w:val="0"/>
        </w:rPr>
        <w:t xml:space="preserve">for </w:t>
      </w:r>
      <w:r w:rsidR="00970720" w:rsidRPr="00970720">
        <w:rPr>
          <w:b w:val="0"/>
        </w:rPr>
        <w:t>“</w:t>
      </w:r>
      <w:r w:rsidR="00842481">
        <w:rPr>
          <w:b w:val="0"/>
        </w:rPr>
        <w:t>System Peak Method</w:t>
      </w:r>
      <w:r w:rsidR="003B094F">
        <w:rPr>
          <w:b w:val="0"/>
        </w:rPr>
        <w:t>”</w:t>
      </w:r>
      <w:r w:rsidR="00807754">
        <w:rPr>
          <w:b w:val="0"/>
        </w:rPr>
        <w:t>;</w:t>
      </w:r>
      <w:r w:rsidR="003B094F">
        <w:rPr>
          <w:b w:val="0"/>
        </w:rPr>
        <w:t xml:space="preserve"> </w:t>
      </w:r>
      <w:r w:rsidR="00807754" w:rsidRPr="00807754">
        <w:rPr>
          <w:b w:val="0"/>
        </w:rPr>
        <w:t xml:space="preserve">all other components of rates </w:t>
      </w:r>
      <w:r w:rsidR="00807754">
        <w:rPr>
          <w:b w:val="0"/>
        </w:rPr>
        <w:lastRenderedPageBreak/>
        <w:t xml:space="preserve">are held </w:t>
      </w:r>
      <w:r w:rsidR="00807754" w:rsidRPr="00807754">
        <w:rPr>
          <w:b w:val="0"/>
        </w:rPr>
        <w:t xml:space="preserve">constant. </w:t>
      </w:r>
      <w:r w:rsidR="003B094F">
        <w:rPr>
          <w:b w:val="0"/>
        </w:rPr>
        <w:t xml:space="preserve"> This input selects the </w:t>
      </w:r>
      <w:r w:rsidR="00E8209C">
        <w:rPr>
          <w:b w:val="0"/>
        </w:rPr>
        <w:t>W</w:t>
      </w:r>
      <w:r w:rsidR="003B094F">
        <w:rPr>
          <w:b w:val="0"/>
        </w:rPr>
        <w:t>est control area peak hours and each rate schedule</w:t>
      </w:r>
      <w:r w:rsidR="004C28BD">
        <w:rPr>
          <w:b w:val="0"/>
        </w:rPr>
        <w:t>’</w:t>
      </w:r>
      <w:r w:rsidR="003B094F">
        <w:rPr>
          <w:b w:val="0"/>
        </w:rPr>
        <w:t xml:space="preserve">s kilowatt-hour use in those hours.  </w:t>
      </w:r>
    </w:p>
    <w:p w:rsidR="006B0266" w:rsidRDefault="00807754" w:rsidP="00EB7CDA">
      <w:pPr>
        <w:pStyle w:val="Heading1"/>
        <w:keepNext w:val="0"/>
        <w:rPr>
          <w:b w:val="0"/>
        </w:rPr>
      </w:pPr>
      <w:r>
        <w:rPr>
          <w:b w:val="0"/>
        </w:rPr>
        <w:tab/>
      </w:r>
      <w:r>
        <w:rPr>
          <w:b w:val="0"/>
        </w:rPr>
        <w:tab/>
      </w:r>
      <w:r w:rsidR="003B094F">
        <w:rPr>
          <w:b w:val="0"/>
        </w:rPr>
        <w:t>For example, by choosing the input</w:t>
      </w:r>
      <w:r w:rsidR="00975895">
        <w:rPr>
          <w:b w:val="0"/>
        </w:rPr>
        <w:t xml:space="preserve"> “100 Summer/100 Winter”</w:t>
      </w:r>
      <w:r w:rsidR="00E8209C">
        <w:rPr>
          <w:b w:val="0"/>
        </w:rPr>
        <w:t>,</w:t>
      </w:r>
      <w:r w:rsidR="00975895">
        <w:rPr>
          <w:b w:val="0"/>
        </w:rPr>
        <w:t xml:space="preserve"> the model selects the highest 100 summer hours and the 100 highest winter hours, determines the total use by rate schedule in those hours, and the percentage by rate schedule.  This percentage is then applied to the demand expense to arrive at the demand cost per rate schedule.</w:t>
      </w:r>
      <w:r w:rsidR="0041077F">
        <w:rPr>
          <w:b w:val="0"/>
        </w:rPr>
        <w:t xml:space="preserve">  The other scenarios are accomplished by choosing “Coincident Peaks” and selecting the months to test.  </w:t>
      </w:r>
      <w:r w:rsidR="00DC566D">
        <w:rPr>
          <w:b w:val="0"/>
        </w:rPr>
        <w:t>My table shows the results.</w:t>
      </w:r>
    </w:p>
    <w:p w:rsidR="002A3DF9" w:rsidRDefault="002A3DF9" w:rsidP="002A3DF9">
      <w:pPr>
        <w:pStyle w:val="Heading1"/>
      </w:pPr>
    </w:p>
    <w:p w:rsidR="00B03E83" w:rsidRDefault="00283276" w:rsidP="00B03E83">
      <w:pPr>
        <w:pStyle w:val="Heading1"/>
      </w:pPr>
      <w:r>
        <w:t>Q.</w:t>
      </w:r>
      <w:r>
        <w:tab/>
        <w:t>Please explain the meaning of the data</w:t>
      </w:r>
      <w:r w:rsidR="00495D6C">
        <w:t xml:space="preserve"> shown in your exhibit</w:t>
      </w:r>
      <w:r>
        <w:t>.</w:t>
      </w:r>
    </w:p>
    <w:p w:rsidR="00283276" w:rsidRPr="006C4EBB" w:rsidRDefault="00B03E83" w:rsidP="00495D6C">
      <w:pPr>
        <w:pStyle w:val="Heading1"/>
        <w:rPr>
          <w:b w:val="0"/>
        </w:rPr>
      </w:pPr>
      <w:r w:rsidRPr="006C4EBB">
        <w:rPr>
          <w:b w:val="0"/>
        </w:rPr>
        <w:t>A.</w:t>
      </w:r>
      <w:r w:rsidRPr="006C4EBB">
        <w:rPr>
          <w:b w:val="0"/>
        </w:rPr>
        <w:tab/>
        <w:t>For each scenario</w:t>
      </w:r>
      <w:r w:rsidR="00495D6C">
        <w:rPr>
          <w:b w:val="0"/>
        </w:rPr>
        <w:t>,</w:t>
      </w:r>
      <w:r w:rsidRPr="006C4EBB">
        <w:rPr>
          <w:b w:val="0"/>
        </w:rPr>
        <w:t xml:space="preserve"> the revenues per schedule stay constant, but the total costs change</w:t>
      </w:r>
      <w:r w:rsidR="00DC566D">
        <w:rPr>
          <w:b w:val="0"/>
        </w:rPr>
        <w:t xml:space="preserve">, and the </w:t>
      </w:r>
      <w:r w:rsidRPr="006C4EBB">
        <w:rPr>
          <w:b w:val="0"/>
        </w:rPr>
        <w:t xml:space="preserve">revenue-to-cost ratio </w:t>
      </w:r>
      <w:r w:rsidR="00C64EBD">
        <w:rPr>
          <w:b w:val="0"/>
        </w:rPr>
        <w:t xml:space="preserve">(parity ratio) </w:t>
      </w:r>
      <w:r w:rsidRPr="006C4EBB">
        <w:rPr>
          <w:b w:val="0"/>
        </w:rPr>
        <w:t>reflects this change.  As the number of peak hours is restricted to the winter months</w:t>
      </w:r>
      <w:r w:rsidR="00495D6C">
        <w:rPr>
          <w:b w:val="0"/>
        </w:rPr>
        <w:t>,</w:t>
      </w:r>
      <w:r w:rsidRPr="006C4EBB">
        <w:rPr>
          <w:b w:val="0"/>
        </w:rPr>
        <w:t xml:space="preserve"> the costs shift to residential customers from industrial customers. This is shown by the parity ratio moving farther </w:t>
      </w:r>
      <w:r w:rsidR="004F0155">
        <w:rPr>
          <w:b w:val="0"/>
        </w:rPr>
        <w:t xml:space="preserve">below </w:t>
      </w:r>
      <w:r w:rsidRPr="006C4EBB">
        <w:rPr>
          <w:b w:val="0"/>
        </w:rPr>
        <w:t xml:space="preserve">1.0 for residential Schedule 16, and closer to 1.0 for the industrial </w:t>
      </w:r>
      <w:r w:rsidR="00C64EBD">
        <w:rPr>
          <w:b w:val="0"/>
        </w:rPr>
        <w:t>S</w:t>
      </w:r>
      <w:r w:rsidRPr="006C4EBB">
        <w:rPr>
          <w:b w:val="0"/>
        </w:rPr>
        <w:t>chedules 48T.</w:t>
      </w:r>
      <w:r w:rsidR="004F0155">
        <w:rPr>
          <w:b w:val="0"/>
        </w:rPr>
        <w:t xml:space="preserve">  Costs also move away from the commercial schedules</w:t>
      </w:r>
      <w:r w:rsidR="00E8209C">
        <w:rPr>
          <w:b w:val="0"/>
        </w:rPr>
        <w:t>,</w:t>
      </w:r>
      <w:r w:rsidR="004F0155">
        <w:rPr>
          <w:b w:val="0"/>
        </w:rPr>
        <w:t xml:space="preserve"> causing that class’s parity ratio to increase.</w:t>
      </w:r>
    </w:p>
    <w:p w:rsidR="00283276" w:rsidRPr="00495D6C" w:rsidRDefault="00495D6C" w:rsidP="0039298A">
      <w:pPr>
        <w:spacing w:line="480" w:lineRule="auto"/>
        <w:ind w:left="720" w:hanging="720"/>
      </w:pPr>
      <w:r>
        <w:tab/>
      </w:r>
      <w:r w:rsidRPr="00495D6C">
        <w:tab/>
        <w:t xml:space="preserve">Specifically, </w:t>
      </w:r>
      <w:r>
        <w:t>t</w:t>
      </w:r>
      <w:r w:rsidR="00283276" w:rsidRPr="00495D6C">
        <w:t>he evidence shows that as greater emphasis is placed on winter peak consumption, the residential class</w:t>
      </w:r>
      <w:r w:rsidR="002A3DF9" w:rsidRPr="00495D6C">
        <w:t xml:space="preserve"> moves further from parity</w:t>
      </w:r>
      <w:r w:rsidR="00B03E83" w:rsidRPr="00495D6C">
        <w:t>, from 0.974 to 0.921</w:t>
      </w:r>
      <w:r w:rsidR="002A3DF9" w:rsidRPr="00495D6C">
        <w:t>.</w:t>
      </w:r>
      <w:r w:rsidR="00B03E83" w:rsidRPr="00495D6C">
        <w:t xml:space="preserve">  Conversely</w:t>
      </w:r>
      <w:r w:rsidR="00DC566D">
        <w:t>,</w:t>
      </w:r>
      <w:r w:rsidR="00B03E83" w:rsidRPr="00495D6C">
        <w:t xml:space="preserve"> the industrial schedules move closer to parity, from 0.959 to 0.984.  The commercial schedules also move farther from parity</w:t>
      </w:r>
      <w:r w:rsidR="004C28BD">
        <w:t xml:space="preserve"> from 1.073 to 1.111</w:t>
      </w:r>
      <w:r w:rsidR="00B03E83" w:rsidRPr="00495D6C">
        <w:t>.</w:t>
      </w:r>
      <w:r w:rsidR="006C4EBB" w:rsidRPr="00495D6C">
        <w:t xml:space="preserve">  </w:t>
      </w:r>
      <w:r w:rsidRPr="00495D6C">
        <w:t xml:space="preserve">Note </w:t>
      </w:r>
      <w:r w:rsidR="006C4EBB" w:rsidRPr="00495D6C">
        <w:t>that Schedule 48T</w:t>
      </w:r>
      <w:r w:rsidR="00DC566D">
        <w:t xml:space="preserve"> -</w:t>
      </w:r>
      <w:r w:rsidR="006C4EBB" w:rsidRPr="00495D6C">
        <w:t xml:space="preserve"> Dedicated Facilities (ICNU’s </w:t>
      </w:r>
      <w:r w:rsidR="00DC566D">
        <w:t>member</w:t>
      </w:r>
      <w:r w:rsidR="006C4EBB" w:rsidRPr="00495D6C">
        <w:t xml:space="preserve">) </w:t>
      </w:r>
      <w:r w:rsidR="00E8209C">
        <w:t xml:space="preserve">remains </w:t>
      </w:r>
      <w:r w:rsidR="006C4EBB" w:rsidRPr="00495D6C">
        <w:t xml:space="preserve">below </w:t>
      </w:r>
      <w:r w:rsidR="006C4EBB" w:rsidRPr="00495D6C">
        <w:lastRenderedPageBreak/>
        <w:t>parity</w:t>
      </w:r>
      <w:r w:rsidR="00E8209C">
        <w:t>,</w:t>
      </w:r>
      <w:r w:rsidR="006C4EBB" w:rsidRPr="00495D6C">
        <w:t xml:space="preserve"> even under the extremely favorable condition of two peak hours in January and December.</w:t>
      </w:r>
    </w:p>
    <w:p w:rsidR="0039298A" w:rsidRPr="0039298A" w:rsidRDefault="0039298A" w:rsidP="0039298A">
      <w:pPr>
        <w:spacing w:line="480" w:lineRule="auto"/>
      </w:pPr>
    </w:p>
    <w:p w:rsidR="000634F9" w:rsidRDefault="000634F9" w:rsidP="0039298A">
      <w:pPr>
        <w:pStyle w:val="Heading1"/>
      </w:pPr>
      <w:r>
        <w:t>Q.</w:t>
      </w:r>
      <w:r>
        <w:tab/>
        <w:t xml:space="preserve">What is your conclusion on </w:t>
      </w:r>
      <w:r w:rsidR="00A25C67">
        <w:t>the cost of service study</w:t>
      </w:r>
      <w:r>
        <w:t>?</w:t>
      </w:r>
    </w:p>
    <w:p w:rsidR="000634F9" w:rsidRDefault="000634F9" w:rsidP="0039298A">
      <w:pPr>
        <w:pStyle w:val="Heading1"/>
        <w:rPr>
          <w:b w:val="0"/>
        </w:rPr>
      </w:pPr>
      <w:r w:rsidRPr="000634F9">
        <w:rPr>
          <w:b w:val="0"/>
        </w:rPr>
        <w:t>A.</w:t>
      </w:r>
      <w:r w:rsidRPr="000634F9">
        <w:rPr>
          <w:b w:val="0"/>
        </w:rPr>
        <w:tab/>
        <w:t xml:space="preserve">I conclude that </w:t>
      </w:r>
      <w:r w:rsidR="00495D6C">
        <w:rPr>
          <w:b w:val="0"/>
        </w:rPr>
        <w:t xml:space="preserve">PacifiCorp’s use </w:t>
      </w:r>
      <w:r w:rsidRPr="000634F9">
        <w:rPr>
          <w:b w:val="0"/>
        </w:rPr>
        <w:t>of 100 winter hours plus 100 summer hours</w:t>
      </w:r>
      <w:r>
        <w:rPr>
          <w:b w:val="0"/>
        </w:rPr>
        <w:t xml:space="preserve"> to measure peak use</w:t>
      </w:r>
      <w:r w:rsidRPr="000634F9">
        <w:rPr>
          <w:b w:val="0"/>
        </w:rPr>
        <w:t xml:space="preserve"> is </w:t>
      </w:r>
      <w:r w:rsidR="00E8209C">
        <w:rPr>
          <w:b w:val="0"/>
        </w:rPr>
        <w:t>reasonable, and ICNU’s 71 hour proposal is not reasonable</w:t>
      </w:r>
      <w:r w:rsidRPr="000634F9">
        <w:rPr>
          <w:b w:val="0"/>
        </w:rPr>
        <w:t>.  The</w:t>
      </w:r>
      <w:r>
        <w:rPr>
          <w:b w:val="0"/>
        </w:rPr>
        <w:t xml:space="preserve"> </w:t>
      </w:r>
      <w:r w:rsidR="00E8209C">
        <w:rPr>
          <w:b w:val="0"/>
        </w:rPr>
        <w:t xml:space="preserve">Company’s cost study </w:t>
      </w:r>
      <w:r>
        <w:rPr>
          <w:b w:val="0"/>
        </w:rPr>
        <w:t>is representative of the</w:t>
      </w:r>
      <w:r w:rsidRPr="000634F9">
        <w:rPr>
          <w:b w:val="0"/>
        </w:rPr>
        <w:t xml:space="preserve"> industrial and residential </w:t>
      </w:r>
      <w:r>
        <w:rPr>
          <w:b w:val="0"/>
        </w:rPr>
        <w:t>use of the system under peak conditions.</w:t>
      </w:r>
    </w:p>
    <w:p w:rsidR="00F00F1A" w:rsidRDefault="00F00F1A" w:rsidP="00F00F1A">
      <w:pPr>
        <w:spacing w:line="480" w:lineRule="auto"/>
      </w:pPr>
    </w:p>
    <w:p w:rsidR="00F00F1A" w:rsidRPr="00F00F1A" w:rsidRDefault="006C635C" w:rsidP="00E8209C">
      <w:pPr>
        <w:spacing w:line="480" w:lineRule="auto"/>
        <w:ind w:left="720"/>
        <w:rPr>
          <w:b/>
        </w:rPr>
      </w:pPr>
      <w:r>
        <w:rPr>
          <w:b/>
        </w:rPr>
        <w:t>B</w:t>
      </w:r>
      <w:r w:rsidR="00E8209C">
        <w:rPr>
          <w:b/>
        </w:rPr>
        <w:t>.</w:t>
      </w:r>
      <w:r w:rsidR="00E8209C">
        <w:rPr>
          <w:b/>
        </w:rPr>
        <w:tab/>
      </w:r>
      <w:r w:rsidR="00F00F1A">
        <w:rPr>
          <w:b/>
        </w:rPr>
        <w:t>Revenue Allocation</w:t>
      </w:r>
    </w:p>
    <w:p w:rsidR="00495D6C" w:rsidRDefault="00495D6C" w:rsidP="00495D6C">
      <w:pPr>
        <w:pStyle w:val="Heading1"/>
      </w:pPr>
    </w:p>
    <w:p w:rsidR="000634F9" w:rsidRDefault="000634F9" w:rsidP="00495D6C">
      <w:pPr>
        <w:pStyle w:val="Heading1"/>
      </w:pPr>
      <w:r>
        <w:t>Q.</w:t>
      </w:r>
      <w:r>
        <w:tab/>
      </w:r>
      <w:r w:rsidR="00F00F1A">
        <w:t>P</w:t>
      </w:r>
      <w:r w:rsidR="00F00F1A" w:rsidRPr="00F00F1A">
        <w:t>lease explain ICNU’s position on th</w:t>
      </w:r>
      <w:r w:rsidR="00F00F1A">
        <w:t>e</w:t>
      </w:r>
      <w:r w:rsidR="00495D6C">
        <w:t xml:space="preserve"> issue of </w:t>
      </w:r>
      <w:r>
        <w:t>revenue allocation</w:t>
      </w:r>
      <w:r w:rsidR="00F00F1A">
        <w:t>.</w:t>
      </w:r>
      <w:r>
        <w:t xml:space="preserve"> </w:t>
      </w:r>
    </w:p>
    <w:p w:rsidR="00505BBD" w:rsidRDefault="00505BBD" w:rsidP="00F00F1A">
      <w:pPr>
        <w:pStyle w:val="Heading1"/>
        <w:rPr>
          <w:b w:val="0"/>
        </w:rPr>
      </w:pPr>
      <w:r w:rsidRPr="00AE685A">
        <w:rPr>
          <w:b w:val="0"/>
        </w:rPr>
        <w:t>A.</w:t>
      </w:r>
      <w:r w:rsidRPr="00AE685A">
        <w:rPr>
          <w:b w:val="0"/>
        </w:rPr>
        <w:tab/>
      </w:r>
      <w:r w:rsidR="00495D6C">
        <w:rPr>
          <w:b w:val="0"/>
        </w:rPr>
        <w:t xml:space="preserve">ICNU </w:t>
      </w:r>
      <w:r w:rsidRPr="00AE685A">
        <w:rPr>
          <w:b w:val="0"/>
        </w:rPr>
        <w:t xml:space="preserve">supports the </w:t>
      </w:r>
      <w:r w:rsidR="00495D6C">
        <w:rPr>
          <w:b w:val="0"/>
        </w:rPr>
        <w:t>C</w:t>
      </w:r>
      <w:r w:rsidRPr="00AE685A">
        <w:rPr>
          <w:b w:val="0"/>
        </w:rPr>
        <w:t xml:space="preserve">ompany’s proposal that the </w:t>
      </w:r>
      <w:r w:rsidR="00495D6C">
        <w:rPr>
          <w:b w:val="0"/>
        </w:rPr>
        <w:t xml:space="preserve">Commission should </w:t>
      </w:r>
      <w:r w:rsidRPr="00AE685A">
        <w:rPr>
          <w:b w:val="0"/>
        </w:rPr>
        <w:t xml:space="preserve">increase all rate schedules </w:t>
      </w:r>
      <w:r w:rsidR="00495D6C">
        <w:rPr>
          <w:b w:val="0"/>
        </w:rPr>
        <w:t xml:space="preserve">on an equal percentage basis, </w:t>
      </w:r>
      <w:r w:rsidRPr="00AE685A">
        <w:rPr>
          <w:b w:val="0"/>
        </w:rPr>
        <w:t xml:space="preserve">except </w:t>
      </w:r>
      <w:r w:rsidR="00495D6C">
        <w:rPr>
          <w:b w:val="0"/>
        </w:rPr>
        <w:t xml:space="preserve">for </w:t>
      </w:r>
      <w:r w:rsidRPr="00AE685A">
        <w:rPr>
          <w:b w:val="0"/>
        </w:rPr>
        <w:t xml:space="preserve">lighting.  </w:t>
      </w:r>
      <w:r w:rsidR="00DC566D">
        <w:rPr>
          <w:b w:val="0"/>
        </w:rPr>
        <w:t>ICNU’s witness Mr. Schoenbeck supports ICNU’s position with an assertion</w:t>
      </w:r>
      <w:r w:rsidR="00495D6C">
        <w:rPr>
          <w:b w:val="0"/>
        </w:rPr>
        <w:t xml:space="preserve"> that</w:t>
      </w:r>
      <w:r w:rsidRPr="00AE685A">
        <w:rPr>
          <w:b w:val="0"/>
        </w:rPr>
        <w:t xml:space="preserve"> a range of parity ratios as great as 90 percent to 110 percent is acceptable</w:t>
      </w:r>
      <w:r w:rsidR="00F00F1A">
        <w:rPr>
          <w:rStyle w:val="FootnoteReference"/>
          <w:b w:val="0"/>
        </w:rPr>
        <w:footnoteReference w:id="10"/>
      </w:r>
      <w:r w:rsidRPr="00AE685A">
        <w:rPr>
          <w:b w:val="0"/>
        </w:rPr>
        <w:t xml:space="preserve">.  </w:t>
      </w:r>
    </w:p>
    <w:p w:rsidR="00F00F1A" w:rsidRDefault="00F00F1A" w:rsidP="00F00F1A">
      <w:pPr>
        <w:spacing w:line="480" w:lineRule="auto"/>
      </w:pPr>
    </w:p>
    <w:p w:rsidR="00F00F1A" w:rsidRDefault="00F00F1A" w:rsidP="00F00F1A">
      <w:pPr>
        <w:spacing w:line="480" w:lineRule="auto"/>
        <w:ind w:left="720" w:hanging="720"/>
        <w:rPr>
          <w:b/>
        </w:rPr>
      </w:pPr>
      <w:r>
        <w:rPr>
          <w:b/>
        </w:rPr>
        <w:t>Q.</w:t>
      </w:r>
      <w:r>
        <w:rPr>
          <w:b/>
        </w:rPr>
        <w:tab/>
      </w:r>
      <w:r w:rsidR="00DC566D">
        <w:rPr>
          <w:b/>
        </w:rPr>
        <w:t xml:space="preserve">What support </w:t>
      </w:r>
      <w:r>
        <w:rPr>
          <w:b/>
        </w:rPr>
        <w:t xml:space="preserve">does ICNU </w:t>
      </w:r>
      <w:r w:rsidR="00DC566D">
        <w:rPr>
          <w:b/>
        </w:rPr>
        <w:t xml:space="preserve">offer for </w:t>
      </w:r>
      <w:r>
        <w:rPr>
          <w:b/>
        </w:rPr>
        <w:t xml:space="preserve">its assertion that a 90 percent to 100 percent </w:t>
      </w:r>
      <w:r w:rsidR="00DC566D">
        <w:rPr>
          <w:b/>
        </w:rPr>
        <w:t xml:space="preserve">parity ratio </w:t>
      </w:r>
      <w:r>
        <w:rPr>
          <w:b/>
        </w:rPr>
        <w:t>range is acceptable?</w:t>
      </w:r>
    </w:p>
    <w:p w:rsidR="00EB7CDA" w:rsidRDefault="00F00F1A" w:rsidP="00BA1FA1">
      <w:pPr>
        <w:spacing w:line="480" w:lineRule="auto"/>
        <w:ind w:left="720" w:hanging="720"/>
      </w:pPr>
      <w:r>
        <w:t>A.</w:t>
      </w:r>
      <w:r>
        <w:tab/>
      </w:r>
      <w:r w:rsidR="00A25C67">
        <w:t>Mr. Schoenbeck states: “For example, in the past, Public Counsel has advocated that major customer classes within a parity ratio range of 90% to 110% should receive the overall average system increase.”</w:t>
      </w:r>
      <w:r>
        <w:rPr>
          <w:rStyle w:val="FootnoteReference"/>
        </w:rPr>
        <w:footnoteReference w:id="11"/>
      </w:r>
      <w:r>
        <w:t xml:space="preserve"> </w:t>
      </w:r>
      <w:r w:rsidR="00EB7CDA">
        <w:t xml:space="preserve"> </w:t>
      </w:r>
      <w:r w:rsidR="00EB7CDA">
        <w:br w:type="page"/>
      </w:r>
    </w:p>
    <w:p w:rsidR="00F00F1A" w:rsidRDefault="00F00F1A" w:rsidP="00F00F1A">
      <w:pPr>
        <w:spacing w:line="480" w:lineRule="auto"/>
        <w:ind w:left="720" w:hanging="720"/>
        <w:rPr>
          <w:b/>
        </w:rPr>
      </w:pPr>
      <w:r>
        <w:rPr>
          <w:b/>
        </w:rPr>
        <w:lastRenderedPageBreak/>
        <w:t>Q.</w:t>
      </w:r>
      <w:r>
        <w:rPr>
          <w:b/>
        </w:rPr>
        <w:tab/>
        <w:t>Is that support sufficient?</w:t>
      </w:r>
    </w:p>
    <w:p w:rsidR="00F00F1A" w:rsidRPr="00F00F1A" w:rsidRDefault="00F00F1A" w:rsidP="00F00F1A">
      <w:pPr>
        <w:spacing w:line="480" w:lineRule="auto"/>
        <w:ind w:left="720" w:hanging="720"/>
      </w:pPr>
      <w:r>
        <w:t>A.</w:t>
      </w:r>
      <w:r>
        <w:tab/>
        <w:t>No.</w:t>
      </w:r>
    </w:p>
    <w:p w:rsidR="00505BBD" w:rsidRDefault="00505BBD" w:rsidP="00F00F1A">
      <w:pPr>
        <w:pStyle w:val="Heading1"/>
      </w:pPr>
    </w:p>
    <w:p w:rsidR="00505BBD" w:rsidRDefault="00505BBD" w:rsidP="00AE685A">
      <w:pPr>
        <w:pStyle w:val="Heading1"/>
      </w:pPr>
      <w:r>
        <w:t>Q.</w:t>
      </w:r>
      <w:r>
        <w:tab/>
      </w:r>
      <w:r w:rsidR="002B69B5">
        <w:t xml:space="preserve">Have </w:t>
      </w:r>
      <w:r w:rsidR="00E35FAD">
        <w:t xml:space="preserve">PacifiCorp’s </w:t>
      </w:r>
      <w:r w:rsidR="002B69B5">
        <w:t>rate schedules moved closer to parity over the past several rate cases?</w:t>
      </w:r>
    </w:p>
    <w:p w:rsidR="00505BBD" w:rsidRDefault="00505BBD" w:rsidP="00F00F1A">
      <w:pPr>
        <w:pStyle w:val="Heading1"/>
        <w:rPr>
          <w:b w:val="0"/>
        </w:rPr>
      </w:pPr>
      <w:r w:rsidRPr="00AE685A">
        <w:rPr>
          <w:b w:val="0"/>
        </w:rPr>
        <w:t>A.</w:t>
      </w:r>
      <w:r w:rsidRPr="00AE685A">
        <w:rPr>
          <w:b w:val="0"/>
        </w:rPr>
        <w:tab/>
      </w:r>
      <w:r w:rsidR="002B69B5">
        <w:rPr>
          <w:b w:val="0"/>
        </w:rPr>
        <w:t xml:space="preserve">No.  </w:t>
      </w:r>
      <w:r w:rsidR="00DC566D">
        <w:rPr>
          <w:b w:val="0"/>
        </w:rPr>
        <w:t xml:space="preserve">My </w:t>
      </w:r>
      <w:r w:rsidR="006B0E7A">
        <w:rPr>
          <w:b w:val="0"/>
        </w:rPr>
        <w:t xml:space="preserve">Table </w:t>
      </w:r>
      <w:r w:rsidR="00DC566D">
        <w:rPr>
          <w:b w:val="0"/>
        </w:rPr>
        <w:t>2 below</w:t>
      </w:r>
      <w:r w:rsidR="006B0E7A">
        <w:rPr>
          <w:b w:val="0"/>
        </w:rPr>
        <w:t xml:space="preserve"> presents a</w:t>
      </w:r>
      <w:r w:rsidR="00DF567B">
        <w:rPr>
          <w:b w:val="0"/>
        </w:rPr>
        <w:t xml:space="preserve"> review of </w:t>
      </w:r>
      <w:r w:rsidR="00E35FAD">
        <w:rPr>
          <w:b w:val="0"/>
        </w:rPr>
        <w:t xml:space="preserve">PacifiCorp’s </w:t>
      </w:r>
      <w:r w:rsidR="00DF567B">
        <w:rPr>
          <w:b w:val="0"/>
        </w:rPr>
        <w:t xml:space="preserve">last </w:t>
      </w:r>
      <w:r w:rsidR="00E35FAD">
        <w:rPr>
          <w:b w:val="0"/>
        </w:rPr>
        <w:t xml:space="preserve">five </w:t>
      </w:r>
      <w:r w:rsidR="00DF567B">
        <w:rPr>
          <w:b w:val="0"/>
        </w:rPr>
        <w:t>general rate filings</w:t>
      </w:r>
      <w:r w:rsidR="006B0E7A">
        <w:rPr>
          <w:b w:val="0"/>
        </w:rPr>
        <w:t>.</w:t>
      </w:r>
      <w:r w:rsidR="00DF567B">
        <w:rPr>
          <w:b w:val="0"/>
        </w:rPr>
        <w:t xml:space="preserve"> </w:t>
      </w:r>
      <w:r w:rsidR="00E35FAD">
        <w:rPr>
          <w:b w:val="0"/>
        </w:rPr>
        <w:t xml:space="preserve"> </w:t>
      </w:r>
      <w:r w:rsidR="00DC566D">
        <w:rPr>
          <w:b w:val="0"/>
        </w:rPr>
        <w:t>As the table shows, i</w:t>
      </w:r>
      <w:r w:rsidR="00AE685A" w:rsidRPr="00AE685A">
        <w:rPr>
          <w:b w:val="0"/>
        </w:rPr>
        <w:t xml:space="preserve">ndustrial </w:t>
      </w:r>
      <w:r w:rsidR="00DF567B">
        <w:rPr>
          <w:b w:val="0"/>
        </w:rPr>
        <w:t xml:space="preserve">customers </w:t>
      </w:r>
      <w:r w:rsidR="006B0E7A">
        <w:rPr>
          <w:b w:val="0"/>
        </w:rPr>
        <w:t xml:space="preserve">on </w:t>
      </w:r>
      <w:r w:rsidR="00DF567B">
        <w:rPr>
          <w:b w:val="0"/>
        </w:rPr>
        <w:t>Schedule 48</w:t>
      </w:r>
      <w:r w:rsidR="006B0E7A">
        <w:rPr>
          <w:b w:val="0"/>
        </w:rPr>
        <w:t xml:space="preserve">T </w:t>
      </w:r>
      <w:r w:rsidR="00E8209C">
        <w:rPr>
          <w:b w:val="0"/>
        </w:rPr>
        <w:t xml:space="preserve">have been </w:t>
      </w:r>
      <w:r w:rsidR="006B0E7A">
        <w:rPr>
          <w:b w:val="0"/>
        </w:rPr>
        <w:t>persistently</w:t>
      </w:r>
      <w:r w:rsidR="00DF567B">
        <w:rPr>
          <w:b w:val="0"/>
        </w:rPr>
        <w:t xml:space="preserve"> below parity.</w:t>
      </w:r>
      <w:r w:rsidR="006B0E7A">
        <w:rPr>
          <w:rStyle w:val="FootnoteReference"/>
          <w:b w:val="0"/>
        </w:rPr>
        <w:footnoteReference w:id="12"/>
      </w:r>
      <w:r w:rsidR="00DF567B">
        <w:rPr>
          <w:b w:val="0"/>
        </w:rPr>
        <w:t xml:space="preserve">  </w:t>
      </w:r>
      <w:r w:rsidR="00E8209C">
        <w:rPr>
          <w:b w:val="0"/>
        </w:rPr>
        <w:t>C</w:t>
      </w:r>
      <w:r w:rsidR="00AE685A" w:rsidRPr="00AE685A">
        <w:rPr>
          <w:b w:val="0"/>
        </w:rPr>
        <w:t xml:space="preserve">ommercial customers </w:t>
      </w:r>
      <w:r w:rsidR="002B69B5">
        <w:rPr>
          <w:b w:val="0"/>
        </w:rPr>
        <w:t xml:space="preserve">remain </w:t>
      </w:r>
      <w:r w:rsidR="00DF567B">
        <w:rPr>
          <w:b w:val="0"/>
        </w:rPr>
        <w:t xml:space="preserve">at parity </w:t>
      </w:r>
      <w:r w:rsidR="00926C75">
        <w:rPr>
          <w:b w:val="0"/>
        </w:rPr>
        <w:t xml:space="preserve">ratios </w:t>
      </w:r>
      <w:r w:rsidR="00AE685A" w:rsidRPr="00AE685A">
        <w:rPr>
          <w:b w:val="0"/>
        </w:rPr>
        <w:t xml:space="preserve">greater than </w:t>
      </w:r>
      <w:r w:rsidR="00DC566D">
        <w:rPr>
          <w:b w:val="0"/>
        </w:rPr>
        <w:t>1.0</w:t>
      </w:r>
      <w:r w:rsidR="00E35FAD">
        <w:rPr>
          <w:b w:val="0"/>
        </w:rPr>
        <w:t xml:space="preserve">, </w:t>
      </w:r>
      <w:r w:rsidR="00DF567B">
        <w:rPr>
          <w:b w:val="0"/>
        </w:rPr>
        <w:t xml:space="preserve">indicating they pay more than their fair share of the total </w:t>
      </w:r>
      <w:r w:rsidR="00DC566D">
        <w:rPr>
          <w:b w:val="0"/>
        </w:rPr>
        <w:t>cost of service</w:t>
      </w:r>
      <w:r w:rsidR="00AE685A" w:rsidRPr="00AE685A">
        <w:rPr>
          <w:b w:val="0"/>
        </w:rPr>
        <w:t>.</w:t>
      </w:r>
      <w:r w:rsidR="00DF567B">
        <w:rPr>
          <w:b w:val="0"/>
        </w:rPr>
        <w:t xml:space="preserve">  </w:t>
      </w:r>
    </w:p>
    <w:p w:rsidR="00D57270" w:rsidRDefault="00D57270" w:rsidP="00C006B7">
      <w:pPr>
        <w:spacing w:line="480" w:lineRule="auto"/>
        <w:jc w:val="center"/>
      </w:pPr>
      <w:r>
        <w:t>Table 2</w:t>
      </w:r>
      <w:r>
        <w:rPr>
          <w:rStyle w:val="FootnoteReference"/>
        </w:rPr>
        <w:footnoteReference w:id="13"/>
      </w:r>
    </w:p>
    <w:p w:rsidR="00EB7CDA" w:rsidRDefault="00C006B7" w:rsidP="00504A14">
      <w:pPr>
        <w:widowControl w:val="0"/>
        <w:spacing w:line="480" w:lineRule="auto"/>
      </w:pPr>
      <w:r>
        <w:rPr>
          <w:noProof/>
        </w:rPr>
        <w:drawing>
          <wp:anchor distT="0" distB="0" distL="114300" distR="114300" simplePos="0" relativeHeight="251658240" behindDoc="1" locked="0" layoutInCell="1" allowOverlap="1">
            <wp:simplePos x="0" y="0"/>
            <wp:positionH relativeFrom="column">
              <wp:posOffset>16873</wp:posOffset>
            </wp:positionH>
            <wp:positionV relativeFrom="paragraph">
              <wp:posOffset>0</wp:posOffset>
            </wp:positionV>
            <wp:extent cx="5666558" cy="2057400"/>
            <wp:effectExtent l="19050" t="0" r="0" b="0"/>
            <wp:wrapTight wrapText="bothSides">
              <wp:wrapPolygon edited="0">
                <wp:start x="-73" y="0"/>
                <wp:lineTo x="-73" y="21200"/>
                <wp:lineTo x="21567" y="21200"/>
                <wp:lineTo x="21567" y="0"/>
                <wp:lineTo x="-7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66558" cy="2057400"/>
                    </a:xfrm>
                    <a:prstGeom prst="rect">
                      <a:avLst/>
                    </a:prstGeom>
                    <a:noFill/>
                    <a:ln w="9525">
                      <a:noFill/>
                      <a:miter lim="800000"/>
                      <a:headEnd/>
                      <a:tailEnd/>
                    </a:ln>
                  </pic:spPr>
                </pic:pic>
              </a:graphicData>
            </a:graphic>
          </wp:anchor>
        </w:drawing>
      </w:r>
    </w:p>
    <w:p w:rsidR="00504A14" w:rsidRDefault="00504A14" w:rsidP="00504A14">
      <w:pPr>
        <w:widowControl w:val="0"/>
        <w:spacing w:line="480" w:lineRule="auto"/>
      </w:pPr>
    </w:p>
    <w:p w:rsidR="00504A14" w:rsidRDefault="00504A14" w:rsidP="00504A14">
      <w:pPr>
        <w:widowControl w:val="0"/>
        <w:spacing w:line="480" w:lineRule="auto"/>
      </w:pPr>
    </w:p>
    <w:p w:rsidR="00504A14" w:rsidRPr="00EB7CDA" w:rsidRDefault="00504A14" w:rsidP="00504A14">
      <w:pPr>
        <w:widowControl w:val="0"/>
        <w:spacing w:line="480" w:lineRule="auto"/>
      </w:pPr>
    </w:p>
    <w:p w:rsidR="00AE685A" w:rsidRDefault="00AE685A" w:rsidP="00F00F1A">
      <w:pPr>
        <w:pStyle w:val="Heading1"/>
      </w:pPr>
      <w:r>
        <w:lastRenderedPageBreak/>
        <w:t>Q.</w:t>
      </w:r>
      <w:r>
        <w:tab/>
      </w:r>
      <w:r w:rsidR="002B69B5">
        <w:t>Is it reasonable for the Commission to require further movement toward parity</w:t>
      </w:r>
      <w:r w:rsidR="00E35FAD">
        <w:t>?</w:t>
      </w:r>
    </w:p>
    <w:p w:rsidR="002642D5" w:rsidRDefault="00AE685A" w:rsidP="00EB7CDA">
      <w:pPr>
        <w:pStyle w:val="Heading1"/>
        <w:keepNext w:val="0"/>
        <w:rPr>
          <w:b w:val="0"/>
        </w:rPr>
      </w:pPr>
      <w:r w:rsidRPr="00F54589">
        <w:rPr>
          <w:b w:val="0"/>
        </w:rPr>
        <w:t>A.</w:t>
      </w:r>
      <w:r w:rsidRPr="00F54589">
        <w:rPr>
          <w:b w:val="0"/>
        </w:rPr>
        <w:tab/>
      </w:r>
      <w:r w:rsidR="002B69B5">
        <w:rPr>
          <w:b w:val="0"/>
        </w:rPr>
        <w:t>Yes.</w:t>
      </w:r>
      <w:r w:rsidR="00F723EF">
        <w:rPr>
          <w:b w:val="0"/>
        </w:rPr>
        <w:t xml:space="preserve"> </w:t>
      </w:r>
      <w:r w:rsidR="00DC566D">
        <w:rPr>
          <w:b w:val="0"/>
        </w:rPr>
        <w:t xml:space="preserve"> </w:t>
      </w:r>
      <w:r w:rsidR="00F723EF">
        <w:rPr>
          <w:b w:val="0"/>
        </w:rPr>
        <w:t xml:space="preserve">Staff recognizes the cost of service study includes various choices of input assumptions, and a consequent variety of possible outcomes.  </w:t>
      </w:r>
      <w:r w:rsidR="00DC566D">
        <w:rPr>
          <w:b w:val="0"/>
        </w:rPr>
        <w:t xml:space="preserve">Staff also recognizes that cost of service is not the only consideration in determining an appropriate rate spread.  However, </w:t>
      </w:r>
      <w:r w:rsidR="00F723EF">
        <w:rPr>
          <w:b w:val="0"/>
        </w:rPr>
        <w:t>a</w:t>
      </w:r>
      <w:r w:rsidR="002B69B5">
        <w:rPr>
          <w:b w:val="0"/>
        </w:rPr>
        <w:t xml:space="preserve"> range of ten percent above or below pa</w:t>
      </w:r>
      <w:r w:rsidR="00D63806">
        <w:rPr>
          <w:b w:val="0"/>
        </w:rPr>
        <w:t xml:space="preserve">rity </w:t>
      </w:r>
      <w:r w:rsidR="00F723EF">
        <w:rPr>
          <w:b w:val="0"/>
        </w:rPr>
        <w:t>allows for certain customers to either persistently benefit or suffer without meaningful movement towards a fair sharing of the system costs.</w:t>
      </w:r>
      <w:r w:rsidR="00C64EBD">
        <w:rPr>
          <w:b w:val="0"/>
        </w:rPr>
        <w:t xml:space="preserve">  </w:t>
      </w:r>
    </w:p>
    <w:p w:rsidR="00C64EBD" w:rsidRDefault="002642D5" w:rsidP="00EB7CDA">
      <w:pPr>
        <w:pStyle w:val="Heading1"/>
        <w:keepNext w:val="0"/>
        <w:rPr>
          <w:b w:val="0"/>
        </w:rPr>
      </w:pPr>
      <w:r>
        <w:rPr>
          <w:b w:val="0"/>
        </w:rPr>
        <w:tab/>
      </w:r>
      <w:r>
        <w:rPr>
          <w:b w:val="0"/>
        </w:rPr>
        <w:tab/>
        <w:t xml:space="preserve">Moreover, </w:t>
      </w:r>
      <w:r w:rsidR="00A25C67">
        <w:rPr>
          <w:b w:val="0"/>
        </w:rPr>
        <w:t>starting with the present rate case</w:t>
      </w:r>
      <w:r w:rsidR="00C64EBD">
        <w:rPr>
          <w:b w:val="0"/>
        </w:rPr>
        <w:t xml:space="preserve">, the Company’s cost of service study </w:t>
      </w:r>
      <w:r w:rsidR="00A25C67">
        <w:rPr>
          <w:b w:val="0"/>
        </w:rPr>
        <w:t>improves</w:t>
      </w:r>
      <w:r w:rsidR="00C64EBD">
        <w:rPr>
          <w:b w:val="0"/>
        </w:rPr>
        <w:t xml:space="preserve"> the way </w:t>
      </w:r>
      <w:r w:rsidR="00A25C67">
        <w:rPr>
          <w:b w:val="0"/>
        </w:rPr>
        <w:t xml:space="preserve">generation cost is allocated between </w:t>
      </w:r>
      <w:r w:rsidR="00C64EBD">
        <w:rPr>
          <w:b w:val="0"/>
        </w:rPr>
        <w:t xml:space="preserve">demand </w:t>
      </w:r>
      <w:r w:rsidR="00A25C67">
        <w:rPr>
          <w:b w:val="0"/>
        </w:rPr>
        <w:t>and energy.</w:t>
      </w:r>
      <w:r w:rsidR="00C64EBD">
        <w:rPr>
          <w:b w:val="0"/>
        </w:rPr>
        <w:t xml:space="preserve">  If an equal percentage rate spread is </w:t>
      </w:r>
      <w:r>
        <w:rPr>
          <w:b w:val="0"/>
        </w:rPr>
        <w:t xml:space="preserve">once again </w:t>
      </w:r>
      <w:r w:rsidR="00C64EBD">
        <w:rPr>
          <w:b w:val="0"/>
        </w:rPr>
        <w:t xml:space="preserve">imposed, that </w:t>
      </w:r>
      <w:r w:rsidR="008E00E7">
        <w:rPr>
          <w:b w:val="0"/>
        </w:rPr>
        <w:t xml:space="preserve">improvement would be lost.  </w:t>
      </w:r>
    </w:p>
    <w:p w:rsidR="00AE685A" w:rsidRPr="00F54589" w:rsidRDefault="00C64EBD" w:rsidP="00EB7CDA">
      <w:pPr>
        <w:pStyle w:val="Heading1"/>
        <w:keepNext w:val="0"/>
        <w:rPr>
          <w:b w:val="0"/>
        </w:rPr>
      </w:pPr>
      <w:r>
        <w:rPr>
          <w:b w:val="0"/>
        </w:rPr>
        <w:t xml:space="preserve"> </w:t>
      </w:r>
    </w:p>
    <w:p w:rsidR="00AE685A" w:rsidRDefault="00AE685A" w:rsidP="00EB7CDA">
      <w:pPr>
        <w:pStyle w:val="Heading1"/>
        <w:keepNext w:val="0"/>
      </w:pPr>
      <w:r>
        <w:t>Q.</w:t>
      </w:r>
      <w:r>
        <w:tab/>
        <w:t xml:space="preserve">What </w:t>
      </w:r>
      <w:r w:rsidR="00F00F1A">
        <w:t>does Staff recommend</w:t>
      </w:r>
      <w:r>
        <w:t>?</w:t>
      </w:r>
    </w:p>
    <w:p w:rsidR="004F7BD8" w:rsidRDefault="00AE685A" w:rsidP="00EB7CDA">
      <w:pPr>
        <w:pStyle w:val="Heading1"/>
        <w:keepNext w:val="0"/>
        <w:rPr>
          <w:b w:val="0"/>
        </w:rPr>
      </w:pPr>
      <w:r w:rsidRPr="00F54589">
        <w:rPr>
          <w:b w:val="0"/>
        </w:rPr>
        <w:t>A.</w:t>
      </w:r>
      <w:r w:rsidRPr="00F54589">
        <w:rPr>
          <w:b w:val="0"/>
        </w:rPr>
        <w:tab/>
      </w:r>
      <w:r w:rsidR="004F3468">
        <w:rPr>
          <w:b w:val="0"/>
        </w:rPr>
        <w:t xml:space="preserve">Staff recommends </w:t>
      </w:r>
      <w:r w:rsidR="00DC566D">
        <w:rPr>
          <w:b w:val="0"/>
        </w:rPr>
        <w:t xml:space="preserve">the Commission </w:t>
      </w:r>
      <w:r w:rsidR="00917AFD">
        <w:rPr>
          <w:b w:val="0"/>
        </w:rPr>
        <w:t>move</w:t>
      </w:r>
      <w:r w:rsidR="004F3468">
        <w:rPr>
          <w:b w:val="0"/>
        </w:rPr>
        <w:t xml:space="preserve"> </w:t>
      </w:r>
      <w:r w:rsidR="00DC566D">
        <w:rPr>
          <w:b w:val="0"/>
        </w:rPr>
        <w:t xml:space="preserve">PacifiCorp </w:t>
      </w:r>
      <w:r w:rsidR="004F3468">
        <w:rPr>
          <w:b w:val="0"/>
        </w:rPr>
        <w:t xml:space="preserve">rate schedules </w:t>
      </w:r>
      <w:r w:rsidR="00917AFD">
        <w:rPr>
          <w:b w:val="0"/>
        </w:rPr>
        <w:t xml:space="preserve">toward </w:t>
      </w:r>
      <w:r w:rsidR="004F3468">
        <w:rPr>
          <w:b w:val="0"/>
        </w:rPr>
        <w:t>parity</w:t>
      </w:r>
      <w:r w:rsidR="00E35FAD">
        <w:rPr>
          <w:b w:val="0"/>
        </w:rPr>
        <w:t xml:space="preserve">, </w:t>
      </w:r>
      <w:r w:rsidR="00917AFD">
        <w:rPr>
          <w:b w:val="0"/>
        </w:rPr>
        <w:t xml:space="preserve">i.e., </w:t>
      </w:r>
      <w:r w:rsidR="00E35FAD">
        <w:rPr>
          <w:b w:val="0"/>
        </w:rPr>
        <w:t>1.0</w:t>
      </w:r>
      <w:r w:rsidR="004F3468">
        <w:rPr>
          <w:b w:val="0"/>
        </w:rPr>
        <w:t xml:space="preserve">.  </w:t>
      </w:r>
      <w:r w:rsidR="00F00F1A">
        <w:rPr>
          <w:b w:val="0"/>
        </w:rPr>
        <w:t xml:space="preserve">Based on Staff’s recommended 10.97 percent overall revenue increase, the Commission should </w:t>
      </w:r>
      <w:r w:rsidRPr="00F54589">
        <w:rPr>
          <w:b w:val="0"/>
        </w:rPr>
        <w:t xml:space="preserve">increase rates to the residential and industrial schedules by </w:t>
      </w:r>
      <w:r w:rsidR="00F00F1A">
        <w:rPr>
          <w:b w:val="0"/>
        </w:rPr>
        <w:t xml:space="preserve">a greater than average </w:t>
      </w:r>
      <w:r w:rsidRPr="00F54589">
        <w:rPr>
          <w:b w:val="0"/>
        </w:rPr>
        <w:t xml:space="preserve">12.5 </w:t>
      </w:r>
      <w:r w:rsidR="00F54589" w:rsidRPr="00F54589">
        <w:rPr>
          <w:b w:val="0"/>
        </w:rPr>
        <w:t>percent</w:t>
      </w:r>
      <w:r w:rsidR="00F00F1A">
        <w:rPr>
          <w:b w:val="0"/>
        </w:rPr>
        <w:t>,</w:t>
      </w:r>
      <w:r w:rsidR="00F54589" w:rsidRPr="00F54589">
        <w:rPr>
          <w:b w:val="0"/>
        </w:rPr>
        <w:t xml:space="preserve"> and </w:t>
      </w:r>
      <w:r w:rsidR="00F00F1A">
        <w:rPr>
          <w:b w:val="0"/>
        </w:rPr>
        <w:t xml:space="preserve">give </w:t>
      </w:r>
      <w:r w:rsidR="00F54589" w:rsidRPr="00F54589">
        <w:rPr>
          <w:b w:val="0"/>
        </w:rPr>
        <w:t>commercial schedules a less than average increase of just over nine percent.  For the lighting schedules</w:t>
      </w:r>
      <w:r w:rsidR="00F00F1A">
        <w:rPr>
          <w:b w:val="0"/>
        </w:rPr>
        <w:t>,</w:t>
      </w:r>
      <w:r w:rsidR="00F54589" w:rsidRPr="00F54589">
        <w:rPr>
          <w:b w:val="0"/>
        </w:rPr>
        <w:t xml:space="preserve"> </w:t>
      </w:r>
      <w:r w:rsidR="00DC566D">
        <w:rPr>
          <w:b w:val="0"/>
        </w:rPr>
        <w:t xml:space="preserve">the Commission should impose only </w:t>
      </w:r>
      <w:r w:rsidR="00F54589" w:rsidRPr="00F54589">
        <w:rPr>
          <w:b w:val="0"/>
        </w:rPr>
        <w:t>a slight increase.</w:t>
      </w:r>
      <w:r w:rsidR="004F3468">
        <w:rPr>
          <w:b w:val="0"/>
        </w:rPr>
        <w:t xml:space="preserve">  Commission acceptance of this rate structuring will move classes towards a </w:t>
      </w:r>
      <w:r w:rsidR="00B51515">
        <w:rPr>
          <w:b w:val="0"/>
        </w:rPr>
        <w:t>fairer</w:t>
      </w:r>
      <w:r w:rsidR="004F3468">
        <w:rPr>
          <w:b w:val="0"/>
        </w:rPr>
        <w:t xml:space="preserve"> sharing of system costs.</w:t>
      </w:r>
      <w:r w:rsidR="004F7BD8">
        <w:rPr>
          <w:b w:val="0"/>
        </w:rPr>
        <w:t xml:space="preserve">  </w:t>
      </w:r>
    </w:p>
    <w:p w:rsidR="004F7BD8" w:rsidRDefault="004F7BD8" w:rsidP="00EB7CDA">
      <w:pPr>
        <w:pStyle w:val="Heading1"/>
        <w:keepNext w:val="0"/>
        <w:rPr>
          <w:b w:val="0"/>
        </w:rPr>
      </w:pPr>
    </w:p>
    <w:p w:rsidR="004F7BD8" w:rsidRPr="004D1BEC" w:rsidRDefault="004F7BD8" w:rsidP="00EB7CDA">
      <w:pPr>
        <w:pStyle w:val="Heading1"/>
        <w:keepNext w:val="0"/>
      </w:pPr>
      <w:r w:rsidRPr="004D1BEC">
        <w:lastRenderedPageBreak/>
        <w:t>Q.</w:t>
      </w:r>
      <w:r w:rsidRPr="004D1BEC">
        <w:tab/>
        <w:t>Does Staff’s proposed revenue allocation move the rate schedules closer to parity?</w:t>
      </w:r>
    </w:p>
    <w:p w:rsidR="00AE685A" w:rsidRPr="00F54589" w:rsidRDefault="004F7BD8" w:rsidP="00EB7CDA">
      <w:pPr>
        <w:pStyle w:val="Heading1"/>
        <w:keepNext w:val="0"/>
        <w:rPr>
          <w:b w:val="0"/>
        </w:rPr>
      </w:pPr>
      <w:r>
        <w:rPr>
          <w:b w:val="0"/>
        </w:rPr>
        <w:t>A.</w:t>
      </w:r>
      <w:r>
        <w:rPr>
          <w:b w:val="0"/>
        </w:rPr>
        <w:tab/>
        <w:t xml:space="preserve">Yes. </w:t>
      </w:r>
      <w:r w:rsidR="004D1BEC">
        <w:rPr>
          <w:b w:val="0"/>
        </w:rPr>
        <w:t xml:space="preserve"> </w:t>
      </w:r>
      <w:r>
        <w:rPr>
          <w:b w:val="0"/>
        </w:rPr>
        <w:t>My Exhibit No. ___ (TES-3) shows this movement in Column P.  If the Commission accepts Staff’s proposal, the rate schedules will be in a range of 1.05 to .97</w:t>
      </w:r>
      <w:r w:rsidR="00D529BA">
        <w:rPr>
          <w:b w:val="0"/>
        </w:rPr>
        <w:t>,</w:t>
      </w:r>
      <w:r>
        <w:rPr>
          <w:b w:val="0"/>
        </w:rPr>
        <w:t xml:space="preserve"> with the exception of the lighting schedules</w:t>
      </w:r>
      <w:r w:rsidR="00D529BA">
        <w:rPr>
          <w:b w:val="0"/>
        </w:rPr>
        <w:t>,</w:t>
      </w:r>
      <w:r>
        <w:rPr>
          <w:b w:val="0"/>
        </w:rPr>
        <w:t xml:space="preserve"> which move to a parity ratio of 1.09.  </w:t>
      </w:r>
      <w:r w:rsidR="002E2BC0">
        <w:rPr>
          <w:b w:val="0"/>
        </w:rPr>
        <w:t xml:space="preserve">Overall, each rate schedule moves about one-half of the way towards parity.  </w:t>
      </w:r>
      <w:r>
        <w:rPr>
          <w:b w:val="0"/>
        </w:rPr>
        <w:t xml:space="preserve">Staff’s proposed revenue allocations </w:t>
      </w:r>
      <w:r w:rsidR="004D1BEC">
        <w:rPr>
          <w:b w:val="0"/>
        </w:rPr>
        <w:t xml:space="preserve">reach a fair and reasonable </w:t>
      </w:r>
      <w:r>
        <w:rPr>
          <w:b w:val="0"/>
        </w:rPr>
        <w:t>result</w:t>
      </w:r>
      <w:r w:rsidR="004D1BEC">
        <w:rPr>
          <w:b w:val="0"/>
        </w:rPr>
        <w:t>.</w:t>
      </w:r>
    </w:p>
    <w:p w:rsidR="00C27AD8" w:rsidRDefault="00C27AD8" w:rsidP="00C27AD8">
      <w:pPr>
        <w:pStyle w:val="BodyTextIndent"/>
        <w:rPr>
          <w:b/>
        </w:rPr>
      </w:pPr>
    </w:p>
    <w:p w:rsidR="00C27AD8" w:rsidRDefault="00EB7CDA" w:rsidP="00C27AD8">
      <w:pPr>
        <w:pStyle w:val="BodyTextIndent"/>
        <w:jc w:val="center"/>
        <w:rPr>
          <w:b/>
        </w:rPr>
      </w:pPr>
      <w:r>
        <w:rPr>
          <w:b/>
        </w:rPr>
        <w:t>I</w:t>
      </w:r>
      <w:r w:rsidR="00C27AD8" w:rsidRPr="00A45EBB">
        <w:rPr>
          <w:b/>
        </w:rPr>
        <w:t>V.</w:t>
      </w:r>
      <w:r w:rsidR="009A2862">
        <w:rPr>
          <w:b/>
        </w:rPr>
        <w:tab/>
      </w:r>
      <w:r w:rsidR="00C27AD8" w:rsidRPr="00A45EBB">
        <w:rPr>
          <w:b/>
        </w:rPr>
        <w:t>RATE DESIGN</w:t>
      </w:r>
    </w:p>
    <w:p w:rsidR="009A4758" w:rsidRDefault="009A4758" w:rsidP="009A4758">
      <w:pPr>
        <w:pStyle w:val="BodyTextIndent"/>
        <w:rPr>
          <w:b/>
        </w:rPr>
      </w:pPr>
    </w:p>
    <w:p w:rsidR="0057208C" w:rsidRDefault="00F20AAF" w:rsidP="00D658BF">
      <w:pPr>
        <w:pStyle w:val="Heading1"/>
      </w:pPr>
      <w:r w:rsidRPr="00F20AAF">
        <w:t xml:space="preserve"> </w:t>
      </w:r>
      <w:r>
        <w:t>Q.</w:t>
      </w:r>
      <w:r>
        <w:tab/>
      </w:r>
      <w:r w:rsidR="00435DD7">
        <w:t xml:space="preserve"> </w:t>
      </w:r>
      <w:r w:rsidR="000500A4">
        <w:t xml:space="preserve">Please summarize </w:t>
      </w:r>
      <w:r w:rsidR="0057208C">
        <w:t>The Energy Project</w:t>
      </w:r>
      <w:r w:rsidR="000500A4">
        <w:t>’s</w:t>
      </w:r>
      <w:r w:rsidR="0057208C">
        <w:t xml:space="preserve"> </w:t>
      </w:r>
      <w:r w:rsidR="00DC566D">
        <w:t xml:space="preserve">position </w:t>
      </w:r>
      <w:r w:rsidR="0057208C">
        <w:t>on rate design</w:t>
      </w:r>
      <w:r w:rsidR="000500A4">
        <w:t>.</w:t>
      </w:r>
    </w:p>
    <w:p w:rsidR="0057208C" w:rsidRDefault="0057208C" w:rsidP="008E6FF7">
      <w:pPr>
        <w:pStyle w:val="BodyTextIndent"/>
      </w:pPr>
      <w:r w:rsidRPr="00DC566D">
        <w:t>A.</w:t>
      </w:r>
      <w:r>
        <w:tab/>
      </w:r>
      <w:r w:rsidR="00DC566D">
        <w:t>The Energy Project</w:t>
      </w:r>
      <w:r>
        <w:t xml:space="preserve"> recommends there be no increase to the </w:t>
      </w:r>
      <w:r w:rsidR="00917AFD">
        <w:t xml:space="preserve">current $6.00 </w:t>
      </w:r>
      <w:r>
        <w:t>residential basic charge</w:t>
      </w:r>
      <w:r w:rsidR="00D658BF">
        <w:t>.</w:t>
      </w:r>
      <w:r>
        <w:t xml:space="preserve">  </w:t>
      </w:r>
      <w:r w:rsidR="00DC566D">
        <w:t xml:space="preserve">The Energy Project’s witness </w:t>
      </w:r>
      <w:r w:rsidR="00D658BF">
        <w:t xml:space="preserve">Mr. Eberdt presents some general theories </w:t>
      </w:r>
      <w:r>
        <w:t>on price incentives and conservation</w:t>
      </w:r>
      <w:r w:rsidR="00D658BF">
        <w:t xml:space="preserve"> as </w:t>
      </w:r>
      <w:r w:rsidR="00DC566D">
        <w:t>the</w:t>
      </w:r>
      <w:r w:rsidR="00D658BF">
        <w:t xml:space="preserve"> rational</w:t>
      </w:r>
      <w:r w:rsidR="000500A4">
        <w:t>e</w:t>
      </w:r>
      <w:r w:rsidR="00D658BF">
        <w:t xml:space="preserve"> to retain the current basic charge.  </w:t>
      </w:r>
      <w:r w:rsidR="00AE2A91">
        <w:t xml:space="preserve">He considers an increase to the basic charge and </w:t>
      </w:r>
      <w:r w:rsidR="007F16CA">
        <w:t>a</w:t>
      </w:r>
      <w:r w:rsidR="00AE2A91">
        <w:t xml:space="preserve"> decrease to the </w:t>
      </w:r>
      <w:r w:rsidR="007F16CA">
        <w:t>volumetric charge “renders the whole point of conservation meaningless.”</w:t>
      </w:r>
      <w:r w:rsidR="00AE2A91">
        <w:t xml:space="preserve"> </w:t>
      </w:r>
      <w:r w:rsidR="00D658BF">
        <w:t xml:space="preserve">He also cites a </w:t>
      </w:r>
      <w:r w:rsidR="000500A4">
        <w:t xml:space="preserve">Commission decision in </w:t>
      </w:r>
      <w:r w:rsidR="000500A4" w:rsidRPr="000500A4">
        <w:t>Docket UG-901459</w:t>
      </w:r>
      <w:r w:rsidR="000500A4">
        <w:t xml:space="preserve">, a </w:t>
      </w:r>
      <w:r w:rsidR="00D658BF">
        <w:t>1990 Washington Water Power Company gas case</w:t>
      </w:r>
      <w:r w:rsidR="000500A4">
        <w:t>,</w:t>
      </w:r>
      <w:r w:rsidR="00D658BF">
        <w:t xml:space="preserve"> as Commission support for his </w:t>
      </w:r>
      <w:r w:rsidR="000500A4">
        <w:t>position</w:t>
      </w:r>
      <w:r w:rsidR="00D658BF">
        <w:t>.</w:t>
      </w:r>
      <w:r w:rsidR="000500A4">
        <w:rPr>
          <w:rStyle w:val="FootnoteReference"/>
        </w:rPr>
        <w:footnoteReference w:id="14"/>
      </w:r>
    </w:p>
    <w:p w:rsidR="0057208C" w:rsidRDefault="0057208C" w:rsidP="008E6FF7">
      <w:pPr>
        <w:pStyle w:val="BodyTextIndent"/>
      </w:pPr>
    </w:p>
    <w:p w:rsidR="00D658BF" w:rsidRDefault="0057208C" w:rsidP="00AE4478">
      <w:pPr>
        <w:pStyle w:val="Heading1"/>
      </w:pPr>
      <w:r>
        <w:t>Q.</w:t>
      </w:r>
      <w:r>
        <w:tab/>
      </w:r>
      <w:r w:rsidR="000500A4">
        <w:t>Does The Energy Project provide any empirical support for its claims about price incentives and conservation?</w:t>
      </w:r>
      <w:r>
        <w:t xml:space="preserve"> </w:t>
      </w:r>
    </w:p>
    <w:p w:rsidR="000500A4" w:rsidRDefault="00D658BF" w:rsidP="008E6FF7">
      <w:pPr>
        <w:pStyle w:val="BodyTextIndent"/>
      </w:pPr>
      <w:r>
        <w:t>A.</w:t>
      </w:r>
      <w:r>
        <w:tab/>
      </w:r>
      <w:r w:rsidR="000500A4">
        <w:t xml:space="preserve">No. </w:t>
      </w:r>
    </w:p>
    <w:p w:rsidR="000500A4" w:rsidRDefault="000500A4" w:rsidP="008E6FF7">
      <w:pPr>
        <w:pStyle w:val="BodyTextIndent"/>
      </w:pPr>
    </w:p>
    <w:p w:rsidR="000500A4" w:rsidRPr="000500A4" w:rsidRDefault="000500A4" w:rsidP="008E6FF7">
      <w:pPr>
        <w:pStyle w:val="BodyTextIndent"/>
        <w:rPr>
          <w:b/>
        </w:rPr>
      </w:pPr>
      <w:r>
        <w:rPr>
          <w:b/>
        </w:rPr>
        <w:lastRenderedPageBreak/>
        <w:t>Q.</w:t>
      </w:r>
      <w:r>
        <w:rPr>
          <w:b/>
        </w:rPr>
        <w:tab/>
        <w:t xml:space="preserve">Does the empirical evidence </w:t>
      </w:r>
      <w:r w:rsidR="00396D7D">
        <w:rPr>
          <w:b/>
        </w:rPr>
        <w:t xml:space="preserve">support The Energy Project’s claim </w:t>
      </w:r>
      <w:r>
        <w:rPr>
          <w:b/>
        </w:rPr>
        <w:t xml:space="preserve">that </w:t>
      </w:r>
      <w:r w:rsidRPr="000500A4">
        <w:rPr>
          <w:b/>
        </w:rPr>
        <w:t>an increase to the basic charge and a decrease to the volumetric charge “renders the whole point of conservation meaningless”</w:t>
      </w:r>
      <w:r>
        <w:rPr>
          <w:b/>
        </w:rPr>
        <w:t>?</w:t>
      </w:r>
    </w:p>
    <w:p w:rsidR="002642D5" w:rsidRDefault="000500A4" w:rsidP="008E6FF7">
      <w:pPr>
        <w:pStyle w:val="BodyTextIndent"/>
      </w:pPr>
      <w:r>
        <w:t>A.</w:t>
      </w:r>
      <w:r>
        <w:tab/>
        <w:t xml:space="preserve">No.  </w:t>
      </w:r>
      <w:r w:rsidR="00A20618">
        <w:t xml:space="preserve">For example, </w:t>
      </w:r>
      <w:r w:rsidR="00B52356">
        <w:t>PacifiCorp</w:t>
      </w:r>
      <w:r w:rsidR="00B52356" w:rsidRPr="000500A4">
        <w:t xml:space="preserve"> </w:t>
      </w:r>
      <w:r w:rsidRPr="000500A4">
        <w:t>proposes a basic charge of $</w:t>
      </w:r>
      <w:r w:rsidR="00B52356">
        <w:t>9.00</w:t>
      </w:r>
      <w:r w:rsidR="00D529BA">
        <w:t>;</w:t>
      </w:r>
      <w:r w:rsidRPr="000500A4">
        <w:t xml:space="preserve"> up from </w:t>
      </w:r>
      <w:r w:rsidR="00B52356">
        <w:t xml:space="preserve">the </w:t>
      </w:r>
      <w:r w:rsidRPr="000500A4">
        <w:t xml:space="preserve">current </w:t>
      </w:r>
      <w:r>
        <w:t>charge</w:t>
      </w:r>
      <w:r w:rsidRPr="000500A4">
        <w:t xml:space="preserve"> of $6.00.  </w:t>
      </w:r>
      <w:r w:rsidR="00B52356">
        <w:t>With a $9.00 basic charge, t</w:t>
      </w:r>
      <w:r w:rsidRPr="000500A4">
        <w:t xml:space="preserve">he rate for the second block (the tail block) </w:t>
      </w:r>
      <w:r w:rsidR="00396D7D">
        <w:t xml:space="preserve">would be </w:t>
      </w:r>
      <w:r w:rsidRPr="000500A4">
        <w:t>9.</w:t>
      </w:r>
      <w:r w:rsidR="00B52356">
        <w:t>735</w:t>
      </w:r>
      <w:r w:rsidRPr="000500A4">
        <w:t xml:space="preserve"> cents per kilowatt-hour (k</w:t>
      </w:r>
      <w:r>
        <w:t>W</w:t>
      </w:r>
      <w:r w:rsidRPr="000500A4">
        <w:t xml:space="preserve">h).  </w:t>
      </w:r>
      <w:r w:rsidR="00396D7D">
        <w:t>By contrast, if</w:t>
      </w:r>
      <w:r w:rsidRPr="000500A4">
        <w:t xml:space="preserve"> the </w:t>
      </w:r>
      <w:r w:rsidR="00D529BA">
        <w:t xml:space="preserve">Commission maintained the </w:t>
      </w:r>
      <w:r w:rsidRPr="000500A4">
        <w:t xml:space="preserve">basic charge at $6.00, the tail block rate would increase to </w:t>
      </w:r>
      <w:r w:rsidR="00B52356">
        <w:t>10.006</w:t>
      </w:r>
      <w:r w:rsidRPr="000500A4">
        <w:t xml:space="preserve"> cents</w:t>
      </w:r>
      <w:r>
        <w:t xml:space="preserve">; a difference </w:t>
      </w:r>
      <w:r w:rsidR="00D529BA">
        <w:t xml:space="preserve">in tail block rates </w:t>
      </w:r>
      <w:r>
        <w:t xml:space="preserve">of only </w:t>
      </w:r>
      <w:r w:rsidR="004D1BEC">
        <w:t>0</w:t>
      </w:r>
      <w:r>
        <w:t>.</w:t>
      </w:r>
      <w:r w:rsidR="00B52356">
        <w:t xml:space="preserve">271 </w:t>
      </w:r>
      <w:r>
        <w:t>cents per kWh.</w:t>
      </w:r>
      <w:r w:rsidRPr="000500A4">
        <w:t xml:space="preserve">  </w:t>
      </w:r>
    </w:p>
    <w:p w:rsidR="00B52356" w:rsidRDefault="00B52356" w:rsidP="008E6FF7">
      <w:pPr>
        <w:pStyle w:val="BodyTextIndent"/>
      </w:pPr>
    </w:p>
    <w:p w:rsidR="00431779" w:rsidRDefault="00B52356">
      <w:pPr>
        <w:pStyle w:val="Heading1"/>
      </w:pPr>
      <w:r>
        <w:t>Q.</w:t>
      </w:r>
      <w:r>
        <w:tab/>
        <w:t>What is the comparison of the tail block rates with Staff’s proposed revenue increase and basic charge?</w:t>
      </w:r>
    </w:p>
    <w:p w:rsidR="00B52356" w:rsidRDefault="00B52356" w:rsidP="00B52356">
      <w:pPr>
        <w:pStyle w:val="BodyTextIndent"/>
      </w:pPr>
      <w:r>
        <w:t>A.</w:t>
      </w:r>
      <w:r>
        <w:tab/>
      </w:r>
      <w:r w:rsidRPr="000500A4">
        <w:t>Staff proposes a basic charge of $7.50</w:t>
      </w:r>
      <w:r>
        <w:t>;</w:t>
      </w:r>
      <w:r w:rsidRPr="000500A4">
        <w:t xml:space="preserve"> up from </w:t>
      </w:r>
      <w:r>
        <w:t xml:space="preserve">PacifiCorp’s </w:t>
      </w:r>
      <w:r w:rsidRPr="000500A4">
        <w:t xml:space="preserve">current </w:t>
      </w:r>
      <w:r>
        <w:t>charge</w:t>
      </w:r>
      <w:r w:rsidRPr="000500A4">
        <w:t xml:space="preserve"> of $6.00.  </w:t>
      </w:r>
      <w:r>
        <w:t xml:space="preserve">Coupled with </w:t>
      </w:r>
      <w:r w:rsidRPr="000500A4">
        <w:t xml:space="preserve">Staff’s proposed level of revenues for the residential class, the rate for the second block (the tail block) </w:t>
      </w:r>
      <w:r>
        <w:t xml:space="preserve">would be </w:t>
      </w:r>
      <w:r w:rsidRPr="000500A4">
        <w:t>9.150 cents per kilowatt-hour (k</w:t>
      </w:r>
      <w:r>
        <w:t>W</w:t>
      </w:r>
      <w:r w:rsidRPr="000500A4">
        <w:t xml:space="preserve">h).  </w:t>
      </w:r>
      <w:r>
        <w:t>By contrast, if</w:t>
      </w:r>
      <w:r w:rsidRPr="000500A4">
        <w:t xml:space="preserve"> the </w:t>
      </w:r>
      <w:r>
        <w:t xml:space="preserve">Commission maintained the </w:t>
      </w:r>
      <w:r w:rsidRPr="000500A4">
        <w:t>basic charge at $6.00, the tail block rate would increase to 9.285 cents</w:t>
      </w:r>
      <w:r>
        <w:t>; a difference in tail block rates of only 0.135 cents per kWh.</w:t>
      </w:r>
      <w:r w:rsidRPr="000500A4">
        <w:t xml:space="preserve">  </w:t>
      </w:r>
    </w:p>
    <w:p w:rsidR="00B52356" w:rsidRDefault="00B52356" w:rsidP="00B52356">
      <w:pPr>
        <w:pStyle w:val="BodyTextIndent"/>
      </w:pPr>
    </w:p>
    <w:p w:rsidR="00431779" w:rsidRDefault="00B52356">
      <w:pPr>
        <w:pStyle w:val="Heading1"/>
      </w:pPr>
      <w:r>
        <w:t>Q.</w:t>
      </w:r>
      <w:r>
        <w:tab/>
        <w:t>What is Staff’s conclusion on the impact of increasing the residential basic charge?</w:t>
      </w:r>
    </w:p>
    <w:p w:rsidR="000500A4" w:rsidRDefault="00B52356" w:rsidP="008E6FF7">
      <w:pPr>
        <w:pStyle w:val="BodyTextIndent"/>
      </w:pPr>
      <w:r>
        <w:t>A.</w:t>
      </w:r>
      <w:r>
        <w:tab/>
      </w:r>
      <w:r w:rsidR="000500A4">
        <w:t xml:space="preserve">There is no appreciable difference in conservation incentive between these two </w:t>
      </w:r>
      <w:r w:rsidR="00E35FAD">
        <w:t>tail block rates</w:t>
      </w:r>
      <w:r w:rsidR="000500A4">
        <w:t>.</w:t>
      </w:r>
      <w:r w:rsidR="002642D5">
        <w:t xml:space="preserve">  In other words, and contrary to The Energy Project’s assertions, </w:t>
      </w:r>
      <w:r w:rsidR="00A20618">
        <w:t>“the whole point of c</w:t>
      </w:r>
      <w:r w:rsidR="000500A4" w:rsidRPr="000500A4">
        <w:t>onservation</w:t>
      </w:r>
      <w:r w:rsidR="00A20618">
        <w:t>”</w:t>
      </w:r>
      <w:r w:rsidR="000500A4" w:rsidRPr="000500A4">
        <w:t xml:space="preserve"> is </w:t>
      </w:r>
      <w:r w:rsidR="00E23290">
        <w:t xml:space="preserve">certainly not </w:t>
      </w:r>
      <w:r w:rsidR="000500A4" w:rsidRPr="000500A4">
        <w:t xml:space="preserve">“rendered meaningless” </w:t>
      </w:r>
      <w:r w:rsidR="00917AFD">
        <w:t xml:space="preserve">by increasing </w:t>
      </w:r>
      <w:r w:rsidR="00917AFD">
        <w:lastRenderedPageBreak/>
        <w:t xml:space="preserve">the basic charge as proposed by either PacifiCorp or Staff.  </w:t>
      </w:r>
      <w:r w:rsidR="00A20618">
        <w:t>A</w:t>
      </w:r>
      <w:r w:rsidR="000500A4" w:rsidRPr="000500A4">
        <w:t xml:space="preserve"> </w:t>
      </w:r>
      <w:r w:rsidR="00E23290">
        <w:t xml:space="preserve">rate </w:t>
      </w:r>
      <w:r w:rsidR="000500A4" w:rsidRPr="000500A4">
        <w:t xml:space="preserve">level </w:t>
      </w:r>
      <w:r w:rsidR="00A20618">
        <w:t xml:space="preserve">exceeding </w:t>
      </w:r>
      <w:r w:rsidR="000500A4" w:rsidRPr="000500A4">
        <w:t>nine cents per k</w:t>
      </w:r>
      <w:r w:rsidR="00E23290">
        <w:t>W</w:t>
      </w:r>
      <w:r w:rsidR="000500A4" w:rsidRPr="000500A4">
        <w:t>h</w:t>
      </w:r>
      <w:r w:rsidR="00E23290">
        <w:t xml:space="preserve"> </w:t>
      </w:r>
      <w:r w:rsidR="00E35FAD">
        <w:t xml:space="preserve">surely </w:t>
      </w:r>
      <w:r w:rsidR="00E23290">
        <w:t xml:space="preserve">provides </w:t>
      </w:r>
      <w:r w:rsidR="000500A4" w:rsidRPr="000500A4">
        <w:t>an ample incentive to conserve.</w:t>
      </w:r>
    </w:p>
    <w:p w:rsidR="000500A4" w:rsidRPr="000500A4" w:rsidRDefault="000500A4" w:rsidP="008E6FF7">
      <w:pPr>
        <w:pStyle w:val="BodyTextIndent"/>
      </w:pPr>
    </w:p>
    <w:p w:rsidR="000500A4" w:rsidRDefault="000500A4" w:rsidP="008E6FF7">
      <w:pPr>
        <w:pStyle w:val="BodyTextIndent"/>
      </w:pPr>
      <w:r>
        <w:rPr>
          <w:b/>
        </w:rPr>
        <w:t>Q.</w:t>
      </w:r>
      <w:r>
        <w:rPr>
          <w:b/>
        </w:rPr>
        <w:tab/>
      </w:r>
      <w:r w:rsidR="00E23290">
        <w:rPr>
          <w:b/>
        </w:rPr>
        <w:t xml:space="preserve">What language in the Commission’s decision in Docket UG-901459 does </w:t>
      </w:r>
      <w:r>
        <w:rPr>
          <w:b/>
        </w:rPr>
        <w:t xml:space="preserve">The Energy Project </w:t>
      </w:r>
      <w:r w:rsidR="00E23290">
        <w:rPr>
          <w:b/>
        </w:rPr>
        <w:t>rely on</w:t>
      </w:r>
      <w:r w:rsidR="00396D7D">
        <w:rPr>
          <w:b/>
        </w:rPr>
        <w:t xml:space="preserve"> for its position on the basic charge</w:t>
      </w:r>
      <w:r>
        <w:rPr>
          <w:b/>
        </w:rPr>
        <w:t>?</w:t>
      </w:r>
    </w:p>
    <w:p w:rsidR="00435DD7" w:rsidRDefault="000500A4" w:rsidP="008E6FF7">
      <w:pPr>
        <w:pStyle w:val="BodyTextIndent"/>
      </w:pPr>
      <w:r>
        <w:t>A.</w:t>
      </w:r>
      <w:r>
        <w:tab/>
        <w:t xml:space="preserve">Apparently, the </w:t>
      </w:r>
      <w:r w:rsidR="00AE4478">
        <w:t xml:space="preserve">language </w:t>
      </w:r>
      <w:r>
        <w:t>Mr. Eberdt relies on from that decision is</w:t>
      </w:r>
      <w:r w:rsidR="00E23290">
        <w:t xml:space="preserve"> this</w:t>
      </w:r>
      <w:r w:rsidR="00AE4478">
        <w:t>:  “The Commission is concerned that insufficient information was provided regarding the proper level of the basic charge or minimum bill for each of the rate schedules.  The Commission agrees that disproportionate increases to customer charges discourage conservation.</w:t>
      </w:r>
      <w:r w:rsidR="00946D51">
        <w:t xml:space="preserve"> </w:t>
      </w:r>
      <w:r w:rsidR="00396D7D">
        <w:t xml:space="preserve"> </w:t>
      </w:r>
      <w:r w:rsidR="00946D51">
        <w:t>In future proceedings</w:t>
      </w:r>
      <w:r w:rsidR="00396D7D">
        <w:t>,</w:t>
      </w:r>
      <w:r w:rsidR="00946D51">
        <w:t xml:space="preserve"> parties should show their calculation of the proper level for these charges and explain the theoretical basis of the calculation.</w:t>
      </w:r>
      <w:r w:rsidR="00AE4478">
        <w:t>”</w:t>
      </w:r>
      <w:r>
        <w:rPr>
          <w:rStyle w:val="FootnoteReference"/>
        </w:rPr>
        <w:footnoteReference w:id="15"/>
      </w:r>
      <w:r w:rsidR="00AE4478">
        <w:t xml:space="preserve"> </w:t>
      </w:r>
    </w:p>
    <w:p w:rsidR="00AE2A91" w:rsidRDefault="000500A4" w:rsidP="000500A4">
      <w:pPr>
        <w:pStyle w:val="Heading1"/>
        <w:ind w:firstLine="0"/>
      </w:pPr>
      <w:r>
        <w:rPr>
          <w:b w:val="0"/>
        </w:rPr>
        <w:t xml:space="preserve">  </w:t>
      </w:r>
    </w:p>
    <w:p w:rsidR="00E23290" w:rsidRDefault="00E23290" w:rsidP="008E6FF7">
      <w:pPr>
        <w:pStyle w:val="BodyTextIndent"/>
        <w:rPr>
          <w:b/>
        </w:rPr>
      </w:pPr>
      <w:r>
        <w:rPr>
          <w:b/>
        </w:rPr>
        <w:t>Q.</w:t>
      </w:r>
      <w:r>
        <w:rPr>
          <w:b/>
        </w:rPr>
        <w:tab/>
      </w:r>
      <w:r w:rsidR="002642D5">
        <w:rPr>
          <w:b/>
        </w:rPr>
        <w:t xml:space="preserve">Should </w:t>
      </w:r>
      <w:r>
        <w:rPr>
          <w:b/>
        </w:rPr>
        <w:t xml:space="preserve">this </w:t>
      </w:r>
      <w:r w:rsidR="002642D5">
        <w:rPr>
          <w:b/>
        </w:rPr>
        <w:t>Commission directive</w:t>
      </w:r>
      <w:r>
        <w:rPr>
          <w:b/>
        </w:rPr>
        <w:t xml:space="preserve"> apply to this case?</w:t>
      </w:r>
    </w:p>
    <w:p w:rsidR="002642D5" w:rsidRDefault="00E23290" w:rsidP="008E6FF7">
      <w:pPr>
        <w:pStyle w:val="BodyTextIndent"/>
      </w:pPr>
      <w:r>
        <w:t>A.</w:t>
      </w:r>
      <w:r>
        <w:tab/>
      </w:r>
      <w:r w:rsidR="00006546">
        <w:t>Yes.</w:t>
      </w:r>
      <w:r>
        <w:t xml:space="preserve"> </w:t>
      </w:r>
      <w:r w:rsidR="00AE2A91">
        <w:t xml:space="preserve"> </w:t>
      </w:r>
      <w:r w:rsidR="00006546">
        <w:t xml:space="preserve">The Commission’s </w:t>
      </w:r>
      <w:r w:rsidR="00552C9C">
        <w:t>directive to provide support for proposals is just as apt today</w:t>
      </w:r>
      <w:r w:rsidR="00D529BA">
        <w:t xml:space="preserve"> as it was in 1992</w:t>
      </w:r>
      <w:r w:rsidR="00552C9C">
        <w:t xml:space="preserve">.  </w:t>
      </w:r>
    </w:p>
    <w:p w:rsidR="002642D5" w:rsidRDefault="002642D5" w:rsidP="008E6FF7">
      <w:pPr>
        <w:pStyle w:val="BodyTextIndent"/>
      </w:pPr>
    </w:p>
    <w:p w:rsidR="002642D5" w:rsidRDefault="002642D5" w:rsidP="008E6FF7">
      <w:pPr>
        <w:pStyle w:val="BodyTextIndent"/>
        <w:rPr>
          <w:b/>
        </w:rPr>
      </w:pPr>
      <w:r>
        <w:rPr>
          <w:b/>
        </w:rPr>
        <w:t>Q.</w:t>
      </w:r>
      <w:r>
        <w:rPr>
          <w:b/>
        </w:rPr>
        <w:tab/>
      </w:r>
      <w:r w:rsidR="00917AFD">
        <w:rPr>
          <w:b/>
        </w:rPr>
        <w:t xml:space="preserve">Does </w:t>
      </w:r>
      <w:r>
        <w:rPr>
          <w:b/>
        </w:rPr>
        <w:t>Staff</w:t>
      </w:r>
      <w:r w:rsidR="00917AFD">
        <w:rPr>
          <w:b/>
        </w:rPr>
        <w:t xml:space="preserve">’s proposed $7.50 basic charge adhere to </w:t>
      </w:r>
      <w:r>
        <w:rPr>
          <w:b/>
        </w:rPr>
        <w:t>that Commission directive?</w:t>
      </w:r>
    </w:p>
    <w:p w:rsidR="00D529BA" w:rsidRDefault="002642D5" w:rsidP="008E6FF7">
      <w:pPr>
        <w:pStyle w:val="BodyTextIndent"/>
      </w:pPr>
      <w:r>
        <w:t>A.</w:t>
      </w:r>
      <w:r>
        <w:tab/>
        <w:t xml:space="preserve">Yes.  </w:t>
      </w:r>
      <w:r w:rsidR="00396D7D">
        <w:t>I explained the theoretical basis for Staff’s proposed basic charge in my direct testimony</w:t>
      </w:r>
      <w:r w:rsidR="00E35FAD">
        <w:t>, and what the Company’s cost of service study showed</w:t>
      </w:r>
      <w:r w:rsidR="00396D7D">
        <w:t>.  For the precise calculation</w:t>
      </w:r>
      <w:r w:rsidR="00E35FAD">
        <w:t xml:space="preserve"> of the basic charge at Staff’s recommended revenue increase</w:t>
      </w:r>
      <w:r w:rsidR="00396D7D">
        <w:t>, see</w:t>
      </w:r>
      <w:r w:rsidR="00552C9C">
        <w:t xml:space="preserve"> Exhibit No. ___ (TES-5), </w:t>
      </w:r>
      <w:r w:rsidR="00396D7D">
        <w:t xml:space="preserve">which is </w:t>
      </w:r>
      <w:r w:rsidR="00552C9C">
        <w:t xml:space="preserve">an excerpt from the </w:t>
      </w:r>
      <w:r w:rsidR="00396D7D">
        <w:t xml:space="preserve">Company’s </w:t>
      </w:r>
      <w:r w:rsidR="00552C9C">
        <w:t>cost of service study</w:t>
      </w:r>
      <w:r w:rsidR="004D1BEC">
        <w:t xml:space="preserve"> at Staff’s recommended revenue increase</w:t>
      </w:r>
      <w:r w:rsidR="00552C9C">
        <w:t xml:space="preserve">.  </w:t>
      </w:r>
      <w:r w:rsidR="00396D7D">
        <w:t xml:space="preserve">That </w:t>
      </w:r>
      <w:r w:rsidR="00552C9C">
        <w:t xml:space="preserve">exhibit shows the components of </w:t>
      </w:r>
      <w:r w:rsidR="005141DA">
        <w:lastRenderedPageBreak/>
        <w:t xml:space="preserve">residential rates in the column “Residential Schedule 16”.  The total customer charge of $9.68 is </w:t>
      </w:r>
      <w:r w:rsidR="00B51515">
        <w:t xml:space="preserve">in that column </w:t>
      </w:r>
      <w:r w:rsidR="005141DA">
        <w:t>on page 3</w:t>
      </w:r>
      <w:r w:rsidR="00396D7D">
        <w:t>,</w:t>
      </w:r>
      <w:r w:rsidR="005141DA">
        <w:t xml:space="preserve"> at line 143.</w:t>
      </w:r>
      <w:r w:rsidR="005141DA">
        <w:rPr>
          <w:rStyle w:val="FootnoteReference"/>
        </w:rPr>
        <w:footnoteReference w:id="16"/>
      </w:r>
      <w:r w:rsidR="005141DA">
        <w:t xml:space="preserve">  </w:t>
      </w:r>
    </w:p>
    <w:p w:rsidR="00AE2A91" w:rsidRDefault="00D529BA" w:rsidP="008E6FF7">
      <w:pPr>
        <w:pStyle w:val="BodyTextIndent"/>
      </w:pPr>
      <w:r>
        <w:tab/>
      </w:r>
      <w:r>
        <w:tab/>
      </w:r>
      <w:r w:rsidR="00E35FAD">
        <w:t xml:space="preserve">In sum, the evidence </w:t>
      </w:r>
      <w:r w:rsidR="00396D7D">
        <w:t>demonstrates Staff’s proposed basic charge of $7.50 is reasonable</w:t>
      </w:r>
      <w:r w:rsidR="00C64EBD">
        <w:t xml:space="preserve">, </w:t>
      </w:r>
      <w:r w:rsidR="00396D7D">
        <w:t>well-supported</w:t>
      </w:r>
      <w:r w:rsidR="00C64EBD">
        <w:t xml:space="preserve"> and fully compliant with the Commission’s </w:t>
      </w:r>
      <w:r w:rsidR="00917AFD">
        <w:t>directive</w:t>
      </w:r>
      <w:r w:rsidR="00C64EBD">
        <w:t xml:space="preserve"> in Docket UG-901459</w:t>
      </w:r>
      <w:r w:rsidR="00396D7D">
        <w:t>.</w:t>
      </w:r>
    </w:p>
    <w:p w:rsidR="00E44EE1" w:rsidRDefault="00E44EE1" w:rsidP="00E44EE1">
      <w:pPr>
        <w:pStyle w:val="BodyTextIndent"/>
        <w:jc w:val="center"/>
        <w:rPr>
          <w:b/>
        </w:rPr>
      </w:pPr>
    </w:p>
    <w:p w:rsidR="00E44EE1" w:rsidRDefault="00E44EE1" w:rsidP="00E44EE1">
      <w:pPr>
        <w:pStyle w:val="BodyTextIndent"/>
        <w:jc w:val="center"/>
        <w:rPr>
          <w:b/>
        </w:rPr>
      </w:pPr>
      <w:r w:rsidRPr="00A45EBB">
        <w:rPr>
          <w:b/>
        </w:rPr>
        <w:t>V.</w:t>
      </w:r>
      <w:r>
        <w:rPr>
          <w:b/>
        </w:rPr>
        <w:tab/>
        <w:t xml:space="preserve">LOW INCOME BILL ASSISTANCE </w:t>
      </w:r>
      <w:r w:rsidR="00A20618">
        <w:rPr>
          <w:b/>
        </w:rPr>
        <w:t>AND LOW INCOME WEATHERIZATION</w:t>
      </w:r>
    </w:p>
    <w:p w:rsidR="0039298A" w:rsidRDefault="0039298A" w:rsidP="00A20618">
      <w:pPr>
        <w:spacing w:line="480" w:lineRule="auto"/>
        <w:rPr>
          <w:b/>
          <w:color w:val="1F497D"/>
        </w:rPr>
      </w:pPr>
    </w:p>
    <w:p w:rsidR="00C64EBD" w:rsidRPr="00542394" w:rsidRDefault="00C64EBD" w:rsidP="00C64EBD">
      <w:pPr>
        <w:spacing w:line="480" w:lineRule="auto"/>
        <w:rPr>
          <w:b/>
          <w:bCs/>
        </w:rPr>
      </w:pPr>
      <w:r w:rsidRPr="00542394">
        <w:rPr>
          <w:b/>
          <w:bCs/>
        </w:rPr>
        <w:t>Q.</w:t>
      </w:r>
      <w:r w:rsidRPr="00542394">
        <w:rPr>
          <w:b/>
          <w:bCs/>
        </w:rPr>
        <w:tab/>
        <w:t>What concerns of The Energy Project does Staff address?</w:t>
      </w:r>
    </w:p>
    <w:p w:rsidR="008D3D95" w:rsidRPr="00542394" w:rsidRDefault="00452AA9">
      <w:pPr>
        <w:spacing w:line="480" w:lineRule="auto"/>
        <w:ind w:left="720" w:hanging="720"/>
      </w:pPr>
      <w:r w:rsidRPr="00542394">
        <w:t>A.</w:t>
      </w:r>
      <w:r w:rsidRPr="00542394">
        <w:tab/>
        <w:t>Staff addresses The Energy Project’s concerns about the Company’s proposals to recertify L</w:t>
      </w:r>
      <w:r w:rsidR="00C64EBD" w:rsidRPr="00542394">
        <w:t>ow Income Bill Assistance (L</w:t>
      </w:r>
      <w:r w:rsidRPr="00542394">
        <w:t>IBA</w:t>
      </w:r>
      <w:r w:rsidR="00C64EBD" w:rsidRPr="00542394">
        <w:t>)</w:t>
      </w:r>
      <w:r w:rsidRPr="00542394">
        <w:t xml:space="preserve"> participants biannually, its request for higher administrative funding, and its proposal to increase funding for low-income weatherization programs.</w:t>
      </w:r>
    </w:p>
    <w:p w:rsidR="00C64EBD" w:rsidRDefault="00C64EBD" w:rsidP="00A20618">
      <w:pPr>
        <w:spacing w:line="480" w:lineRule="auto"/>
        <w:rPr>
          <w:b/>
          <w:color w:val="1F497D"/>
        </w:rPr>
      </w:pPr>
    </w:p>
    <w:p w:rsidR="00D93E33" w:rsidRPr="00396D7D" w:rsidRDefault="0039298A" w:rsidP="00A20618">
      <w:pPr>
        <w:spacing w:line="480" w:lineRule="auto"/>
        <w:rPr>
          <w:b/>
        </w:rPr>
      </w:pPr>
      <w:r w:rsidRPr="0039298A">
        <w:rPr>
          <w:b/>
          <w:color w:val="1F497D"/>
        </w:rPr>
        <w:tab/>
      </w:r>
      <w:r w:rsidRPr="00396D7D">
        <w:rPr>
          <w:b/>
        </w:rPr>
        <w:t>A.</w:t>
      </w:r>
      <w:r w:rsidRPr="00396D7D">
        <w:rPr>
          <w:b/>
        </w:rPr>
        <w:tab/>
        <w:t>Low Income Bill Assistance</w:t>
      </w:r>
    </w:p>
    <w:p w:rsidR="0039298A" w:rsidRDefault="0039298A" w:rsidP="00A20618">
      <w:pPr>
        <w:pStyle w:val="Heading1"/>
      </w:pPr>
    </w:p>
    <w:p w:rsidR="00EB5CE0" w:rsidRPr="00EB5CE0" w:rsidRDefault="00EB5CE0" w:rsidP="00A45EBB">
      <w:pPr>
        <w:pStyle w:val="BodyTextIndent"/>
        <w:rPr>
          <w:b/>
        </w:rPr>
      </w:pPr>
      <w:r w:rsidRPr="00EB5CE0">
        <w:rPr>
          <w:b/>
        </w:rPr>
        <w:t>Q.</w:t>
      </w:r>
      <w:r w:rsidRPr="00EB5CE0">
        <w:rPr>
          <w:b/>
        </w:rPr>
        <w:tab/>
        <w:t xml:space="preserve">What </w:t>
      </w:r>
      <w:r w:rsidR="00E92297">
        <w:rPr>
          <w:b/>
        </w:rPr>
        <w:t>i</w:t>
      </w:r>
      <w:r w:rsidRPr="00EB5CE0">
        <w:rPr>
          <w:b/>
        </w:rPr>
        <w:t>s</w:t>
      </w:r>
      <w:r w:rsidR="00E92297">
        <w:rPr>
          <w:b/>
        </w:rPr>
        <w:t xml:space="preserve"> T</w:t>
      </w:r>
      <w:r w:rsidR="00E23290">
        <w:rPr>
          <w:b/>
        </w:rPr>
        <w:t>he Energy Project’s</w:t>
      </w:r>
      <w:r w:rsidR="00E92297">
        <w:rPr>
          <w:b/>
        </w:rPr>
        <w:t xml:space="preserve"> reaction to the Company’s</w:t>
      </w:r>
      <w:r w:rsidRPr="00EB5CE0">
        <w:rPr>
          <w:b/>
        </w:rPr>
        <w:t xml:space="preserve"> </w:t>
      </w:r>
      <w:r w:rsidR="00396D7D">
        <w:rPr>
          <w:b/>
        </w:rPr>
        <w:t xml:space="preserve">proposed </w:t>
      </w:r>
      <w:r w:rsidRPr="00EB5CE0">
        <w:rPr>
          <w:b/>
        </w:rPr>
        <w:t xml:space="preserve">biannual recertification of </w:t>
      </w:r>
      <w:r w:rsidR="00C64EBD">
        <w:rPr>
          <w:b/>
        </w:rPr>
        <w:t xml:space="preserve">LIBA </w:t>
      </w:r>
      <w:r w:rsidRPr="00EB5CE0">
        <w:rPr>
          <w:b/>
        </w:rPr>
        <w:t>participants?</w:t>
      </w:r>
    </w:p>
    <w:p w:rsidR="00E92297" w:rsidRDefault="00EB5CE0" w:rsidP="00A45EBB">
      <w:pPr>
        <w:pStyle w:val="BodyTextIndent"/>
      </w:pPr>
      <w:r>
        <w:t>A.</w:t>
      </w:r>
      <w:r>
        <w:tab/>
      </w:r>
      <w:r w:rsidR="00E23290">
        <w:t>The Energy Project</w:t>
      </w:r>
      <w:r w:rsidR="00E92297">
        <w:t xml:space="preserve"> claims PacifiCorp’s plan would cause great flu</w:t>
      </w:r>
      <w:r w:rsidR="00F53A0A">
        <w:t>ct</w:t>
      </w:r>
      <w:r w:rsidR="00E92297">
        <w:t>uation i</w:t>
      </w:r>
      <w:r w:rsidR="00E23290">
        <w:t>n</w:t>
      </w:r>
      <w:r w:rsidR="00E92297">
        <w:t xml:space="preserve"> </w:t>
      </w:r>
      <w:r w:rsidR="0039298A">
        <w:t xml:space="preserve">low-income </w:t>
      </w:r>
      <w:r w:rsidR="00E23290">
        <w:t xml:space="preserve">agency </w:t>
      </w:r>
      <w:r w:rsidR="00E92297">
        <w:t xml:space="preserve">work load from year to year.  </w:t>
      </w:r>
      <w:r w:rsidR="00396D7D">
        <w:t xml:space="preserve">The Energy Project’s witness </w:t>
      </w:r>
      <w:r>
        <w:t xml:space="preserve">Mr. </w:t>
      </w:r>
      <w:r>
        <w:lastRenderedPageBreak/>
        <w:t>Eberdt has a valid concern that the work flow would be a two year cycle of boom and bust</w:t>
      </w:r>
      <w:r w:rsidR="003A5C9C">
        <w:rPr>
          <w:rStyle w:val="FootnoteReference"/>
        </w:rPr>
        <w:footnoteReference w:id="17"/>
      </w:r>
      <w:r>
        <w:t xml:space="preserve">.  </w:t>
      </w:r>
    </w:p>
    <w:p w:rsidR="00E92297" w:rsidRDefault="00E92297" w:rsidP="00A45EBB">
      <w:pPr>
        <w:pStyle w:val="BodyTextIndent"/>
      </w:pPr>
    </w:p>
    <w:p w:rsidR="00E92297" w:rsidRPr="00F94F02" w:rsidRDefault="00E92297" w:rsidP="00A45EBB">
      <w:pPr>
        <w:pStyle w:val="BodyTextIndent"/>
        <w:rPr>
          <w:b/>
        </w:rPr>
      </w:pPr>
      <w:r w:rsidRPr="00F94F02">
        <w:rPr>
          <w:b/>
        </w:rPr>
        <w:t>Q.</w:t>
      </w:r>
      <w:r w:rsidRPr="00F94F02">
        <w:rPr>
          <w:b/>
        </w:rPr>
        <w:tab/>
        <w:t xml:space="preserve">What is Staff’s </w:t>
      </w:r>
      <w:r w:rsidR="00E23290">
        <w:rPr>
          <w:b/>
        </w:rPr>
        <w:t>response</w:t>
      </w:r>
      <w:r w:rsidRPr="00F94F02">
        <w:rPr>
          <w:b/>
        </w:rPr>
        <w:t>?</w:t>
      </w:r>
    </w:p>
    <w:p w:rsidR="00EB5CE0" w:rsidRDefault="00E92297" w:rsidP="00A45EBB">
      <w:pPr>
        <w:pStyle w:val="BodyTextIndent"/>
      </w:pPr>
      <w:r>
        <w:t>A.</w:t>
      </w:r>
      <w:r>
        <w:tab/>
      </w:r>
      <w:r w:rsidR="00F94F02">
        <w:t>Staff</w:t>
      </w:r>
      <w:r w:rsidR="00EB5CE0">
        <w:t xml:space="preserve"> </w:t>
      </w:r>
      <w:r w:rsidR="00F94F02">
        <w:t xml:space="preserve">recognizes the potential for disruptive work flow and </w:t>
      </w:r>
      <w:r w:rsidR="00EB5CE0">
        <w:t>offer</w:t>
      </w:r>
      <w:r w:rsidR="00F94F02">
        <w:t>s</w:t>
      </w:r>
      <w:r w:rsidR="00EB5CE0">
        <w:t xml:space="preserve"> a compromise.  </w:t>
      </w:r>
      <w:r w:rsidR="00420DFA">
        <w:t xml:space="preserve">During </w:t>
      </w:r>
      <w:r w:rsidR="00EB5CE0">
        <w:t xml:space="preserve">the year 2011, the agencies could recertify one-half of the participants for two years, and one-half for one year.  This would spread the work load over the two year cycle and avoid the problems Mr. Eberdt identifies.  The dollars raised by </w:t>
      </w:r>
      <w:r w:rsidR="00740C16">
        <w:t xml:space="preserve">the </w:t>
      </w:r>
      <w:r w:rsidR="00EB5CE0">
        <w:t xml:space="preserve">Schedule 91 surcharge </w:t>
      </w:r>
      <w:r>
        <w:t>could</w:t>
      </w:r>
      <w:r w:rsidR="00740C16">
        <w:t xml:space="preserve"> be more efficiently deployed to </w:t>
      </w:r>
      <w:r w:rsidR="00EB5CE0">
        <w:t xml:space="preserve">the </w:t>
      </w:r>
      <w:r w:rsidR="00740C16">
        <w:t>benefit of the qualifying customers.</w:t>
      </w:r>
      <w:r w:rsidR="00F94F02">
        <w:t xml:space="preserve">  </w:t>
      </w:r>
    </w:p>
    <w:p w:rsidR="00740C16" w:rsidRDefault="00740C16" w:rsidP="00A45EBB">
      <w:pPr>
        <w:pStyle w:val="BodyTextIndent"/>
      </w:pPr>
    </w:p>
    <w:p w:rsidR="00E92297" w:rsidRPr="00EB5CE0" w:rsidRDefault="00E92297" w:rsidP="00E92297">
      <w:pPr>
        <w:pStyle w:val="BodyTextIndent"/>
        <w:rPr>
          <w:b/>
        </w:rPr>
      </w:pPr>
      <w:r w:rsidRPr="00EB5CE0">
        <w:rPr>
          <w:b/>
        </w:rPr>
        <w:t>Q.</w:t>
      </w:r>
      <w:r w:rsidRPr="00EB5CE0">
        <w:rPr>
          <w:b/>
        </w:rPr>
        <w:tab/>
        <w:t xml:space="preserve">What </w:t>
      </w:r>
      <w:r>
        <w:rPr>
          <w:b/>
        </w:rPr>
        <w:t>i</w:t>
      </w:r>
      <w:r w:rsidRPr="00EB5CE0">
        <w:rPr>
          <w:b/>
        </w:rPr>
        <w:t>s</w:t>
      </w:r>
      <w:r>
        <w:rPr>
          <w:b/>
        </w:rPr>
        <w:t xml:space="preserve"> </w:t>
      </w:r>
      <w:r w:rsidR="00E23290">
        <w:rPr>
          <w:b/>
        </w:rPr>
        <w:t>The Energy Project</w:t>
      </w:r>
      <w:r>
        <w:rPr>
          <w:b/>
        </w:rPr>
        <w:t>’s claim for additional administrative reimbursement</w:t>
      </w:r>
      <w:r w:rsidRPr="00EB5CE0">
        <w:rPr>
          <w:b/>
        </w:rPr>
        <w:t>?</w:t>
      </w:r>
    </w:p>
    <w:p w:rsidR="00740C16" w:rsidRDefault="00740C16" w:rsidP="00A45EBB">
      <w:pPr>
        <w:pStyle w:val="BodyTextIndent"/>
      </w:pPr>
      <w:r>
        <w:t>A.</w:t>
      </w:r>
      <w:r>
        <w:tab/>
        <w:t xml:space="preserve">Mr. Eberdt claims </w:t>
      </w:r>
      <w:r w:rsidR="00E23290">
        <w:t xml:space="preserve">PacifiCorp is not </w:t>
      </w:r>
      <w:r w:rsidR="00632499">
        <w:t>sufficiently compensat</w:t>
      </w:r>
      <w:r w:rsidR="00E23290">
        <w:t xml:space="preserve">ing the </w:t>
      </w:r>
      <w:r w:rsidR="0039298A">
        <w:t xml:space="preserve">low-income </w:t>
      </w:r>
      <w:r w:rsidR="00E23290">
        <w:t xml:space="preserve">agencies </w:t>
      </w:r>
      <w:r w:rsidR="00632499">
        <w:t>for their administrative burdens.  H</w:t>
      </w:r>
      <w:r w:rsidR="00E92297">
        <w:t>is</w:t>
      </w:r>
      <w:r w:rsidR="00632499">
        <w:t xml:space="preserve"> </w:t>
      </w:r>
      <w:r w:rsidR="00E92297">
        <w:t>E</w:t>
      </w:r>
      <w:r w:rsidR="00632499">
        <w:t>xhibit</w:t>
      </w:r>
      <w:r w:rsidR="00E92297">
        <w:t xml:space="preserve"> No. ___ (CME-4)</w:t>
      </w:r>
      <w:r w:rsidR="00632499">
        <w:t xml:space="preserve"> </w:t>
      </w:r>
      <w:r w:rsidR="00E92297">
        <w:t>shows a figure of $73.14 per certified customer as necessary to recover administrative expenses.</w:t>
      </w:r>
    </w:p>
    <w:p w:rsidR="00E92297" w:rsidRDefault="00E92297" w:rsidP="00A45EBB">
      <w:pPr>
        <w:pStyle w:val="BodyTextIndent"/>
      </w:pPr>
    </w:p>
    <w:p w:rsidR="00E92297" w:rsidRPr="00F94F02" w:rsidRDefault="00E92297" w:rsidP="00A45EBB">
      <w:pPr>
        <w:pStyle w:val="BodyTextIndent"/>
        <w:rPr>
          <w:b/>
        </w:rPr>
      </w:pPr>
      <w:r w:rsidRPr="00F94F02">
        <w:rPr>
          <w:b/>
        </w:rPr>
        <w:t>Q.</w:t>
      </w:r>
      <w:r w:rsidRPr="00F94F02">
        <w:rPr>
          <w:b/>
        </w:rPr>
        <w:tab/>
        <w:t xml:space="preserve">What is </w:t>
      </w:r>
      <w:r w:rsidR="00E23290">
        <w:rPr>
          <w:b/>
        </w:rPr>
        <w:t>S</w:t>
      </w:r>
      <w:r w:rsidRPr="00F94F02">
        <w:rPr>
          <w:b/>
        </w:rPr>
        <w:t>taff’s response?</w:t>
      </w:r>
    </w:p>
    <w:p w:rsidR="00E92297" w:rsidRDefault="00E92297" w:rsidP="00A45EBB">
      <w:pPr>
        <w:pStyle w:val="BodyTextIndent"/>
      </w:pPr>
      <w:r>
        <w:t>A.</w:t>
      </w:r>
      <w:r>
        <w:tab/>
        <w:t xml:space="preserve">Staff is not opposed to the </w:t>
      </w:r>
      <w:r w:rsidR="00E23290">
        <w:t xml:space="preserve">principle that PacifiCorp should fairly compensate </w:t>
      </w:r>
      <w:r w:rsidR="0039298A">
        <w:t xml:space="preserve">low income </w:t>
      </w:r>
      <w:r>
        <w:t>agencies for th</w:t>
      </w:r>
      <w:r w:rsidR="00E23290">
        <w:t>is</w:t>
      </w:r>
      <w:r>
        <w:t xml:space="preserve"> work.  However, Mr. Eberdt’s exhibit is insufficient to </w:t>
      </w:r>
      <w:r w:rsidR="00396D7D">
        <w:t>justify a change in the current level</w:t>
      </w:r>
      <w:r w:rsidR="00F94F02">
        <w:t xml:space="preserve">.  </w:t>
      </w:r>
      <w:r w:rsidR="00396D7D">
        <w:t>For example, h</w:t>
      </w:r>
      <w:r w:rsidR="00E23290">
        <w:t xml:space="preserve">is </w:t>
      </w:r>
      <w:r w:rsidR="00F94F02">
        <w:t xml:space="preserve">exhibit contains information </w:t>
      </w:r>
      <w:r w:rsidR="00E23290">
        <w:t>for</w:t>
      </w:r>
      <w:r w:rsidR="00F94F02">
        <w:t xml:space="preserve"> one month</w:t>
      </w:r>
      <w:r w:rsidR="00396D7D">
        <w:t>,</w:t>
      </w:r>
      <w:r w:rsidR="00F94F02">
        <w:t xml:space="preserve"> </w:t>
      </w:r>
      <w:r w:rsidR="00E23290">
        <w:t>for</w:t>
      </w:r>
      <w:r w:rsidR="00F94F02">
        <w:t xml:space="preserve"> one agency.  The other two agencies and </w:t>
      </w:r>
      <w:r w:rsidR="00E23290">
        <w:t xml:space="preserve">the other </w:t>
      </w:r>
      <w:r w:rsidR="00F94F02">
        <w:t xml:space="preserve">eleven months </w:t>
      </w:r>
      <w:r w:rsidR="00F94F02">
        <w:lastRenderedPageBreak/>
        <w:t>are notably absent.  A thorough review of the low-income agency expenses and operations is needed in order to judge a realistic reimbursement rate.  The</w:t>
      </w:r>
      <w:r w:rsidR="00E23290">
        <w:t xml:space="preserve">refore, the Commission should maintain the </w:t>
      </w:r>
      <w:r w:rsidR="00F94F02">
        <w:t>current rate of $48 per certified customer.</w:t>
      </w:r>
    </w:p>
    <w:p w:rsidR="00097E49" w:rsidRDefault="00097E49" w:rsidP="00A45EBB">
      <w:pPr>
        <w:pStyle w:val="BodyTextIndent"/>
      </w:pPr>
    </w:p>
    <w:p w:rsidR="0039298A" w:rsidRPr="0039298A" w:rsidRDefault="0039298A" w:rsidP="00A45EBB">
      <w:pPr>
        <w:pStyle w:val="BodyTextIndent"/>
        <w:rPr>
          <w:b/>
        </w:rPr>
      </w:pPr>
      <w:r>
        <w:tab/>
      </w:r>
      <w:r>
        <w:rPr>
          <w:b/>
        </w:rPr>
        <w:t>B.</w:t>
      </w:r>
      <w:r>
        <w:rPr>
          <w:b/>
        </w:rPr>
        <w:tab/>
        <w:t>Low Income Weatherization</w:t>
      </w:r>
    </w:p>
    <w:p w:rsidR="0039298A" w:rsidRDefault="0039298A" w:rsidP="00A45EBB">
      <w:pPr>
        <w:pStyle w:val="BodyTextIndent"/>
      </w:pPr>
    </w:p>
    <w:p w:rsidR="00097E49" w:rsidRDefault="00097E49" w:rsidP="00097E49">
      <w:pPr>
        <w:pStyle w:val="Heading1"/>
      </w:pPr>
      <w:r>
        <w:t>Q.</w:t>
      </w:r>
      <w:r>
        <w:tab/>
        <w:t xml:space="preserve">What is </w:t>
      </w:r>
      <w:r w:rsidR="00E23290">
        <w:t>The Energy Project</w:t>
      </w:r>
      <w:r w:rsidR="00233960">
        <w:t xml:space="preserve">’s </w:t>
      </w:r>
      <w:r>
        <w:t>proposal for the low</w:t>
      </w:r>
      <w:r w:rsidR="008E1068">
        <w:t>-</w:t>
      </w:r>
      <w:r>
        <w:t xml:space="preserve">income </w:t>
      </w:r>
      <w:r w:rsidR="00233960">
        <w:t xml:space="preserve">weatherization </w:t>
      </w:r>
      <w:r w:rsidR="008E1068">
        <w:t xml:space="preserve">assistance </w:t>
      </w:r>
      <w:r>
        <w:t>programs</w:t>
      </w:r>
      <w:r w:rsidR="008E1068">
        <w:t xml:space="preserve"> (LIWA)</w:t>
      </w:r>
      <w:r>
        <w:t>?</w:t>
      </w:r>
    </w:p>
    <w:p w:rsidR="00097E49" w:rsidRDefault="00097E49" w:rsidP="00A45EBB">
      <w:pPr>
        <w:pStyle w:val="BodyTextIndent"/>
      </w:pPr>
      <w:r>
        <w:t>A.</w:t>
      </w:r>
      <w:r>
        <w:tab/>
      </w:r>
      <w:r w:rsidR="00962CC1">
        <w:t xml:space="preserve"> </w:t>
      </w:r>
      <w:r w:rsidR="00E23290">
        <w:t>The Energy Project</w:t>
      </w:r>
      <w:r w:rsidR="008E1068">
        <w:t xml:space="preserve"> proposes an increase in LIWA funds of $500,000.  </w:t>
      </w:r>
      <w:r w:rsidR="00E23290">
        <w:t>Mr. Eberdt</w:t>
      </w:r>
      <w:r w:rsidR="008E1068">
        <w:t xml:space="preserve"> claim</w:t>
      </w:r>
      <w:r w:rsidR="00E23290">
        <w:t>s</w:t>
      </w:r>
      <w:r w:rsidR="008E1068">
        <w:t xml:space="preserve"> this </w:t>
      </w:r>
      <w:r w:rsidR="00E23290">
        <w:t xml:space="preserve">amount is necessary </w:t>
      </w:r>
      <w:r w:rsidR="008E1068">
        <w:t xml:space="preserve">to replace funding from the American Recovery and Reinvestment Act (ARRA) and other sources.  </w:t>
      </w:r>
      <w:r w:rsidR="00844F5B">
        <w:t>Mr. Eberdt</w:t>
      </w:r>
      <w:r w:rsidR="008E1068">
        <w:t xml:space="preserve"> states that “failure to fill the void of funding created by the </w:t>
      </w:r>
      <w:r w:rsidR="00420DFA">
        <w:t>expiration</w:t>
      </w:r>
      <w:r w:rsidR="008E1068">
        <w:t xml:space="preserve"> of AARA (sic) constitutes a lost opportunity cost of considerable proportion.”</w:t>
      </w:r>
      <w:r w:rsidR="00844F5B">
        <w:t xml:space="preserve">  Exhibit No. ___ (CME-1T) at 15:17-18</w:t>
      </w:r>
      <w:r w:rsidR="00E23290">
        <w:t>.</w:t>
      </w:r>
    </w:p>
    <w:p w:rsidR="00083E12" w:rsidRDefault="00083E12" w:rsidP="00A45EBB">
      <w:pPr>
        <w:pStyle w:val="BodyTextIndent"/>
      </w:pPr>
    </w:p>
    <w:p w:rsidR="00C64EBD" w:rsidRPr="00C64EBD" w:rsidRDefault="00C64EBD" w:rsidP="00A45EBB">
      <w:pPr>
        <w:pStyle w:val="BodyTextIndent"/>
        <w:rPr>
          <w:b/>
        </w:rPr>
      </w:pPr>
      <w:r>
        <w:rPr>
          <w:b/>
        </w:rPr>
        <w:t>Q.</w:t>
      </w:r>
      <w:r>
        <w:rPr>
          <w:b/>
        </w:rPr>
        <w:tab/>
        <w:t>How are funds collected for LIWA programs?</w:t>
      </w:r>
    </w:p>
    <w:p w:rsidR="00C64EBD" w:rsidRDefault="00C64EBD" w:rsidP="00A45EBB">
      <w:pPr>
        <w:pStyle w:val="BodyTextIndent"/>
      </w:pPr>
      <w:r>
        <w:t>A.</w:t>
      </w:r>
      <w:r>
        <w:tab/>
      </w:r>
      <w:r w:rsidRPr="00C64EBD">
        <w:t xml:space="preserve">PacifiCorp collects money </w:t>
      </w:r>
      <w:r>
        <w:t xml:space="preserve">for LIWA </w:t>
      </w:r>
      <w:r w:rsidR="00970720">
        <w:t xml:space="preserve">from its customers, </w:t>
      </w:r>
      <w:r w:rsidRPr="00C64EBD">
        <w:t>through the System Benefit Charge in Tariff Sheet 191.</w:t>
      </w:r>
      <w:r>
        <w:t xml:space="preserve">  In addition, v</w:t>
      </w:r>
      <w:r w:rsidRPr="00C64EBD">
        <w:t xml:space="preserve">arious federal and state funding </w:t>
      </w:r>
      <w:r>
        <w:t xml:space="preserve">sources </w:t>
      </w:r>
      <w:r w:rsidRPr="00C64EBD">
        <w:t>contribute to programs for insulating low-income housing</w:t>
      </w:r>
      <w:r>
        <w:t>,</w:t>
      </w:r>
      <w:r w:rsidRPr="00C64EBD">
        <w:t xml:space="preserve"> of which LIWA is one resource.</w:t>
      </w:r>
    </w:p>
    <w:p w:rsidR="00C64EBD" w:rsidRPr="00C64EBD" w:rsidRDefault="00C64EBD" w:rsidP="00A45EBB">
      <w:pPr>
        <w:pStyle w:val="BodyTextIndent"/>
      </w:pPr>
    </w:p>
    <w:p w:rsidR="00083E12" w:rsidRDefault="00083E12" w:rsidP="00351203">
      <w:pPr>
        <w:pStyle w:val="Heading1"/>
      </w:pPr>
      <w:r>
        <w:lastRenderedPageBreak/>
        <w:t>Q.</w:t>
      </w:r>
      <w:r>
        <w:tab/>
      </w:r>
      <w:r w:rsidR="00844F5B">
        <w:t>What is Staff’s response</w:t>
      </w:r>
      <w:r w:rsidR="00C64EBD">
        <w:t xml:space="preserve"> to The Energy Project’s proposal to increase LIWA funding from PacifiCorp ratepayers by $500,000</w:t>
      </w:r>
      <w:r>
        <w:t>?</w:t>
      </w:r>
    </w:p>
    <w:p w:rsidR="00D529BA" w:rsidRDefault="00083E12" w:rsidP="00420DFA">
      <w:pPr>
        <w:pStyle w:val="BodyTextIndent"/>
      </w:pPr>
      <w:r>
        <w:t>A.</w:t>
      </w:r>
      <w:r>
        <w:tab/>
      </w:r>
      <w:r w:rsidR="00C64EBD">
        <w:t>The Commission should not accept the proposal.  First, T</w:t>
      </w:r>
      <w:r w:rsidR="00D529BA">
        <w:t>ariff</w:t>
      </w:r>
      <w:r w:rsidR="00C64EBD">
        <w:t xml:space="preserve"> Sheet 191 </w:t>
      </w:r>
      <w:r w:rsidR="00D529BA">
        <w:t>does not appear to be before the Commission in this docket</w:t>
      </w:r>
      <w:r w:rsidR="00B60793">
        <w:t>;</w:t>
      </w:r>
      <w:r w:rsidR="00C64EBD">
        <w:t xml:space="preserve"> it wa</w:t>
      </w:r>
      <w:r w:rsidR="00E23290">
        <w:t>s</w:t>
      </w:r>
      <w:r w:rsidR="00844F5B">
        <w:t xml:space="preserve"> not among the </w:t>
      </w:r>
      <w:r w:rsidR="00C64EBD">
        <w:t xml:space="preserve">tariffs </w:t>
      </w:r>
      <w:r w:rsidR="00844F5B">
        <w:t>filed</w:t>
      </w:r>
      <w:r w:rsidR="00E23290">
        <w:t xml:space="preserve"> by PacifiCorp and suspended by the Commission</w:t>
      </w:r>
      <w:r w:rsidR="00844F5B">
        <w:t>.</w:t>
      </w:r>
      <w:r w:rsidR="00D4461E">
        <w:t xml:space="preserve">  </w:t>
      </w:r>
    </w:p>
    <w:p w:rsidR="00420DFA" w:rsidRDefault="00D529BA" w:rsidP="00420DFA">
      <w:pPr>
        <w:pStyle w:val="BodyTextIndent"/>
      </w:pPr>
      <w:r>
        <w:tab/>
      </w:r>
      <w:r>
        <w:tab/>
        <w:t xml:space="preserve">In any event, </w:t>
      </w:r>
      <w:r w:rsidR="00A20618">
        <w:t xml:space="preserve">the Commission should address low-income weatherization program funding in the context of </w:t>
      </w:r>
      <w:r w:rsidR="00844F5B">
        <w:t>a comprehensive review of the programs covered by the system benefit charge.</w:t>
      </w:r>
      <w:r w:rsidR="00A20618">
        <w:t xml:space="preserve">  That review h</w:t>
      </w:r>
      <w:r w:rsidR="0039298A">
        <w:t>a</w:t>
      </w:r>
      <w:r w:rsidR="00A20618">
        <w:t>s not taken place in this docket.</w:t>
      </w:r>
    </w:p>
    <w:p w:rsidR="00396D7D" w:rsidRDefault="00A20618" w:rsidP="00420DFA">
      <w:pPr>
        <w:pStyle w:val="BodyTextIndent"/>
        <w:ind w:firstLine="0"/>
      </w:pPr>
      <w:r>
        <w:tab/>
      </w:r>
      <w:r w:rsidR="00D529BA">
        <w:t>Finally, The Energy Project’</w:t>
      </w:r>
      <w:r w:rsidR="002642D5">
        <w:t>s</w:t>
      </w:r>
      <w:r w:rsidR="00D529BA">
        <w:t xml:space="preserve"> point about the </w:t>
      </w:r>
      <w:r>
        <w:t xml:space="preserve">lapse of ARRA funding is insufficient justification for increasing the System Benefits Charge.  It was well understood that </w:t>
      </w:r>
      <w:r w:rsidR="00844F5B">
        <w:t>ARRA funds were temporary</w:t>
      </w:r>
      <w:r w:rsidR="00D529BA">
        <w:t>.  T</w:t>
      </w:r>
      <w:r w:rsidR="00396D7D">
        <w:t>here was never a legitimate expectation that ratepayers would be required to maintain that level of funding</w:t>
      </w:r>
      <w:r w:rsidR="00D4461E">
        <w:t xml:space="preserve"> once it expired</w:t>
      </w:r>
      <w:r w:rsidR="00844F5B">
        <w:t>.</w:t>
      </w:r>
      <w:r w:rsidR="00B51515">
        <w:t xml:space="preserve">  </w:t>
      </w:r>
    </w:p>
    <w:p w:rsidR="00351203" w:rsidRDefault="00396D7D" w:rsidP="00420DFA">
      <w:pPr>
        <w:pStyle w:val="BodyTextIndent"/>
        <w:ind w:firstLine="0"/>
      </w:pPr>
      <w:r>
        <w:tab/>
        <w:t xml:space="preserve">In short, if ARRA </w:t>
      </w:r>
      <w:r w:rsidR="00B51515">
        <w:t>funds are to be replaced</w:t>
      </w:r>
      <w:r>
        <w:t xml:space="preserve"> at ratepayers expense, that </w:t>
      </w:r>
      <w:r w:rsidR="00B51515">
        <w:t xml:space="preserve">should be done </w:t>
      </w:r>
      <w:r>
        <w:t xml:space="preserve">only </w:t>
      </w:r>
      <w:r w:rsidR="00B51515">
        <w:t xml:space="preserve">after a comprehensive </w:t>
      </w:r>
      <w:r>
        <w:t xml:space="preserve">Commission </w:t>
      </w:r>
      <w:r w:rsidR="00B51515">
        <w:t>review of the entire system benefit charge</w:t>
      </w:r>
      <w:r>
        <w:t xml:space="preserve"> and the programs it funds</w:t>
      </w:r>
      <w:r w:rsidR="00B51515">
        <w:t>.</w:t>
      </w:r>
      <w:r w:rsidR="00420DFA">
        <w:t xml:space="preserve">    </w:t>
      </w:r>
    </w:p>
    <w:p w:rsidR="009A2862" w:rsidRPr="00A45EBB" w:rsidRDefault="009A2862" w:rsidP="00857041">
      <w:pPr>
        <w:pStyle w:val="BodyTextIndent"/>
      </w:pPr>
    </w:p>
    <w:p w:rsidR="00C3471C" w:rsidRDefault="00C3471C" w:rsidP="00C3471C">
      <w:pPr>
        <w:pStyle w:val="BodyTextIndent"/>
        <w:numPr>
          <w:ilvl w:val="0"/>
          <w:numId w:val="1"/>
        </w:numPr>
        <w:ind w:hanging="720"/>
        <w:rPr>
          <w:b/>
          <w:bCs/>
        </w:rPr>
      </w:pPr>
      <w:r>
        <w:rPr>
          <w:b/>
          <w:bCs/>
        </w:rPr>
        <w:t>Does this conclude your testimony?</w:t>
      </w:r>
    </w:p>
    <w:p w:rsidR="00C3471C" w:rsidRDefault="00C3471C" w:rsidP="00C3471C">
      <w:pPr>
        <w:pStyle w:val="BodyTextIndent"/>
      </w:pPr>
      <w:r>
        <w:t>A.</w:t>
      </w:r>
      <w:r>
        <w:tab/>
        <w:t xml:space="preserve">Yes.  </w:t>
      </w:r>
    </w:p>
    <w:p w:rsidR="0089150B" w:rsidRDefault="0089150B"/>
    <w:sectPr w:rsidR="0089150B" w:rsidSect="00153ECA">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6B7" w:rsidRDefault="00C006B7" w:rsidP="00C3471C">
      <w:r>
        <w:separator/>
      </w:r>
    </w:p>
  </w:endnote>
  <w:endnote w:type="continuationSeparator" w:id="0">
    <w:p w:rsidR="00C006B7" w:rsidRDefault="00C006B7" w:rsidP="00C3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B7" w:rsidRPr="00DC40BC" w:rsidRDefault="00C006B7">
    <w:pPr>
      <w:pStyle w:val="Footer"/>
      <w:rPr>
        <w:sz w:val="20"/>
        <w:szCs w:val="20"/>
      </w:rPr>
    </w:pPr>
  </w:p>
  <w:p w:rsidR="00C006B7" w:rsidRPr="00DC40BC" w:rsidRDefault="00C006B7">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C006B7" w:rsidRPr="00DC40BC" w:rsidRDefault="00C006B7"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7505FF" w:rsidRPr="00DC40BC">
      <w:rPr>
        <w:rStyle w:val="PageNumber"/>
        <w:sz w:val="20"/>
        <w:szCs w:val="20"/>
      </w:rPr>
      <w:fldChar w:fldCharType="begin"/>
    </w:r>
    <w:r w:rsidRPr="00DC40BC">
      <w:rPr>
        <w:rStyle w:val="PageNumber"/>
        <w:sz w:val="20"/>
        <w:szCs w:val="20"/>
        <w:lang w:val="fr-FR"/>
      </w:rPr>
      <w:instrText xml:space="preserve"> PAGE </w:instrText>
    </w:r>
    <w:r w:rsidR="007505FF" w:rsidRPr="00DC40BC">
      <w:rPr>
        <w:rStyle w:val="PageNumber"/>
        <w:sz w:val="20"/>
        <w:szCs w:val="20"/>
      </w:rPr>
      <w:fldChar w:fldCharType="separate"/>
    </w:r>
    <w:r>
      <w:rPr>
        <w:rStyle w:val="PageNumber"/>
        <w:noProof/>
        <w:sz w:val="20"/>
        <w:szCs w:val="20"/>
        <w:lang w:val="fr-FR"/>
      </w:rPr>
      <w:t>1</w:t>
    </w:r>
    <w:r w:rsidR="007505FF" w:rsidRPr="00DC40BC">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B7" w:rsidRPr="00DC40BC" w:rsidRDefault="00C006B7">
    <w:pPr>
      <w:pStyle w:val="Footer"/>
      <w:rPr>
        <w:sz w:val="20"/>
        <w:szCs w:val="20"/>
      </w:rPr>
    </w:pPr>
  </w:p>
  <w:p w:rsidR="00C006B7" w:rsidRPr="00DC40BC" w:rsidRDefault="00C006B7">
    <w:pPr>
      <w:pStyle w:val="Footer"/>
      <w:rPr>
        <w:sz w:val="20"/>
        <w:szCs w:val="20"/>
      </w:rPr>
    </w:pPr>
    <w:r>
      <w:rPr>
        <w:sz w:val="20"/>
        <w:szCs w:val="20"/>
      </w:rPr>
      <w:t xml:space="preserve">CROSS-ANSWERING </w:t>
    </w:r>
    <w:r w:rsidRPr="00DC40BC">
      <w:rPr>
        <w:sz w:val="20"/>
        <w:szCs w:val="20"/>
      </w:rPr>
      <w:t>TESTIMONY O</w:t>
    </w:r>
    <w:r>
      <w:rPr>
        <w:sz w:val="20"/>
        <w:szCs w:val="20"/>
      </w:rPr>
      <w:t xml:space="preserve">F THOMAS E. SCHOOLEY </w:t>
    </w:r>
    <w:r>
      <w:rPr>
        <w:sz w:val="20"/>
        <w:szCs w:val="20"/>
      </w:rPr>
      <w:tab/>
      <w:t>Exhibit No. ____ (TES-4T)</w:t>
    </w:r>
  </w:p>
  <w:p w:rsidR="00C006B7" w:rsidRPr="00DC40BC" w:rsidRDefault="00C006B7"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7505FF" w:rsidRPr="00DC40BC">
      <w:rPr>
        <w:rStyle w:val="PageNumber"/>
        <w:sz w:val="20"/>
        <w:szCs w:val="20"/>
      </w:rPr>
      <w:fldChar w:fldCharType="begin"/>
    </w:r>
    <w:r w:rsidRPr="00DC40BC">
      <w:rPr>
        <w:rStyle w:val="PageNumber"/>
        <w:sz w:val="20"/>
        <w:szCs w:val="20"/>
        <w:lang w:val="fr-FR"/>
      </w:rPr>
      <w:instrText xml:space="preserve"> PAGE </w:instrText>
    </w:r>
    <w:r w:rsidR="007505FF" w:rsidRPr="00DC40BC">
      <w:rPr>
        <w:rStyle w:val="PageNumber"/>
        <w:sz w:val="20"/>
        <w:szCs w:val="20"/>
      </w:rPr>
      <w:fldChar w:fldCharType="separate"/>
    </w:r>
    <w:r w:rsidR="008E00E7">
      <w:rPr>
        <w:rStyle w:val="PageNumber"/>
        <w:noProof/>
        <w:sz w:val="20"/>
        <w:szCs w:val="20"/>
        <w:lang w:val="fr-FR"/>
      </w:rPr>
      <w:t>i</w:t>
    </w:r>
    <w:r w:rsidR="007505FF" w:rsidRPr="00DC40BC">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B7" w:rsidRPr="00361428" w:rsidRDefault="00C006B7">
    <w:pPr>
      <w:pStyle w:val="Footer"/>
      <w:rPr>
        <w:sz w:val="20"/>
        <w:szCs w:val="20"/>
      </w:rPr>
    </w:pPr>
  </w:p>
  <w:p w:rsidR="00C006B7" w:rsidRPr="00361428" w:rsidRDefault="00C006B7">
    <w:pPr>
      <w:pStyle w:val="Footer"/>
      <w:rPr>
        <w:sz w:val="20"/>
        <w:szCs w:val="20"/>
      </w:rPr>
    </w:pPr>
    <w:r w:rsidRPr="00361428">
      <w:rPr>
        <w:sz w:val="20"/>
        <w:szCs w:val="20"/>
      </w:rPr>
      <w:t>TESTIMONY OF THOMAS E. SCHOOLEY</w:t>
    </w:r>
    <w:r>
      <w:rPr>
        <w:sz w:val="20"/>
        <w:szCs w:val="20"/>
      </w:rPr>
      <w:tab/>
    </w:r>
    <w:r w:rsidRPr="00361428">
      <w:rPr>
        <w:sz w:val="20"/>
        <w:szCs w:val="20"/>
      </w:rPr>
      <w:tab/>
      <w:t xml:space="preserve">Exhibit No. </w:t>
    </w:r>
    <w:r>
      <w:rPr>
        <w:sz w:val="20"/>
        <w:szCs w:val="20"/>
      </w:rPr>
      <w:t>___ (</w:t>
    </w:r>
    <w:r w:rsidRPr="00361428">
      <w:rPr>
        <w:sz w:val="20"/>
        <w:szCs w:val="20"/>
      </w:rPr>
      <w:t>TES-</w:t>
    </w:r>
    <w:r>
      <w:rPr>
        <w:sz w:val="20"/>
        <w:szCs w:val="20"/>
      </w:rPr>
      <w:t>4</w:t>
    </w:r>
    <w:r w:rsidRPr="00361428">
      <w:rPr>
        <w:sz w:val="20"/>
        <w:szCs w:val="20"/>
      </w:rPr>
      <w:t>T</w:t>
    </w:r>
    <w:r>
      <w:rPr>
        <w:sz w:val="20"/>
        <w:szCs w:val="20"/>
      </w:rPr>
      <w:t>)</w:t>
    </w:r>
  </w:p>
  <w:p w:rsidR="00C006B7" w:rsidRPr="00361428" w:rsidRDefault="00C006B7" w:rsidP="00EF5A6D">
    <w:pPr>
      <w:pStyle w:val="Footer"/>
      <w:rPr>
        <w:sz w:val="20"/>
        <w:szCs w:val="20"/>
      </w:rPr>
    </w:pPr>
    <w:r w:rsidRPr="00361428">
      <w:rPr>
        <w:sz w:val="20"/>
        <w:szCs w:val="20"/>
      </w:rPr>
      <w:t>Docket</w:t>
    </w:r>
    <w:r w:rsidRPr="00361428">
      <w:rPr>
        <w:sz w:val="20"/>
        <w:szCs w:val="20"/>
        <w:lang w:val="fr-FR"/>
      </w:rPr>
      <w:t xml:space="preserve"> No. UE-100749</w:t>
    </w:r>
    <w:r w:rsidRPr="00361428">
      <w:rPr>
        <w:sz w:val="20"/>
        <w:szCs w:val="20"/>
        <w:lang w:val="fr-FR"/>
      </w:rPr>
      <w:tab/>
    </w:r>
    <w:r w:rsidRPr="00361428">
      <w:rPr>
        <w:sz w:val="20"/>
        <w:szCs w:val="20"/>
        <w:lang w:val="fr-FR"/>
      </w:rPr>
      <w:tab/>
      <w:t xml:space="preserve">Page </w:t>
    </w:r>
    <w:r w:rsidR="007505FF" w:rsidRPr="00361428">
      <w:rPr>
        <w:rStyle w:val="PageNumber"/>
        <w:sz w:val="20"/>
        <w:szCs w:val="20"/>
      </w:rPr>
      <w:fldChar w:fldCharType="begin"/>
    </w:r>
    <w:r w:rsidRPr="00361428">
      <w:rPr>
        <w:rStyle w:val="PageNumber"/>
        <w:sz w:val="20"/>
        <w:szCs w:val="20"/>
        <w:lang w:val="fr-FR"/>
      </w:rPr>
      <w:instrText xml:space="preserve"> PAGE </w:instrText>
    </w:r>
    <w:r w:rsidR="007505FF" w:rsidRPr="00361428">
      <w:rPr>
        <w:rStyle w:val="PageNumber"/>
        <w:sz w:val="20"/>
        <w:szCs w:val="20"/>
      </w:rPr>
      <w:fldChar w:fldCharType="separate"/>
    </w:r>
    <w:r w:rsidR="008E00E7">
      <w:rPr>
        <w:rStyle w:val="PageNumber"/>
        <w:noProof/>
        <w:sz w:val="20"/>
        <w:szCs w:val="20"/>
        <w:lang w:val="fr-FR"/>
      </w:rPr>
      <w:t>12</w:t>
    </w:r>
    <w:r w:rsidR="007505FF" w:rsidRPr="00361428">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6B7" w:rsidRDefault="00C006B7" w:rsidP="00C3471C">
      <w:r>
        <w:separator/>
      </w:r>
    </w:p>
  </w:footnote>
  <w:footnote w:type="continuationSeparator" w:id="0">
    <w:p w:rsidR="00C006B7" w:rsidRDefault="00C006B7" w:rsidP="00C3471C">
      <w:r>
        <w:continuationSeparator/>
      </w:r>
    </w:p>
  </w:footnote>
  <w:footnote w:id="1">
    <w:p w:rsidR="00C006B7" w:rsidRDefault="00C006B7">
      <w:pPr>
        <w:pStyle w:val="FootnoteText"/>
      </w:pPr>
      <w:r>
        <w:rPr>
          <w:rStyle w:val="FootnoteReference"/>
        </w:rPr>
        <w:footnoteRef/>
      </w:r>
      <w:r>
        <w:t xml:space="preserve"> Exhibit No. ___ (GRM-1CT) at page 8:5-7.</w:t>
      </w:r>
    </w:p>
  </w:footnote>
  <w:footnote w:id="2">
    <w:p w:rsidR="00C006B7" w:rsidRDefault="00C006B7">
      <w:pPr>
        <w:pStyle w:val="FootnoteText"/>
      </w:pPr>
      <w:r>
        <w:rPr>
          <w:rStyle w:val="FootnoteReference"/>
        </w:rPr>
        <w:footnoteRef/>
      </w:r>
      <w:r>
        <w:t xml:space="preserve"> Exhibit No. ___ (GRM-1CT) at page 4:20.</w:t>
      </w:r>
    </w:p>
  </w:footnote>
  <w:footnote w:id="3">
    <w:p w:rsidR="00C006B7" w:rsidRDefault="00C006B7">
      <w:pPr>
        <w:pStyle w:val="FootnoteText"/>
      </w:pPr>
      <w:r>
        <w:rPr>
          <w:rStyle w:val="FootnoteReference"/>
        </w:rPr>
        <w:footnoteRef/>
      </w:r>
      <w:r>
        <w:t xml:space="preserve"> Exhibit No. ___ (GRM-1CT) at pages 15-16.</w:t>
      </w:r>
    </w:p>
  </w:footnote>
  <w:footnote w:id="4">
    <w:p w:rsidR="00C006B7" w:rsidRDefault="00C006B7">
      <w:pPr>
        <w:pStyle w:val="FootnoteText"/>
      </w:pPr>
      <w:r>
        <w:rPr>
          <w:rStyle w:val="FootnoteReference"/>
        </w:rPr>
        <w:footnoteRef/>
      </w:r>
      <w:r>
        <w:t xml:space="preserve"> Another problem is that the five-year sample Public Counsel and IC NU used may be too short to appropriately capture a usage trend.</w:t>
      </w:r>
    </w:p>
  </w:footnote>
  <w:footnote w:id="5">
    <w:p w:rsidR="00C006B7" w:rsidRDefault="00C006B7">
      <w:pPr>
        <w:pStyle w:val="FootnoteText"/>
      </w:pPr>
      <w:r>
        <w:rPr>
          <w:rStyle w:val="FootnoteReference"/>
        </w:rPr>
        <w:footnoteRef/>
      </w:r>
      <w:r>
        <w:t xml:space="preserve"> Exhibit No. ___ (RBD-3) at Tab 3, page 3.1.2.  The temperature normalization adjustment for all classes was 105.8 million kWh.</w:t>
      </w:r>
    </w:p>
  </w:footnote>
  <w:footnote w:id="6">
    <w:p w:rsidR="00C006B7" w:rsidRDefault="00C006B7">
      <w:pPr>
        <w:pStyle w:val="FootnoteText"/>
      </w:pPr>
      <w:r>
        <w:rPr>
          <w:rStyle w:val="FootnoteReference"/>
        </w:rPr>
        <w:footnoteRef/>
      </w:r>
      <w:r>
        <w:t xml:space="preserve"> Docket UE-090205, Exhibit No. ___ (RBD-3) at Tab 3, page 3.1.2.  The temperature normalization adjustment for all classes was 75.2 million kWh.</w:t>
      </w:r>
    </w:p>
  </w:footnote>
  <w:footnote w:id="7">
    <w:p w:rsidR="00C006B7" w:rsidRDefault="00C006B7">
      <w:pPr>
        <w:pStyle w:val="FootnoteText"/>
      </w:pPr>
      <w:r>
        <w:rPr>
          <w:rStyle w:val="FootnoteReference"/>
        </w:rPr>
        <w:footnoteRef/>
      </w:r>
      <w:r>
        <w:t xml:space="preserve"> The comparable data from Docket UE-090205 and Docket UE-100749 shown above include residential area lights.  Excluding this small load and those few customers from both sets of data shows annual normalized residential usage per customer in the period ending June 2008 at 15,427 kWh per customer; and in the period ending December 2009 at 15,293 kWh per customer.  Source of these data is the cost-of-service work papers of PacifiCorp witness Craig Paice for both dockets.</w:t>
      </w:r>
    </w:p>
  </w:footnote>
  <w:footnote w:id="8">
    <w:p w:rsidR="00C006B7" w:rsidRDefault="00C006B7">
      <w:pPr>
        <w:pStyle w:val="FootnoteText"/>
      </w:pPr>
      <w:r>
        <w:rPr>
          <w:rStyle w:val="FootnoteReference"/>
        </w:rPr>
        <w:footnoteRef/>
      </w:r>
      <w:r>
        <w:t xml:space="preserve"> Exhibit No. ___ (DWS-1T) at page 3:16-18.</w:t>
      </w:r>
    </w:p>
  </w:footnote>
  <w:footnote w:id="9">
    <w:p w:rsidR="00C006B7" w:rsidRDefault="00C006B7">
      <w:pPr>
        <w:pStyle w:val="FootnoteText"/>
      </w:pPr>
      <w:r>
        <w:rPr>
          <w:rStyle w:val="FootnoteReference"/>
        </w:rPr>
        <w:footnoteRef/>
      </w:r>
      <w:r>
        <w:t xml:space="preserve"> Exhibit No. ___ (DWS-1T) at page 3:10-11.</w:t>
      </w:r>
    </w:p>
  </w:footnote>
  <w:footnote w:id="10">
    <w:p w:rsidR="00C006B7" w:rsidRDefault="00C006B7">
      <w:pPr>
        <w:pStyle w:val="FootnoteText"/>
      </w:pPr>
      <w:r>
        <w:rPr>
          <w:rStyle w:val="FootnoteReference"/>
        </w:rPr>
        <w:footnoteRef/>
      </w:r>
      <w:r>
        <w:t xml:space="preserve"> Exhibit No. ___ (DWS-1T) at page 6:7-20.</w:t>
      </w:r>
    </w:p>
  </w:footnote>
  <w:footnote w:id="11">
    <w:p w:rsidR="00C006B7" w:rsidRDefault="00C006B7">
      <w:pPr>
        <w:pStyle w:val="FootnoteText"/>
      </w:pPr>
      <w:r>
        <w:rPr>
          <w:rStyle w:val="FootnoteReference"/>
        </w:rPr>
        <w:footnoteRef/>
      </w:r>
      <w:r>
        <w:t xml:space="preserve">  Exhibit No. ___ (DWS-1T) at page 6:12-14.</w:t>
      </w:r>
    </w:p>
  </w:footnote>
  <w:footnote w:id="12">
    <w:p w:rsidR="00C006B7" w:rsidRDefault="00C006B7">
      <w:pPr>
        <w:pStyle w:val="FootnoteText"/>
      </w:pPr>
      <w:r>
        <w:rPr>
          <w:rStyle w:val="FootnoteReference"/>
        </w:rPr>
        <w:footnoteRef/>
      </w:r>
      <w:r>
        <w:t xml:space="preserve"> The Commission approved a settlement in Docket UE-090205 that split Schedule 48T into two groups.  There is one customer on the dedicated facilities schedule.</w:t>
      </w:r>
    </w:p>
  </w:footnote>
  <w:footnote w:id="13">
    <w:p w:rsidR="00C006B7" w:rsidRDefault="00C006B7" w:rsidP="00D57270">
      <w:pPr>
        <w:pStyle w:val="FootnoteText"/>
      </w:pPr>
      <w:r>
        <w:rPr>
          <w:rStyle w:val="FootnoteReference"/>
        </w:rPr>
        <w:footnoteRef/>
      </w:r>
      <w:r>
        <w:t xml:space="preserve"> Calculations of the revenue to expense ratio, or parity ratio, are based on PacifiCorp’s filed case in each of the following sources:  *1 UE-050684, work papers of William Griffith; *2 UE-061546, Exhibit No. ___ (WRG-4); *3 UE-080220 work papers of Mark Tucker; *4 UE-090205 work papers of Craig Paice; *5 UE-100749 work papers of Craig Paice.  </w:t>
      </w:r>
    </w:p>
  </w:footnote>
  <w:footnote w:id="14">
    <w:p w:rsidR="00C006B7" w:rsidRDefault="00C006B7">
      <w:pPr>
        <w:pStyle w:val="FootnoteText"/>
      </w:pPr>
      <w:r>
        <w:rPr>
          <w:rStyle w:val="FootnoteReference"/>
        </w:rPr>
        <w:footnoteRef/>
      </w:r>
      <w:r>
        <w:t xml:space="preserve"> Exhibit No. ___ (CME-1T) at page 14:2-6.</w:t>
      </w:r>
    </w:p>
  </w:footnote>
  <w:footnote w:id="15">
    <w:p w:rsidR="00C006B7" w:rsidRDefault="00C006B7">
      <w:pPr>
        <w:pStyle w:val="FootnoteText"/>
      </w:pPr>
      <w:r>
        <w:rPr>
          <w:rStyle w:val="FootnoteReference"/>
        </w:rPr>
        <w:footnoteRef/>
      </w:r>
      <w:r>
        <w:t xml:space="preserve"> </w:t>
      </w:r>
      <w:r w:rsidRPr="00D25F57">
        <w:rPr>
          <w:i/>
        </w:rPr>
        <w:t>UTC v. Washington Water Power</w:t>
      </w:r>
      <w:r>
        <w:rPr>
          <w:i/>
        </w:rPr>
        <w:t xml:space="preserve"> Co.</w:t>
      </w:r>
      <w:r w:rsidRPr="00D25F57">
        <w:rPr>
          <w:i/>
        </w:rPr>
        <w:t xml:space="preserve">, </w:t>
      </w:r>
      <w:r w:rsidRPr="00D529BA">
        <w:t>Docket UG-901459, Third Supplemental Order at 17 (March 9, 1992).</w:t>
      </w:r>
    </w:p>
  </w:footnote>
  <w:footnote w:id="16">
    <w:p w:rsidR="00C006B7" w:rsidRDefault="00C006B7">
      <w:pPr>
        <w:pStyle w:val="FootnoteText"/>
      </w:pPr>
      <w:r>
        <w:rPr>
          <w:rStyle w:val="FootnoteReference"/>
        </w:rPr>
        <w:footnoteRef/>
      </w:r>
      <w:r>
        <w:t xml:space="preserve"> The customer charge is derived from column “Residential Schedule 16” line 124, Customer –Total Revenue Requirement, divided by line 137, Average Customers, divided by 12. (i.e. $12,025,371÷103,542÷12 = $9.68).</w:t>
      </w:r>
    </w:p>
  </w:footnote>
  <w:footnote w:id="17">
    <w:p w:rsidR="00C006B7" w:rsidRDefault="00C006B7">
      <w:pPr>
        <w:pStyle w:val="FootnoteText"/>
      </w:pPr>
      <w:r>
        <w:rPr>
          <w:rStyle w:val="FootnoteReference"/>
        </w:rPr>
        <w:footnoteRef/>
      </w:r>
      <w:r>
        <w:t xml:space="preserve"> Exhibit No. ___ (CME-1T) at page 11:12-16.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E52"/>
    <w:multiLevelType w:val="hybridMultilevel"/>
    <w:tmpl w:val="8F3A1430"/>
    <w:lvl w:ilvl="0" w:tplc="E83AABC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622789"/>
    <w:multiLevelType w:val="hybridMultilevel"/>
    <w:tmpl w:val="96E40F56"/>
    <w:lvl w:ilvl="0" w:tplc="C66C9F8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564165"/>
    <w:multiLevelType w:val="hybridMultilevel"/>
    <w:tmpl w:val="1660B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4736A8"/>
    <w:multiLevelType w:val="hybridMultilevel"/>
    <w:tmpl w:val="AC9C8886"/>
    <w:lvl w:ilvl="0" w:tplc="89065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3A0EAD"/>
    <w:multiLevelType w:val="hybridMultilevel"/>
    <w:tmpl w:val="75B8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205062"/>
    <w:multiLevelType w:val="hybridMultilevel"/>
    <w:tmpl w:val="FAD0A9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20917C9"/>
    <w:multiLevelType w:val="hybridMultilevel"/>
    <w:tmpl w:val="088AE594"/>
    <w:lvl w:ilvl="0" w:tplc="06380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471C"/>
    <w:rsid w:val="00006546"/>
    <w:rsid w:val="00012A78"/>
    <w:rsid w:val="0001777B"/>
    <w:rsid w:val="0001779B"/>
    <w:rsid w:val="00021C97"/>
    <w:rsid w:val="00021EE0"/>
    <w:rsid w:val="00026DFF"/>
    <w:rsid w:val="00041C75"/>
    <w:rsid w:val="00045A65"/>
    <w:rsid w:val="000500A4"/>
    <w:rsid w:val="000526AD"/>
    <w:rsid w:val="00052F38"/>
    <w:rsid w:val="00062185"/>
    <w:rsid w:val="000634F9"/>
    <w:rsid w:val="00065C55"/>
    <w:rsid w:val="00083D95"/>
    <w:rsid w:val="00083E12"/>
    <w:rsid w:val="00091F34"/>
    <w:rsid w:val="000936EB"/>
    <w:rsid w:val="00095D1B"/>
    <w:rsid w:val="00097E49"/>
    <w:rsid w:val="000B1DAE"/>
    <w:rsid w:val="000B45AB"/>
    <w:rsid w:val="000B78E3"/>
    <w:rsid w:val="000C0818"/>
    <w:rsid w:val="000C4E79"/>
    <w:rsid w:val="000C6862"/>
    <w:rsid w:val="000D7CD2"/>
    <w:rsid w:val="000E6EFA"/>
    <w:rsid w:val="000F6447"/>
    <w:rsid w:val="00107A7F"/>
    <w:rsid w:val="00111376"/>
    <w:rsid w:val="001217DD"/>
    <w:rsid w:val="001253FE"/>
    <w:rsid w:val="00132C64"/>
    <w:rsid w:val="00136F29"/>
    <w:rsid w:val="001532EB"/>
    <w:rsid w:val="00153ECA"/>
    <w:rsid w:val="001663B0"/>
    <w:rsid w:val="001753AD"/>
    <w:rsid w:val="00177FC6"/>
    <w:rsid w:val="001822A4"/>
    <w:rsid w:val="00184A3B"/>
    <w:rsid w:val="00186138"/>
    <w:rsid w:val="00186784"/>
    <w:rsid w:val="00190A7E"/>
    <w:rsid w:val="001913B5"/>
    <w:rsid w:val="001919F1"/>
    <w:rsid w:val="00195C4D"/>
    <w:rsid w:val="001A041D"/>
    <w:rsid w:val="001A1155"/>
    <w:rsid w:val="001B0D48"/>
    <w:rsid w:val="001C52BB"/>
    <w:rsid w:val="001C5ABF"/>
    <w:rsid w:val="001C5ACC"/>
    <w:rsid w:val="001C7B44"/>
    <w:rsid w:val="001D1A05"/>
    <w:rsid w:val="001E021F"/>
    <w:rsid w:val="001E4F33"/>
    <w:rsid w:val="001F057C"/>
    <w:rsid w:val="001F2CDD"/>
    <w:rsid w:val="001F480F"/>
    <w:rsid w:val="00207378"/>
    <w:rsid w:val="00213B4E"/>
    <w:rsid w:val="002248FE"/>
    <w:rsid w:val="002254C1"/>
    <w:rsid w:val="00233960"/>
    <w:rsid w:val="00235C33"/>
    <w:rsid w:val="00242475"/>
    <w:rsid w:val="00250D4D"/>
    <w:rsid w:val="002576FB"/>
    <w:rsid w:val="002642D5"/>
    <w:rsid w:val="0027398C"/>
    <w:rsid w:val="002813E0"/>
    <w:rsid w:val="00283276"/>
    <w:rsid w:val="002929A4"/>
    <w:rsid w:val="002A3DF9"/>
    <w:rsid w:val="002B3A2B"/>
    <w:rsid w:val="002B69B5"/>
    <w:rsid w:val="002C15BD"/>
    <w:rsid w:val="002C4BC8"/>
    <w:rsid w:val="002C5600"/>
    <w:rsid w:val="002E2BC0"/>
    <w:rsid w:val="002E2D7E"/>
    <w:rsid w:val="00311392"/>
    <w:rsid w:val="00317303"/>
    <w:rsid w:val="00324A0E"/>
    <w:rsid w:val="003348AD"/>
    <w:rsid w:val="00335741"/>
    <w:rsid w:val="00342790"/>
    <w:rsid w:val="00343B61"/>
    <w:rsid w:val="0034595D"/>
    <w:rsid w:val="00351203"/>
    <w:rsid w:val="0036092A"/>
    <w:rsid w:val="00361428"/>
    <w:rsid w:val="00361C98"/>
    <w:rsid w:val="00361D1E"/>
    <w:rsid w:val="00387B46"/>
    <w:rsid w:val="0039298A"/>
    <w:rsid w:val="00394E7D"/>
    <w:rsid w:val="00395CD8"/>
    <w:rsid w:val="00396D7D"/>
    <w:rsid w:val="003A3151"/>
    <w:rsid w:val="003A5C9C"/>
    <w:rsid w:val="003A64F3"/>
    <w:rsid w:val="003A6633"/>
    <w:rsid w:val="003B094F"/>
    <w:rsid w:val="003B566C"/>
    <w:rsid w:val="003C449C"/>
    <w:rsid w:val="003C5F0F"/>
    <w:rsid w:val="003C75B1"/>
    <w:rsid w:val="003D4346"/>
    <w:rsid w:val="003E7C5A"/>
    <w:rsid w:val="003F144C"/>
    <w:rsid w:val="003F4BEF"/>
    <w:rsid w:val="004021D8"/>
    <w:rsid w:val="0041077F"/>
    <w:rsid w:val="00414EDE"/>
    <w:rsid w:val="00420DFA"/>
    <w:rsid w:val="00421D2A"/>
    <w:rsid w:val="00423B9A"/>
    <w:rsid w:val="00431779"/>
    <w:rsid w:val="00435DD7"/>
    <w:rsid w:val="00436237"/>
    <w:rsid w:val="00443AF2"/>
    <w:rsid w:val="00452AA9"/>
    <w:rsid w:val="00473369"/>
    <w:rsid w:val="004753B1"/>
    <w:rsid w:val="0047625B"/>
    <w:rsid w:val="004828CF"/>
    <w:rsid w:val="00493D41"/>
    <w:rsid w:val="00495D6C"/>
    <w:rsid w:val="00496C2B"/>
    <w:rsid w:val="004A032B"/>
    <w:rsid w:val="004A35AA"/>
    <w:rsid w:val="004A3F57"/>
    <w:rsid w:val="004B55C5"/>
    <w:rsid w:val="004C28BD"/>
    <w:rsid w:val="004C5754"/>
    <w:rsid w:val="004D0941"/>
    <w:rsid w:val="004D1BEC"/>
    <w:rsid w:val="004D42C5"/>
    <w:rsid w:val="004E46C8"/>
    <w:rsid w:val="004E659D"/>
    <w:rsid w:val="004F0155"/>
    <w:rsid w:val="004F3468"/>
    <w:rsid w:val="004F4837"/>
    <w:rsid w:val="004F7BD8"/>
    <w:rsid w:val="00500B69"/>
    <w:rsid w:val="00504A14"/>
    <w:rsid w:val="00505BBD"/>
    <w:rsid w:val="005141DA"/>
    <w:rsid w:val="005150BA"/>
    <w:rsid w:val="005253F6"/>
    <w:rsid w:val="005337CC"/>
    <w:rsid w:val="00542394"/>
    <w:rsid w:val="0054310E"/>
    <w:rsid w:val="00552C9C"/>
    <w:rsid w:val="0057208C"/>
    <w:rsid w:val="0058126B"/>
    <w:rsid w:val="00584A97"/>
    <w:rsid w:val="005867B7"/>
    <w:rsid w:val="0058795B"/>
    <w:rsid w:val="00591985"/>
    <w:rsid w:val="005A5165"/>
    <w:rsid w:val="005C64FE"/>
    <w:rsid w:val="005C6B62"/>
    <w:rsid w:val="005D30A9"/>
    <w:rsid w:val="005D4A15"/>
    <w:rsid w:val="005D51D0"/>
    <w:rsid w:val="005D626C"/>
    <w:rsid w:val="005E2FAF"/>
    <w:rsid w:val="005F136D"/>
    <w:rsid w:val="005F589A"/>
    <w:rsid w:val="00601923"/>
    <w:rsid w:val="006024D1"/>
    <w:rsid w:val="00615272"/>
    <w:rsid w:val="0061654D"/>
    <w:rsid w:val="00623987"/>
    <w:rsid w:val="00624DD1"/>
    <w:rsid w:val="00626DF7"/>
    <w:rsid w:val="0063116C"/>
    <w:rsid w:val="00632499"/>
    <w:rsid w:val="00633EB2"/>
    <w:rsid w:val="006348F4"/>
    <w:rsid w:val="00636974"/>
    <w:rsid w:val="006450AA"/>
    <w:rsid w:val="0065130E"/>
    <w:rsid w:val="006878F7"/>
    <w:rsid w:val="00687A61"/>
    <w:rsid w:val="00690287"/>
    <w:rsid w:val="006A72E3"/>
    <w:rsid w:val="006B0266"/>
    <w:rsid w:val="006B0E7A"/>
    <w:rsid w:val="006B691A"/>
    <w:rsid w:val="006C4EBB"/>
    <w:rsid w:val="006C635C"/>
    <w:rsid w:val="006E304F"/>
    <w:rsid w:val="006E5A89"/>
    <w:rsid w:val="006E7C5D"/>
    <w:rsid w:val="006F317A"/>
    <w:rsid w:val="007072ED"/>
    <w:rsid w:val="00726CFF"/>
    <w:rsid w:val="007276C3"/>
    <w:rsid w:val="00735CD7"/>
    <w:rsid w:val="00740C16"/>
    <w:rsid w:val="007442B8"/>
    <w:rsid w:val="00744447"/>
    <w:rsid w:val="007505FF"/>
    <w:rsid w:val="0075308D"/>
    <w:rsid w:val="007604DF"/>
    <w:rsid w:val="00767846"/>
    <w:rsid w:val="00774FA1"/>
    <w:rsid w:val="0077697A"/>
    <w:rsid w:val="00781CC3"/>
    <w:rsid w:val="00790FEE"/>
    <w:rsid w:val="00791D8C"/>
    <w:rsid w:val="007954EB"/>
    <w:rsid w:val="007A6466"/>
    <w:rsid w:val="007B016E"/>
    <w:rsid w:val="007B03FD"/>
    <w:rsid w:val="007B4011"/>
    <w:rsid w:val="007C007D"/>
    <w:rsid w:val="007C099F"/>
    <w:rsid w:val="007C1817"/>
    <w:rsid w:val="007C6CB8"/>
    <w:rsid w:val="007C7F2A"/>
    <w:rsid w:val="007D08E1"/>
    <w:rsid w:val="007D3C1E"/>
    <w:rsid w:val="007D7513"/>
    <w:rsid w:val="007E539D"/>
    <w:rsid w:val="007F16CA"/>
    <w:rsid w:val="00800FAA"/>
    <w:rsid w:val="00801C0B"/>
    <w:rsid w:val="00807754"/>
    <w:rsid w:val="00810969"/>
    <w:rsid w:val="0081374F"/>
    <w:rsid w:val="008172A4"/>
    <w:rsid w:val="00830345"/>
    <w:rsid w:val="008303F8"/>
    <w:rsid w:val="0084124F"/>
    <w:rsid w:val="00842481"/>
    <w:rsid w:val="00844230"/>
    <w:rsid w:val="00844F5B"/>
    <w:rsid w:val="00847726"/>
    <w:rsid w:val="00857041"/>
    <w:rsid w:val="008819EE"/>
    <w:rsid w:val="008853E7"/>
    <w:rsid w:val="00890C1C"/>
    <w:rsid w:val="0089150B"/>
    <w:rsid w:val="008A49E2"/>
    <w:rsid w:val="008C3FCC"/>
    <w:rsid w:val="008C47E7"/>
    <w:rsid w:val="008D3D95"/>
    <w:rsid w:val="008E00E7"/>
    <w:rsid w:val="008E1068"/>
    <w:rsid w:val="008E5BDA"/>
    <w:rsid w:val="008E6FF7"/>
    <w:rsid w:val="00906957"/>
    <w:rsid w:val="00910412"/>
    <w:rsid w:val="00911547"/>
    <w:rsid w:val="00917AFD"/>
    <w:rsid w:val="00920E51"/>
    <w:rsid w:val="009255B6"/>
    <w:rsid w:val="00926C75"/>
    <w:rsid w:val="00940D8D"/>
    <w:rsid w:val="00946D51"/>
    <w:rsid w:val="00951137"/>
    <w:rsid w:val="00952099"/>
    <w:rsid w:val="00962CC1"/>
    <w:rsid w:val="009667D7"/>
    <w:rsid w:val="00970720"/>
    <w:rsid w:val="009712C4"/>
    <w:rsid w:val="0097197B"/>
    <w:rsid w:val="00975895"/>
    <w:rsid w:val="00975C07"/>
    <w:rsid w:val="009773BC"/>
    <w:rsid w:val="00983AF8"/>
    <w:rsid w:val="009948A0"/>
    <w:rsid w:val="009A2862"/>
    <w:rsid w:val="009A4537"/>
    <w:rsid w:val="009A4758"/>
    <w:rsid w:val="009C3540"/>
    <w:rsid w:val="009D19F5"/>
    <w:rsid w:val="009F6692"/>
    <w:rsid w:val="00A00636"/>
    <w:rsid w:val="00A15DBB"/>
    <w:rsid w:val="00A20618"/>
    <w:rsid w:val="00A25C67"/>
    <w:rsid w:val="00A33DB5"/>
    <w:rsid w:val="00A42081"/>
    <w:rsid w:val="00A42D23"/>
    <w:rsid w:val="00A45EBB"/>
    <w:rsid w:val="00A5328A"/>
    <w:rsid w:val="00A548A4"/>
    <w:rsid w:val="00A5798B"/>
    <w:rsid w:val="00A65B5B"/>
    <w:rsid w:val="00A664BB"/>
    <w:rsid w:val="00A704AB"/>
    <w:rsid w:val="00A73D19"/>
    <w:rsid w:val="00A7568B"/>
    <w:rsid w:val="00A76400"/>
    <w:rsid w:val="00A82383"/>
    <w:rsid w:val="00AB76D9"/>
    <w:rsid w:val="00AD13A9"/>
    <w:rsid w:val="00AE1715"/>
    <w:rsid w:val="00AE2A91"/>
    <w:rsid w:val="00AE39B2"/>
    <w:rsid w:val="00AE4478"/>
    <w:rsid w:val="00AE685A"/>
    <w:rsid w:val="00AE7A1B"/>
    <w:rsid w:val="00B03E83"/>
    <w:rsid w:val="00B16725"/>
    <w:rsid w:val="00B2403A"/>
    <w:rsid w:val="00B24BD7"/>
    <w:rsid w:val="00B24D73"/>
    <w:rsid w:val="00B2563D"/>
    <w:rsid w:val="00B30906"/>
    <w:rsid w:val="00B51515"/>
    <w:rsid w:val="00B52356"/>
    <w:rsid w:val="00B60793"/>
    <w:rsid w:val="00B6163D"/>
    <w:rsid w:val="00B85D0A"/>
    <w:rsid w:val="00B9168F"/>
    <w:rsid w:val="00B91CC2"/>
    <w:rsid w:val="00BA1FA1"/>
    <w:rsid w:val="00BA58FD"/>
    <w:rsid w:val="00BD1B7B"/>
    <w:rsid w:val="00BD301A"/>
    <w:rsid w:val="00BE4AC8"/>
    <w:rsid w:val="00BE5DFA"/>
    <w:rsid w:val="00BF73C0"/>
    <w:rsid w:val="00BF7F21"/>
    <w:rsid w:val="00C006B7"/>
    <w:rsid w:val="00C054F8"/>
    <w:rsid w:val="00C114B9"/>
    <w:rsid w:val="00C124F9"/>
    <w:rsid w:val="00C1375B"/>
    <w:rsid w:val="00C234C2"/>
    <w:rsid w:val="00C27AD8"/>
    <w:rsid w:val="00C32E23"/>
    <w:rsid w:val="00C3471C"/>
    <w:rsid w:val="00C408EE"/>
    <w:rsid w:val="00C455A4"/>
    <w:rsid w:val="00C47FCB"/>
    <w:rsid w:val="00C64EBD"/>
    <w:rsid w:val="00C66D22"/>
    <w:rsid w:val="00C87BE6"/>
    <w:rsid w:val="00C91EB4"/>
    <w:rsid w:val="00C931FD"/>
    <w:rsid w:val="00C94B9A"/>
    <w:rsid w:val="00CA6AA4"/>
    <w:rsid w:val="00CB0380"/>
    <w:rsid w:val="00CB062F"/>
    <w:rsid w:val="00CB203D"/>
    <w:rsid w:val="00CC63ED"/>
    <w:rsid w:val="00CD4065"/>
    <w:rsid w:val="00CE76F9"/>
    <w:rsid w:val="00D04012"/>
    <w:rsid w:val="00D12BEE"/>
    <w:rsid w:val="00D21789"/>
    <w:rsid w:val="00D25451"/>
    <w:rsid w:val="00D25F57"/>
    <w:rsid w:val="00D315F8"/>
    <w:rsid w:val="00D4066A"/>
    <w:rsid w:val="00D4141B"/>
    <w:rsid w:val="00D4461E"/>
    <w:rsid w:val="00D529BA"/>
    <w:rsid w:val="00D54977"/>
    <w:rsid w:val="00D57270"/>
    <w:rsid w:val="00D6102D"/>
    <w:rsid w:val="00D63690"/>
    <w:rsid w:val="00D63806"/>
    <w:rsid w:val="00D64D1E"/>
    <w:rsid w:val="00D658BF"/>
    <w:rsid w:val="00D746D9"/>
    <w:rsid w:val="00D855A0"/>
    <w:rsid w:val="00D8685A"/>
    <w:rsid w:val="00D90AB1"/>
    <w:rsid w:val="00D93E33"/>
    <w:rsid w:val="00D96559"/>
    <w:rsid w:val="00DA1B6E"/>
    <w:rsid w:val="00DA7405"/>
    <w:rsid w:val="00DB6DA6"/>
    <w:rsid w:val="00DC40BC"/>
    <w:rsid w:val="00DC5157"/>
    <w:rsid w:val="00DC566D"/>
    <w:rsid w:val="00DD10CB"/>
    <w:rsid w:val="00DD2B2C"/>
    <w:rsid w:val="00DD441B"/>
    <w:rsid w:val="00DD6E85"/>
    <w:rsid w:val="00DD6FF1"/>
    <w:rsid w:val="00DE22BA"/>
    <w:rsid w:val="00DE6831"/>
    <w:rsid w:val="00DE7A86"/>
    <w:rsid w:val="00DF0DA3"/>
    <w:rsid w:val="00DF567B"/>
    <w:rsid w:val="00E23290"/>
    <w:rsid w:val="00E34B63"/>
    <w:rsid w:val="00E35FAD"/>
    <w:rsid w:val="00E44EE1"/>
    <w:rsid w:val="00E62CF6"/>
    <w:rsid w:val="00E64487"/>
    <w:rsid w:val="00E76C8A"/>
    <w:rsid w:val="00E8209C"/>
    <w:rsid w:val="00E83CB8"/>
    <w:rsid w:val="00E87BCB"/>
    <w:rsid w:val="00E92297"/>
    <w:rsid w:val="00EA1CF2"/>
    <w:rsid w:val="00EA20D4"/>
    <w:rsid w:val="00EA5286"/>
    <w:rsid w:val="00EB3910"/>
    <w:rsid w:val="00EB5CE0"/>
    <w:rsid w:val="00EB7CDA"/>
    <w:rsid w:val="00EC32AE"/>
    <w:rsid w:val="00ED0B3C"/>
    <w:rsid w:val="00ED373B"/>
    <w:rsid w:val="00EE19FF"/>
    <w:rsid w:val="00EE1D57"/>
    <w:rsid w:val="00EF4CD7"/>
    <w:rsid w:val="00EF5A6D"/>
    <w:rsid w:val="00F00F1A"/>
    <w:rsid w:val="00F0772E"/>
    <w:rsid w:val="00F12CFA"/>
    <w:rsid w:val="00F17247"/>
    <w:rsid w:val="00F20A46"/>
    <w:rsid w:val="00F20AAF"/>
    <w:rsid w:val="00F27CBA"/>
    <w:rsid w:val="00F43FD5"/>
    <w:rsid w:val="00F53A0A"/>
    <w:rsid w:val="00F54589"/>
    <w:rsid w:val="00F6045B"/>
    <w:rsid w:val="00F65579"/>
    <w:rsid w:val="00F716F9"/>
    <w:rsid w:val="00F723EF"/>
    <w:rsid w:val="00F7493B"/>
    <w:rsid w:val="00F74FD5"/>
    <w:rsid w:val="00F75ABC"/>
    <w:rsid w:val="00F81CE7"/>
    <w:rsid w:val="00F83D36"/>
    <w:rsid w:val="00F9110B"/>
    <w:rsid w:val="00F94F02"/>
    <w:rsid w:val="00F97C6B"/>
    <w:rsid w:val="00FB2A42"/>
    <w:rsid w:val="00FB69B9"/>
    <w:rsid w:val="00FB6F77"/>
    <w:rsid w:val="00FC1084"/>
    <w:rsid w:val="00FC3A19"/>
    <w:rsid w:val="00FD377A"/>
    <w:rsid w:val="00FD75F4"/>
    <w:rsid w:val="00FE5F77"/>
    <w:rsid w:val="00FE73D6"/>
    <w:rsid w:val="00FF3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2">
    <w:name w:val="heading 2"/>
    <w:basedOn w:val="Normal"/>
    <w:next w:val="Normal"/>
    <w:link w:val="Heading2Char"/>
    <w:uiPriority w:val="9"/>
    <w:unhideWhenUsed/>
    <w:qFormat/>
    <w:rsid w:val="00EF5A6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1C"/>
    <w:rPr>
      <w:rFonts w:eastAsia="Times New Roman" w:cs="Times New Roman"/>
      <w:b/>
      <w:bCs/>
      <w:szCs w:val="24"/>
    </w:rPr>
  </w:style>
  <w:style w:type="character" w:customStyle="1" w:styleId="Heading3Char">
    <w:name w:val="Heading 3 Char"/>
    <w:basedOn w:val="DefaultParagraphFont"/>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basedOn w:val="DefaultParagraphFont"/>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basedOn w:val="DefaultParagraphFont"/>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semiHidden/>
    <w:unhideWhenUsed/>
    <w:rsid w:val="00C3471C"/>
    <w:pPr>
      <w:tabs>
        <w:tab w:val="center" w:pos="4680"/>
        <w:tab w:val="right" w:pos="9360"/>
      </w:tabs>
    </w:pPr>
  </w:style>
  <w:style w:type="character" w:customStyle="1" w:styleId="HeaderChar">
    <w:name w:val="Header Char"/>
    <w:basedOn w:val="DefaultParagraphFont"/>
    <w:link w:val="Header"/>
    <w:uiPriority w:val="99"/>
    <w:semiHidden/>
    <w:rsid w:val="00C3471C"/>
    <w:rPr>
      <w:rFonts w:eastAsia="Times New Roman" w:cs="Times New Roman"/>
      <w:szCs w:val="24"/>
    </w:rPr>
  </w:style>
  <w:style w:type="character" w:customStyle="1" w:styleId="Heading2Char">
    <w:name w:val="Heading 2 Char"/>
    <w:basedOn w:val="DefaultParagraphFont"/>
    <w:link w:val="Heading2"/>
    <w:uiPriority w:val="9"/>
    <w:rsid w:val="00EF5A6D"/>
    <w:rPr>
      <w:rFonts w:ascii="Cambria" w:eastAsia="Times New Roman" w:hAnsi="Cambria" w:cs="Times New Roman"/>
      <w:b/>
      <w:bCs/>
      <w:i/>
      <w:iCs/>
      <w:sz w:val="28"/>
      <w:szCs w:val="28"/>
    </w:rPr>
  </w:style>
  <w:style w:type="paragraph" w:styleId="BodyTextIndent2">
    <w:name w:val="Body Text Indent 2"/>
    <w:basedOn w:val="Normal"/>
    <w:link w:val="BodyTextIndent2Char"/>
    <w:uiPriority w:val="99"/>
    <w:semiHidden/>
    <w:unhideWhenUsed/>
    <w:rsid w:val="00EF5A6D"/>
    <w:pPr>
      <w:spacing w:after="120" w:line="480" w:lineRule="auto"/>
      <w:ind w:left="360"/>
    </w:pPr>
  </w:style>
  <w:style w:type="character" w:customStyle="1" w:styleId="BodyTextIndent2Char">
    <w:name w:val="Body Text Indent 2 Char"/>
    <w:basedOn w:val="DefaultParagraphFont"/>
    <w:link w:val="BodyTextIndent2"/>
    <w:uiPriority w:val="99"/>
    <w:semiHidden/>
    <w:rsid w:val="00EF5A6D"/>
    <w:rPr>
      <w:rFonts w:eastAsia="Times New Roman"/>
      <w:sz w:val="24"/>
      <w:szCs w:val="24"/>
    </w:rPr>
  </w:style>
  <w:style w:type="paragraph" w:styleId="BodyText2">
    <w:name w:val="Body Text 2"/>
    <w:basedOn w:val="Normal"/>
    <w:link w:val="BodyText2Char"/>
    <w:rsid w:val="00EF5A6D"/>
    <w:pPr>
      <w:spacing w:after="120" w:line="480" w:lineRule="auto"/>
    </w:pPr>
  </w:style>
  <w:style w:type="character" w:customStyle="1" w:styleId="BodyText2Char">
    <w:name w:val="Body Text 2 Char"/>
    <w:basedOn w:val="DefaultParagraphFont"/>
    <w:link w:val="BodyText2"/>
    <w:rsid w:val="00EF5A6D"/>
    <w:rPr>
      <w:rFonts w:eastAsia="Times New Roman"/>
      <w:sz w:val="24"/>
      <w:szCs w:val="24"/>
    </w:rPr>
  </w:style>
  <w:style w:type="paragraph" w:styleId="FootnoteText">
    <w:name w:val="footnote text"/>
    <w:basedOn w:val="Normal"/>
    <w:link w:val="FootnoteTextChar"/>
    <w:semiHidden/>
    <w:rsid w:val="00EF5A6D"/>
    <w:rPr>
      <w:sz w:val="20"/>
      <w:szCs w:val="20"/>
    </w:rPr>
  </w:style>
  <w:style w:type="character" w:customStyle="1" w:styleId="FootnoteTextChar">
    <w:name w:val="Footnote Text Char"/>
    <w:basedOn w:val="DefaultParagraphFont"/>
    <w:link w:val="FootnoteText"/>
    <w:semiHidden/>
    <w:rsid w:val="00EF5A6D"/>
    <w:rPr>
      <w:rFonts w:eastAsia="Times New Roman"/>
    </w:rPr>
  </w:style>
  <w:style w:type="character" w:styleId="FootnoteReference">
    <w:name w:val="footnote reference"/>
    <w:basedOn w:val="DefaultParagraphFont"/>
    <w:semiHidden/>
    <w:rsid w:val="00EF5A6D"/>
    <w:rPr>
      <w:vertAlign w:val="superscript"/>
    </w:rPr>
  </w:style>
  <w:style w:type="character" w:styleId="CommentReference">
    <w:name w:val="annotation reference"/>
    <w:basedOn w:val="DefaultParagraphFont"/>
    <w:uiPriority w:val="99"/>
    <w:semiHidden/>
    <w:unhideWhenUsed/>
    <w:rsid w:val="00EF5A6D"/>
    <w:rPr>
      <w:sz w:val="16"/>
      <w:szCs w:val="16"/>
    </w:rPr>
  </w:style>
  <w:style w:type="paragraph" w:styleId="CommentText">
    <w:name w:val="annotation text"/>
    <w:basedOn w:val="Normal"/>
    <w:link w:val="CommentTextChar"/>
    <w:uiPriority w:val="99"/>
    <w:semiHidden/>
    <w:unhideWhenUsed/>
    <w:rsid w:val="00EF5A6D"/>
    <w:rPr>
      <w:sz w:val="20"/>
      <w:szCs w:val="20"/>
    </w:rPr>
  </w:style>
  <w:style w:type="character" w:customStyle="1" w:styleId="CommentTextChar">
    <w:name w:val="Comment Text Char"/>
    <w:basedOn w:val="DefaultParagraphFont"/>
    <w:link w:val="CommentText"/>
    <w:uiPriority w:val="99"/>
    <w:semiHidden/>
    <w:rsid w:val="00EF5A6D"/>
    <w:rPr>
      <w:rFonts w:eastAsia="Times New Roman"/>
    </w:rPr>
  </w:style>
  <w:style w:type="paragraph" w:styleId="ListParagraph">
    <w:name w:val="List Paragraph"/>
    <w:basedOn w:val="Normal"/>
    <w:uiPriority w:val="34"/>
    <w:qFormat/>
    <w:rsid w:val="00EF5A6D"/>
    <w:pPr>
      <w:ind w:left="720"/>
      <w:contextualSpacing/>
    </w:pPr>
  </w:style>
  <w:style w:type="paragraph" w:styleId="BalloonText">
    <w:name w:val="Balloon Text"/>
    <w:basedOn w:val="Normal"/>
    <w:link w:val="BalloonTextChar"/>
    <w:uiPriority w:val="99"/>
    <w:semiHidden/>
    <w:unhideWhenUsed/>
    <w:rsid w:val="00C27AD8"/>
    <w:rPr>
      <w:rFonts w:ascii="Tahoma" w:hAnsi="Tahoma" w:cs="Tahoma"/>
      <w:sz w:val="16"/>
      <w:szCs w:val="16"/>
    </w:rPr>
  </w:style>
  <w:style w:type="character" w:customStyle="1" w:styleId="BalloonTextChar">
    <w:name w:val="Balloon Text Char"/>
    <w:basedOn w:val="DefaultParagraphFont"/>
    <w:link w:val="BalloonText"/>
    <w:uiPriority w:val="99"/>
    <w:semiHidden/>
    <w:rsid w:val="00C27AD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42475"/>
    <w:rPr>
      <w:b/>
      <w:bCs/>
    </w:rPr>
  </w:style>
  <w:style w:type="character" w:customStyle="1" w:styleId="CommentSubjectChar">
    <w:name w:val="Comment Subject Char"/>
    <w:basedOn w:val="CommentTextChar"/>
    <w:link w:val="CommentSubject"/>
    <w:uiPriority w:val="99"/>
    <w:semiHidden/>
    <w:rsid w:val="00242475"/>
    <w:rPr>
      <w:b/>
      <w:bCs/>
    </w:rPr>
  </w:style>
</w:styles>
</file>

<file path=word/webSettings.xml><?xml version="1.0" encoding="utf-8"?>
<w:webSettings xmlns:r="http://schemas.openxmlformats.org/officeDocument/2006/relationships" xmlns:w="http://schemas.openxmlformats.org/wordprocessingml/2006/main">
  <w:divs>
    <w:div w:id="247693049">
      <w:bodyDiv w:val="1"/>
      <w:marLeft w:val="0"/>
      <w:marRight w:val="0"/>
      <w:marTop w:val="0"/>
      <w:marBottom w:val="0"/>
      <w:divBdr>
        <w:top w:val="none" w:sz="0" w:space="0" w:color="auto"/>
        <w:left w:val="none" w:sz="0" w:space="0" w:color="auto"/>
        <w:bottom w:val="none" w:sz="0" w:space="0" w:color="auto"/>
        <w:right w:val="none" w:sz="0" w:space="0" w:color="auto"/>
      </w:divBdr>
    </w:div>
    <w:div w:id="340202343">
      <w:bodyDiv w:val="1"/>
      <w:marLeft w:val="0"/>
      <w:marRight w:val="0"/>
      <w:marTop w:val="0"/>
      <w:marBottom w:val="0"/>
      <w:divBdr>
        <w:top w:val="none" w:sz="0" w:space="0" w:color="auto"/>
        <w:left w:val="none" w:sz="0" w:space="0" w:color="auto"/>
        <w:bottom w:val="none" w:sz="0" w:space="0" w:color="auto"/>
        <w:right w:val="none" w:sz="0" w:space="0" w:color="auto"/>
      </w:divBdr>
    </w:div>
    <w:div w:id="443227645">
      <w:bodyDiv w:val="1"/>
      <w:marLeft w:val="0"/>
      <w:marRight w:val="0"/>
      <w:marTop w:val="0"/>
      <w:marBottom w:val="0"/>
      <w:divBdr>
        <w:top w:val="none" w:sz="0" w:space="0" w:color="auto"/>
        <w:left w:val="none" w:sz="0" w:space="0" w:color="auto"/>
        <w:bottom w:val="none" w:sz="0" w:space="0" w:color="auto"/>
        <w:right w:val="none" w:sz="0" w:space="0" w:color="auto"/>
      </w:divBdr>
    </w:div>
    <w:div w:id="1023287935">
      <w:bodyDiv w:val="1"/>
      <w:marLeft w:val="0"/>
      <w:marRight w:val="0"/>
      <w:marTop w:val="0"/>
      <w:marBottom w:val="0"/>
      <w:divBdr>
        <w:top w:val="none" w:sz="0" w:space="0" w:color="auto"/>
        <w:left w:val="none" w:sz="0" w:space="0" w:color="auto"/>
        <w:bottom w:val="none" w:sz="0" w:space="0" w:color="auto"/>
        <w:right w:val="none" w:sz="0" w:space="0" w:color="auto"/>
      </w:divBdr>
    </w:div>
    <w:div w:id="1587767987">
      <w:bodyDiv w:val="1"/>
      <w:marLeft w:val="0"/>
      <w:marRight w:val="0"/>
      <w:marTop w:val="0"/>
      <w:marBottom w:val="0"/>
      <w:divBdr>
        <w:top w:val="none" w:sz="0" w:space="0" w:color="auto"/>
        <w:left w:val="none" w:sz="0" w:space="0" w:color="auto"/>
        <w:bottom w:val="none" w:sz="0" w:space="0" w:color="auto"/>
        <w:right w:val="none" w:sz="0" w:space="0" w:color="auto"/>
      </w:divBdr>
    </w:div>
    <w:div w:id="2066877013">
      <w:bodyDiv w:val="1"/>
      <w:marLeft w:val="0"/>
      <w:marRight w:val="0"/>
      <w:marTop w:val="0"/>
      <w:marBottom w:val="0"/>
      <w:divBdr>
        <w:top w:val="none" w:sz="0" w:space="0" w:color="auto"/>
        <w:left w:val="none" w:sz="0" w:space="0" w:color="auto"/>
        <w:bottom w:val="none" w:sz="0" w:space="0" w:color="auto"/>
        <w:right w:val="none" w:sz="0" w:space="0" w:color="auto"/>
      </w:divBdr>
    </w:div>
    <w:div w:id="20901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7467F1-42CB-4AC2-BCE1-9C1594284EA3}"/>
</file>

<file path=customXml/itemProps2.xml><?xml version="1.0" encoding="utf-8"?>
<ds:datastoreItem xmlns:ds="http://schemas.openxmlformats.org/officeDocument/2006/customXml" ds:itemID="{B31E8E81-3C32-442F-81E5-245A5703C00F}"/>
</file>

<file path=customXml/itemProps3.xml><?xml version="1.0" encoding="utf-8"?>
<ds:datastoreItem xmlns:ds="http://schemas.openxmlformats.org/officeDocument/2006/customXml" ds:itemID="{7A6343C0-7E63-451F-9C40-6AC5A916B97E}"/>
</file>

<file path=customXml/itemProps4.xml><?xml version="1.0" encoding="utf-8"?>
<ds:datastoreItem xmlns:ds="http://schemas.openxmlformats.org/officeDocument/2006/customXml" ds:itemID="{D7335920-8832-48A9-81F9-C37F01A6F18E}"/>
</file>

<file path=customXml/itemProps5.xml><?xml version="1.0" encoding="utf-8"?>
<ds:datastoreItem xmlns:ds="http://schemas.openxmlformats.org/officeDocument/2006/customXml" ds:itemID="{BB241DBC-D2BB-4E6D-9EBC-616B9014A5C4}"/>
</file>

<file path=docProps/app.xml><?xml version="1.0" encoding="utf-8"?>
<Properties xmlns="http://schemas.openxmlformats.org/officeDocument/2006/extended-properties" xmlns:vt="http://schemas.openxmlformats.org/officeDocument/2006/docPropsVTypes">
  <Template>Normal.dotm</Template>
  <TotalTime>22</TotalTime>
  <Pages>21</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9</cp:revision>
  <cp:lastPrinted>2010-11-05T20:51:00Z</cp:lastPrinted>
  <dcterms:created xsi:type="dcterms:W3CDTF">2010-11-05T18:29:00Z</dcterms:created>
  <dcterms:modified xsi:type="dcterms:W3CDTF">2010-11-05T20:51:00Z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