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8F0" w:rsidRPr="00DA5DBB" w:rsidRDefault="006C48F0" w:rsidP="00765000">
      <w:pPr>
        <w:pStyle w:val="BodyText"/>
        <w:spacing w:line="264" w:lineRule="auto"/>
        <w:rPr>
          <w:b/>
          <w:bCs/>
          <w:sz w:val="25"/>
          <w:szCs w:val="25"/>
        </w:rPr>
      </w:pPr>
      <w:bookmarkStart w:id="0" w:name="_GoBack"/>
      <w:bookmarkEnd w:id="0"/>
      <w:r w:rsidRPr="00DA5DBB">
        <w:rPr>
          <w:b/>
          <w:bCs/>
          <w:sz w:val="25"/>
          <w:szCs w:val="25"/>
        </w:rPr>
        <w:t>BEFORE THE WASHINGTON</w:t>
      </w:r>
    </w:p>
    <w:p w:rsidR="006C48F0" w:rsidRPr="00DA5DBB" w:rsidRDefault="006C48F0" w:rsidP="00765000">
      <w:pPr>
        <w:pStyle w:val="BodyText"/>
        <w:spacing w:line="264" w:lineRule="auto"/>
        <w:rPr>
          <w:b/>
          <w:bCs/>
          <w:sz w:val="25"/>
          <w:szCs w:val="25"/>
        </w:rPr>
      </w:pPr>
      <w:r w:rsidRPr="00DA5DBB">
        <w:rPr>
          <w:b/>
          <w:bCs/>
          <w:sz w:val="25"/>
          <w:szCs w:val="25"/>
        </w:rPr>
        <w:t>UTILITIES AND TRANSPORTATION COMMISSION</w:t>
      </w:r>
    </w:p>
    <w:p w:rsidR="00D4097B" w:rsidRPr="00D4097B" w:rsidRDefault="00D4097B" w:rsidP="00765000">
      <w:pPr>
        <w:spacing w:line="264" w:lineRule="auto"/>
        <w:rPr>
          <w:sz w:val="25"/>
          <w:szCs w:val="25"/>
        </w:rPr>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D4097B" w:rsidRPr="00D4097B" w:rsidTr="00D4097B">
        <w:tc>
          <w:tcPr>
            <w:tcW w:w="4308" w:type="dxa"/>
          </w:tcPr>
          <w:p w:rsidR="00202492" w:rsidRDefault="00202492" w:rsidP="00765000">
            <w:pPr>
              <w:spacing w:line="264" w:lineRule="auto"/>
              <w:rPr>
                <w:sz w:val="25"/>
                <w:szCs w:val="25"/>
              </w:rPr>
            </w:pPr>
            <w:r w:rsidRPr="00202492">
              <w:rPr>
                <w:sz w:val="25"/>
                <w:szCs w:val="25"/>
              </w:rPr>
              <w:t>In the Matter of the Petition of</w:t>
            </w:r>
          </w:p>
          <w:p w:rsidR="00202492" w:rsidRDefault="00202492" w:rsidP="00765000">
            <w:pPr>
              <w:spacing w:line="264" w:lineRule="auto"/>
              <w:rPr>
                <w:sz w:val="25"/>
                <w:szCs w:val="25"/>
              </w:rPr>
            </w:pPr>
          </w:p>
          <w:p w:rsidR="00202492" w:rsidRDefault="00202492" w:rsidP="00765000">
            <w:pPr>
              <w:spacing w:line="264" w:lineRule="auto"/>
              <w:rPr>
                <w:sz w:val="25"/>
                <w:szCs w:val="25"/>
              </w:rPr>
            </w:pPr>
            <w:r w:rsidRPr="00202492">
              <w:rPr>
                <w:sz w:val="25"/>
                <w:szCs w:val="25"/>
              </w:rPr>
              <w:t>P</w:t>
            </w:r>
            <w:r>
              <w:rPr>
                <w:sz w:val="25"/>
                <w:szCs w:val="25"/>
              </w:rPr>
              <w:t>UGET SOUND ENERGY, INC. and NW ENERGY COALITION</w:t>
            </w:r>
          </w:p>
          <w:p w:rsidR="00202492" w:rsidRDefault="00202492" w:rsidP="00765000">
            <w:pPr>
              <w:spacing w:line="264" w:lineRule="auto"/>
              <w:rPr>
                <w:sz w:val="25"/>
                <w:szCs w:val="25"/>
              </w:rPr>
            </w:pPr>
          </w:p>
          <w:p w:rsidR="00202492" w:rsidRDefault="00202492" w:rsidP="00765000">
            <w:pPr>
              <w:spacing w:line="264" w:lineRule="auto"/>
              <w:rPr>
                <w:sz w:val="25"/>
                <w:szCs w:val="25"/>
              </w:rPr>
            </w:pPr>
            <w:r w:rsidRPr="00202492">
              <w:rPr>
                <w:sz w:val="25"/>
                <w:szCs w:val="25"/>
              </w:rPr>
              <w:t>For an Order Authorizing PSE to Implement Electric and Natural Gas Decoupling Mechanisms and to Record Accounting Entries Associated with the Mechanisms</w:t>
            </w:r>
          </w:p>
          <w:p w:rsidR="00D4097B" w:rsidRDefault="00D4097B" w:rsidP="00765000">
            <w:pPr>
              <w:spacing w:line="264" w:lineRule="auto"/>
              <w:rPr>
                <w:sz w:val="25"/>
                <w:szCs w:val="25"/>
              </w:rPr>
            </w:pPr>
            <w:r w:rsidRPr="00D4097B">
              <w:rPr>
                <w:sz w:val="25"/>
                <w:szCs w:val="25"/>
              </w:rPr>
              <w:t xml:space="preserve">. . . . . . . . . . . . . . . . . . . . . . . . . . . . . . . . . </w:t>
            </w:r>
          </w:p>
          <w:p w:rsidR="00765000" w:rsidRDefault="00765000" w:rsidP="00765000">
            <w:pPr>
              <w:spacing w:line="264" w:lineRule="auto"/>
              <w:rPr>
                <w:sz w:val="25"/>
                <w:szCs w:val="25"/>
              </w:rPr>
            </w:pPr>
          </w:p>
          <w:p w:rsidR="00765000" w:rsidRDefault="00765000" w:rsidP="00765000">
            <w:pPr>
              <w:spacing w:line="264" w:lineRule="auto"/>
              <w:rPr>
                <w:sz w:val="25"/>
                <w:szCs w:val="25"/>
              </w:rPr>
            </w:pPr>
            <w:r w:rsidRPr="00DA5DBB">
              <w:rPr>
                <w:sz w:val="25"/>
                <w:szCs w:val="25"/>
              </w:rPr>
              <w:t>WASHINGTON UTILITIES AND TRANSPORTATION COMMISSION,</w:t>
            </w:r>
          </w:p>
          <w:p w:rsidR="00765000" w:rsidRPr="00DA5DBB" w:rsidRDefault="00765000" w:rsidP="00765000">
            <w:pPr>
              <w:spacing w:line="264" w:lineRule="auto"/>
              <w:rPr>
                <w:sz w:val="25"/>
                <w:szCs w:val="25"/>
              </w:rPr>
            </w:pPr>
          </w:p>
          <w:p w:rsidR="00765000" w:rsidRPr="00DA5DBB" w:rsidRDefault="00765000" w:rsidP="00765000">
            <w:pPr>
              <w:spacing w:line="264" w:lineRule="auto"/>
              <w:rPr>
                <w:sz w:val="25"/>
                <w:szCs w:val="25"/>
              </w:rPr>
            </w:pPr>
            <w:r w:rsidRPr="00DA5DBB">
              <w:rPr>
                <w:sz w:val="25"/>
                <w:szCs w:val="25"/>
              </w:rPr>
              <w:t xml:space="preserve">                           Complainant,</w:t>
            </w:r>
          </w:p>
          <w:p w:rsidR="00765000" w:rsidRPr="00DA5DBB" w:rsidRDefault="00765000" w:rsidP="00765000">
            <w:pPr>
              <w:spacing w:line="264" w:lineRule="auto"/>
              <w:rPr>
                <w:sz w:val="25"/>
                <w:szCs w:val="25"/>
              </w:rPr>
            </w:pPr>
          </w:p>
          <w:p w:rsidR="00765000" w:rsidRPr="00DA5DBB" w:rsidRDefault="00765000" w:rsidP="00765000">
            <w:pPr>
              <w:spacing w:line="264" w:lineRule="auto"/>
              <w:rPr>
                <w:sz w:val="25"/>
                <w:szCs w:val="25"/>
              </w:rPr>
            </w:pPr>
            <w:r w:rsidRPr="00DA5DBB">
              <w:rPr>
                <w:sz w:val="25"/>
                <w:szCs w:val="25"/>
              </w:rPr>
              <w:t>v.</w:t>
            </w:r>
          </w:p>
          <w:p w:rsidR="00765000" w:rsidRPr="00DA5DBB" w:rsidRDefault="00765000" w:rsidP="00765000">
            <w:pPr>
              <w:spacing w:line="264" w:lineRule="auto"/>
              <w:rPr>
                <w:sz w:val="25"/>
                <w:szCs w:val="25"/>
              </w:rPr>
            </w:pPr>
          </w:p>
          <w:p w:rsidR="00765000" w:rsidRPr="00DA5DBB" w:rsidRDefault="00765000" w:rsidP="00765000">
            <w:pPr>
              <w:spacing w:line="264" w:lineRule="auto"/>
              <w:rPr>
                <w:sz w:val="25"/>
                <w:szCs w:val="25"/>
              </w:rPr>
            </w:pPr>
            <w:r w:rsidRPr="00DA5DBB">
              <w:rPr>
                <w:sz w:val="25"/>
                <w:szCs w:val="25"/>
              </w:rPr>
              <w:t>PUGET SOUND ENERGY, INC.</w:t>
            </w:r>
            <w:r>
              <w:rPr>
                <w:sz w:val="25"/>
                <w:szCs w:val="25"/>
              </w:rPr>
              <w:t>,</w:t>
            </w:r>
          </w:p>
          <w:p w:rsidR="00765000" w:rsidRPr="00DA5DBB" w:rsidRDefault="00765000" w:rsidP="00765000">
            <w:pPr>
              <w:spacing w:line="264" w:lineRule="auto"/>
              <w:rPr>
                <w:b/>
                <w:bCs/>
                <w:sz w:val="25"/>
                <w:szCs w:val="25"/>
              </w:rPr>
            </w:pPr>
          </w:p>
          <w:p w:rsidR="00765000" w:rsidRPr="00DA5DBB" w:rsidRDefault="00765000" w:rsidP="00765000">
            <w:pPr>
              <w:spacing w:line="264" w:lineRule="auto"/>
              <w:rPr>
                <w:sz w:val="25"/>
                <w:szCs w:val="25"/>
              </w:rPr>
            </w:pPr>
            <w:r w:rsidRPr="00DA5DBB">
              <w:rPr>
                <w:sz w:val="25"/>
                <w:szCs w:val="25"/>
              </w:rPr>
              <w:t xml:space="preserve">                           Respondent.</w:t>
            </w:r>
          </w:p>
          <w:p w:rsidR="00765000" w:rsidRPr="00DA5DBB" w:rsidRDefault="00765000" w:rsidP="00765000">
            <w:pPr>
              <w:spacing w:line="264" w:lineRule="auto"/>
              <w:rPr>
                <w:sz w:val="25"/>
                <w:szCs w:val="25"/>
              </w:rPr>
            </w:pPr>
          </w:p>
          <w:p w:rsidR="00765000" w:rsidRPr="00D4097B" w:rsidRDefault="00765000" w:rsidP="00765000">
            <w:pPr>
              <w:spacing w:line="264" w:lineRule="auto"/>
              <w:rPr>
                <w:sz w:val="25"/>
                <w:szCs w:val="25"/>
              </w:rPr>
            </w:pPr>
            <w:r w:rsidRPr="00DA5DBB">
              <w:rPr>
                <w:sz w:val="25"/>
                <w:szCs w:val="25"/>
              </w:rPr>
              <w:t>. . . . . . . . . . . . . . . . . . . . . . . . . . . . . . . . .</w:t>
            </w:r>
          </w:p>
        </w:tc>
        <w:tc>
          <w:tcPr>
            <w:tcW w:w="300" w:type="dxa"/>
          </w:tcPr>
          <w:p w:rsidR="00D4097B" w:rsidRPr="00D4097B" w:rsidRDefault="00D4097B" w:rsidP="00765000">
            <w:pPr>
              <w:spacing w:line="264" w:lineRule="auto"/>
              <w:rPr>
                <w:sz w:val="25"/>
                <w:szCs w:val="25"/>
              </w:rPr>
            </w:pPr>
            <w:r w:rsidRPr="00D4097B">
              <w:rPr>
                <w:sz w:val="25"/>
                <w:szCs w:val="25"/>
              </w:rPr>
              <w:t>)</w:t>
            </w:r>
          </w:p>
          <w:p w:rsidR="00D4097B" w:rsidRPr="00D4097B" w:rsidRDefault="00D4097B" w:rsidP="00765000">
            <w:pPr>
              <w:spacing w:line="264" w:lineRule="auto"/>
              <w:rPr>
                <w:sz w:val="25"/>
                <w:szCs w:val="25"/>
              </w:rPr>
            </w:pPr>
            <w:r w:rsidRPr="00D4097B">
              <w:rPr>
                <w:sz w:val="25"/>
                <w:szCs w:val="25"/>
              </w:rPr>
              <w:t>)</w:t>
            </w:r>
          </w:p>
          <w:p w:rsidR="00D4097B" w:rsidRPr="00D4097B" w:rsidRDefault="00D4097B" w:rsidP="00765000">
            <w:pPr>
              <w:spacing w:line="264" w:lineRule="auto"/>
              <w:rPr>
                <w:sz w:val="25"/>
                <w:szCs w:val="25"/>
              </w:rPr>
            </w:pPr>
            <w:r w:rsidRPr="00D4097B">
              <w:rPr>
                <w:sz w:val="25"/>
                <w:szCs w:val="25"/>
              </w:rPr>
              <w:t>)</w:t>
            </w:r>
          </w:p>
          <w:p w:rsidR="00D4097B" w:rsidRPr="00D4097B" w:rsidRDefault="00D4097B" w:rsidP="00765000">
            <w:pPr>
              <w:spacing w:line="264" w:lineRule="auto"/>
              <w:rPr>
                <w:sz w:val="25"/>
                <w:szCs w:val="25"/>
              </w:rPr>
            </w:pPr>
            <w:r w:rsidRPr="00D4097B">
              <w:rPr>
                <w:sz w:val="25"/>
                <w:szCs w:val="25"/>
              </w:rPr>
              <w:t>)</w:t>
            </w:r>
          </w:p>
          <w:p w:rsidR="00D4097B" w:rsidRPr="00D4097B" w:rsidRDefault="00D4097B" w:rsidP="00765000">
            <w:pPr>
              <w:spacing w:line="264" w:lineRule="auto"/>
              <w:rPr>
                <w:sz w:val="25"/>
                <w:szCs w:val="25"/>
              </w:rPr>
            </w:pPr>
            <w:r w:rsidRPr="00D4097B">
              <w:rPr>
                <w:sz w:val="25"/>
                <w:szCs w:val="25"/>
              </w:rPr>
              <w:t>)</w:t>
            </w:r>
          </w:p>
          <w:p w:rsidR="00D4097B" w:rsidRPr="00D4097B" w:rsidRDefault="00D4097B" w:rsidP="00765000">
            <w:pPr>
              <w:spacing w:line="264" w:lineRule="auto"/>
              <w:rPr>
                <w:sz w:val="25"/>
                <w:szCs w:val="25"/>
              </w:rPr>
            </w:pPr>
            <w:r w:rsidRPr="00D4097B">
              <w:rPr>
                <w:sz w:val="25"/>
                <w:szCs w:val="25"/>
              </w:rPr>
              <w:t>)</w:t>
            </w:r>
          </w:p>
          <w:p w:rsidR="00D4097B" w:rsidRPr="00D4097B" w:rsidRDefault="00D4097B" w:rsidP="00765000">
            <w:pPr>
              <w:spacing w:line="264" w:lineRule="auto"/>
              <w:rPr>
                <w:sz w:val="25"/>
                <w:szCs w:val="25"/>
              </w:rPr>
            </w:pPr>
            <w:r w:rsidRPr="00D4097B">
              <w:rPr>
                <w:sz w:val="25"/>
                <w:szCs w:val="25"/>
              </w:rPr>
              <w:t>)</w:t>
            </w:r>
          </w:p>
          <w:p w:rsidR="00D4097B" w:rsidRPr="00D4097B" w:rsidRDefault="00D4097B" w:rsidP="00765000">
            <w:pPr>
              <w:spacing w:line="264" w:lineRule="auto"/>
              <w:rPr>
                <w:sz w:val="25"/>
                <w:szCs w:val="25"/>
              </w:rPr>
            </w:pPr>
            <w:r w:rsidRPr="00D4097B">
              <w:rPr>
                <w:sz w:val="25"/>
                <w:szCs w:val="25"/>
              </w:rPr>
              <w:t>)</w:t>
            </w:r>
          </w:p>
          <w:p w:rsidR="00D4097B" w:rsidRPr="00D4097B" w:rsidRDefault="00D4097B" w:rsidP="00765000">
            <w:pPr>
              <w:spacing w:line="264" w:lineRule="auto"/>
              <w:rPr>
                <w:sz w:val="25"/>
                <w:szCs w:val="25"/>
              </w:rPr>
            </w:pPr>
            <w:r w:rsidRPr="00D4097B">
              <w:rPr>
                <w:sz w:val="25"/>
                <w:szCs w:val="25"/>
              </w:rPr>
              <w:t>)</w:t>
            </w:r>
          </w:p>
          <w:p w:rsidR="00D4097B" w:rsidRPr="00D4097B" w:rsidRDefault="00D4097B" w:rsidP="00765000">
            <w:pPr>
              <w:spacing w:line="264" w:lineRule="auto"/>
              <w:rPr>
                <w:sz w:val="25"/>
                <w:szCs w:val="25"/>
              </w:rPr>
            </w:pPr>
            <w:r w:rsidRPr="00D4097B">
              <w:rPr>
                <w:sz w:val="25"/>
                <w:szCs w:val="25"/>
              </w:rPr>
              <w:t>)</w:t>
            </w:r>
          </w:p>
          <w:p w:rsidR="00D4097B" w:rsidRPr="00D4097B" w:rsidRDefault="00D4097B" w:rsidP="00765000">
            <w:pPr>
              <w:spacing w:line="264" w:lineRule="auto"/>
              <w:rPr>
                <w:sz w:val="25"/>
                <w:szCs w:val="25"/>
              </w:rPr>
            </w:pPr>
            <w:r w:rsidRPr="00D4097B">
              <w:rPr>
                <w:sz w:val="25"/>
                <w:szCs w:val="25"/>
              </w:rPr>
              <w:t>)</w:t>
            </w:r>
          </w:p>
          <w:p w:rsidR="00D4097B" w:rsidRDefault="00D4097B" w:rsidP="00765000">
            <w:pPr>
              <w:spacing w:line="264" w:lineRule="auto"/>
              <w:rPr>
                <w:sz w:val="25"/>
                <w:szCs w:val="25"/>
              </w:rPr>
            </w:pPr>
            <w:r w:rsidRPr="00D4097B">
              <w:rPr>
                <w:sz w:val="25"/>
                <w:szCs w:val="25"/>
              </w:rPr>
              <w:t>)</w:t>
            </w:r>
          </w:p>
          <w:p w:rsidR="00765000" w:rsidRPr="00DA5DBB" w:rsidRDefault="00765000" w:rsidP="00765000">
            <w:pPr>
              <w:spacing w:line="264" w:lineRule="auto"/>
              <w:rPr>
                <w:sz w:val="25"/>
                <w:szCs w:val="25"/>
              </w:rPr>
            </w:pPr>
            <w:r w:rsidRPr="00DA5DBB">
              <w:rPr>
                <w:sz w:val="25"/>
                <w:szCs w:val="25"/>
              </w:rPr>
              <w:t>)</w:t>
            </w:r>
          </w:p>
          <w:p w:rsidR="00765000" w:rsidRPr="00DA5DBB" w:rsidRDefault="00765000" w:rsidP="00765000">
            <w:pPr>
              <w:spacing w:line="264" w:lineRule="auto"/>
              <w:rPr>
                <w:sz w:val="25"/>
                <w:szCs w:val="25"/>
              </w:rPr>
            </w:pPr>
            <w:r w:rsidRPr="00DA5DBB">
              <w:rPr>
                <w:sz w:val="25"/>
                <w:szCs w:val="25"/>
              </w:rPr>
              <w:t>)</w:t>
            </w:r>
          </w:p>
          <w:p w:rsidR="00765000" w:rsidRPr="00DA5DBB" w:rsidRDefault="00765000" w:rsidP="00765000">
            <w:pPr>
              <w:spacing w:line="264" w:lineRule="auto"/>
              <w:rPr>
                <w:sz w:val="25"/>
                <w:szCs w:val="25"/>
              </w:rPr>
            </w:pPr>
            <w:r w:rsidRPr="00DA5DBB">
              <w:rPr>
                <w:sz w:val="25"/>
                <w:szCs w:val="25"/>
              </w:rPr>
              <w:t>)</w:t>
            </w:r>
          </w:p>
          <w:p w:rsidR="00765000" w:rsidRPr="00DA5DBB" w:rsidRDefault="00765000" w:rsidP="00765000">
            <w:pPr>
              <w:spacing w:line="264" w:lineRule="auto"/>
              <w:rPr>
                <w:sz w:val="25"/>
                <w:szCs w:val="25"/>
              </w:rPr>
            </w:pPr>
            <w:r w:rsidRPr="00DA5DBB">
              <w:rPr>
                <w:sz w:val="25"/>
                <w:szCs w:val="25"/>
              </w:rPr>
              <w:t>)</w:t>
            </w:r>
          </w:p>
          <w:p w:rsidR="00765000" w:rsidRPr="00DA5DBB" w:rsidRDefault="00765000" w:rsidP="00765000">
            <w:pPr>
              <w:spacing w:line="264" w:lineRule="auto"/>
              <w:rPr>
                <w:sz w:val="25"/>
                <w:szCs w:val="25"/>
              </w:rPr>
            </w:pPr>
            <w:r w:rsidRPr="00DA5DBB">
              <w:rPr>
                <w:sz w:val="25"/>
                <w:szCs w:val="25"/>
              </w:rPr>
              <w:t>)</w:t>
            </w:r>
          </w:p>
          <w:p w:rsidR="00765000" w:rsidRPr="00DA5DBB" w:rsidRDefault="00765000" w:rsidP="00765000">
            <w:pPr>
              <w:spacing w:line="264" w:lineRule="auto"/>
              <w:rPr>
                <w:sz w:val="25"/>
                <w:szCs w:val="25"/>
              </w:rPr>
            </w:pPr>
            <w:r w:rsidRPr="00DA5DBB">
              <w:rPr>
                <w:sz w:val="25"/>
                <w:szCs w:val="25"/>
              </w:rPr>
              <w:t>)</w:t>
            </w:r>
          </w:p>
          <w:p w:rsidR="00765000" w:rsidRPr="00DA5DBB" w:rsidRDefault="00765000" w:rsidP="00765000">
            <w:pPr>
              <w:spacing w:line="264" w:lineRule="auto"/>
              <w:rPr>
                <w:sz w:val="25"/>
                <w:szCs w:val="25"/>
              </w:rPr>
            </w:pPr>
            <w:r w:rsidRPr="00DA5DBB">
              <w:rPr>
                <w:sz w:val="25"/>
                <w:szCs w:val="25"/>
              </w:rPr>
              <w:t>)</w:t>
            </w:r>
          </w:p>
          <w:p w:rsidR="00765000" w:rsidRPr="00DA5DBB" w:rsidRDefault="00765000" w:rsidP="00765000">
            <w:pPr>
              <w:spacing w:line="264" w:lineRule="auto"/>
              <w:rPr>
                <w:sz w:val="25"/>
                <w:szCs w:val="25"/>
              </w:rPr>
            </w:pPr>
            <w:r w:rsidRPr="00DA5DBB">
              <w:rPr>
                <w:sz w:val="25"/>
                <w:szCs w:val="25"/>
              </w:rPr>
              <w:t>)</w:t>
            </w:r>
          </w:p>
          <w:p w:rsidR="00765000" w:rsidRPr="00DA5DBB" w:rsidRDefault="00765000" w:rsidP="00765000">
            <w:pPr>
              <w:spacing w:line="264" w:lineRule="auto"/>
              <w:rPr>
                <w:sz w:val="25"/>
                <w:szCs w:val="25"/>
              </w:rPr>
            </w:pPr>
            <w:r w:rsidRPr="00DA5DBB">
              <w:rPr>
                <w:sz w:val="25"/>
                <w:szCs w:val="25"/>
              </w:rPr>
              <w:t>)</w:t>
            </w:r>
          </w:p>
          <w:p w:rsidR="00765000" w:rsidRPr="00DA5DBB" w:rsidRDefault="00765000" w:rsidP="00765000">
            <w:pPr>
              <w:spacing w:line="264" w:lineRule="auto"/>
              <w:rPr>
                <w:sz w:val="25"/>
                <w:szCs w:val="25"/>
              </w:rPr>
            </w:pPr>
            <w:r w:rsidRPr="00DA5DBB">
              <w:rPr>
                <w:sz w:val="25"/>
                <w:szCs w:val="25"/>
              </w:rPr>
              <w:t>)</w:t>
            </w:r>
          </w:p>
          <w:p w:rsidR="00765000" w:rsidRDefault="00765000" w:rsidP="00765000">
            <w:pPr>
              <w:spacing w:line="264" w:lineRule="auto"/>
              <w:rPr>
                <w:sz w:val="25"/>
                <w:szCs w:val="25"/>
              </w:rPr>
            </w:pPr>
            <w:r>
              <w:rPr>
                <w:sz w:val="25"/>
                <w:szCs w:val="25"/>
              </w:rPr>
              <w:t>)</w:t>
            </w:r>
          </w:p>
          <w:p w:rsidR="00765000" w:rsidRPr="00D4097B" w:rsidRDefault="00765000" w:rsidP="00202492">
            <w:pPr>
              <w:spacing w:line="264" w:lineRule="auto"/>
              <w:rPr>
                <w:sz w:val="25"/>
                <w:szCs w:val="25"/>
              </w:rPr>
            </w:pPr>
            <w:r>
              <w:rPr>
                <w:sz w:val="25"/>
                <w:szCs w:val="25"/>
              </w:rPr>
              <w:t>)</w:t>
            </w:r>
          </w:p>
        </w:tc>
        <w:tc>
          <w:tcPr>
            <w:tcW w:w="4288" w:type="dxa"/>
          </w:tcPr>
          <w:p w:rsidR="00D4097B" w:rsidRPr="00D4097B" w:rsidRDefault="00D4097B" w:rsidP="00765000">
            <w:pPr>
              <w:spacing w:line="264" w:lineRule="auto"/>
              <w:rPr>
                <w:sz w:val="25"/>
                <w:szCs w:val="25"/>
              </w:rPr>
            </w:pPr>
            <w:r w:rsidRPr="00D4097B">
              <w:rPr>
                <w:sz w:val="25"/>
                <w:szCs w:val="25"/>
              </w:rPr>
              <w:t>DOCKETS UE-121697</w:t>
            </w:r>
          </w:p>
          <w:p w:rsidR="00D4097B" w:rsidRPr="00D4097B" w:rsidRDefault="00D4097B" w:rsidP="00765000">
            <w:pPr>
              <w:spacing w:line="264" w:lineRule="auto"/>
              <w:rPr>
                <w:sz w:val="25"/>
                <w:szCs w:val="25"/>
              </w:rPr>
            </w:pPr>
            <w:r w:rsidRPr="00D4097B">
              <w:rPr>
                <w:bCs/>
                <w:sz w:val="25"/>
                <w:szCs w:val="25"/>
              </w:rPr>
              <w:t xml:space="preserve">and </w:t>
            </w:r>
            <w:r w:rsidRPr="00D4097B">
              <w:rPr>
                <w:sz w:val="25"/>
                <w:szCs w:val="25"/>
              </w:rPr>
              <w:t>UG-121705 (</w:t>
            </w:r>
            <w:r w:rsidRPr="00D4097B">
              <w:rPr>
                <w:i/>
                <w:sz w:val="25"/>
                <w:szCs w:val="25"/>
              </w:rPr>
              <w:t>consolidated)</w:t>
            </w:r>
          </w:p>
          <w:p w:rsidR="00D4097B" w:rsidRPr="00D4097B" w:rsidRDefault="00D4097B" w:rsidP="00765000">
            <w:pPr>
              <w:spacing w:line="264" w:lineRule="auto"/>
              <w:rPr>
                <w:sz w:val="25"/>
                <w:szCs w:val="25"/>
              </w:rPr>
            </w:pPr>
          </w:p>
          <w:p w:rsidR="00D4097B" w:rsidRPr="00D4097B" w:rsidRDefault="00D4097B" w:rsidP="00765000">
            <w:pPr>
              <w:spacing w:line="264" w:lineRule="auto"/>
              <w:rPr>
                <w:sz w:val="25"/>
                <w:szCs w:val="25"/>
              </w:rPr>
            </w:pPr>
          </w:p>
          <w:p w:rsidR="00D4097B" w:rsidRPr="00D4097B" w:rsidRDefault="00D4097B" w:rsidP="00765000">
            <w:pPr>
              <w:spacing w:line="264" w:lineRule="auto"/>
              <w:rPr>
                <w:sz w:val="25"/>
                <w:szCs w:val="25"/>
              </w:rPr>
            </w:pPr>
            <w:r w:rsidRPr="00D4097B">
              <w:rPr>
                <w:sz w:val="25"/>
                <w:szCs w:val="25"/>
              </w:rPr>
              <w:t>ORDER 04</w:t>
            </w:r>
          </w:p>
          <w:p w:rsidR="00D4097B" w:rsidRPr="00D4097B" w:rsidRDefault="00D4097B" w:rsidP="00765000">
            <w:pPr>
              <w:spacing w:line="264" w:lineRule="auto"/>
              <w:rPr>
                <w:sz w:val="25"/>
                <w:szCs w:val="25"/>
              </w:rPr>
            </w:pPr>
          </w:p>
          <w:p w:rsidR="00D4097B" w:rsidRPr="00D4097B" w:rsidRDefault="00D4097B" w:rsidP="00765000">
            <w:pPr>
              <w:spacing w:line="264" w:lineRule="auto"/>
              <w:rPr>
                <w:b/>
                <w:bCs/>
                <w:sz w:val="25"/>
                <w:szCs w:val="25"/>
              </w:rPr>
            </w:pPr>
          </w:p>
          <w:p w:rsidR="00D4097B" w:rsidRDefault="00D4097B" w:rsidP="00765000">
            <w:pPr>
              <w:spacing w:line="264" w:lineRule="auto"/>
              <w:rPr>
                <w:sz w:val="25"/>
                <w:szCs w:val="25"/>
              </w:rPr>
            </w:pPr>
            <w:r w:rsidRPr="00D4097B">
              <w:rPr>
                <w:sz w:val="25"/>
                <w:szCs w:val="25"/>
              </w:rPr>
              <w:t>GRANTING LATE-FILED PETITION TO INTERVENE; OVERRULING OBJECTION TO ORDER 02</w:t>
            </w:r>
          </w:p>
          <w:p w:rsidR="00765000" w:rsidRDefault="00765000" w:rsidP="00765000">
            <w:pPr>
              <w:spacing w:line="264" w:lineRule="auto"/>
              <w:rPr>
                <w:sz w:val="25"/>
                <w:szCs w:val="25"/>
              </w:rPr>
            </w:pPr>
          </w:p>
          <w:p w:rsidR="00765000" w:rsidRDefault="00765000" w:rsidP="00765000">
            <w:pPr>
              <w:spacing w:line="264" w:lineRule="auto"/>
              <w:rPr>
                <w:sz w:val="25"/>
                <w:szCs w:val="25"/>
              </w:rPr>
            </w:pPr>
          </w:p>
          <w:p w:rsidR="00765000" w:rsidRPr="00DA5DBB" w:rsidRDefault="00765000" w:rsidP="00765000">
            <w:pPr>
              <w:spacing w:line="264" w:lineRule="auto"/>
              <w:rPr>
                <w:sz w:val="25"/>
                <w:szCs w:val="25"/>
              </w:rPr>
            </w:pPr>
            <w:r w:rsidRPr="00DA5DBB">
              <w:rPr>
                <w:sz w:val="25"/>
                <w:szCs w:val="25"/>
              </w:rPr>
              <w:t>DOCKETS UE-</w:t>
            </w:r>
            <w:r>
              <w:rPr>
                <w:sz w:val="25"/>
                <w:szCs w:val="25"/>
              </w:rPr>
              <w:t>130137</w:t>
            </w:r>
          </w:p>
          <w:p w:rsidR="00765000" w:rsidRPr="00DA5DBB" w:rsidRDefault="00765000" w:rsidP="00765000">
            <w:pPr>
              <w:spacing w:line="264" w:lineRule="auto"/>
              <w:rPr>
                <w:sz w:val="25"/>
                <w:szCs w:val="25"/>
              </w:rPr>
            </w:pPr>
            <w:r>
              <w:rPr>
                <w:bCs/>
                <w:sz w:val="25"/>
                <w:szCs w:val="25"/>
              </w:rPr>
              <w:t>and</w:t>
            </w:r>
            <w:r w:rsidRPr="00DA5DBB">
              <w:rPr>
                <w:bCs/>
                <w:sz w:val="25"/>
                <w:szCs w:val="25"/>
              </w:rPr>
              <w:t xml:space="preserve"> </w:t>
            </w:r>
            <w:r w:rsidRPr="00DA5DBB">
              <w:rPr>
                <w:sz w:val="25"/>
                <w:szCs w:val="25"/>
              </w:rPr>
              <w:t>UG-</w:t>
            </w:r>
            <w:r>
              <w:rPr>
                <w:sz w:val="25"/>
                <w:szCs w:val="25"/>
              </w:rPr>
              <w:t>130138</w:t>
            </w:r>
            <w:r w:rsidRPr="00DA5DBB">
              <w:rPr>
                <w:sz w:val="25"/>
                <w:szCs w:val="25"/>
              </w:rPr>
              <w:t xml:space="preserve"> (</w:t>
            </w:r>
            <w:r w:rsidRPr="001F042B">
              <w:rPr>
                <w:i/>
                <w:sz w:val="25"/>
                <w:szCs w:val="25"/>
              </w:rPr>
              <w:t>consolidated)</w:t>
            </w:r>
          </w:p>
          <w:p w:rsidR="00765000" w:rsidRPr="00DA5DBB" w:rsidRDefault="00765000" w:rsidP="00765000">
            <w:pPr>
              <w:spacing w:line="264" w:lineRule="auto"/>
              <w:ind w:left="192"/>
              <w:rPr>
                <w:sz w:val="25"/>
                <w:szCs w:val="25"/>
              </w:rPr>
            </w:pPr>
          </w:p>
          <w:p w:rsidR="00765000" w:rsidRPr="00DA5DBB" w:rsidRDefault="00765000" w:rsidP="00765000">
            <w:pPr>
              <w:spacing w:line="264" w:lineRule="auto"/>
              <w:ind w:left="192"/>
              <w:rPr>
                <w:sz w:val="25"/>
                <w:szCs w:val="25"/>
              </w:rPr>
            </w:pPr>
          </w:p>
          <w:p w:rsidR="00765000" w:rsidRPr="00DA5DBB" w:rsidRDefault="00765000" w:rsidP="00765000">
            <w:pPr>
              <w:spacing w:line="264" w:lineRule="auto"/>
              <w:rPr>
                <w:sz w:val="25"/>
                <w:szCs w:val="25"/>
              </w:rPr>
            </w:pPr>
            <w:r w:rsidRPr="00DA5DBB">
              <w:rPr>
                <w:sz w:val="25"/>
                <w:szCs w:val="25"/>
              </w:rPr>
              <w:t>ORDER 0</w:t>
            </w:r>
            <w:r>
              <w:rPr>
                <w:sz w:val="25"/>
                <w:szCs w:val="25"/>
              </w:rPr>
              <w:t>4</w:t>
            </w:r>
          </w:p>
          <w:p w:rsidR="00765000" w:rsidRPr="00DA5DBB" w:rsidRDefault="00765000" w:rsidP="00765000">
            <w:pPr>
              <w:spacing w:line="264" w:lineRule="auto"/>
              <w:ind w:left="192"/>
              <w:rPr>
                <w:sz w:val="25"/>
                <w:szCs w:val="25"/>
              </w:rPr>
            </w:pPr>
          </w:p>
          <w:p w:rsidR="00765000" w:rsidRPr="00DA5DBB" w:rsidRDefault="00765000" w:rsidP="00765000">
            <w:pPr>
              <w:spacing w:line="264" w:lineRule="auto"/>
              <w:ind w:left="192"/>
              <w:rPr>
                <w:b/>
                <w:bCs/>
                <w:sz w:val="25"/>
                <w:szCs w:val="25"/>
              </w:rPr>
            </w:pPr>
          </w:p>
          <w:p w:rsidR="00765000" w:rsidRPr="00D4097B" w:rsidRDefault="00765000" w:rsidP="00765000">
            <w:pPr>
              <w:spacing w:line="264" w:lineRule="auto"/>
              <w:rPr>
                <w:b/>
                <w:sz w:val="25"/>
                <w:szCs w:val="25"/>
              </w:rPr>
            </w:pPr>
            <w:r>
              <w:rPr>
                <w:sz w:val="25"/>
                <w:szCs w:val="25"/>
              </w:rPr>
              <w:t>GRANTING LATE-FILED PETITION TO INTERVENE; OVERRULING OBJECTION TO ORDER 02</w:t>
            </w:r>
          </w:p>
        </w:tc>
      </w:tr>
    </w:tbl>
    <w:p w:rsidR="006C48F0" w:rsidRPr="00DA5DBB" w:rsidRDefault="006C48F0" w:rsidP="00765000">
      <w:pPr>
        <w:pStyle w:val="Header"/>
        <w:tabs>
          <w:tab w:val="clear" w:pos="4320"/>
          <w:tab w:val="clear" w:pos="8640"/>
        </w:tabs>
        <w:spacing w:line="264" w:lineRule="auto"/>
        <w:rPr>
          <w:sz w:val="25"/>
          <w:szCs w:val="25"/>
        </w:rPr>
      </w:pPr>
    </w:p>
    <w:p w:rsidR="00C67FF4" w:rsidRPr="00002631" w:rsidRDefault="006D6128" w:rsidP="00765000">
      <w:pPr>
        <w:pStyle w:val="Heading2"/>
        <w:numPr>
          <w:ilvl w:val="0"/>
          <w:numId w:val="0"/>
        </w:numPr>
        <w:spacing w:line="264" w:lineRule="auto"/>
        <w:ind w:left="360"/>
        <w:jc w:val="center"/>
        <w:rPr>
          <w:bCs/>
          <w:szCs w:val="25"/>
          <w:u w:val="single"/>
        </w:rPr>
      </w:pPr>
      <w:r w:rsidRPr="00002631">
        <w:rPr>
          <w:bCs/>
          <w:szCs w:val="25"/>
          <w:u w:val="single"/>
        </w:rPr>
        <w:t>MEMORANDUM</w:t>
      </w:r>
    </w:p>
    <w:p w:rsidR="000A4EB3" w:rsidRDefault="000A4EB3" w:rsidP="00765000">
      <w:pPr>
        <w:spacing w:line="264" w:lineRule="auto"/>
        <w:rPr>
          <w:sz w:val="25"/>
          <w:szCs w:val="25"/>
        </w:rPr>
      </w:pPr>
    </w:p>
    <w:p w:rsidR="00D4097B" w:rsidRDefault="00CB6ADD" w:rsidP="00765000">
      <w:pPr>
        <w:numPr>
          <w:ilvl w:val="0"/>
          <w:numId w:val="20"/>
        </w:numPr>
        <w:spacing w:line="264" w:lineRule="auto"/>
        <w:ind w:hanging="720"/>
        <w:rPr>
          <w:sz w:val="25"/>
          <w:szCs w:val="25"/>
        </w:rPr>
      </w:pPr>
      <w:r>
        <w:rPr>
          <w:b/>
          <w:sz w:val="25"/>
          <w:szCs w:val="25"/>
        </w:rPr>
        <w:t xml:space="preserve">PROCEEDINGS.  </w:t>
      </w:r>
      <w:r w:rsidR="00D4097B">
        <w:rPr>
          <w:sz w:val="25"/>
          <w:szCs w:val="25"/>
        </w:rPr>
        <w:t xml:space="preserve">Puget Sound Energy, Inc. (PSE), and the Northwest Energy Coalition (NWEC), </w:t>
      </w:r>
      <w:r w:rsidR="00D4097B" w:rsidRPr="00CD6FA5">
        <w:rPr>
          <w:sz w:val="25"/>
          <w:szCs w:val="25"/>
        </w:rPr>
        <w:t xml:space="preserve">collectively referred to as the “Joint Parties,” filed a petition on October 25, 2012, </w:t>
      </w:r>
      <w:r w:rsidR="00D4097B">
        <w:rPr>
          <w:sz w:val="25"/>
          <w:szCs w:val="25"/>
        </w:rPr>
        <w:t>in Dockets UE-121697 and UG-121705 (</w:t>
      </w:r>
      <w:r w:rsidR="00D4097B" w:rsidRPr="00D4097B">
        <w:rPr>
          <w:i/>
          <w:sz w:val="25"/>
          <w:szCs w:val="25"/>
        </w:rPr>
        <w:t>consolidated</w:t>
      </w:r>
      <w:r w:rsidR="00D4097B">
        <w:rPr>
          <w:sz w:val="25"/>
          <w:szCs w:val="25"/>
        </w:rPr>
        <w:t xml:space="preserve">), </w:t>
      </w:r>
      <w:r w:rsidR="00D4097B" w:rsidRPr="00CD6FA5">
        <w:rPr>
          <w:sz w:val="25"/>
          <w:szCs w:val="25"/>
        </w:rPr>
        <w:t xml:space="preserve">seeking approval of an electric and a natural gas decoupling mechanism and authority to record accounting entries associated with the mechanisms.  After the petition and supporting testimony were filed, the Washington Utilities and Transportation Commission (Commission) held two technical </w:t>
      </w:r>
      <w:r w:rsidR="00D4097B">
        <w:rPr>
          <w:sz w:val="25"/>
          <w:szCs w:val="25"/>
        </w:rPr>
        <w:t>c</w:t>
      </w:r>
      <w:r w:rsidR="00D4097B" w:rsidRPr="00CD6FA5">
        <w:rPr>
          <w:sz w:val="25"/>
          <w:szCs w:val="25"/>
        </w:rPr>
        <w:t xml:space="preserve">onferences to allow interested stakeholders to further discuss the proposed decoupling mechanisms.  PSE agreed to cooperate with interested stakeholders by responding to their inquiries seeking additional information about the decoupling proposal.  </w:t>
      </w:r>
    </w:p>
    <w:p w:rsidR="00D4097B" w:rsidRDefault="00D4097B" w:rsidP="00765000">
      <w:pPr>
        <w:spacing w:line="264" w:lineRule="auto"/>
        <w:rPr>
          <w:sz w:val="25"/>
          <w:szCs w:val="25"/>
        </w:rPr>
      </w:pPr>
    </w:p>
    <w:p w:rsidR="00D4097B" w:rsidRDefault="00D4097B" w:rsidP="00765000">
      <w:pPr>
        <w:numPr>
          <w:ilvl w:val="0"/>
          <w:numId w:val="20"/>
        </w:numPr>
        <w:spacing w:line="264" w:lineRule="auto"/>
        <w:ind w:hanging="720"/>
        <w:rPr>
          <w:sz w:val="25"/>
          <w:szCs w:val="25"/>
        </w:rPr>
      </w:pPr>
      <w:r w:rsidRPr="00CD6FA5">
        <w:rPr>
          <w:sz w:val="25"/>
          <w:szCs w:val="25"/>
        </w:rPr>
        <w:t xml:space="preserve">PSE and NWEC, taking this process into account, reached agreement on certain modifications to the decoupling mechanisms and filed on March </w:t>
      </w:r>
      <w:r>
        <w:rPr>
          <w:sz w:val="25"/>
          <w:szCs w:val="25"/>
        </w:rPr>
        <w:t>4</w:t>
      </w:r>
      <w:r w:rsidRPr="00CD6FA5">
        <w:rPr>
          <w:sz w:val="25"/>
          <w:szCs w:val="25"/>
        </w:rPr>
        <w:t>, 2013, an amended petition and testimony in support of these modifications to the original decoupling proposal.</w:t>
      </w:r>
      <w:r>
        <w:rPr>
          <w:sz w:val="25"/>
          <w:szCs w:val="25"/>
        </w:rPr>
        <w:t xml:space="preserve">  </w:t>
      </w:r>
      <w:r w:rsidRPr="00CD6FA5">
        <w:rPr>
          <w:sz w:val="25"/>
          <w:szCs w:val="25"/>
        </w:rPr>
        <w:t>The Commission’s regulatory staff (Commission Staff or Staff)</w:t>
      </w:r>
      <w:r w:rsidRPr="00CD6FA5">
        <w:rPr>
          <w:bCs/>
          <w:sz w:val="25"/>
          <w:szCs w:val="25"/>
          <w:vertAlign w:val="superscript"/>
        </w:rPr>
        <w:footnoteReference w:id="1"/>
      </w:r>
      <w:r w:rsidRPr="00CD6FA5">
        <w:rPr>
          <w:sz w:val="25"/>
          <w:szCs w:val="25"/>
        </w:rPr>
        <w:t xml:space="preserve"> filed testimony in support of the revised proposal on March 4, 2013.</w:t>
      </w:r>
    </w:p>
    <w:p w:rsidR="00D4097B" w:rsidRPr="00D4097B" w:rsidRDefault="00D4097B" w:rsidP="00765000">
      <w:pPr>
        <w:spacing w:line="264" w:lineRule="auto"/>
        <w:rPr>
          <w:sz w:val="25"/>
          <w:szCs w:val="25"/>
        </w:rPr>
      </w:pPr>
    </w:p>
    <w:p w:rsidR="00260FBA" w:rsidRPr="00260FBA" w:rsidRDefault="006D6128" w:rsidP="00765000">
      <w:pPr>
        <w:numPr>
          <w:ilvl w:val="0"/>
          <w:numId w:val="20"/>
        </w:numPr>
        <w:spacing w:line="264" w:lineRule="auto"/>
        <w:ind w:hanging="720"/>
        <w:rPr>
          <w:sz w:val="25"/>
          <w:szCs w:val="25"/>
        </w:rPr>
      </w:pPr>
      <w:r>
        <w:rPr>
          <w:sz w:val="25"/>
          <w:szCs w:val="25"/>
        </w:rPr>
        <w:t>Puget Sound Energy, Inc.</w:t>
      </w:r>
      <w:r w:rsidR="00202492">
        <w:rPr>
          <w:sz w:val="25"/>
          <w:szCs w:val="25"/>
        </w:rPr>
        <w:t>,</w:t>
      </w:r>
      <w:r>
        <w:rPr>
          <w:sz w:val="25"/>
          <w:szCs w:val="25"/>
        </w:rPr>
        <w:t xml:space="preserve"> filed revised tariff sheets in </w:t>
      </w:r>
      <w:r w:rsidR="00D4097B">
        <w:rPr>
          <w:sz w:val="25"/>
          <w:szCs w:val="25"/>
        </w:rPr>
        <w:t>Dockets UE-130137 and UG-130138 (</w:t>
      </w:r>
      <w:r w:rsidR="00D4097B" w:rsidRPr="00D4097B">
        <w:rPr>
          <w:i/>
          <w:sz w:val="25"/>
          <w:szCs w:val="25"/>
        </w:rPr>
        <w:t>consolidated</w:t>
      </w:r>
      <w:r w:rsidR="00D4097B">
        <w:rPr>
          <w:sz w:val="25"/>
          <w:szCs w:val="25"/>
        </w:rPr>
        <w:t>)</w:t>
      </w:r>
      <w:r>
        <w:rPr>
          <w:sz w:val="25"/>
          <w:szCs w:val="25"/>
        </w:rPr>
        <w:t xml:space="preserve"> on February 4, 2013, seeking to update</w:t>
      </w:r>
      <w:r w:rsidR="00D4097B">
        <w:rPr>
          <w:sz w:val="25"/>
          <w:szCs w:val="25"/>
        </w:rPr>
        <w:t xml:space="preserve"> to May 2013</w:t>
      </w:r>
      <w:r>
        <w:rPr>
          <w:sz w:val="25"/>
          <w:szCs w:val="25"/>
        </w:rPr>
        <w:t xml:space="preserve"> its rates established in general rate proceedings </w:t>
      </w:r>
      <w:r w:rsidR="008B5A68">
        <w:rPr>
          <w:sz w:val="25"/>
          <w:szCs w:val="25"/>
        </w:rPr>
        <w:t>in May</w:t>
      </w:r>
      <w:r>
        <w:rPr>
          <w:sz w:val="25"/>
          <w:szCs w:val="25"/>
        </w:rPr>
        <w:t xml:space="preserve"> 2012.</w:t>
      </w:r>
      <w:r>
        <w:rPr>
          <w:rStyle w:val="FootnoteReference"/>
          <w:sz w:val="25"/>
          <w:szCs w:val="25"/>
        </w:rPr>
        <w:footnoteReference w:id="2"/>
      </w:r>
      <w:r>
        <w:rPr>
          <w:sz w:val="25"/>
          <w:szCs w:val="25"/>
        </w:rPr>
        <w:t xml:space="preserve">  </w:t>
      </w:r>
      <w:r w:rsidR="00FA558E">
        <w:rPr>
          <w:sz w:val="25"/>
          <w:szCs w:val="25"/>
        </w:rPr>
        <w:t xml:space="preserve">The </w:t>
      </w:r>
      <w:r w:rsidR="00FA558E" w:rsidRPr="00FA558E">
        <w:rPr>
          <w:iCs/>
          <w:sz w:val="25"/>
          <w:szCs w:val="25"/>
        </w:rPr>
        <w:t>filing</w:t>
      </w:r>
      <w:r w:rsidR="00FA558E">
        <w:rPr>
          <w:iCs/>
          <w:sz w:val="25"/>
          <w:szCs w:val="25"/>
        </w:rPr>
        <w:t xml:space="preserve"> is limited in scope</w:t>
      </w:r>
      <w:r w:rsidR="00002631">
        <w:rPr>
          <w:iCs/>
          <w:sz w:val="25"/>
          <w:szCs w:val="25"/>
        </w:rPr>
        <w:t xml:space="preserve"> and rate impact.  It </w:t>
      </w:r>
      <w:r w:rsidR="00FA558E" w:rsidRPr="00FA558E">
        <w:rPr>
          <w:iCs/>
          <w:sz w:val="25"/>
          <w:szCs w:val="25"/>
        </w:rPr>
        <w:t xml:space="preserve">does not meet the criteria defining a “general rate case” in WAC 480-07-505(1).  PSE refers to the filing as an Expedited Rate Filing (ERF) and </w:t>
      </w:r>
      <w:r w:rsidR="00FA558E">
        <w:rPr>
          <w:iCs/>
          <w:sz w:val="25"/>
          <w:szCs w:val="25"/>
        </w:rPr>
        <w:t>the Commission accepts it as such.</w:t>
      </w:r>
      <w:r w:rsidR="00FA558E" w:rsidRPr="00FA558E">
        <w:rPr>
          <w:iCs/>
          <w:sz w:val="25"/>
          <w:szCs w:val="25"/>
        </w:rPr>
        <w:t xml:space="preserve"> </w:t>
      </w:r>
      <w:r w:rsidR="00FA558E">
        <w:rPr>
          <w:iCs/>
          <w:sz w:val="25"/>
          <w:szCs w:val="25"/>
        </w:rPr>
        <w:t xml:space="preserve"> </w:t>
      </w:r>
      <w:r w:rsidR="00D4097B">
        <w:rPr>
          <w:iCs/>
          <w:sz w:val="25"/>
          <w:szCs w:val="25"/>
        </w:rPr>
        <w:t xml:space="preserve">Its purpose is to establish baseline rates on which </w:t>
      </w:r>
      <w:r w:rsidR="00260FBA">
        <w:rPr>
          <w:iCs/>
          <w:sz w:val="25"/>
          <w:szCs w:val="25"/>
        </w:rPr>
        <w:t>the Joint Parties’ decoupling mechanisms are proposed to operate during the several year term of a “rate plan” proposed by PSE</w:t>
      </w:r>
      <w:r w:rsidR="00474F62">
        <w:rPr>
          <w:iCs/>
          <w:sz w:val="25"/>
          <w:szCs w:val="25"/>
        </w:rPr>
        <w:t>, NWEC</w:t>
      </w:r>
      <w:r w:rsidR="00260FBA">
        <w:rPr>
          <w:iCs/>
          <w:sz w:val="25"/>
          <w:szCs w:val="25"/>
        </w:rPr>
        <w:t xml:space="preserve"> and Staff in a stipulation filed on March 22, 2013, in these four dockets and in Docket UE-121373.</w:t>
      </w:r>
      <w:r w:rsidR="00260FBA">
        <w:rPr>
          <w:rStyle w:val="FootnoteReference"/>
          <w:iCs/>
          <w:sz w:val="25"/>
          <w:szCs w:val="25"/>
        </w:rPr>
        <w:footnoteReference w:id="3"/>
      </w:r>
    </w:p>
    <w:p w:rsidR="00260FBA" w:rsidRDefault="00260FBA" w:rsidP="00765000">
      <w:pPr>
        <w:pStyle w:val="ListParagraph"/>
        <w:spacing w:line="264" w:lineRule="auto"/>
        <w:rPr>
          <w:iCs/>
          <w:sz w:val="25"/>
          <w:szCs w:val="25"/>
        </w:rPr>
      </w:pPr>
    </w:p>
    <w:p w:rsidR="000A4EB3" w:rsidRDefault="00FC3F50" w:rsidP="00765000">
      <w:pPr>
        <w:numPr>
          <w:ilvl w:val="0"/>
          <w:numId w:val="20"/>
        </w:numPr>
        <w:spacing w:line="264" w:lineRule="auto"/>
        <w:ind w:hanging="720"/>
        <w:rPr>
          <w:sz w:val="25"/>
          <w:szCs w:val="25"/>
        </w:rPr>
      </w:pPr>
      <w:r w:rsidRPr="00FC3F50">
        <w:rPr>
          <w:iCs/>
          <w:sz w:val="25"/>
          <w:szCs w:val="25"/>
        </w:rPr>
        <w:t xml:space="preserve">The Commission placed </w:t>
      </w:r>
      <w:r>
        <w:rPr>
          <w:iCs/>
          <w:sz w:val="25"/>
          <w:szCs w:val="25"/>
        </w:rPr>
        <w:t>Dockets UE-121697 and UG-121705</w:t>
      </w:r>
      <w:r w:rsidRPr="00FC3F50">
        <w:rPr>
          <w:iCs/>
          <w:sz w:val="25"/>
          <w:szCs w:val="25"/>
        </w:rPr>
        <w:t xml:space="preserve"> on the agenda for its regular open meeting on March 14, 2013.  The Commission</w:t>
      </w:r>
      <w:r>
        <w:rPr>
          <w:iCs/>
          <w:sz w:val="25"/>
          <w:szCs w:val="25"/>
        </w:rPr>
        <w:t>, following discussion,</w:t>
      </w:r>
      <w:r w:rsidRPr="00FC3F50">
        <w:rPr>
          <w:iCs/>
          <w:sz w:val="25"/>
          <w:szCs w:val="25"/>
        </w:rPr>
        <w:t xml:space="preserve"> set these dockets for hearing</w:t>
      </w:r>
      <w:r>
        <w:rPr>
          <w:iCs/>
          <w:sz w:val="25"/>
          <w:szCs w:val="25"/>
        </w:rPr>
        <w:t>.  During the same open meeting, t</w:t>
      </w:r>
      <w:r w:rsidR="00FA558E">
        <w:rPr>
          <w:iCs/>
          <w:sz w:val="25"/>
          <w:szCs w:val="25"/>
        </w:rPr>
        <w:t xml:space="preserve">he </w:t>
      </w:r>
      <w:r w:rsidR="000A4EB3" w:rsidRPr="000A4EB3">
        <w:rPr>
          <w:sz w:val="25"/>
          <w:szCs w:val="25"/>
        </w:rPr>
        <w:t xml:space="preserve">Commission suspended operation of the as-filed tariffs in </w:t>
      </w:r>
      <w:r>
        <w:rPr>
          <w:sz w:val="25"/>
          <w:szCs w:val="25"/>
        </w:rPr>
        <w:t>Dockets UE-130137 and UG-130138, effectively setting these dockets for hearing as well</w:t>
      </w:r>
      <w:r w:rsidR="000A4EB3" w:rsidRPr="000A4EB3">
        <w:rPr>
          <w:sz w:val="25"/>
          <w:szCs w:val="25"/>
        </w:rPr>
        <w:t xml:space="preserve">.  The Commission, among other things, </w:t>
      </w:r>
      <w:r w:rsidR="000A4EB3" w:rsidRPr="000A4EB3">
        <w:rPr>
          <w:sz w:val="25"/>
          <w:szCs w:val="25"/>
        </w:rPr>
        <w:lastRenderedPageBreak/>
        <w:t>designated the undersigned</w:t>
      </w:r>
      <w:r w:rsidR="0069247B">
        <w:rPr>
          <w:sz w:val="25"/>
          <w:szCs w:val="25"/>
        </w:rPr>
        <w:t xml:space="preserve"> Administrative Law Judge</w:t>
      </w:r>
      <w:r w:rsidR="000A4EB3" w:rsidRPr="000A4EB3">
        <w:rPr>
          <w:sz w:val="25"/>
          <w:szCs w:val="25"/>
        </w:rPr>
        <w:t xml:space="preserve"> </w:t>
      </w:r>
      <w:r w:rsidR="0069247B">
        <w:rPr>
          <w:sz w:val="25"/>
          <w:szCs w:val="25"/>
        </w:rPr>
        <w:t>(</w:t>
      </w:r>
      <w:r w:rsidR="000A4EB3" w:rsidRPr="000A4EB3">
        <w:rPr>
          <w:sz w:val="25"/>
          <w:szCs w:val="25"/>
        </w:rPr>
        <w:t>ALJ</w:t>
      </w:r>
      <w:r w:rsidR="0069247B">
        <w:rPr>
          <w:sz w:val="25"/>
          <w:szCs w:val="25"/>
        </w:rPr>
        <w:t>)</w:t>
      </w:r>
      <w:r w:rsidR="000A4EB3" w:rsidRPr="000A4EB3">
        <w:rPr>
          <w:sz w:val="25"/>
          <w:szCs w:val="25"/>
        </w:rPr>
        <w:t xml:space="preserve"> as a presiding officer</w:t>
      </w:r>
      <w:r>
        <w:rPr>
          <w:sz w:val="25"/>
          <w:szCs w:val="25"/>
        </w:rPr>
        <w:t xml:space="preserve"> in the</w:t>
      </w:r>
      <w:r w:rsidR="00002631">
        <w:rPr>
          <w:sz w:val="25"/>
          <w:szCs w:val="25"/>
        </w:rPr>
        <w:t>se</w:t>
      </w:r>
      <w:r>
        <w:rPr>
          <w:sz w:val="25"/>
          <w:szCs w:val="25"/>
        </w:rPr>
        <w:t xml:space="preserve"> four dockets</w:t>
      </w:r>
      <w:r w:rsidR="000A4EB3" w:rsidRPr="000A4EB3">
        <w:rPr>
          <w:sz w:val="25"/>
          <w:szCs w:val="25"/>
        </w:rPr>
        <w:t xml:space="preserve"> and directed the ALJ to set an expedited schedule for discovery, any additional prefiled testimony</w:t>
      </w:r>
      <w:r>
        <w:rPr>
          <w:sz w:val="25"/>
          <w:szCs w:val="25"/>
        </w:rPr>
        <w:t>,</w:t>
      </w:r>
      <w:r w:rsidR="000A4EB3" w:rsidRPr="000A4EB3">
        <w:rPr>
          <w:sz w:val="25"/>
          <w:szCs w:val="25"/>
        </w:rPr>
        <w:t xml:space="preserve"> and hearing.</w:t>
      </w:r>
      <w:r w:rsidR="00002631">
        <w:rPr>
          <w:rStyle w:val="FootnoteReference"/>
          <w:sz w:val="25"/>
          <w:szCs w:val="25"/>
        </w:rPr>
        <w:footnoteReference w:id="4"/>
      </w:r>
    </w:p>
    <w:p w:rsidR="00FA558E" w:rsidRPr="000A4EB3" w:rsidRDefault="00FA558E" w:rsidP="00765000">
      <w:pPr>
        <w:spacing w:line="264" w:lineRule="auto"/>
        <w:rPr>
          <w:sz w:val="25"/>
          <w:szCs w:val="25"/>
        </w:rPr>
      </w:pPr>
    </w:p>
    <w:p w:rsidR="001D2294" w:rsidRDefault="00161D01" w:rsidP="00765000">
      <w:pPr>
        <w:numPr>
          <w:ilvl w:val="0"/>
          <w:numId w:val="20"/>
        </w:numPr>
        <w:spacing w:line="264" w:lineRule="auto"/>
        <w:ind w:hanging="720"/>
        <w:rPr>
          <w:sz w:val="25"/>
          <w:szCs w:val="25"/>
        </w:rPr>
      </w:pPr>
      <w:r w:rsidRPr="00FC3F50">
        <w:rPr>
          <w:sz w:val="25"/>
          <w:szCs w:val="25"/>
        </w:rPr>
        <w:t>The Commission</w:t>
      </w:r>
      <w:r w:rsidR="00FC3F50" w:rsidRPr="00FC3F50">
        <w:rPr>
          <w:sz w:val="25"/>
          <w:szCs w:val="25"/>
        </w:rPr>
        <w:t>, on due notice,</w:t>
      </w:r>
      <w:r w:rsidRPr="00FC3F50">
        <w:rPr>
          <w:sz w:val="25"/>
          <w:szCs w:val="25"/>
        </w:rPr>
        <w:t xml:space="preserve"> convened a </w:t>
      </w:r>
      <w:r w:rsidR="00FC3F50" w:rsidRPr="00FC3F50">
        <w:rPr>
          <w:sz w:val="25"/>
          <w:szCs w:val="25"/>
        </w:rPr>
        <w:t xml:space="preserve">joint </w:t>
      </w:r>
      <w:r w:rsidRPr="00FC3F50">
        <w:rPr>
          <w:sz w:val="25"/>
          <w:szCs w:val="25"/>
        </w:rPr>
        <w:t xml:space="preserve">prehearing conference on </w:t>
      </w:r>
      <w:r w:rsidR="00C030E6" w:rsidRPr="00FC3F50">
        <w:rPr>
          <w:sz w:val="25"/>
          <w:szCs w:val="25"/>
        </w:rPr>
        <w:t>March 22</w:t>
      </w:r>
      <w:r w:rsidR="004C42C7" w:rsidRPr="00FC3F50">
        <w:rPr>
          <w:sz w:val="25"/>
          <w:szCs w:val="25"/>
        </w:rPr>
        <w:t>, 2013</w:t>
      </w:r>
      <w:r w:rsidRPr="00FC3F50">
        <w:rPr>
          <w:b/>
          <w:bCs/>
          <w:sz w:val="25"/>
          <w:szCs w:val="25"/>
        </w:rPr>
        <w:t>,</w:t>
      </w:r>
      <w:r w:rsidRPr="00FC3F50">
        <w:rPr>
          <w:sz w:val="25"/>
          <w:szCs w:val="25"/>
        </w:rPr>
        <w:t xml:space="preserve"> </w:t>
      </w:r>
      <w:r w:rsidR="00CB6ADD" w:rsidRPr="00FC3F50">
        <w:rPr>
          <w:sz w:val="25"/>
          <w:szCs w:val="25"/>
        </w:rPr>
        <w:t xml:space="preserve">in </w:t>
      </w:r>
      <w:r w:rsidR="00FC3F50" w:rsidRPr="00FC3F50">
        <w:rPr>
          <w:sz w:val="25"/>
          <w:szCs w:val="25"/>
        </w:rPr>
        <w:t>the Decoupling dockets, the</w:t>
      </w:r>
      <w:r w:rsidR="00CB6ADD" w:rsidRPr="00FC3F50">
        <w:rPr>
          <w:sz w:val="25"/>
          <w:szCs w:val="25"/>
        </w:rPr>
        <w:t xml:space="preserve"> ERF</w:t>
      </w:r>
      <w:r w:rsidR="00FC3F50" w:rsidRPr="00FC3F50">
        <w:rPr>
          <w:sz w:val="25"/>
          <w:szCs w:val="25"/>
        </w:rPr>
        <w:t xml:space="preserve"> dockets and the Coal Transition PPA docket</w:t>
      </w:r>
      <w:r w:rsidR="00CB6ADD" w:rsidRPr="00FC3F50">
        <w:rPr>
          <w:sz w:val="25"/>
          <w:szCs w:val="25"/>
        </w:rPr>
        <w:t xml:space="preserve">.  The Commission </w:t>
      </w:r>
      <w:r w:rsidR="00FA558E" w:rsidRPr="00FC3F50">
        <w:rPr>
          <w:sz w:val="25"/>
          <w:szCs w:val="25"/>
        </w:rPr>
        <w:t>subsequently entered Order 02-Prehearing Conference Order</w:t>
      </w:r>
      <w:r w:rsidR="00CB6ADD" w:rsidRPr="00FC3F50">
        <w:rPr>
          <w:sz w:val="25"/>
          <w:szCs w:val="25"/>
        </w:rPr>
        <w:t xml:space="preserve"> in this proceeding and, by separate order, in the Decoupling proceeding</w:t>
      </w:r>
      <w:r w:rsidR="00FA558E" w:rsidRPr="00FC3F50">
        <w:rPr>
          <w:sz w:val="25"/>
          <w:szCs w:val="25"/>
        </w:rPr>
        <w:t xml:space="preserve">.  </w:t>
      </w:r>
      <w:r w:rsidR="00CB6ADD" w:rsidRPr="00FC3F50">
        <w:rPr>
          <w:sz w:val="25"/>
          <w:szCs w:val="25"/>
        </w:rPr>
        <w:t>In both orders</w:t>
      </w:r>
      <w:r w:rsidR="00FA558E" w:rsidRPr="00FC3F50">
        <w:rPr>
          <w:sz w:val="25"/>
          <w:szCs w:val="25"/>
        </w:rPr>
        <w:t xml:space="preserve">, the Commission granted various petitions to intervene and established a </w:t>
      </w:r>
      <w:r w:rsidR="00CB6ADD" w:rsidRPr="00FC3F50">
        <w:rPr>
          <w:sz w:val="25"/>
          <w:szCs w:val="25"/>
        </w:rPr>
        <w:t>common</w:t>
      </w:r>
      <w:r w:rsidR="001D2294">
        <w:rPr>
          <w:sz w:val="25"/>
          <w:szCs w:val="25"/>
        </w:rPr>
        <w:t xml:space="preserve"> procedural</w:t>
      </w:r>
      <w:r w:rsidR="00CB6ADD" w:rsidRPr="00FC3F50">
        <w:rPr>
          <w:sz w:val="25"/>
          <w:szCs w:val="25"/>
        </w:rPr>
        <w:t xml:space="preserve"> </w:t>
      </w:r>
      <w:r w:rsidR="00FA558E" w:rsidRPr="00FC3F50">
        <w:rPr>
          <w:sz w:val="25"/>
          <w:szCs w:val="25"/>
        </w:rPr>
        <w:t xml:space="preserve">schedule </w:t>
      </w:r>
      <w:r w:rsidR="00CB6ADD" w:rsidRPr="00FC3F50">
        <w:rPr>
          <w:sz w:val="25"/>
          <w:szCs w:val="25"/>
        </w:rPr>
        <w:t>to hear the ERF and Decoupling matters, which</w:t>
      </w:r>
      <w:r w:rsidR="00FA558E" w:rsidRPr="00FC3F50">
        <w:rPr>
          <w:sz w:val="25"/>
          <w:szCs w:val="25"/>
        </w:rPr>
        <w:t xml:space="preserve"> are interrelated</w:t>
      </w:r>
      <w:r w:rsidR="001D2294">
        <w:rPr>
          <w:sz w:val="25"/>
          <w:szCs w:val="25"/>
        </w:rPr>
        <w:t xml:space="preserve"> to the extent previously discussed</w:t>
      </w:r>
      <w:r w:rsidR="00FA558E" w:rsidRPr="00FC3F50">
        <w:rPr>
          <w:sz w:val="25"/>
          <w:szCs w:val="25"/>
        </w:rPr>
        <w:t>.</w:t>
      </w:r>
      <w:r w:rsidR="00FC3F50" w:rsidRPr="00FC3F50">
        <w:rPr>
          <w:sz w:val="25"/>
          <w:szCs w:val="25"/>
        </w:rPr>
        <w:t xml:space="preserve">  </w:t>
      </w:r>
    </w:p>
    <w:p w:rsidR="001D2294" w:rsidRDefault="001D2294" w:rsidP="00765000">
      <w:pPr>
        <w:pStyle w:val="ListParagraph"/>
        <w:spacing w:line="264" w:lineRule="auto"/>
        <w:rPr>
          <w:sz w:val="25"/>
          <w:szCs w:val="25"/>
        </w:rPr>
      </w:pPr>
    </w:p>
    <w:p w:rsidR="008B23AC" w:rsidRPr="00FC3F50" w:rsidRDefault="00FC3F50" w:rsidP="00765000">
      <w:pPr>
        <w:numPr>
          <w:ilvl w:val="0"/>
          <w:numId w:val="20"/>
        </w:numPr>
        <w:spacing w:line="264" w:lineRule="auto"/>
        <w:ind w:hanging="720"/>
        <w:rPr>
          <w:sz w:val="25"/>
          <w:szCs w:val="25"/>
        </w:rPr>
      </w:pPr>
      <w:r w:rsidRPr="00FC3F50">
        <w:rPr>
          <w:sz w:val="25"/>
          <w:szCs w:val="25"/>
        </w:rPr>
        <w:t>The Commission simultaneously entered</w:t>
      </w:r>
      <w:r w:rsidR="001D2294">
        <w:rPr>
          <w:sz w:val="25"/>
          <w:szCs w:val="25"/>
        </w:rPr>
        <w:t xml:space="preserve"> in Docket UE-121373</w:t>
      </w:r>
      <w:r w:rsidRPr="00FC3F50">
        <w:rPr>
          <w:sz w:val="25"/>
          <w:szCs w:val="25"/>
        </w:rPr>
        <w:t xml:space="preserve"> Order 06-Continuing the Deadline Date for Parties to File Answers to Puget Sound Energy’s Petition for Reconsideration and Motion to Reopen the Record and </w:t>
      </w:r>
      <w:r>
        <w:rPr>
          <w:sz w:val="25"/>
          <w:szCs w:val="25"/>
        </w:rPr>
        <w:t>R</w:t>
      </w:r>
      <w:r w:rsidRPr="00FC3F50">
        <w:rPr>
          <w:sz w:val="25"/>
          <w:szCs w:val="25"/>
        </w:rPr>
        <w:t xml:space="preserve">evised Notice </w:t>
      </w:r>
      <w:r>
        <w:rPr>
          <w:sz w:val="25"/>
          <w:szCs w:val="25"/>
        </w:rPr>
        <w:t>o</w:t>
      </w:r>
      <w:r w:rsidRPr="00FC3F50">
        <w:rPr>
          <w:sz w:val="25"/>
          <w:szCs w:val="25"/>
        </w:rPr>
        <w:t xml:space="preserve">f Intention </w:t>
      </w:r>
      <w:r>
        <w:rPr>
          <w:sz w:val="25"/>
          <w:szCs w:val="25"/>
        </w:rPr>
        <w:t>t</w:t>
      </w:r>
      <w:r w:rsidRPr="00FC3F50">
        <w:rPr>
          <w:sz w:val="25"/>
          <w:szCs w:val="25"/>
        </w:rPr>
        <w:t>o Act</w:t>
      </w:r>
      <w:r w:rsidR="001D2294">
        <w:rPr>
          <w:sz w:val="25"/>
          <w:szCs w:val="25"/>
        </w:rPr>
        <w:t>.  Order 06 set May 30, 2013, as the date for responses to PSE’s pending petition and motion, the same date established in the Decoupling and ERF dockets for parties to file post-hearing briefs.  The Commission also gave notice in Order 06 of its intention to act on PSE’s petition and motion by June 28, 2013.</w:t>
      </w:r>
    </w:p>
    <w:p w:rsidR="006C48F0" w:rsidRDefault="006C48F0" w:rsidP="00765000">
      <w:pPr>
        <w:spacing w:line="264" w:lineRule="auto"/>
        <w:rPr>
          <w:sz w:val="25"/>
          <w:szCs w:val="25"/>
        </w:rPr>
      </w:pPr>
    </w:p>
    <w:p w:rsidR="007A5D14" w:rsidRPr="007A5D14" w:rsidRDefault="00CB6ADD" w:rsidP="00765000">
      <w:pPr>
        <w:numPr>
          <w:ilvl w:val="0"/>
          <w:numId w:val="20"/>
        </w:numPr>
        <w:spacing w:line="264" w:lineRule="auto"/>
        <w:ind w:hanging="720"/>
        <w:rPr>
          <w:sz w:val="25"/>
          <w:szCs w:val="25"/>
        </w:rPr>
      </w:pPr>
      <w:r w:rsidRPr="00CB6ADD">
        <w:rPr>
          <w:b/>
          <w:sz w:val="25"/>
          <w:szCs w:val="25"/>
        </w:rPr>
        <w:t xml:space="preserve">LATE-FILED </w:t>
      </w:r>
      <w:r w:rsidR="00161D01" w:rsidRPr="00CB6ADD">
        <w:rPr>
          <w:b/>
          <w:sz w:val="25"/>
          <w:szCs w:val="25"/>
        </w:rPr>
        <w:t>PETITION</w:t>
      </w:r>
      <w:r w:rsidR="00944EE6">
        <w:rPr>
          <w:b/>
          <w:sz w:val="25"/>
          <w:szCs w:val="25"/>
        </w:rPr>
        <w:t>S</w:t>
      </w:r>
      <w:r w:rsidR="00161D01" w:rsidRPr="00CB6ADD">
        <w:rPr>
          <w:b/>
          <w:bCs/>
          <w:sz w:val="25"/>
          <w:szCs w:val="25"/>
        </w:rPr>
        <w:t xml:space="preserve"> FOR INTERVENTION.</w:t>
      </w:r>
      <w:r w:rsidR="00161D01" w:rsidRPr="00CB6ADD">
        <w:rPr>
          <w:sz w:val="25"/>
          <w:szCs w:val="25"/>
        </w:rPr>
        <w:t xml:space="preserve">  </w:t>
      </w:r>
      <w:r w:rsidR="00944EE6">
        <w:rPr>
          <w:sz w:val="25"/>
          <w:szCs w:val="25"/>
        </w:rPr>
        <w:t>On April 1, 2013, Nucor Steel Seattle, Inc. (Nucor Steel) filed its Late-Filed Petition to Intervene in Dockets UE-121697 and UG-121705.</w:t>
      </w:r>
      <w:r w:rsidR="00944EE6">
        <w:rPr>
          <w:rStyle w:val="FootnoteReference"/>
          <w:sz w:val="25"/>
          <w:szCs w:val="25"/>
        </w:rPr>
        <w:footnoteReference w:id="5"/>
      </w:r>
      <w:r w:rsidR="00944EE6">
        <w:rPr>
          <w:sz w:val="25"/>
          <w:szCs w:val="25"/>
        </w:rPr>
        <w:t xml:space="preserve">  Nucor Steel states it is a major natural gas transportation customer of PSE and thus has a direct and substantial interest in the proceeding.  Nucor states that “</w:t>
      </w:r>
      <w:r w:rsidR="00944EE6" w:rsidRPr="00944EE6">
        <w:rPr>
          <w:color w:val="000000"/>
          <w:szCs w:val="20"/>
        </w:rPr>
        <w:t xml:space="preserve">Joint Parties first proposed that decoupling apply to natural gas transportation customers when they filed their amended </w:t>
      </w:r>
      <w:r w:rsidR="00944EE6">
        <w:rPr>
          <w:color w:val="000000"/>
          <w:szCs w:val="20"/>
        </w:rPr>
        <w:t>petition on March 1, 2013</w:t>
      </w:r>
      <w:r w:rsidR="00002631">
        <w:rPr>
          <w:color w:val="000000"/>
          <w:szCs w:val="20"/>
        </w:rPr>
        <w:t>.</w:t>
      </w:r>
      <w:r w:rsidR="00944EE6">
        <w:rPr>
          <w:color w:val="000000"/>
          <w:szCs w:val="20"/>
        </w:rPr>
        <w:t xml:space="preserve">” </w:t>
      </w:r>
      <w:r w:rsidR="00002631">
        <w:rPr>
          <w:color w:val="000000"/>
          <w:szCs w:val="20"/>
        </w:rPr>
        <w:t xml:space="preserve"> </w:t>
      </w:r>
      <w:r w:rsidR="00944EE6" w:rsidRPr="00944EE6">
        <w:rPr>
          <w:color w:val="000000"/>
          <w:szCs w:val="20"/>
        </w:rPr>
        <w:t xml:space="preserve">Nucor’s counsel </w:t>
      </w:r>
      <w:r w:rsidR="00944EE6">
        <w:rPr>
          <w:color w:val="000000"/>
          <w:szCs w:val="20"/>
        </w:rPr>
        <w:t>learned of</w:t>
      </w:r>
      <w:r w:rsidR="00944EE6" w:rsidRPr="00944EE6">
        <w:rPr>
          <w:color w:val="000000"/>
          <w:szCs w:val="20"/>
        </w:rPr>
        <w:t xml:space="preserve"> this amendment on March 12, 2013.  Nucor</w:t>
      </w:r>
      <w:r w:rsidR="00944EE6">
        <w:rPr>
          <w:color w:val="000000"/>
          <w:szCs w:val="20"/>
        </w:rPr>
        <w:t xml:space="preserve"> states further that it</w:t>
      </w:r>
      <w:r w:rsidR="00944EE6" w:rsidRPr="00944EE6">
        <w:rPr>
          <w:color w:val="000000"/>
          <w:szCs w:val="20"/>
        </w:rPr>
        <w:t xml:space="preserve"> did not participate in the </w:t>
      </w:r>
      <w:r w:rsidR="00944EE6">
        <w:rPr>
          <w:color w:val="000000"/>
          <w:szCs w:val="20"/>
        </w:rPr>
        <w:t>j</w:t>
      </w:r>
      <w:r w:rsidR="00944EE6" w:rsidRPr="00944EE6">
        <w:rPr>
          <w:color w:val="000000"/>
          <w:szCs w:val="20"/>
        </w:rPr>
        <w:t xml:space="preserve">oint </w:t>
      </w:r>
      <w:r w:rsidR="00944EE6">
        <w:rPr>
          <w:color w:val="000000"/>
          <w:szCs w:val="20"/>
        </w:rPr>
        <w:t>p</w:t>
      </w:r>
      <w:r w:rsidR="00944EE6" w:rsidRPr="00944EE6">
        <w:rPr>
          <w:color w:val="000000"/>
          <w:szCs w:val="20"/>
        </w:rPr>
        <w:t xml:space="preserve">rehearing </w:t>
      </w:r>
      <w:r w:rsidR="00944EE6">
        <w:rPr>
          <w:color w:val="000000"/>
          <w:szCs w:val="20"/>
        </w:rPr>
        <w:t>c</w:t>
      </w:r>
      <w:r w:rsidR="00944EE6" w:rsidRPr="00944EE6">
        <w:rPr>
          <w:color w:val="000000"/>
          <w:szCs w:val="20"/>
        </w:rPr>
        <w:t>onference on March 22, 2013</w:t>
      </w:r>
      <w:r w:rsidR="00002631">
        <w:rPr>
          <w:color w:val="000000"/>
          <w:szCs w:val="20"/>
        </w:rPr>
        <w:t>,</w:t>
      </w:r>
      <w:r w:rsidR="00944EE6" w:rsidRPr="00944EE6">
        <w:rPr>
          <w:color w:val="000000"/>
          <w:szCs w:val="20"/>
        </w:rPr>
        <w:t xml:space="preserve"> </w:t>
      </w:r>
      <w:r w:rsidR="00944EE6">
        <w:rPr>
          <w:color w:val="000000"/>
          <w:szCs w:val="20"/>
        </w:rPr>
        <w:t>“</w:t>
      </w:r>
      <w:r w:rsidR="00944EE6" w:rsidRPr="00944EE6">
        <w:rPr>
          <w:color w:val="000000"/>
          <w:szCs w:val="20"/>
        </w:rPr>
        <w:t>due to administrative oversight and was thus unable to orally petition for intervention.</w:t>
      </w:r>
      <w:r w:rsidR="00944EE6">
        <w:rPr>
          <w:color w:val="000000"/>
          <w:szCs w:val="20"/>
        </w:rPr>
        <w:t>”</w:t>
      </w:r>
      <w:r w:rsidR="00944EE6" w:rsidRPr="00944EE6">
        <w:rPr>
          <w:color w:val="000000"/>
          <w:szCs w:val="20"/>
        </w:rPr>
        <w:t xml:space="preserve">  </w:t>
      </w:r>
    </w:p>
    <w:p w:rsidR="007A5D14" w:rsidRDefault="007A5D14" w:rsidP="00765000">
      <w:pPr>
        <w:pStyle w:val="ListParagraph"/>
        <w:spacing w:line="264" w:lineRule="auto"/>
        <w:rPr>
          <w:sz w:val="25"/>
          <w:szCs w:val="25"/>
        </w:rPr>
      </w:pPr>
    </w:p>
    <w:p w:rsidR="003C25E5" w:rsidRDefault="003C25E5" w:rsidP="00765000">
      <w:pPr>
        <w:pStyle w:val="ListParagraph"/>
        <w:spacing w:line="264" w:lineRule="auto"/>
        <w:rPr>
          <w:sz w:val="25"/>
          <w:szCs w:val="25"/>
        </w:rPr>
      </w:pPr>
    </w:p>
    <w:p w:rsidR="003C25E5" w:rsidRDefault="003C25E5" w:rsidP="00765000">
      <w:pPr>
        <w:pStyle w:val="ListParagraph"/>
        <w:spacing w:line="264" w:lineRule="auto"/>
        <w:rPr>
          <w:sz w:val="25"/>
          <w:szCs w:val="25"/>
        </w:rPr>
      </w:pPr>
    </w:p>
    <w:p w:rsidR="00944EE6" w:rsidRPr="00944EE6" w:rsidRDefault="00944EE6" w:rsidP="00765000">
      <w:pPr>
        <w:numPr>
          <w:ilvl w:val="0"/>
          <w:numId w:val="20"/>
        </w:numPr>
        <w:spacing w:line="264" w:lineRule="auto"/>
        <w:ind w:hanging="720"/>
        <w:rPr>
          <w:sz w:val="25"/>
          <w:szCs w:val="25"/>
        </w:rPr>
      </w:pPr>
      <w:r w:rsidRPr="00944EE6">
        <w:rPr>
          <w:sz w:val="25"/>
          <w:szCs w:val="25"/>
        </w:rPr>
        <w:t>No one objected to Nucor Steel’s late-filed petition to intervene.  The Commission finds that Nucor Steel</w:t>
      </w:r>
      <w:r w:rsidRPr="00944EE6">
        <w:rPr>
          <w:bCs/>
          <w:sz w:val="25"/>
          <w:szCs w:val="25"/>
        </w:rPr>
        <w:t xml:space="preserve"> demonstrates its substantial interest in this </w:t>
      </w:r>
      <w:r w:rsidRPr="00944EE6">
        <w:rPr>
          <w:sz w:val="25"/>
          <w:szCs w:val="25"/>
        </w:rPr>
        <w:t>proceeding</w:t>
      </w:r>
      <w:r w:rsidRPr="00944EE6">
        <w:rPr>
          <w:bCs/>
          <w:sz w:val="25"/>
          <w:szCs w:val="25"/>
        </w:rPr>
        <w:t xml:space="preserve"> and that its participation will be in the public interest.  Nucor Steel’s late-filed petition to intervene is granted.</w:t>
      </w:r>
    </w:p>
    <w:p w:rsidR="00944EE6" w:rsidRDefault="00944EE6" w:rsidP="00765000">
      <w:pPr>
        <w:pStyle w:val="ListParagraph"/>
        <w:spacing w:line="264" w:lineRule="auto"/>
        <w:rPr>
          <w:sz w:val="25"/>
          <w:szCs w:val="25"/>
        </w:rPr>
      </w:pPr>
    </w:p>
    <w:p w:rsidR="007A5D14" w:rsidRPr="00202492" w:rsidRDefault="007A5D14" w:rsidP="00765000">
      <w:pPr>
        <w:numPr>
          <w:ilvl w:val="0"/>
          <w:numId w:val="20"/>
        </w:numPr>
        <w:spacing w:line="264" w:lineRule="auto"/>
        <w:ind w:hanging="720"/>
        <w:rPr>
          <w:sz w:val="25"/>
          <w:szCs w:val="25"/>
        </w:rPr>
      </w:pPr>
      <w:r w:rsidRPr="00202492">
        <w:rPr>
          <w:sz w:val="25"/>
          <w:szCs w:val="25"/>
        </w:rPr>
        <w:t>On April 4, 2013, The Kroger Co., on behalf of its Fred Meyer Stores and</w:t>
      </w:r>
      <w:r w:rsidR="00202492" w:rsidRPr="00202492">
        <w:rPr>
          <w:sz w:val="25"/>
          <w:szCs w:val="25"/>
        </w:rPr>
        <w:t xml:space="preserve"> </w:t>
      </w:r>
      <w:r w:rsidRPr="00202492">
        <w:rPr>
          <w:sz w:val="25"/>
          <w:szCs w:val="25"/>
        </w:rPr>
        <w:t>Quality Food Centers divisions (collectively Kroger) filed its Amended Late-Filed Petition to Intervene in Dockets UE-130137 and UG-130138.</w:t>
      </w:r>
      <w:r>
        <w:rPr>
          <w:rStyle w:val="FootnoteReference"/>
          <w:sz w:val="25"/>
          <w:szCs w:val="25"/>
        </w:rPr>
        <w:footnoteReference w:id="6"/>
      </w:r>
      <w:r w:rsidRPr="00202492">
        <w:rPr>
          <w:sz w:val="25"/>
          <w:szCs w:val="25"/>
        </w:rPr>
        <w:t xml:space="preserve">  Kroger states that it is one of PSE’s largest commercial customers operating more than 60 grocery stores in Washington that are electric customers of PSE.  Kroger says that it has a substantial and vital interest in the outcome of this electric rate case that cannot be adequately represented by any other party.  Kroger states administrative oversight accounts for its late filing.</w:t>
      </w:r>
    </w:p>
    <w:p w:rsidR="007A5D14" w:rsidRDefault="007A5D14" w:rsidP="00765000">
      <w:pPr>
        <w:spacing w:line="264" w:lineRule="auto"/>
        <w:rPr>
          <w:sz w:val="25"/>
          <w:szCs w:val="25"/>
        </w:rPr>
      </w:pPr>
    </w:p>
    <w:p w:rsidR="00944EE6" w:rsidRPr="007A5D14" w:rsidRDefault="00944EE6" w:rsidP="00765000">
      <w:pPr>
        <w:numPr>
          <w:ilvl w:val="0"/>
          <w:numId w:val="20"/>
        </w:numPr>
        <w:spacing w:line="264" w:lineRule="auto"/>
        <w:ind w:hanging="720"/>
        <w:rPr>
          <w:sz w:val="25"/>
          <w:szCs w:val="25"/>
        </w:rPr>
      </w:pPr>
      <w:r>
        <w:rPr>
          <w:sz w:val="25"/>
          <w:szCs w:val="25"/>
        </w:rPr>
        <w:t>No one objected to Kroger’s</w:t>
      </w:r>
      <w:r w:rsidRPr="00CB6ADD">
        <w:rPr>
          <w:sz w:val="25"/>
          <w:szCs w:val="25"/>
        </w:rPr>
        <w:t xml:space="preserve"> </w:t>
      </w:r>
      <w:r>
        <w:rPr>
          <w:sz w:val="25"/>
          <w:szCs w:val="25"/>
        </w:rPr>
        <w:t xml:space="preserve">late-filed </w:t>
      </w:r>
      <w:r w:rsidRPr="00CB6ADD">
        <w:rPr>
          <w:sz w:val="25"/>
          <w:szCs w:val="25"/>
        </w:rPr>
        <w:t xml:space="preserve">petition to intervene.  The Commission finds that </w:t>
      </w:r>
      <w:r>
        <w:rPr>
          <w:sz w:val="25"/>
          <w:szCs w:val="25"/>
        </w:rPr>
        <w:t>Kroger</w:t>
      </w:r>
      <w:r w:rsidRPr="00CB6ADD">
        <w:rPr>
          <w:bCs/>
          <w:sz w:val="25"/>
          <w:szCs w:val="25"/>
        </w:rPr>
        <w:t xml:space="preserve"> demonstrate</w:t>
      </w:r>
      <w:r>
        <w:rPr>
          <w:bCs/>
          <w:sz w:val="25"/>
          <w:szCs w:val="25"/>
        </w:rPr>
        <w:t>s</w:t>
      </w:r>
      <w:r w:rsidRPr="00CB6ADD">
        <w:rPr>
          <w:bCs/>
          <w:sz w:val="25"/>
          <w:szCs w:val="25"/>
        </w:rPr>
        <w:t xml:space="preserve"> </w:t>
      </w:r>
      <w:r>
        <w:rPr>
          <w:bCs/>
          <w:sz w:val="25"/>
          <w:szCs w:val="25"/>
        </w:rPr>
        <w:t>its</w:t>
      </w:r>
      <w:r w:rsidRPr="00CB6ADD">
        <w:rPr>
          <w:bCs/>
          <w:sz w:val="25"/>
          <w:szCs w:val="25"/>
        </w:rPr>
        <w:t xml:space="preserve"> substantial interest in this </w:t>
      </w:r>
      <w:r w:rsidRPr="00CB6ADD">
        <w:rPr>
          <w:sz w:val="25"/>
          <w:szCs w:val="25"/>
        </w:rPr>
        <w:t>proceeding</w:t>
      </w:r>
      <w:r w:rsidRPr="00CB6ADD">
        <w:rPr>
          <w:bCs/>
          <w:sz w:val="25"/>
          <w:szCs w:val="25"/>
        </w:rPr>
        <w:t xml:space="preserve"> and that </w:t>
      </w:r>
      <w:r>
        <w:rPr>
          <w:bCs/>
          <w:sz w:val="25"/>
          <w:szCs w:val="25"/>
        </w:rPr>
        <w:t>its</w:t>
      </w:r>
      <w:r w:rsidRPr="00CB6ADD">
        <w:rPr>
          <w:bCs/>
          <w:sz w:val="25"/>
          <w:szCs w:val="25"/>
        </w:rPr>
        <w:t xml:space="preserve"> participation will be in the public interest.  </w:t>
      </w:r>
      <w:r>
        <w:rPr>
          <w:bCs/>
          <w:sz w:val="25"/>
          <w:szCs w:val="25"/>
        </w:rPr>
        <w:t xml:space="preserve">Kroger’s late-filed </w:t>
      </w:r>
      <w:r w:rsidRPr="00CB6ADD">
        <w:rPr>
          <w:bCs/>
          <w:sz w:val="25"/>
          <w:szCs w:val="25"/>
        </w:rPr>
        <w:t xml:space="preserve">petition to intervene </w:t>
      </w:r>
      <w:r>
        <w:rPr>
          <w:bCs/>
          <w:sz w:val="25"/>
          <w:szCs w:val="25"/>
        </w:rPr>
        <w:t>is</w:t>
      </w:r>
      <w:r w:rsidRPr="00CB6ADD">
        <w:rPr>
          <w:bCs/>
          <w:sz w:val="25"/>
          <w:szCs w:val="25"/>
        </w:rPr>
        <w:t xml:space="preserve"> granted.</w:t>
      </w:r>
    </w:p>
    <w:p w:rsidR="003633BB" w:rsidRPr="003633BB" w:rsidRDefault="003633BB" w:rsidP="00765000">
      <w:pPr>
        <w:spacing w:line="264" w:lineRule="auto"/>
        <w:ind w:left="-720"/>
        <w:rPr>
          <w:sz w:val="25"/>
          <w:szCs w:val="25"/>
        </w:rPr>
      </w:pPr>
    </w:p>
    <w:p w:rsidR="008E699B" w:rsidRDefault="00CB6ADD" w:rsidP="00765000">
      <w:pPr>
        <w:numPr>
          <w:ilvl w:val="0"/>
          <w:numId w:val="20"/>
        </w:numPr>
        <w:spacing w:line="264" w:lineRule="auto"/>
        <w:ind w:hanging="720"/>
        <w:rPr>
          <w:color w:val="000000"/>
          <w:sz w:val="25"/>
          <w:szCs w:val="25"/>
        </w:rPr>
      </w:pPr>
      <w:bookmarkStart w:id="1" w:name="OLE_LINK3"/>
      <w:bookmarkStart w:id="2" w:name="OLE_LINK4"/>
      <w:r>
        <w:rPr>
          <w:b/>
          <w:sz w:val="25"/>
          <w:szCs w:val="25"/>
        </w:rPr>
        <w:t>OBJECTION</w:t>
      </w:r>
      <w:r w:rsidR="00C50DB1">
        <w:rPr>
          <w:b/>
          <w:sz w:val="25"/>
          <w:szCs w:val="25"/>
        </w:rPr>
        <w:t>S</w:t>
      </w:r>
      <w:r>
        <w:rPr>
          <w:b/>
          <w:sz w:val="25"/>
          <w:szCs w:val="25"/>
        </w:rPr>
        <w:t xml:space="preserve"> TO ORDER 02</w:t>
      </w:r>
      <w:r w:rsidR="00161D01" w:rsidRPr="00DF1C64">
        <w:rPr>
          <w:b/>
          <w:bCs/>
          <w:sz w:val="25"/>
          <w:szCs w:val="25"/>
        </w:rPr>
        <w:t>.</w:t>
      </w:r>
      <w:r w:rsidR="00161D01" w:rsidRPr="00DF1C64">
        <w:rPr>
          <w:sz w:val="25"/>
          <w:szCs w:val="25"/>
        </w:rPr>
        <w:t xml:space="preserve">  </w:t>
      </w:r>
      <w:r w:rsidR="008E699B">
        <w:rPr>
          <w:sz w:val="25"/>
          <w:szCs w:val="25"/>
        </w:rPr>
        <w:t xml:space="preserve">On April 2, 2013, </w:t>
      </w:r>
      <w:r w:rsidR="008E699B" w:rsidRPr="00DA5DBB">
        <w:rPr>
          <w:sz w:val="25"/>
          <w:szCs w:val="25"/>
        </w:rPr>
        <w:t>the Public Counsel Section of the Washington Office of Attorney General (Public Counsel)</w:t>
      </w:r>
      <w:r w:rsidR="008E699B">
        <w:rPr>
          <w:sz w:val="25"/>
          <w:szCs w:val="25"/>
        </w:rPr>
        <w:t xml:space="preserve"> filed its objection</w:t>
      </w:r>
      <w:r w:rsidR="00C50DB1">
        <w:rPr>
          <w:sz w:val="25"/>
          <w:szCs w:val="25"/>
        </w:rPr>
        <w:t>s</w:t>
      </w:r>
      <w:r w:rsidR="008E699B">
        <w:rPr>
          <w:sz w:val="25"/>
          <w:szCs w:val="25"/>
        </w:rPr>
        <w:t xml:space="preserve"> to Order 02 in both the ERF and the Decoupling dockets</w:t>
      </w:r>
      <w:r w:rsidR="00C030E6" w:rsidRPr="00DF1C64">
        <w:rPr>
          <w:sz w:val="25"/>
          <w:szCs w:val="25"/>
        </w:rPr>
        <w:t>.</w:t>
      </w:r>
      <w:r w:rsidR="00C50DB1">
        <w:rPr>
          <w:sz w:val="25"/>
          <w:szCs w:val="25"/>
        </w:rPr>
        <w:t xml:space="preserve">  Public Counsel states that it is authorized to represent support for its objection from the </w:t>
      </w:r>
      <w:r w:rsidR="00C50DB1" w:rsidRPr="00C50DB1">
        <w:rPr>
          <w:sz w:val="25"/>
          <w:szCs w:val="25"/>
        </w:rPr>
        <w:t>Federal Executive Agencies</w:t>
      </w:r>
      <w:r w:rsidR="00C50DB1">
        <w:rPr>
          <w:sz w:val="25"/>
          <w:szCs w:val="25"/>
        </w:rPr>
        <w:t xml:space="preserve"> (FEA)</w:t>
      </w:r>
      <w:r w:rsidR="00C50DB1" w:rsidRPr="00C50DB1">
        <w:rPr>
          <w:sz w:val="25"/>
          <w:szCs w:val="25"/>
        </w:rPr>
        <w:t>, Northwest Industrial Gas Users</w:t>
      </w:r>
      <w:r w:rsidR="00C50DB1">
        <w:rPr>
          <w:sz w:val="25"/>
          <w:szCs w:val="25"/>
        </w:rPr>
        <w:t xml:space="preserve"> (NWIGU)</w:t>
      </w:r>
      <w:r w:rsidR="00C50DB1" w:rsidRPr="00C50DB1">
        <w:rPr>
          <w:sz w:val="25"/>
          <w:szCs w:val="25"/>
        </w:rPr>
        <w:t>, and Nucor Steel.</w:t>
      </w:r>
      <w:r w:rsidR="00C030E6" w:rsidRPr="00DF1C64">
        <w:rPr>
          <w:color w:val="000000"/>
          <w:sz w:val="25"/>
          <w:szCs w:val="25"/>
        </w:rPr>
        <w:t xml:space="preserve">  </w:t>
      </w:r>
      <w:r w:rsidR="00C50DB1">
        <w:rPr>
          <w:color w:val="000000"/>
          <w:sz w:val="25"/>
          <w:szCs w:val="25"/>
        </w:rPr>
        <w:t>The Industrial Customers of Northwest Utilities (ICNU) filed a response to Public Counsel’s objection, stating its support.</w:t>
      </w:r>
    </w:p>
    <w:p w:rsidR="00C50DB1" w:rsidRDefault="00C50DB1" w:rsidP="00765000">
      <w:pPr>
        <w:pStyle w:val="ListParagraph"/>
        <w:spacing w:line="264" w:lineRule="auto"/>
        <w:rPr>
          <w:color w:val="000000"/>
          <w:sz w:val="25"/>
          <w:szCs w:val="25"/>
        </w:rPr>
      </w:pPr>
    </w:p>
    <w:p w:rsidR="00C50DB1" w:rsidRDefault="00C50DB1" w:rsidP="00765000">
      <w:pPr>
        <w:numPr>
          <w:ilvl w:val="0"/>
          <w:numId w:val="20"/>
        </w:numPr>
        <w:spacing w:line="264" w:lineRule="auto"/>
        <w:ind w:hanging="720"/>
        <w:rPr>
          <w:color w:val="000000"/>
          <w:sz w:val="25"/>
          <w:szCs w:val="25"/>
        </w:rPr>
      </w:pPr>
      <w:r w:rsidRPr="00C50DB1">
        <w:rPr>
          <w:color w:val="000000"/>
          <w:sz w:val="25"/>
          <w:szCs w:val="25"/>
        </w:rPr>
        <w:t xml:space="preserve">Public Counsel </w:t>
      </w:r>
      <w:r>
        <w:rPr>
          <w:color w:val="000000"/>
          <w:sz w:val="25"/>
          <w:szCs w:val="25"/>
        </w:rPr>
        <w:t>argues that</w:t>
      </w:r>
      <w:r w:rsidRPr="00C50DB1">
        <w:rPr>
          <w:color w:val="000000"/>
          <w:sz w:val="25"/>
          <w:szCs w:val="25"/>
        </w:rPr>
        <w:t xml:space="preserve"> the</w:t>
      </w:r>
      <w:r>
        <w:rPr>
          <w:color w:val="000000"/>
          <w:sz w:val="25"/>
          <w:szCs w:val="25"/>
        </w:rPr>
        <w:t xml:space="preserve"> procedural</w:t>
      </w:r>
      <w:r w:rsidRPr="00C50DB1">
        <w:rPr>
          <w:color w:val="000000"/>
          <w:sz w:val="25"/>
          <w:szCs w:val="25"/>
        </w:rPr>
        <w:t xml:space="preserve"> schedule</w:t>
      </w:r>
      <w:r>
        <w:rPr>
          <w:color w:val="000000"/>
          <w:sz w:val="25"/>
          <w:szCs w:val="25"/>
        </w:rPr>
        <w:t xml:space="preserve"> adopted in Order 02</w:t>
      </w:r>
      <w:r w:rsidRPr="00C50DB1">
        <w:rPr>
          <w:color w:val="000000"/>
          <w:sz w:val="25"/>
          <w:szCs w:val="25"/>
        </w:rPr>
        <w:t xml:space="preserve"> does not </w:t>
      </w:r>
      <w:r>
        <w:rPr>
          <w:color w:val="000000"/>
          <w:sz w:val="25"/>
          <w:szCs w:val="25"/>
        </w:rPr>
        <w:t>give</w:t>
      </w:r>
      <w:r w:rsidRPr="00C50DB1">
        <w:rPr>
          <w:color w:val="000000"/>
          <w:sz w:val="25"/>
          <w:szCs w:val="25"/>
        </w:rPr>
        <w:t xml:space="preserve"> parties a fair opportunity to evaluate the </w:t>
      </w:r>
      <w:r>
        <w:rPr>
          <w:color w:val="000000"/>
          <w:sz w:val="25"/>
          <w:szCs w:val="25"/>
        </w:rPr>
        <w:t xml:space="preserve">decoupling and ERF </w:t>
      </w:r>
      <w:r w:rsidRPr="00C50DB1">
        <w:rPr>
          <w:color w:val="000000"/>
          <w:sz w:val="25"/>
          <w:szCs w:val="25"/>
        </w:rPr>
        <w:t>proposals and prepare recommendations for the Commission</w:t>
      </w:r>
      <w:r>
        <w:rPr>
          <w:color w:val="000000"/>
          <w:sz w:val="25"/>
          <w:szCs w:val="25"/>
        </w:rPr>
        <w:t>.  Public Counsel says this will</w:t>
      </w:r>
      <w:r w:rsidRPr="00C50DB1">
        <w:rPr>
          <w:color w:val="000000"/>
          <w:sz w:val="25"/>
          <w:szCs w:val="25"/>
        </w:rPr>
        <w:t xml:space="preserve"> result </w:t>
      </w:r>
      <w:r>
        <w:rPr>
          <w:color w:val="000000"/>
          <w:sz w:val="25"/>
          <w:szCs w:val="25"/>
        </w:rPr>
        <w:t>in</w:t>
      </w:r>
      <w:r w:rsidRPr="00C50DB1">
        <w:rPr>
          <w:color w:val="000000"/>
          <w:sz w:val="25"/>
          <w:szCs w:val="25"/>
        </w:rPr>
        <w:t xml:space="preserve"> the adjudicative proceeding </w:t>
      </w:r>
      <w:r>
        <w:rPr>
          <w:color w:val="000000"/>
          <w:sz w:val="25"/>
          <w:szCs w:val="25"/>
        </w:rPr>
        <w:t>having</w:t>
      </w:r>
      <w:r w:rsidRPr="00C50DB1">
        <w:rPr>
          <w:color w:val="000000"/>
          <w:sz w:val="25"/>
          <w:szCs w:val="25"/>
        </w:rPr>
        <w:t xml:space="preserve"> </w:t>
      </w:r>
      <w:r>
        <w:rPr>
          <w:color w:val="000000"/>
          <w:sz w:val="25"/>
          <w:szCs w:val="25"/>
        </w:rPr>
        <w:t>“</w:t>
      </w:r>
      <w:r w:rsidRPr="00C50DB1">
        <w:rPr>
          <w:color w:val="000000"/>
          <w:sz w:val="25"/>
          <w:szCs w:val="25"/>
        </w:rPr>
        <w:t>limited value.</w:t>
      </w:r>
      <w:r>
        <w:rPr>
          <w:color w:val="000000"/>
          <w:sz w:val="25"/>
          <w:szCs w:val="25"/>
        </w:rPr>
        <w:t>”</w:t>
      </w:r>
      <w:r w:rsidRPr="00C50DB1">
        <w:rPr>
          <w:color w:val="000000"/>
          <w:sz w:val="25"/>
          <w:szCs w:val="25"/>
        </w:rPr>
        <w:t xml:space="preserve">  Public Counsel </w:t>
      </w:r>
      <w:r>
        <w:rPr>
          <w:color w:val="000000"/>
          <w:sz w:val="25"/>
          <w:szCs w:val="25"/>
        </w:rPr>
        <w:t>renews its</w:t>
      </w:r>
      <w:r w:rsidRPr="00C50DB1">
        <w:rPr>
          <w:color w:val="000000"/>
          <w:sz w:val="25"/>
          <w:szCs w:val="25"/>
        </w:rPr>
        <w:t xml:space="preserve"> request</w:t>
      </w:r>
      <w:r>
        <w:rPr>
          <w:color w:val="000000"/>
          <w:sz w:val="25"/>
          <w:szCs w:val="25"/>
        </w:rPr>
        <w:t>, made in a</w:t>
      </w:r>
      <w:r w:rsidRPr="00C50DB1">
        <w:rPr>
          <w:color w:val="000000"/>
          <w:sz w:val="25"/>
          <w:szCs w:val="25"/>
        </w:rPr>
        <w:t xml:space="preserve"> joint letter filing</w:t>
      </w:r>
      <w:r>
        <w:rPr>
          <w:color w:val="000000"/>
          <w:sz w:val="25"/>
          <w:szCs w:val="25"/>
        </w:rPr>
        <w:t xml:space="preserve"> with NWIGU</w:t>
      </w:r>
      <w:r w:rsidRPr="00C50DB1">
        <w:rPr>
          <w:color w:val="000000"/>
          <w:sz w:val="25"/>
          <w:szCs w:val="25"/>
        </w:rPr>
        <w:t xml:space="preserve"> on March 12, 2013</w:t>
      </w:r>
      <w:r>
        <w:rPr>
          <w:color w:val="000000"/>
          <w:sz w:val="25"/>
          <w:szCs w:val="25"/>
        </w:rPr>
        <w:t>, and discussed during the March 22, 2013 prehearing conference,</w:t>
      </w:r>
      <w:r w:rsidRPr="00C50DB1">
        <w:rPr>
          <w:color w:val="000000"/>
          <w:sz w:val="25"/>
          <w:szCs w:val="25"/>
        </w:rPr>
        <w:t xml:space="preserve"> that the Commission </w:t>
      </w:r>
      <w:r>
        <w:rPr>
          <w:color w:val="000000"/>
          <w:sz w:val="25"/>
          <w:szCs w:val="25"/>
        </w:rPr>
        <w:t>adopt</w:t>
      </w:r>
      <w:r w:rsidRPr="00C50DB1">
        <w:rPr>
          <w:color w:val="000000"/>
          <w:sz w:val="25"/>
          <w:szCs w:val="25"/>
        </w:rPr>
        <w:t xml:space="preserve"> a schedule that </w:t>
      </w:r>
      <w:r w:rsidR="00106974">
        <w:rPr>
          <w:color w:val="000000"/>
          <w:sz w:val="25"/>
          <w:szCs w:val="25"/>
        </w:rPr>
        <w:t>“</w:t>
      </w:r>
      <w:r>
        <w:rPr>
          <w:color w:val="000000"/>
          <w:sz w:val="25"/>
          <w:szCs w:val="25"/>
        </w:rPr>
        <w:t>will provide</w:t>
      </w:r>
      <w:r w:rsidRPr="00C50DB1">
        <w:rPr>
          <w:color w:val="000000"/>
          <w:sz w:val="25"/>
          <w:szCs w:val="25"/>
        </w:rPr>
        <w:t xml:space="preserve"> additional time of approximately 60 days </w:t>
      </w:r>
      <w:r>
        <w:rPr>
          <w:color w:val="000000"/>
          <w:sz w:val="25"/>
          <w:szCs w:val="25"/>
        </w:rPr>
        <w:t>to</w:t>
      </w:r>
      <w:r w:rsidRPr="00C50DB1">
        <w:rPr>
          <w:color w:val="000000"/>
          <w:sz w:val="25"/>
          <w:szCs w:val="25"/>
        </w:rPr>
        <w:t xml:space="preserve"> the schedule</w:t>
      </w:r>
      <w:r>
        <w:rPr>
          <w:color w:val="000000"/>
          <w:sz w:val="25"/>
          <w:szCs w:val="25"/>
        </w:rPr>
        <w:t xml:space="preserve"> adopted</w:t>
      </w:r>
      <w:r w:rsidRPr="00C50DB1">
        <w:rPr>
          <w:color w:val="000000"/>
          <w:sz w:val="25"/>
          <w:szCs w:val="25"/>
        </w:rPr>
        <w:t>, with the case completed by September</w:t>
      </w:r>
      <w:r w:rsidR="00106974">
        <w:rPr>
          <w:color w:val="000000"/>
          <w:sz w:val="25"/>
          <w:szCs w:val="25"/>
        </w:rPr>
        <w:t>.”</w:t>
      </w:r>
      <w:r w:rsidR="00002631">
        <w:rPr>
          <w:rStyle w:val="FootnoteReference"/>
          <w:color w:val="000000"/>
          <w:sz w:val="25"/>
          <w:szCs w:val="25"/>
        </w:rPr>
        <w:footnoteReference w:id="7"/>
      </w:r>
      <w:r w:rsidR="00106974">
        <w:rPr>
          <w:color w:val="000000"/>
          <w:sz w:val="25"/>
          <w:szCs w:val="25"/>
        </w:rPr>
        <w:t xml:space="preserve">  Citing “significant new policy and procedural proposals” and “[substantial] financial impact,” Public Counsel represents that the current procedural schedule does not provide sufficient time for discovery and issue analysis beyond a “preliminary” level.  </w:t>
      </w:r>
    </w:p>
    <w:p w:rsidR="00106974" w:rsidRDefault="00106974" w:rsidP="00765000">
      <w:pPr>
        <w:pStyle w:val="ListParagraph"/>
        <w:spacing w:line="264" w:lineRule="auto"/>
        <w:rPr>
          <w:color w:val="000000"/>
          <w:sz w:val="25"/>
          <w:szCs w:val="25"/>
        </w:rPr>
      </w:pPr>
    </w:p>
    <w:p w:rsidR="00D854C6" w:rsidRDefault="00D854C6" w:rsidP="00765000">
      <w:pPr>
        <w:numPr>
          <w:ilvl w:val="0"/>
          <w:numId w:val="20"/>
        </w:numPr>
        <w:spacing w:line="264" w:lineRule="auto"/>
        <w:ind w:hanging="720"/>
        <w:rPr>
          <w:color w:val="000000"/>
          <w:sz w:val="25"/>
          <w:szCs w:val="25"/>
        </w:rPr>
      </w:pPr>
      <w:r>
        <w:rPr>
          <w:color w:val="000000"/>
          <w:sz w:val="25"/>
          <w:szCs w:val="25"/>
        </w:rPr>
        <w:t>Public Counsel focuses on the revised decoupling proposal filed by PSE and NWEC on March 4, 2013, and the conversion of these dockets to the status of formal adjudicative proceedings on March 14, 2013, in support of its argument that the parties will not be afforded adequate opportunities to explore the policy issues and practical implications of the Decoupling and ERF proposals.  Public Counsel argues:</w:t>
      </w:r>
    </w:p>
    <w:p w:rsidR="00D854C6" w:rsidRDefault="00D854C6" w:rsidP="00765000">
      <w:pPr>
        <w:pStyle w:val="ListParagraph"/>
        <w:spacing w:line="264" w:lineRule="auto"/>
        <w:rPr>
          <w:color w:val="000000"/>
          <w:sz w:val="25"/>
          <w:szCs w:val="25"/>
        </w:rPr>
      </w:pPr>
    </w:p>
    <w:p w:rsidR="00106974" w:rsidRDefault="00D854C6" w:rsidP="00202492">
      <w:pPr>
        <w:ind w:left="720" w:right="720"/>
        <w:rPr>
          <w:color w:val="000000"/>
          <w:sz w:val="25"/>
          <w:szCs w:val="25"/>
        </w:rPr>
      </w:pPr>
      <w:r w:rsidRPr="00D854C6">
        <w:rPr>
          <w:color w:val="000000"/>
          <w:sz w:val="25"/>
          <w:szCs w:val="25"/>
        </w:rPr>
        <w:t xml:space="preserve">Both the ERF and Decoupling dockets have been subject to procedural uncertainty.  No discovery rules or protective orders were in place and the process and schedule for consideration of the dockets was unclear.  Much of the material to which parties must respond, including testimony, exhibits, and a Staff/PSE/NWEC settlement agreement, has only been filed within the last 30 days.  </w:t>
      </w:r>
    </w:p>
    <w:p w:rsidR="008E699B" w:rsidRDefault="008E699B" w:rsidP="00765000">
      <w:pPr>
        <w:spacing w:line="264" w:lineRule="auto"/>
        <w:rPr>
          <w:color w:val="000000"/>
          <w:sz w:val="25"/>
          <w:szCs w:val="25"/>
        </w:rPr>
      </w:pPr>
    </w:p>
    <w:p w:rsidR="00F96C6B" w:rsidRDefault="00F96C6B" w:rsidP="00765000">
      <w:pPr>
        <w:spacing w:line="264" w:lineRule="auto"/>
        <w:rPr>
          <w:color w:val="000000"/>
          <w:sz w:val="25"/>
          <w:szCs w:val="25"/>
        </w:rPr>
      </w:pPr>
      <w:r>
        <w:rPr>
          <w:color w:val="000000"/>
          <w:sz w:val="25"/>
          <w:szCs w:val="25"/>
        </w:rPr>
        <w:t xml:space="preserve">These arguments fail to take into account the broader context and history in which the policy issues under consideration in the Decoupling and ERF dockets have developed.  The context includes multiple proceedings over many years and significant attention during recent periods.  </w:t>
      </w:r>
      <w:r w:rsidR="002F02D5">
        <w:rPr>
          <w:color w:val="000000"/>
          <w:sz w:val="25"/>
          <w:szCs w:val="25"/>
        </w:rPr>
        <w:t>In November 2010, following extended discussions with stakeholders, including Public Counsel and other parties to these proceedings, the Commission issued its</w:t>
      </w:r>
      <w:r w:rsidR="002F02D5" w:rsidRPr="002F02D5">
        <w:rPr>
          <w:color w:val="000000"/>
          <w:sz w:val="25"/>
          <w:szCs w:val="25"/>
        </w:rPr>
        <w:t xml:space="preserve"> </w:t>
      </w:r>
      <w:r w:rsidR="002F02D5" w:rsidRPr="002F02D5">
        <w:rPr>
          <w:i/>
          <w:color w:val="000000"/>
          <w:sz w:val="25"/>
          <w:szCs w:val="25"/>
        </w:rPr>
        <w:t xml:space="preserve">Decoupling Policy Statement on Regulatory Mechanisms, Including Decoupling, </w:t>
      </w:r>
      <w:r w:rsidR="002F02D5">
        <w:rPr>
          <w:i/>
          <w:color w:val="000000"/>
          <w:sz w:val="25"/>
          <w:szCs w:val="25"/>
        </w:rPr>
        <w:t>t</w:t>
      </w:r>
      <w:r w:rsidR="002F02D5" w:rsidRPr="002F02D5">
        <w:rPr>
          <w:i/>
          <w:color w:val="000000"/>
          <w:sz w:val="25"/>
          <w:szCs w:val="25"/>
        </w:rPr>
        <w:t xml:space="preserve">o Encourage Utilities </w:t>
      </w:r>
      <w:r w:rsidR="002F02D5">
        <w:rPr>
          <w:i/>
          <w:color w:val="000000"/>
          <w:sz w:val="25"/>
          <w:szCs w:val="25"/>
        </w:rPr>
        <w:t>t</w:t>
      </w:r>
      <w:r w:rsidR="002F02D5" w:rsidRPr="002F02D5">
        <w:rPr>
          <w:i/>
          <w:color w:val="000000"/>
          <w:sz w:val="25"/>
          <w:szCs w:val="25"/>
        </w:rPr>
        <w:t xml:space="preserve">o Meet or Exceed Their Conservation Targets </w:t>
      </w:r>
      <w:r w:rsidR="002F02D5" w:rsidRPr="002F02D5">
        <w:rPr>
          <w:color w:val="000000"/>
          <w:sz w:val="25"/>
          <w:szCs w:val="25"/>
        </w:rPr>
        <w:t>(Decoupling Policy Statement).</w:t>
      </w:r>
      <w:r w:rsidR="002F02D5" w:rsidRPr="002F02D5">
        <w:rPr>
          <w:color w:val="000000"/>
          <w:sz w:val="25"/>
          <w:szCs w:val="25"/>
          <w:vertAlign w:val="superscript"/>
        </w:rPr>
        <w:footnoteReference w:id="8"/>
      </w:r>
      <w:r w:rsidR="002F02D5">
        <w:rPr>
          <w:color w:val="000000"/>
          <w:sz w:val="25"/>
          <w:szCs w:val="25"/>
        </w:rPr>
        <w:t xml:space="preserve">  </w:t>
      </w:r>
      <w:r w:rsidR="002F02D5" w:rsidRPr="002F02D5">
        <w:rPr>
          <w:color w:val="000000"/>
          <w:sz w:val="25"/>
          <w:szCs w:val="25"/>
        </w:rPr>
        <w:t xml:space="preserve">The Commission’s issuance of </w:t>
      </w:r>
      <w:r w:rsidR="002F02D5">
        <w:rPr>
          <w:color w:val="000000"/>
          <w:sz w:val="25"/>
          <w:szCs w:val="25"/>
        </w:rPr>
        <w:t>the</w:t>
      </w:r>
      <w:r w:rsidR="002F02D5" w:rsidRPr="002F02D5">
        <w:rPr>
          <w:color w:val="000000"/>
          <w:sz w:val="25"/>
          <w:szCs w:val="25"/>
        </w:rPr>
        <w:t xml:space="preserve"> Decoupling Policy Statement </w:t>
      </w:r>
      <w:r w:rsidR="002F02D5">
        <w:rPr>
          <w:color w:val="000000"/>
          <w:sz w:val="25"/>
          <w:szCs w:val="25"/>
        </w:rPr>
        <w:t>“</w:t>
      </w:r>
      <w:r w:rsidR="002F02D5" w:rsidRPr="002F02D5">
        <w:rPr>
          <w:color w:val="000000"/>
          <w:sz w:val="25"/>
          <w:szCs w:val="25"/>
        </w:rPr>
        <w:t xml:space="preserve">was a milestone in what NWEC’s witness, Mr. Cavanagh, described during our evidentiary hearing as </w:t>
      </w:r>
      <w:r w:rsidR="002F02D5">
        <w:rPr>
          <w:color w:val="000000"/>
          <w:sz w:val="25"/>
          <w:szCs w:val="25"/>
        </w:rPr>
        <w:t>‘</w:t>
      </w:r>
      <w:r w:rsidR="002F02D5" w:rsidRPr="002F02D5">
        <w:rPr>
          <w:color w:val="000000"/>
          <w:sz w:val="25"/>
          <w:szCs w:val="25"/>
        </w:rPr>
        <w:t>a 30-year conversation with this Commission</w:t>
      </w:r>
      <w:r w:rsidR="002F02D5">
        <w:rPr>
          <w:color w:val="000000"/>
          <w:sz w:val="25"/>
          <w:szCs w:val="25"/>
        </w:rPr>
        <w:t>’</w:t>
      </w:r>
      <w:r w:rsidR="002F02D5" w:rsidRPr="002F02D5">
        <w:rPr>
          <w:color w:val="000000"/>
          <w:sz w:val="25"/>
          <w:szCs w:val="25"/>
        </w:rPr>
        <w:t xml:space="preserve"> on the subject.</w:t>
      </w:r>
      <w:r w:rsidR="002F02D5">
        <w:rPr>
          <w:color w:val="000000"/>
          <w:sz w:val="25"/>
          <w:szCs w:val="25"/>
        </w:rPr>
        <w:t>”</w:t>
      </w:r>
      <w:r w:rsidR="002F02D5" w:rsidRPr="002F02D5">
        <w:rPr>
          <w:color w:val="000000"/>
          <w:sz w:val="25"/>
          <w:szCs w:val="25"/>
          <w:vertAlign w:val="superscript"/>
        </w:rPr>
        <w:footnoteReference w:id="9"/>
      </w:r>
      <w:r w:rsidR="002F02D5">
        <w:rPr>
          <w:color w:val="000000"/>
          <w:sz w:val="25"/>
          <w:szCs w:val="25"/>
        </w:rPr>
        <w:t xml:space="preserve">  </w:t>
      </w:r>
      <w:r w:rsidR="00AB5D96">
        <w:rPr>
          <w:color w:val="000000"/>
          <w:sz w:val="25"/>
          <w:szCs w:val="25"/>
        </w:rPr>
        <w:t>Order 08, the Commission’s Final Order in PSE’s most recently completed general rate case (GRC) discusses in detail the Commission’s focus on full decoupling and similar m</w:t>
      </w:r>
      <w:r w:rsidR="00237271">
        <w:rPr>
          <w:color w:val="000000"/>
          <w:sz w:val="25"/>
          <w:szCs w:val="25"/>
        </w:rPr>
        <w:t xml:space="preserve">echanisms in the context of PSE’s </w:t>
      </w:r>
      <w:r w:rsidR="00AB5D96">
        <w:rPr>
          <w:color w:val="000000"/>
          <w:sz w:val="25"/>
          <w:szCs w:val="25"/>
        </w:rPr>
        <w:t>GRC</w:t>
      </w:r>
      <w:r w:rsidR="00237271">
        <w:rPr>
          <w:color w:val="000000"/>
          <w:sz w:val="25"/>
          <w:szCs w:val="25"/>
        </w:rPr>
        <w:t>, completed in May 2012,</w:t>
      </w:r>
      <w:r w:rsidR="00AB5D96">
        <w:rPr>
          <w:color w:val="000000"/>
          <w:sz w:val="25"/>
          <w:szCs w:val="25"/>
        </w:rPr>
        <w:t xml:space="preserve"> and in Avista Utilities’ 2011 GRC.</w:t>
      </w:r>
      <w:r w:rsidR="00AB5D96">
        <w:rPr>
          <w:rStyle w:val="FootnoteReference"/>
          <w:color w:val="000000"/>
          <w:sz w:val="25"/>
          <w:szCs w:val="25"/>
        </w:rPr>
        <w:footnoteReference w:id="10"/>
      </w:r>
      <w:r w:rsidR="00AB5D96">
        <w:rPr>
          <w:color w:val="000000"/>
          <w:sz w:val="25"/>
          <w:szCs w:val="25"/>
        </w:rPr>
        <w:t xml:space="preserve">  In both cases, the Commission sought out the perspectives of multiple stakeholders on the subject of decoupling as a policy and on the question of how it might be effectively implemented.</w:t>
      </w:r>
    </w:p>
    <w:p w:rsidR="00727955" w:rsidRDefault="00727955" w:rsidP="00765000">
      <w:pPr>
        <w:spacing w:line="264" w:lineRule="auto"/>
        <w:rPr>
          <w:color w:val="000000"/>
          <w:sz w:val="25"/>
          <w:szCs w:val="25"/>
        </w:rPr>
      </w:pPr>
    </w:p>
    <w:p w:rsidR="00727955" w:rsidRDefault="00727955" w:rsidP="00765000">
      <w:pPr>
        <w:numPr>
          <w:ilvl w:val="0"/>
          <w:numId w:val="20"/>
        </w:numPr>
        <w:spacing w:line="264" w:lineRule="auto"/>
        <w:ind w:hanging="720"/>
        <w:rPr>
          <w:color w:val="000000"/>
          <w:sz w:val="25"/>
          <w:szCs w:val="25"/>
        </w:rPr>
      </w:pPr>
      <w:r>
        <w:rPr>
          <w:color w:val="000000"/>
          <w:sz w:val="25"/>
          <w:szCs w:val="25"/>
        </w:rPr>
        <w:t>Discussions, informal discovery, and Commission-sponsored technical conferences have continued in connection with the pending PSE/NWEC petition for decoupling</w:t>
      </w:r>
      <w:r w:rsidR="00237271">
        <w:rPr>
          <w:color w:val="000000"/>
          <w:sz w:val="25"/>
          <w:szCs w:val="25"/>
        </w:rPr>
        <w:t xml:space="preserve"> in Dockets UE-121697 and UG-121705</w:t>
      </w:r>
      <w:r>
        <w:rPr>
          <w:color w:val="000000"/>
          <w:sz w:val="25"/>
          <w:szCs w:val="25"/>
        </w:rPr>
        <w:t xml:space="preserve"> since October 2012.  While the proposal currently before the Commission was filed recently, and includes revised approaches to certain components of the mechanism, much remains the same as in the original proposal.</w:t>
      </w:r>
      <w:r w:rsidR="001E4D68">
        <w:rPr>
          <w:color w:val="000000"/>
          <w:sz w:val="25"/>
          <w:szCs w:val="25"/>
        </w:rPr>
        <w:t xml:space="preserve">  Fundamentally, the parties have been actively engaged in this matter for nearly six months already.</w:t>
      </w:r>
    </w:p>
    <w:p w:rsidR="00207591" w:rsidRDefault="00207591" w:rsidP="00765000">
      <w:pPr>
        <w:spacing w:line="264" w:lineRule="auto"/>
        <w:rPr>
          <w:color w:val="000000"/>
          <w:sz w:val="25"/>
          <w:szCs w:val="25"/>
        </w:rPr>
      </w:pPr>
    </w:p>
    <w:p w:rsidR="0019620B" w:rsidRDefault="00207591" w:rsidP="00765000">
      <w:pPr>
        <w:numPr>
          <w:ilvl w:val="0"/>
          <w:numId w:val="20"/>
        </w:numPr>
        <w:spacing w:line="264" w:lineRule="auto"/>
        <w:ind w:hanging="720"/>
        <w:rPr>
          <w:color w:val="000000"/>
          <w:sz w:val="25"/>
          <w:szCs w:val="25"/>
        </w:rPr>
      </w:pPr>
      <w:r>
        <w:rPr>
          <w:color w:val="000000"/>
          <w:sz w:val="25"/>
          <w:szCs w:val="25"/>
        </w:rPr>
        <w:t>The concept of an expedited rate proceeding along the lines of PSE’s ERF filing in Dockets UE-130137 and UG-13</w:t>
      </w:r>
      <w:r w:rsidR="00202492">
        <w:rPr>
          <w:color w:val="000000"/>
          <w:sz w:val="25"/>
          <w:szCs w:val="25"/>
        </w:rPr>
        <w:t>0</w:t>
      </w:r>
      <w:r>
        <w:rPr>
          <w:color w:val="000000"/>
          <w:sz w:val="25"/>
          <w:szCs w:val="25"/>
        </w:rPr>
        <w:t>138 also had its genesis in Order 08,</w:t>
      </w:r>
      <w:r w:rsidR="000431E0">
        <w:rPr>
          <w:rStyle w:val="FootnoteReference"/>
          <w:color w:val="000000"/>
          <w:sz w:val="25"/>
          <w:szCs w:val="25"/>
        </w:rPr>
        <w:footnoteReference w:id="11"/>
      </w:r>
      <w:r>
        <w:rPr>
          <w:color w:val="000000"/>
          <w:sz w:val="25"/>
          <w:szCs w:val="25"/>
        </w:rPr>
        <w:t xml:space="preserve"> though the </w:t>
      </w:r>
      <w:r w:rsidR="00270CF3">
        <w:rPr>
          <w:color w:val="000000"/>
          <w:sz w:val="25"/>
          <w:szCs w:val="25"/>
        </w:rPr>
        <w:t xml:space="preserve">Commission’s </w:t>
      </w:r>
      <w:r>
        <w:rPr>
          <w:color w:val="000000"/>
          <w:sz w:val="25"/>
          <w:szCs w:val="25"/>
        </w:rPr>
        <w:t>broader policy allowing for such filings can be traced back considerably further.</w:t>
      </w:r>
      <w:r>
        <w:rPr>
          <w:rStyle w:val="FootnoteReference"/>
          <w:color w:val="000000"/>
          <w:sz w:val="25"/>
          <w:szCs w:val="25"/>
        </w:rPr>
        <w:footnoteReference w:id="12"/>
      </w:r>
      <w:r w:rsidR="000431E0">
        <w:rPr>
          <w:color w:val="000000"/>
          <w:sz w:val="25"/>
          <w:szCs w:val="25"/>
        </w:rPr>
        <w:t xml:space="preserve">  In Order 08, the Commission discussed at length the evidence Staff presented outlining </w:t>
      </w:r>
      <w:r w:rsidR="000431E0" w:rsidRPr="000431E0">
        <w:rPr>
          <w:color w:val="000000"/>
          <w:sz w:val="25"/>
          <w:szCs w:val="25"/>
        </w:rPr>
        <w:t xml:space="preserve">an expedited form of general rate relief using a simple and straight-forward process to update the test period relationships between rate base and net operating income. </w:t>
      </w:r>
      <w:r w:rsidR="00237271">
        <w:rPr>
          <w:color w:val="000000"/>
          <w:sz w:val="25"/>
          <w:szCs w:val="25"/>
        </w:rPr>
        <w:t xml:space="preserve"> </w:t>
      </w:r>
      <w:r w:rsidR="0019620B">
        <w:rPr>
          <w:color w:val="000000"/>
          <w:sz w:val="25"/>
          <w:szCs w:val="25"/>
        </w:rPr>
        <w:t>Staff proposed that t</w:t>
      </w:r>
      <w:r w:rsidR="000431E0" w:rsidRPr="000431E0">
        <w:rPr>
          <w:color w:val="000000"/>
          <w:sz w:val="25"/>
          <w:szCs w:val="25"/>
        </w:rPr>
        <w:t xml:space="preserve">he process would </w:t>
      </w:r>
      <w:r w:rsidR="0019620B">
        <w:rPr>
          <w:color w:val="000000"/>
          <w:sz w:val="25"/>
          <w:szCs w:val="25"/>
        </w:rPr>
        <w:t>use</w:t>
      </w:r>
      <w:r w:rsidR="000431E0" w:rsidRPr="000431E0">
        <w:rPr>
          <w:color w:val="000000"/>
          <w:sz w:val="25"/>
          <w:szCs w:val="25"/>
        </w:rPr>
        <w:t xml:space="preserve"> the type of financial information required by Commission basis reports. </w:t>
      </w:r>
    </w:p>
    <w:p w:rsidR="0019620B" w:rsidRDefault="0019620B" w:rsidP="00765000">
      <w:pPr>
        <w:spacing w:line="264" w:lineRule="auto"/>
        <w:rPr>
          <w:color w:val="000000"/>
          <w:sz w:val="25"/>
          <w:szCs w:val="25"/>
        </w:rPr>
      </w:pPr>
    </w:p>
    <w:p w:rsidR="0019620B" w:rsidRPr="0019620B" w:rsidRDefault="0019620B" w:rsidP="00765000">
      <w:pPr>
        <w:numPr>
          <w:ilvl w:val="0"/>
          <w:numId w:val="20"/>
        </w:numPr>
        <w:spacing w:line="264" w:lineRule="auto"/>
        <w:ind w:hanging="720"/>
        <w:rPr>
          <w:color w:val="000000"/>
          <w:sz w:val="25"/>
          <w:szCs w:val="25"/>
        </w:rPr>
      </w:pPr>
      <w:r>
        <w:rPr>
          <w:color w:val="000000"/>
          <w:sz w:val="25"/>
          <w:szCs w:val="25"/>
        </w:rPr>
        <w:t>In Order 08, the Commission encouraged PSE to accept</w:t>
      </w:r>
      <w:r w:rsidR="00270CF3">
        <w:rPr>
          <w:color w:val="000000"/>
          <w:sz w:val="25"/>
          <w:szCs w:val="25"/>
        </w:rPr>
        <w:t xml:space="preserve"> </w:t>
      </w:r>
      <w:r>
        <w:rPr>
          <w:color w:val="000000"/>
          <w:sz w:val="25"/>
          <w:szCs w:val="25"/>
        </w:rPr>
        <w:t>“</w:t>
      </w:r>
      <w:r w:rsidRPr="00E518D6">
        <w:rPr>
          <w:sz w:val="25"/>
          <w:szCs w:val="25"/>
        </w:rPr>
        <w:t xml:space="preserve">Staff’s invitation </w:t>
      </w:r>
      <w:r>
        <w:rPr>
          <w:sz w:val="25"/>
          <w:szCs w:val="25"/>
        </w:rPr>
        <w:t>‘</w:t>
      </w:r>
      <w:r w:rsidRPr="00E518D6">
        <w:rPr>
          <w:sz w:val="25"/>
          <w:szCs w:val="25"/>
        </w:rPr>
        <w:t>to meet with PSE to confirm mutual expectations</w:t>
      </w:r>
      <w:r>
        <w:rPr>
          <w:sz w:val="25"/>
          <w:szCs w:val="25"/>
        </w:rPr>
        <w:t>’</w:t>
      </w:r>
      <w:r w:rsidRPr="00E518D6">
        <w:rPr>
          <w:sz w:val="25"/>
          <w:szCs w:val="25"/>
        </w:rPr>
        <w:t xml:space="preserve"> for a filing along the lines Staff suggests</w:t>
      </w:r>
      <w:r>
        <w:rPr>
          <w:sz w:val="25"/>
          <w:szCs w:val="25"/>
        </w:rPr>
        <w:t>.’”</w:t>
      </w:r>
      <w:r>
        <w:rPr>
          <w:rStyle w:val="FootnoteReference"/>
          <w:sz w:val="25"/>
          <w:szCs w:val="25"/>
        </w:rPr>
        <w:footnoteReference w:id="13"/>
      </w:r>
      <w:r>
        <w:rPr>
          <w:sz w:val="25"/>
          <w:szCs w:val="25"/>
        </w:rPr>
        <w:t xml:space="preserve">  Order 08 also encouraged a broader dialogue on this issue:</w:t>
      </w:r>
    </w:p>
    <w:p w:rsidR="0019620B" w:rsidRDefault="0019620B" w:rsidP="00765000">
      <w:pPr>
        <w:spacing w:line="264" w:lineRule="auto"/>
        <w:rPr>
          <w:sz w:val="25"/>
          <w:szCs w:val="25"/>
        </w:rPr>
      </w:pPr>
    </w:p>
    <w:p w:rsidR="00207591" w:rsidRDefault="0019620B" w:rsidP="002A4E4A">
      <w:pPr>
        <w:ind w:left="720" w:right="720"/>
        <w:rPr>
          <w:color w:val="000000"/>
          <w:sz w:val="25"/>
          <w:szCs w:val="25"/>
        </w:rPr>
      </w:pPr>
      <w:r w:rsidRPr="00E518D6">
        <w:rPr>
          <w:sz w:val="25"/>
          <w:szCs w:val="25"/>
        </w:rPr>
        <w:t>Alternatively, Staff and PSE may enter into a broader discussion with other interested participants in the regulatory process and bring forward for consideration specific proposals that may satisfy a range of both common and diverse interests.  In this connection, the Commission would be particularly interested in proposals that might break the current pattern of almost continuous rate cases.</w:t>
      </w:r>
      <w:r>
        <w:rPr>
          <w:rStyle w:val="FootnoteReference"/>
          <w:sz w:val="25"/>
          <w:szCs w:val="25"/>
        </w:rPr>
        <w:footnoteReference w:id="14"/>
      </w:r>
    </w:p>
    <w:p w:rsidR="00F96C6B" w:rsidRDefault="00F96C6B" w:rsidP="00765000">
      <w:pPr>
        <w:spacing w:line="264" w:lineRule="auto"/>
        <w:rPr>
          <w:color w:val="000000"/>
          <w:sz w:val="25"/>
          <w:szCs w:val="25"/>
        </w:rPr>
      </w:pPr>
    </w:p>
    <w:p w:rsidR="0019620B" w:rsidRDefault="0019620B" w:rsidP="00765000">
      <w:pPr>
        <w:spacing w:line="264" w:lineRule="auto"/>
        <w:rPr>
          <w:color w:val="000000"/>
          <w:sz w:val="25"/>
          <w:szCs w:val="25"/>
        </w:rPr>
      </w:pPr>
      <w:r>
        <w:rPr>
          <w:color w:val="000000"/>
          <w:sz w:val="25"/>
          <w:szCs w:val="25"/>
        </w:rPr>
        <w:t>Finally, the Commission said that PSE could</w:t>
      </w:r>
      <w:r w:rsidR="006E7E59">
        <w:rPr>
          <w:color w:val="000000"/>
          <w:sz w:val="25"/>
          <w:szCs w:val="25"/>
        </w:rPr>
        <w:t xml:space="preserve"> make such a filing</w:t>
      </w:r>
      <w:r w:rsidRPr="0019620B">
        <w:rPr>
          <w:color w:val="000000"/>
          <w:sz w:val="25"/>
          <w:szCs w:val="25"/>
        </w:rPr>
        <w:t xml:space="preserve"> on its own initiative </w:t>
      </w:r>
      <w:r w:rsidR="006E7E59">
        <w:rPr>
          <w:color w:val="000000"/>
          <w:sz w:val="25"/>
          <w:szCs w:val="25"/>
        </w:rPr>
        <w:t>and the Commission would</w:t>
      </w:r>
      <w:r w:rsidRPr="0019620B">
        <w:rPr>
          <w:color w:val="000000"/>
          <w:sz w:val="25"/>
          <w:szCs w:val="25"/>
        </w:rPr>
        <w:t xml:space="preserve"> give it fair consideration.</w:t>
      </w:r>
    </w:p>
    <w:p w:rsidR="006E7E59" w:rsidRDefault="006E7E59" w:rsidP="00765000">
      <w:pPr>
        <w:spacing w:line="264" w:lineRule="auto"/>
        <w:rPr>
          <w:color w:val="000000"/>
          <w:sz w:val="25"/>
          <w:szCs w:val="25"/>
        </w:rPr>
      </w:pPr>
    </w:p>
    <w:p w:rsidR="006E7E59" w:rsidRDefault="006E7E59" w:rsidP="00765000">
      <w:pPr>
        <w:numPr>
          <w:ilvl w:val="0"/>
          <w:numId w:val="20"/>
        </w:numPr>
        <w:spacing w:line="264" w:lineRule="auto"/>
        <w:ind w:hanging="720"/>
        <w:rPr>
          <w:color w:val="000000"/>
          <w:sz w:val="25"/>
          <w:szCs w:val="25"/>
        </w:rPr>
      </w:pPr>
      <w:r>
        <w:rPr>
          <w:color w:val="000000"/>
          <w:sz w:val="25"/>
          <w:szCs w:val="25"/>
        </w:rPr>
        <w:t>PSE, Staff and other stakeholders did, in fact, hold some discussions concerning the possibility of an expedited rate filing following the completion of Dockets UE-111048 and UG-111049, but Staff’s proposal made in that proceeding was not pursued and no expedited rate filing for the purpose envisioned by Staff’s witness followed.  Nor did these discussions lead to agreement, or even a consensus, concerning what exactly an expedited rate filing should include, how it should be handled procedurally or what purpose(s) it might serve.  PSE ultimately took the route of filing the pending ERF on its own initiative.  While PSE would have the ERF serve a different purpose</w:t>
      </w:r>
      <w:r w:rsidR="00727955">
        <w:rPr>
          <w:color w:val="000000"/>
          <w:sz w:val="25"/>
          <w:szCs w:val="25"/>
        </w:rPr>
        <w:t xml:space="preserve"> </w:t>
      </w:r>
      <w:r>
        <w:rPr>
          <w:color w:val="000000"/>
          <w:sz w:val="25"/>
          <w:szCs w:val="25"/>
        </w:rPr>
        <w:t xml:space="preserve">than what Staff proposed in the </w:t>
      </w:r>
      <w:r w:rsidRPr="006E7E59">
        <w:rPr>
          <w:color w:val="000000"/>
          <w:sz w:val="25"/>
          <w:szCs w:val="25"/>
        </w:rPr>
        <w:t>2012 GRC dockets</w:t>
      </w:r>
      <w:r>
        <w:rPr>
          <w:color w:val="000000"/>
          <w:sz w:val="25"/>
          <w:szCs w:val="25"/>
        </w:rPr>
        <w:t xml:space="preserve">, </w:t>
      </w:r>
      <w:r w:rsidR="00727955">
        <w:rPr>
          <w:color w:val="000000"/>
          <w:sz w:val="25"/>
          <w:szCs w:val="25"/>
        </w:rPr>
        <w:t>PSE’s filing</w:t>
      </w:r>
      <w:r>
        <w:rPr>
          <w:color w:val="000000"/>
          <w:sz w:val="25"/>
          <w:szCs w:val="25"/>
        </w:rPr>
        <w:t xml:space="preserve"> follows </w:t>
      </w:r>
      <w:r w:rsidR="00B4604C">
        <w:rPr>
          <w:color w:val="000000"/>
          <w:sz w:val="25"/>
          <w:szCs w:val="25"/>
        </w:rPr>
        <w:t xml:space="preserve">at least some of the </w:t>
      </w:r>
      <w:r>
        <w:rPr>
          <w:color w:val="000000"/>
          <w:sz w:val="25"/>
          <w:szCs w:val="25"/>
        </w:rPr>
        <w:t xml:space="preserve">principles Staff outlined in that </w:t>
      </w:r>
      <w:r w:rsidR="00727955">
        <w:rPr>
          <w:color w:val="000000"/>
          <w:sz w:val="25"/>
          <w:szCs w:val="25"/>
        </w:rPr>
        <w:t xml:space="preserve">GRC </w:t>
      </w:r>
      <w:r>
        <w:rPr>
          <w:color w:val="000000"/>
          <w:sz w:val="25"/>
          <w:szCs w:val="25"/>
        </w:rPr>
        <w:t>proceeding as being appropriate for such a filing</w:t>
      </w:r>
      <w:r w:rsidR="00B4604C">
        <w:rPr>
          <w:color w:val="000000"/>
          <w:sz w:val="25"/>
          <w:szCs w:val="25"/>
        </w:rPr>
        <w:t xml:space="preserve"> (</w:t>
      </w:r>
      <w:r w:rsidR="00B4604C" w:rsidRPr="00B4604C">
        <w:rPr>
          <w:i/>
          <w:color w:val="000000"/>
          <w:sz w:val="25"/>
          <w:szCs w:val="25"/>
        </w:rPr>
        <w:t>e.g.,</w:t>
      </w:r>
      <w:r w:rsidR="00B4604C">
        <w:rPr>
          <w:color w:val="000000"/>
          <w:sz w:val="25"/>
          <w:szCs w:val="25"/>
        </w:rPr>
        <w:t xml:space="preserve"> </w:t>
      </w:r>
      <w:r w:rsidR="00B4604C" w:rsidRPr="00B4604C">
        <w:rPr>
          <w:color w:val="000000"/>
          <w:sz w:val="25"/>
          <w:szCs w:val="25"/>
        </w:rPr>
        <w:t>restating adjustments only</w:t>
      </w:r>
      <w:r w:rsidR="00B4604C">
        <w:rPr>
          <w:color w:val="000000"/>
          <w:sz w:val="25"/>
          <w:szCs w:val="25"/>
        </w:rPr>
        <w:t>,</w:t>
      </w:r>
      <w:r w:rsidR="00B4604C" w:rsidRPr="00B4604C">
        <w:rPr>
          <w:color w:val="000000"/>
          <w:sz w:val="25"/>
          <w:szCs w:val="25"/>
        </w:rPr>
        <w:t xml:space="preserve"> </w:t>
      </w:r>
      <w:r w:rsidR="00B4604C">
        <w:rPr>
          <w:color w:val="000000"/>
          <w:sz w:val="25"/>
          <w:szCs w:val="25"/>
        </w:rPr>
        <w:t>no cost of capital issues, no rate spread or rate design issues)</w:t>
      </w:r>
      <w:r>
        <w:rPr>
          <w:color w:val="000000"/>
          <w:sz w:val="25"/>
          <w:szCs w:val="25"/>
        </w:rPr>
        <w:t>.</w:t>
      </w:r>
      <w:r w:rsidR="00727955">
        <w:rPr>
          <w:color w:val="000000"/>
          <w:sz w:val="25"/>
          <w:szCs w:val="25"/>
        </w:rPr>
        <w:t xml:space="preserve">  As a matter of policy, then, and to a significant extent as an implementation issue, the pending ERF cannot be considered novel.</w:t>
      </w:r>
      <w:r>
        <w:rPr>
          <w:color w:val="000000"/>
          <w:sz w:val="25"/>
          <w:szCs w:val="25"/>
        </w:rPr>
        <w:t xml:space="preserve">  </w:t>
      </w:r>
    </w:p>
    <w:p w:rsidR="0019620B" w:rsidRPr="00F96C6B" w:rsidRDefault="0019620B" w:rsidP="00765000">
      <w:pPr>
        <w:spacing w:line="264" w:lineRule="auto"/>
        <w:rPr>
          <w:color w:val="000000"/>
          <w:sz w:val="25"/>
          <w:szCs w:val="25"/>
        </w:rPr>
      </w:pPr>
    </w:p>
    <w:p w:rsidR="001E4D68" w:rsidRDefault="001E4D68" w:rsidP="00765000">
      <w:pPr>
        <w:numPr>
          <w:ilvl w:val="0"/>
          <w:numId w:val="20"/>
        </w:numPr>
        <w:spacing w:line="264" w:lineRule="auto"/>
        <w:ind w:hanging="720"/>
        <w:rPr>
          <w:color w:val="000000"/>
          <w:sz w:val="25"/>
          <w:szCs w:val="25"/>
        </w:rPr>
      </w:pPr>
      <w:r>
        <w:rPr>
          <w:color w:val="000000"/>
          <w:sz w:val="25"/>
          <w:szCs w:val="25"/>
        </w:rPr>
        <w:t>PSE, NWEC and Staff have urged strongly that the Commission resolve these dockets with less, rather than more process, and earlier (</w:t>
      </w:r>
      <w:r w:rsidRPr="001E4D68">
        <w:rPr>
          <w:i/>
          <w:color w:val="000000"/>
          <w:sz w:val="25"/>
          <w:szCs w:val="25"/>
        </w:rPr>
        <w:t>i.e.,</w:t>
      </w:r>
      <w:r>
        <w:rPr>
          <w:color w:val="000000"/>
          <w:sz w:val="25"/>
          <w:szCs w:val="25"/>
        </w:rPr>
        <w:t xml:space="preserve"> by April 2013) rather than later.  The Commission determined that it should allow for more formal process and set these matters for hearing.  This also meant a somewhat longer schedule, including reasonable opportunities for formal discovery in addition to what has occurred informally</w:t>
      </w:r>
      <w:r w:rsidR="00A779E4">
        <w:rPr>
          <w:rStyle w:val="FootnoteReference"/>
          <w:color w:val="000000"/>
          <w:sz w:val="25"/>
          <w:szCs w:val="25"/>
        </w:rPr>
        <w:footnoteReference w:id="15"/>
      </w:r>
      <w:r>
        <w:rPr>
          <w:color w:val="000000"/>
          <w:sz w:val="25"/>
          <w:szCs w:val="25"/>
        </w:rPr>
        <w:t xml:space="preserve">, prefiled testimony by Public Counsel and intervenors, evidentiary and public comment hearings and briefing.  It is important, however that the Commission not prolong the process to the point that the goals of expedited process are lost entirely.  </w:t>
      </w:r>
    </w:p>
    <w:p w:rsidR="001E4D68" w:rsidRDefault="001E4D68" w:rsidP="00765000">
      <w:pPr>
        <w:pStyle w:val="ListParagraph"/>
        <w:spacing w:line="264" w:lineRule="auto"/>
        <w:rPr>
          <w:color w:val="000000"/>
          <w:sz w:val="25"/>
          <w:szCs w:val="25"/>
        </w:rPr>
      </w:pPr>
    </w:p>
    <w:p w:rsidR="00161D01" w:rsidRPr="001E4D68" w:rsidRDefault="00C030E6" w:rsidP="00765000">
      <w:pPr>
        <w:numPr>
          <w:ilvl w:val="0"/>
          <w:numId w:val="20"/>
        </w:numPr>
        <w:spacing w:line="264" w:lineRule="auto"/>
        <w:ind w:hanging="720"/>
        <w:rPr>
          <w:color w:val="000000"/>
          <w:sz w:val="25"/>
          <w:szCs w:val="25"/>
        </w:rPr>
      </w:pPr>
      <w:r w:rsidRPr="001E4D68">
        <w:rPr>
          <w:color w:val="000000"/>
          <w:sz w:val="25"/>
          <w:szCs w:val="25"/>
        </w:rPr>
        <w:t>The schedule</w:t>
      </w:r>
      <w:r w:rsidR="001E4D68" w:rsidRPr="001E4D68">
        <w:rPr>
          <w:color w:val="000000"/>
          <w:sz w:val="25"/>
          <w:szCs w:val="25"/>
        </w:rPr>
        <w:t xml:space="preserve"> adopted in Order 02</w:t>
      </w:r>
      <w:r w:rsidRPr="001E4D68">
        <w:rPr>
          <w:color w:val="000000"/>
          <w:sz w:val="25"/>
          <w:szCs w:val="25"/>
        </w:rPr>
        <w:t xml:space="preserve"> strikes a balance between PSE’s proposal to conclude these proceedings by the end of April and Public Counsel’s proposal that would extend the schedule into September.</w:t>
      </w:r>
      <w:r w:rsidR="00B4604C">
        <w:rPr>
          <w:color w:val="000000"/>
          <w:sz w:val="25"/>
          <w:szCs w:val="25"/>
        </w:rPr>
        <w:t xml:space="preserve">  The Commission anticipates entering its final order, or orders, sometime in June.</w:t>
      </w:r>
      <w:r w:rsidRPr="001E4D68">
        <w:rPr>
          <w:color w:val="000000"/>
          <w:sz w:val="25"/>
          <w:szCs w:val="25"/>
        </w:rPr>
        <w:t xml:space="preserve">  </w:t>
      </w:r>
      <w:r w:rsidR="00A779E4">
        <w:rPr>
          <w:color w:val="000000"/>
          <w:sz w:val="25"/>
          <w:szCs w:val="25"/>
        </w:rPr>
        <w:t>The Commission recognizes that w</w:t>
      </w:r>
      <w:r w:rsidRPr="001E4D68">
        <w:rPr>
          <w:sz w:val="25"/>
          <w:szCs w:val="25"/>
        </w:rPr>
        <w:t>hile this schedule</w:t>
      </w:r>
      <w:r w:rsidR="00634001" w:rsidRPr="001E4D68">
        <w:rPr>
          <w:sz w:val="25"/>
          <w:szCs w:val="25"/>
        </w:rPr>
        <w:t xml:space="preserve"> </w:t>
      </w:r>
      <w:r w:rsidR="00DF1C64" w:rsidRPr="001E4D68">
        <w:rPr>
          <w:sz w:val="25"/>
          <w:szCs w:val="25"/>
        </w:rPr>
        <w:t>is</w:t>
      </w:r>
      <w:r w:rsidR="00634001" w:rsidRPr="001E4D68">
        <w:rPr>
          <w:sz w:val="25"/>
          <w:szCs w:val="25"/>
        </w:rPr>
        <w:t xml:space="preserve"> workable</w:t>
      </w:r>
      <w:r w:rsidR="00DF1C64" w:rsidRPr="001E4D68">
        <w:rPr>
          <w:sz w:val="25"/>
          <w:szCs w:val="25"/>
        </w:rPr>
        <w:t xml:space="preserve"> and does not cause</w:t>
      </w:r>
      <w:r w:rsidR="00634001" w:rsidRPr="001E4D68">
        <w:rPr>
          <w:sz w:val="25"/>
          <w:szCs w:val="25"/>
        </w:rPr>
        <w:t xml:space="preserve"> prejudice to any party</w:t>
      </w:r>
      <w:r w:rsidRPr="001E4D68">
        <w:rPr>
          <w:sz w:val="25"/>
          <w:szCs w:val="25"/>
        </w:rPr>
        <w:t>, all parties will be required to exhibit cooperation and diligent effort to ensure that a full and adequate record is developed</w:t>
      </w:r>
      <w:r w:rsidR="00634001" w:rsidRPr="001E4D68">
        <w:rPr>
          <w:sz w:val="25"/>
          <w:szCs w:val="25"/>
        </w:rPr>
        <w:t>.</w:t>
      </w:r>
      <w:r w:rsidR="005C2084" w:rsidRPr="001E4D68">
        <w:rPr>
          <w:sz w:val="25"/>
          <w:szCs w:val="25"/>
        </w:rPr>
        <w:t xml:space="preserve">  </w:t>
      </w:r>
      <w:r w:rsidR="00A779E4">
        <w:rPr>
          <w:sz w:val="25"/>
          <w:szCs w:val="25"/>
        </w:rPr>
        <w:t>We trust that effort is underway.  We determine accordingly that Public Counsel’s objection should be overruled.</w:t>
      </w:r>
      <w:r w:rsidR="00161D01" w:rsidRPr="001E4D68">
        <w:rPr>
          <w:sz w:val="25"/>
          <w:szCs w:val="25"/>
        </w:rPr>
        <w:t xml:space="preserve"> </w:t>
      </w:r>
    </w:p>
    <w:p w:rsidR="00180F44" w:rsidRDefault="00180F44" w:rsidP="00765000">
      <w:pPr>
        <w:spacing w:line="264" w:lineRule="auto"/>
        <w:rPr>
          <w:color w:val="000000"/>
          <w:sz w:val="25"/>
          <w:szCs w:val="25"/>
        </w:rPr>
      </w:pPr>
    </w:p>
    <w:p w:rsidR="00A779E4" w:rsidRPr="00A779E4" w:rsidRDefault="00A779E4" w:rsidP="00765000">
      <w:pPr>
        <w:spacing w:line="264" w:lineRule="auto"/>
        <w:jc w:val="center"/>
        <w:rPr>
          <w:b/>
          <w:color w:val="000000"/>
          <w:sz w:val="25"/>
          <w:szCs w:val="25"/>
          <w:u w:val="single"/>
        </w:rPr>
      </w:pPr>
      <w:r w:rsidRPr="00A779E4">
        <w:rPr>
          <w:b/>
          <w:color w:val="000000"/>
          <w:sz w:val="25"/>
          <w:szCs w:val="25"/>
          <w:u w:val="single"/>
        </w:rPr>
        <w:t>ORDER</w:t>
      </w:r>
    </w:p>
    <w:p w:rsidR="00A779E4" w:rsidRPr="00C12732" w:rsidRDefault="00A779E4" w:rsidP="00765000">
      <w:pPr>
        <w:spacing w:line="264" w:lineRule="auto"/>
        <w:rPr>
          <w:color w:val="000000"/>
          <w:sz w:val="25"/>
          <w:szCs w:val="25"/>
        </w:rPr>
      </w:pPr>
    </w:p>
    <w:p w:rsidR="00161D01" w:rsidRDefault="00A779E4" w:rsidP="002A4E4A">
      <w:pPr>
        <w:spacing w:line="264" w:lineRule="auto"/>
        <w:rPr>
          <w:sz w:val="25"/>
          <w:szCs w:val="25"/>
        </w:rPr>
      </w:pPr>
      <w:r>
        <w:rPr>
          <w:sz w:val="25"/>
          <w:szCs w:val="25"/>
        </w:rPr>
        <w:t>THE COMMISSION ORDERS THAT:</w:t>
      </w:r>
    </w:p>
    <w:p w:rsidR="00A779E4" w:rsidRDefault="00A779E4" w:rsidP="00765000">
      <w:pPr>
        <w:spacing w:line="264" w:lineRule="auto"/>
        <w:rPr>
          <w:sz w:val="25"/>
          <w:szCs w:val="25"/>
        </w:rPr>
      </w:pPr>
    </w:p>
    <w:p w:rsidR="00A779E4" w:rsidRDefault="002A4E4A" w:rsidP="002A4E4A">
      <w:pPr>
        <w:numPr>
          <w:ilvl w:val="0"/>
          <w:numId w:val="20"/>
        </w:numPr>
        <w:spacing w:line="264" w:lineRule="auto"/>
        <w:ind w:left="720" w:hanging="1440"/>
        <w:rPr>
          <w:sz w:val="25"/>
          <w:szCs w:val="25"/>
        </w:rPr>
      </w:pPr>
      <w:r>
        <w:rPr>
          <w:sz w:val="25"/>
          <w:szCs w:val="25"/>
        </w:rPr>
        <w:t>(</w:t>
      </w:r>
      <w:r w:rsidR="00A779E4">
        <w:rPr>
          <w:sz w:val="25"/>
          <w:szCs w:val="25"/>
        </w:rPr>
        <w:t>1)</w:t>
      </w:r>
      <w:r w:rsidR="00A779E4">
        <w:rPr>
          <w:sz w:val="25"/>
          <w:szCs w:val="25"/>
        </w:rPr>
        <w:tab/>
      </w:r>
      <w:r w:rsidR="00A779E4" w:rsidRPr="00A779E4">
        <w:rPr>
          <w:sz w:val="25"/>
          <w:szCs w:val="25"/>
        </w:rPr>
        <w:t>Nucor Steel’s late-filed petition to intervene</w:t>
      </w:r>
      <w:r w:rsidR="00A779E4">
        <w:rPr>
          <w:sz w:val="25"/>
          <w:szCs w:val="25"/>
        </w:rPr>
        <w:t xml:space="preserve"> in Dockets UE-121697 and UG-121705 is GRANTED.</w:t>
      </w:r>
    </w:p>
    <w:p w:rsidR="00A779E4" w:rsidRDefault="00A779E4" w:rsidP="00765000">
      <w:pPr>
        <w:pStyle w:val="ListParagraph"/>
        <w:spacing w:line="264" w:lineRule="auto"/>
        <w:rPr>
          <w:sz w:val="25"/>
          <w:szCs w:val="25"/>
        </w:rPr>
      </w:pPr>
    </w:p>
    <w:p w:rsidR="00A779E4" w:rsidRDefault="002A4E4A" w:rsidP="002A4E4A">
      <w:pPr>
        <w:numPr>
          <w:ilvl w:val="0"/>
          <w:numId w:val="20"/>
        </w:numPr>
        <w:spacing w:line="264" w:lineRule="auto"/>
        <w:ind w:left="720" w:hanging="1440"/>
        <w:rPr>
          <w:sz w:val="25"/>
          <w:szCs w:val="25"/>
        </w:rPr>
      </w:pPr>
      <w:r>
        <w:rPr>
          <w:sz w:val="25"/>
          <w:szCs w:val="25"/>
        </w:rPr>
        <w:t>(</w:t>
      </w:r>
      <w:r w:rsidR="00A779E4">
        <w:rPr>
          <w:sz w:val="25"/>
          <w:szCs w:val="25"/>
        </w:rPr>
        <w:t>2)</w:t>
      </w:r>
      <w:r w:rsidR="00A779E4">
        <w:rPr>
          <w:sz w:val="25"/>
          <w:szCs w:val="25"/>
        </w:rPr>
        <w:tab/>
        <w:t xml:space="preserve">Kroger’s </w:t>
      </w:r>
      <w:r w:rsidR="00A779E4" w:rsidRPr="00A779E4">
        <w:rPr>
          <w:sz w:val="25"/>
          <w:szCs w:val="25"/>
        </w:rPr>
        <w:t>late-filed petition to intervene in Dockets UE-</w:t>
      </w:r>
      <w:r w:rsidR="00A779E4">
        <w:rPr>
          <w:sz w:val="25"/>
          <w:szCs w:val="25"/>
        </w:rPr>
        <w:t>130137</w:t>
      </w:r>
      <w:r w:rsidR="00A779E4" w:rsidRPr="00A779E4">
        <w:rPr>
          <w:sz w:val="25"/>
          <w:szCs w:val="25"/>
        </w:rPr>
        <w:t xml:space="preserve"> and UG-</w:t>
      </w:r>
      <w:r w:rsidR="00A779E4">
        <w:rPr>
          <w:sz w:val="25"/>
          <w:szCs w:val="25"/>
        </w:rPr>
        <w:t>130138</w:t>
      </w:r>
      <w:r w:rsidR="00A779E4" w:rsidRPr="00A779E4">
        <w:rPr>
          <w:sz w:val="25"/>
          <w:szCs w:val="25"/>
        </w:rPr>
        <w:t xml:space="preserve"> is GRANTED.</w:t>
      </w:r>
    </w:p>
    <w:p w:rsidR="00A779E4" w:rsidRDefault="00A779E4" w:rsidP="00765000">
      <w:pPr>
        <w:pStyle w:val="ListParagraph"/>
        <w:spacing w:line="264" w:lineRule="auto"/>
        <w:rPr>
          <w:sz w:val="25"/>
          <w:szCs w:val="25"/>
        </w:rPr>
      </w:pPr>
    </w:p>
    <w:p w:rsidR="00A779E4" w:rsidRPr="00DA5DBB" w:rsidRDefault="002A4E4A" w:rsidP="002A4E4A">
      <w:pPr>
        <w:numPr>
          <w:ilvl w:val="0"/>
          <w:numId w:val="20"/>
        </w:numPr>
        <w:spacing w:line="264" w:lineRule="auto"/>
        <w:ind w:left="720" w:hanging="1440"/>
        <w:rPr>
          <w:sz w:val="25"/>
          <w:szCs w:val="25"/>
        </w:rPr>
      </w:pPr>
      <w:r>
        <w:rPr>
          <w:sz w:val="25"/>
          <w:szCs w:val="25"/>
        </w:rPr>
        <w:t>(</w:t>
      </w:r>
      <w:r w:rsidR="00A779E4">
        <w:rPr>
          <w:sz w:val="25"/>
          <w:szCs w:val="25"/>
        </w:rPr>
        <w:t>3)</w:t>
      </w:r>
      <w:r w:rsidR="00A779E4">
        <w:rPr>
          <w:sz w:val="25"/>
          <w:szCs w:val="25"/>
        </w:rPr>
        <w:tab/>
        <w:t>Public Counsel’s objection to Order 02 is OVERRULED.  The procedural schedule in these dockets remains as established in Order 02.</w:t>
      </w:r>
    </w:p>
    <w:p w:rsidR="00C34B05" w:rsidRPr="00DA5DBB" w:rsidRDefault="00C34B05" w:rsidP="00765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64" w:lineRule="auto"/>
        <w:rPr>
          <w:color w:val="000000"/>
          <w:sz w:val="25"/>
          <w:szCs w:val="25"/>
        </w:rPr>
      </w:pPr>
    </w:p>
    <w:p w:rsidR="00C34B05" w:rsidRPr="00DA5DBB" w:rsidRDefault="00C34B05" w:rsidP="00765000">
      <w:pPr>
        <w:spacing w:line="264" w:lineRule="auto"/>
        <w:rPr>
          <w:sz w:val="25"/>
          <w:szCs w:val="25"/>
        </w:rPr>
      </w:pPr>
      <w:r w:rsidRPr="00DA5DBB">
        <w:rPr>
          <w:sz w:val="25"/>
          <w:szCs w:val="25"/>
        </w:rPr>
        <w:t xml:space="preserve">Dated at Olympia, Washington, and effective </w:t>
      </w:r>
      <w:r w:rsidR="00462E2E">
        <w:rPr>
          <w:sz w:val="25"/>
          <w:szCs w:val="25"/>
        </w:rPr>
        <w:t xml:space="preserve">April </w:t>
      </w:r>
      <w:r w:rsidR="002A4E4A">
        <w:rPr>
          <w:sz w:val="25"/>
          <w:szCs w:val="25"/>
        </w:rPr>
        <w:t>10</w:t>
      </w:r>
      <w:r w:rsidR="00015897">
        <w:rPr>
          <w:sz w:val="25"/>
          <w:szCs w:val="25"/>
        </w:rPr>
        <w:t>, 201</w:t>
      </w:r>
      <w:r w:rsidR="00DC364F">
        <w:rPr>
          <w:sz w:val="25"/>
          <w:szCs w:val="25"/>
        </w:rPr>
        <w:t>3</w:t>
      </w:r>
      <w:r w:rsidRPr="00DA5DBB">
        <w:rPr>
          <w:sz w:val="25"/>
          <w:szCs w:val="25"/>
        </w:rPr>
        <w:t>.</w:t>
      </w:r>
    </w:p>
    <w:p w:rsidR="00C34B05" w:rsidRPr="00DA5DBB" w:rsidRDefault="00C34B05" w:rsidP="00765000">
      <w:pPr>
        <w:pStyle w:val="Header"/>
        <w:tabs>
          <w:tab w:val="clear" w:pos="4320"/>
          <w:tab w:val="clear" w:pos="8640"/>
        </w:tabs>
        <w:spacing w:line="264" w:lineRule="auto"/>
        <w:rPr>
          <w:sz w:val="25"/>
          <w:szCs w:val="25"/>
        </w:rPr>
      </w:pPr>
    </w:p>
    <w:p w:rsidR="00C34B05" w:rsidRPr="00DA5DBB" w:rsidRDefault="00C34B05" w:rsidP="00765000">
      <w:pPr>
        <w:spacing w:line="264" w:lineRule="auto"/>
        <w:jc w:val="center"/>
        <w:rPr>
          <w:sz w:val="25"/>
          <w:szCs w:val="25"/>
        </w:rPr>
      </w:pPr>
      <w:r w:rsidRPr="00DA5DBB">
        <w:rPr>
          <w:sz w:val="25"/>
          <w:szCs w:val="25"/>
        </w:rPr>
        <w:t>WASHINGTON UTILITIES AND TRANSPORTATION COMMISSION</w:t>
      </w:r>
    </w:p>
    <w:p w:rsidR="00C34B05" w:rsidRPr="00DA5DBB" w:rsidRDefault="00C34B05" w:rsidP="00765000">
      <w:pPr>
        <w:spacing w:line="264" w:lineRule="auto"/>
        <w:rPr>
          <w:sz w:val="25"/>
          <w:szCs w:val="25"/>
        </w:rPr>
      </w:pPr>
    </w:p>
    <w:p w:rsidR="00C34B05" w:rsidRPr="00DA5DBB" w:rsidRDefault="00C34B05" w:rsidP="00765000">
      <w:pPr>
        <w:spacing w:line="264" w:lineRule="auto"/>
        <w:rPr>
          <w:sz w:val="25"/>
          <w:szCs w:val="25"/>
        </w:rPr>
      </w:pPr>
    </w:p>
    <w:p w:rsidR="00161D01" w:rsidRPr="00DA5DBB" w:rsidRDefault="00161D01" w:rsidP="00765000">
      <w:pPr>
        <w:spacing w:line="264" w:lineRule="auto"/>
        <w:rPr>
          <w:sz w:val="25"/>
          <w:szCs w:val="25"/>
        </w:rPr>
      </w:pPr>
    </w:p>
    <w:p w:rsidR="00161D01" w:rsidRPr="00DA5DBB" w:rsidRDefault="00161D01" w:rsidP="00765000">
      <w:pPr>
        <w:spacing w:line="264" w:lineRule="auto"/>
        <w:ind w:left="4320"/>
        <w:rPr>
          <w:bCs/>
          <w:sz w:val="25"/>
          <w:szCs w:val="25"/>
        </w:rPr>
      </w:pPr>
      <w:r w:rsidRPr="00DA5DBB">
        <w:rPr>
          <w:bCs/>
          <w:sz w:val="25"/>
          <w:szCs w:val="25"/>
        </w:rPr>
        <w:t>DENNIS J. MOSS</w:t>
      </w:r>
    </w:p>
    <w:p w:rsidR="00D52D0C" w:rsidRPr="00DA5DBB" w:rsidRDefault="00161D01" w:rsidP="00765000">
      <w:pPr>
        <w:spacing w:line="264" w:lineRule="auto"/>
        <w:rPr>
          <w:sz w:val="25"/>
          <w:szCs w:val="25"/>
        </w:rPr>
      </w:pPr>
      <w:r w:rsidRPr="00DA5DBB">
        <w:rPr>
          <w:sz w:val="25"/>
          <w:szCs w:val="25"/>
        </w:rPr>
        <w:tab/>
      </w:r>
      <w:r w:rsidRPr="00DA5DBB">
        <w:rPr>
          <w:sz w:val="25"/>
          <w:szCs w:val="25"/>
        </w:rPr>
        <w:tab/>
      </w:r>
      <w:r w:rsidRPr="00DA5DBB">
        <w:rPr>
          <w:sz w:val="25"/>
          <w:szCs w:val="25"/>
        </w:rPr>
        <w:tab/>
      </w:r>
      <w:r w:rsidRPr="00DA5DBB">
        <w:rPr>
          <w:sz w:val="25"/>
          <w:szCs w:val="25"/>
        </w:rPr>
        <w:tab/>
      </w:r>
      <w:r w:rsidRPr="00DA5DBB">
        <w:rPr>
          <w:sz w:val="25"/>
          <w:szCs w:val="25"/>
        </w:rPr>
        <w:tab/>
      </w:r>
      <w:r w:rsidRPr="00DA5DBB">
        <w:rPr>
          <w:sz w:val="25"/>
          <w:szCs w:val="25"/>
        </w:rPr>
        <w:tab/>
        <w:t>Administrative Law Judge</w:t>
      </w:r>
    </w:p>
    <w:bookmarkEnd w:id="1"/>
    <w:bookmarkEnd w:id="2"/>
    <w:p w:rsidR="00F63BE7" w:rsidRPr="00C34B05" w:rsidRDefault="00F63BE7" w:rsidP="00765000">
      <w:pPr>
        <w:spacing w:line="264" w:lineRule="auto"/>
      </w:pPr>
    </w:p>
    <w:sectPr w:rsidR="00F63BE7" w:rsidRPr="00C34B05" w:rsidSect="00CC032B">
      <w:headerReference w:type="default" r:id="rId9"/>
      <w:headerReference w:type="first" r:id="rId10"/>
      <w:type w:val="continuous"/>
      <w:pgSz w:w="12240" w:h="15840" w:code="1"/>
      <w:pgMar w:top="1440" w:right="1440" w:bottom="136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E4A" w:rsidRDefault="002A4E4A">
      <w:r>
        <w:separator/>
      </w:r>
    </w:p>
  </w:endnote>
  <w:endnote w:type="continuationSeparator" w:id="0">
    <w:p w:rsidR="002A4E4A" w:rsidRDefault="002A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E4A" w:rsidRDefault="002A4E4A">
      <w:r>
        <w:separator/>
      </w:r>
    </w:p>
  </w:footnote>
  <w:footnote w:type="continuationSeparator" w:id="0">
    <w:p w:rsidR="002A4E4A" w:rsidRDefault="002A4E4A">
      <w:r>
        <w:continuationSeparator/>
      </w:r>
    </w:p>
  </w:footnote>
  <w:footnote w:id="1">
    <w:p w:rsidR="002A4E4A" w:rsidRPr="00F76E6F" w:rsidRDefault="002A4E4A" w:rsidP="00D4097B">
      <w:pPr>
        <w:pStyle w:val="FootnoteText"/>
        <w:tabs>
          <w:tab w:val="left" w:pos="0"/>
        </w:tabs>
        <w:spacing w:after="120"/>
        <w:rPr>
          <w:rFonts w:ascii="Times New Roman" w:hAnsi="Times New Roman"/>
          <w:sz w:val="22"/>
          <w:szCs w:val="22"/>
        </w:rPr>
      </w:pPr>
      <w:r w:rsidRPr="00F76E6F">
        <w:rPr>
          <w:rStyle w:val="FootnoteReference"/>
          <w:rFonts w:ascii="Times New Roman" w:hAnsi="Times New Roman"/>
          <w:sz w:val="22"/>
          <w:szCs w:val="22"/>
        </w:rPr>
        <w:footnoteRef/>
      </w:r>
      <w:r>
        <w:rPr>
          <w:rFonts w:ascii="Times New Roman" w:hAnsi="Times New Roman"/>
          <w:iCs/>
          <w:sz w:val="22"/>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1F042B">
        <w:rPr>
          <w:rFonts w:ascii="Times New Roman" w:hAnsi="Times New Roman"/>
          <w:i/>
          <w:iCs/>
          <w:sz w:val="22"/>
          <w:szCs w:val="22"/>
        </w:rPr>
        <w:t>See</w:t>
      </w:r>
      <w:r>
        <w:rPr>
          <w:rFonts w:ascii="Times New Roman" w:hAnsi="Times New Roman"/>
          <w:iCs/>
          <w:sz w:val="22"/>
          <w:szCs w:val="22"/>
        </w:rPr>
        <w:t xml:space="preserve"> RCW 34.05.455.</w:t>
      </w:r>
    </w:p>
  </w:footnote>
  <w:footnote w:id="2">
    <w:p w:rsidR="002A4E4A" w:rsidRPr="006D6128" w:rsidRDefault="002A4E4A" w:rsidP="00474F62">
      <w:pPr>
        <w:pStyle w:val="FootnoteText"/>
        <w:spacing w:after="120"/>
        <w:rPr>
          <w:rFonts w:ascii="Times New Roman" w:hAnsi="Times New Roman"/>
          <w:sz w:val="22"/>
          <w:szCs w:val="22"/>
        </w:rPr>
      </w:pPr>
      <w:r w:rsidRPr="006D6128">
        <w:rPr>
          <w:rStyle w:val="FootnoteReference"/>
          <w:rFonts w:ascii="Times New Roman" w:hAnsi="Times New Roman"/>
          <w:sz w:val="22"/>
          <w:szCs w:val="22"/>
        </w:rPr>
        <w:footnoteRef/>
      </w:r>
      <w:r w:rsidRPr="006D6128">
        <w:rPr>
          <w:rFonts w:ascii="Times New Roman" w:hAnsi="Times New Roman"/>
          <w:sz w:val="22"/>
          <w:szCs w:val="22"/>
        </w:rPr>
        <w:t xml:space="preserve"> </w:t>
      </w:r>
      <w:r w:rsidRPr="006D6128">
        <w:rPr>
          <w:rFonts w:ascii="Times New Roman" w:hAnsi="Times New Roman"/>
          <w:i/>
          <w:sz w:val="22"/>
          <w:szCs w:val="22"/>
        </w:rPr>
        <w:t xml:space="preserve">WUTC v. Puget Sound Energy, Inc., </w:t>
      </w:r>
      <w:r>
        <w:rPr>
          <w:rFonts w:ascii="Times New Roman" w:hAnsi="Times New Roman"/>
          <w:sz w:val="22"/>
          <w:szCs w:val="22"/>
        </w:rPr>
        <w:t>Dockets UE-111048 and UG-111049 (</w:t>
      </w:r>
      <w:r w:rsidRPr="006D6128">
        <w:rPr>
          <w:rFonts w:ascii="Times New Roman" w:hAnsi="Times New Roman"/>
          <w:i/>
          <w:sz w:val="22"/>
          <w:szCs w:val="22"/>
        </w:rPr>
        <w:t>consolidated</w:t>
      </w:r>
      <w:r>
        <w:rPr>
          <w:rFonts w:ascii="Times New Roman" w:hAnsi="Times New Roman"/>
          <w:sz w:val="22"/>
          <w:szCs w:val="22"/>
        </w:rPr>
        <w:t>), Order 08 (May 7, 2012).</w:t>
      </w:r>
    </w:p>
  </w:footnote>
  <w:footnote w:id="3">
    <w:p w:rsidR="002A4E4A" w:rsidRPr="00474F62" w:rsidRDefault="002A4E4A" w:rsidP="00474F62">
      <w:pPr>
        <w:pStyle w:val="FootnoteText"/>
        <w:tabs>
          <w:tab w:val="left" w:pos="0"/>
        </w:tabs>
        <w:spacing w:after="120"/>
        <w:rPr>
          <w:rFonts w:ascii="Times New Roman" w:hAnsi="Times New Roman"/>
          <w:sz w:val="22"/>
          <w:szCs w:val="22"/>
        </w:rPr>
      </w:pPr>
      <w:r w:rsidRPr="00474F62">
        <w:rPr>
          <w:rStyle w:val="FootnoteReference"/>
          <w:rFonts w:ascii="Times New Roman" w:hAnsi="Times New Roman"/>
          <w:sz w:val="22"/>
          <w:szCs w:val="22"/>
        </w:rPr>
        <w:footnoteRef/>
      </w:r>
      <w:r w:rsidRPr="00474F62">
        <w:rPr>
          <w:rFonts w:ascii="Times New Roman" w:hAnsi="Times New Roman"/>
          <w:sz w:val="22"/>
          <w:szCs w:val="22"/>
        </w:rPr>
        <w:t xml:space="preserve"> </w:t>
      </w:r>
      <w:r w:rsidRPr="00474F62">
        <w:rPr>
          <w:rFonts w:ascii="Times New Roman" w:hAnsi="Times New Roman"/>
          <w:iCs/>
          <w:sz w:val="22"/>
          <w:szCs w:val="22"/>
        </w:rPr>
        <w:t>The</w:t>
      </w:r>
      <w:r w:rsidRPr="00474F62">
        <w:rPr>
          <w:rFonts w:ascii="Times New Roman" w:hAnsi="Times New Roman"/>
          <w:sz w:val="22"/>
          <w:szCs w:val="22"/>
        </w:rPr>
        <w:t xml:space="preserve"> parties to this stipulation style it a “Multi-Party Settlement Agreement Re: Coal Transition PPA and </w:t>
      </w:r>
      <w:r>
        <w:rPr>
          <w:rFonts w:ascii="Times New Roman" w:hAnsi="Times New Roman"/>
          <w:sz w:val="22"/>
          <w:szCs w:val="22"/>
        </w:rPr>
        <w:t>O</w:t>
      </w:r>
      <w:r w:rsidRPr="00474F62">
        <w:rPr>
          <w:rFonts w:ascii="Times New Roman" w:hAnsi="Times New Roman"/>
          <w:sz w:val="22"/>
          <w:szCs w:val="22"/>
        </w:rPr>
        <w:t xml:space="preserve">ther </w:t>
      </w:r>
      <w:r>
        <w:rPr>
          <w:rFonts w:ascii="Times New Roman" w:hAnsi="Times New Roman"/>
          <w:sz w:val="22"/>
          <w:szCs w:val="22"/>
        </w:rPr>
        <w:t>D</w:t>
      </w:r>
      <w:r w:rsidRPr="00474F62">
        <w:rPr>
          <w:rFonts w:ascii="Times New Roman" w:hAnsi="Times New Roman"/>
          <w:sz w:val="22"/>
          <w:szCs w:val="22"/>
        </w:rPr>
        <w:t>ockets</w:t>
      </w:r>
      <w:r>
        <w:rPr>
          <w:rFonts w:ascii="Times New Roman" w:hAnsi="Times New Roman"/>
          <w:sz w:val="22"/>
          <w:szCs w:val="22"/>
        </w:rPr>
        <w:t>” and refer to it as a “global settlement.”  The Coal Transition PPA terminology refers to Docket UE-121373 in which the Commission’s Order 03- Final Order Granting Petition, Subject to Conditions is pending on PSE’s Petition for Reconsideration and Motion to Reopen the Record.  Aside from consideration of the resolution proposed for Docket UE-121373 in PSE/NWEC/Staff stipulation, the only remaining process prior to the Commission’s entry of a Final Order in Docket UE-121373 is for parties to file responses to PSE’s Petition for Reconsideration and Motion to Reopen the Record, now set for May 30, 2013, in coordination with the procedural schedule established in the Decoupling and ERF dockets, as discussed in Order 02 and in this Order concerning these dockets.</w:t>
      </w:r>
    </w:p>
  </w:footnote>
  <w:footnote w:id="4">
    <w:p w:rsidR="002A4E4A" w:rsidRPr="00002631" w:rsidRDefault="002A4E4A" w:rsidP="00202492">
      <w:pPr>
        <w:pStyle w:val="FootnoteText"/>
        <w:spacing w:after="120"/>
        <w:rPr>
          <w:rFonts w:ascii="Times New Roman" w:hAnsi="Times New Roman"/>
          <w:sz w:val="22"/>
          <w:szCs w:val="22"/>
        </w:rPr>
      </w:pPr>
      <w:r w:rsidRPr="00002631">
        <w:rPr>
          <w:rStyle w:val="FootnoteReference"/>
          <w:rFonts w:ascii="Times New Roman" w:hAnsi="Times New Roman"/>
          <w:sz w:val="22"/>
          <w:szCs w:val="22"/>
        </w:rPr>
        <w:footnoteRef/>
      </w:r>
      <w:r w:rsidRPr="00002631">
        <w:rPr>
          <w:rFonts w:ascii="Times New Roman" w:hAnsi="Times New Roman"/>
          <w:sz w:val="22"/>
          <w:szCs w:val="22"/>
        </w:rPr>
        <w:t xml:space="preserve"> The undersigned ALJ also is the presiding officer assisting the Commissioners in Docket UE-121373.</w:t>
      </w:r>
    </w:p>
  </w:footnote>
  <w:footnote w:id="5">
    <w:p w:rsidR="002A4E4A" w:rsidRPr="00944EE6" w:rsidRDefault="002A4E4A" w:rsidP="00944EE6">
      <w:pPr>
        <w:pStyle w:val="FootnoteText"/>
        <w:spacing w:after="120"/>
        <w:rPr>
          <w:rFonts w:ascii="Times New Roman" w:hAnsi="Times New Roman"/>
          <w:sz w:val="22"/>
          <w:szCs w:val="22"/>
        </w:rPr>
      </w:pPr>
      <w:r w:rsidRPr="00944EE6">
        <w:rPr>
          <w:rStyle w:val="FootnoteReference"/>
          <w:rFonts w:ascii="Times New Roman" w:hAnsi="Times New Roman"/>
          <w:sz w:val="22"/>
          <w:szCs w:val="22"/>
        </w:rPr>
        <w:footnoteRef/>
      </w:r>
      <w:r w:rsidRPr="00944EE6">
        <w:rPr>
          <w:rFonts w:ascii="Times New Roman" w:hAnsi="Times New Roman"/>
          <w:sz w:val="22"/>
          <w:szCs w:val="22"/>
        </w:rPr>
        <w:t xml:space="preserve"> Nucor Steel earlier filed a timely petition to intervene in Dockets UE-130137 and UG-130138, which was granted.</w:t>
      </w:r>
    </w:p>
  </w:footnote>
  <w:footnote w:id="6">
    <w:p w:rsidR="002A4E4A" w:rsidRPr="007A5D14" w:rsidRDefault="002A4E4A" w:rsidP="007A5D14">
      <w:pPr>
        <w:pStyle w:val="FootnoteText"/>
        <w:spacing w:after="120"/>
        <w:rPr>
          <w:rFonts w:ascii="Times New Roman" w:hAnsi="Times New Roman"/>
          <w:sz w:val="22"/>
          <w:szCs w:val="22"/>
        </w:rPr>
      </w:pPr>
      <w:r w:rsidRPr="007A5D14">
        <w:rPr>
          <w:rStyle w:val="FootnoteReference"/>
          <w:rFonts w:ascii="Times New Roman" w:hAnsi="Times New Roman"/>
          <w:sz w:val="22"/>
          <w:szCs w:val="22"/>
        </w:rPr>
        <w:footnoteRef/>
      </w:r>
      <w:r w:rsidRPr="007A5D14">
        <w:rPr>
          <w:rFonts w:ascii="Times New Roman" w:hAnsi="Times New Roman"/>
          <w:sz w:val="22"/>
          <w:szCs w:val="22"/>
        </w:rPr>
        <w:t xml:space="preserve"> Kroger earlier filed a timely petition to intervene in Dockets UE-121697 and UG-121705, which was granted.</w:t>
      </w:r>
    </w:p>
  </w:footnote>
  <w:footnote w:id="7">
    <w:p w:rsidR="002A4E4A" w:rsidRPr="00202492" w:rsidRDefault="002A4E4A" w:rsidP="00002631">
      <w:pPr>
        <w:pStyle w:val="FootnoteText"/>
        <w:spacing w:after="120"/>
        <w:rPr>
          <w:rFonts w:ascii="Times New Roman" w:hAnsi="Times New Roman"/>
          <w:sz w:val="22"/>
          <w:szCs w:val="22"/>
        </w:rPr>
      </w:pPr>
      <w:r w:rsidRPr="00002631">
        <w:rPr>
          <w:rStyle w:val="FootnoteReference"/>
          <w:rFonts w:ascii="Times New Roman" w:hAnsi="Times New Roman"/>
          <w:sz w:val="22"/>
          <w:szCs w:val="22"/>
        </w:rPr>
        <w:footnoteRef/>
      </w:r>
      <w:r w:rsidRPr="00002631">
        <w:rPr>
          <w:rFonts w:ascii="Times New Roman" w:hAnsi="Times New Roman"/>
          <w:sz w:val="22"/>
          <w:szCs w:val="22"/>
        </w:rPr>
        <w:t xml:space="preserve"> </w:t>
      </w:r>
      <w:r w:rsidRPr="00202492">
        <w:rPr>
          <w:rFonts w:ascii="Times New Roman" w:hAnsi="Times New Roman"/>
          <w:sz w:val="22"/>
          <w:szCs w:val="22"/>
        </w:rPr>
        <w:t>Given that the procedural schedule established in Order 02 calls for post-hearing briefs on May 30, 2013, Public Counsel’s “approximately 60 days” seems significantly understated.</w:t>
      </w:r>
    </w:p>
  </w:footnote>
  <w:footnote w:id="8">
    <w:p w:rsidR="002A4E4A" w:rsidRPr="00202492" w:rsidRDefault="002A4E4A" w:rsidP="002F02D5">
      <w:pPr>
        <w:pStyle w:val="FootnoteText"/>
        <w:spacing w:after="120"/>
        <w:rPr>
          <w:rFonts w:ascii="Times New Roman" w:hAnsi="Times New Roman"/>
        </w:rPr>
      </w:pPr>
      <w:r w:rsidRPr="00202492">
        <w:rPr>
          <w:rStyle w:val="FootnoteReference"/>
          <w:rFonts w:ascii="Times New Roman" w:hAnsi="Times New Roman"/>
          <w:sz w:val="22"/>
          <w:szCs w:val="22"/>
        </w:rPr>
        <w:footnoteRef/>
      </w:r>
      <w:r w:rsidRPr="00202492">
        <w:rPr>
          <w:rFonts w:ascii="Times New Roman" w:hAnsi="Times New Roman"/>
        </w:rPr>
        <w:t xml:space="preserve"> UTC Docket U-100522,</w:t>
      </w:r>
      <w:r w:rsidRPr="00202492">
        <w:rPr>
          <w:rFonts w:ascii="Times New Roman" w:hAnsi="Times New Roman"/>
          <w:i/>
        </w:rPr>
        <w:t xml:space="preserve"> </w:t>
      </w:r>
      <w:r w:rsidRPr="00202492">
        <w:rPr>
          <w:rFonts w:ascii="Times New Roman" w:hAnsi="Times New Roman"/>
        </w:rPr>
        <w:t>Investigation Into Energy Conservation Incentives</w:t>
      </w:r>
      <w:r w:rsidRPr="00202492">
        <w:rPr>
          <w:rFonts w:ascii="Times New Roman" w:hAnsi="Times New Roman"/>
          <w:i/>
        </w:rPr>
        <w:t xml:space="preserve">, Report and Policy Statement on Regulatory Mechanisms, Including Decoupling, To Encourage Utilities To Meet or Exceed Their Conservation Targets </w:t>
      </w:r>
      <w:r w:rsidRPr="00202492">
        <w:rPr>
          <w:rFonts w:ascii="Times New Roman" w:hAnsi="Times New Roman"/>
        </w:rPr>
        <w:t>(November 4, 2010).</w:t>
      </w:r>
    </w:p>
  </w:footnote>
  <w:footnote w:id="9">
    <w:p w:rsidR="002A4E4A" w:rsidRPr="00202492" w:rsidRDefault="002A4E4A" w:rsidP="00AB5D96">
      <w:pPr>
        <w:pStyle w:val="FootnoteText"/>
        <w:spacing w:after="120"/>
        <w:rPr>
          <w:rFonts w:ascii="Times New Roman" w:hAnsi="Times New Roman"/>
          <w:sz w:val="22"/>
          <w:szCs w:val="22"/>
        </w:rPr>
      </w:pPr>
      <w:r w:rsidRPr="00202492">
        <w:rPr>
          <w:rStyle w:val="FootnoteReference"/>
          <w:rFonts w:ascii="Times New Roman" w:hAnsi="Times New Roman"/>
          <w:sz w:val="22"/>
          <w:szCs w:val="22"/>
        </w:rPr>
        <w:footnoteRef/>
      </w:r>
      <w:r w:rsidRPr="00202492">
        <w:rPr>
          <w:rFonts w:ascii="Times New Roman" w:hAnsi="Times New Roman"/>
          <w:sz w:val="22"/>
          <w:szCs w:val="22"/>
        </w:rPr>
        <w:t xml:space="preserve"> </w:t>
      </w:r>
      <w:r w:rsidRPr="00202492">
        <w:rPr>
          <w:rFonts w:ascii="Times New Roman" w:hAnsi="Times New Roman"/>
          <w:i/>
          <w:sz w:val="22"/>
          <w:szCs w:val="22"/>
        </w:rPr>
        <w:t>WUTC v. Puget Sound Energy, Inc.,</w:t>
      </w:r>
      <w:r w:rsidRPr="00202492">
        <w:rPr>
          <w:rFonts w:ascii="Times New Roman" w:hAnsi="Times New Roman"/>
          <w:sz w:val="22"/>
          <w:szCs w:val="22"/>
        </w:rPr>
        <w:t xml:space="preserve"> Dockets UE-111048 and UG-111049 (</w:t>
      </w:r>
      <w:r w:rsidRPr="00202492">
        <w:rPr>
          <w:rFonts w:ascii="Times New Roman" w:hAnsi="Times New Roman"/>
          <w:i/>
          <w:sz w:val="22"/>
          <w:szCs w:val="22"/>
        </w:rPr>
        <w:t>consolidated</w:t>
      </w:r>
      <w:r w:rsidRPr="00202492">
        <w:rPr>
          <w:rFonts w:ascii="Times New Roman" w:hAnsi="Times New Roman"/>
          <w:sz w:val="22"/>
          <w:szCs w:val="22"/>
        </w:rPr>
        <w:t>) Order 08, ¶438 (May 7, 2012)(citing Cavanagh, TR. 428:11-12).</w:t>
      </w:r>
    </w:p>
  </w:footnote>
  <w:footnote w:id="10">
    <w:p w:rsidR="002A4E4A" w:rsidRPr="002A4E4A" w:rsidRDefault="002A4E4A" w:rsidP="000431E0">
      <w:pPr>
        <w:pStyle w:val="FootnoteText"/>
        <w:spacing w:after="120"/>
        <w:rPr>
          <w:rFonts w:ascii="Times New Roman" w:hAnsi="Times New Roman"/>
          <w:sz w:val="22"/>
          <w:szCs w:val="22"/>
        </w:rPr>
      </w:pPr>
      <w:r w:rsidRPr="002A4E4A">
        <w:rPr>
          <w:rStyle w:val="FootnoteReference"/>
          <w:rFonts w:ascii="Times New Roman" w:hAnsi="Times New Roman"/>
          <w:sz w:val="22"/>
          <w:szCs w:val="22"/>
        </w:rPr>
        <w:footnoteRef/>
      </w:r>
      <w:r w:rsidRPr="002A4E4A">
        <w:rPr>
          <w:rStyle w:val="FootnoteReference"/>
          <w:rFonts w:ascii="Times New Roman" w:hAnsi="Times New Roman"/>
        </w:rPr>
        <w:t xml:space="preserve"> </w:t>
      </w:r>
      <w:r w:rsidRPr="002A4E4A">
        <w:rPr>
          <w:rFonts w:ascii="Times New Roman" w:hAnsi="Times New Roman"/>
          <w:i/>
          <w:sz w:val="22"/>
          <w:szCs w:val="22"/>
        </w:rPr>
        <w:t>See</w:t>
      </w:r>
      <w:r w:rsidRPr="002A4E4A">
        <w:rPr>
          <w:rFonts w:ascii="Times New Roman" w:hAnsi="Times New Roman"/>
          <w:sz w:val="22"/>
          <w:szCs w:val="22"/>
        </w:rPr>
        <w:t xml:space="preserve"> </w:t>
      </w:r>
      <w:r w:rsidRPr="002A4E4A">
        <w:rPr>
          <w:rFonts w:ascii="Times New Roman" w:hAnsi="Times New Roman"/>
          <w:i/>
          <w:sz w:val="22"/>
          <w:szCs w:val="22"/>
        </w:rPr>
        <w:t>WUTC v. Avista Utilities,</w:t>
      </w:r>
      <w:r w:rsidRPr="002A4E4A">
        <w:rPr>
          <w:rFonts w:ascii="Times New Roman" w:hAnsi="Times New Roman"/>
          <w:sz w:val="22"/>
          <w:szCs w:val="22"/>
        </w:rPr>
        <w:t xml:space="preserve"> Dockets UE-110876 and UG-110877, Order 06 (December 16, 2011).</w:t>
      </w:r>
    </w:p>
  </w:footnote>
  <w:footnote w:id="11">
    <w:p w:rsidR="002A4E4A" w:rsidRPr="002A4E4A" w:rsidRDefault="002A4E4A" w:rsidP="000431E0">
      <w:pPr>
        <w:pStyle w:val="FootnoteText"/>
        <w:spacing w:after="120"/>
        <w:rPr>
          <w:rFonts w:ascii="Times New Roman" w:hAnsi="Times New Roman"/>
        </w:rPr>
      </w:pPr>
      <w:r w:rsidRPr="002A4E4A">
        <w:rPr>
          <w:rStyle w:val="FootnoteReference"/>
          <w:rFonts w:ascii="Times New Roman" w:hAnsi="Times New Roman"/>
          <w:sz w:val="22"/>
          <w:szCs w:val="22"/>
        </w:rPr>
        <w:footnoteRef/>
      </w:r>
      <w:r w:rsidRPr="002A4E4A">
        <w:rPr>
          <w:rFonts w:ascii="Times New Roman" w:hAnsi="Times New Roman"/>
        </w:rPr>
        <w:t xml:space="preserve"> </w:t>
      </w:r>
      <w:r w:rsidRPr="002A4E4A">
        <w:rPr>
          <w:rFonts w:ascii="Times New Roman" w:hAnsi="Times New Roman"/>
          <w:i/>
        </w:rPr>
        <w:t>WUTC v. Puget Sound Energy, Inc.,</w:t>
      </w:r>
      <w:r w:rsidRPr="002A4E4A">
        <w:rPr>
          <w:rFonts w:ascii="Times New Roman" w:hAnsi="Times New Roman"/>
        </w:rPr>
        <w:t xml:space="preserve"> Dockets UE-111048 and UG-111049 (</w:t>
      </w:r>
      <w:r w:rsidRPr="002A4E4A">
        <w:rPr>
          <w:rFonts w:ascii="Times New Roman" w:hAnsi="Times New Roman"/>
          <w:i/>
        </w:rPr>
        <w:t>consolidated</w:t>
      </w:r>
      <w:r w:rsidRPr="002A4E4A">
        <w:rPr>
          <w:rFonts w:ascii="Times New Roman" w:hAnsi="Times New Roman"/>
        </w:rPr>
        <w:t>) Order 08,</w:t>
      </w:r>
      <w:r w:rsidRPr="002A4E4A">
        <w:rPr>
          <w:rFonts w:ascii="Times New Roman" w:hAnsi="Times New Roman"/>
          <w:sz w:val="24"/>
          <w:szCs w:val="24"/>
        </w:rPr>
        <w:t xml:space="preserve"> </w:t>
      </w:r>
      <w:r w:rsidRPr="002A4E4A">
        <w:rPr>
          <w:rFonts w:ascii="Times New Roman" w:hAnsi="Times New Roman"/>
        </w:rPr>
        <w:t xml:space="preserve">¶¶ 492-507 (May 7, 2012). </w:t>
      </w:r>
    </w:p>
  </w:footnote>
  <w:footnote w:id="12">
    <w:p w:rsidR="002A4E4A" w:rsidRPr="002A4E4A" w:rsidRDefault="002A4E4A" w:rsidP="000431E0">
      <w:pPr>
        <w:pStyle w:val="FootnoteText"/>
        <w:spacing w:after="120"/>
        <w:rPr>
          <w:rFonts w:ascii="Times New Roman" w:hAnsi="Times New Roman"/>
          <w:sz w:val="22"/>
          <w:szCs w:val="22"/>
        </w:rPr>
      </w:pPr>
      <w:r w:rsidRPr="002A4E4A">
        <w:rPr>
          <w:rStyle w:val="FootnoteReference"/>
          <w:rFonts w:ascii="Times New Roman" w:hAnsi="Times New Roman"/>
          <w:sz w:val="22"/>
          <w:szCs w:val="22"/>
        </w:rPr>
        <w:footnoteRef/>
      </w:r>
      <w:r w:rsidRPr="002A4E4A">
        <w:rPr>
          <w:rFonts w:ascii="Times New Roman" w:hAnsi="Times New Roman"/>
          <w:sz w:val="22"/>
          <w:szCs w:val="22"/>
        </w:rPr>
        <w:t xml:space="preserve"> </w:t>
      </w:r>
      <w:r w:rsidRPr="002A4E4A">
        <w:rPr>
          <w:rFonts w:ascii="Times New Roman" w:hAnsi="Times New Roman"/>
          <w:i/>
          <w:sz w:val="22"/>
          <w:szCs w:val="22"/>
        </w:rPr>
        <w:t>See, e.g., WUTC v. Puget Sound Energy, Inc.,</w:t>
      </w:r>
      <w:r w:rsidRPr="002A4E4A">
        <w:rPr>
          <w:rFonts w:ascii="Times New Roman" w:hAnsi="Times New Roman"/>
          <w:sz w:val="22"/>
          <w:szCs w:val="22"/>
        </w:rPr>
        <w:t xml:space="preserve"> Dockets UE-011570 and UG-011571 (</w:t>
      </w:r>
      <w:r w:rsidRPr="002A4E4A">
        <w:rPr>
          <w:rFonts w:ascii="Times New Roman" w:hAnsi="Times New Roman"/>
          <w:i/>
          <w:sz w:val="22"/>
          <w:szCs w:val="22"/>
        </w:rPr>
        <w:t>consolidated</w:t>
      </w:r>
      <w:r w:rsidRPr="002A4E4A">
        <w:rPr>
          <w:rFonts w:ascii="Times New Roman" w:hAnsi="Times New Roman"/>
          <w:sz w:val="22"/>
          <w:szCs w:val="22"/>
        </w:rPr>
        <w:t xml:space="preserve">), Order 12, ¶¶ 22-30 (June 20, 2002)(discussing Power Cost Only Rate Review process, approved in Order 12).  </w:t>
      </w:r>
      <w:r w:rsidRPr="002A4E4A">
        <w:rPr>
          <w:rFonts w:ascii="Times New Roman" w:hAnsi="Times New Roman"/>
          <w:i/>
          <w:sz w:val="22"/>
          <w:szCs w:val="22"/>
        </w:rPr>
        <w:t>See also</w:t>
      </w:r>
      <w:r w:rsidRPr="002A4E4A">
        <w:rPr>
          <w:rFonts w:ascii="Times New Roman" w:hAnsi="Times New Roman"/>
          <w:sz w:val="22"/>
          <w:szCs w:val="22"/>
        </w:rPr>
        <w:t xml:space="preserve"> </w:t>
      </w:r>
      <w:r w:rsidRPr="002A4E4A">
        <w:rPr>
          <w:rFonts w:ascii="Times New Roman" w:hAnsi="Times New Roman"/>
          <w:i/>
          <w:sz w:val="22"/>
          <w:szCs w:val="22"/>
        </w:rPr>
        <w:t>WUTC v. Puget Sound Energy, Inc.,</w:t>
      </w:r>
      <w:r w:rsidRPr="002A4E4A">
        <w:rPr>
          <w:rFonts w:ascii="Times New Roman" w:hAnsi="Times New Roman"/>
          <w:sz w:val="22"/>
          <w:szCs w:val="22"/>
        </w:rPr>
        <w:t xml:space="preserve"> Dockets UE-011570 and UG-011571 (</w:t>
      </w:r>
      <w:r w:rsidRPr="002A4E4A">
        <w:rPr>
          <w:rFonts w:ascii="Times New Roman" w:hAnsi="Times New Roman"/>
          <w:i/>
          <w:sz w:val="22"/>
          <w:szCs w:val="22"/>
        </w:rPr>
        <w:t>consolidated</w:t>
      </w:r>
      <w:r w:rsidRPr="002A4E4A">
        <w:rPr>
          <w:rFonts w:ascii="Times New Roman" w:hAnsi="Times New Roman"/>
          <w:sz w:val="22"/>
          <w:szCs w:val="22"/>
        </w:rPr>
        <w:t>), Order 09 (March 28, 2002)(Commission approval of interim rate relief on a record developed in approximately 3 month period following first prehearing conference and deemed adequate to support $25 million rate increase).</w:t>
      </w:r>
    </w:p>
  </w:footnote>
  <w:footnote w:id="13">
    <w:p w:rsidR="002A4E4A" w:rsidRPr="002A4E4A" w:rsidRDefault="002A4E4A">
      <w:pPr>
        <w:pStyle w:val="FootnoteText"/>
        <w:rPr>
          <w:rFonts w:ascii="Times New Roman" w:hAnsi="Times New Roman"/>
        </w:rPr>
      </w:pPr>
      <w:r w:rsidRPr="002A4E4A">
        <w:rPr>
          <w:rStyle w:val="FootnoteReference"/>
          <w:rFonts w:ascii="Times New Roman" w:hAnsi="Times New Roman"/>
          <w:sz w:val="22"/>
          <w:szCs w:val="22"/>
        </w:rPr>
        <w:footnoteRef/>
      </w:r>
      <w:r w:rsidRPr="002A4E4A">
        <w:rPr>
          <w:rFonts w:ascii="Times New Roman" w:hAnsi="Times New Roman"/>
          <w:sz w:val="22"/>
          <w:szCs w:val="22"/>
        </w:rPr>
        <w:t xml:space="preserve"> </w:t>
      </w:r>
      <w:r w:rsidRPr="002A4E4A">
        <w:rPr>
          <w:rFonts w:ascii="Times New Roman" w:hAnsi="Times New Roman"/>
          <w:i/>
        </w:rPr>
        <w:t>WUTC v. Puget Sound Energy, Inc.,</w:t>
      </w:r>
      <w:r w:rsidRPr="002A4E4A">
        <w:rPr>
          <w:rFonts w:ascii="Times New Roman" w:hAnsi="Times New Roman"/>
        </w:rPr>
        <w:t xml:space="preserve"> Dockets UE-111048 and UG-111049 (</w:t>
      </w:r>
      <w:r w:rsidRPr="002A4E4A">
        <w:rPr>
          <w:rFonts w:ascii="Times New Roman" w:hAnsi="Times New Roman"/>
          <w:i/>
        </w:rPr>
        <w:t>consolidated</w:t>
      </w:r>
      <w:r w:rsidRPr="002A4E4A">
        <w:rPr>
          <w:rFonts w:ascii="Times New Roman" w:hAnsi="Times New Roman"/>
        </w:rPr>
        <w:t>) Order 08, ¶ 507 (May 7, 2012).</w:t>
      </w:r>
    </w:p>
  </w:footnote>
  <w:footnote w:id="14">
    <w:p w:rsidR="002A4E4A" w:rsidRPr="0019620B" w:rsidRDefault="002A4E4A" w:rsidP="002A4E4A">
      <w:pPr>
        <w:pStyle w:val="FootnoteText"/>
        <w:spacing w:after="120"/>
        <w:rPr>
          <w:rFonts w:ascii="Times New Roman" w:hAnsi="Times New Roman"/>
          <w:sz w:val="22"/>
          <w:szCs w:val="22"/>
        </w:rPr>
      </w:pPr>
      <w:r w:rsidRPr="0019620B">
        <w:rPr>
          <w:rStyle w:val="FootnoteReference"/>
          <w:rFonts w:ascii="Times New Roman" w:hAnsi="Times New Roman"/>
          <w:sz w:val="22"/>
          <w:szCs w:val="22"/>
        </w:rPr>
        <w:footnoteRef/>
      </w:r>
      <w:r w:rsidRPr="0019620B">
        <w:rPr>
          <w:rFonts w:ascii="Times New Roman" w:hAnsi="Times New Roman"/>
          <w:sz w:val="22"/>
          <w:szCs w:val="22"/>
        </w:rPr>
        <w:t xml:space="preserve"> </w:t>
      </w:r>
      <w:r w:rsidRPr="0019620B">
        <w:rPr>
          <w:rFonts w:ascii="Times New Roman" w:hAnsi="Times New Roman"/>
          <w:i/>
          <w:sz w:val="22"/>
          <w:szCs w:val="22"/>
        </w:rPr>
        <w:t>Id.</w:t>
      </w:r>
    </w:p>
  </w:footnote>
  <w:footnote w:id="15">
    <w:p w:rsidR="002A4E4A" w:rsidRPr="00A779E4" w:rsidRDefault="002A4E4A" w:rsidP="00D95219">
      <w:pPr>
        <w:pStyle w:val="FootnoteText"/>
        <w:spacing w:after="120"/>
        <w:rPr>
          <w:rFonts w:ascii="Times New Roman" w:hAnsi="Times New Roman"/>
          <w:sz w:val="22"/>
          <w:szCs w:val="22"/>
        </w:rPr>
      </w:pPr>
      <w:r w:rsidRPr="00A779E4">
        <w:rPr>
          <w:rStyle w:val="FootnoteReference"/>
          <w:rFonts w:ascii="Times New Roman" w:hAnsi="Times New Roman"/>
          <w:sz w:val="22"/>
          <w:szCs w:val="22"/>
        </w:rPr>
        <w:footnoteRef/>
      </w:r>
      <w:r w:rsidRPr="00A779E4">
        <w:rPr>
          <w:rFonts w:ascii="Times New Roman" w:hAnsi="Times New Roman"/>
          <w:sz w:val="22"/>
          <w:szCs w:val="22"/>
        </w:rPr>
        <w:t xml:space="preserve"> Public Counsel’s specific objection to the discovery cut-off date is misplaced.</w:t>
      </w:r>
      <w:r>
        <w:rPr>
          <w:rFonts w:ascii="Times New Roman" w:hAnsi="Times New Roman"/>
          <w:sz w:val="22"/>
          <w:szCs w:val="22"/>
        </w:rPr>
        <w:t xml:space="preserve">  The schedule gives parties 19 days to propound data requests.  This should be ample time given the limited scope of these proceedings relative to, for example, a general rate case.</w:t>
      </w:r>
      <w:r w:rsidRPr="00A779E4">
        <w:rPr>
          <w:rFonts w:ascii="Times New Roman" w:hAnsi="Times New Roman"/>
          <w:sz w:val="22"/>
          <w:szCs w:val="22"/>
        </w:rPr>
        <w:t xml:space="preserve">  As discussed during the prehearing conference on March 22, 2103, parties may seek additional opportunities for discovery </w:t>
      </w:r>
      <w:r>
        <w:rPr>
          <w:rFonts w:ascii="Times New Roman" w:hAnsi="Times New Roman"/>
          <w:sz w:val="22"/>
          <w:szCs w:val="22"/>
        </w:rPr>
        <w:t>and such opportunities can be provided, if shown to be necessary to the development of a complete record</w:t>
      </w:r>
      <w:r w:rsidRPr="00A779E4">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E4A" w:rsidRDefault="002A4E4A">
    <w:pPr>
      <w:pStyle w:val="Header"/>
      <w:tabs>
        <w:tab w:val="left" w:pos="7500"/>
      </w:tabs>
      <w:rPr>
        <w:b/>
        <w:sz w:val="20"/>
        <w:szCs w:val="20"/>
      </w:rPr>
    </w:pPr>
    <w:r w:rsidRPr="00A3058F">
      <w:rPr>
        <w:b/>
        <w:sz w:val="20"/>
        <w:szCs w:val="20"/>
      </w:rPr>
      <w:t>DOCKET</w:t>
    </w:r>
    <w:r>
      <w:rPr>
        <w:b/>
        <w:sz w:val="20"/>
        <w:szCs w:val="20"/>
      </w:rPr>
      <w:t>S</w:t>
    </w:r>
    <w:r w:rsidRPr="00A3058F">
      <w:rPr>
        <w:b/>
        <w:sz w:val="20"/>
        <w:szCs w:val="20"/>
      </w:rPr>
      <w:t xml:space="preserve"> </w:t>
    </w:r>
    <w:r>
      <w:rPr>
        <w:b/>
        <w:sz w:val="20"/>
        <w:szCs w:val="20"/>
      </w:rPr>
      <w:t>UE-121697/UG-121705 (</w:t>
    </w:r>
    <w:r w:rsidRPr="00474F62">
      <w:rPr>
        <w:b/>
        <w:i/>
        <w:sz w:val="20"/>
        <w:szCs w:val="20"/>
      </w:rPr>
      <w:t>consolidated</w:t>
    </w:r>
    <w:r>
      <w:rPr>
        <w:b/>
        <w:sz w:val="20"/>
        <w:szCs w:val="20"/>
      </w:rPr>
      <w:t xml:space="preserve">), and </w:t>
    </w:r>
  </w:p>
  <w:p w:rsidR="002A4E4A" w:rsidRPr="00A3058F" w:rsidRDefault="002A4E4A">
    <w:pPr>
      <w:pStyle w:val="Header"/>
      <w:tabs>
        <w:tab w:val="left" w:pos="7500"/>
      </w:tabs>
      <w:rPr>
        <w:rStyle w:val="PageNumber"/>
        <w:b/>
        <w:sz w:val="20"/>
        <w:szCs w:val="20"/>
      </w:rPr>
    </w:pPr>
    <w:r>
      <w:rPr>
        <w:b/>
        <w:sz w:val="20"/>
        <w:szCs w:val="20"/>
      </w:rPr>
      <w:t>DOCKETS UE-130137/UG-130138 (</w:t>
    </w:r>
    <w:r w:rsidRPr="001F042B">
      <w:rPr>
        <w:b/>
        <w:i/>
        <w:sz w:val="20"/>
        <w:szCs w:val="20"/>
      </w:rPr>
      <w:t>consolidated</w:t>
    </w:r>
    <w:r>
      <w:rPr>
        <w:b/>
        <w:sz w:val="20"/>
        <w:szCs w:val="20"/>
      </w:rPr>
      <w:t>)</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6E7F09">
      <w:rPr>
        <w:rStyle w:val="PageNumber"/>
        <w:b/>
        <w:noProof/>
        <w:sz w:val="20"/>
        <w:szCs w:val="20"/>
      </w:rPr>
      <w:t>2</w:t>
    </w:r>
    <w:r w:rsidRPr="00A3058F">
      <w:rPr>
        <w:rStyle w:val="PageNumber"/>
        <w:b/>
        <w:sz w:val="20"/>
        <w:szCs w:val="20"/>
      </w:rPr>
      <w:fldChar w:fldCharType="end"/>
    </w:r>
  </w:p>
  <w:p w:rsidR="002A4E4A" w:rsidRPr="00A3058F" w:rsidRDefault="002A4E4A">
    <w:pPr>
      <w:pStyle w:val="Header"/>
      <w:tabs>
        <w:tab w:val="left" w:pos="7500"/>
      </w:tabs>
      <w:rPr>
        <w:b/>
        <w:sz w:val="20"/>
        <w:szCs w:val="20"/>
      </w:rPr>
    </w:pPr>
    <w:r w:rsidRPr="00A3058F">
      <w:rPr>
        <w:b/>
        <w:sz w:val="20"/>
        <w:szCs w:val="20"/>
      </w:rPr>
      <w:t>ORDER 0</w:t>
    </w:r>
    <w:r>
      <w:rPr>
        <w:b/>
        <w:sz w:val="20"/>
        <w:szCs w:val="20"/>
      </w:rPr>
      <w:t>4</w:t>
    </w:r>
  </w:p>
  <w:p w:rsidR="002A4E4A" w:rsidRPr="00A3058F" w:rsidRDefault="002A4E4A">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E4A" w:rsidRPr="008E40B6" w:rsidRDefault="002A4E4A" w:rsidP="008E40B6">
    <w:pPr>
      <w:pStyle w:val="Header"/>
      <w:tabs>
        <w:tab w:val="clear" w:pos="4320"/>
        <w:tab w:val="clear" w:pos="8640"/>
        <w:tab w:val="right" w:pos="8500"/>
      </w:tabs>
      <w:rPr>
        <w:b/>
        <w:sz w:val="20"/>
        <w:szCs w:val="20"/>
      </w:rPr>
    </w:pPr>
    <w:r>
      <w:tab/>
    </w:r>
    <w:r w:rsidR="008E40B6" w:rsidRPr="008E40B6">
      <w:rPr>
        <w:b/>
        <w:sz w:val="20"/>
        <w:szCs w:val="20"/>
      </w:rPr>
      <w:t xml:space="preserve">[Service Date April 10, </w:t>
    </w:r>
    <w:r w:rsidR="008E40B6">
      <w:rPr>
        <w:b/>
        <w:sz w:val="20"/>
        <w:szCs w:val="20"/>
      </w:rPr>
      <w:t>2</w:t>
    </w:r>
    <w:r w:rsidR="008E40B6" w:rsidRPr="008E40B6">
      <w:rPr>
        <w:b/>
        <w:sz w:val="20"/>
        <w:szCs w:val="20"/>
      </w:rPr>
      <w:t>013]</w:t>
    </w:r>
    <w:r w:rsidR="008E40B6" w:rsidRPr="008E40B6">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4B75FA4"/>
    <w:multiLevelType w:val="hybridMultilevel"/>
    <w:tmpl w:val="80BC3570"/>
    <w:lvl w:ilvl="0" w:tplc="2FCC249A">
      <w:start w:val="1"/>
      <w:numFmt w:val="decimal"/>
      <w:pStyle w:val="Heading2"/>
      <w:lvlText w:val="%1"/>
      <w:lvlJc w:val="left"/>
      <w:pPr>
        <w:ind w:left="360" w:hanging="360"/>
      </w:pPr>
      <w:rPr>
        <w:rFonts w:ascii="Palatino Linotype" w:hAnsi="Palatino Linotype" w:hint="default"/>
        <w:b w:val="0"/>
        <w:i/>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1171526"/>
    <w:multiLevelType w:val="hybridMultilevel"/>
    <w:tmpl w:val="0122C474"/>
    <w:lvl w:ilvl="0" w:tplc="68C84978">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5DA82E67"/>
    <w:multiLevelType w:val="hybridMultilevel"/>
    <w:tmpl w:val="3F7038F2"/>
    <w:lvl w:ilvl="0" w:tplc="D7E4E3D2">
      <w:start w:val="1"/>
      <w:numFmt w:val="decimal"/>
      <w:lvlText w:val="%1"/>
      <w:lvlJc w:val="left"/>
      <w:pPr>
        <w:tabs>
          <w:tab w:val="num" w:pos="0"/>
        </w:tabs>
        <w:ind w:left="0" w:hanging="360"/>
      </w:pPr>
      <w:rPr>
        <w:rFonts w:ascii="Palatino Linotype" w:hAnsi="Palatino Linotype" w:hint="default"/>
        <w:b w:val="0"/>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E4711F"/>
    <w:multiLevelType w:val="hybridMultilevel"/>
    <w:tmpl w:val="FEB6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1"/>
  </w:num>
  <w:num w:numId="2">
    <w:abstractNumId w:val="15"/>
  </w:num>
  <w:num w:numId="3">
    <w:abstractNumId w:val="1"/>
  </w:num>
  <w:num w:numId="4">
    <w:abstractNumId w:val="21"/>
  </w:num>
  <w:num w:numId="5">
    <w:abstractNumId w:val="4"/>
  </w:num>
  <w:num w:numId="6">
    <w:abstractNumId w:val="16"/>
  </w:num>
  <w:num w:numId="7">
    <w:abstractNumId w:val="10"/>
  </w:num>
  <w:num w:numId="8">
    <w:abstractNumId w:val="20"/>
  </w:num>
  <w:num w:numId="9">
    <w:abstractNumId w:val="14"/>
  </w:num>
  <w:num w:numId="10">
    <w:abstractNumId w:val="5"/>
  </w:num>
  <w:num w:numId="11">
    <w:abstractNumId w:val="9"/>
  </w:num>
  <w:num w:numId="12">
    <w:abstractNumId w:val="19"/>
  </w:num>
  <w:num w:numId="13">
    <w:abstractNumId w:val="0"/>
  </w:num>
  <w:num w:numId="14">
    <w:abstractNumId w:val="3"/>
  </w:num>
  <w:num w:numId="15">
    <w:abstractNumId w:val="6"/>
  </w:num>
  <w:num w:numId="16">
    <w:abstractNumId w:val="5"/>
  </w:num>
  <w:num w:numId="17">
    <w:abstractNumId w:val="12"/>
  </w:num>
  <w:num w:numId="18">
    <w:abstractNumId w:val="8"/>
  </w:num>
  <w:num w:numId="19">
    <w:abstractNumId w:val="7"/>
  </w:num>
  <w:num w:numId="20">
    <w:abstractNumId w:val="17"/>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23D"/>
    <w:rsid w:val="00002631"/>
    <w:rsid w:val="00006FC4"/>
    <w:rsid w:val="00012302"/>
    <w:rsid w:val="00015897"/>
    <w:rsid w:val="000224B4"/>
    <w:rsid w:val="00024C91"/>
    <w:rsid w:val="000431E0"/>
    <w:rsid w:val="000534DF"/>
    <w:rsid w:val="00062677"/>
    <w:rsid w:val="00067B59"/>
    <w:rsid w:val="00086997"/>
    <w:rsid w:val="00091417"/>
    <w:rsid w:val="000A18F8"/>
    <w:rsid w:val="000A4EB3"/>
    <w:rsid w:val="000A600A"/>
    <w:rsid w:val="000A6204"/>
    <w:rsid w:val="000B4021"/>
    <w:rsid w:val="000C1BF5"/>
    <w:rsid w:val="000E1D2F"/>
    <w:rsid w:val="000E7116"/>
    <w:rsid w:val="000F2CED"/>
    <w:rsid w:val="001066EB"/>
    <w:rsid w:val="00106974"/>
    <w:rsid w:val="00122A12"/>
    <w:rsid w:val="0013106B"/>
    <w:rsid w:val="00135F80"/>
    <w:rsid w:val="001413A3"/>
    <w:rsid w:val="00161D01"/>
    <w:rsid w:val="00180F44"/>
    <w:rsid w:val="00190527"/>
    <w:rsid w:val="0019620B"/>
    <w:rsid w:val="001968F4"/>
    <w:rsid w:val="001A1724"/>
    <w:rsid w:val="001B5A4D"/>
    <w:rsid w:val="001B76E5"/>
    <w:rsid w:val="001C4704"/>
    <w:rsid w:val="001D0C18"/>
    <w:rsid w:val="001D2294"/>
    <w:rsid w:val="001E1A26"/>
    <w:rsid w:val="001E224F"/>
    <w:rsid w:val="001E4D68"/>
    <w:rsid w:val="001F042B"/>
    <w:rsid w:val="001F470A"/>
    <w:rsid w:val="00202492"/>
    <w:rsid w:val="00207591"/>
    <w:rsid w:val="00210B72"/>
    <w:rsid w:val="002130A7"/>
    <w:rsid w:val="00222C70"/>
    <w:rsid w:val="002267F5"/>
    <w:rsid w:val="0023263D"/>
    <w:rsid w:val="00237271"/>
    <w:rsid w:val="00247F5F"/>
    <w:rsid w:val="00250A0C"/>
    <w:rsid w:val="00260FBA"/>
    <w:rsid w:val="00267DD6"/>
    <w:rsid w:val="0027078C"/>
    <w:rsid w:val="00270CF3"/>
    <w:rsid w:val="00275D98"/>
    <w:rsid w:val="002809CC"/>
    <w:rsid w:val="00287840"/>
    <w:rsid w:val="00290475"/>
    <w:rsid w:val="002905AB"/>
    <w:rsid w:val="00294903"/>
    <w:rsid w:val="002959DD"/>
    <w:rsid w:val="002A1059"/>
    <w:rsid w:val="002A4E4A"/>
    <w:rsid w:val="002B0304"/>
    <w:rsid w:val="002B68BD"/>
    <w:rsid w:val="002D64F4"/>
    <w:rsid w:val="002F02D5"/>
    <w:rsid w:val="002F288C"/>
    <w:rsid w:val="002F4B2B"/>
    <w:rsid w:val="0030533C"/>
    <w:rsid w:val="003123EC"/>
    <w:rsid w:val="00320FEB"/>
    <w:rsid w:val="00333288"/>
    <w:rsid w:val="003370BA"/>
    <w:rsid w:val="00340173"/>
    <w:rsid w:val="00341F6A"/>
    <w:rsid w:val="003633BB"/>
    <w:rsid w:val="003814A6"/>
    <w:rsid w:val="00393211"/>
    <w:rsid w:val="00394F38"/>
    <w:rsid w:val="003A7FB8"/>
    <w:rsid w:val="003C25E5"/>
    <w:rsid w:val="003D6235"/>
    <w:rsid w:val="003E3E5B"/>
    <w:rsid w:val="003F22AD"/>
    <w:rsid w:val="00415CF5"/>
    <w:rsid w:val="00416279"/>
    <w:rsid w:val="00426D95"/>
    <w:rsid w:val="0044576C"/>
    <w:rsid w:val="00451CE6"/>
    <w:rsid w:val="00462E2E"/>
    <w:rsid w:val="00463839"/>
    <w:rsid w:val="00471A92"/>
    <w:rsid w:val="00471CF2"/>
    <w:rsid w:val="00474F62"/>
    <w:rsid w:val="00492B1F"/>
    <w:rsid w:val="004963E4"/>
    <w:rsid w:val="00496F1A"/>
    <w:rsid w:val="004A50F1"/>
    <w:rsid w:val="004A6C62"/>
    <w:rsid w:val="004B3C0B"/>
    <w:rsid w:val="004B5CFA"/>
    <w:rsid w:val="004C250E"/>
    <w:rsid w:val="004C42C7"/>
    <w:rsid w:val="004D2B55"/>
    <w:rsid w:val="004D41BB"/>
    <w:rsid w:val="004D5C4D"/>
    <w:rsid w:val="004D7633"/>
    <w:rsid w:val="004F0424"/>
    <w:rsid w:val="004F5D4C"/>
    <w:rsid w:val="004F6156"/>
    <w:rsid w:val="00521646"/>
    <w:rsid w:val="00521E4D"/>
    <w:rsid w:val="00532CAF"/>
    <w:rsid w:val="005332E5"/>
    <w:rsid w:val="005578B1"/>
    <w:rsid w:val="005630D8"/>
    <w:rsid w:val="00570C79"/>
    <w:rsid w:val="00582B09"/>
    <w:rsid w:val="0058553B"/>
    <w:rsid w:val="00592F9C"/>
    <w:rsid w:val="005A2B62"/>
    <w:rsid w:val="005A37BC"/>
    <w:rsid w:val="005A56CA"/>
    <w:rsid w:val="005A608F"/>
    <w:rsid w:val="005B0131"/>
    <w:rsid w:val="005C2084"/>
    <w:rsid w:val="005D7208"/>
    <w:rsid w:val="005E2EFB"/>
    <w:rsid w:val="0062391D"/>
    <w:rsid w:val="00634001"/>
    <w:rsid w:val="006418A3"/>
    <w:rsid w:val="0064523D"/>
    <w:rsid w:val="006463BF"/>
    <w:rsid w:val="00657C3C"/>
    <w:rsid w:val="00661B90"/>
    <w:rsid w:val="0069247B"/>
    <w:rsid w:val="006B7DFD"/>
    <w:rsid w:val="006C0E03"/>
    <w:rsid w:val="006C48F0"/>
    <w:rsid w:val="006D3F56"/>
    <w:rsid w:val="006D6128"/>
    <w:rsid w:val="006D7072"/>
    <w:rsid w:val="006E1E9F"/>
    <w:rsid w:val="006E29D9"/>
    <w:rsid w:val="006E33BA"/>
    <w:rsid w:val="006E4A01"/>
    <w:rsid w:val="006E7E59"/>
    <w:rsid w:val="006E7F09"/>
    <w:rsid w:val="006F1F39"/>
    <w:rsid w:val="00704413"/>
    <w:rsid w:val="00705F32"/>
    <w:rsid w:val="00710FCD"/>
    <w:rsid w:val="007120CA"/>
    <w:rsid w:val="00721611"/>
    <w:rsid w:val="007249CF"/>
    <w:rsid w:val="00727955"/>
    <w:rsid w:val="00740ED6"/>
    <w:rsid w:val="0075002E"/>
    <w:rsid w:val="00765000"/>
    <w:rsid w:val="00765FAD"/>
    <w:rsid w:val="0077090B"/>
    <w:rsid w:val="00770C46"/>
    <w:rsid w:val="0077744C"/>
    <w:rsid w:val="007825EA"/>
    <w:rsid w:val="00785CBF"/>
    <w:rsid w:val="007A0156"/>
    <w:rsid w:val="007A5D14"/>
    <w:rsid w:val="007B0060"/>
    <w:rsid w:val="007B1D79"/>
    <w:rsid w:val="007B37AC"/>
    <w:rsid w:val="007C091F"/>
    <w:rsid w:val="007C2BFB"/>
    <w:rsid w:val="00802153"/>
    <w:rsid w:val="00824146"/>
    <w:rsid w:val="0082598E"/>
    <w:rsid w:val="0082609C"/>
    <w:rsid w:val="00855941"/>
    <w:rsid w:val="008560D7"/>
    <w:rsid w:val="00860F65"/>
    <w:rsid w:val="00861C6B"/>
    <w:rsid w:val="00871A60"/>
    <w:rsid w:val="00875BE0"/>
    <w:rsid w:val="00880E90"/>
    <w:rsid w:val="008B23AC"/>
    <w:rsid w:val="008B5A68"/>
    <w:rsid w:val="008D3550"/>
    <w:rsid w:val="008E40B6"/>
    <w:rsid w:val="008E699B"/>
    <w:rsid w:val="0090191B"/>
    <w:rsid w:val="00903C8E"/>
    <w:rsid w:val="00911F81"/>
    <w:rsid w:val="0093180D"/>
    <w:rsid w:val="00935719"/>
    <w:rsid w:val="0094070D"/>
    <w:rsid w:val="009418E1"/>
    <w:rsid w:val="009424B8"/>
    <w:rsid w:val="0094428E"/>
    <w:rsid w:val="00944EE6"/>
    <w:rsid w:val="0094590A"/>
    <w:rsid w:val="00955D5D"/>
    <w:rsid w:val="009974D9"/>
    <w:rsid w:val="009A14DC"/>
    <w:rsid w:val="009B4586"/>
    <w:rsid w:val="009C1CBE"/>
    <w:rsid w:val="009C25D9"/>
    <w:rsid w:val="009F5811"/>
    <w:rsid w:val="009F6C2C"/>
    <w:rsid w:val="009F7EA7"/>
    <w:rsid w:val="00A05E7E"/>
    <w:rsid w:val="00A15598"/>
    <w:rsid w:val="00A22808"/>
    <w:rsid w:val="00A24A68"/>
    <w:rsid w:val="00A3058F"/>
    <w:rsid w:val="00A311D3"/>
    <w:rsid w:val="00A41452"/>
    <w:rsid w:val="00A41C22"/>
    <w:rsid w:val="00A55AFF"/>
    <w:rsid w:val="00A56A49"/>
    <w:rsid w:val="00A757F0"/>
    <w:rsid w:val="00A779E4"/>
    <w:rsid w:val="00A93510"/>
    <w:rsid w:val="00A974C7"/>
    <w:rsid w:val="00AA5C0C"/>
    <w:rsid w:val="00AA767F"/>
    <w:rsid w:val="00AB1E17"/>
    <w:rsid w:val="00AB5D96"/>
    <w:rsid w:val="00AC6739"/>
    <w:rsid w:val="00AD4DF3"/>
    <w:rsid w:val="00AF3475"/>
    <w:rsid w:val="00B13A14"/>
    <w:rsid w:val="00B2284E"/>
    <w:rsid w:val="00B4604C"/>
    <w:rsid w:val="00B517F6"/>
    <w:rsid w:val="00B661AE"/>
    <w:rsid w:val="00B664D3"/>
    <w:rsid w:val="00B90CB9"/>
    <w:rsid w:val="00BC17A4"/>
    <w:rsid w:val="00BC1EFF"/>
    <w:rsid w:val="00BC54C9"/>
    <w:rsid w:val="00BC5A2E"/>
    <w:rsid w:val="00BD161A"/>
    <w:rsid w:val="00BE4C3B"/>
    <w:rsid w:val="00C030E6"/>
    <w:rsid w:val="00C0605F"/>
    <w:rsid w:val="00C12732"/>
    <w:rsid w:val="00C12D92"/>
    <w:rsid w:val="00C12FE7"/>
    <w:rsid w:val="00C26469"/>
    <w:rsid w:val="00C33382"/>
    <w:rsid w:val="00C34B05"/>
    <w:rsid w:val="00C50DB1"/>
    <w:rsid w:val="00C5360E"/>
    <w:rsid w:val="00C550DC"/>
    <w:rsid w:val="00C67FF4"/>
    <w:rsid w:val="00C87793"/>
    <w:rsid w:val="00CA755C"/>
    <w:rsid w:val="00CB3AE7"/>
    <w:rsid w:val="00CB6ADD"/>
    <w:rsid w:val="00CC032B"/>
    <w:rsid w:val="00CC5973"/>
    <w:rsid w:val="00CD3417"/>
    <w:rsid w:val="00CE7D37"/>
    <w:rsid w:val="00CF784B"/>
    <w:rsid w:val="00D1007C"/>
    <w:rsid w:val="00D11A72"/>
    <w:rsid w:val="00D11AD6"/>
    <w:rsid w:val="00D13CC6"/>
    <w:rsid w:val="00D30650"/>
    <w:rsid w:val="00D4097B"/>
    <w:rsid w:val="00D42AC8"/>
    <w:rsid w:val="00D434C8"/>
    <w:rsid w:val="00D505F9"/>
    <w:rsid w:val="00D51F91"/>
    <w:rsid w:val="00D52D0C"/>
    <w:rsid w:val="00D854C6"/>
    <w:rsid w:val="00D92D5F"/>
    <w:rsid w:val="00D94292"/>
    <w:rsid w:val="00D95219"/>
    <w:rsid w:val="00D95410"/>
    <w:rsid w:val="00D97903"/>
    <w:rsid w:val="00DA0986"/>
    <w:rsid w:val="00DA5DBB"/>
    <w:rsid w:val="00DB2066"/>
    <w:rsid w:val="00DB32C2"/>
    <w:rsid w:val="00DC1377"/>
    <w:rsid w:val="00DC2871"/>
    <w:rsid w:val="00DC364F"/>
    <w:rsid w:val="00DC677B"/>
    <w:rsid w:val="00DD13E5"/>
    <w:rsid w:val="00DF1C64"/>
    <w:rsid w:val="00E03D02"/>
    <w:rsid w:val="00E064C0"/>
    <w:rsid w:val="00E07C3E"/>
    <w:rsid w:val="00E12B40"/>
    <w:rsid w:val="00E17708"/>
    <w:rsid w:val="00E23BCD"/>
    <w:rsid w:val="00E37E92"/>
    <w:rsid w:val="00E468F3"/>
    <w:rsid w:val="00E52504"/>
    <w:rsid w:val="00E64DDE"/>
    <w:rsid w:val="00E67A29"/>
    <w:rsid w:val="00E71B2D"/>
    <w:rsid w:val="00E72785"/>
    <w:rsid w:val="00E77DD3"/>
    <w:rsid w:val="00E9557D"/>
    <w:rsid w:val="00EB2091"/>
    <w:rsid w:val="00EC679C"/>
    <w:rsid w:val="00ED39BC"/>
    <w:rsid w:val="00EF001D"/>
    <w:rsid w:val="00EF1E89"/>
    <w:rsid w:val="00F03D4E"/>
    <w:rsid w:val="00F201E2"/>
    <w:rsid w:val="00F268BC"/>
    <w:rsid w:val="00F35721"/>
    <w:rsid w:val="00F374A2"/>
    <w:rsid w:val="00F40811"/>
    <w:rsid w:val="00F63BE7"/>
    <w:rsid w:val="00F74668"/>
    <w:rsid w:val="00F76E6F"/>
    <w:rsid w:val="00F84DDE"/>
    <w:rsid w:val="00F96C6B"/>
    <w:rsid w:val="00F974C7"/>
    <w:rsid w:val="00FA0798"/>
    <w:rsid w:val="00FA3711"/>
    <w:rsid w:val="00FA558E"/>
    <w:rsid w:val="00FC0B63"/>
    <w:rsid w:val="00FC3F50"/>
    <w:rsid w:val="00FE09D3"/>
    <w:rsid w:val="00FE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F62"/>
    <w:rPr>
      <w:sz w:val="24"/>
      <w:szCs w:val="24"/>
    </w:rPr>
  </w:style>
  <w:style w:type="paragraph" w:styleId="Heading1">
    <w:name w:val="heading 1"/>
    <w:basedOn w:val="Normal"/>
    <w:next w:val="Normal"/>
    <w:link w:val="Heading1Char"/>
    <w:qFormat/>
    <w:rsid w:val="00474F62"/>
    <w:pPr>
      <w:keepNext/>
      <w:spacing w:before="240" w:after="60"/>
      <w:jc w:val="center"/>
      <w:outlineLvl w:val="0"/>
    </w:pPr>
    <w:rPr>
      <w:rFonts w:eastAsiaTheme="majorEastAsia" w:cstheme="majorBidi"/>
      <w:b/>
      <w:bCs/>
      <w:kern w:val="32"/>
      <w:sz w:val="25"/>
      <w:szCs w:val="32"/>
      <w:u w:val="single"/>
    </w:rPr>
  </w:style>
  <w:style w:type="paragraph" w:styleId="Heading2">
    <w:name w:val="heading 2"/>
    <w:basedOn w:val="Normal"/>
    <w:next w:val="Normal"/>
    <w:link w:val="Heading2Char"/>
    <w:qFormat/>
    <w:rsid w:val="00474F62"/>
    <w:pPr>
      <w:keepNext/>
      <w:numPr>
        <w:numId w:val="22"/>
      </w:numPr>
      <w:outlineLvl w:val="1"/>
    </w:pPr>
    <w:rPr>
      <w:b/>
      <w:sz w:val="25"/>
    </w:rPr>
  </w:style>
  <w:style w:type="paragraph" w:styleId="Heading3">
    <w:name w:val="heading 3"/>
    <w:basedOn w:val="Normal"/>
    <w:next w:val="Normal"/>
    <w:link w:val="Heading3Char"/>
    <w:semiHidden/>
    <w:unhideWhenUsed/>
    <w:qFormat/>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semiHidden/>
    <w:unhideWhenUsed/>
    <w:qFormat/>
    <w:rsid w:val="00D52D0C"/>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qFormat/>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uiPriority w:val="99"/>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customStyle="1" w:styleId="DWTNorm">
    <w:name w:val="DWTNorm"/>
    <w:basedOn w:val="BodyTextIndent"/>
    <w:autoRedefine/>
    <w:rsid w:val="00AF3475"/>
    <w:pPr>
      <w:spacing w:after="240" w:line="480" w:lineRule="exact"/>
      <w:ind w:left="0" w:firstLine="720"/>
      <w:jc w:val="both"/>
    </w:pPr>
    <w:rPr>
      <w:szCs w:val="20"/>
    </w:rPr>
  </w:style>
  <w:style w:type="paragraph" w:styleId="BodyTextIndent">
    <w:name w:val="Body Text Indent"/>
    <w:basedOn w:val="Normal"/>
    <w:link w:val="BodyTextIndentChar"/>
    <w:rsid w:val="00AF3475"/>
    <w:pPr>
      <w:spacing w:after="120"/>
      <w:ind w:left="360"/>
    </w:pPr>
  </w:style>
  <w:style w:type="character" w:customStyle="1" w:styleId="BodyTextIndentChar">
    <w:name w:val="Body Text Indent Char"/>
    <w:link w:val="BodyTextIndent"/>
    <w:rsid w:val="00AF3475"/>
    <w:rPr>
      <w:sz w:val="24"/>
      <w:szCs w:val="24"/>
    </w:rPr>
  </w:style>
  <w:style w:type="character" w:customStyle="1" w:styleId="Heading3Char">
    <w:name w:val="Heading 3 Char"/>
    <w:link w:val="Heading3"/>
    <w:semiHidden/>
    <w:rsid w:val="00F63BE7"/>
    <w:rPr>
      <w:rFonts w:asciiTheme="majorHAnsi" w:eastAsiaTheme="majorEastAsia" w:hAnsiTheme="majorHAnsi" w:cstheme="majorBidi"/>
      <w:b/>
      <w:bCs/>
      <w:sz w:val="26"/>
      <w:szCs w:val="26"/>
    </w:rPr>
  </w:style>
  <w:style w:type="character" w:customStyle="1" w:styleId="Heading2Char">
    <w:name w:val="Heading 2 Char"/>
    <w:link w:val="Heading2"/>
    <w:rsid w:val="00F63BE7"/>
    <w:rPr>
      <w:b/>
      <w:sz w:val="25"/>
      <w:szCs w:val="24"/>
    </w:rPr>
  </w:style>
  <w:style w:type="character" w:customStyle="1" w:styleId="HeaderChar">
    <w:name w:val="Header Char"/>
    <w:link w:val="Header"/>
    <w:uiPriority w:val="99"/>
    <w:rsid w:val="00F63BE7"/>
    <w:rPr>
      <w:sz w:val="24"/>
      <w:szCs w:val="24"/>
    </w:rPr>
  </w:style>
  <w:style w:type="paragraph" w:styleId="ListParagraph">
    <w:name w:val="List Paragraph"/>
    <w:basedOn w:val="Normal"/>
    <w:uiPriority w:val="34"/>
    <w:qFormat/>
    <w:rsid w:val="00474F62"/>
    <w:pPr>
      <w:ind w:left="720"/>
    </w:pPr>
  </w:style>
  <w:style w:type="paragraph" w:customStyle="1" w:styleId="PSENum">
    <w:name w:val="PSE Num"/>
    <w:basedOn w:val="Normal"/>
    <w:qFormat/>
    <w:rsid w:val="00474F62"/>
    <w:pPr>
      <w:numPr>
        <w:numId w:val="23"/>
      </w:numPr>
      <w:spacing w:before="120" w:after="120" w:line="480" w:lineRule="auto"/>
    </w:pPr>
    <w:rPr>
      <w:szCs w:val="20"/>
      <w:lang w:eastAsia="zh-CN"/>
    </w:rPr>
  </w:style>
  <w:style w:type="character" w:customStyle="1" w:styleId="Heading1Char">
    <w:name w:val="Heading 1 Char"/>
    <w:basedOn w:val="DefaultParagraphFont"/>
    <w:link w:val="Heading1"/>
    <w:rsid w:val="00474F62"/>
    <w:rPr>
      <w:rFonts w:eastAsiaTheme="majorEastAsia" w:cstheme="majorBidi"/>
      <w:b/>
      <w:bCs/>
      <w:kern w:val="32"/>
      <w:sz w:val="25"/>
      <w:szCs w:val="32"/>
      <w:u w:val="single"/>
    </w:rPr>
  </w:style>
  <w:style w:type="paragraph" w:styleId="Title">
    <w:name w:val="Title"/>
    <w:basedOn w:val="Normal"/>
    <w:link w:val="TitleChar"/>
    <w:qFormat/>
    <w:rsid w:val="00474F62"/>
    <w:pPr>
      <w:jc w:val="center"/>
    </w:pPr>
    <w:rPr>
      <w:rFonts w:ascii="Palatino Linotype" w:hAnsi="Palatino Linotype"/>
      <w:b/>
    </w:rPr>
  </w:style>
  <w:style w:type="character" w:customStyle="1" w:styleId="TitleChar">
    <w:name w:val="Title Char"/>
    <w:basedOn w:val="DefaultParagraphFont"/>
    <w:link w:val="Title"/>
    <w:rsid w:val="00474F62"/>
    <w:rPr>
      <w:rFonts w:ascii="Palatino Linotype" w:hAnsi="Palatino Linotype"/>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F62"/>
    <w:rPr>
      <w:sz w:val="24"/>
      <w:szCs w:val="24"/>
    </w:rPr>
  </w:style>
  <w:style w:type="paragraph" w:styleId="Heading1">
    <w:name w:val="heading 1"/>
    <w:basedOn w:val="Normal"/>
    <w:next w:val="Normal"/>
    <w:link w:val="Heading1Char"/>
    <w:qFormat/>
    <w:rsid w:val="00474F62"/>
    <w:pPr>
      <w:keepNext/>
      <w:spacing w:before="240" w:after="60"/>
      <w:jc w:val="center"/>
      <w:outlineLvl w:val="0"/>
    </w:pPr>
    <w:rPr>
      <w:rFonts w:eastAsiaTheme="majorEastAsia" w:cstheme="majorBidi"/>
      <w:b/>
      <w:bCs/>
      <w:kern w:val="32"/>
      <w:sz w:val="25"/>
      <w:szCs w:val="32"/>
      <w:u w:val="single"/>
    </w:rPr>
  </w:style>
  <w:style w:type="paragraph" w:styleId="Heading2">
    <w:name w:val="heading 2"/>
    <w:basedOn w:val="Normal"/>
    <w:next w:val="Normal"/>
    <w:link w:val="Heading2Char"/>
    <w:qFormat/>
    <w:rsid w:val="00474F62"/>
    <w:pPr>
      <w:keepNext/>
      <w:numPr>
        <w:numId w:val="22"/>
      </w:numPr>
      <w:outlineLvl w:val="1"/>
    </w:pPr>
    <w:rPr>
      <w:b/>
      <w:sz w:val="25"/>
    </w:rPr>
  </w:style>
  <w:style w:type="paragraph" w:styleId="Heading3">
    <w:name w:val="heading 3"/>
    <w:basedOn w:val="Normal"/>
    <w:next w:val="Normal"/>
    <w:link w:val="Heading3Char"/>
    <w:semiHidden/>
    <w:unhideWhenUsed/>
    <w:qFormat/>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semiHidden/>
    <w:unhideWhenUsed/>
    <w:qFormat/>
    <w:rsid w:val="00D52D0C"/>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qFormat/>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uiPriority w:val="99"/>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customStyle="1" w:styleId="DWTNorm">
    <w:name w:val="DWTNorm"/>
    <w:basedOn w:val="BodyTextIndent"/>
    <w:autoRedefine/>
    <w:rsid w:val="00AF3475"/>
    <w:pPr>
      <w:spacing w:after="240" w:line="480" w:lineRule="exact"/>
      <w:ind w:left="0" w:firstLine="720"/>
      <w:jc w:val="both"/>
    </w:pPr>
    <w:rPr>
      <w:szCs w:val="20"/>
    </w:rPr>
  </w:style>
  <w:style w:type="paragraph" w:styleId="BodyTextIndent">
    <w:name w:val="Body Text Indent"/>
    <w:basedOn w:val="Normal"/>
    <w:link w:val="BodyTextIndentChar"/>
    <w:rsid w:val="00AF3475"/>
    <w:pPr>
      <w:spacing w:after="120"/>
      <w:ind w:left="360"/>
    </w:pPr>
  </w:style>
  <w:style w:type="character" w:customStyle="1" w:styleId="BodyTextIndentChar">
    <w:name w:val="Body Text Indent Char"/>
    <w:link w:val="BodyTextIndent"/>
    <w:rsid w:val="00AF3475"/>
    <w:rPr>
      <w:sz w:val="24"/>
      <w:szCs w:val="24"/>
    </w:rPr>
  </w:style>
  <w:style w:type="character" w:customStyle="1" w:styleId="Heading3Char">
    <w:name w:val="Heading 3 Char"/>
    <w:link w:val="Heading3"/>
    <w:semiHidden/>
    <w:rsid w:val="00F63BE7"/>
    <w:rPr>
      <w:rFonts w:asciiTheme="majorHAnsi" w:eastAsiaTheme="majorEastAsia" w:hAnsiTheme="majorHAnsi" w:cstheme="majorBidi"/>
      <w:b/>
      <w:bCs/>
      <w:sz w:val="26"/>
      <w:szCs w:val="26"/>
    </w:rPr>
  </w:style>
  <w:style w:type="character" w:customStyle="1" w:styleId="Heading2Char">
    <w:name w:val="Heading 2 Char"/>
    <w:link w:val="Heading2"/>
    <w:rsid w:val="00F63BE7"/>
    <w:rPr>
      <w:b/>
      <w:sz w:val="25"/>
      <w:szCs w:val="24"/>
    </w:rPr>
  </w:style>
  <w:style w:type="character" w:customStyle="1" w:styleId="HeaderChar">
    <w:name w:val="Header Char"/>
    <w:link w:val="Header"/>
    <w:uiPriority w:val="99"/>
    <w:rsid w:val="00F63BE7"/>
    <w:rPr>
      <w:sz w:val="24"/>
      <w:szCs w:val="24"/>
    </w:rPr>
  </w:style>
  <w:style w:type="paragraph" w:styleId="ListParagraph">
    <w:name w:val="List Paragraph"/>
    <w:basedOn w:val="Normal"/>
    <w:uiPriority w:val="34"/>
    <w:qFormat/>
    <w:rsid w:val="00474F62"/>
    <w:pPr>
      <w:ind w:left="720"/>
    </w:pPr>
  </w:style>
  <w:style w:type="paragraph" w:customStyle="1" w:styleId="PSENum">
    <w:name w:val="PSE Num"/>
    <w:basedOn w:val="Normal"/>
    <w:qFormat/>
    <w:rsid w:val="00474F62"/>
    <w:pPr>
      <w:numPr>
        <w:numId w:val="23"/>
      </w:numPr>
      <w:spacing w:before="120" w:after="120" w:line="480" w:lineRule="auto"/>
    </w:pPr>
    <w:rPr>
      <w:szCs w:val="20"/>
      <w:lang w:eastAsia="zh-CN"/>
    </w:rPr>
  </w:style>
  <w:style w:type="character" w:customStyle="1" w:styleId="Heading1Char">
    <w:name w:val="Heading 1 Char"/>
    <w:basedOn w:val="DefaultParagraphFont"/>
    <w:link w:val="Heading1"/>
    <w:rsid w:val="00474F62"/>
    <w:rPr>
      <w:rFonts w:eastAsiaTheme="majorEastAsia" w:cstheme="majorBidi"/>
      <w:b/>
      <w:bCs/>
      <w:kern w:val="32"/>
      <w:sz w:val="25"/>
      <w:szCs w:val="32"/>
      <w:u w:val="single"/>
    </w:rPr>
  </w:style>
  <w:style w:type="paragraph" w:styleId="Title">
    <w:name w:val="Title"/>
    <w:basedOn w:val="Normal"/>
    <w:link w:val="TitleChar"/>
    <w:qFormat/>
    <w:rsid w:val="00474F62"/>
    <w:pPr>
      <w:jc w:val="center"/>
    </w:pPr>
    <w:rPr>
      <w:rFonts w:ascii="Palatino Linotype" w:hAnsi="Palatino Linotype"/>
      <w:b/>
    </w:rPr>
  </w:style>
  <w:style w:type="character" w:customStyle="1" w:styleId="TitleChar">
    <w:name w:val="Title Char"/>
    <w:basedOn w:val="DefaultParagraphFont"/>
    <w:link w:val="Title"/>
    <w:rsid w:val="00474F62"/>
    <w:rPr>
      <w:rFonts w:ascii="Palatino Linotype" w:hAnsi="Palatino Linotype"/>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977263">
      <w:bodyDiv w:val="1"/>
      <w:marLeft w:val="0"/>
      <w:marRight w:val="0"/>
      <w:marTop w:val="0"/>
      <w:marBottom w:val="0"/>
      <w:divBdr>
        <w:top w:val="none" w:sz="0" w:space="0" w:color="auto"/>
        <w:left w:val="none" w:sz="0" w:space="0" w:color="auto"/>
        <w:bottom w:val="none" w:sz="0" w:space="0" w:color="auto"/>
        <w:right w:val="none" w:sz="0" w:space="0" w:color="auto"/>
      </w:divBdr>
    </w:div>
    <w:div w:id="916329798">
      <w:bodyDiv w:val="1"/>
      <w:marLeft w:val="0"/>
      <w:marRight w:val="0"/>
      <w:marTop w:val="0"/>
      <w:marBottom w:val="0"/>
      <w:divBdr>
        <w:top w:val="none" w:sz="0" w:space="0" w:color="auto"/>
        <w:left w:val="none" w:sz="0" w:space="0" w:color="auto"/>
        <w:bottom w:val="none" w:sz="0" w:space="0" w:color="auto"/>
        <w:right w:val="none" w:sz="0" w:space="0" w:color="auto"/>
      </w:divBdr>
    </w:div>
    <w:div w:id="1472600178">
      <w:bodyDiv w:val="1"/>
      <w:marLeft w:val="0"/>
      <w:marRight w:val="0"/>
      <w:marTop w:val="0"/>
      <w:marBottom w:val="0"/>
      <w:divBdr>
        <w:top w:val="none" w:sz="0" w:space="0" w:color="auto"/>
        <w:left w:val="none" w:sz="0" w:space="0" w:color="auto"/>
        <w:bottom w:val="none" w:sz="0" w:space="0" w:color="auto"/>
        <w:right w:val="none" w:sz="0" w:space="0" w:color="auto"/>
      </w:divBdr>
    </w:div>
    <w:div w:id="180927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2013-04-10T07:00:00+00:00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DE8718A-208E-4D12-8C31-2B0DB56D1934}"/>
</file>

<file path=customXml/itemProps2.xml><?xml version="1.0" encoding="utf-8"?>
<ds:datastoreItem xmlns:ds="http://schemas.openxmlformats.org/officeDocument/2006/customXml" ds:itemID="{EE236610-C261-4B1E-BE8B-EC4E9500D0E9}"/>
</file>

<file path=customXml/itemProps3.xml><?xml version="1.0" encoding="utf-8"?>
<ds:datastoreItem xmlns:ds="http://schemas.openxmlformats.org/officeDocument/2006/customXml" ds:itemID="{8ADF427A-A9BA-4822-9B5B-5541943950B4}"/>
</file>

<file path=customXml/itemProps4.xml><?xml version="1.0" encoding="utf-8"?>
<ds:datastoreItem xmlns:ds="http://schemas.openxmlformats.org/officeDocument/2006/customXml" ds:itemID="{3C961175-C2EB-4939-A9FE-2C35076E13BC}"/>
</file>

<file path=customXml/itemProps5.xml><?xml version="1.0" encoding="utf-8"?>
<ds:datastoreItem xmlns:ds="http://schemas.openxmlformats.org/officeDocument/2006/customXml" ds:itemID="{7DB69905-9A53-4667-9E74-D8AC3F67CB88}"/>
</file>

<file path=docProps/app.xml><?xml version="1.0" encoding="utf-8"?>
<Properties xmlns="http://schemas.openxmlformats.org/officeDocument/2006/extended-properties" xmlns:vt="http://schemas.openxmlformats.org/officeDocument/2006/docPropsVTypes">
  <Template>Normal</Template>
  <TotalTime>0</TotalTime>
  <Pages>8</Pages>
  <Words>2288</Words>
  <Characters>12482</Characters>
  <Application>Microsoft Office Word</Application>
  <DocSecurity>0</DocSecurity>
  <Lines>104</Lines>
  <Paragraphs>29</Paragraphs>
  <ScaleCrop>false</ScaleCrop>
  <LinksUpToDate>false</LinksUpToDate>
  <CharactersWithSpaces>14741</CharactersWithSpaces>
  <SharedDoc>false</SharedDoc>
  <HLinks>
    <vt:vector size="90" baseType="variant">
      <vt:variant>
        <vt:i4>983155</vt:i4>
      </vt:variant>
      <vt:variant>
        <vt:i4>42</vt:i4>
      </vt:variant>
      <vt:variant>
        <vt:i4>0</vt:i4>
      </vt:variant>
      <vt:variant>
        <vt:i4>5</vt:i4>
      </vt:variant>
      <vt:variant>
        <vt:lpwstr>mailto:norman.furuta@navy.mil</vt:lpwstr>
      </vt:variant>
      <vt:variant>
        <vt:lpwstr/>
      </vt:variant>
      <vt:variant>
        <vt:i4>7602277</vt:i4>
      </vt:variant>
      <vt:variant>
        <vt:i4>39</vt:i4>
      </vt:variant>
      <vt:variant>
        <vt:i4>0</vt:i4>
      </vt:variant>
      <vt:variant>
        <vt:i4>5</vt:i4>
      </vt:variant>
      <vt:variant>
        <vt:lpwstr>mailto:Chuck_Eberdt@oppco.org</vt:lpwstr>
      </vt:variant>
      <vt:variant>
        <vt:lpwstr/>
      </vt:variant>
      <vt:variant>
        <vt:i4>1114175</vt:i4>
      </vt:variant>
      <vt:variant>
        <vt:i4>36</vt:i4>
      </vt:variant>
      <vt:variant>
        <vt:i4>0</vt:i4>
      </vt:variant>
      <vt:variant>
        <vt:i4>5</vt:i4>
      </vt:variant>
      <vt:variant>
        <vt:lpwstr>mailto:ronaldroseman@comcast.net</vt:lpwstr>
      </vt:variant>
      <vt:variant>
        <vt:lpwstr/>
      </vt:variant>
      <vt:variant>
        <vt:i4>983136</vt:i4>
      </vt:variant>
      <vt:variant>
        <vt:i4>33</vt:i4>
      </vt:variant>
      <vt:variant>
        <vt:i4>0</vt:i4>
      </vt:variant>
      <vt:variant>
        <vt:i4>5</vt:i4>
      </vt:variant>
      <vt:variant>
        <vt:lpwstr>mailto:shaun.mohler@bbrslaw.com</vt:lpwstr>
      </vt:variant>
      <vt:variant>
        <vt:lpwstr/>
      </vt:variant>
      <vt:variant>
        <vt:i4>8061022</vt:i4>
      </vt:variant>
      <vt:variant>
        <vt:i4>30</vt:i4>
      </vt:variant>
      <vt:variant>
        <vt:i4>0</vt:i4>
      </vt:variant>
      <vt:variant>
        <vt:i4>5</vt:i4>
      </vt:variant>
      <vt:variant>
        <vt:lpwstr>mailto:dex@bbrslaw.com</vt:lpwstr>
      </vt:variant>
      <vt:variant>
        <vt:lpwstr/>
      </vt:variant>
      <vt:variant>
        <vt:i4>6815819</vt:i4>
      </vt:variant>
      <vt:variant>
        <vt:i4>27</vt:i4>
      </vt:variant>
      <vt:variant>
        <vt:i4>0</vt:i4>
      </vt:variant>
      <vt:variant>
        <vt:i4>5</vt:i4>
      </vt:variant>
      <vt:variant>
        <vt:lpwstr>mailto:cstokes@cablehuston.com</vt:lpwstr>
      </vt:variant>
      <vt:variant>
        <vt:lpwstr/>
      </vt:variant>
      <vt:variant>
        <vt:i4>6422537</vt:i4>
      </vt:variant>
      <vt:variant>
        <vt:i4>24</vt:i4>
      </vt:variant>
      <vt:variant>
        <vt:i4>0</vt:i4>
      </vt:variant>
      <vt:variant>
        <vt:i4>5</vt:i4>
      </vt:variant>
      <vt:variant>
        <vt:lpwstr>mailto:mdeen@r-c-s-inc.com</vt:lpwstr>
      </vt:variant>
      <vt:variant>
        <vt:lpwstr/>
      </vt:variant>
      <vt:variant>
        <vt:i4>4980846</vt:i4>
      </vt:variant>
      <vt:variant>
        <vt:i4>21</vt:i4>
      </vt:variant>
      <vt:variant>
        <vt:i4>0</vt:i4>
      </vt:variant>
      <vt:variant>
        <vt:i4>5</vt:i4>
      </vt:variant>
      <vt:variant>
        <vt:lpwstr>mailto:Mjd@dvclaw.com</vt:lpwstr>
      </vt:variant>
      <vt:variant>
        <vt:lpwstr/>
      </vt:variant>
      <vt:variant>
        <vt:i4>7864346</vt:i4>
      </vt:variant>
      <vt:variant>
        <vt:i4>18</vt:i4>
      </vt:variant>
      <vt:variant>
        <vt:i4>0</vt:i4>
      </vt:variant>
      <vt:variant>
        <vt:i4>5</vt:i4>
      </vt:variant>
      <vt:variant>
        <vt:lpwstr>mailto:simonf@atg.wa.gov</vt:lpwstr>
      </vt:variant>
      <vt:variant>
        <vt:lpwstr/>
      </vt:variant>
      <vt:variant>
        <vt:i4>327786</vt:i4>
      </vt:variant>
      <vt:variant>
        <vt:i4>15</vt:i4>
      </vt:variant>
      <vt:variant>
        <vt:i4>0</vt:i4>
      </vt:variant>
      <vt:variant>
        <vt:i4>5</vt:i4>
      </vt:variant>
      <vt:variant>
        <vt:lpwstr>mailto:gtrautma@utc.wa.gov</vt:lpwstr>
      </vt:variant>
      <vt:variant>
        <vt:lpwstr/>
      </vt:variant>
      <vt:variant>
        <vt:i4>983159</vt:i4>
      </vt:variant>
      <vt:variant>
        <vt:i4>12</vt:i4>
      </vt:variant>
      <vt:variant>
        <vt:i4>0</vt:i4>
      </vt:variant>
      <vt:variant>
        <vt:i4>5</vt:i4>
      </vt:variant>
      <vt:variant>
        <vt:lpwstr>mailto:dtrotter@utc.wa.gov</vt:lpwstr>
      </vt:variant>
      <vt:variant>
        <vt:lpwstr/>
      </vt:variant>
      <vt:variant>
        <vt:i4>6488093</vt:i4>
      </vt:variant>
      <vt:variant>
        <vt:i4>9</vt:i4>
      </vt:variant>
      <vt:variant>
        <vt:i4>0</vt:i4>
      </vt:variant>
      <vt:variant>
        <vt:i4>5</vt:i4>
      </vt:variant>
      <vt:variant>
        <vt:lpwstr>mailto:Ken.Johnson@pse.com</vt:lpwstr>
      </vt:variant>
      <vt:variant>
        <vt:lpwstr/>
      </vt:variant>
      <vt:variant>
        <vt:i4>1441850</vt:i4>
      </vt:variant>
      <vt:variant>
        <vt:i4>6</vt:i4>
      </vt:variant>
      <vt:variant>
        <vt:i4>0</vt:i4>
      </vt:variant>
      <vt:variant>
        <vt:i4>5</vt:i4>
      </vt:variant>
      <vt:variant>
        <vt:lpwstr>mailto:Dbarnett@perkinscoie.com</vt:lpwstr>
      </vt:variant>
      <vt:variant>
        <vt:lpwstr/>
      </vt:variant>
      <vt:variant>
        <vt:i4>8061003</vt:i4>
      </vt:variant>
      <vt:variant>
        <vt:i4>3</vt:i4>
      </vt:variant>
      <vt:variant>
        <vt:i4>0</vt:i4>
      </vt:variant>
      <vt:variant>
        <vt:i4>5</vt:i4>
      </vt:variant>
      <vt:variant>
        <vt:lpwstr>mailto:jkuzma@perkinscoie.com</vt:lpwstr>
      </vt:variant>
      <vt:variant>
        <vt:lpwstr/>
      </vt:variant>
      <vt:variant>
        <vt:i4>7405663</vt:i4>
      </vt:variant>
      <vt:variant>
        <vt:i4>0</vt:i4>
      </vt:variant>
      <vt:variant>
        <vt:i4>0</vt:i4>
      </vt:variant>
      <vt:variant>
        <vt:i4>5</vt:i4>
      </vt:variant>
      <vt:variant>
        <vt:lpwstr>mailto:scarson@perkinscoie.com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2013-04-10T20:34:00Z</dcterms:created>
  <dcterms:modified xsi:type="dcterms:W3CDTF">2013-04-10T20:34:00Z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