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6B85D" w14:textId="77777777" w:rsidR="00061921" w:rsidRPr="00B814E2" w:rsidRDefault="00061921" w:rsidP="00BB5741">
      <w:pPr>
        <w:rPr>
          <w:b/>
        </w:rPr>
      </w:pPr>
    </w:p>
    <w:p w14:paraId="1E4B9470" w14:textId="77777777" w:rsidR="00061921" w:rsidRPr="00B814E2" w:rsidRDefault="00061921" w:rsidP="00BB5741">
      <w:pPr>
        <w:ind w:left="-360" w:right="-252"/>
        <w:jc w:val="center"/>
        <w:rPr>
          <w:b/>
        </w:rPr>
      </w:pPr>
      <w:r w:rsidRPr="00B814E2">
        <w:rPr>
          <w:b/>
        </w:rPr>
        <w:t>BEFORE THE WASHINGTON UTILITIES AND TRANSPORTATION COMMISSION</w:t>
      </w:r>
    </w:p>
    <w:p w14:paraId="548A5F8F" w14:textId="6BD7236F" w:rsidR="00061921" w:rsidRDefault="00281098" w:rsidP="00BB5741">
      <w:pPr>
        <w:rPr>
          <w:b/>
        </w:rPr>
      </w:pPr>
      <w:r>
        <w:rPr>
          <w:b/>
        </w:rPr>
        <w:t xml:space="preserve">  </w:t>
      </w:r>
    </w:p>
    <w:p w14:paraId="37773902" w14:textId="47FAC116" w:rsidR="00945B9E" w:rsidRDefault="00945B9E" w:rsidP="00BB5741">
      <w:pPr>
        <w:rPr>
          <w:b/>
        </w:rPr>
      </w:pPr>
    </w:p>
    <w:p w14:paraId="79CE35DE" w14:textId="043B576E" w:rsidR="00945B9E" w:rsidRDefault="00945B9E" w:rsidP="00BB5741">
      <w:pPr>
        <w:rPr>
          <w:b/>
        </w:rPr>
      </w:pPr>
    </w:p>
    <w:p w14:paraId="7395CA5C" w14:textId="77777777" w:rsidR="00945B9E" w:rsidRPr="00B814E2" w:rsidRDefault="00945B9E" w:rsidP="00BB5741">
      <w:pPr>
        <w:rPr>
          <w:b/>
        </w:rPr>
      </w:pPr>
    </w:p>
    <w:tbl>
      <w:tblPr>
        <w:tblW w:w="9180" w:type="dxa"/>
        <w:tblLayout w:type="fixed"/>
        <w:tblCellMar>
          <w:left w:w="124" w:type="dxa"/>
          <w:right w:w="124" w:type="dxa"/>
        </w:tblCellMar>
        <w:tblLook w:val="04A0" w:firstRow="1" w:lastRow="0" w:firstColumn="1" w:lastColumn="0" w:noHBand="0" w:noVBand="1"/>
      </w:tblPr>
      <w:tblGrid>
        <w:gridCol w:w="4590"/>
        <w:gridCol w:w="4590"/>
      </w:tblGrid>
      <w:tr w:rsidR="00061921" w14:paraId="664AA59C" w14:textId="77777777" w:rsidTr="00061921">
        <w:tc>
          <w:tcPr>
            <w:tcW w:w="4590" w:type="dxa"/>
            <w:tcBorders>
              <w:top w:val="single" w:sz="6" w:space="0" w:color="FFFFFF"/>
              <w:left w:val="single" w:sz="6" w:space="0" w:color="FFFFFF"/>
              <w:bottom w:val="single" w:sz="8" w:space="0" w:color="000000"/>
              <w:right w:val="single" w:sz="6" w:space="0" w:color="FFFFFF"/>
            </w:tcBorders>
          </w:tcPr>
          <w:p w14:paraId="5B80C6BE" w14:textId="77777777" w:rsidR="00061921" w:rsidRDefault="00061921" w:rsidP="008F232F">
            <w:pPr>
              <w:pStyle w:val="Subtitle"/>
              <w:keepNext/>
              <w:keepLines/>
              <w:spacing w:before="200"/>
              <w:outlineLvl w:val="3"/>
              <w:rPr>
                <w:rFonts w:ascii="Times" w:hAnsi="Times"/>
                <w:b/>
                <w:bCs/>
                <w:i/>
                <w:iCs/>
                <w:color w:val="4F81BD" w:themeColor="accent1"/>
              </w:rPr>
            </w:pPr>
            <w:r>
              <w:rPr>
                <w:rFonts w:ascii="Times" w:hAnsi="Times"/>
                <w:b/>
              </w:rPr>
              <w:t>WASHINGTON UTILITIES AND</w:t>
            </w:r>
          </w:p>
          <w:p w14:paraId="76554009" w14:textId="77777777" w:rsidR="00061921" w:rsidRDefault="00061921" w:rsidP="008F232F">
            <w:pPr>
              <w:keepNext/>
              <w:keepLines/>
              <w:spacing w:before="200"/>
              <w:outlineLvl w:val="8"/>
              <w:rPr>
                <w:b/>
                <w:i/>
                <w:iCs/>
                <w:color w:val="404040" w:themeColor="text1" w:themeTint="BF"/>
              </w:rPr>
            </w:pPr>
            <w:r>
              <w:rPr>
                <w:rFonts w:ascii="Times" w:hAnsi="Times"/>
                <w:b/>
              </w:rPr>
              <w:t>TRANSPORTATION COMMISSION</w:t>
            </w:r>
            <w:r>
              <w:rPr>
                <w:b/>
              </w:rPr>
              <w:t>,</w:t>
            </w:r>
          </w:p>
          <w:p w14:paraId="3F869161" w14:textId="77777777" w:rsidR="00061921" w:rsidRDefault="00061921" w:rsidP="00277BC3">
            <w:pPr>
              <w:rPr>
                <w:b/>
              </w:rPr>
            </w:pPr>
          </w:p>
          <w:p w14:paraId="288416AC" w14:textId="77777777" w:rsidR="00061921" w:rsidRDefault="00061921" w:rsidP="00277BC3">
            <w:pPr>
              <w:tabs>
                <w:tab w:val="left" w:pos="1800"/>
              </w:tabs>
              <w:rPr>
                <w:b/>
              </w:rPr>
            </w:pPr>
            <w:r>
              <w:rPr>
                <w:b/>
              </w:rPr>
              <w:tab/>
              <w:t>Complainant,</w:t>
            </w:r>
          </w:p>
          <w:p w14:paraId="6E66958E" w14:textId="77777777" w:rsidR="00061921" w:rsidRDefault="00061921" w:rsidP="00277BC3">
            <w:pPr>
              <w:rPr>
                <w:b/>
              </w:rPr>
            </w:pPr>
          </w:p>
          <w:p w14:paraId="708456F4" w14:textId="77777777" w:rsidR="00061921" w:rsidRDefault="00061921" w:rsidP="00277BC3">
            <w:pPr>
              <w:rPr>
                <w:b/>
              </w:rPr>
            </w:pPr>
            <w:r>
              <w:rPr>
                <w:b/>
              </w:rPr>
              <w:t>v.</w:t>
            </w:r>
          </w:p>
          <w:p w14:paraId="2008BDE9" w14:textId="77777777" w:rsidR="00061921" w:rsidRDefault="00061921" w:rsidP="00277BC3">
            <w:pPr>
              <w:rPr>
                <w:b/>
              </w:rPr>
            </w:pPr>
          </w:p>
          <w:p w14:paraId="0A6A6372" w14:textId="0D7E2621" w:rsidR="00061921" w:rsidRDefault="0039041D" w:rsidP="00F161C5">
            <w:pPr>
              <w:rPr>
                <w:b/>
              </w:rPr>
            </w:pPr>
            <w:r>
              <w:rPr>
                <w:b/>
              </w:rPr>
              <w:t>PUGET SOUND ENERGY</w:t>
            </w:r>
            <w:r w:rsidR="00A31AF4">
              <w:rPr>
                <w:b/>
              </w:rPr>
              <w:t>,</w:t>
            </w:r>
          </w:p>
          <w:p w14:paraId="3B897676" w14:textId="77777777" w:rsidR="002B1DFC" w:rsidRDefault="002B1DFC" w:rsidP="00F161C5">
            <w:pPr>
              <w:rPr>
                <w:b/>
              </w:rPr>
            </w:pPr>
          </w:p>
          <w:p w14:paraId="2E75D10D" w14:textId="77777777" w:rsidR="00061921" w:rsidRDefault="00061921" w:rsidP="00277BC3">
            <w:pPr>
              <w:tabs>
                <w:tab w:val="left" w:pos="1800"/>
              </w:tabs>
              <w:rPr>
                <w:b/>
              </w:rPr>
            </w:pPr>
            <w:r>
              <w:rPr>
                <w:b/>
              </w:rPr>
              <w:tab/>
              <w:t>Respondent.</w:t>
            </w:r>
          </w:p>
          <w:p w14:paraId="78E1A1E2" w14:textId="77777777" w:rsidR="00061921" w:rsidRDefault="00061921" w:rsidP="00277BC3">
            <w:pPr>
              <w:tabs>
                <w:tab w:val="center" w:pos="4680"/>
              </w:tabs>
              <w:jc w:val="center"/>
              <w:rPr>
                <w:b/>
                <w:bCs/>
              </w:rPr>
            </w:pPr>
          </w:p>
        </w:tc>
        <w:tc>
          <w:tcPr>
            <w:tcW w:w="4590" w:type="dxa"/>
            <w:tcBorders>
              <w:top w:val="single" w:sz="6" w:space="0" w:color="FFFFFF"/>
              <w:left w:val="single" w:sz="8" w:space="0" w:color="000000"/>
              <w:bottom w:val="single" w:sz="6" w:space="0" w:color="FFFFFF"/>
              <w:right w:val="single" w:sz="6" w:space="0" w:color="FFFFFF"/>
            </w:tcBorders>
          </w:tcPr>
          <w:p w14:paraId="6E02C815" w14:textId="77777777" w:rsidR="00061921" w:rsidRDefault="0013638A" w:rsidP="0013638A">
            <w:pPr>
              <w:tabs>
                <w:tab w:val="center" w:pos="4680"/>
              </w:tabs>
              <w:rPr>
                <w:b/>
              </w:rPr>
            </w:pPr>
            <w:r>
              <w:rPr>
                <w:b/>
              </w:rPr>
              <w:t>DOCKETS UE-170033 &amp; UG-170034</w:t>
            </w:r>
          </w:p>
          <w:p w14:paraId="4A48CF6F" w14:textId="162002E7" w:rsidR="007D39E5" w:rsidRPr="002822FD" w:rsidRDefault="007D39E5" w:rsidP="0013638A">
            <w:pPr>
              <w:tabs>
                <w:tab w:val="center" w:pos="4680"/>
              </w:tabs>
              <w:rPr>
                <w:b/>
                <w:i/>
              </w:rPr>
            </w:pPr>
            <w:r w:rsidRPr="002822FD">
              <w:rPr>
                <w:b/>
                <w:i/>
              </w:rPr>
              <w:t>(C</w:t>
            </w:r>
            <w:r w:rsidR="002822FD" w:rsidRPr="002822FD">
              <w:rPr>
                <w:b/>
                <w:i/>
              </w:rPr>
              <w:t>onsolidated</w:t>
            </w:r>
            <w:r w:rsidRPr="002822FD">
              <w:rPr>
                <w:b/>
                <w:i/>
              </w:rPr>
              <w:t>)</w:t>
            </w:r>
          </w:p>
        </w:tc>
      </w:tr>
    </w:tbl>
    <w:p w14:paraId="58C03061" w14:textId="77777777" w:rsidR="00061921" w:rsidRDefault="00061921" w:rsidP="00277BC3">
      <w:pPr>
        <w:rPr>
          <w:b/>
          <w:bCs/>
        </w:rPr>
      </w:pPr>
    </w:p>
    <w:p w14:paraId="600CE9DB" w14:textId="1B3F13AC" w:rsidR="00061921" w:rsidRDefault="00061921" w:rsidP="00277BC3">
      <w:pPr>
        <w:rPr>
          <w:b/>
          <w:bCs/>
        </w:rPr>
      </w:pPr>
    </w:p>
    <w:p w14:paraId="5DE26BE6" w14:textId="6AAF4027" w:rsidR="00E96852" w:rsidRDefault="00E96852" w:rsidP="00277BC3">
      <w:pPr>
        <w:rPr>
          <w:b/>
          <w:bCs/>
        </w:rPr>
      </w:pPr>
    </w:p>
    <w:p w14:paraId="603CFB85" w14:textId="1E8A17FA" w:rsidR="00E96852" w:rsidRDefault="00E96852" w:rsidP="00277BC3">
      <w:pPr>
        <w:rPr>
          <w:b/>
          <w:bCs/>
        </w:rPr>
      </w:pPr>
    </w:p>
    <w:p w14:paraId="32C6928F" w14:textId="77777777" w:rsidR="00E96852" w:rsidRDefault="00E96852" w:rsidP="00277BC3">
      <w:pPr>
        <w:rPr>
          <w:b/>
          <w:bCs/>
        </w:rPr>
      </w:pPr>
    </w:p>
    <w:p w14:paraId="52530E37" w14:textId="77777777" w:rsidR="00FD0127" w:rsidRDefault="00FD0127" w:rsidP="00FD0127">
      <w:pPr>
        <w:rPr>
          <w:b/>
          <w:bCs/>
        </w:rPr>
      </w:pPr>
    </w:p>
    <w:p w14:paraId="5755316A" w14:textId="77777777" w:rsidR="00FD0127" w:rsidRDefault="00FD0127" w:rsidP="00FD0127">
      <w:pPr>
        <w:tabs>
          <w:tab w:val="center" w:pos="4680"/>
        </w:tabs>
        <w:jc w:val="center"/>
        <w:rPr>
          <w:b/>
          <w:bCs/>
        </w:rPr>
      </w:pPr>
      <w:r>
        <w:rPr>
          <w:b/>
          <w:bCs/>
        </w:rPr>
        <w:t>TESTIMONY OF</w:t>
      </w:r>
    </w:p>
    <w:p w14:paraId="7A559CC0" w14:textId="77777777" w:rsidR="00FD0127" w:rsidRDefault="00FD0127" w:rsidP="00FD0127">
      <w:pPr>
        <w:jc w:val="center"/>
        <w:rPr>
          <w:b/>
          <w:bCs/>
        </w:rPr>
      </w:pPr>
    </w:p>
    <w:p w14:paraId="416B6B82" w14:textId="1618322E" w:rsidR="00FD0127" w:rsidRDefault="008F232F" w:rsidP="00FD0127">
      <w:pPr>
        <w:tabs>
          <w:tab w:val="center" w:pos="4680"/>
        </w:tabs>
        <w:jc w:val="center"/>
        <w:rPr>
          <w:b/>
          <w:bCs/>
        </w:rPr>
      </w:pPr>
      <w:r>
        <w:rPr>
          <w:b/>
          <w:bCs/>
        </w:rPr>
        <w:t xml:space="preserve">SHAWN M. COLLINS (EXH. </w:t>
      </w:r>
      <w:r w:rsidR="002822FD">
        <w:rPr>
          <w:b/>
          <w:bCs/>
        </w:rPr>
        <w:t>SMC-</w:t>
      </w:r>
      <w:r>
        <w:rPr>
          <w:b/>
          <w:bCs/>
        </w:rPr>
        <w:t>4T)</w:t>
      </w:r>
    </w:p>
    <w:p w14:paraId="51083A82" w14:textId="77777777" w:rsidR="00FD0127" w:rsidRDefault="00FD0127" w:rsidP="00FD0127">
      <w:pPr>
        <w:tabs>
          <w:tab w:val="center" w:pos="4680"/>
        </w:tabs>
        <w:jc w:val="center"/>
        <w:rPr>
          <w:b/>
          <w:bCs/>
        </w:rPr>
      </w:pPr>
    </w:p>
    <w:p w14:paraId="43B976BA" w14:textId="77777777" w:rsidR="00FD0127" w:rsidRDefault="00FD0127" w:rsidP="00FD0127">
      <w:pPr>
        <w:tabs>
          <w:tab w:val="center" w:pos="4680"/>
        </w:tabs>
        <w:jc w:val="center"/>
        <w:rPr>
          <w:b/>
          <w:bCs/>
        </w:rPr>
      </w:pPr>
      <w:r>
        <w:rPr>
          <w:b/>
          <w:bCs/>
        </w:rPr>
        <w:t>DIRECTOR OF</w:t>
      </w:r>
    </w:p>
    <w:p w14:paraId="3D0C8DD2" w14:textId="77777777" w:rsidR="00FD0127" w:rsidRDefault="00FD0127" w:rsidP="00FD0127">
      <w:pPr>
        <w:tabs>
          <w:tab w:val="center" w:pos="4680"/>
        </w:tabs>
        <w:jc w:val="center"/>
        <w:rPr>
          <w:b/>
          <w:bCs/>
        </w:rPr>
      </w:pPr>
      <w:r>
        <w:rPr>
          <w:b/>
          <w:bCs/>
        </w:rPr>
        <w:t>THE ENERGY PROJECT</w:t>
      </w:r>
    </w:p>
    <w:p w14:paraId="25A9795F" w14:textId="77777777" w:rsidR="00FD0127" w:rsidRDefault="00FD0127" w:rsidP="00FD0127">
      <w:pPr>
        <w:jc w:val="center"/>
        <w:rPr>
          <w:b/>
          <w:bCs/>
        </w:rPr>
      </w:pPr>
    </w:p>
    <w:p w14:paraId="71A2014F" w14:textId="77777777" w:rsidR="00FD0127" w:rsidRDefault="00FD0127" w:rsidP="00FD0127">
      <w:pPr>
        <w:rPr>
          <w:b/>
          <w:bCs/>
        </w:rPr>
      </w:pPr>
    </w:p>
    <w:p w14:paraId="6F191EB2" w14:textId="77777777" w:rsidR="00FD0127" w:rsidRDefault="00FD0127" w:rsidP="00FD0127">
      <w:pPr>
        <w:rPr>
          <w:b/>
          <w:bCs/>
        </w:rPr>
      </w:pPr>
    </w:p>
    <w:p w14:paraId="31BB7B31" w14:textId="64F1F987" w:rsidR="00FD0127" w:rsidRPr="00B814E2" w:rsidRDefault="008F232F" w:rsidP="00FD0127">
      <w:pPr>
        <w:jc w:val="center"/>
        <w:rPr>
          <w:b/>
          <w:bCs/>
          <w:i/>
        </w:rPr>
      </w:pPr>
      <w:r>
        <w:rPr>
          <w:b/>
          <w:bCs/>
          <w:i/>
        </w:rPr>
        <w:t>I</w:t>
      </w:r>
      <w:r w:rsidR="002822FD">
        <w:rPr>
          <w:b/>
          <w:bCs/>
          <w:i/>
        </w:rPr>
        <w:t>n Support of Multiparty Settlement Stipulation</w:t>
      </w:r>
    </w:p>
    <w:p w14:paraId="0071C944" w14:textId="77777777" w:rsidR="00FD0127" w:rsidRDefault="00FD0127" w:rsidP="00FD0127">
      <w:pPr>
        <w:rPr>
          <w:b/>
          <w:bCs/>
        </w:rPr>
      </w:pPr>
    </w:p>
    <w:p w14:paraId="2842ED9A" w14:textId="77777777" w:rsidR="00FD0127" w:rsidRDefault="00FD0127" w:rsidP="00FD0127">
      <w:pPr>
        <w:rPr>
          <w:b/>
          <w:bCs/>
        </w:rPr>
      </w:pPr>
    </w:p>
    <w:p w14:paraId="2AA1F3C1" w14:textId="104B1C80" w:rsidR="00FD0127" w:rsidRDefault="008F232F" w:rsidP="00FD0127">
      <w:pPr>
        <w:jc w:val="center"/>
        <w:rPr>
          <w:b/>
          <w:bCs/>
        </w:rPr>
      </w:pPr>
      <w:r>
        <w:rPr>
          <w:b/>
          <w:bCs/>
        </w:rPr>
        <w:t>SEPTEMBER 18, 2017</w:t>
      </w:r>
    </w:p>
    <w:p w14:paraId="22110B0B" w14:textId="77777777" w:rsidR="00FD0127" w:rsidRDefault="00FD0127" w:rsidP="00FD0127"/>
    <w:p w14:paraId="02E1719D" w14:textId="77777777" w:rsidR="00FD0127" w:rsidRDefault="00FD0127" w:rsidP="00FD0127"/>
    <w:p w14:paraId="60C0580B" w14:textId="77777777" w:rsidR="00061921" w:rsidRDefault="00061921" w:rsidP="00277BC3">
      <w:pPr>
        <w:rPr>
          <w:b/>
          <w:bCs/>
        </w:rPr>
      </w:pPr>
    </w:p>
    <w:p w14:paraId="4DFE888B" w14:textId="77777777" w:rsidR="00061921" w:rsidRDefault="00061921" w:rsidP="00277BC3"/>
    <w:p w14:paraId="38C92193" w14:textId="77777777" w:rsidR="00061921" w:rsidRDefault="00061921" w:rsidP="00277BC3"/>
    <w:p w14:paraId="1719DF85" w14:textId="77777777" w:rsidR="00061921" w:rsidRDefault="00061921" w:rsidP="00277BC3"/>
    <w:p w14:paraId="46FB5663" w14:textId="77777777" w:rsidR="00363621" w:rsidRDefault="00363621" w:rsidP="00277BC3"/>
    <w:p w14:paraId="04E33FAF" w14:textId="77777777" w:rsidR="00061921" w:rsidRDefault="00061921" w:rsidP="00277BC3"/>
    <w:p w14:paraId="49791AE4" w14:textId="7205E985" w:rsidR="0013638A" w:rsidRDefault="0013638A" w:rsidP="00FF3A70">
      <w:pPr>
        <w:spacing w:line="480" w:lineRule="auto"/>
      </w:pPr>
    </w:p>
    <w:p w14:paraId="38C55B9D" w14:textId="77777777" w:rsidR="00C979D6" w:rsidRDefault="00C979D6" w:rsidP="002C38B3">
      <w:pPr>
        <w:spacing w:line="480" w:lineRule="auto"/>
        <w:rPr>
          <w:b/>
        </w:rPr>
        <w:sectPr w:rsidR="00C979D6" w:rsidSect="00F46C13">
          <w:headerReference w:type="default" r:id="rId8"/>
          <w:footerReference w:type="default" r:id="rId9"/>
          <w:pgSz w:w="12240" w:h="15840"/>
          <w:pgMar w:top="1440" w:right="1800" w:bottom="1440" w:left="1800" w:header="720" w:footer="720" w:gutter="0"/>
          <w:pgNumType w:fmt="lowerRoman" w:start="1"/>
          <w:cols w:space="720"/>
          <w:titlePg/>
          <w:docGrid w:linePitch="326"/>
        </w:sectPr>
      </w:pPr>
    </w:p>
    <w:p w14:paraId="6553220B" w14:textId="35E4109D" w:rsidR="00B41804" w:rsidRPr="00E811A5" w:rsidRDefault="00B41804" w:rsidP="00E811A5">
      <w:pPr>
        <w:pStyle w:val="ListParagraph"/>
        <w:numPr>
          <w:ilvl w:val="0"/>
          <w:numId w:val="16"/>
        </w:numPr>
        <w:spacing w:line="480" w:lineRule="auto"/>
        <w:jc w:val="center"/>
        <w:rPr>
          <w:b/>
        </w:rPr>
      </w:pPr>
      <w:bookmarkStart w:id="0" w:name="_GoBack"/>
      <w:bookmarkEnd w:id="0"/>
      <w:r w:rsidRPr="00E811A5">
        <w:rPr>
          <w:b/>
        </w:rPr>
        <w:lastRenderedPageBreak/>
        <w:t>INTRODUCTION</w:t>
      </w:r>
    </w:p>
    <w:p w14:paraId="414DE11A" w14:textId="52E679F6" w:rsidR="00B41804" w:rsidRDefault="00BE7050" w:rsidP="00B41804">
      <w:pPr>
        <w:spacing w:line="480" w:lineRule="auto"/>
      </w:pPr>
      <w:r>
        <w:rPr>
          <w:b/>
        </w:rPr>
        <w:t>Q:</w:t>
      </w:r>
      <w:r w:rsidR="00B41804">
        <w:rPr>
          <w:b/>
        </w:rPr>
        <w:tab/>
        <w:t xml:space="preserve">Please state your name and business address.  </w:t>
      </w:r>
    </w:p>
    <w:p w14:paraId="63C18BDE" w14:textId="17706F0C" w:rsidR="00B41804" w:rsidRDefault="00BE7050" w:rsidP="00B41804">
      <w:pPr>
        <w:spacing w:line="480" w:lineRule="auto"/>
        <w:ind w:left="720" w:hanging="720"/>
      </w:pPr>
      <w:r>
        <w:t>A:</w:t>
      </w:r>
      <w:r w:rsidR="00B41804">
        <w:tab/>
        <w:t>I am Shawn Collins.  My business address is 3406 Redwood Avenue, Bellingham, WA 98225.</w:t>
      </w:r>
    </w:p>
    <w:p w14:paraId="131FB34B" w14:textId="10481EC4" w:rsidR="00B41804" w:rsidRDefault="00646A26" w:rsidP="00B41804">
      <w:pPr>
        <w:spacing w:line="480" w:lineRule="auto"/>
        <w:ind w:left="720" w:hanging="720"/>
      </w:pPr>
      <w:r>
        <w:rPr>
          <w:b/>
        </w:rPr>
        <w:t>Q:</w:t>
      </w:r>
      <w:r w:rsidR="00B41804">
        <w:rPr>
          <w:b/>
        </w:rPr>
        <w:tab/>
        <w:t xml:space="preserve">By whom are you employed and in what capacity?  </w:t>
      </w:r>
    </w:p>
    <w:p w14:paraId="422E1073" w14:textId="693F2010" w:rsidR="00B41804" w:rsidRDefault="00B41804" w:rsidP="00B41804">
      <w:pPr>
        <w:spacing w:line="480" w:lineRule="auto"/>
        <w:ind w:left="720" w:hanging="720"/>
      </w:pPr>
      <w:r w:rsidRPr="00646A26">
        <w:t>A</w:t>
      </w:r>
      <w:r w:rsidR="00646A26" w:rsidRPr="00646A26">
        <w:t>:</w:t>
      </w:r>
      <w:r>
        <w:tab/>
        <w:t xml:space="preserve">I am the Director of The Energy Project (TEP), a program of the Washington State Community Action Partnership housed at the Opportunity Council in Bellingham, WA. </w:t>
      </w:r>
    </w:p>
    <w:p w14:paraId="7C39DB33" w14:textId="36395D08" w:rsidR="00B41804" w:rsidRDefault="00646A26" w:rsidP="00B41804">
      <w:pPr>
        <w:spacing w:line="480" w:lineRule="auto"/>
      </w:pPr>
      <w:r>
        <w:rPr>
          <w:b/>
        </w:rPr>
        <w:t>Q:</w:t>
      </w:r>
      <w:r w:rsidR="00B41804">
        <w:rPr>
          <w:b/>
        </w:rPr>
        <w:tab/>
        <w:t xml:space="preserve">How long have you been employed by the Opportunity Council.  </w:t>
      </w:r>
      <w:r w:rsidR="00B41804">
        <w:t xml:space="preserve"> </w:t>
      </w:r>
    </w:p>
    <w:p w14:paraId="529B220C" w14:textId="06E4AED2" w:rsidR="00B41804" w:rsidRDefault="00B41804" w:rsidP="00B41804">
      <w:pPr>
        <w:spacing w:line="480" w:lineRule="auto"/>
        <w:ind w:left="720" w:hanging="720"/>
      </w:pPr>
      <w:r w:rsidRPr="00646A26">
        <w:t>A</w:t>
      </w:r>
      <w:r w:rsidR="00646A26" w:rsidRPr="00646A26">
        <w:t>:</w:t>
      </w:r>
      <w:r>
        <w:tab/>
        <w:t xml:space="preserve">I have been employed by Opportunity Council since 2006. </w:t>
      </w:r>
    </w:p>
    <w:p w14:paraId="2475FD34" w14:textId="01F84D09" w:rsidR="00B41804" w:rsidRDefault="00646A26" w:rsidP="00B41804">
      <w:pPr>
        <w:spacing w:line="480" w:lineRule="auto"/>
      </w:pPr>
      <w:r>
        <w:rPr>
          <w:b/>
        </w:rPr>
        <w:t>Q:</w:t>
      </w:r>
      <w:r w:rsidR="00B41804">
        <w:rPr>
          <w:b/>
        </w:rPr>
        <w:tab/>
        <w:t xml:space="preserve">Would you please state your educational and professional background?  </w:t>
      </w:r>
    </w:p>
    <w:p w14:paraId="5D7F7B5F" w14:textId="267E9E9B" w:rsidR="00B41804" w:rsidRDefault="00646A26" w:rsidP="00B41804">
      <w:pPr>
        <w:spacing w:line="480" w:lineRule="auto"/>
        <w:ind w:left="720" w:hanging="720"/>
      </w:pPr>
      <w:r>
        <w:t>A:</w:t>
      </w:r>
      <w:r w:rsidR="00B41804">
        <w:tab/>
        <w:t>I have a BA from Eastern Illinois University and have been working on issues impacting low-income populations since 2002 through Community Action Partnership organizations and a variety of other nongovernmental entities.</w:t>
      </w:r>
      <w:r w:rsidR="00AC139F">
        <w:t xml:space="preserve">  I </w:t>
      </w:r>
      <w:r w:rsidR="00B41804">
        <w:t xml:space="preserve">have been the Director of TEP since August of 2015. </w:t>
      </w:r>
      <w:r w:rsidR="00AC139F">
        <w:t xml:space="preserve"> </w:t>
      </w:r>
      <w:r w:rsidR="00B41804">
        <w:t xml:space="preserve">I have previously provided testimony on behalf of TEP before this Commission, including in Docket UE-161123 (PSE Microsoft Special Contract), </w:t>
      </w:r>
      <w:r w:rsidR="00B41804" w:rsidRPr="00DE68C9">
        <w:t>Dockets UE-150204/UG-150205</w:t>
      </w:r>
      <w:r w:rsidR="00B41804">
        <w:t xml:space="preserve"> (</w:t>
      </w:r>
      <w:proofErr w:type="spellStart"/>
      <w:r w:rsidR="00B41804">
        <w:t>Avi</w:t>
      </w:r>
      <w:r w:rsidR="00AC139F">
        <w:t>sta’s</w:t>
      </w:r>
      <w:proofErr w:type="spellEnd"/>
      <w:r w:rsidR="00AC139F">
        <w:t xml:space="preserve"> 2015 General Rate Case), </w:t>
      </w:r>
      <w:r w:rsidR="00B41804">
        <w:t xml:space="preserve">and Docket UE-152253 (Pacific Power 2015 General Rate Case). </w:t>
      </w:r>
    </w:p>
    <w:p w14:paraId="7EACD049" w14:textId="51960A57" w:rsidR="00B41804" w:rsidRDefault="00B41804" w:rsidP="00B41804">
      <w:pPr>
        <w:spacing w:line="480" w:lineRule="auto"/>
        <w:ind w:left="720" w:firstLine="720"/>
      </w:pPr>
      <w:r>
        <w:t xml:space="preserve">Prior to my involvement with TEP, I was the Associate Director of a division at Opportunity Council responsible for the implementation of </w:t>
      </w:r>
      <w:proofErr w:type="gramStart"/>
      <w:r>
        <w:t>a number of</w:t>
      </w:r>
      <w:proofErr w:type="gramEnd"/>
      <w:r>
        <w:t xml:space="preserve"> weatherization programs benefitting low and </w:t>
      </w:r>
      <w:r w:rsidR="00AC139F">
        <w:t>moderate-income</w:t>
      </w:r>
      <w:r>
        <w:t xml:space="preserve"> households </w:t>
      </w:r>
      <w:r>
        <w:lastRenderedPageBreak/>
        <w:t xml:space="preserve">throughout northwest Washington State. </w:t>
      </w:r>
      <w:r w:rsidR="00AC139F">
        <w:t xml:space="preserve"> </w:t>
      </w:r>
      <w:r>
        <w:t>Through my involvement with the energy efficiency/regulatory sector, I have attended and presented at numerous national conferences, participated in sector specific workshops and trainings, and was a board member for Home Performance Washington from 2013-2015.  A full statement of my qualifications</w:t>
      </w:r>
      <w:r w:rsidR="00AC139F">
        <w:t xml:space="preserve"> is contained in my Exh. </w:t>
      </w:r>
      <w:r>
        <w:t>SMC-2.</w:t>
      </w:r>
    </w:p>
    <w:p w14:paraId="46BF8C7C" w14:textId="7E386434" w:rsidR="00B41804" w:rsidRDefault="00AC139F" w:rsidP="00B41804">
      <w:pPr>
        <w:tabs>
          <w:tab w:val="left" w:pos="5940"/>
        </w:tabs>
        <w:spacing w:line="480" w:lineRule="auto"/>
        <w:ind w:left="720" w:hanging="720"/>
      </w:pPr>
      <w:r>
        <w:rPr>
          <w:b/>
        </w:rPr>
        <w:t>Q:</w:t>
      </w:r>
      <w:r w:rsidR="00B41804" w:rsidRPr="00C96C13">
        <w:rPr>
          <w:b/>
        </w:rPr>
        <w:tab/>
        <w:t>On whose behalf are you testifying?</w:t>
      </w:r>
    </w:p>
    <w:p w14:paraId="3D7D5693" w14:textId="260F8B1A" w:rsidR="00B41804" w:rsidRDefault="00AC139F" w:rsidP="00B41804">
      <w:pPr>
        <w:tabs>
          <w:tab w:val="left" w:pos="1440"/>
        </w:tabs>
        <w:spacing w:line="480" w:lineRule="auto"/>
        <w:ind w:left="720" w:hanging="720"/>
      </w:pPr>
      <w:r>
        <w:t>A:</w:t>
      </w:r>
      <w:r w:rsidR="00B41804">
        <w:rPr>
          <w:b/>
        </w:rPr>
        <w:tab/>
      </w:r>
      <w:r w:rsidR="00B41804">
        <w:t xml:space="preserve">I am testifying for TEP, an intervenor in this proceeding, on behalf of the Community Action Partnership (CAP) organizations that provide low-income energy efficiency and bill payment assistance for customers in Puget Sound Energy’s service territory. </w:t>
      </w:r>
      <w:r>
        <w:t xml:space="preserve"> </w:t>
      </w:r>
      <w:r w:rsidR="00B41804" w:rsidRPr="001B7E7E">
        <w:t>These agencies include:</w:t>
      </w:r>
      <w:r w:rsidR="00B41804">
        <w:t xml:space="preserve"> </w:t>
      </w:r>
      <w:proofErr w:type="spellStart"/>
      <w:r w:rsidR="00B41804">
        <w:t>Centerstone</w:t>
      </w:r>
      <w:proofErr w:type="spellEnd"/>
      <w:r w:rsidR="00B41804">
        <w:t>; Community</w:t>
      </w:r>
      <w:r w:rsidR="00B261F1">
        <w:t xml:space="preserve"> </w:t>
      </w:r>
      <w:r w:rsidR="00B41804">
        <w:t xml:space="preserve">Action Council of Lewis, Mason, Thurston; Community Action of Skagit County; </w:t>
      </w:r>
      <w:proofErr w:type="spellStart"/>
      <w:r w:rsidR="00B41804">
        <w:t>Hopelink</w:t>
      </w:r>
      <w:proofErr w:type="spellEnd"/>
      <w:r w:rsidR="00B41804">
        <w:t xml:space="preserve">; </w:t>
      </w:r>
      <w:proofErr w:type="spellStart"/>
      <w:r w:rsidR="00B41804">
        <w:t>Hopesource</w:t>
      </w:r>
      <w:proofErr w:type="spellEnd"/>
      <w:r w:rsidR="00B41804">
        <w:t xml:space="preserve">; Metropolitan Development Council; Multi-Service Center; Kitsap Community Resources; Opportunity Council; Pierce County Community Action, and Snohomish County Community Action. </w:t>
      </w:r>
    </w:p>
    <w:p w14:paraId="0C6F23F7" w14:textId="0EAA7B02" w:rsidR="00B41804" w:rsidRDefault="00AC139F" w:rsidP="00B41804">
      <w:pPr>
        <w:tabs>
          <w:tab w:val="left" w:pos="1440"/>
        </w:tabs>
        <w:spacing w:line="480" w:lineRule="auto"/>
        <w:ind w:left="720" w:hanging="720"/>
        <w:rPr>
          <w:b/>
        </w:rPr>
      </w:pPr>
      <w:r>
        <w:rPr>
          <w:b/>
        </w:rPr>
        <w:t>Q:</w:t>
      </w:r>
      <w:r w:rsidR="00B41804" w:rsidRPr="002B43A5">
        <w:rPr>
          <w:b/>
        </w:rPr>
        <w:tab/>
        <w:t>Have you previously filed testimony in this proceeding?</w:t>
      </w:r>
    </w:p>
    <w:p w14:paraId="1EC3770D" w14:textId="28164BE7" w:rsidR="00B41804" w:rsidRPr="002B43A5" w:rsidRDefault="00AC139F" w:rsidP="00B41804">
      <w:pPr>
        <w:tabs>
          <w:tab w:val="left" w:pos="1440"/>
        </w:tabs>
        <w:spacing w:line="480" w:lineRule="auto"/>
        <w:ind w:left="720" w:hanging="720"/>
      </w:pPr>
      <w:r>
        <w:t>A:</w:t>
      </w:r>
      <w:r>
        <w:tab/>
        <w:t xml:space="preserve">Yes.  </w:t>
      </w:r>
      <w:r w:rsidR="00B41804">
        <w:t xml:space="preserve">I filed </w:t>
      </w:r>
      <w:r>
        <w:t xml:space="preserve">Response Testimony (Exh. </w:t>
      </w:r>
      <w:r w:rsidR="00B41804">
        <w:t xml:space="preserve">SMC-1T) on June 30, 2017, Revised </w:t>
      </w:r>
      <w:r w:rsidR="003055B2">
        <w:t xml:space="preserve">Response Testimony (Exh. SMC-1Tr), </w:t>
      </w:r>
      <w:r w:rsidR="00B41804">
        <w:t>on July 31, 2017, and Cross-A</w:t>
      </w:r>
      <w:r w:rsidR="003055B2">
        <w:t xml:space="preserve">nswering Testimony (Exh. </w:t>
      </w:r>
      <w:r w:rsidR="00B41804">
        <w:t xml:space="preserve">SMC-3T), on August 9, 2017. </w:t>
      </w:r>
    </w:p>
    <w:p w14:paraId="4BBAE9AA" w14:textId="77777777" w:rsidR="00B41804" w:rsidRDefault="00B41804" w:rsidP="00B41804">
      <w:pPr>
        <w:spacing w:line="480" w:lineRule="auto"/>
        <w:jc w:val="center"/>
        <w:rPr>
          <w:b/>
        </w:rPr>
      </w:pPr>
      <w:r>
        <w:rPr>
          <w:b/>
        </w:rPr>
        <w:t>II.</w:t>
      </w:r>
      <w:r>
        <w:rPr>
          <w:b/>
        </w:rPr>
        <w:tab/>
        <w:t>PURPOSE OF TESTIMONY</w:t>
      </w:r>
    </w:p>
    <w:p w14:paraId="5CA30495" w14:textId="76EBFBFE" w:rsidR="00B41804" w:rsidRDefault="003055B2" w:rsidP="00B41804">
      <w:pPr>
        <w:spacing w:line="480" w:lineRule="auto"/>
        <w:ind w:left="720" w:hanging="720"/>
        <w:rPr>
          <w:b/>
        </w:rPr>
      </w:pPr>
      <w:r>
        <w:rPr>
          <w:b/>
        </w:rPr>
        <w:t>Q:</w:t>
      </w:r>
      <w:r w:rsidR="00B41804">
        <w:tab/>
      </w:r>
      <w:r w:rsidR="00B41804" w:rsidRPr="001B7E7E">
        <w:rPr>
          <w:b/>
        </w:rPr>
        <w:t>Could you please summarize the purpose of your testimony?</w:t>
      </w:r>
    </w:p>
    <w:p w14:paraId="74F3C28F" w14:textId="087C9E21" w:rsidR="00B41804" w:rsidRPr="001B7E7E" w:rsidRDefault="003055B2" w:rsidP="00B41804">
      <w:pPr>
        <w:spacing w:line="480" w:lineRule="auto"/>
        <w:ind w:left="720" w:hanging="720"/>
      </w:pPr>
      <w:r w:rsidRPr="003055B2">
        <w:t>A:</w:t>
      </w:r>
      <w:r w:rsidR="00B41804">
        <w:rPr>
          <w:b/>
        </w:rPr>
        <w:tab/>
      </w:r>
      <w:r w:rsidR="00B41804">
        <w:t>The purpose of my testimony is to provide support for approval of the Multiparty Settlement Stipulation and Agreemen</w:t>
      </w:r>
      <w:r>
        <w:t xml:space="preserve">t (Settlement) in this docket. </w:t>
      </w:r>
      <w:r w:rsidR="00B41804">
        <w:t xml:space="preserve"> My testimony </w:t>
      </w:r>
      <w:r w:rsidR="009D09B4">
        <w:lastRenderedPageBreak/>
        <w:t>focuses on the elements of the S</w:t>
      </w:r>
      <w:r w:rsidR="00B41804">
        <w:t xml:space="preserve">ettlement that impact low-income populations within PSE’s service territory and explains why The Energy Project believes the Settlement is in the public interest. </w:t>
      </w:r>
    </w:p>
    <w:p w14:paraId="467BE082" w14:textId="77777777" w:rsidR="00B41804" w:rsidRPr="004357D2" w:rsidRDefault="00B41804" w:rsidP="00B41804">
      <w:pPr>
        <w:spacing w:line="480" w:lineRule="auto"/>
        <w:ind w:left="720" w:hanging="720"/>
        <w:jc w:val="center"/>
        <w:rPr>
          <w:b/>
        </w:rPr>
      </w:pPr>
      <w:r w:rsidRPr="007C780C">
        <w:rPr>
          <w:b/>
        </w:rPr>
        <w:t>III.</w:t>
      </w:r>
      <w:r w:rsidRPr="007C780C">
        <w:rPr>
          <w:b/>
        </w:rPr>
        <w:tab/>
      </w:r>
      <w:r w:rsidRPr="00B3135C">
        <w:rPr>
          <w:b/>
        </w:rPr>
        <w:t xml:space="preserve">DISCUSSION OF </w:t>
      </w:r>
      <w:r>
        <w:rPr>
          <w:b/>
        </w:rPr>
        <w:t xml:space="preserve">LOW-INCOME </w:t>
      </w:r>
      <w:r w:rsidRPr="00B3135C">
        <w:rPr>
          <w:b/>
        </w:rPr>
        <w:t>ISSUES</w:t>
      </w:r>
    </w:p>
    <w:p w14:paraId="1960BF1C" w14:textId="7FA95C8D" w:rsidR="00B41804" w:rsidRDefault="003055B2" w:rsidP="00B41804">
      <w:pPr>
        <w:spacing w:line="480" w:lineRule="auto"/>
        <w:ind w:left="720" w:hanging="720"/>
        <w:rPr>
          <w:b/>
        </w:rPr>
      </w:pPr>
      <w:r>
        <w:rPr>
          <w:b/>
        </w:rPr>
        <w:t>Q:</w:t>
      </w:r>
      <w:r w:rsidR="00B41804">
        <w:rPr>
          <w:b/>
        </w:rPr>
        <w:tab/>
        <w:t>Can you provide an overview of the key elements of the Settlement that address low-income issues:</w:t>
      </w:r>
    </w:p>
    <w:p w14:paraId="2F904D85" w14:textId="2FD9810A" w:rsidR="00B41804" w:rsidRDefault="003055B2" w:rsidP="00B41804">
      <w:pPr>
        <w:spacing w:line="480" w:lineRule="auto"/>
        <w:ind w:left="720" w:hanging="720"/>
        <w:rPr>
          <w:rFonts w:eastAsia="Times New Roman"/>
        </w:rPr>
      </w:pPr>
      <w:r>
        <w:rPr>
          <w:rFonts w:eastAsia="Times New Roman"/>
        </w:rPr>
        <w:t>A:</w:t>
      </w:r>
      <w:r w:rsidR="00B41804">
        <w:rPr>
          <w:rFonts w:eastAsia="Times New Roman"/>
        </w:rPr>
        <w:tab/>
        <w:t>The Settlement includes the following components specifically benefitting low-income cust</w:t>
      </w:r>
      <w:r w:rsidR="002822FD">
        <w:rPr>
          <w:rFonts w:eastAsia="Times New Roman"/>
        </w:rPr>
        <w:t>omers.  The provisions</w:t>
      </w:r>
      <w:r w:rsidR="00B41804">
        <w:rPr>
          <w:rFonts w:eastAsia="Times New Roman"/>
        </w:rPr>
        <w:t xml:space="preserve"> are found in Section III E (Low-Income Issues):</w:t>
      </w:r>
    </w:p>
    <w:p w14:paraId="4DFAB192" w14:textId="77777777" w:rsidR="00B41804" w:rsidRPr="004A2129" w:rsidRDefault="00B41804" w:rsidP="00B41804">
      <w:pPr>
        <w:pStyle w:val="ListParagraph"/>
        <w:numPr>
          <w:ilvl w:val="1"/>
          <w:numId w:val="15"/>
        </w:numPr>
        <w:spacing w:line="480" w:lineRule="auto"/>
        <w:rPr>
          <w:rFonts w:eastAsia="Times New Roman"/>
        </w:rPr>
      </w:pPr>
      <w:r w:rsidRPr="004A2129">
        <w:rPr>
          <w:rFonts w:eastAsia="Times New Roman"/>
        </w:rPr>
        <w:t>Increased HELP bill assistance funding</w:t>
      </w:r>
    </w:p>
    <w:p w14:paraId="257B081B" w14:textId="43B76539" w:rsidR="00B41804" w:rsidRDefault="00F40100" w:rsidP="00B41804">
      <w:pPr>
        <w:pStyle w:val="ListParagraph"/>
        <w:numPr>
          <w:ilvl w:val="1"/>
          <w:numId w:val="15"/>
        </w:numPr>
        <w:spacing w:line="480" w:lineRule="auto"/>
        <w:rPr>
          <w:rFonts w:eastAsia="Times New Roman"/>
        </w:rPr>
      </w:pPr>
      <w:r>
        <w:rPr>
          <w:rFonts w:eastAsia="Times New Roman"/>
        </w:rPr>
        <w:t>Continuation</w:t>
      </w:r>
      <w:r w:rsidR="00B41804">
        <w:rPr>
          <w:rFonts w:eastAsia="Times New Roman"/>
        </w:rPr>
        <w:t xml:space="preserve"> of existing low-income weatherization funding commitments, including a shareholder contribution</w:t>
      </w:r>
    </w:p>
    <w:p w14:paraId="7BF2B405" w14:textId="77777777" w:rsidR="00B41804" w:rsidRPr="004A2129" w:rsidRDefault="00B41804" w:rsidP="00B41804">
      <w:pPr>
        <w:pStyle w:val="ListParagraph"/>
        <w:numPr>
          <w:ilvl w:val="1"/>
          <w:numId w:val="15"/>
        </w:numPr>
        <w:spacing w:line="480" w:lineRule="auto"/>
        <w:rPr>
          <w:rFonts w:eastAsia="Times New Roman"/>
        </w:rPr>
      </w:pPr>
      <w:r w:rsidRPr="004A2129">
        <w:rPr>
          <w:rFonts w:eastAsia="Times New Roman"/>
        </w:rPr>
        <w:t>$2 million in increased low-income weatherization funding</w:t>
      </w:r>
      <w:r>
        <w:rPr>
          <w:rFonts w:eastAsia="Times New Roman"/>
        </w:rPr>
        <w:t xml:space="preserve"> over current levels</w:t>
      </w:r>
    </w:p>
    <w:p w14:paraId="28F11735" w14:textId="77777777" w:rsidR="00B41804" w:rsidRPr="004A2129" w:rsidRDefault="00B41804" w:rsidP="00B41804">
      <w:pPr>
        <w:pStyle w:val="ListParagraph"/>
        <w:numPr>
          <w:ilvl w:val="1"/>
          <w:numId w:val="15"/>
        </w:numPr>
        <w:spacing w:line="480" w:lineRule="auto"/>
        <w:rPr>
          <w:rFonts w:eastAsia="Times New Roman"/>
        </w:rPr>
      </w:pPr>
      <w:r>
        <w:rPr>
          <w:rFonts w:eastAsia="Times New Roman"/>
        </w:rPr>
        <w:t>HELP e</w:t>
      </w:r>
      <w:r w:rsidRPr="004A2129">
        <w:rPr>
          <w:rFonts w:eastAsia="Times New Roman"/>
        </w:rPr>
        <w:t>ligibility improvements</w:t>
      </w:r>
    </w:p>
    <w:p w14:paraId="44141B9A" w14:textId="77777777" w:rsidR="00B41804" w:rsidRPr="004A2129" w:rsidRDefault="00B41804" w:rsidP="00B41804">
      <w:pPr>
        <w:pStyle w:val="ListParagraph"/>
        <w:numPr>
          <w:ilvl w:val="1"/>
          <w:numId w:val="15"/>
        </w:numPr>
        <w:spacing w:line="480" w:lineRule="auto"/>
        <w:rPr>
          <w:rFonts w:eastAsia="Times New Roman"/>
        </w:rPr>
      </w:pPr>
      <w:r w:rsidRPr="004A2129">
        <w:rPr>
          <w:rFonts w:eastAsia="Times New Roman"/>
        </w:rPr>
        <w:t>Establishment of a</w:t>
      </w:r>
      <w:r>
        <w:rPr>
          <w:rFonts w:eastAsia="Times New Roman"/>
        </w:rPr>
        <w:t xml:space="preserve"> PSE</w:t>
      </w:r>
      <w:r w:rsidRPr="004A2129">
        <w:rPr>
          <w:rFonts w:eastAsia="Times New Roman"/>
        </w:rPr>
        <w:t xml:space="preserve"> Low-Income Advisory Committee</w:t>
      </w:r>
    </w:p>
    <w:p w14:paraId="5273CA7F" w14:textId="77777777" w:rsidR="00B41804" w:rsidRDefault="00B41804" w:rsidP="00B41804">
      <w:pPr>
        <w:pStyle w:val="ListParagraph"/>
        <w:numPr>
          <w:ilvl w:val="1"/>
          <w:numId w:val="15"/>
        </w:numPr>
        <w:spacing w:line="480" w:lineRule="auto"/>
        <w:rPr>
          <w:rFonts w:eastAsia="Times New Roman"/>
        </w:rPr>
      </w:pPr>
      <w:r w:rsidRPr="004A2129">
        <w:rPr>
          <w:rFonts w:eastAsia="Times New Roman"/>
        </w:rPr>
        <w:t xml:space="preserve">Consultation agreements regarding program modifications </w:t>
      </w:r>
    </w:p>
    <w:p w14:paraId="5BA45027" w14:textId="7AA33494" w:rsidR="00F84CC7" w:rsidRDefault="00B41804" w:rsidP="00F84CC7">
      <w:pPr>
        <w:spacing w:line="480" w:lineRule="auto"/>
        <w:ind w:left="720"/>
        <w:rPr>
          <w:rFonts w:eastAsia="Times New Roman"/>
        </w:rPr>
      </w:pPr>
      <w:r>
        <w:rPr>
          <w:rFonts w:eastAsia="Times New Roman"/>
        </w:rPr>
        <w:t>PSE has a long-standing commitment to its bill assistance and weatherization programs for low-income customers.  This is reflected in the fact that many of the low-income provisions included in the Settlement were proposed by PSE in its initial filing in the case.</w:t>
      </w:r>
      <w:r w:rsidR="00F84CC7">
        <w:rPr>
          <w:rFonts w:eastAsia="Times New Roman"/>
        </w:rPr>
        <w:br w:type="page"/>
      </w:r>
    </w:p>
    <w:p w14:paraId="2060DDAF" w14:textId="1EBF2ABD" w:rsidR="00B41804" w:rsidRDefault="003055B2" w:rsidP="00B41804">
      <w:pPr>
        <w:spacing w:line="480" w:lineRule="auto"/>
        <w:ind w:left="720" w:hanging="720"/>
        <w:rPr>
          <w:b/>
        </w:rPr>
      </w:pPr>
      <w:r>
        <w:rPr>
          <w:b/>
        </w:rPr>
        <w:lastRenderedPageBreak/>
        <w:t>Q:</w:t>
      </w:r>
      <w:r w:rsidR="00B41804">
        <w:tab/>
      </w:r>
      <w:r w:rsidR="00B41804">
        <w:rPr>
          <w:b/>
        </w:rPr>
        <w:t xml:space="preserve">Please describe the increase to HELP funding provided for in the Settlement. </w:t>
      </w:r>
    </w:p>
    <w:p w14:paraId="3F2548A2" w14:textId="11DA9812" w:rsidR="00B41804" w:rsidRDefault="003055B2" w:rsidP="003055B2">
      <w:pPr>
        <w:spacing w:line="480" w:lineRule="auto"/>
        <w:ind w:left="720" w:hanging="720"/>
        <w:rPr>
          <w:rFonts w:eastAsia="Times New Roman"/>
        </w:rPr>
      </w:pPr>
      <w:r w:rsidRPr="003055B2">
        <w:t>A:</w:t>
      </w:r>
      <w:r>
        <w:rPr>
          <w:b/>
        </w:rPr>
        <w:tab/>
      </w:r>
      <w:r w:rsidR="00B41804">
        <w:t xml:space="preserve">Paragraph 102 of </w:t>
      </w:r>
      <w:r w:rsidR="00B41804">
        <w:rPr>
          <w:rFonts w:eastAsia="Times New Roman"/>
        </w:rPr>
        <w:t xml:space="preserve">the Settlement adopts PSE’s proposal for an increase in the annual level of low-income electric assistance under the HELP program by double the overall percent electric rate increase to the residential class that is approved by the </w:t>
      </w:r>
      <w:r w:rsidR="00CC558A">
        <w:rPr>
          <w:rFonts w:eastAsia="Times New Roman"/>
        </w:rPr>
        <w:t xml:space="preserve">Commission in this proceeding. </w:t>
      </w:r>
      <w:r w:rsidR="00B41804">
        <w:rPr>
          <w:rFonts w:eastAsia="Times New Roman"/>
        </w:rPr>
        <w:t xml:space="preserve"> The specific amount of the increase will be determined after the contested issues in</w:t>
      </w:r>
      <w:r w:rsidR="00CC558A">
        <w:rPr>
          <w:rFonts w:eastAsia="Times New Roman"/>
        </w:rPr>
        <w:t xml:space="preserve"> the case have been resolved.  </w:t>
      </w:r>
      <w:r w:rsidR="00715BF6">
        <w:rPr>
          <w:rFonts w:eastAsia="Times New Roman"/>
        </w:rPr>
        <w:t>An additional benefit of the S</w:t>
      </w:r>
      <w:r w:rsidR="00B41804">
        <w:rPr>
          <w:rFonts w:eastAsia="Times New Roman"/>
        </w:rPr>
        <w:t>ettlement is that, although natural gas rates wi</w:t>
      </w:r>
      <w:r w:rsidR="00715BF6">
        <w:rPr>
          <w:rFonts w:eastAsia="Times New Roman"/>
        </w:rPr>
        <w:t>ll fall under the terms of the S</w:t>
      </w:r>
      <w:r w:rsidR="00B41804">
        <w:rPr>
          <w:rFonts w:eastAsia="Times New Roman"/>
        </w:rPr>
        <w:t xml:space="preserve">ettlement, there will be no reduction in HELP bill assistance for natural gas customers </w:t>
      </w:r>
      <w:proofErr w:type="gramStart"/>
      <w:r w:rsidR="00B41804">
        <w:rPr>
          <w:rFonts w:eastAsia="Times New Roman"/>
        </w:rPr>
        <w:t>as a r</w:t>
      </w:r>
      <w:r w:rsidR="00CC558A">
        <w:rPr>
          <w:rFonts w:eastAsia="Times New Roman"/>
        </w:rPr>
        <w:t>esult of</w:t>
      </w:r>
      <w:proofErr w:type="gramEnd"/>
      <w:r w:rsidR="00CC558A">
        <w:rPr>
          <w:rFonts w:eastAsia="Times New Roman"/>
        </w:rPr>
        <w:t xml:space="preserve"> the rate reduction.  </w:t>
      </w:r>
      <w:r w:rsidR="00402F62">
        <w:rPr>
          <w:rFonts w:eastAsia="Times New Roman"/>
        </w:rPr>
        <w:t>These provisions of the S</w:t>
      </w:r>
      <w:r w:rsidR="00B41804">
        <w:rPr>
          <w:rFonts w:eastAsia="Times New Roman"/>
        </w:rPr>
        <w:t xml:space="preserve">ettlement will help to address the substantial level of need for bill assistance in PSE’s service territory, as described in the Pre-Filed Direct Testimony of PSE witness </w:t>
      </w:r>
      <w:proofErr w:type="spellStart"/>
      <w:r w:rsidR="00B41804">
        <w:rPr>
          <w:rFonts w:eastAsia="Times New Roman"/>
        </w:rPr>
        <w:t>Sasville</w:t>
      </w:r>
      <w:proofErr w:type="spellEnd"/>
      <w:r w:rsidR="00B41804">
        <w:rPr>
          <w:rFonts w:eastAsia="Times New Roman"/>
        </w:rPr>
        <w:t>,</w:t>
      </w:r>
      <w:r w:rsidR="00B41804">
        <w:rPr>
          <w:rStyle w:val="FootnoteReference"/>
          <w:rFonts w:eastAsia="Times New Roman"/>
        </w:rPr>
        <w:footnoteReference w:id="1"/>
      </w:r>
      <w:r w:rsidR="00B41804">
        <w:rPr>
          <w:rFonts w:eastAsia="Times New Roman"/>
        </w:rPr>
        <w:t xml:space="preserve"> and in my Revised Response Testimony.</w:t>
      </w:r>
      <w:r w:rsidR="00B41804">
        <w:rPr>
          <w:rStyle w:val="FootnoteReference"/>
          <w:rFonts w:eastAsia="Times New Roman"/>
        </w:rPr>
        <w:footnoteReference w:id="2"/>
      </w:r>
      <w:r w:rsidR="00CC558A">
        <w:rPr>
          <w:rFonts w:eastAsia="Times New Roman"/>
        </w:rPr>
        <w:t xml:space="preserve">  </w:t>
      </w:r>
      <w:r w:rsidR="00B41804">
        <w:rPr>
          <w:rFonts w:eastAsia="Times New Roman"/>
        </w:rPr>
        <w:t>In addition to PSE and The Energy Project, an increase in HELP funding was supported by testimony from Commission Staff a</w:t>
      </w:r>
      <w:r w:rsidR="00CC558A">
        <w:rPr>
          <w:rFonts w:eastAsia="Times New Roman"/>
        </w:rPr>
        <w:t xml:space="preserve">nd the NW Energy Coalition. </w:t>
      </w:r>
    </w:p>
    <w:p w14:paraId="14604253" w14:textId="6306ADC9" w:rsidR="00B41804" w:rsidRDefault="00CC558A" w:rsidP="00CC558A">
      <w:pPr>
        <w:spacing w:line="480" w:lineRule="auto"/>
        <w:ind w:left="720" w:hanging="720"/>
        <w:rPr>
          <w:rFonts w:eastAsia="Times New Roman"/>
          <w:b/>
        </w:rPr>
      </w:pPr>
      <w:r>
        <w:rPr>
          <w:rFonts w:eastAsia="Times New Roman"/>
          <w:b/>
        </w:rPr>
        <w:t>Q:</w:t>
      </w:r>
      <w:r w:rsidR="00B41804">
        <w:rPr>
          <w:rFonts w:eastAsia="Times New Roman"/>
          <w:b/>
        </w:rPr>
        <w:tab/>
        <w:t>How does the Settlement address support for low-income energy efficiency and weatherization?</w:t>
      </w:r>
    </w:p>
    <w:p w14:paraId="61163972" w14:textId="61D05787" w:rsidR="00402F62" w:rsidRDefault="00402F62" w:rsidP="00402F62">
      <w:pPr>
        <w:spacing w:line="480" w:lineRule="auto"/>
        <w:ind w:left="720" w:hanging="720"/>
        <w:rPr>
          <w:rFonts w:eastAsia="Times New Roman"/>
        </w:rPr>
      </w:pPr>
      <w:r>
        <w:rPr>
          <w:rFonts w:eastAsia="Times New Roman"/>
        </w:rPr>
        <w:t>A:</w:t>
      </w:r>
      <w:r w:rsidR="00B41804">
        <w:rPr>
          <w:rFonts w:eastAsia="Times New Roman"/>
          <w:b/>
        </w:rPr>
        <w:tab/>
      </w:r>
      <w:r w:rsidR="00B41804">
        <w:rPr>
          <w:rFonts w:eastAsia="Times New Roman"/>
        </w:rPr>
        <w:t xml:space="preserve">The Settlement addresses low-income </w:t>
      </w:r>
      <w:r>
        <w:rPr>
          <w:rFonts w:eastAsia="Times New Roman"/>
        </w:rPr>
        <w:t xml:space="preserve">weatherization in three ways.  </w:t>
      </w:r>
      <w:r w:rsidR="002822FD">
        <w:rPr>
          <w:rFonts w:eastAsia="Times New Roman"/>
        </w:rPr>
        <w:t xml:space="preserve">First, in paragraph 109, </w:t>
      </w:r>
      <w:r w:rsidR="00B41804">
        <w:rPr>
          <w:rFonts w:eastAsia="Times New Roman"/>
        </w:rPr>
        <w:t xml:space="preserve">PSE agrees to continue an increase of $500,000 in low-income weatherization funding that was initially implemented </w:t>
      </w:r>
      <w:proofErr w:type="gramStart"/>
      <w:r w:rsidR="00B41804">
        <w:rPr>
          <w:rFonts w:eastAsia="Times New Roman"/>
        </w:rPr>
        <w:t>in connection with</w:t>
      </w:r>
      <w:proofErr w:type="gramEnd"/>
      <w:r w:rsidR="00B41804">
        <w:rPr>
          <w:rFonts w:eastAsia="Times New Roman"/>
        </w:rPr>
        <w:t xml:space="preserve"> the </w:t>
      </w:r>
      <w:r w:rsidR="00B41804">
        <w:rPr>
          <w:rFonts w:eastAsia="Times New Roman"/>
        </w:rPr>
        <w:lastRenderedPageBreak/>
        <w:t>adoption of</w:t>
      </w:r>
      <w:r>
        <w:rPr>
          <w:rFonts w:eastAsia="Times New Roman"/>
        </w:rPr>
        <w:t xml:space="preserve"> decoupling in the Rate Plan.  </w:t>
      </w:r>
      <w:r w:rsidR="00B41804">
        <w:rPr>
          <w:rFonts w:eastAsia="Times New Roman"/>
        </w:rPr>
        <w:t>Because PSE is proposing to continue decoupling in this case it has committed to maintain this increased level of funding.</w:t>
      </w:r>
      <w:r w:rsidR="00B41804">
        <w:rPr>
          <w:rStyle w:val="FootnoteReference"/>
          <w:rFonts w:eastAsia="Times New Roman"/>
        </w:rPr>
        <w:footnoteReference w:id="3"/>
      </w:r>
    </w:p>
    <w:p w14:paraId="5211748D" w14:textId="77777777" w:rsidR="00402F62" w:rsidRDefault="00402F62" w:rsidP="00402F62">
      <w:pPr>
        <w:spacing w:line="480" w:lineRule="auto"/>
        <w:ind w:left="720" w:hanging="720"/>
        <w:rPr>
          <w:rFonts w:eastAsia="Times New Roman"/>
        </w:rPr>
      </w:pPr>
      <w:r>
        <w:rPr>
          <w:rFonts w:eastAsia="Times New Roman"/>
        </w:rPr>
        <w:tab/>
      </w:r>
      <w:r w:rsidR="00B41804">
        <w:rPr>
          <w:rFonts w:eastAsia="Times New Roman"/>
        </w:rPr>
        <w:tab/>
        <w:t xml:space="preserve">Second, in paragraph 110, PSE has agreed to continue a $100,000 annual shareholder contribution to low-income weatherization that was first instituted </w:t>
      </w:r>
      <w:proofErr w:type="gramStart"/>
      <w:r w:rsidR="00B41804">
        <w:rPr>
          <w:rFonts w:eastAsia="Times New Roman"/>
        </w:rPr>
        <w:t>in connection with</w:t>
      </w:r>
      <w:proofErr w:type="gramEnd"/>
      <w:r w:rsidR="00B41804">
        <w:rPr>
          <w:rFonts w:eastAsia="Times New Roman"/>
        </w:rPr>
        <w:t xml:space="preserve"> the Rate Plan.  Absent PSE’s agreement, this contribution would have expired with the end of the Rate Plan.  </w:t>
      </w:r>
    </w:p>
    <w:p w14:paraId="12654DD3" w14:textId="0A3D6CAD" w:rsidR="00B41804" w:rsidRDefault="00402F62" w:rsidP="00402F62">
      <w:pPr>
        <w:spacing w:line="480" w:lineRule="auto"/>
        <w:ind w:left="720" w:hanging="720"/>
        <w:rPr>
          <w:rFonts w:eastAsia="Times New Roman"/>
        </w:rPr>
      </w:pPr>
      <w:r>
        <w:rPr>
          <w:rFonts w:eastAsia="Times New Roman"/>
        </w:rPr>
        <w:tab/>
      </w:r>
      <w:r w:rsidR="00B41804">
        <w:rPr>
          <w:rFonts w:eastAsia="Times New Roman"/>
        </w:rPr>
        <w:tab/>
        <w:t>Finally, paragraph 108 of the Settlement provides a substantial additional commitment of up to $2 million for PSE’s low-income weatherization programs.  This is a one-time commitment that is i</w:t>
      </w:r>
      <w:r>
        <w:rPr>
          <w:rFonts w:eastAsia="Times New Roman"/>
        </w:rPr>
        <w:t xml:space="preserve">n place until June 30, 2019.  </w:t>
      </w:r>
      <w:r w:rsidR="00B41804">
        <w:rPr>
          <w:rFonts w:eastAsia="Times New Roman"/>
        </w:rPr>
        <w:t>This will benefit the programs by making additional resources available for installation of Department of Commerce approved cost-effective energy efficiency measures.  The funding can be applied to project coordination, health and safety measures, and repairs necessary for the installation, adding to the flexibility and effectiveness of weatherization program delivery.</w:t>
      </w:r>
      <w:r w:rsidR="00B41804">
        <w:rPr>
          <w:rFonts w:eastAsia="Times New Roman"/>
        </w:rPr>
        <w:tab/>
        <w:t xml:space="preserve">  </w:t>
      </w:r>
    </w:p>
    <w:p w14:paraId="53675BE9" w14:textId="1CE592FA" w:rsidR="00B41804" w:rsidRDefault="004B715F" w:rsidP="004B715F">
      <w:pPr>
        <w:spacing w:line="480" w:lineRule="auto"/>
        <w:ind w:left="720" w:hanging="720"/>
        <w:rPr>
          <w:rFonts w:eastAsia="Times New Roman"/>
          <w:b/>
        </w:rPr>
      </w:pPr>
      <w:r>
        <w:rPr>
          <w:rFonts w:eastAsia="Times New Roman"/>
          <w:b/>
        </w:rPr>
        <w:t>Q:</w:t>
      </w:r>
      <w:r>
        <w:rPr>
          <w:rFonts w:eastAsia="Times New Roman"/>
          <w:b/>
        </w:rPr>
        <w:tab/>
      </w:r>
      <w:r w:rsidR="00B41804">
        <w:rPr>
          <w:rFonts w:eastAsia="Times New Roman"/>
          <w:b/>
        </w:rPr>
        <w:t>Please describe the HELP eligibility improvements contained in the Settlement.</w:t>
      </w:r>
    </w:p>
    <w:p w14:paraId="3F3DE5B1" w14:textId="47E22C28" w:rsidR="00B41804" w:rsidRDefault="00B41804" w:rsidP="004B715F">
      <w:pPr>
        <w:spacing w:line="480" w:lineRule="auto"/>
        <w:ind w:left="720" w:hanging="720"/>
        <w:rPr>
          <w:rFonts w:eastAsia="Times New Roman"/>
        </w:rPr>
      </w:pPr>
      <w:r>
        <w:rPr>
          <w:rFonts w:eastAsia="Times New Roman"/>
        </w:rPr>
        <w:t>A</w:t>
      </w:r>
      <w:r w:rsidR="004B715F">
        <w:rPr>
          <w:rFonts w:eastAsia="Times New Roman"/>
          <w:b/>
        </w:rPr>
        <w:t>:</w:t>
      </w:r>
      <w:r w:rsidR="004B715F">
        <w:rPr>
          <w:rFonts w:eastAsia="Times New Roman"/>
          <w:b/>
        </w:rPr>
        <w:tab/>
      </w:r>
      <w:r>
        <w:rPr>
          <w:rFonts w:eastAsia="Times New Roman"/>
        </w:rPr>
        <w:t>There are two areas of improvement.  First, PSE’s existing HELP tariff includes an eligibility determination calculation involving the Area Media Income</w:t>
      </w:r>
      <w:r w:rsidR="00B261F1">
        <w:rPr>
          <w:rFonts w:eastAsia="Times New Roman"/>
        </w:rPr>
        <w:t xml:space="preserve"> (AMI)</w:t>
      </w:r>
      <w:r>
        <w:rPr>
          <w:rFonts w:eastAsia="Times New Roman"/>
        </w:rPr>
        <w:t xml:space="preserve">.  Use of AMI results in fluctuations in the income ceiling for eligibility within the service territory and introduces unnecessary complexity for agencies and </w:t>
      </w:r>
      <w:r>
        <w:rPr>
          <w:rFonts w:eastAsia="Times New Roman"/>
        </w:rPr>
        <w:lastRenderedPageBreak/>
        <w:t>unfairness for customers.  No other regulated utility bill assistance program uses A</w:t>
      </w:r>
      <w:r w:rsidR="00B261F1">
        <w:rPr>
          <w:rFonts w:eastAsia="Times New Roman"/>
        </w:rPr>
        <w:t xml:space="preserve">MI to determine eligibility.  </w:t>
      </w:r>
      <w:r>
        <w:rPr>
          <w:rFonts w:eastAsia="Times New Roman"/>
        </w:rPr>
        <w:t>Community Action agencies had specifically raised concerns about the continuing use of AMI with bot</w:t>
      </w:r>
      <w:r w:rsidR="00B261F1">
        <w:rPr>
          <w:rFonts w:eastAsia="Times New Roman"/>
        </w:rPr>
        <w:t xml:space="preserve">h PSE and The Energy Project.  </w:t>
      </w:r>
      <w:r>
        <w:rPr>
          <w:rFonts w:eastAsia="Times New Roman"/>
        </w:rPr>
        <w:t xml:space="preserve">Removal of the AMI factor, under paragraph 111 of the Settlement, will simplify the process by allowing eligibility to be determined by a straightforward metric of 150 percent of Federal Poverty Level.  It is expected that this change will extend eligibility to some additional households.  </w:t>
      </w:r>
    </w:p>
    <w:p w14:paraId="44A18E4B" w14:textId="1CF800E9" w:rsidR="00B41804" w:rsidRDefault="00B41804" w:rsidP="00B261F1">
      <w:pPr>
        <w:spacing w:line="480" w:lineRule="auto"/>
        <w:ind w:left="720" w:hanging="720"/>
        <w:rPr>
          <w:rFonts w:eastAsia="Times New Roman"/>
        </w:rPr>
      </w:pPr>
      <w:r>
        <w:rPr>
          <w:rFonts w:eastAsia="Times New Roman"/>
        </w:rPr>
        <w:tab/>
      </w:r>
      <w:r w:rsidR="00B261F1">
        <w:rPr>
          <w:rFonts w:eastAsia="Times New Roman"/>
        </w:rPr>
        <w:tab/>
      </w:r>
      <w:r>
        <w:rPr>
          <w:rFonts w:eastAsia="Times New Roman"/>
        </w:rPr>
        <w:t xml:space="preserve">Second, paragraph 104 allows agencies to certify customer eligibility for a two-year period.  This is designed to benefit customers with a steady income, for example, senior and disabled customers with mobility issues, by reducing required trips to the agency.  This should also reduce agency administrative burden.  </w:t>
      </w:r>
    </w:p>
    <w:p w14:paraId="04DCA8AB" w14:textId="08B75E74" w:rsidR="00B41804" w:rsidRDefault="00443084" w:rsidP="00443084">
      <w:pPr>
        <w:spacing w:line="480" w:lineRule="auto"/>
        <w:ind w:left="720" w:hanging="720"/>
        <w:rPr>
          <w:rFonts w:eastAsia="Times New Roman"/>
          <w:b/>
        </w:rPr>
      </w:pPr>
      <w:r>
        <w:rPr>
          <w:rFonts w:eastAsia="Times New Roman"/>
          <w:b/>
        </w:rPr>
        <w:t>Q:</w:t>
      </w:r>
      <w:r>
        <w:rPr>
          <w:rFonts w:eastAsia="Times New Roman"/>
          <w:b/>
        </w:rPr>
        <w:tab/>
      </w:r>
      <w:r w:rsidR="00B41804">
        <w:rPr>
          <w:rFonts w:eastAsia="Times New Roman"/>
          <w:b/>
        </w:rPr>
        <w:t xml:space="preserve">Please explain the Settlement provision regarding allocation of HELP funding between electric and natural gas assistance. </w:t>
      </w:r>
    </w:p>
    <w:p w14:paraId="203F5E4C" w14:textId="207D82FB" w:rsidR="00B41804" w:rsidRPr="00BA14F9" w:rsidRDefault="00443084" w:rsidP="00443084">
      <w:pPr>
        <w:spacing w:line="480" w:lineRule="auto"/>
        <w:ind w:left="720" w:hanging="720"/>
        <w:rPr>
          <w:rFonts w:eastAsia="Times New Roman"/>
          <w:b/>
        </w:rPr>
      </w:pPr>
      <w:r>
        <w:rPr>
          <w:rFonts w:eastAsia="Times New Roman"/>
        </w:rPr>
        <w:t>A:</w:t>
      </w:r>
      <w:r>
        <w:rPr>
          <w:rFonts w:eastAsia="Times New Roman"/>
        </w:rPr>
        <w:tab/>
      </w:r>
      <w:r w:rsidR="00B41804">
        <w:rPr>
          <w:rFonts w:eastAsia="Times New Roman"/>
        </w:rPr>
        <w:t xml:space="preserve">The Settlement provides that HELP funding will be allocated 80 percent to electric </w:t>
      </w:r>
      <w:r>
        <w:rPr>
          <w:rFonts w:eastAsia="Times New Roman"/>
        </w:rPr>
        <w:t xml:space="preserve">and 20 percent to natural gas. </w:t>
      </w:r>
      <w:r w:rsidR="00B41804">
        <w:rPr>
          <w:rFonts w:eastAsia="Times New Roman"/>
        </w:rPr>
        <w:t xml:space="preserve"> The current tariff uses a 75/25 allocation but, as PSE explained in testimony, this is no longer consistent with the anticipated utilization of funds in PSE’s service territory.  </w:t>
      </w:r>
    </w:p>
    <w:p w14:paraId="3A114999" w14:textId="0D7C1769" w:rsidR="00B41804" w:rsidRDefault="00443084" w:rsidP="00443084">
      <w:pPr>
        <w:spacing w:line="480" w:lineRule="auto"/>
        <w:ind w:left="720" w:hanging="720"/>
        <w:rPr>
          <w:rFonts w:eastAsia="Times New Roman"/>
          <w:b/>
        </w:rPr>
      </w:pPr>
      <w:r>
        <w:rPr>
          <w:rFonts w:eastAsia="Times New Roman"/>
          <w:b/>
        </w:rPr>
        <w:t>Q:</w:t>
      </w:r>
      <w:r>
        <w:rPr>
          <w:rFonts w:eastAsia="Times New Roman"/>
          <w:b/>
        </w:rPr>
        <w:tab/>
      </w:r>
      <w:r w:rsidR="00B41804">
        <w:rPr>
          <w:rFonts w:eastAsia="Times New Roman"/>
          <w:b/>
        </w:rPr>
        <w:t>Why does The Energy Project support the establishment of an Advisory Committee?</w:t>
      </w:r>
    </w:p>
    <w:p w14:paraId="44415111" w14:textId="38DF6E55" w:rsidR="00B41804" w:rsidRPr="00B603BA" w:rsidRDefault="00443084" w:rsidP="00443084">
      <w:pPr>
        <w:spacing w:line="480" w:lineRule="auto"/>
        <w:ind w:left="720" w:hanging="720"/>
        <w:rPr>
          <w:rFonts w:eastAsia="Times New Roman"/>
          <w:b/>
        </w:rPr>
      </w:pPr>
      <w:r>
        <w:rPr>
          <w:rFonts w:eastAsia="Times New Roman"/>
        </w:rPr>
        <w:t>A:</w:t>
      </w:r>
      <w:r>
        <w:rPr>
          <w:rFonts w:eastAsia="Times New Roman"/>
        </w:rPr>
        <w:tab/>
      </w:r>
      <w:r w:rsidR="00B41804" w:rsidRPr="00B603BA">
        <w:rPr>
          <w:rFonts w:eastAsia="Times New Roman"/>
        </w:rPr>
        <w:t xml:space="preserve">Establishment of a stakeholder Advisory Committee, as set out in paragraph 107, will provide a forum for ongoing collaborative interaction between stakeholders </w:t>
      </w:r>
      <w:r w:rsidR="00B41804" w:rsidRPr="00B603BA">
        <w:rPr>
          <w:rFonts w:eastAsia="Times New Roman"/>
        </w:rPr>
        <w:lastRenderedPageBreak/>
        <w:t xml:space="preserve">and the Company regarding program improvements, operations issues and </w:t>
      </w:r>
      <w:r w:rsidR="00DD46D9">
        <w:rPr>
          <w:rFonts w:eastAsia="Times New Roman"/>
        </w:rPr>
        <w:t xml:space="preserve">customer needs.  </w:t>
      </w:r>
      <w:r w:rsidR="00B41804" w:rsidRPr="00B603BA">
        <w:rPr>
          <w:rFonts w:eastAsia="Times New Roman"/>
        </w:rPr>
        <w:t xml:space="preserve">Similar </w:t>
      </w:r>
      <w:r w:rsidR="00B41804">
        <w:rPr>
          <w:rFonts w:eastAsia="Times New Roman"/>
        </w:rPr>
        <w:t xml:space="preserve">advisory committees </w:t>
      </w:r>
      <w:r w:rsidR="00B41804" w:rsidRPr="00B603BA">
        <w:rPr>
          <w:rFonts w:eastAsia="Times New Roman"/>
        </w:rPr>
        <w:t xml:space="preserve">for </w:t>
      </w:r>
      <w:proofErr w:type="spellStart"/>
      <w:r w:rsidR="00B41804" w:rsidRPr="00B603BA">
        <w:rPr>
          <w:rFonts w:eastAsia="Times New Roman"/>
        </w:rPr>
        <w:t>Avista</w:t>
      </w:r>
      <w:proofErr w:type="spellEnd"/>
      <w:r w:rsidR="00B41804" w:rsidRPr="00B603BA">
        <w:rPr>
          <w:rFonts w:eastAsia="Times New Roman"/>
        </w:rPr>
        <w:t xml:space="preserve"> and Cascade Natur</w:t>
      </w:r>
      <w:r w:rsidR="00DD46D9">
        <w:rPr>
          <w:rFonts w:eastAsia="Times New Roman"/>
        </w:rPr>
        <w:t xml:space="preserve">al Gas have proven beneficial. </w:t>
      </w:r>
      <w:r w:rsidR="00B41804" w:rsidRPr="00B603BA">
        <w:rPr>
          <w:rFonts w:eastAsia="Times New Roman"/>
        </w:rPr>
        <w:t xml:space="preserve"> Issues that would be helpful for the Committee to address include expanded program offerings, improved outreach and enhanced access for customers.  The Settlement adopts four goals for the Committee’s work: </w:t>
      </w:r>
      <w:r w:rsidR="00B41804">
        <w:t>(1) Keep customers connected to their energy service; (2) Provide assistance to more customers</w:t>
      </w:r>
      <w:r w:rsidR="00DD46D9">
        <w:t xml:space="preserve"> than are currently served; (3)</w:t>
      </w:r>
      <w:r w:rsidR="00B41804">
        <w:t xml:space="preserve"> Lowe</w:t>
      </w:r>
      <w:r w:rsidR="00DD46D9">
        <w:t>r the energy burden of PSE HELP</w:t>
      </w:r>
      <w:r w:rsidR="00B41804">
        <w:t xml:space="preserve"> participants; and (4) Collect data necessary to asses</w:t>
      </w:r>
      <w:r w:rsidR="00DD46D9">
        <w:t>s</w:t>
      </w:r>
      <w:r w:rsidR="00B41804">
        <w:t xml:space="preserve"> program effectiveness and inform ongoing policy discussions.  These are consistent with the goals adopted for the </w:t>
      </w:r>
      <w:proofErr w:type="spellStart"/>
      <w:r w:rsidR="00B41804">
        <w:t>Avista</w:t>
      </w:r>
      <w:proofErr w:type="spellEnd"/>
      <w:r w:rsidR="00B41804">
        <w:t xml:space="preserve"> and Cascade Advisory Committees.  </w:t>
      </w:r>
      <w:proofErr w:type="gramStart"/>
      <w:r w:rsidR="00B41804" w:rsidRPr="00B603BA">
        <w:rPr>
          <w:rFonts w:eastAsia="Times New Roman"/>
        </w:rPr>
        <w:t>In order to</w:t>
      </w:r>
      <w:proofErr w:type="gramEnd"/>
      <w:r w:rsidR="00B41804" w:rsidRPr="00B603BA">
        <w:rPr>
          <w:rFonts w:eastAsia="Times New Roman"/>
        </w:rPr>
        <w:t xml:space="preserve"> ensure that the Committee begins work promptly, the Settlement provides that the Committee will be formed by January 1, 2018, with the first meeting to occur no later than March 1, 2018. </w:t>
      </w:r>
    </w:p>
    <w:p w14:paraId="18CFD4E4" w14:textId="1C49CE58" w:rsidR="00B41804" w:rsidRDefault="00DD46D9" w:rsidP="00DD46D9">
      <w:pPr>
        <w:spacing w:line="480" w:lineRule="auto"/>
        <w:ind w:left="720" w:hanging="720"/>
        <w:rPr>
          <w:rFonts w:eastAsia="Times New Roman"/>
          <w:b/>
        </w:rPr>
      </w:pPr>
      <w:r>
        <w:rPr>
          <w:rFonts w:eastAsia="Times New Roman"/>
          <w:b/>
        </w:rPr>
        <w:t>Q:</w:t>
      </w:r>
      <w:r>
        <w:rPr>
          <w:rFonts w:eastAsia="Times New Roman"/>
          <w:b/>
        </w:rPr>
        <w:tab/>
      </w:r>
      <w:r w:rsidR="00B41804">
        <w:rPr>
          <w:rFonts w:eastAsia="Times New Roman"/>
          <w:b/>
        </w:rPr>
        <w:t>Please describe other aspects of the Settlement that benefit low-income customers</w:t>
      </w:r>
    </w:p>
    <w:p w14:paraId="7826EEE4" w14:textId="2F3F5575" w:rsidR="00B41804" w:rsidRPr="00B603BA" w:rsidRDefault="00B41804" w:rsidP="00DD46D9">
      <w:pPr>
        <w:spacing w:line="480" w:lineRule="auto"/>
        <w:ind w:left="720" w:hanging="720"/>
        <w:rPr>
          <w:rFonts w:eastAsia="Times New Roman"/>
        </w:rPr>
      </w:pPr>
      <w:r w:rsidRPr="00B603BA">
        <w:rPr>
          <w:rFonts w:eastAsia="Times New Roman"/>
        </w:rPr>
        <w:t>A.</w:t>
      </w:r>
      <w:r w:rsidR="00DD46D9">
        <w:rPr>
          <w:rFonts w:eastAsia="Times New Roman"/>
          <w:b/>
        </w:rPr>
        <w:tab/>
      </w:r>
      <w:r>
        <w:rPr>
          <w:rFonts w:eastAsia="Times New Roman"/>
        </w:rPr>
        <w:t xml:space="preserve">The Settlement includes an agreement by PSE to consult with low-income stakeholders, including The Energy Project and the agencies regarding new initiatives that affect the agencies’ operation of their programs.  </w:t>
      </w:r>
      <w:proofErr w:type="spellStart"/>
      <w:r>
        <w:rPr>
          <w:rFonts w:eastAsia="Times New Roman"/>
        </w:rPr>
        <w:t>Its</w:t>
      </w:r>
      <w:proofErr w:type="spellEnd"/>
      <w:r>
        <w:rPr>
          <w:rFonts w:eastAsia="Times New Roman"/>
        </w:rPr>
        <w:t xml:space="preserve"> important for PSE to work closely with TEP and the CAP agencies on any potential changes in the management and deployment of the HELP and Low-Income Weatherization Programs.</w:t>
      </w:r>
    </w:p>
    <w:p w14:paraId="08A78649" w14:textId="57AB70D2" w:rsidR="00B41804" w:rsidRDefault="000F6C71" w:rsidP="000F6C71">
      <w:pPr>
        <w:spacing w:line="480" w:lineRule="auto"/>
        <w:ind w:left="720" w:hanging="720"/>
        <w:rPr>
          <w:rFonts w:eastAsia="Times New Roman"/>
          <w:b/>
        </w:rPr>
      </w:pPr>
      <w:r>
        <w:rPr>
          <w:rFonts w:eastAsia="Times New Roman"/>
          <w:b/>
        </w:rPr>
        <w:lastRenderedPageBreak/>
        <w:t>Q:</w:t>
      </w:r>
      <w:r>
        <w:rPr>
          <w:rFonts w:eastAsia="Times New Roman"/>
          <w:b/>
        </w:rPr>
        <w:tab/>
      </w:r>
      <w:r w:rsidR="00B41804">
        <w:rPr>
          <w:rFonts w:eastAsia="Times New Roman"/>
          <w:b/>
        </w:rPr>
        <w:t>Are there other aspects of the Settlement Agreement that you wish to address?</w:t>
      </w:r>
    </w:p>
    <w:p w14:paraId="1DD74FE6" w14:textId="4DD27422" w:rsidR="00B41804" w:rsidRPr="00857327" w:rsidRDefault="000F6C71" w:rsidP="000F6C71">
      <w:pPr>
        <w:spacing w:line="480" w:lineRule="auto"/>
        <w:ind w:left="720" w:hanging="720"/>
        <w:rPr>
          <w:b/>
          <w:i/>
        </w:rPr>
      </w:pPr>
      <w:r>
        <w:rPr>
          <w:rFonts w:eastAsia="Times New Roman"/>
        </w:rPr>
        <w:t>A:</w:t>
      </w:r>
      <w:r>
        <w:rPr>
          <w:rFonts w:eastAsia="Times New Roman"/>
        </w:rPr>
        <w:tab/>
      </w:r>
      <w:r w:rsidR="00B41804">
        <w:rPr>
          <w:rFonts w:eastAsia="Times New Roman"/>
        </w:rPr>
        <w:t>While The Energy Project would have preferred to see an electric rate reduction as proposed by several parties, the Settlement results in a more modest electric rate increase than requested, reducing the impact on resident</w:t>
      </w:r>
      <w:r>
        <w:rPr>
          <w:rFonts w:eastAsia="Times New Roman"/>
        </w:rPr>
        <w:t xml:space="preserve">ial and low-income customers.  </w:t>
      </w:r>
      <w:r w:rsidR="00B41804">
        <w:rPr>
          <w:rFonts w:eastAsia="Times New Roman"/>
        </w:rPr>
        <w:t xml:space="preserve">Natural gas customers will see a </w:t>
      </w:r>
      <w:r w:rsidR="003F5B86">
        <w:rPr>
          <w:rFonts w:eastAsia="Times New Roman"/>
        </w:rPr>
        <w:t xml:space="preserve">larger </w:t>
      </w:r>
      <w:r w:rsidR="00B41804">
        <w:rPr>
          <w:rFonts w:eastAsia="Times New Roman"/>
        </w:rPr>
        <w:t>reduction in their rates</w:t>
      </w:r>
      <w:r w:rsidR="003F5B86">
        <w:rPr>
          <w:rFonts w:eastAsia="Times New Roman"/>
        </w:rPr>
        <w:t xml:space="preserve"> than proposed by PSE</w:t>
      </w:r>
      <w:r w:rsidR="00B41804">
        <w:rPr>
          <w:rFonts w:eastAsia="Times New Roman"/>
        </w:rPr>
        <w:t xml:space="preserve">.  As detailed above, the Settlement contains </w:t>
      </w:r>
      <w:proofErr w:type="gramStart"/>
      <w:r w:rsidR="00B41804">
        <w:rPr>
          <w:rFonts w:eastAsia="Times New Roman"/>
        </w:rPr>
        <w:t>a number of</w:t>
      </w:r>
      <w:proofErr w:type="gramEnd"/>
      <w:r w:rsidR="00B41804">
        <w:rPr>
          <w:rFonts w:eastAsia="Times New Roman"/>
        </w:rPr>
        <w:t xml:space="preserve"> benefits for low-income customers that will help to offset the effects of the electric rate increase, maintain bill assistance levels for natural gas</w:t>
      </w:r>
      <w:r w:rsidR="002822FD">
        <w:rPr>
          <w:rFonts w:eastAsia="Times New Roman"/>
        </w:rPr>
        <w:t>,</w:t>
      </w:r>
      <w:r w:rsidR="00B41804">
        <w:rPr>
          <w:rFonts w:eastAsia="Times New Roman"/>
        </w:rPr>
        <w:t xml:space="preserve"> and increase weatherization funding. </w:t>
      </w:r>
      <w:r w:rsidR="00B41804">
        <w:t xml:space="preserve"> </w:t>
      </w:r>
    </w:p>
    <w:p w14:paraId="53FA9C26" w14:textId="77777777" w:rsidR="00B41804" w:rsidRDefault="00B41804" w:rsidP="00B41804">
      <w:pPr>
        <w:spacing w:line="480" w:lineRule="auto"/>
        <w:jc w:val="center"/>
        <w:rPr>
          <w:b/>
        </w:rPr>
      </w:pPr>
      <w:r>
        <w:rPr>
          <w:b/>
        </w:rPr>
        <w:t>V.</w:t>
      </w:r>
      <w:r>
        <w:rPr>
          <w:b/>
        </w:rPr>
        <w:tab/>
        <w:t>CONCLUSION</w:t>
      </w:r>
    </w:p>
    <w:p w14:paraId="504547E7" w14:textId="7266E55F" w:rsidR="00B41804" w:rsidRDefault="000F6C71" w:rsidP="00B41804">
      <w:pPr>
        <w:spacing w:line="480" w:lineRule="auto"/>
        <w:ind w:left="540" w:hanging="540"/>
        <w:rPr>
          <w:b/>
        </w:rPr>
      </w:pPr>
      <w:r>
        <w:rPr>
          <w:b/>
        </w:rPr>
        <w:t>Q:</w:t>
      </w:r>
      <w:r>
        <w:rPr>
          <w:b/>
        </w:rPr>
        <w:tab/>
      </w:r>
      <w:r w:rsidR="00B41804">
        <w:rPr>
          <w:b/>
        </w:rPr>
        <w:t xml:space="preserve">Does </w:t>
      </w:r>
      <w:proofErr w:type="gramStart"/>
      <w:r w:rsidR="00B41804">
        <w:rPr>
          <w:b/>
        </w:rPr>
        <w:t>The</w:t>
      </w:r>
      <w:proofErr w:type="gramEnd"/>
      <w:r w:rsidR="00B41804">
        <w:rPr>
          <w:b/>
        </w:rPr>
        <w:t xml:space="preserve"> Energy Project support approval of the Settlement?</w:t>
      </w:r>
    </w:p>
    <w:p w14:paraId="0CE44A8E" w14:textId="21CC3868" w:rsidR="00B41804" w:rsidRPr="00024254" w:rsidRDefault="000F6C71" w:rsidP="00B41804">
      <w:pPr>
        <w:spacing w:line="480" w:lineRule="auto"/>
        <w:ind w:left="540" w:hanging="540"/>
      </w:pPr>
      <w:r w:rsidRPr="000F6C71">
        <w:t>A:</w:t>
      </w:r>
      <w:r>
        <w:rPr>
          <w:b/>
        </w:rPr>
        <w:tab/>
      </w:r>
      <w:r>
        <w:t xml:space="preserve">Yes.  </w:t>
      </w:r>
      <w:r w:rsidR="00B41804">
        <w:t xml:space="preserve">The Energy Project believes that the Settlement is in the public interest and recommends that it be approved by the Commission. </w:t>
      </w:r>
    </w:p>
    <w:p w14:paraId="2D0CD0B3" w14:textId="5CA371DC" w:rsidR="00B41804" w:rsidRDefault="000F6C71" w:rsidP="00B41804">
      <w:pPr>
        <w:spacing w:line="480" w:lineRule="auto"/>
        <w:ind w:left="540" w:hanging="540"/>
        <w:rPr>
          <w:b/>
        </w:rPr>
      </w:pPr>
      <w:r>
        <w:rPr>
          <w:b/>
        </w:rPr>
        <w:t>Q:</w:t>
      </w:r>
      <w:r>
        <w:rPr>
          <w:b/>
        </w:rPr>
        <w:tab/>
      </w:r>
      <w:r w:rsidR="00B41804">
        <w:rPr>
          <w:b/>
        </w:rPr>
        <w:t>Does this conclude your testimony?</w:t>
      </w:r>
    </w:p>
    <w:p w14:paraId="2544A75E" w14:textId="63684C29" w:rsidR="003746B9" w:rsidRPr="00D155C8" w:rsidRDefault="000F6C71" w:rsidP="000F6C71">
      <w:pPr>
        <w:spacing w:line="480" w:lineRule="auto"/>
        <w:ind w:left="540" w:hanging="540"/>
      </w:pPr>
      <w:r w:rsidRPr="000F6C71">
        <w:t>A:</w:t>
      </w:r>
      <w:r w:rsidR="002822FD">
        <w:rPr>
          <w:b/>
        </w:rPr>
        <w:tab/>
      </w:r>
      <w:r w:rsidR="00B41804" w:rsidRPr="00AD4B42">
        <w:t xml:space="preserve">Yes. </w:t>
      </w:r>
      <w:r w:rsidR="00014CCA" w:rsidRPr="00AD4B42">
        <w:t xml:space="preserve"> </w:t>
      </w:r>
    </w:p>
    <w:sectPr w:rsidR="003746B9" w:rsidRPr="00D155C8" w:rsidSect="00D274C6">
      <w:footerReference w:type="default" r:id="rId10"/>
      <w:pgSz w:w="12240" w:h="15840"/>
      <w:pgMar w:top="1440" w:right="1800" w:bottom="1440" w:left="1800" w:header="720" w:footer="720" w:gutter="0"/>
      <w:lnNumType w:countBy="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C855B" w14:textId="77777777" w:rsidR="005009DC" w:rsidRDefault="005009DC" w:rsidP="00061921">
      <w:r>
        <w:separator/>
      </w:r>
    </w:p>
  </w:endnote>
  <w:endnote w:type="continuationSeparator" w:id="0">
    <w:p w14:paraId="70083477" w14:textId="77777777" w:rsidR="005009DC" w:rsidRDefault="005009DC" w:rsidP="0006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CC2A" w14:textId="16492546" w:rsidR="00616B86" w:rsidRDefault="00616B86" w:rsidP="008A4CBD">
    <w:pPr>
      <w:pStyle w:val="Footer"/>
      <w:jc w:val="center"/>
    </w:pPr>
    <w:proofErr w:type="spellStart"/>
    <w:r>
      <w:t>i</w:t>
    </w:r>
    <w:proofErr w:type="spellEnd"/>
  </w:p>
  <w:p w14:paraId="5363E469" w14:textId="77777777" w:rsidR="00616B86" w:rsidRDefault="00616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603861"/>
      <w:docPartObj>
        <w:docPartGallery w:val="Page Numbers (Bottom of Page)"/>
        <w:docPartUnique/>
      </w:docPartObj>
    </w:sdtPr>
    <w:sdtEndPr>
      <w:rPr>
        <w:noProof/>
      </w:rPr>
    </w:sdtEndPr>
    <w:sdtContent>
      <w:p w14:paraId="5B8586F9" w14:textId="03118CCD" w:rsidR="00616B86" w:rsidRDefault="00616B86" w:rsidP="008A4CBD">
        <w:pPr>
          <w:pStyle w:val="Footer"/>
          <w:jc w:val="center"/>
        </w:pPr>
        <w:r>
          <w:fldChar w:fldCharType="begin"/>
        </w:r>
        <w:r>
          <w:instrText xml:space="preserve"> PAGE   \* MERGEFORMAT </w:instrText>
        </w:r>
        <w:r>
          <w:fldChar w:fldCharType="separate"/>
        </w:r>
        <w:r w:rsidR="00E811A5">
          <w:rPr>
            <w:noProof/>
          </w:rPr>
          <w:t>2</w:t>
        </w:r>
        <w:r>
          <w:rPr>
            <w:noProof/>
          </w:rPr>
          <w:fldChar w:fldCharType="end"/>
        </w:r>
      </w:p>
    </w:sdtContent>
  </w:sdt>
  <w:p w14:paraId="65727662" w14:textId="77777777" w:rsidR="00616B86" w:rsidRDefault="00616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D2CDA" w14:textId="77777777" w:rsidR="005009DC" w:rsidRDefault="005009DC" w:rsidP="00061921">
      <w:r>
        <w:separator/>
      </w:r>
    </w:p>
  </w:footnote>
  <w:footnote w:type="continuationSeparator" w:id="0">
    <w:p w14:paraId="1B27A7B0" w14:textId="77777777" w:rsidR="005009DC" w:rsidRDefault="005009DC" w:rsidP="00061921">
      <w:r>
        <w:continuationSeparator/>
      </w:r>
    </w:p>
  </w:footnote>
  <w:footnote w:id="1">
    <w:p w14:paraId="18225B75" w14:textId="70748605" w:rsidR="00B41804" w:rsidRPr="004B715F" w:rsidRDefault="00B41804" w:rsidP="00B41804">
      <w:pPr>
        <w:pStyle w:val="FootnoteText"/>
        <w:rPr>
          <w:rFonts w:ascii="Times New Roman" w:hAnsi="Times New Roman" w:cs="Times New Roman"/>
          <w:sz w:val="20"/>
          <w:szCs w:val="20"/>
        </w:rPr>
      </w:pPr>
      <w:r>
        <w:rPr>
          <w:rStyle w:val="FootnoteReference"/>
        </w:rPr>
        <w:footnoteRef/>
      </w:r>
      <w:r w:rsidR="00402F62">
        <w:t xml:space="preserve"> </w:t>
      </w:r>
      <w:r w:rsidR="00402F62" w:rsidRPr="004B715F">
        <w:rPr>
          <w:rFonts w:ascii="Times New Roman" w:hAnsi="Times New Roman" w:cs="Times New Roman"/>
          <w:sz w:val="20"/>
          <w:szCs w:val="20"/>
        </w:rPr>
        <w:t xml:space="preserve">Exh. </w:t>
      </w:r>
      <w:r w:rsidRPr="004B715F">
        <w:rPr>
          <w:rFonts w:ascii="Times New Roman" w:hAnsi="Times New Roman" w:cs="Times New Roman"/>
          <w:sz w:val="20"/>
          <w:szCs w:val="20"/>
        </w:rPr>
        <w:t>SMS-1T</w:t>
      </w:r>
      <w:r w:rsidR="00402F62" w:rsidRPr="004B715F">
        <w:rPr>
          <w:rFonts w:ascii="Times New Roman" w:hAnsi="Times New Roman" w:cs="Times New Roman"/>
          <w:sz w:val="20"/>
          <w:szCs w:val="20"/>
        </w:rPr>
        <w:t>,</w:t>
      </w:r>
      <w:r w:rsidRPr="004B715F">
        <w:rPr>
          <w:rFonts w:ascii="Times New Roman" w:hAnsi="Times New Roman" w:cs="Times New Roman"/>
          <w:sz w:val="20"/>
          <w:szCs w:val="20"/>
        </w:rPr>
        <w:t xml:space="preserve"> at 3.</w:t>
      </w:r>
    </w:p>
  </w:footnote>
  <w:footnote w:id="2">
    <w:p w14:paraId="791B68DF" w14:textId="0E129056" w:rsidR="00B41804" w:rsidRPr="004B715F" w:rsidRDefault="00B41804" w:rsidP="00B41804">
      <w:pPr>
        <w:pStyle w:val="FootnoteText"/>
        <w:rPr>
          <w:rFonts w:ascii="Times New Roman" w:hAnsi="Times New Roman" w:cs="Times New Roman"/>
          <w:sz w:val="20"/>
          <w:szCs w:val="20"/>
        </w:rPr>
      </w:pPr>
      <w:r w:rsidRPr="004B715F">
        <w:rPr>
          <w:rStyle w:val="FootnoteReference"/>
          <w:rFonts w:ascii="Times New Roman" w:hAnsi="Times New Roman" w:cs="Times New Roman"/>
          <w:sz w:val="20"/>
          <w:szCs w:val="20"/>
        </w:rPr>
        <w:footnoteRef/>
      </w:r>
      <w:r w:rsidR="00402F62" w:rsidRPr="004B715F">
        <w:rPr>
          <w:rFonts w:ascii="Times New Roman" w:hAnsi="Times New Roman" w:cs="Times New Roman"/>
          <w:sz w:val="20"/>
          <w:szCs w:val="20"/>
        </w:rPr>
        <w:t xml:space="preserve"> Exh. </w:t>
      </w:r>
      <w:r w:rsidRPr="004B715F">
        <w:rPr>
          <w:rFonts w:ascii="Times New Roman" w:hAnsi="Times New Roman" w:cs="Times New Roman"/>
          <w:sz w:val="20"/>
          <w:szCs w:val="20"/>
        </w:rPr>
        <w:t>SMC-1Tr</w:t>
      </w:r>
      <w:r w:rsidR="00402F62" w:rsidRPr="004B715F">
        <w:rPr>
          <w:rFonts w:ascii="Times New Roman" w:hAnsi="Times New Roman" w:cs="Times New Roman"/>
          <w:sz w:val="20"/>
          <w:szCs w:val="20"/>
        </w:rPr>
        <w:t>,</w:t>
      </w:r>
      <w:r w:rsidRPr="004B715F">
        <w:rPr>
          <w:rFonts w:ascii="Times New Roman" w:hAnsi="Times New Roman" w:cs="Times New Roman"/>
          <w:sz w:val="20"/>
          <w:szCs w:val="20"/>
        </w:rPr>
        <w:t xml:space="preserve"> at 2-5.</w:t>
      </w:r>
    </w:p>
  </w:footnote>
  <w:footnote w:id="3">
    <w:p w14:paraId="2B933D42" w14:textId="78690836" w:rsidR="00B41804" w:rsidRPr="00B261F1" w:rsidRDefault="00B41804" w:rsidP="00B41804">
      <w:pPr>
        <w:pStyle w:val="FootnoteText"/>
        <w:rPr>
          <w:rFonts w:ascii="Times New Roman" w:hAnsi="Times New Roman" w:cs="Times New Roman"/>
          <w:sz w:val="20"/>
          <w:szCs w:val="20"/>
        </w:rPr>
      </w:pPr>
      <w:r w:rsidRPr="00B261F1">
        <w:rPr>
          <w:rStyle w:val="FootnoteReference"/>
          <w:rFonts w:ascii="Times New Roman" w:hAnsi="Times New Roman" w:cs="Times New Roman"/>
          <w:sz w:val="20"/>
          <w:szCs w:val="20"/>
        </w:rPr>
        <w:footnoteRef/>
      </w:r>
      <w:r w:rsidR="00B261F1">
        <w:rPr>
          <w:rFonts w:ascii="Times New Roman" w:hAnsi="Times New Roman" w:cs="Times New Roman"/>
          <w:sz w:val="20"/>
          <w:szCs w:val="20"/>
        </w:rPr>
        <w:t xml:space="preserve"> Exh.</w:t>
      </w:r>
      <w:r w:rsidRPr="00B261F1">
        <w:rPr>
          <w:rFonts w:ascii="Times New Roman" w:hAnsi="Times New Roman" w:cs="Times New Roman"/>
          <w:sz w:val="20"/>
          <w:szCs w:val="20"/>
        </w:rPr>
        <w:t xml:space="preserve"> JAP-1T at 146:2-5</w:t>
      </w:r>
      <w:r w:rsidR="00B261F1">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6731" w14:textId="77777777" w:rsidR="00F75FFB" w:rsidRDefault="00616B86" w:rsidP="00F75FFB">
    <w:pPr>
      <w:pStyle w:val="Header"/>
    </w:pPr>
    <w:r>
      <w:tab/>
    </w:r>
    <w:r w:rsidR="00BE7050">
      <w:t xml:space="preserve">   </w:t>
    </w:r>
    <w:r>
      <w:tab/>
      <w:t>Dockets UE-170033/UG-170034</w:t>
    </w:r>
  </w:p>
  <w:p w14:paraId="7B1255C3" w14:textId="7F985B2D" w:rsidR="00F75FFB" w:rsidRDefault="00F75FFB" w:rsidP="00F75FFB">
    <w:pPr>
      <w:pStyle w:val="Header"/>
      <w:rPr>
        <w:bCs/>
      </w:rPr>
    </w:pPr>
    <w:r>
      <w:tab/>
    </w:r>
    <w:r>
      <w:tab/>
      <w:t>Shawn M. Collins</w:t>
    </w:r>
  </w:p>
  <w:p w14:paraId="07AE44DA" w14:textId="74CC4CEF" w:rsidR="00616B86" w:rsidRPr="00F75FFB" w:rsidRDefault="00F75FFB">
    <w:pPr>
      <w:pStyle w:val="Header"/>
      <w:rPr>
        <w:bCs/>
      </w:rPr>
    </w:pPr>
    <w:r>
      <w:rPr>
        <w:bCs/>
      </w:rPr>
      <w:tab/>
      <w:t xml:space="preserve">                                                                   </w:t>
    </w:r>
    <w:r w:rsidR="00BE7050" w:rsidRPr="00BE7050">
      <w:rPr>
        <w:bCs/>
      </w:rPr>
      <w:t>In Support of Multiparty Settlement Stipulation</w:t>
    </w:r>
  </w:p>
  <w:p w14:paraId="4C44C70D" w14:textId="18965E13" w:rsidR="00616B86" w:rsidRDefault="00306C8D">
    <w:pPr>
      <w:pStyle w:val="Header"/>
    </w:pPr>
    <w:r>
      <w:tab/>
    </w:r>
    <w:r>
      <w:tab/>
      <w:t>Exh. SMC-4</w:t>
    </w:r>
    <w:r w:rsidR="00616B86">
      <w:t>T</w:t>
    </w:r>
  </w:p>
  <w:p w14:paraId="4E8660DC" w14:textId="77777777" w:rsidR="00616B86" w:rsidRDefault="00616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7AB5"/>
    <w:multiLevelType w:val="hybridMultilevel"/>
    <w:tmpl w:val="807A2E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95E7E48"/>
    <w:multiLevelType w:val="hybridMultilevel"/>
    <w:tmpl w:val="6DD4ED18"/>
    <w:lvl w:ilvl="0" w:tplc="F53EEE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B0452"/>
    <w:multiLevelType w:val="hybridMultilevel"/>
    <w:tmpl w:val="B8ECD938"/>
    <w:lvl w:ilvl="0" w:tplc="8A08F06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C6196"/>
    <w:multiLevelType w:val="hybridMultilevel"/>
    <w:tmpl w:val="E7B23C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8936351"/>
    <w:multiLevelType w:val="hybridMultilevel"/>
    <w:tmpl w:val="84EA71DA"/>
    <w:lvl w:ilvl="0" w:tplc="41B2C7B0">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F42"/>
    <w:multiLevelType w:val="hybridMultilevel"/>
    <w:tmpl w:val="CCF8CE98"/>
    <w:lvl w:ilvl="0" w:tplc="FB5A5FC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D44CC0"/>
    <w:multiLevelType w:val="hybridMultilevel"/>
    <w:tmpl w:val="8FC4FA7A"/>
    <w:lvl w:ilvl="0" w:tplc="1EE2262A">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3A4233"/>
    <w:multiLevelType w:val="hybridMultilevel"/>
    <w:tmpl w:val="1B62CF66"/>
    <w:lvl w:ilvl="0" w:tplc="400EAB66">
      <w:start w:val="1"/>
      <w:numFmt w:val="decimal"/>
      <w:lvlText w:val="%1"/>
      <w:lvlJc w:val="left"/>
      <w:pPr>
        <w:tabs>
          <w:tab w:val="num" w:pos="2880"/>
        </w:tabs>
        <w:ind w:left="288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3780"/>
        </w:tabs>
        <w:ind w:left="3780" w:hanging="360"/>
      </w:pPr>
      <w:rPr>
        <w:rFonts w:hint="default"/>
      </w:rPr>
    </w:lvl>
    <w:lvl w:ilvl="2" w:tplc="0409000F">
      <w:start w:val="1"/>
      <w:numFmt w:val="decimal"/>
      <w:lvlText w:val="%3."/>
      <w:lvlJc w:val="left"/>
      <w:pPr>
        <w:tabs>
          <w:tab w:val="num" w:pos="4500"/>
        </w:tabs>
        <w:ind w:left="4500" w:hanging="360"/>
      </w:pPr>
      <w:rPr>
        <w:rFonts w:hint="default"/>
      </w:rPr>
    </w:lvl>
    <w:lvl w:ilvl="3" w:tplc="3F9826F0">
      <w:start w:val="1"/>
      <w:numFmt w:val="lowerLetter"/>
      <w:lvlText w:val="%4."/>
      <w:lvlJc w:val="left"/>
      <w:pPr>
        <w:tabs>
          <w:tab w:val="num" w:pos="5040"/>
        </w:tabs>
        <w:ind w:left="5040" w:hanging="360"/>
      </w:pPr>
      <w:rPr>
        <w:rFonts w:hint="default"/>
      </w:rPr>
    </w:lvl>
    <w:lvl w:ilvl="4" w:tplc="6F86D32A">
      <w:start w:val="1"/>
      <w:numFmt w:val="lowerLetter"/>
      <w:lvlText w:val="%5."/>
      <w:lvlJc w:val="left"/>
      <w:pPr>
        <w:tabs>
          <w:tab w:val="num" w:pos="5760"/>
        </w:tabs>
        <w:ind w:left="5760" w:hanging="360"/>
      </w:pPr>
      <w:rPr>
        <w:rFonts w:hint="default"/>
      </w:rPr>
    </w:lvl>
    <w:lvl w:ilvl="5" w:tplc="1ECA6D5E">
      <w:start w:val="1"/>
      <w:numFmt w:val="lowerRoman"/>
      <w:lvlText w:val="(%6)"/>
      <w:lvlJc w:val="left"/>
      <w:pPr>
        <w:ind w:left="7020" w:hanging="720"/>
      </w:pPr>
      <w:rPr>
        <w:rFonts w:hint="default"/>
      </w:rPr>
    </w:lvl>
    <w:lvl w:ilvl="6" w:tplc="FEC6B172">
      <w:start w:val="1"/>
      <w:numFmt w:val="lowerRoman"/>
      <w:lvlText w:val="%7)"/>
      <w:lvlJc w:val="left"/>
      <w:pPr>
        <w:ind w:left="7560" w:hanging="720"/>
      </w:pPr>
      <w:rPr>
        <w:rFonts w:hint="default"/>
      </w:rPr>
    </w:lvl>
    <w:lvl w:ilvl="7" w:tplc="5C1032FC">
      <w:start w:val="1"/>
      <w:numFmt w:val="decimal"/>
      <w:lvlText w:val="(%8)"/>
      <w:lvlJc w:val="left"/>
      <w:pPr>
        <w:ind w:left="7980" w:hanging="420"/>
      </w:pPr>
      <w:rPr>
        <w:rFonts w:hint="default"/>
      </w:rPr>
    </w:lvl>
    <w:lvl w:ilvl="8" w:tplc="0409001B" w:tentative="1">
      <w:start w:val="1"/>
      <w:numFmt w:val="lowerRoman"/>
      <w:lvlText w:val="%9."/>
      <w:lvlJc w:val="right"/>
      <w:pPr>
        <w:tabs>
          <w:tab w:val="num" w:pos="8640"/>
        </w:tabs>
        <w:ind w:left="8640" w:hanging="180"/>
      </w:pPr>
    </w:lvl>
  </w:abstractNum>
  <w:abstractNum w:abstractNumId="8" w15:restartNumberingAfterBreak="0">
    <w:nsid w:val="323E37E1"/>
    <w:multiLevelType w:val="hybridMultilevel"/>
    <w:tmpl w:val="14DCA4F2"/>
    <w:lvl w:ilvl="0" w:tplc="F7B6A1D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F271AD"/>
    <w:multiLevelType w:val="hybridMultilevel"/>
    <w:tmpl w:val="B8ECE8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561CB"/>
    <w:multiLevelType w:val="hybridMultilevel"/>
    <w:tmpl w:val="ACEE9CEE"/>
    <w:lvl w:ilvl="0" w:tplc="C99A9CDA">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03782D"/>
    <w:multiLevelType w:val="hybridMultilevel"/>
    <w:tmpl w:val="DDBC2778"/>
    <w:lvl w:ilvl="0" w:tplc="B8AAC310">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936C1C"/>
    <w:multiLevelType w:val="hybridMultilevel"/>
    <w:tmpl w:val="934EB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9279A"/>
    <w:multiLevelType w:val="hybridMultilevel"/>
    <w:tmpl w:val="CCC88AE2"/>
    <w:lvl w:ilvl="0" w:tplc="F226319A">
      <w:start w:val="17"/>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49D27E0"/>
    <w:multiLevelType w:val="hybridMultilevel"/>
    <w:tmpl w:val="A5CC34D6"/>
    <w:lvl w:ilvl="0" w:tplc="6ACA68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D5FC7"/>
    <w:multiLevelType w:val="hybridMultilevel"/>
    <w:tmpl w:val="673E3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3"/>
  </w:num>
  <w:num w:numId="5">
    <w:abstractNumId w:val="14"/>
  </w:num>
  <w:num w:numId="6">
    <w:abstractNumId w:val="7"/>
  </w:num>
  <w:num w:numId="7">
    <w:abstractNumId w:val="4"/>
  </w:num>
  <w:num w:numId="8">
    <w:abstractNumId w:val="2"/>
  </w:num>
  <w:num w:numId="9">
    <w:abstractNumId w:val="15"/>
  </w:num>
  <w:num w:numId="10">
    <w:abstractNumId w:val="6"/>
  </w:num>
  <w:num w:numId="11">
    <w:abstractNumId w:val="10"/>
  </w:num>
  <w:num w:numId="12">
    <w:abstractNumId w:val="11"/>
  </w:num>
  <w:num w:numId="13">
    <w:abstractNumId w:val="0"/>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21"/>
    <w:rsid w:val="000003DE"/>
    <w:rsid w:val="00003090"/>
    <w:rsid w:val="00003155"/>
    <w:rsid w:val="00005EFB"/>
    <w:rsid w:val="00010759"/>
    <w:rsid w:val="00014CCA"/>
    <w:rsid w:val="00017595"/>
    <w:rsid w:val="00024254"/>
    <w:rsid w:val="000268FB"/>
    <w:rsid w:val="000330E8"/>
    <w:rsid w:val="00040FB3"/>
    <w:rsid w:val="000461D4"/>
    <w:rsid w:val="000475AB"/>
    <w:rsid w:val="00050A1E"/>
    <w:rsid w:val="00052773"/>
    <w:rsid w:val="00056E71"/>
    <w:rsid w:val="00061527"/>
    <w:rsid w:val="00061921"/>
    <w:rsid w:val="0006390F"/>
    <w:rsid w:val="00070037"/>
    <w:rsid w:val="000707A9"/>
    <w:rsid w:val="00071F29"/>
    <w:rsid w:val="00072600"/>
    <w:rsid w:val="000755DF"/>
    <w:rsid w:val="000808CC"/>
    <w:rsid w:val="0008415B"/>
    <w:rsid w:val="00084701"/>
    <w:rsid w:val="00085157"/>
    <w:rsid w:val="00093135"/>
    <w:rsid w:val="000A203F"/>
    <w:rsid w:val="000A2316"/>
    <w:rsid w:val="000A4638"/>
    <w:rsid w:val="000A6FA1"/>
    <w:rsid w:val="000B3F6F"/>
    <w:rsid w:val="000C52AB"/>
    <w:rsid w:val="000D059E"/>
    <w:rsid w:val="000D67EE"/>
    <w:rsid w:val="000E0CB6"/>
    <w:rsid w:val="000E3338"/>
    <w:rsid w:val="000E5E34"/>
    <w:rsid w:val="000F551C"/>
    <w:rsid w:val="000F5737"/>
    <w:rsid w:val="000F6C71"/>
    <w:rsid w:val="00102949"/>
    <w:rsid w:val="00105AA3"/>
    <w:rsid w:val="00111181"/>
    <w:rsid w:val="00111344"/>
    <w:rsid w:val="00113957"/>
    <w:rsid w:val="00117660"/>
    <w:rsid w:val="00120502"/>
    <w:rsid w:val="00121C1A"/>
    <w:rsid w:val="001278AE"/>
    <w:rsid w:val="00132C04"/>
    <w:rsid w:val="0013530E"/>
    <w:rsid w:val="0013638A"/>
    <w:rsid w:val="00144816"/>
    <w:rsid w:val="0014701F"/>
    <w:rsid w:val="0014757C"/>
    <w:rsid w:val="0015505F"/>
    <w:rsid w:val="00155450"/>
    <w:rsid w:val="00156175"/>
    <w:rsid w:val="001568F5"/>
    <w:rsid w:val="00160B2A"/>
    <w:rsid w:val="00162D89"/>
    <w:rsid w:val="0016509D"/>
    <w:rsid w:val="00165DAC"/>
    <w:rsid w:val="00170A99"/>
    <w:rsid w:val="00173A8D"/>
    <w:rsid w:val="001740D0"/>
    <w:rsid w:val="00177AAA"/>
    <w:rsid w:val="00182516"/>
    <w:rsid w:val="00187B79"/>
    <w:rsid w:val="00194C86"/>
    <w:rsid w:val="001B050B"/>
    <w:rsid w:val="001B15CA"/>
    <w:rsid w:val="001B166D"/>
    <w:rsid w:val="001B353E"/>
    <w:rsid w:val="001B5634"/>
    <w:rsid w:val="001B5D57"/>
    <w:rsid w:val="001B7E7E"/>
    <w:rsid w:val="001C1AD9"/>
    <w:rsid w:val="001C25AF"/>
    <w:rsid w:val="001C5184"/>
    <w:rsid w:val="001C5C8E"/>
    <w:rsid w:val="001C751C"/>
    <w:rsid w:val="001D7B41"/>
    <w:rsid w:val="001E3573"/>
    <w:rsid w:val="001E3A6C"/>
    <w:rsid w:val="001F04EA"/>
    <w:rsid w:val="001F2442"/>
    <w:rsid w:val="001F3F39"/>
    <w:rsid w:val="002010C8"/>
    <w:rsid w:val="002044B1"/>
    <w:rsid w:val="00206E7D"/>
    <w:rsid w:val="00214D9F"/>
    <w:rsid w:val="00222A50"/>
    <w:rsid w:val="0022417E"/>
    <w:rsid w:val="00233551"/>
    <w:rsid w:val="002341E5"/>
    <w:rsid w:val="00234734"/>
    <w:rsid w:val="002362DD"/>
    <w:rsid w:val="002416F6"/>
    <w:rsid w:val="00242FD9"/>
    <w:rsid w:val="0024465A"/>
    <w:rsid w:val="0025201C"/>
    <w:rsid w:val="002535A2"/>
    <w:rsid w:val="00253697"/>
    <w:rsid w:val="00256554"/>
    <w:rsid w:val="00263DC3"/>
    <w:rsid w:val="00263E4C"/>
    <w:rsid w:val="002658A0"/>
    <w:rsid w:val="00267F59"/>
    <w:rsid w:val="00272325"/>
    <w:rsid w:val="00274501"/>
    <w:rsid w:val="0027713B"/>
    <w:rsid w:val="00277BC3"/>
    <w:rsid w:val="00280DE1"/>
    <w:rsid w:val="00281098"/>
    <w:rsid w:val="002822FD"/>
    <w:rsid w:val="00283B1E"/>
    <w:rsid w:val="00284118"/>
    <w:rsid w:val="002849AB"/>
    <w:rsid w:val="00284B63"/>
    <w:rsid w:val="002907BE"/>
    <w:rsid w:val="0029504A"/>
    <w:rsid w:val="00296F78"/>
    <w:rsid w:val="002A5CA1"/>
    <w:rsid w:val="002A63B8"/>
    <w:rsid w:val="002A7334"/>
    <w:rsid w:val="002B1DFC"/>
    <w:rsid w:val="002B2D26"/>
    <w:rsid w:val="002B37CC"/>
    <w:rsid w:val="002B52E2"/>
    <w:rsid w:val="002C2393"/>
    <w:rsid w:val="002C38B3"/>
    <w:rsid w:val="002D108F"/>
    <w:rsid w:val="002D36E2"/>
    <w:rsid w:val="002D640F"/>
    <w:rsid w:val="002D6794"/>
    <w:rsid w:val="002D6C8C"/>
    <w:rsid w:val="002D7E24"/>
    <w:rsid w:val="002E038B"/>
    <w:rsid w:val="002E2075"/>
    <w:rsid w:val="002E21CA"/>
    <w:rsid w:val="002F502E"/>
    <w:rsid w:val="002F5CA2"/>
    <w:rsid w:val="002F72CD"/>
    <w:rsid w:val="00304B49"/>
    <w:rsid w:val="003055B2"/>
    <w:rsid w:val="00306C8D"/>
    <w:rsid w:val="0031670F"/>
    <w:rsid w:val="00316C1A"/>
    <w:rsid w:val="0032246D"/>
    <w:rsid w:val="00322CC8"/>
    <w:rsid w:val="00326F07"/>
    <w:rsid w:val="00330C36"/>
    <w:rsid w:val="00333717"/>
    <w:rsid w:val="00343DBF"/>
    <w:rsid w:val="0034785D"/>
    <w:rsid w:val="0036206B"/>
    <w:rsid w:val="00363621"/>
    <w:rsid w:val="00365195"/>
    <w:rsid w:val="00367AFD"/>
    <w:rsid w:val="00371BED"/>
    <w:rsid w:val="00371EFA"/>
    <w:rsid w:val="00372C93"/>
    <w:rsid w:val="003746B9"/>
    <w:rsid w:val="00376C37"/>
    <w:rsid w:val="0038202C"/>
    <w:rsid w:val="003821D6"/>
    <w:rsid w:val="003871F2"/>
    <w:rsid w:val="0039041D"/>
    <w:rsid w:val="00390FB4"/>
    <w:rsid w:val="00391B81"/>
    <w:rsid w:val="0039203D"/>
    <w:rsid w:val="003A0629"/>
    <w:rsid w:val="003A36FF"/>
    <w:rsid w:val="003B603E"/>
    <w:rsid w:val="003C124E"/>
    <w:rsid w:val="003C2309"/>
    <w:rsid w:val="003D140C"/>
    <w:rsid w:val="003D1974"/>
    <w:rsid w:val="003D1A1A"/>
    <w:rsid w:val="003D5841"/>
    <w:rsid w:val="003D7080"/>
    <w:rsid w:val="003E1B9B"/>
    <w:rsid w:val="003E6FA8"/>
    <w:rsid w:val="003F25DE"/>
    <w:rsid w:val="003F322C"/>
    <w:rsid w:val="003F5A5F"/>
    <w:rsid w:val="003F5B86"/>
    <w:rsid w:val="00402F62"/>
    <w:rsid w:val="00410174"/>
    <w:rsid w:val="00411653"/>
    <w:rsid w:val="004130C8"/>
    <w:rsid w:val="00413877"/>
    <w:rsid w:val="00420AAA"/>
    <w:rsid w:val="004329DD"/>
    <w:rsid w:val="00434AF5"/>
    <w:rsid w:val="004357D2"/>
    <w:rsid w:val="0043679C"/>
    <w:rsid w:val="00441193"/>
    <w:rsid w:val="004422D6"/>
    <w:rsid w:val="00442D1E"/>
    <w:rsid w:val="00443084"/>
    <w:rsid w:val="004502EB"/>
    <w:rsid w:val="004579E6"/>
    <w:rsid w:val="0046559B"/>
    <w:rsid w:val="00470FDC"/>
    <w:rsid w:val="00471751"/>
    <w:rsid w:val="004730E8"/>
    <w:rsid w:val="00473C3F"/>
    <w:rsid w:val="00476048"/>
    <w:rsid w:val="004826A8"/>
    <w:rsid w:val="0048683F"/>
    <w:rsid w:val="00486CB2"/>
    <w:rsid w:val="00487C71"/>
    <w:rsid w:val="00490B5D"/>
    <w:rsid w:val="00492AA4"/>
    <w:rsid w:val="00494F67"/>
    <w:rsid w:val="004B07D1"/>
    <w:rsid w:val="004B161D"/>
    <w:rsid w:val="004B715F"/>
    <w:rsid w:val="004C08D5"/>
    <w:rsid w:val="004C20D7"/>
    <w:rsid w:val="004C3EFD"/>
    <w:rsid w:val="004D0CDD"/>
    <w:rsid w:val="004D216D"/>
    <w:rsid w:val="004D76CC"/>
    <w:rsid w:val="004E1974"/>
    <w:rsid w:val="004E6425"/>
    <w:rsid w:val="004F2DA5"/>
    <w:rsid w:val="004F2E8D"/>
    <w:rsid w:val="005009DC"/>
    <w:rsid w:val="0050369F"/>
    <w:rsid w:val="00503838"/>
    <w:rsid w:val="00505538"/>
    <w:rsid w:val="0051397B"/>
    <w:rsid w:val="00522AB9"/>
    <w:rsid w:val="00523A1E"/>
    <w:rsid w:val="005307C9"/>
    <w:rsid w:val="00532309"/>
    <w:rsid w:val="00534980"/>
    <w:rsid w:val="005352FF"/>
    <w:rsid w:val="00541FD6"/>
    <w:rsid w:val="00544A83"/>
    <w:rsid w:val="00550A3F"/>
    <w:rsid w:val="00565132"/>
    <w:rsid w:val="00570EC4"/>
    <w:rsid w:val="005770F0"/>
    <w:rsid w:val="00581D20"/>
    <w:rsid w:val="00583223"/>
    <w:rsid w:val="00586AFD"/>
    <w:rsid w:val="00591DFA"/>
    <w:rsid w:val="00597574"/>
    <w:rsid w:val="005A1869"/>
    <w:rsid w:val="005A3550"/>
    <w:rsid w:val="005A4818"/>
    <w:rsid w:val="005A5CD1"/>
    <w:rsid w:val="005B631C"/>
    <w:rsid w:val="005E7061"/>
    <w:rsid w:val="005F0269"/>
    <w:rsid w:val="005F0AAD"/>
    <w:rsid w:val="005F1865"/>
    <w:rsid w:val="00600564"/>
    <w:rsid w:val="00601544"/>
    <w:rsid w:val="006038D1"/>
    <w:rsid w:val="0060413F"/>
    <w:rsid w:val="00605E9B"/>
    <w:rsid w:val="00607211"/>
    <w:rsid w:val="00607354"/>
    <w:rsid w:val="00607FA5"/>
    <w:rsid w:val="00612EA2"/>
    <w:rsid w:val="00613460"/>
    <w:rsid w:val="00613F6F"/>
    <w:rsid w:val="00616B86"/>
    <w:rsid w:val="00623011"/>
    <w:rsid w:val="0063542A"/>
    <w:rsid w:val="00646A26"/>
    <w:rsid w:val="00651294"/>
    <w:rsid w:val="00660C7D"/>
    <w:rsid w:val="0066584E"/>
    <w:rsid w:val="00665A32"/>
    <w:rsid w:val="0067417F"/>
    <w:rsid w:val="00677C20"/>
    <w:rsid w:val="00680129"/>
    <w:rsid w:val="00681370"/>
    <w:rsid w:val="00682088"/>
    <w:rsid w:val="00684C17"/>
    <w:rsid w:val="00687D7D"/>
    <w:rsid w:val="006A4F43"/>
    <w:rsid w:val="006A6E29"/>
    <w:rsid w:val="006A7339"/>
    <w:rsid w:val="006B6B44"/>
    <w:rsid w:val="006B7E11"/>
    <w:rsid w:val="006C2655"/>
    <w:rsid w:val="006D1732"/>
    <w:rsid w:val="006D60C7"/>
    <w:rsid w:val="006E1D42"/>
    <w:rsid w:val="006E27D7"/>
    <w:rsid w:val="006E2CF7"/>
    <w:rsid w:val="006E59CB"/>
    <w:rsid w:val="006E734F"/>
    <w:rsid w:val="006F05A2"/>
    <w:rsid w:val="006F0F36"/>
    <w:rsid w:val="006F1E92"/>
    <w:rsid w:val="006F2B45"/>
    <w:rsid w:val="006F714B"/>
    <w:rsid w:val="006F7BC3"/>
    <w:rsid w:val="00701AD0"/>
    <w:rsid w:val="007023F4"/>
    <w:rsid w:val="0070421F"/>
    <w:rsid w:val="0070450A"/>
    <w:rsid w:val="00707C3E"/>
    <w:rsid w:val="00710955"/>
    <w:rsid w:val="00710F9F"/>
    <w:rsid w:val="0071149A"/>
    <w:rsid w:val="00712925"/>
    <w:rsid w:val="00715BF6"/>
    <w:rsid w:val="00722F16"/>
    <w:rsid w:val="007257EA"/>
    <w:rsid w:val="007269DB"/>
    <w:rsid w:val="00732B69"/>
    <w:rsid w:val="007353ED"/>
    <w:rsid w:val="007370F3"/>
    <w:rsid w:val="00737C6C"/>
    <w:rsid w:val="00737C71"/>
    <w:rsid w:val="0074134A"/>
    <w:rsid w:val="00745D6A"/>
    <w:rsid w:val="00746F42"/>
    <w:rsid w:val="00747D97"/>
    <w:rsid w:val="00751BA6"/>
    <w:rsid w:val="00754EB2"/>
    <w:rsid w:val="0076046E"/>
    <w:rsid w:val="0076124E"/>
    <w:rsid w:val="0076463F"/>
    <w:rsid w:val="00765339"/>
    <w:rsid w:val="007727CC"/>
    <w:rsid w:val="00775E0F"/>
    <w:rsid w:val="00775FA2"/>
    <w:rsid w:val="00784DBB"/>
    <w:rsid w:val="0079055B"/>
    <w:rsid w:val="0079153E"/>
    <w:rsid w:val="00795144"/>
    <w:rsid w:val="007A30DC"/>
    <w:rsid w:val="007A4E3B"/>
    <w:rsid w:val="007C00C5"/>
    <w:rsid w:val="007C6EDE"/>
    <w:rsid w:val="007C780C"/>
    <w:rsid w:val="007D39E5"/>
    <w:rsid w:val="007D3BC4"/>
    <w:rsid w:val="007D4C85"/>
    <w:rsid w:val="007D4D4B"/>
    <w:rsid w:val="007D55FF"/>
    <w:rsid w:val="007D63D2"/>
    <w:rsid w:val="007E7808"/>
    <w:rsid w:val="007F0769"/>
    <w:rsid w:val="007F19CF"/>
    <w:rsid w:val="007F264C"/>
    <w:rsid w:val="007F6749"/>
    <w:rsid w:val="00802EB4"/>
    <w:rsid w:val="00803174"/>
    <w:rsid w:val="00804724"/>
    <w:rsid w:val="008049FC"/>
    <w:rsid w:val="00805CC1"/>
    <w:rsid w:val="00806849"/>
    <w:rsid w:val="0080719C"/>
    <w:rsid w:val="00814548"/>
    <w:rsid w:val="00820152"/>
    <w:rsid w:val="008207C1"/>
    <w:rsid w:val="00820EBE"/>
    <w:rsid w:val="00821902"/>
    <w:rsid w:val="0082400B"/>
    <w:rsid w:val="00824A5C"/>
    <w:rsid w:val="00827D49"/>
    <w:rsid w:val="008319AD"/>
    <w:rsid w:val="008359CA"/>
    <w:rsid w:val="0083674F"/>
    <w:rsid w:val="00837EC0"/>
    <w:rsid w:val="00854069"/>
    <w:rsid w:val="00857327"/>
    <w:rsid w:val="008641BC"/>
    <w:rsid w:val="008702C0"/>
    <w:rsid w:val="00875FEE"/>
    <w:rsid w:val="008765B0"/>
    <w:rsid w:val="00877262"/>
    <w:rsid w:val="00881B65"/>
    <w:rsid w:val="00884149"/>
    <w:rsid w:val="008875D2"/>
    <w:rsid w:val="0089167B"/>
    <w:rsid w:val="00892203"/>
    <w:rsid w:val="008959F7"/>
    <w:rsid w:val="008970D0"/>
    <w:rsid w:val="00897A43"/>
    <w:rsid w:val="008A0E8D"/>
    <w:rsid w:val="008A3F49"/>
    <w:rsid w:val="008A431F"/>
    <w:rsid w:val="008A4CBD"/>
    <w:rsid w:val="008A6B9F"/>
    <w:rsid w:val="008B0867"/>
    <w:rsid w:val="008C3A6F"/>
    <w:rsid w:val="008D1937"/>
    <w:rsid w:val="008D2803"/>
    <w:rsid w:val="008D4B4E"/>
    <w:rsid w:val="008D626F"/>
    <w:rsid w:val="008D70DA"/>
    <w:rsid w:val="008D72B2"/>
    <w:rsid w:val="008E415D"/>
    <w:rsid w:val="008E5051"/>
    <w:rsid w:val="008E5841"/>
    <w:rsid w:val="008F232F"/>
    <w:rsid w:val="008F6456"/>
    <w:rsid w:val="009004C8"/>
    <w:rsid w:val="00902B52"/>
    <w:rsid w:val="009074C3"/>
    <w:rsid w:val="0090771C"/>
    <w:rsid w:val="00910B9F"/>
    <w:rsid w:val="00911408"/>
    <w:rsid w:val="00911A33"/>
    <w:rsid w:val="00916F6B"/>
    <w:rsid w:val="00917E26"/>
    <w:rsid w:val="00922B28"/>
    <w:rsid w:val="00923A1A"/>
    <w:rsid w:val="00924EE0"/>
    <w:rsid w:val="00930AB7"/>
    <w:rsid w:val="00934041"/>
    <w:rsid w:val="00937D19"/>
    <w:rsid w:val="0094590B"/>
    <w:rsid w:val="00945B9E"/>
    <w:rsid w:val="00947502"/>
    <w:rsid w:val="009510EF"/>
    <w:rsid w:val="0095295E"/>
    <w:rsid w:val="00954884"/>
    <w:rsid w:val="009570DD"/>
    <w:rsid w:val="0095757B"/>
    <w:rsid w:val="009746C9"/>
    <w:rsid w:val="009761EE"/>
    <w:rsid w:val="0099176C"/>
    <w:rsid w:val="00992076"/>
    <w:rsid w:val="0099337A"/>
    <w:rsid w:val="009A41FD"/>
    <w:rsid w:val="009A7B9A"/>
    <w:rsid w:val="009B55A1"/>
    <w:rsid w:val="009B5FE0"/>
    <w:rsid w:val="009B60D0"/>
    <w:rsid w:val="009B713F"/>
    <w:rsid w:val="009C4046"/>
    <w:rsid w:val="009D09B4"/>
    <w:rsid w:val="009D1661"/>
    <w:rsid w:val="009D63DF"/>
    <w:rsid w:val="009D6B11"/>
    <w:rsid w:val="009F52AC"/>
    <w:rsid w:val="009F78FD"/>
    <w:rsid w:val="00A00397"/>
    <w:rsid w:val="00A01C03"/>
    <w:rsid w:val="00A059C8"/>
    <w:rsid w:val="00A066B1"/>
    <w:rsid w:val="00A103C4"/>
    <w:rsid w:val="00A11015"/>
    <w:rsid w:val="00A1512F"/>
    <w:rsid w:val="00A15ADC"/>
    <w:rsid w:val="00A20BD0"/>
    <w:rsid w:val="00A219D9"/>
    <w:rsid w:val="00A24F78"/>
    <w:rsid w:val="00A31892"/>
    <w:rsid w:val="00A31AF4"/>
    <w:rsid w:val="00A34629"/>
    <w:rsid w:val="00A37ECB"/>
    <w:rsid w:val="00A41D1A"/>
    <w:rsid w:val="00A443C9"/>
    <w:rsid w:val="00A459AD"/>
    <w:rsid w:val="00A516C5"/>
    <w:rsid w:val="00A57ABB"/>
    <w:rsid w:val="00A57C1B"/>
    <w:rsid w:val="00A64BCE"/>
    <w:rsid w:val="00A64C1F"/>
    <w:rsid w:val="00A7101B"/>
    <w:rsid w:val="00A775D1"/>
    <w:rsid w:val="00A86DDC"/>
    <w:rsid w:val="00A87397"/>
    <w:rsid w:val="00A877E9"/>
    <w:rsid w:val="00A90393"/>
    <w:rsid w:val="00A92199"/>
    <w:rsid w:val="00A923A7"/>
    <w:rsid w:val="00A94746"/>
    <w:rsid w:val="00A95CDE"/>
    <w:rsid w:val="00AA001B"/>
    <w:rsid w:val="00AB2A9D"/>
    <w:rsid w:val="00AB6808"/>
    <w:rsid w:val="00AC139F"/>
    <w:rsid w:val="00AC5A70"/>
    <w:rsid w:val="00AD143C"/>
    <w:rsid w:val="00AD42B6"/>
    <w:rsid w:val="00AD4B42"/>
    <w:rsid w:val="00AE46C4"/>
    <w:rsid w:val="00AF066D"/>
    <w:rsid w:val="00AF1B29"/>
    <w:rsid w:val="00AF7E6B"/>
    <w:rsid w:val="00B04842"/>
    <w:rsid w:val="00B1125B"/>
    <w:rsid w:val="00B20B03"/>
    <w:rsid w:val="00B261EB"/>
    <w:rsid w:val="00B261F1"/>
    <w:rsid w:val="00B26A07"/>
    <w:rsid w:val="00B30B29"/>
    <w:rsid w:val="00B3135C"/>
    <w:rsid w:val="00B342A9"/>
    <w:rsid w:val="00B36DAC"/>
    <w:rsid w:val="00B41804"/>
    <w:rsid w:val="00B45150"/>
    <w:rsid w:val="00B50313"/>
    <w:rsid w:val="00B50328"/>
    <w:rsid w:val="00B518B6"/>
    <w:rsid w:val="00B5255B"/>
    <w:rsid w:val="00B53914"/>
    <w:rsid w:val="00B55745"/>
    <w:rsid w:val="00B57292"/>
    <w:rsid w:val="00B64173"/>
    <w:rsid w:val="00B65A42"/>
    <w:rsid w:val="00B6699B"/>
    <w:rsid w:val="00B67248"/>
    <w:rsid w:val="00B71695"/>
    <w:rsid w:val="00B74F9A"/>
    <w:rsid w:val="00B774AE"/>
    <w:rsid w:val="00B829A8"/>
    <w:rsid w:val="00B82B57"/>
    <w:rsid w:val="00B84621"/>
    <w:rsid w:val="00B85C48"/>
    <w:rsid w:val="00B95EC2"/>
    <w:rsid w:val="00BA2CA1"/>
    <w:rsid w:val="00BA75E2"/>
    <w:rsid w:val="00BB4309"/>
    <w:rsid w:val="00BB5110"/>
    <w:rsid w:val="00BB5741"/>
    <w:rsid w:val="00BB75DD"/>
    <w:rsid w:val="00BC0101"/>
    <w:rsid w:val="00BC366C"/>
    <w:rsid w:val="00BC62F2"/>
    <w:rsid w:val="00BC6E42"/>
    <w:rsid w:val="00BD1564"/>
    <w:rsid w:val="00BD6E99"/>
    <w:rsid w:val="00BE35D1"/>
    <w:rsid w:val="00BE4B27"/>
    <w:rsid w:val="00BE4D59"/>
    <w:rsid w:val="00BE50A9"/>
    <w:rsid w:val="00BE7050"/>
    <w:rsid w:val="00BE7BE1"/>
    <w:rsid w:val="00BF15FF"/>
    <w:rsid w:val="00BF6871"/>
    <w:rsid w:val="00BF7CBD"/>
    <w:rsid w:val="00C044BA"/>
    <w:rsid w:val="00C062B3"/>
    <w:rsid w:val="00C1641A"/>
    <w:rsid w:val="00C1753B"/>
    <w:rsid w:val="00C17717"/>
    <w:rsid w:val="00C204B5"/>
    <w:rsid w:val="00C22B86"/>
    <w:rsid w:val="00C40853"/>
    <w:rsid w:val="00C4615F"/>
    <w:rsid w:val="00C50793"/>
    <w:rsid w:val="00C5660F"/>
    <w:rsid w:val="00C62B85"/>
    <w:rsid w:val="00C6617D"/>
    <w:rsid w:val="00C66467"/>
    <w:rsid w:val="00C7315E"/>
    <w:rsid w:val="00C7386B"/>
    <w:rsid w:val="00C77A86"/>
    <w:rsid w:val="00C807CA"/>
    <w:rsid w:val="00C8306D"/>
    <w:rsid w:val="00C877EE"/>
    <w:rsid w:val="00C87890"/>
    <w:rsid w:val="00C93BF4"/>
    <w:rsid w:val="00C96C13"/>
    <w:rsid w:val="00C979D6"/>
    <w:rsid w:val="00CA2D7E"/>
    <w:rsid w:val="00CA4F93"/>
    <w:rsid w:val="00CA6D1C"/>
    <w:rsid w:val="00CB10A6"/>
    <w:rsid w:val="00CB17BB"/>
    <w:rsid w:val="00CB26E8"/>
    <w:rsid w:val="00CB47FD"/>
    <w:rsid w:val="00CB53C9"/>
    <w:rsid w:val="00CB734F"/>
    <w:rsid w:val="00CC0A9C"/>
    <w:rsid w:val="00CC21B4"/>
    <w:rsid w:val="00CC558A"/>
    <w:rsid w:val="00CD37FC"/>
    <w:rsid w:val="00CD4114"/>
    <w:rsid w:val="00CD4BED"/>
    <w:rsid w:val="00CD7FAA"/>
    <w:rsid w:val="00CE0E44"/>
    <w:rsid w:val="00CE6850"/>
    <w:rsid w:val="00CE68B2"/>
    <w:rsid w:val="00CE7949"/>
    <w:rsid w:val="00CF1A60"/>
    <w:rsid w:val="00CF1F75"/>
    <w:rsid w:val="00CF7554"/>
    <w:rsid w:val="00D01DF6"/>
    <w:rsid w:val="00D0361B"/>
    <w:rsid w:val="00D05B34"/>
    <w:rsid w:val="00D067D3"/>
    <w:rsid w:val="00D07815"/>
    <w:rsid w:val="00D10415"/>
    <w:rsid w:val="00D12395"/>
    <w:rsid w:val="00D155C8"/>
    <w:rsid w:val="00D26E94"/>
    <w:rsid w:val="00D274C6"/>
    <w:rsid w:val="00D30346"/>
    <w:rsid w:val="00D32678"/>
    <w:rsid w:val="00D33AB4"/>
    <w:rsid w:val="00D40262"/>
    <w:rsid w:val="00D44BB4"/>
    <w:rsid w:val="00D47DDA"/>
    <w:rsid w:val="00D54E09"/>
    <w:rsid w:val="00D553B2"/>
    <w:rsid w:val="00D60197"/>
    <w:rsid w:val="00D65DB0"/>
    <w:rsid w:val="00D66C09"/>
    <w:rsid w:val="00D702DD"/>
    <w:rsid w:val="00D70EF0"/>
    <w:rsid w:val="00D754AA"/>
    <w:rsid w:val="00D7613F"/>
    <w:rsid w:val="00D77687"/>
    <w:rsid w:val="00D80208"/>
    <w:rsid w:val="00D831E1"/>
    <w:rsid w:val="00D912CC"/>
    <w:rsid w:val="00DA0024"/>
    <w:rsid w:val="00DA1742"/>
    <w:rsid w:val="00DA7D79"/>
    <w:rsid w:val="00DB00FE"/>
    <w:rsid w:val="00DB11F0"/>
    <w:rsid w:val="00DB3676"/>
    <w:rsid w:val="00DB5663"/>
    <w:rsid w:val="00DB5996"/>
    <w:rsid w:val="00DC54BC"/>
    <w:rsid w:val="00DC65B1"/>
    <w:rsid w:val="00DC684A"/>
    <w:rsid w:val="00DD04FF"/>
    <w:rsid w:val="00DD0960"/>
    <w:rsid w:val="00DD2422"/>
    <w:rsid w:val="00DD46D9"/>
    <w:rsid w:val="00DD5000"/>
    <w:rsid w:val="00DD6F7F"/>
    <w:rsid w:val="00DD729C"/>
    <w:rsid w:val="00DE12F4"/>
    <w:rsid w:val="00DE5D6A"/>
    <w:rsid w:val="00DE68C9"/>
    <w:rsid w:val="00DF1A26"/>
    <w:rsid w:val="00DF63F1"/>
    <w:rsid w:val="00E03DE3"/>
    <w:rsid w:val="00E04FD9"/>
    <w:rsid w:val="00E052F4"/>
    <w:rsid w:val="00E1070E"/>
    <w:rsid w:val="00E10BBE"/>
    <w:rsid w:val="00E11917"/>
    <w:rsid w:val="00E15CAA"/>
    <w:rsid w:val="00E16F3B"/>
    <w:rsid w:val="00E1764C"/>
    <w:rsid w:val="00E24425"/>
    <w:rsid w:val="00E24E8C"/>
    <w:rsid w:val="00E26BF2"/>
    <w:rsid w:val="00E27636"/>
    <w:rsid w:val="00E2778A"/>
    <w:rsid w:val="00E34F23"/>
    <w:rsid w:val="00E35A59"/>
    <w:rsid w:val="00E36FDC"/>
    <w:rsid w:val="00E41203"/>
    <w:rsid w:val="00E51AB4"/>
    <w:rsid w:val="00E51ABC"/>
    <w:rsid w:val="00E536BA"/>
    <w:rsid w:val="00E53765"/>
    <w:rsid w:val="00E578AD"/>
    <w:rsid w:val="00E7609A"/>
    <w:rsid w:val="00E76467"/>
    <w:rsid w:val="00E77DA9"/>
    <w:rsid w:val="00E805B0"/>
    <w:rsid w:val="00E811A5"/>
    <w:rsid w:val="00E82955"/>
    <w:rsid w:val="00E92EB4"/>
    <w:rsid w:val="00E9427E"/>
    <w:rsid w:val="00E94ED2"/>
    <w:rsid w:val="00E96852"/>
    <w:rsid w:val="00E9794A"/>
    <w:rsid w:val="00EA01CF"/>
    <w:rsid w:val="00EA0BF7"/>
    <w:rsid w:val="00EA1696"/>
    <w:rsid w:val="00EA3DAC"/>
    <w:rsid w:val="00EA541A"/>
    <w:rsid w:val="00EA599F"/>
    <w:rsid w:val="00EB0590"/>
    <w:rsid w:val="00EB07AE"/>
    <w:rsid w:val="00EB0974"/>
    <w:rsid w:val="00EB3105"/>
    <w:rsid w:val="00EB7E8B"/>
    <w:rsid w:val="00EC5193"/>
    <w:rsid w:val="00EC683A"/>
    <w:rsid w:val="00EC717E"/>
    <w:rsid w:val="00ED08E3"/>
    <w:rsid w:val="00ED289C"/>
    <w:rsid w:val="00EE291B"/>
    <w:rsid w:val="00EF3DBF"/>
    <w:rsid w:val="00EF486A"/>
    <w:rsid w:val="00EF5FF1"/>
    <w:rsid w:val="00F06871"/>
    <w:rsid w:val="00F06896"/>
    <w:rsid w:val="00F07A29"/>
    <w:rsid w:val="00F161C5"/>
    <w:rsid w:val="00F1696E"/>
    <w:rsid w:val="00F20D1E"/>
    <w:rsid w:val="00F20D6F"/>
    <w:rsid w:val="00F21378"/>
    <w:rsid w:val="00F230AE"/>
    <w:rsid w:val="00F25110"/>
    <w:rsid w:val="00F268F6"/>
    <w:rsid w:val="00F30F80"/>
    <w:rsid w:val="00F32253"/>
    <w:rsid w:val="00F32443"/>
    <w:rsid w:val="00F3421B"/>
    <w:rsid w:val="00F359D4"/>
    <w:rsid w:val="00F36BDB"/>
    <w:rsid w:val="00F40100"/>
    <w:rsid w:val="00F40936"/>
    <w:rsid w:val="00F44AAB"/>
    <w:rsid w:val="00F45DC3"/>
    <w:rsid w:val="00F46C13"/>
    <w:rsid w:val="00F536EF"/>
    <w:rsid w:val="00F60222"/>
    <w:rsid w:val="00F627D2"/>
    <w:rsid w:val="00F65842"/>
    <w:rsid w:val="00F65B32"/>
    <w:rsid w:val="00F65E88"/>
    <w:rsid w:val="00F75006"/>
    <w:rsid w:val="00F75FFB"/>
    <w:rsid w:val="00F84CC7"/>
    <w:rsid w:val="00F858FC"/>
    <w:rsid w:val="00F87C22"/>
    <w:rsid w:val="00F92AB5"/>
    <w:rsid w:val="00F933BC"/>
    <w:rsid w:val="00F9493F"/>
    <w:rsid w:val="00F97097"/>
    <w:rsid w:val="00FA096A"/>
    <w:rsid w:val="00FA1B0D"/>
    <w:rsid w:val="00FA1D91"/>
    <w:rsid w:val="00FA2A36"/>
    <w:rsid w:val="00FA7286"/>
    <w:rsid w:val="00FA7768"/>
    <w:rsid w:val="00FB0978"/>
    <w:rsid w:val="00FB3AD0"/>
    <w:rsid w:val="00FB51C6"/>
    <w:rsid w:val="00FB5521"/>
    <w:rsid w:val="00FB7170"/>
    <w:rsid w:val="00FC01BB"/>
    <w:rsid w:val="00FC2ACA"/>
    <w:rsid w:val="00FC4EFD"/>
    <w:rsid w:val="00FD0127"/>
    <w:rsid w:val="00FD1F8B"/>
    <w:rsid w:val="00FD5234"/>
    <w:rsid w:val="00FE1740"/>
    <w:rsid w:val="00FE2C7D"/>
    <w:rsid w:val="00FE4660"/>
    <w:rsid w:val="00FE65BB"/>
    <w:rsid w:val="00FF3A70"/>
    <w:rsid w:val="00FF687A"/>
    <w:rsid w:val="329DA7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D84AF3A"/>
  <w15:docId w15:val="{33D2629D-5292-41A3-8022-87AB18FA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061921"/>
    <w:rPr>
      <w:rFonts w:ascii="Times New Roman" w:eastAsiaTheme="minorHAnsi" w:hAnsi="Times New Roman" w:cs="Times New Roman"/>
      <w:sz w:val="24"/>
      <w:szCs w:val="24"/>
      <w:lang w:eastAsia="en-US"/>
    </w:rPr>
  </w:style>
  <w:style w:type="paragraph" w:styleId="Heading2">
    <w:name w:val="heading 2"/>
    <w:basedOn w:val="Normal"/>
    <w:next w:val="Normal"/>
    <w:link w:val="Heading2Char"/>
    <w:uiPriority w:val="9"/>
    <w:semiHidden/>
    <w:unhideWhenUsed/>
    <w:qFormat/>
    <w:rsid w:val="008D4B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921"/>
    <w:pPr>
      <w:tabs>
        <w:tab w:val="center" w:pos="4320"/>
        <w:tab w:val="right" w:pos="8640"/>
      </w:tabs>
    </w:pPr>
  </w:style>
  <w:style w:type="character" w:customStyle="1" w:styleId="HeaderChar">
    <w:name w:val="Header Char"/>
    <w:basedOn w:val="DefaultParagraphFont"/>
    <w:link w:val="Header"/>
    <w:uiPriority w:val="99"/>
    <w:rsid w:val="00061921"/>
    <w:rPr>
      <w:rFonts w:ascii="Times New Roman" w:eastAsiaTheme="minorHAnsi" w:hAnsi="Times New Roman" w:cs="Times New Roman"/>
      <w:sz w:val="24"/>
      <w:szCs w:val="24"/>
      <w:lang w:eastAsia="en-US"/>
    </w:rPr>
  </w:style>
  <w:style w:type="paragraph" w:styleId="Footer">
    <w:name w:val="footer"/>
    <w:basedOn w:val="Normal"/>
    <w:link w:val="FooterChar"/>
    <w:uiPriority w:val="99"/>
    <w:unhideWhenUsed/>
    <w:rsid w:val="00061921"/>
    <w:pPr>
      <w:tabs>
        <w:tab w:val="center" w:pos="4320"/>
        <w:tab w:val="right" w:pos="8640"/>
      </w:tabs>
    </w:pPr>
  </w:style>
  <w:style w:type="character" w:customStyle="1" w:styleId="FooterChar">
    <w:name w:val="Footer Char"/>
    <w:basedOn w:val="DefaultParagraphFont"/>
    <w:link w:val="Footer"/>
    <w:uiPriority w:val="99"/>
    <w:rsid w:val="00061921"/>
    <w:rPr>
      <w:rFonts w:ascii="Times New Roman" w:eastAsiaTheme="minorHAnsi" w:hAnsi="Times New Roman" w:cs="Times New Roman"/>
      <w:sz w:val="24"/>
      <w:szCs w:val="24"/>
      <w:lang w:eastAsia="en-US"/>
    </w:rPr>
  </w:style>
  <w:style w:type="paragraph" w:styleId="Subtitle">
    <w:name w:val="Subtitle"/>
    <w:basedOn w:val="Normal"/>
    <w:next w:val="Normal"/>
    <w:link w:val="SubtitleChar"/>
    <w:qFormat/>
    <w:rsid w:val="00061921"/>
    <w:pPr>
      <w:widowControl w:val="0"/>
      <w:autoSpaceDE w:val="0"/>
      <w:autoSpaceDN w:val="0"/>
      <w:adjustRightInd w:val="0"/>
    </w:pPr>
    <w:rPr>
      <w:rFonts w:ascii="TimesNewRoman" w:eastAsia="Times New Roman" w:hAnsi="TimesNewRoman"/>
      <w:szCs w:val="20"/>
    </w:rPr>
  </w:style>
  <w:style w:type="character" w:customStyle="1" w:styleId="SubtitleChar">
    <w:name w:val="Subtitle Char"/>
    <w:basedOn w:val="DefaultParagraphFont"/>
    <w:link w:val="Subtitle"/>
    <w:rsid w:val="00061921"/>
    <w:rPr>
      <w:rFonts w:ascii="TimesNewRoman" w:eastAsia="Times New Roman" w:hAnsi="TimesNewRoman" w:cs="Times New Roman"/>
      <w:sz w:val="24"/>
      <w:lang w:eastAsia="en-US"/>
    </w:rPr>
  </w:style>
  <w:style w:type="paragraph" w:styleId="ListParagraph">
    <w:name w:val="List Paragraph"/>
    <w:basedOn w:val="Normal"/>
    <w:uiPriority w:val="35"/>
    <w:qFormat/>
    <w:rsid w:val="004422D6"/>
    <w:pPr>
      <w:ind w:left="720"/>
      <w:contextualSpacing/>
    </w:pPr>
  </w:style>
  <w:style w:type="paragraph" w:styleId="BalloonText">
    <w:name w:val="Balloon Text"/>
    <w:basedOn w:val="Normal"/>
    <w:link w:val="BalloonTextChar"/>
    <w:uiPriority w:val="99"/>
    <w:semiHidden/>
    <w:unhideWhenUsed/>
    <w:rsid w:val="00BC62F2"/>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2F2"/>
    <w:rPr>
      <w:rFonts w:ascii="Lucida Grande" w:eastAsiaTheme="minorHAnsi" w:hAnsi="Lucida Grande" w:cs="Times New Roman"/>
      <w:sz w:val="18"/>
      <w:szCs w:val="18"/>
      <w:lang w:eastAsia="en-US"/>
    </w:rPr>
  </w:style>
  <w:style w:type="character" w:styleId="CommentReference">
    <w:name w:val="annotation reference"/>
    <w:basedOn w:val="DefaultParagraphFont"/>
    <w:uiPriority w:val="99"/>
    <w:semiHidden/>
    <w:unhideWhenUsed/>
    <w:rsid w:val="00BC62F2"/>
    <w:rPr>
      <w:sz w:val="18"/>
      <w:szCs w:val="18"/>
    </w:rPr>
  </w:style>
  <w:style w:type="paragraph" w:styleId="CommentText">
    <w:name w:val="annotation text"/>
    <w:basedOn w:val="Normal"/>
    <w:link w:val="CommentTextChar"/>
    <w:uiPriority w:val="99"/>
    <w:semiHidden/>
    <w:unhideWhenUsed/>
    <w:rsid w:val="00BC62F2"/>
  </w:style>
  <w:style w:type="character" w:customStyle="1" w:styleId="CommentTextChar">
    <w:name w:val="Comment Text Char"/>
    <w:basedOn w:val="DefaultParagraphFont"/>
    <w:link w:val="CommentText"/>
    <w:uiPriority w:val="99"/>
    <w:semiHidden/>
    <w:rsid w:val="00BC62F2"/>
    <w:rPr>
      <w:rFonts w:ascii="Times New Roman" w:eastAsiaTheme="minorHAnsi"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BC62F2"/>
    <w:rPr>
      <w:b/>
      <w:bCs/>
      <w:sz w:val="20"/>
      <w:szCs w:val="20"/>
    </w:rPr>
  </w:style>
  <w:style w:type="character" w:customStyle="1" w:styleId="CommentSubjectChar">
    <w:name w:val="Comment Subject Char"/>
    <w:basedOn w:val="CommentTextChar"/>
    <w:link w:val="CommentSubject"/>
    <w:uiPriority w:val="99"/>
    <w:semiHidden/>
    <w:rsid w:val="00BC62F2"/>
    <w:rPr>
      <w:rFonts w:ascii="Times New Roman" w:eastAsiaTheme="minorHAnsi" w:hAnsi="Times New Roman" w:cs="Times New Roman"/>
      <w:b/>
      <w:bCs/>
      <w:sz w:val="24"/>
      <w:szCs w:val="24"/>
      <w:lang w:eastAsia="en-US"/>
    </w:rPr>
  </w:style>
  <w:style w:type="paragraph" w:styleId="FootnoteText">
    <w:name w:val="footnote text"/>
    <w:basedOn w:val="Normal"/>
    <w:link w:val="FootnoteTextChar"/>
    <w:uiPriority w:val="99"/>
    <w:unhideWhenUsed/>
    <w:rsid w:val="0008415B"/>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08415B"/>
    <w:rPr>
      <w:sz w:val="24"/>
      <w:szCs w:val="24"/>
    </w:rPr>
  </w:style>
  <w:style w:type="character" w:styleId="FootnoteReference">
    <w:name w:val="footnote reference"/>
    <w:basedOn w:val="DefaultParagraphFont"/>
    <w:uiPriority w:val="99"/>
    <w:unhideWhenUsed/>
    <w:rsid w:val="0008415B"/>
    <w:rPr>
      <w:vertAlign w:val="superscript"/>
    </w:rPr>
  </w:style>
  <w:style w:type="character" w:styleId="LineNumber">
    <w:name w:val="line number"/>
    <w:basedOn w:val="DefaultParagraphFont"/>
    <w:uiPriority w:val="99"/>
    <w:semiHidden/>
    <w:unhideWhenUsed/>
    <w:rsid w:val="00C979D6"/>
  </w:style>
  <w:style w:type="paragraph" w:customStyle="1" w:styleId="question">
    <w:name w:val="question"/>
    <w:basedOn w:val="Normal"/>
    <w:next w:val="Normal"/>
    <w:link w:val="questionChar"/>
    <w:uiPriority w:val="99"/>
    <w:rsid w:val="00367AFD"/>
    <w:pPr>
      <w:keepNext/>
      <w:spacing w:before="240" w:after="120" w:line="480" w:lineRule="auto"/>
      <w:ind w:left="720" w:hanging="720"/>
    </w:pPr>
    <w:rPr>
      <w:rFonts w:eastAsia="Times New Roman"/>
      <w:b/>
      <w:szCs w:val="20"/>
      <w:lang w:eastAsia="zh-CN"/>
    </w:rPr>
  </w:style>
  <w:style w:type="character" w:customStyle="1" w:styleId="questionChar">
    <w:name w:val="question Char"/>
    <w:basedOn w:val="DefaultParagraphFont"/>
    <w:link w:val="question"/>
    <w:uiPriority w:val="99"/>
    <w:locked/>
    <w:rsid w:val="00367AFD"/>
    <w:rPr>
      <w:rFonts w:ascii="Times New Roman" w:eastAsia="Times New Roman" w:hAnsi="Times New Roman" w:cs="Times New Roman"/>
      <w:b/>
      <w:sz w:val="24"/>
      <w:lang w:eastAsia="zh-CN"/>
    </w:rPr>
  </w:style>
  <w:style w:type="character" w:customStyle="1" w:styleId="Heading2Char">
    <w:name w:val="Heading 2 Char"/>
    <w:basedOn w:val="DefaultParagraphFont"/>
    <w:link w:val="Heading2"/>
    <w:uiPriority w:val="9"/>
    <w:semiHidden/>
    <w:rsid w:val="008D4B4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04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2017-09-18T07:00:00+00:00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99EC3CD-2FEE-4433-AC1B-E43E0F40E91E}">
  <ds:schemaRefs>
    <ds:schemaRef ds:uri="http://schemas.openxmlformats.org/officeDocument/2006/bibliography"/>
  </ds:schemaRefs>
</ds:datastoreItem>
</file>

<file path=customXml/itemProps2.xml><?xml version="1.0" encoding="utf-8"?>
<ds:datastoreItem xmlns:ds="http://schemas.openxmlformats.org/officeDocument/2006/customXml" ds:itemID="{80ED7B24-6277-4AEA-9F9C-810AD167F5C0}"/>
</file>

<file path=customXml/itemProps3.xml><?xml version="1.0" encoding="utf-8"?>
<ds:datastoreItem xmlns:ds="http://schemas.openxmlformats.org/officeDocument/2006/customXml" ds:itemID="{CEBBD614-251E-4315-B783-4ABE87C02EEA}"/>
</file>

<file path=customXml/itemProps4.xml><?xml version="1.0" encoding="utf-8"?>
<ds:datastoreItem xmlns:ds="http://schemas.openxmlformats.org/officeDocument/2006/customXml" ds:itemID="{213F0F91-64E7-4E7D-A5BD-9E50A21EE759}"/>
</file>

<file path=customXml/itemProps5.xml><?xml version="1.0" encoding="utf-8"?>
<ds:datastoreItem xmlns:ds="http://schemas.openxmlformats.org/officeDocument/2006/customXml" ds:itemID="{7F0CBA8F-A14A-43CC-AC5D-05A8959D6DDB}"/>
</file>

<file path=docProps/app.xml><?xml version="1.0" encoding="utf-8"?>
<Properties xmlns="http://schemas.openxmlformats.org/officeDocument/2006/extended-properties" xmlns:vt="http://schemas.openxmlformats.org/officeDocument/2006/docPropsVTypes">
  <Template>Normal.dotm</Template>
  <TotalTime>50</TotalTime>
  <Pages>9</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Opportunity Council</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 Collins</dc:creator>
  <cp:lastModifiedBy>ffitchlaw</cp:lastModifiedBy>
  <cp:revision>24</cp:revision>
  <cp:lastPrinted>2017-09-18T16:08:00Z</cp:lastPrinted>
  <dcterms:created xsi:type="dcterms:W3CDTF">2017-09-18T15:27:00Z</dcterms:created>
  <dcterms:modified xsi:type="dcterms:W3CDTF">2017-09-18T16:29:00Z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0x0101006E56B4D1795A2E4DB2F0B01679ED314A00718D2FBB09848246B6FD4A5A815592E3</vt:lpwstr>
  </property>
  <property fmtid="{D5CDD505-2E9C-101B-9397-08002B2CF9AE}" pid="4" name="_docset_NoMedatataSyncRequired">
    <vt:lpwstr>False</vt:lpwstr>
  </property>
  <property fmtid="{D5CDD505-2E9C-101B-9397-08002B2CF9AE}" pid="5" name="IsEFSEC">
    <vt:bool>false</vt:bool>
  </property>
</Properties>
</file>