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18EE" w14:textId="10C2A7C9" w:rsidR="00EA3F1B" w:rsidRPr="00A2358C" w:rsidRDefault="00011936" w:rsidP="00B54941">
      <w:pPr>
        <w:pStyle w:val="single"/>
        <w:widowControl w:val="0"/>
        <w:spacing w:before="0" w:line="240" w:lineRule="auto"/>
        <w:ind w:left="5040" w:firstLine="0"/>
        <w:rPr>
          <w:rStyle w:val="Strong"/>
          <w:rFonts w:asciiTheme="majorHAnsi" w:hAnsiTheme="majorHAnsi" w:cstheme="majorHAnsi"/>
          <w:szCs w:val="24"/>
        </w:rPr>
      </w:pPr>
      <w:bookmarkStart w:id="0" w:name="_GoBack"/>
      <w:bookmarkEnd w:id="0"/>
      <w:r>
        <w:rPr>
          <w:rStyle w:val="Strong"/>
          <w:rFonts w:asciiTheme="majorHAnsi" w:hAnsiTheme="majorHAnsi" w:cstheme="majorHAnsi"/>
          <w:szCs w:val="24"/>
        </w:rPr>
        <w:t xml:space="preserve">EXHIBIT </w:t>
      </w:r>
      <w:r w:rsidR="00267092">
        <w:rPr>
          <w:rStyle w:val="Strong"/>
          <w:rFonts w:asciiTheme="majorHAnsi" w:hAnsiTheme="majorHAnsi" w:cstheme="majorHAnsi"/>
          <w:szCs w:val="24"/>
        </w:rPr>
        <w:t>NO. ___ (</w:t>
      </w:r>
      <w:r w:rsidR="00EA3F1B" w:rsidRPr="00A2358C">
        <w:rPr>
          <w:rStyle w:val="Strong"/>
          <w:rFonts w:asciiTheme="majorHAnsi" w:hAnsiTheme="majorHAnsi" w:cstheme="majorHAnsi"/>
          <w:szCs w:val="24"/>
        </w:rPr>
        <w:t>D</w:t>
      </w:r>
      <w:r w:rsidR="00BF50F3">
        <w:rPr>
          <w:rStyle w:val="Strong"/>
          <w:rFonts w:asciiTheme="majorHAnsi" w:hAnsiTheme="majorHAnsi" w:cstheme="majorHAnsi"/>
          <w:szCs w:val="24"/>
        </w:rPr>
        <w:t>H</w:t>
      </w:r>
      <w:r w:rsidR="00EA3F1B" w:rsidRPr="00A2358C">
        <w:rPr>
          <w:rStyle w:val="Strong"/>
          <w:rFonts w:asciiTheme="majorHAnsi" w:hAnsiTheme="majorHAnsi" w:cstheme="majorHAnsi"/>
          <w:szCs w:val="24"/>
        </w:rPr>
        <w:t>H-1</w:t>
      </w:r>
      <w:r w:rsidR="00936E83" w:rsidRPr="00A2358C">
        <w:rPr>
          <w:rStyle w:val="Strong"/>
          <w:rFonts w:asciiTheme="majorHAnsi" w:hAnsiTheme="majorHAnsi" w:cstheme="majorHAnsi"/>
          <w:szCs w:val="24"/>
        </w:rPr>
        <w:t>T</w:t>
      </w:r>
      <w:r w:rsidR="00267092">
        <w:rPr>
          <w:rStyle w:val="Strong"/>
          <w:rFonts w:asciiTheme="majorHAnsi" w:hAnsiTheme="majorHAnsi" w:cstheme="majorHAnsi"/>
          <w:szCs w:val="24"/>
        </w:rPr>
        <w:t>)</w:t>
      </w:r>
      <w:r w:rsidR="00EA3F1B" w:rsidRPr="00A2358C">
        <w:rPr>
          <w:rStyle w:val="Strong"/>
          <w:rFonts w:asciiTheme="majorHAnsi" w:hAnsiTheme="majorHAnsi" w:cstheme="majorHAnsi"/>
          <w:szCs w:val="24"/>
        </w:rPr>
        <w:br/>
        <w:t xml:space="preserve">DOCKETS </w:t>
      </w:r>
      <w:r w:rsidR="007F25D0" w:rsidRPr="00A2358C">
        <w:rPr>
          <w:rStyle w:val="Strong"/>
          <w:rFonts w:asciiTheme="majorHAnsi" w:hAnsiTheme="majorHAnsi" w:cstheme="majorHAnsi"/>
          <w:szCs w:val="24"/>
        </w:rPr>
        <w:t>UE-</w:t>
      </w:r>
      <w:r w:rsidR="007F25D0" w:rsidRPr="00A2358C">
        <w:rPr>
          <w:rFonts w:asciiTheme="majorHAnsi" w:hAnsiTheme="majorHAnsi" w:cstheme="majorHAnsi"/>
          <w:b/>
          <w:szCs w:val="24"/>
        </w:rPr>
        <w:t>170033</w:t>
      </w:r>
      <w:r w:rsidR="00EA3F1B" w:rsidRPr="00A2358C">
        <w:rPr>
          <w:rStyle w:val="Strong"/>
          <w:rFonts w:asciiTheme="majorHAnsi" w:hAnsiTheme="majorHAnsi" w:cstheme="majorHAnsi"/>
          <w:szCs w:val="24"/>
        </w:rPr>
        <w:t>/UG-17</w:t>
      </w:r>
      <w:r w:rsidR="007F25D0" w:rsidRPr="00A2358C">
        <w:rPr>
          <w:rStyle w:val="Strong"/>
          <w:rFonts w:asciiTheme="majorHAnsi" w:hAnsiTheme="majorHAnsi" w:cstheme="majorHAnsi"/>
          <w:szCs w:val="24"/>
        </w:rPr>
        <w:t>0034</w:t>
      </w:r>
      <w:r w:rsidR="00EA3F1B" w:rsidRPr="00A2358C">
        <w:rPr>
          <w:rStyle w:val="Strong"/>
          <w:rFonts w:asciiTheme="majorHAnsi" w:hAnsiTheme="majorHAnsi" w:cstheme="majorHAnsi"/>
          <w:szCs w:val="24"/>
        </w:rPr>
        <w:br/>
        <w:t xml:space="preserve">2017 </w:t>
      </w:r>
      <w:r w:rsidR="00B54941">
        <w:rPr>
          <w:rStyle w:val="Strong"/>
          <w:rFonts w:asciiTheme="majorHAnsi" w:hAnsiTheme="majorHAnsi" w:cstheme="majorHAnsi"/>
          <w:szCs w:val="24"/>
        </w:rPr>
        <w:t>PSE GENERAL RATE CASE</w:t>
      </w:r>
      <w:r w:rsidR="00B54941">
        <w:rPr>
          <w:rStyle w:val="Strong"/>
          <w:rFonts w:asciiTheme="majorHAnsi" w:hAnsiTheme="majorHAnsi" w:cstheme="majorHAnsi"/>
          <w:szCs w:val="24"/>
        </w:rPr>
        <w:br/>
        <w:t>WITNESS: </w:t>
      </w:r>
      <w:r w:rsidR="00684AFC">
        <w:rPr>
          <w:rFonts w:asciiTheme="majorHAnsi" w:hAnsiTheme="majorHAnsi" w:cstheme="majorHAnsi"/>
          <w:b/>
          <w:color w:val="000000"/>
          <w:szCs w:val="24"/>
        </w:rPr>
        <w:t>DOUG</w:t>
      </w:r>
      <w:r w:rsidR="008875DF">
        <w:rPr>
          <w:rFonts w:asciiTheme="majorHAnsi" w:hAnsiTheme="majorHAnsi" w:cstheme="majorHAnsi"/>
          <w:b/>
          <w:color w:val="000000"/>
          <w:szCs w:val="24"/>
        </w:rPr>
        <w:t>LAS H.</w:t>
      </w:r>
      <w:r w:rsidR="00684AFC">
        <w:rPr>
          <w:rFonts w:asciiTheme="majorHAnsi" w:hAnsiTheme="majorHAnsi" w:cstheme="majorHAnsi"/>
          <w:b/>
          <w:color w:val="000000"/>
          <w:szCs w:val="24"/>
        </w:rPr>
        <w:t xml:space="preserve"> HOWELL</w:t>
      </w:r>
    </w:p>
    <w:p w14:paraId="49CD32B5" w14:textId="0D0AC18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70AF0466" w14:textId="0548AB47" w:rsidR="00C00DB7" w:rsidRPr="00A2358C" w:rsidRDefault="00C00DB7" w:rsidP="00EA3F1B">
      <w:pPr>
        <w:pStyle w:val="center"/>
        <w:keepLines w:val="0"/>
        <w:widowControl w:val="0"/>
        <w:spacing w:before="0" w:line="240" w:lineRule="auto"/>
        <w:rPr>
          <w:rFonts w:asciiTheme="majorHAnsi" w:hAnsiTheme="majorHAnsi" w:cstheme="majorHAnsi"/>
          <w:b/>
          <w:szCs w:val="24"/>
        </w:rPr>
      </w:pPr>
    </w:p>
    <w:p w14:paraId="4FDF7DC3" w14:textId="4BE879CE" w:rsidR="00C00DB7" w:rsidRPr="00A2358C" w:rsidRDefault="00C00DB7" w:rsidP="00EA3F1B">
      <w:pPr>
        <w:pStyle w:val="center"/>
        <w:keepLines w:val="0"/>
        <w:widowControl w:val="0"/>
        <w:spacing w:before="0" w:line="240" w:lineRule="auto"/>
        <w:rPr>
          <w:rFonts w:asciiTheme="majorHAnsi" w:hAnsiTheme="majorHAnsi" w:cstheme="majorHAnsi"/>
          <w:b/>
          <w:szCs w:val="24"/>
        </w:rPr>
      </w:pPr>
    </w:p>
    <w:p w14:paraId="601F3832" w14:textId="77777777" w:rsidR="00EA3F1B" w:rsidRPr="00A2358C" w:rsidRDefault="00EA3F1B" w:rsidP="007F25D0">
      <w:pPr>
        <w:pStyle w:val="center"/>
        <w:keepLines w:val="0"/>
        <w:widowControl w:val="0"/>
        <w:spacing w:before="0" w:line="240" w:lineRule="auto"/>
        <w:jc w:val="left"/>
        <w:rPr>
          <w:rFonts w:asciiTheme="majorHAnsi" w:hAnsiTheme="majorHAnsi" w:cstheme="majorHAnsi"/>
          <w:b/>
          <w:szCs w:val="24"/>
        </w:rPr>
      </w:pPr>
    </w:p>
    <w:p w14:paraId="28BBCC54"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479A7726"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BEFORE THE</w:t>
      </w:r>
    </w:p>
    <w:p w14:paraId="0BD9D555"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WASHINGTON UTILITIES AND TRANSPORTATION COMMISSION</w:t>
      </w:r>
    </w:p>
    <w:p w14:paraId="3ED9E044"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477D67FF"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310B6C91"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EA3F1B" w:rsidRPr="00A2358C" w14:paraId="58CC88B7" w14:textId="77777777" w:rsidTr="002057D2">
        <w:tc>
          <w:tcPr>
            <w:tcW w:w="4536" w:type="dxa"/>
            <w:tcBorders>
              <w:top w:val="nil"/>
              <w:left w:val="nil"/>
            </w:tcBorders>
          </w:tcPr>
          <w:p w14:paraId="1E50C2BB" w14:textId="77777777" w:rsidR="00EA3F1B" w:rsidRPr="00A2358C" w:rsidRDefault="00EA3F1B" w:rsidP="002057D2">
            <w:pPr>
              <w:spacing w:after="240" w:line="240" w:lineRule="auto"/>
              <w:ind w:firstLine="0"/>
              <w:rPr>
                <w:rFonts w:asciiTheme="majorHAnsi" w:hAnsiTheme="majorHAnsi" w:cstheme="majorHAnsi"/>
                <w:b/>
                <w:sz w:val="24"/>
                <w:szCs w:val="24"/>
              </w:rPr>
            </w:pPr>
            <w:r w:rsidRPr="00A2358C">
              <w:rPr>
                <w:rFonts w:asciiTheme="majorHAnsi" w:hAnsiTheme="majorHAnsi" w:cstheme="majorHAnsi"/>
                <w:b/>
                <w:sz w:val="24"/>
                <w:szCs w:val="24"/>
              </w:rPr>
              <w:t>WASHINGTON UTILITIES AND TRANSPORTATION COMMISSION,</w:t>
            </w:r>
          </w:p>
          <w:p w14:paraId="1B4B416C" w14:textId="77777777" w:rsidR="00EA3F1B" w:rsidRPr="00A2358C" w:rsidRDefault="00EA3F1B" w:rsidP="002057D2">
            <w:pPr>
              <w:spacing w:after="240" w:line="240" w:lineRule="auto"/>
              <w:ind w:left="2160" w:firstLine="0"/>
              <w:rPr>
                <w:rFonts w:asciiTheme="majorHAnsi" w:hAnsiTheme="majorHAnsi" w:cstheme="majorHAnsi"/>
                <w:b/>
                <w:sz w:val="24"/>
                <w:szCs w:val="24"/>
              </w:rPr>
            </w:pPr>
            <w:r w:rsidRPr="00A2358C">
              <w:rPr>
                <w:rFonts w:asciiTheme="majorHAnsi" w:hAnsiTheme="majorHAnsi" w:cstheme="majorHAnsi"/>
                <w:b/>
                <w:sz w:val="24"/>
                <w:szCs w:val="24"/>
              </w:rPr>
              <w:t>Complainant,</w:t>
            </w:r>
          </w:p>
          <w:p w14:paraId="31199CA2" w14:textId="77777777" w:rsidR="00EA3F1B" w:rsidRPr="00A2358C" w:rsidRDefault="00EA3F1B" w:rsidP="002057D2">
            <w:pPr>
              <w:spacing w:after="240" w:line="240" w:lineRule="auto"/>
              <w:ind w:left="1440" w:firstLine="0"/>
              <w:rPr>
                <w:rFonts w:asciiTheme="majorHAnsi" w:hAnsiTheme="majorHAnsi" w:cstheme="majorHAnsi"/>
                <w:b/>
                <w:sz w:val="24"/>
                <w:szCs w:val="24"/>
              </w:rPr>
            </w:pPr>
            <w:r w:rsidRPr="00A2358C">
              <w:rPr>
                <w:rFonts w:asciiTheme="majorHAnsi" w:hAnsiTheme="majorHAnsi" w:cstheme="majorHAnsi"/>
                <w:b/>
                <w:sz w:val="24"/>
                <w:szCs w:val="24"/>
              </w:rPr>
              <w:t>v.</w:t>
            </w:r>
          </w:p>
          <w:p w14:paraId="3E9AC8DF" w14:textId="77777777" w:rsidR="00EA3F1B" w:rsidRPr="00A2358C" w:rsidRDefault="00EA3F1B" w:rsidP="002057D2">
            <w:pPr>
              <w:spacing w:after="240" w:line="240" w:lineRule="auto"/>
              <w:ind w:firstLine="0"/>
              <w:rPr>
                <w:rFonts w:asciiTheme="majorHAnsi" w:hAnsiTheme="majorHAnsi" w:cstheme="majorHAnsi"/>
                <w:b/>
                <w:sz w:val="24"/>
                <w:szCs w:val="24"/>
              </w:rPr>
            </w:pPr>
            <w:r w:rsidRPr="00A2358C">
              <w:rPr>
                <w:rFonts w:asciiTheme="majorHAnsi" w:hAnsiTheme="majorHAnsi" w:cstheme="majorHAnsi"/>
                <w:b/>
                <w:sz w:val="24"/>
                <w:szCs w:val="24"/>
              </w:rPr>
              <w:t>PUGET SOUND ENERGY,</w:t>
            </w:r>
          </w:p>
          <w:p w14:paraId="5318DA91" w14:textId="77777777" w:rsidR="00EA3F1B" w:rsidRPr="00A2358C" w:rsidRDefault="00EA3F1B" w:rsidP="002057D2">
            <w:pPr>
              <w:spacing w:after="240" w:line="240" w:lineRule="auto"/>
              <w:ind w:left="2160" w:firstLine="0"/>
              <w:rPr>
                <w:rFonts w:asciiTheme="majorHAnsi" w:hAnsiTheme="majorHAnsi" w:cstheme="majorHAnsi"/>
                <w:b/>
                <w:sz w:val="24"/>
                <w:szCs w:val="24"/>
              </w:rPr>
            </w:pPr>
            <w:r w:rsidRPr="00A2358C">
              <w:rPr>
                <w:rFonts w:asciiTheme="majorHAnsi" w:hAnsiTheme="majorHAnsi" w:cstheme="majorHAnsi"/>
                <w:b/>
                <w:sz w:val="24"/>
                <w:szCs w:val="24"/>
              </w:rPr>
              <w:t>Respondent.</w:t>
            </w:r>
          </w:p>
        </w:tc>
        <w:tc>
          <w:tcPr>
            <w:tcW w:w="4545" w:type="dxa"/>
            <w:tcBorders>
              <w:top w:val="nil"/>
              <w:bottom w:val="nil"/>
              <w:right w:val="nil"/>
            </w:tcBorders>
            <w:vAlign w:val="center"/>
          </w:tcPr>
          <w:p w14:paraId="7B85D86B" w14:textId="4599FC18" w:rsidR="00EA3F1B" w:rsidRPr="00A2358C" w:rsidRDefault="007F25D0" w:rsidP="007F25D0">
            <w:pPr>
              <w:keepNext/>
              <w:keepLines/>
              <w:spacing w:after="240" w:line="240" w:lineRule="auto"/>
              <w:ind w:left="324" w:firstLine="0"/>
              <w:jc w:val="center"/>
              <w:rPr>
                <w:rFonts w:asciiTheme="majorHAnsi" w:hAnsiTheme="majorHAnsi" w:cstheme="majorHAnsi"/>
                <w:b/>
                <w:sz w:val="24"/>
                <w:szCs w:val="24"/>
              </w:rPr>
            </w:pPr>
            <w:r w:rsidRPr="00A2358C">
              <w:rPr>
                <w:rFonts w:asciiTheme="majorHAnsi" w:hAnsiTheme="majorHAnsi" w:cstheme="majorHAnsi"/>
                <w:b/>
                <w:sz w:val="24"/>
                <w:szCs w:val="24"/>
              </w:rPr>
              <w:t>Docket UE-170033</w:t>
            </w:r>
            <w:r w:rsidRPr="00A2358C">
              <w:rPr>
                <w:rFonts w:asciiTheme="majorHAnsi" w:hAnsiTheme="majorHAnsi" w:cstheme="majorHAnsi"/>
                <w:b/>
                <w:sz w:val="24"/>
                <w:szCs w:val="24"/>
              </w:rPr>
              <w:br/>
              <w:t>Docket UG-170034</w:t>
            </w:r>
          </w:p>
        </w:tc>
      </w:tr>
    </w:tbl>
    <w:p w14:paraId="39A5BA75" w14:textId="0689697E" w:rsidR="00EA3F1B" w:rsidRPr="00A2358C" w:rsidRDefault="00EA3F1B" w:rsidP="00C00DB7">
      <w:pPr>
        <w:pStyle w:val="center"/>
        <w:keepLines w:val="0"/>
        <w:widowControl w:val="0"/>
        <w:spacing w:before="0" w:line="240" w:lineRule="auto"/>
        <w:jc w:val="left"/>
        <w:rPr>
          <w:rFonts w:asciiTheme="majorHAnsi" w:hAnsiTheme="majorHAnsi" w:cstheme="majorHAnsi"/>
          <w:b/>
          <w:szCs w:val="24"/>
        </w:rPr>
      </w:pPr>
    </w:p>
    <w:p w14:paraId="60A0B7ED" w14:textId="5489BA50" w:rsidR="00C00DB7" w:rsidRPr="00A2358C" w:rsidRDefault="00C00DB7" w:rsidP="00C00DB7">
      <w:pPr>
        <w:pStyle w:val="center"/>
        <w:keepLines w:val="0"/>
        <w:widowControl w:val="0"/>
        <w:spacing w:before="0" w:line="240" w:lineRule="auto"/>
        <w:jc w:val="left"/>
        <w:rPr>
          <w:rFonts w:asciiTheme="majorHAnsi" w:hAnsiTheme="majorHAnsi" w:cstheme="majorHAnsi"/>
          <w:b/>
          <w:szCs w:val="24"/>
        </w:rPr>
      </w:pPr>
    </w:p>
    <w:p w14:paraId="42BD75B7" w14:textId="77777777" w:rsidR="00C00DB7" w:rsidRPr="00A2358C" w:rsidRDefault="00C00DB7" w:rsidP="00C00DB7">
      <w:pPr>
        <w:pStyle w:val="center"/>
        <w:keepLines w:val="0"/>
        <w:widowControl w:val="0"/>
        <w:spacing w:before="0" w:line="240" w:lineRule="auto"/>
        <w:jc w:val="left"/>
        <w:rPr>
          <w:rFonts w:asciiTheme="majorHAnsi" w:hAnsiTheme="majorHAnsi" w:cstheme="majorHAnsi"/>
          <w:b/>
          <w:szCs w:val="24"/>
        </w:rPr>
      </w:pPr>
    </w:p>
    <w:p w14:paraId="25EEFC83"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5C59F78B"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027A740E" w14:textId="11DA3EFF" w:rsidR="00EA3F1B" w:rsidRPr="00A2358C" w:rsidRDefault="00EA3F1B" w:rsidP="00EA3F1B">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TESTIMONY OF</w:t>
      </w:r>
    </w:p>
    <w:p w14:paraId="2EC2E76C"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0634E5C5" w14:textId="3A91C17D" w:rsidR="00EA3F1B" w:rsidRPr="00A2358C" w:rsidRDefault="008875DF" w:rsidP="00EA3F1B">
      <w:pPr>
        <w:pStyle w:val="center"/>
        <w:keepLines w:val="0"/>
        <w:widowControl w:val="0"/>
        <w:spacing w:before="0" w:line="240" w:lineRule="auto"/>
        <w:rPr>
          <w:rFonts w:asciiTheme="majorHAnsi" w:hAnsiTheme="majorHAnsi" w:cstheme="majorHAnsi"/>
          <w:b/>
          <w:color w:val="000000"/>
          <w:szCs w:val="24"/>
        </w:rPr>
      </w:pPr>
      <w:r>
        <w:rPr>
          <w:rFonts w:asciiTheme="majorHAnsi" w:hAnsiTheme="majorHAnsi" w:cstheme="majorHAnsi"/>
          <w:b/>
          <w:color w:val="000000"/>
          <w:szCs w:val="24"/>
        </w:rPr>
        <w:t>DOUGLAS H. HOWELL</w:t>
      </w:r>
    </w:p>
    <w:p w14:paraId="365F5E48"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03B0ADFA" w14:textId="59DA3E4F" w:rsidR="00EA3F1B" w:rsidRPr="00A2358C" w:rsidRDefault="00EA3F1B" w:rsidP="00EA3F1B">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ON BEHALF OF SIERRA CLUB</w:t>
      </w:r>
    </w:p>
    <w:p w14:paraId="2C0EFDAE" w14:textId="77777777" w:rsidR="00457D8C" w:rsidRPr="00A2358C" w:rsidRDefault="00457D8C">
      <w:pPr>
        <w:pStyle w:val="NoSpacing"/>
        <w:rPr>
          <w:rFonts w:asciiTheme="majorHAnsi" w:hAnsiTheme="majorHAnsi" w:cstheme="majorHAnsi"/>
          <w:sz w:val="24"/>
          <w:szCs w:val="24"/>
        </w:rPr>
      </w:pPr>
    </w:p>
    <w:p w14:paraId="70668DE0" w14:textId="513C37EE" w:rsidR="00C00DB7" w:rsidRPr="00A2358C" w:rsidRDefault="00C00DB7" w:rsidP="00FD7B0F">
      <w:pPr>
        <w:pStyle w:val="Heading1"/>
        <w:numPr>
          <w:ilvl w:val="0"/>
          <w:numId w:val="0"/>
        </w:numPr>
        <w:ind w:left="720"/>
      </w:pPr>
    </w:p>
    <w:p w14:paraId="0E3A7BA2" w14:textId="11B714B1" w:rsidR="00C00DB7" w:rsidRPr="00A2358C" w:rsidRDefault="00C00DB7" w:rsidP="00C00DB7">
      <w:pPr>
        <w:rPr>
          <w:rFonts w:asciiTheme="majorHAnsi" w:hAnsiTheme="majorHAnsi" w:cstheme="majorHAnsi"/>
          <w:sz w:val="24"/>
          <w:szCs w:val="24"/>
        </w:rPr>
      </w:pPr>
    </w:p>
    <w:p w14:paraId="37A1862B" w14:textId="34C55853" w:rsidR="00C00DB7" w:rsidRDefault="00D82E01" w:rsidP="00C00DB7">
      <w:pPr>
        <w:pStyle w:val="center"/>
        <w:keepLines w:val="0"/>
        <w:widowControl w:val="0"/>
        <w:spacing w:before="0" w:line="240" w:lineRule="auto"/>
        <w:rPr>
          <w:rFonts w:asciiTheme="majorHAnsi" w:hAnsiTheme="majorHAnsi" w:cstheme="majorHAnsi"/>
          <w:b/>
          <w:szCs w:val="24"/>
        </w:rPr>
      </w:pPr>
      <w:r>
        <w:rPr>
          <w:rFonts w:asciiTheme="majorHAnsi" w:hAnsiTheme="majorHAnsi" w:cstheme="majorHAnsi"/>
          <w:b/>
          <w:szCs w:val="24"/>
        </w:rPr>
        <w:t>September 15</w:t>
      </w:r>
      <w:r w:rsidR="00C00DB7" w:rsidRPr="00A2358C">
        <w:rPr>
          <w:rFonts w:asciiTheme="majorHAnsi" w:hAnsiTheme="majorHAnsi" w:cstheme="majorHAnsi"/>
          <w:b/>
          <w:szCs w:val="24"/>
        </w:rPr>
        <w:t>, 2017</w:t>
      </w:r>
    </w:p>
    <w:p w14:paraId="01F18726"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7A04550A"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09CEDC48"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66617E1F" w14:textId="77777777" w:rsidR="00C2456A" w:rsidRDefault="00C2456A" w:rsidP="00C00DB7">
      <w:pPr>
        <w:pStyle w:val="center"/>
        <w:keepLines w:val="0"/>
        <w:widowControl w:val="0"/>
        <w:spacing w:before="0" w:line="240" w:lineRule="auto"/>
        <w:rPr>
          <w:rFonts w:asciiTheme="majorHAnsi" w:hAnsiTheme="majorHAnsi" w:cstheme="majorHAnsi"/>
          <w:b/>
          <w:szCs w:val="24"/>
        </w:rPr>
        <w:sectPr w:rsidR="00C2456A" w:rsidSect="00C2456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pgNumType w:fmt="lowerRoman"/>
          <w:cols w:space="720"/>
          <w:docGrid w:linePitch="360"/>
        </w:sectPr>
      </w:pPr>
    </w:p>
    <w:sdt>
      <w:sdtPr>
        <w:rPr>
          <w:rFonts w:asciiTheme="minorHAnsi" w:eastAsiaTheme="minorEastAsia" w:hAnsiTheme="minorHAnsi" w:cstheme="minorBidi"/>
          <w:b w:val="0"/>
          <w:bCs w:val="0"/>
          <w:color w:val="auto"/>
          <w:sz w:val="20"/>
          <w:szCs w:val="20"/>
        </w:rPr>
        <w:id w:val="652646298"/>
        <w:docPartObj>
          <w:docPartGallery w:val="Table of Contents"/>
          <w:docPartUnique/>
        </w:docPartObj>
      </w:sdtPr>
      <w:sdtEndPr>
        <w:rPr>
          <w:noProof/>
        </w:rPr>
      </w:sdtEndPr>
      <w:sdtContent>
        <w:p w14:paraId="5BA2FBEF" w14:textId="23DDEA54" w:rsidR="00392898" w:rsidRDefault="00392898" w:rsidP="00C2456A">
          <w:pPr>
            <w:pStyle w:val="TOCHeading"/>
            <w:spacing w:before="0" w:after="240"/>
            <w:jc w:val="center"/>
            <w:rPr>
              <w:color w:val="auto"/>
            </w:rPr>
          </w:pPr>
          <w:r w:rsidRPr="00392898">
            <w:rPr>
              <w:color w:val="auto"/>
            </w:rPr>
            <w:t>Table of Contents</w:t>
          </w:r>
        </w:p>
        <w:p w14:paraId="31F46798" w14:textId="77777777" w:rsidR="001C461F" w:rsidRPr="001C461F" w:rsidRDefault="001C461F" w:rsidP="001C461F">
          <w:pPr>
            <w:spacing w:line="240" w:lineRule="auto"/>
          </w:pPr>
        </w:p>
        <w:p w14:paraId="224F21EE" w14:textId="77777777" w:rsidR="001C461F" w:rsidRPr="001C461F" w:rsidRDefault="00392898" w:rsidP="001C461F">
          <w:pPr>
            <w:pStyle w:val="TOC1"/>
            <w:rPr>
              <w:noProof/>
              <w:sz w:val="24"/>
              <w:szCs w:val="24"/>
              <w:lang w:eastAsia="en-US"/>
            </w:rPr>
          </w:pPr>
          <w:r w:rsidRPr="003F0FDB">
            <w:fldChar w:fldCharType="begin"/>
          </w:r>
          <w:r w:rsidRPr="003F0FDB">
            <w:instrText xml:space="preserve"> TOC \o "1-3" \h \z \u </w:instrText>
          </w:r>
          <w:r w:rsidRPr="003F0FDB">
            <w:fldChar w:fldCharType="separate"/>
          </w:r>
          <w:hyperlink w:anchor="_Toc493237311" w:history="1">
            <w:r w:rsidR="001C461F" w:rsidRPr="001C461F">
              <w:rPr>
                <w:rStyle w:val="Hyperlink"/>
                <w:noProof/>
                <w:sz w:val="24"/>
                <w:szCs w:val="24"/>
                <w14:scene3d>
                  <w14:camera w14:prst="orthographicFront"/>
                  <w14:lightRig w14:rig="threePt" w14:dir="t">
                    <w14:rot w14:lat="0" w14:lon="0" w14:rev="0"/>
                  </w14:lightRig>
                </w14:scene3d>
              </w:rPr>
              <w:t>I.</w:t>
            </w:r>
            <w:r w:rsidR="001C461F" w:rsidRPr="001C461F">
              <w:rPr>
                <w:noProof/>
                <w:sz w:val="24"/>
                <w:szCs w:val="24"/>
                <w:lang w:eastAsia="en-US"/>
              </w:rPr>
              <w:tab/>
            </w:r>
            <w:r w:rsidR="001C461F" w:rsidRPr="001C461F">
              <w:rPr>
                <w:rStyle w:val="Hyperlink"/>
                <w:noProof/>
                <w:sz w:val="24"/>
                <w:szCs w:val="24"/>
              </w:rPr>
              <w:t>Qualifications and Purpose of Testimony</w:t>
            </w:r>
            <w:r w:rsidR="001C461F" w:rsidRPr="001C461F">
              <w:rPr>
                <w:noProof/>
                <w:webHidden/>
                <w:sz w:val="24"/>
                <w:szCs w:val="24"/>
              </w:rPr>
              <w:tab/>
            </w:r>
            <w:r w:rsidR="001C461F" w:rsidRPr="001C461F">
              <w:rPr>
                <w:noProof/>
                <w:webHidden/>
                <w:sz w:val="24"/>
                <w:szCs w:val="24"/>
              </w:rPr>
              <w:fldChar w:fldCharType="begin"/>
            </w:r>
            <w:r w:rsidR="001C461F" w:rsidRPr="001C461F">
              <w:rPr>
                <w:noProof/>
                <w:webHidden/>
                <w:sz w:val="24"/>
                <w:szCs w:val="24"/>
              </w:rPr>
              <w:instrText xml:space="preserve"> PAGEREF _Toc493237311 \h </w:instrText>
            </w:r>
            <w:r w:rsidR="001C461F" w:rsidRPr="001C461F">
              <w:rPr>
                <w:noProof/>
                <w:webHidden/>
                <w:sz w:val="24"/>
                <w:szCs w:val="24"/>
              </w:rPr>
            </w:r>
            <w:r w:rsidR="001C461F" w:rsidRPr="001C461F">
              <w:rPr>
                <w:noProof/>
                <w:webHidden/>
                <w:sz w:val="24"/>
                <w:szCs w:val="24"/>
              </w:rPr>
              <w:fldChar w:fldCharType="separate"/>
            </w:r>
            <w:r w:rsidR="000B0C81">
              <w:rPr>
                <w:noProof/>
                <w:webHidden/>
                <w:sz w:val="24"/>
                <w:szCs w:val="24"/>
              </w:rPr>
              <w:t>1</w:t>
            </w:r>
            <w:r w:rsidR="001C461F" w:rsidRPr="001C461F">
              <w:rPr>
                <w:noProof/>
                <w:webHidden/>
                <w:sz w:val="24"/>
                <w:szCs w:val="24"/>
              </w:rPr>
              <w:fldChar w:fldCharType="end"/>
            </w:r>
          </w:hyperlink>
        </w:p>
        <w:p w14:paraId="50D57B61" w14:textId="0EE6D8B3" w:rsidR="001C461F" w:rsidRPr="001C461F" w:rsidRDefault="0002246E" w:rsidP="001C461F">
          <w:pPr>
            <w:pStyle w:val="TOC1"/>
            <w:rPr>
              <w:noProof/>
              <w:sz w:val="24"/>
              <w:szCs w:val="24"/>
              <w:lang w:eastAsia="en-US"/>
            </w:rPr>
          </w:pPr>
          <w:hyperlink w:anchor="_Toc493237312" w:history="1">
            <w:r w:rsidR="001C461F" w:rsidRPr="001C461F">
              <w:rPr>
                <w:rStyle w:val="Hyperlink"/>
                <w:noProof/>
                <w:sz w:val="24"/>
                <w:szCs w:val="24"/>
                <w14:scene3d>
                  <w14:camera w14:prst="orthographicFront"/>
                  <w14:lightRig w14:rig="threePt" w14:dir="t">
                    <w14:rot w14:lat="0" w14:lon="0" w14:rev="0"/>
                  </w14:lightRig>
                </w14:scene3d>
              </w:rPr>
              <w:t>II.</w:t>
            </w:r>
            <w:r w:rsidR="001C461F" w:rsidRPr="001C461F">
              <w:rPr>
                <w:noProof/>
                <w:sz w:val="24"/>
                <w:szCs w:val="24"/>
                <w:lang w:eastAsia="en-US"/>
              </w:rPr>
              <w:tab/>
            </w:r>
            <w:r w:rsidR="001C461F" w:rsidRPr="001C461F">
              <w:rPr>
                <w:rStyle w:val="Hyperlink"/>
                <w:noProof/>
                <w:sz w:val="24"/>
                <w:szCs w:val="24"/>
              </w:rPr>
              <w:t>Summary of Sierra Club Position</w:t>
            </w:r>
            <w:r w:rsidR="001C461F" w:rsidRPr="001C461F">
              <w:rPr>
                <w:noProof/>
                <w:webHidden/>
                <w:sz w:val="24"/>
                <w:szCs w:val="24"/>
              </w:rPr>
              <w:tab/>
            </w:r>
            <w:r w:rsidR="001C461F" w:rsidRPr="001C461F">
              <w:rPr>
                <w:noProof/>
                <w:webHidden/>
                <w:sz w:val="24"/>
                <w:szCs w:val="24"/>
              </w:rPr>
              <w:fldChar w:fldCharType="begin"/>
            </w:r>
            <w:r w:rsidR="001C461F" w:rsidRPr="001C461F">
              <w:rPr>
                <w:noProof/>
                <w:webHidden/>
                <w:sz w:val="24"/>
                <w:szCs w:val="24"/>
              </w:rPr>
              <w:instrText xml:space="preserve"> PAGEREF _Toc493237312 \h </w:instrText>
            </w:r>
            <w:r w:rsidR="001C461F" w:rsidRPr="001C461F">
              <w:rPr>
                <w:noProof/>
                <w:webHidden/>
                <w:sz w:val="24"/>
                <w:szCs w:val="24"/>
              </w:rPr>
            </w:r>
            <w:r w:rsidR="001C461F" w:rsidRPr="001C461F">
              <w:rPr>
                <w:noProof/>
                <w:webHidden/>
                <w:sz w:val="24"/>
                <w:szCs w:val="24"/>
              </w:rPr>
              <w:fldChar w:fldCharType="separate"/>
            </w:r>
            <w:r w:rsidR="000B0C81">
              <w:rPr>
                <w:noProof/>
                <w:webHidden/>
                <w:sz w:val="24"/>
                <w:szCs w:val="24"/>
              </w:rPr>
              <w:t>3</w:t>
            </w:r>
            <w:r w:rsidR="001C461F" w:rsidRPr="001C461F">
              <w:rPr>
                <w:noProof/>
                <w:webHidden/>
                <w:sz w:val="24"/>
                <w:szCs w:val="24"/>
              </w:rPr>
              <w:fldChar w:fldCharType="end"/>
            </w:r>
          </w:hyperlink>
        </w:p>
        <w:p w14:paraId="28EB22DD" w14:textId="77777777" w:rsidR="001C461F" w:rsidRPr="001C461F" w:rsidRDefault="0002246E" w:rsidP="001C461F">
          <w:pPr>
            <w:pStyle w:val="TOC1"/>
            <w:rPr>
              <w:noProof/>
              <w:sz w:val="24"/>
              <w:szCs w:val="24"/>
              <w:lang w:eastAsia="en-US"/>
            </w:rPr>
          </w:pPr>
          <w:hyperlink w:anchor="_Toc493237313" w:history="1">
            <w:r w:rsidR="001C461F" w:rsidRPr="001C461F">
              <w:rPr>
                <w:rStyle w:val="Hyperlink"/>
                <w:noProof/>
                <w:sz w:val="24"/>
                <w:szCs w:val="24"/>
                <w14:scene3d>
                  <w14:camera w14:prst="orthographicFront"/>
                  <w14:lightRig w14:rig="threePt" w14:dir="t">
                    <w14:rot w14:lat="0" w14:lon="0" w14:rev="0"/>
                  </w14:lightRig>
                </w14:scene3d>
              </w:rPr>
              <w:t>III.</w:t>
            </w:r>
            <w:r w:rsidR="001C461F" w:rsidRPr="001C461F">
              <w:rPr>
                <w:noProof/>
                <w:sz w:val="24"/>
                <w:szCs w:val="24"/>
                <w:lang w:eastAsia="en-US"/>
              </w:rPr>
              <w:tab/>
            </w:r>
            <w:r w:rsidR="001C461F" w:rsidRPr="001C461F">
              <w:rPr>
                <w:rStyle w:val="Hyperlink"/>
                <w:noProof/>
                <w:sz w:val="24"/>
                <w:szCs w:val="24"/>
              </w:rPr>
              <w:t>Colstrip Units 3 and 4 Depreciation</w:t>
            </w:r>
            <w:r w:rsidR="001C461F" w:rsidRPr="001C461F">
              <w:rPr>
                <w:noProof/>
                <w:webHidden/>
                <w:sz w:val="24"/>
                <w:szCs w:val="24"/>
              </w:rPr>
              <w:tab/>
            </w:r>
            <w:r w:rsidR="001C461F" w:rsidRPr="001C461F">
              <w:rPr>
                <w:noProof/>
                <w:webHidden/>
                <w:sz w:val="24"/>
                <w:szCs w:val="24"/>
              </w:rPr>
              <w:fldChar w:fldCharType="begin"/>
            </w:r>
            <w:r w:rsidR="001C461F" w:rsidRPr="001C461F">
              <w:rPr>
                <w:noProof/>
                <w:webHidden/>
                <w:sz w:val="24"/>
                <w:szCs w:val="24"/>
              </w:rPr>
              <w:instrText xml:space="preserve"> PAGEREF _Toc493237313 \h </w:instrText>
            </w:r>
            <w:r w:rsidR="001C461F" w:rsidRPr="001C461F">
              <w:rPr>
                <w:noProof/>
                <w:webHidden/>
                <w:sz w:val="24"/>
                <w:szCs w:val="24"/>
              </w:rPr>
            </w:r>
            <w:r w:rsidR="001C461F" w:rsidRPr="001C461F">
              <w:rPr>
                <w:noProof/>
                <w:webHidden/>
                <w:sz w:val="24"/>
                <w:szCs w:val="24"/>
              </w:rPr>
              <w:fldChar w:fldCharType="separate"/>
            </w:r>
            <w:r w:rsidR="000B0C81">
              <w:rPr>
                <w:noProof/>
                <w:webHidden/>
                <w:sz w:val="24"/>
                <w:szCs w:val="24"/>
              </w:rPr>
              <w:t>6</w:t>
            </w:r>
            <w:r w:rsidR="001C461F" w:rsidRPr="001C461F">
              <w:rPr>
                <w:noProof/>
                <w:webHidden/>
                <w:sz w:val="24"/>
                <w:szCs w:val="24"/>
              </w:rPr>
              <w:fldChar w:fldCharType="end"/>
            </w:r>
          </w:hyperlink>
        </w:p>
        <w:p w14:paraId="5FA53DF8" w14:textId="77777777" w:rsidR="001C461F" w:rsidRPr="001C461F" w:rsidRDefault="0002246E" w:rsidP="001C461F">
          <w:pPr>
            <w:pStyle w:val="TOC1"/>
            <w:rPr>
              <w:noProof/>
              <w:sz w:val="24"/>
              <w:szCs w:val="24"/>
              <w:lang w:eastAsia="en-US"/>
            </w:rPr>
          </w:pPr>
          <w:hyperlink w:anchor="_Toc493237314" w:history="1">
            <w:r w:rsidR="001C461F" w:rsidRPr="001C461F">
              <w:rPr>
                <w:rStyle w:val="Hyperlink"/>
                <w:noProof/>
                <w:sz w:val="24"/>
                <w:szCs w:val="24"/>
                <w14:scene3d>
                  <w14:camera w14:prst="orthographicFront"/>
                  <w14:lightRig w14:rig="threePt" w14:dir="t">
                    <w14:rot w14:lat="0" w14:lon="0" w14:rev="0"/>
                  </w14:lightRig>
                </w14:scene3d>
              </w:rPr>
              <w:t>IV.</w:t>
            </w:r>
            <w:r w:rsidR="001C461F" w:rsidRPr="001C461F">
              <w:rPr>
                <w:noProof/>
                <w:sz w:val="24"/>
                <w:szCs w:val="24"/>
                <w:lang w:eastAsia="en-US"/>
              </w:rPr>
              <w:tab/>
            </w:r>
            <w:r w:rsidR="001C461F" w:rsidRPr="001C461F">
              <w:rPr>
                <w:rStyle w:val="Hyperlink"/>
                <w:noProof/>
                <w:sz w:val="24"/>
                <w:szCs w:val="24"/>
              </w:rPr>
              <w:t>The Settlement Provides Economic Benefits for PSE Customers</w:t>
            </w:r>
            <w:r w:rsidR="001C461F" w:rsidRPr="001C461F">
              <w:rPr>
                <w:noProof/>
                <w:webHidden/>
                <w:sz w:val="24"/>
                <w:szCs w:val="24"/>
              </w:rPr>
              <w:tab/>
            </w:r>
            <w:r w:rsidR="001C461F" w:rsidRPr="001C461F">
              <w:rPr>
                <w:noProof/>
                <w:webHidden/>
                <w:sz w:val="24"/>
                <w:szCs w:val="24"/>
              </w:rPr>
              <w:fldChar w:fldCharType="begin"/>
            </w:r>
            <w:r w:rsidR="001C461F" w:rsidRPr="001C461F">
              <w:rPr>
                <w:noProof/>
                <w:webHidden/>
                <w:sz w:val="24"/>
                <w:szCs w:val="24"/>
              </w:rPr>
              <w:instrText xml:space="preserve"> PAGEREF _Toc493237314 \h </w:instrText>
            </w:r>
            <w:r w:rsidR="001C461F" w:rsidRPr="001C461F">
              <w:rPr>
                <w:noProof/>
                <w:webHidden/>
                <w:sz w:val="24"/>
                <w:szCs w:val="24"/>
              </w:rPr>
            </w:r>
            <w:r w:rsidR="001C461F" w:rsidRPr="001C461F">
              <w:rPr>
                <w:noProof/>
                <w:webHidden/>
                <w:sz w:val="24"/>
                <w:szCs w:val="24"/>
              </w:rPr>
              <w:fldChar w:fldCharType="separate"/>
            </w:r>
            <w:r w:rsidR="000B0C81">
              <w:rPr>
                <w:noProof/>
                <w:webHidden/>
                <w:sz w:val="24"/>
                <w:szCs w:val="24"/>
              </w:rPr>
              <w:t>11</w:t>
            </w:r>
            <w:r w:rsidR="001C461F" w:rsidRPr="001C461F">
              <w:rPr>
                <w:noProof/>
                <w:webHidden/>
                <w:sz w:val="24"/>
                <w:szCs w:val="24"/>
              </w:rPr>
              <w:fldChar w:fldCharType="end"/>
            </w:r>
          </w:hyperlink>
        </w:p>
        <w:p w14:paraId="61472A15" w14:textId="77777777" w:rsidR="001C461F" w:rsidRPr="001C461F" w:rsidRDefault="0002246E" w:rsidP="001C461F">
          <w:pPr>
            <w:pStyle w:val="TOC1"/>
            <w:rPr>
              <w:noProof/>
              <w:sz w:val="24"/>
              <w:szCs w:val="24"/>
              <w:lang w:eastAsia="en-US"/>
            </w:rPr>
          </w:pPr>
          <w:hyperlink w:anchor="_Toc493237315" w:history="1">
            <w:r w:rsidR="001C461F" w:rsidRPr="001C461F">
              <w:rPr>
                <w:rStyle w:val="Hyperlink"/>
                <w:noProof/>
                <w:sz w:val="24"/>
                <w:szCs w:val="24"/>
                <w14:scene3d>
                  <w14:camera w14:prst="orthographicFront"/>
                  <w14:lightRig w14:rig="threePt" w14:dir="t">
                    <w14:rot w14:lat="0" w14:lon="0" w14:rev="0"/>
                  </w14:lightRig>
                </w14:scene3d>
              </w:rPr>
              <w:t>V.</w:t>
            </w:r>
            <w:r w:rsidR="001C461F" w:rsidRPr="001C461F">
              <w:rPr>
                <w:noProof/>
                <w:sz w:val="24"/>
                <w:szCs w:val="24"/>
                <w:lang w:eastAsia="en-US"/>
              </w:rPr>
              <w:tab/>
            </w:r>
            <w:r w:rsidR="001C461F" w:rsidRPr="001C461F">
              <w:rPr>
                <w:rStyle w:val="Hyperlink"/>
                <w:noProof/>
                <w:sz w:val="24"/>
                <w:szCs w:val="24"/>
              </w:rPr>
              <w:t>Transitioning Off of Colstrip Will Provide Environmental Benefits</w:t>
            </w:r>
            <w:r w:rsidR="001C461F" w:rsidRPr="001C461F">
              <w:rPr>
                <w:noProof/>
                <w:webHidden/>
                <w:sz w:val="24"/>
                <w:szCs w:val="24"/>
              </w:rPr>
              <w:tab/>
            </w:r>
            <w:r w:rsidR="001C461F" w:rsidRPr="001C461F">
              <w:rPr>
                <w:noProof/>
                <w:webHidden/>
                <w:sz w:val="24"/>
                <w:szCs w:val="24"/>
              </w:rPr>
              <w:fldChar w:fldCharType="begin"/>
            </w:r>
            <w:r w:rsidR="001C461F" w:rsidRPr="001C461F">
              <w:rPr>
                <w:noProof/>
                <w:webHidden/>
                <w:sz w:val="24"/>
                <w:szCs w:val="24"/>
              </w:rPr>
              <w:instrText xml:space="preserve"> PAGEREF _Toc493237315 \h </w:instrText>
            </w:r>
            <w:r w:rsidR="001C461F" w:rsidRPr="001C461F">
              <w:rPr>
                <w:noProof/>
                <w:webHidden/>
                <w:sz w:val="24"/>
                <w:szCs w:val="24"/>
              </w:rPr>
            </w:r>
            <w:r w:rsidR="001C461F" w:rsidRPr="001C461F">
              <w:rPr>
                <w:noProof/>
                <w:webHidden/>
                <w:sz w:val="24"/>
                <w:szCs w:val="24"/>
              </w:rPr>
              <w:fldChar w:fldCharType="separate"/>
            </w:r>
            <w:r w:rsidR="000B0C81">
              <w:rPr>
                <w:noProof/>
                <w:webHidden/>
                <w:sz w:val="24"/>
                <w:szCs w:val="24"/>
              </w:rPr>
              <w:t>15</w:t>
            </w:r>
            <w:r w:rsidR="001C461F" w:rsidRPr="001C461F">
              <w:rPr>
                <w:noProof/>
                <w:webHidden/>
                <w:sz w:val="24"/>
                <w:szCs w:val="24"/>
              </w:rPr>
              <w:fldChar w:fldCharType="end"/>
            </w:r>
          </w:hyperlink>
        </w:p>
        <w:p w14:paraId="0226636A" w14:textId="77777777" w:rsidR="001C461F" w:rsidRPr="001C461F" w:rsidRDefault="0002246E" w:rsidP="001C461F">
          <w:pPr>
            <w:pStyle w:val="TOC1"/>
            <w:rPr>
              <w:noProof/>
              <w:sz w:val="24"/>
              <w:szCs w:val="24"/>
              <w:lang w:eastAsia="en-US"/>
            </w:rPr>
          </w:pPr>
          <w:hyperlink w:anchor="_Toc493237316" w:history="1">
            <w:r w:rsidR="001C461F" w:rsidRPr="001C461F">
              <w:rPr>
                <w:rStyle w:val="Hyperlink"/>
                <w:noProof/>
                <w:sz w:val="24"/>
                <w:szCs w:val="24"/>
                <w14:scene3d>
                  <w14:camera w14:prst="orthographicFront"/>
                  <w14:lightRig w14:rig="threePt" w14:dir="t">
                    <w14:rot w14:lat="0" w14:lon="0" w14:rev="0"/>
                  </w14:lightRig>
                </w14:scene3d>
              </w:rPr>
              <w:t>VI.</w:t>
            </w:r>
            <w:r w:rsidR="001C461F" w:rsidRPr="001C461F">
              <w:rPr>
                <w:noProof/>
                <w:sz w:val="24"/>
                <w:szCs w:val="24"/>
                <w:lang w:eastAsia="en-US"/>
              </w:rPr>
              <w:tab/>
            </w:r>
            <w:r w:rsidR="001C461F" w:rsidRPr="001C461F">
              <w:rPr>
                <w:rStyle w:val="Hyperlink"/>
                <w:noProof/>
                <w:sz w:val="24"/>
                <w:szCs w:val="24"/>
              </w:rPr>
              <w:t>A Responsible Community Transition Plan will Help Provide an Equitable End to the Colstrip Plant</w:t>
            </w:r>
            <w:r w:rsidR="001C461F" w:rsidRPr="001C461F">
              <w:rPr>
                <w:noProof/>
                <w:webHidden/>
                <w:sz w:val="24"/>
                <w:szCs w:val="24"/>
              </w:rPr>
              <w:tab/>
            </w:r>
            <w:r w:rsidR="001C461F" w:rsidRPr="001C461F">
              <w:rPr>
                <w:noProof/>
                <w:webHidden/>
                <w:sz w:val="24"/>
                <w:szCs w:val="24"/>
              </w:rPr>
              <w:fldChar w:fldCharType="begin"/>
            </w:r>
            <w:r w:rsidR="001C461F" w:rsidRPr="001C461F">
              <w:rPr>
                <w:noProof/>
                <w:webHidden/>
                <w:sz w:val="24"/>
                <w:szCs w:val="24"/>
              </w:rPr>
              <w:instrText xml:space="preserve"> PAGEREF _Toc493237316 \h </w:instrText>
            </w:r>
            <w:r w:rsidR="001C461F" w:rsidRPr="001C461F">
              <w:rPr>
                <w:noProof/>
                <w:webHidden/>
                <w:sz w:val="24"/>
                <w:szCs w:val="24"/>
              </w:rPr>
            </w:r>
            <w:r w:rsidR="001C461F" w:rsidRPr="001C461F">
              <w:rPr>
                <w:noProof/>
                <w:webHidden/>
                <w:sz w:val="24"/>
                <w:szCs w:val="24"/>
              </w:rPr>
              <w:fldChar w:fldCharType="separate"/>
            </w:r>
            <w:r w:rsidR="000B0C81">
              <w:rPr>
                <w:noProof/>
                <w:webHidden/>
                <w:sz w:val="24"/>
                <w:szCs w:val="24"/>
              </w:rPr>
              <w:t>16</w:t>
            </w:r>
            <w:r w:rsidR="001C461F" w:rsidRPr="001C461F">
              <w:rPr>
                <w:noProof/>
                <w:webHidden/>
                <w:sz w:val="24"/>
                <w:szCs w:val="24"/>
              </w:rPr>
              <w:fldChar w:fldCharType="end"/>
            </w:r>
          </w:hyperlink>
        </w:p>
        <w:p w14:paraId="15C08FAF" w14:textId="77777777" w:rsidR="001C461F" w:rsidRPr="001C461F" w:rsidRDefault="0002246E" w:rsidP="001C461F">
          <w:pPr>
            <w:pStyle w:val="TOC1"/>
            <w:rPr>
              <w:noProof/>
              <w:sz w:val="24"/>
              <w:szCs w:val="24"/>
              <w:lang w:eastAsia="en-US"/>
            </w:rPr>
          </w:pPr>
          <w:hyperlink w:anchor="_Toc493237317" w:history="1">
            <w:r w:rsidR="001C461F" w:rsidRPr="001C461F">
              <w:rPr>
                <w:rStyle w:val="Hyperlink"/>
                <w:noProof/>
                <w:sz w:val="24"/>
                <w:szCs w:val="24"/>
                <w14:scene3d>
                  <w14:camera w14:prst="orthographicFront"/>
                  <w14:lightRig w14:rig="threePt" w14:dir="t">
                    <w14:rot w14:lat="0" w14:lon="0" w14:rev="0"/>
                  </w14:lightRig>
                </w14:scene3d>
              </w:rPr>
              <w:t>VII.</w:t>
            </w:r>
            <w:r w:rsidR="001C461F" w:rsidRPr="001C461F">
              <w:rPr>
                <w:noProof/>
                <w:sz w:val="24"/>
                <w:szCs w:val="24"/>
                <w:lang w:eastAsia="en-US"/>
              </w:rPr>
              <w:tab/>
            </w:r>
            <w:r w:rsidR="001C461F" w:rsidRPr="001C461F">
              <w:rPr>
                <w:rStyle w:val="Hyperlink"/>
                <w:noProof/>
                <w:sz w:val="24"/>
                <w:szCs w:val="24"/>
              </w:rPr>
              <w:t>Conclusion</w:t>
            </w:r>
            <w:r w:rsidR="001C461F" w:rsidRPr="001C461F">
              <w:rPr>
                <w:noProof/>
                <w:webHidden/>
                <w:sz w:val="24"/>
                <w:szCs w:val="24"/>
              </w:rPr>
              <w:tab/>
            </w:r>
            <w:r w:rsidR="001C461F" w:rsidRPr="001C461F">
              <w:rPr>
                <w:noProof/>
                <w:webHidden/>
                <w:sz w:val="24"/>
                <w:szCs w:val="24"/>
              </w:rPr>
              <w:fldChar w:fldCharType="begin"/>
            </w:r>
            <w:r w:rsidR="001C461F" w:rsidRPr="001C461F">
              <w:rPr>
                <w:noProof/>
                <w:webHidden/>
                <w:sz w:val="24"/>
                <w:szCs w:val="24"/>
              </w:rPr>
              <w:instrText xml:space="preserve"> PAGEREF _Toc493237317 \h </w:instrText>
            </w:r>
            <w:r w:rsidR="001C461F" w:rsidRPr="001C461F">
              <w:rPr>
                <w:noProof/>
                <w:webHidden/>
                <w:sz w:val="24"/>
                <w:szCs w:val="24"/>
              </w:rPr>
            </w:r>
            <w:r w:rsidR="001C461F" w:rsidRPr="001C461F">
              <w:rPr>
                <w:noProof/>
                <w:webHidden/>
                <w:sz w:val="24"/>
                <w:szCs w:val="24"/>
              </w:rPr>
              <w:fldChar w:fldCharType="separate"/>
            </w:r>
            <w:r w:rsidR="000B0C81">
              <w:rPr>
                <w:noProof/>
                <w:webHidden/>
                <w:sz w:val="24"/>
                <w:szCs w:val="24"/>
              </w:rPr>
              <w:t>17</w:t>
            </w:r>
            <w:r w:rsidR="001C461F" w:rsidRPr="001C461F">
              <w:rPr>
                <w:noProof/>
                <w:webHidden/>
                <w:sz w:val="24"/>
                <w:szCs w:val="24"/>
              </w:rPr>
              <w:fldChar w:fldCharType="end"/>
            </w:r>
          </w:hyperlink>
        </w:p>
        <w:p w14:paraId="16A7DACA" w14:textId="28C4E04E" w:rsidR="00392898" w:rsidRDefault="00392898">
          <w:r w:rsidRPr="003F0FDB">
            <w:rPr>
              <w:b/>
              <w:bCs/>
              <w:noProof/>
              <w:sz w:val="24"/>
            </w:rPr>
            <w:fldChar w:fldCharType="end"/>
          </w:r>
        </w:p>
      </w:sdtContent>
    </w:sdt>
    <w:p w14:paraId="4A92AD35"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31F3630F"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7688D526" w14:textId="77777777" w:rsidR="00392898" w:rsidRPr="00A2358C" w:rsidRDefault="00392898" w:rsidP="00C00DB7">
      <w:pPr>
        <w:pStyle w:val="center"/>
        <w:keepLines w:val="0"/>
        <w:widowControl w:val="0"/>
        <w:spacing w:before="0" w:line="240" w:lineRule="auto"/>
        <w:rPr>
          <w:rFonts w:asciiTheme="majorHAnsi" w:hAnsiTheme="majorHAnsi" w:cstheme="majorHAnsi"/>
          <w:b/>
          <w:szCs w:val="24"/>
        </w:rPr>
        <w:sectPr w:rsidR="00392898" w:rsidRPr="00A2358C" w:rsidSect="00C2456A">
          <w:headerReference w:type="default" r:id="rId16"/>
          <w:type w:val="continuous"/>
          <w:pgSz w:w="12240" w:h="15840" w:code="1"/>
          <w:pgMar w:top="1440" w:right="1440" w:bottom="1440" w:left="1440" w:header="720" w:footer="1440" w:gutter="0"/>
          <w:pgNumType w:fmt="lowerRoman" w:start="1"/>
          <w:cols w:space="720"/>
          <w:docGrid w:linePitch="360"/>
        </w:sectPr>
      </w:pPr>
    </w:p>
    <w:p w14:paraId="262039BF" w14:textId="6CDF7F9C" w:rsidR="008139C8" w:rsidRPr="00AE4B1E" w:rsidRDefault="008139C8" w:rsidP="008875DF">
      <w:pPr>
        <w:pStyle w:val="Heading"/>
      </w:pPr>
      <w:bookmarkStart w:id="1" w:name="_Toc493237311"/>
      <w:r w:rsidRPr="00AE4B1E">
        <w:lastRenderedPageBreak/>
        <w:t>Qualifications and Purpose of Testimony</w:t>
      </w:r>
      <w:bookmarkEnd w:id="1"/>
    </w:p>
    <w:p w14:paraId="3D542CE1" w14:textId="61C6EB70" w:rsidR="00EA3F1B" w:rsidRPr="00A2358C" w:rsidRDefault="004A2F13" w:rsidP="001809FB">
      <w:pPr>
        <w:pStyle w:val="Q"/>
        <w:rPr>
          <w:rFonts w:asciiTheme="majorHAnsi" w:hAnsiTheme="majorHAnsi" w:cstheme="majorHAnsi"/>
          <w:szCs w:val="24"/>
        </w:rPr>
      </w:pPr>
      <w:r w:rsidRPr="00A2358C">
        <w:rPr>
          <w:rFonts w:asciiTheme="majorHAnsi" w:hAnsiTheme="majorHAnsi" w:cstheme="majorHAnsi"/>
          <w:szCs w:val="24"/>
        </w:rPr>
        <w:t>Q.</w:t>
      </w:r>
      <w:r w:rsidRPr="00A2358C">
        <w:rPr>
          <w:rFonts w:asciiTheme="majorHAnsi" w:hAnsiTheme="majorHAnsi" w:cstheme="majorHAnsi"/>
          <w:szCs w:val="24"/>
        </w:rPr>
        <w:tab/>
      </w:r>
      <w:r w:rsidR="00A2358C" w:rsidRPr="00A2358C">
        <w:rPr>
          <w:rFonts w:asciiTheme="majorHAnsi" w:hAnsiTheme="majorHAnsi" w:cstheme="majorHAnsi"/>
          <w:szCs w:val="24"/>
        </w:rPr>
        <w:t>Please state your name, occupation, and business address.</w:t>
      </w:r>
    </w:p>
    <w:p w14:paraId="614A7B11" w14:textId="425B6509" w:rsidR="00EA3F1B" w:rsidRPr="00A2358C" w:rsidRDefault="00EA3F1B" w:rsidP="001E5CF8">
      <w:pPr>
        <w:pStyle w:val="A"/>
      </w:pPr>
      <w:r w:rsidRPr="00A2358C">
        <w:t>A.</w:t>
      </w:r>
      <w:r w:rsidRPr="00A2358C">
        <w:tab/>
        <w:t xml:space="preserve">My </w:t>
      </w:r>
      <w:r w:rsidRPr="001E5CF8">
        <w:t>name</w:t>
      </w:r>
      <w:r w:rsidRPr="00A2358C">
        <w:t xml:space="preserve"> is </w:t>
      </w:r>
      <w:r w:rsidR="00684AFC">
        <w:t>Doug</w:t>
      </w:r>
      <w:r w:rsidR="00D82E01">
        <w:t>las H.</w:t>
      </w:r>
      <w:r w:rsidR="00684AFC">
        <w:t xml:space="preserve"> Howell</w:t>
      </w:r>
      <w:r w:rsidRPr="00A2358C">
        <w:t xml:space="preserve">. I am </w:t>
      </w:r>
      <w:r w:rsidR="00684AFC">
        <w:t>a Senior Campaign Representative for the Sierra Club’s Beyond Coal Campaign. My business address is 180 Nickerson Street, Suite 202, Seattle, Washington</w:t>
      </w:r>
      <w:r w:rsidRPr="00A2358C">
        <w:t xml:space="preserve">. </w:t>
      </w:r>
    </w:p>
    <w:p w14:paraId="01603863" w14:textId="331EB993" w:rsidR="00EA3F1B" w:rsidRPr="00A2358C" w:rsidRDefault="00EA3F1B" w:rsidP="001809FB">
      <w:pPr>
        <w:pStyle w:val="Q"/>
        <w:rPr>
          <w:rFonts w:asciiTheme="majorHAnsi" w:hAnsiTheme="majorHAnsi" w:cstheme="majorHAnsi"/>
          <w:szCs w:val="24"/>
        </w:rPr>
      </w:pPr>
      <w:r w:rsidRPr="00A2358C">
        <w:rPr>
          <w:rFonts w:asciiTheme="majorHAnsi" w:hAnsiTheme="majorHAnsi" w:cstheme="majorHAnsi"/>
          <w:szCs w:val="24"/>
        </w:rPr>
        <w:t>Q.</w:t>
      </w:r>
      <w:r w:rsidRPr="00A2358C">
        <w:rPr>
          <w:rFonts w:asciiTheme="majorHAnsi" w:hAnsiTheme="majorHAnsi" w:cstheme="majorHAnsi"/>
          <w:szCs w:val="24"/>
        </w:rPr>
        <w:tab/>
      </w:r>
      <w:r w:rsidR="00AE4B1E" w:rsidRPr="00A2358C">
        <w:rPr>
          <w:rFonts w:asciiTheme="majorHAnsi" w:hAnsiTheme="majorHAnsi" w:cstheme="majorHAnsi"/>
          <w:szCs w:val="24"/>
        </w:rPr>
        <w:t>Are you providing any exhibits with your testimony?</w:t>
      </w:r>
    </w:p>
    <w:p w14:paraId="635FCF15" w14:textId="57EA198F" w:rsidR="00EA3F1B" w:rsidRPr="00A2358C" w:rsidRDefault="00EA3F1B" w:rsidP="001E5CF8">
      <w:pPr>
        <w:pStyle w:val="A"/>
      </w:pPr>
      <w:r w:rsidRPr="00A2358C">
        <w:t>A.</w:t>
      </w:r>
      <w:r w:rsidRPr="00A2358C">
        <w:tab/>
      </w:r>
      <w:r w:rsidR="00684AFC">
        <w:t>No.</w:t>
      </w:r>
    </w:p>
    <w:p w14:paraId="54095CA8" w14:textId="0EBCB50E" w:rsidR="00EA3F1B" w:rsidRPr="00A2358C" w:rsidRDefault="00EA3F1B" w:rsidP="000037B6">
      <w:pPr>
        <w:pStyle w:val="Q"/>
      </w:pPr>
      <w:r w:rsidRPr="00A2358C">
        <w:t>Q.</w:t>
      </w:r>
      <w:r w:rsidRPr="00A2358C">
        <w:tab/>
      </w:r>
      <w:r w:rsidR="00684AFC" w:rsidRPr="00856191">
        <w:rPr>
          <w:szCs w:val="24"/>
        </w:rPr>
        <w:t>Please briefly describe the Sierra Club’s Beyond Coal Campaign</w:t>
      </w:r>
      <w:r w:rsidR="00213330">
        <w:rPr>
          <w:szCs w:val="24"/>
        </w:rPr>
        <w:t>.</w:t>
      </w:r>
      <w:r w:rsidR="00684AFC" w:rsidRPr="00856191">
        <w:rPr>
          <w:szCs w:val="24"/>
        </w:rPr>
        <w:t xml:space="preserve"> </w:t>
      </w:r>
    </w:p>
    <w:p w14:paraId="1E179A15" w14:textId="5B24FF53" w:rsidR="00684AFC" w:rsidRDefault="001E5CF8" w:rsidP="001E5CF8">
      <w:pPr>
        <w:pStyle w:val="A"/>
        <w:rPr>
          <w:spacing w:val="-2"/>
          <w:w w:val="105"/>
        </w:rPr>
      </w:pPr>
      <w:r>
        <w:t>A.</w:t>
      </w:r>
      <w:r>
        <w:tab/>
      </w:r>
      <w:r w:rsidR="00684AFC" w:rsidRPr="001E5CF8">
        <w:t>Sierra</w:t>
      </w:r>
      <w:r w:rsidR="00684AFC">
        <w:rPr>
          <w:spacing w:val="-24"/>
          <w:w w:val="105"/>
        </w:rPr>
        <w:t xml:space="preserve"> </w:t>
      </w:r>
      <w:r w:rsidR="00684AFC">
        <w:rPr>
          <w:w w:val="105"/>
        </w:rPr>
        <w:t>Club</w:t>
      </w:r>
      <w:r w:rsidR="00684AFC">
        <w:rPr>
          <w:spacing w:val="-21"/>
          <w:w w:val="105"/>
        </w:rPr>
        <w:t xml:space="preserve"> </w:t>
      </w:r>
      <w:r w:rsidR="00684AFC">
        <w:rPr>
          <w:w w:val="105"/>
        </w:rPr>
        <w:t>is</w:t>
      </w:r>
      <w:r w:rsidR="00684AFC">
        <w:rPr>
          <w:spacing w:val="-26"/>
          <w:w w:val="105"/>
        </w:rPr>
        <w:t xml:space="preserve"> </w:t>
      </w:r>
      <w:r w:rsidR="00684AFC">
        <w:rPr>
          <w:w w:val="105"/>
        </w:rPr>
        <w:t>a</w:t>
      </w:r>
      <w:r w:rsidR="00684AFC">
        <w:rPr>
          <w:spacing w:val="-29"/>
          <w:w w:val="105"/>
        </w:rPr>
        <w:t xml:space="preserve"> </w:t>
      </w:r>
      <w:r w:rsidR="00684AFC">
        <w:rPr>
          <w:w w:val="105"/>
        </w:rPr>
        <w:t>national,</w:t>
      </w:r>
      <w:r w:rsidR="00684AFC">
        <w:rPr>
          <w:spacing w:val="-14"/>
          <w:w w:val="105"/>
        </w:rPr>
        <w:t xml:space="preserve"> </w:t>
      </w:r>
      <w:r w:rsidR="00684AFC">
        <w:rPr>
          <w:w w:val="105"/>
        </w:rPr>
        <w:t>non-profit</w:t>
      </w:r>
      <w:r w:rsidR="00684AFC">
        <w:rPr>
          <w:spacing w:val="-12"/>
          <w:w w:val="105"/>
        </w:rPr>
        <w:t xml:space="preserve"> </w:t>
      </w:r>
      <w:r w:rsidR="00684AFC">
        <w:rPr>
          <w:w w:val="105"/>
        </w:rPr>
        <w:t>environmental</w:t>
      </w:r>
      <w:r w:rsidR="00684AFC">
        <w:rPr>
          <w:spacing w:val="-6"/>
          <w:w w:val="105"/>
        </w:rPr>
        <w:t xml:space="preserve"> </w:t>
      </w:r>
      <w:r w:rsidR="00684AFC">
        <w:rPr>
          <w:w w:val="105"/>
        </w:rPr>
        <w:t>and</w:t>
      </w:r>
      <w:r w:rsidR="00684AFC">
        <w:rPr>
          <w:spacing w:val="-19"/>
          <w:w w:val="105"/>
        </w:rPr>
        <w:t xml:space="preserve"> </w:t>
      </w:r>
      <w:r w:rsidR="00684AFC">
        <w:rPr>
          <w:w w:val="105"/>
        </w:rPr>
        <w:t>conservation</w:t>
      </w:r>
      <w:r w:rsidR="00684AFC">
        <w:rPr>
          <w:spacing w:val="-12"/>
          <w:w w:val="105"/>
        </w:rPr>
        <w:t xml:space="preserve"> </w:t>
      </w:r>
      <w:r w:rsidR="00684AFC">
        <w:rPr>
          <w:w w:val="105"/>
        </w:rPr>
        <w:t>organization</w:t>
      </w:r>
      <w:r w:rsidR="00684AFC">
        <w:rPr>
          <w:w w:val="102"/>
        </w:rPr>
        <w:t xml:space="preserve"> </w:t>
      </w:r>
      <w:r w:rsidR="00684AFC">
        <w:rPr>
          <w:w w:val="105"/>
        </w:rPr>
        <w:t>incorporated</w:t>
      </w:r>
      <w:r w:rsidR="00684AFC">
        <w:rPr>
          <w:spacing w:val="-6"/>
          <w:w w:val="105"/>
        </w:rPr>
        <w:t xml:space="preserve"> </w:t>
      </w:r>
      <w:r w:rsidR="00684AFC">
        <w:rPr>
          <w:w w:val="105"/>
        </w:rPr>
        <w:t>under</w:t>
      </w:r>
      <w:r w:rsidR="00684AFC">
        <w:rPr>
          <w:spacing w:val="-8"/>
          <w:w w:val="105"/>
        </w:rPr>
        <w:t xml:space="preserve"> </w:t>
      </w:r>
      <w:r w:rsidR="00684AFC">
        <w:rPr>
          <w:w w:val="105"/>
        </w:rPr>
        <w:t>the</w:t>
      </w:r>
      <w:r w:rsidR="00684AFC">
        <w:rPr>
          <w:spacing w:val="-11"/>
          <w:w w:val="105"/>
        </w:rPr>
        <w:t xml:space="preserve"> </w:t>
      </w:r>
      <w:r w:rsidR="00684AFC">
        <w:rPr>
          <w:w w:val="105"/>
        </w:rPr>
        <w:t>laws</w:t>
      </w:r>
      <w:r w:rsidR="00684AFC">
        <w:rPr>
          <w:spacing w:val="-9"/>
          <w:w w:val="105"/>
        </w:rPr>
        <w:t xml:space="preserve"> </w:t>
      </w:r>
      <w:r w:rsidR="00684AFC">
        <w:rPr>
          <w:w w:val="105"/>
        </w:rPr>
        <w:t>of</w:t>
      </w:r>
      <w:r w:rsidR="00684AFC">
        <w:rPr>
          <w:spacing w:val="-21"/>
          <w:w w:val="105"/>
        </w:rPr>
        <w:t xml:space="preserve"> </w:t>
      </w:r>
      <w:r w:rsidR="00684AFC">
        <w:rPr>
          <w:w w:val="105"/>
        </w:rPr>
        <w:t>the</w:t>
      </w:r>
      <w:r w:rsidR="00684AFC">
        <w:rPr>
          <w:spacing w:val="-6"/>
          <w:w w:val="105"/>
        </w:rPr>
        <w:t xml:space="preserve"> </w:t>
      </w:r>
      <w:r w:rsidR="00684AFC">
        <w:rPr>
          <w:w w:val="105"/>
        </w:rPr>
        <w:t>State</w:t>
      </w:r>
      <w:r w:rsidR="00684AFC">
        <w:rPr>
          <w:spacing w:val="-17"/>
          <w:w w:val="105"/>
        </w:rPr>
        <w:t xml:space="preserve"> </w:t>
      </w:r>
      <w:r w:rsidR="00684AFC">
        <w:rPr>
          <w:w w:val="105"/>
        </w:rPr>
        <w:t>of</w:t>
      </w:r>
      <w:r w:rsidR="00684AFC">
        <w:rPr>
          <w:spacing w:val="-17"/>
          <w:w w:val="105"/>
        </w:rPr>
        <w:t xml:space="preserve"> </w:t>
      </w:r>
      <w:r w:rsidR="00684AFC">
        <w:rPr>
          <w:w w:val="105"/>
        </w:rPr>
        <w:t>California. Sierra</w:t>
      </w:r>
      <w:r w:rsidR="00684AFC">
        <w:rPr>
          <w:spacing w:val="-17"/>
          <w:w w:val="105"/>
        </w:rPr>
        <w:t xml:space="preserve"> </w:t>
      </w:r>
      <w:r w:rsidR="00684AFC">
        <w:rPr>
          <w:w w:val="105"/>
        </w:rPr>
        <w:t>Club</w:t>
      </w:r>
      <w:r w:rsidR="00684AFC">
        <w:rPr>
          <w:spacing w:val="-14"/>
          <w:w w:val="105"/>
        </w:rPr>
        <w:t xml:space="preserve"> </w:t>
      </w:r>
      <w:r w:rsidR="00684AFC">
        <w:rPr>
          <w:w w:val="105"/>
        </w:rPr>
        <w:t>is</w:t>
      </w:r>
      <w:r w:rsidR="00684AFC">
        <w:rPr>
          <w:spacing w:val="-18"/>
          <w:w w:val="105"/>
        </w:rPr>
        <w:t xml:space="preserve"> </w:t>
      </w:r>
      <w:r w:rsidR="00684AFC">
        <w:rPr>
          <w:w w:val="105"/>
        </w:rPr>
        <w:t>dedicated</w:t>
      </w:r>
      <w:r w:rsidR="00684AFC">
        <w:rPr>
          <w:spacing w:val="-10"/>
          <w:w w:val="105"/>
        </w:rPr>
        <w:t xml:space="preserve"> </w:t>
      </w:r>
      <w:r w:rsidR="00684AFC">
        <w:rPr>
          <w:w w:val="105"/>
        </w:rPr>
        <w:t>to</w:t>
      </w:r>
      <w:r w:rsidR="00684AFC">
        <w:rPr>
          <w:spacing w:val="-17"/>
          <w:w w:val="105"/>
        </w:rPr>
        <w:t xml:space="preserve"> </w:t>
      </w:r>
      <w:r w:rsidR="00684AFC">
        <w:rPr>
          <w:w w:val="105"/>
        </w:rPr>
        <w:t>the</w:t>
      </w:r>
      <w:r w:rsidR="00684AFC">
        <w:rPr>
          <w:spacing w:val="-10"/>
          <w:w w:val="105"/>
        </w:rPr>
        <w:t xml:space="preserve"> </w:t>
      </w:r>
      <w:r w:rsidR="00684AFC">
        <w:rPr>
          <w:w w:val="105"/>
        </w:rPr>
        <w:t>protection</w:t>
      </w:r>
      <w:r w:rsidR="00684AFC">
        <w:rPr>
          <w:w w:val="101"/>
        </w:rPr>
        <w:t xml:space="preserve"> </w:t>
      </w:r>
      <w:r w:rsidR="00684AFC">
        <w:rPr>
          <w:w w:val="105"/>
        </w:rPr>
        <w:t>of</w:t>
      </w:r>
      <w:r w:rsidR="00684AFC">
        <w:rPr>
          <w:spacing w:val="-20"/>
          <w:w w:val="105"/>
        </w:rPr>
        <w:t xml:space="preserve"> </w:t>
      </w:r>
      <w:r w:rsidR="00684AFC">
        <w:rPr>
          <w:w w:val="105"/>
        </w:rPr>
        <w:t>public</w:t>
      </w:r>
      <w:r w:rsidR="00684AFC">
        <w:rPr>
          <w:spacing w:val="-9"/>
          <w:w w:val="105"/>
        </w:rPr>
        <w:t xml:space="preserve"> </w:t>
      </w:r>
      <w:r w:rsidR="00684AFC">
        <w:rPr>
          <w:w w:val="105"/>
        </w:rPr>
        <w:t>health</w:t>
      </w:r>
      <w:r w:rsidR="00684AFC">
        <w:rPr>
          <w:spacing w:val="-6"/>
          <w:w w:val="105"/>
        </w:rPr>
        <w:t xml:space="preserve"> </w:t>
      </w:r>
      <w:r w:rsidR="00684AFC">
        <w:rPr>
          <w:w w:val="105"/>
        </w:rPr>
        <w:t>and</w:t>
      </w:r>
      <w:r w:rsidR="00684AFC">
        <w:rPr>
          <w:spacing w:val="-17"/>
          <w:w w:val="105"/>
        </w:rPr>
        <w:t xml:space="preserve"> </w:t>
      </w:r>
      <w:r w:rsidR="00684AFC">
        <w:rPr>
          <w:w w:val="105"/>
        </w:rPr>
        <w:t>the</w:t>
      </w:r>
      <w:r w:rsidR="00684AFC">
        <w:rPr>
          <w:spacing w:val="-8"/>
          <w:w w:val="105"/>
        </w:rPr>
        <w:t xml:space="preserve"> </w:t>
      </w:r>
      <w:r w:rsidR="00684AFC">
        <w:rPr>
          <w:w w:val="105"/>
        </w:rPr>
        <w:t>environment</w:t>
      </w:r>
      <w:r>
        <w:rPr>
          <w:w w:val="105"/>
        </w:rPr>
        <w:t>. Sierra</w:t>
      </w:r>
      <w:r w:rsidR="00684AFC">
        <w:rPr>
          <w:spacing w:val="-15"/>
          <w:w w:val="105"/>
        </w:rPr>
        <w:t xml:space="preserve"> </w:t>
      </w:r>
      <w:r w:rsidR="00684AFC">
        <w:rPr>
          <w:w w:val="105"/>
        </w:rPr>
        <w:t>Club</w:t>
      </w:r>
      <w:r w:rsidR="00684AFC">
        <w:rPr>
          <w:spacing w:val="-19"/>
          <w:w w:val="105"/>
        </w:rPr>
        <w:t xml:space="preserve"> </w:t>
      </w:r>
      <w:r w:rsidR="00684AFC">
        <w:rPr>
          <w:w w:val="105"/>
        </w:rPr>
        <w:t>has</w:t>
      </w:r>
      <w:r w:rsidR="00684AFC">
        <w:rPr>
          <w:spacing w:val="-19"/>
          <w:w w:val="105"/>
        </w:rPr>
        <w:t xml:space="preserve"> </w:t>
      </w:r>
      <w:r w:rsidR="00684AFC">
        <w:rPr>
          <w:w w:val="105"/>
        </w:rPr>
        <w:t>more</w:t>
      </w:r>
      <w:r w:rsidR="00684AFC">
        <w:rPr>
          <w:spacing w:val="-14"/>
          <w:w w:val="105"/>
        </w:rPr>
        <w:t xml:space="preserve"> </w:t>
      </w:r>
      <w:r w:rsidR="00684AFC">
        <w:rPr>
          <w:w w:val="105"/>
        </w:rPr>
        <w:t>than</w:t>
      </w:r>
      <w:r w:rsidR="00684AFC">
        <w:rPr>
          <w:spacing w:val="-5"/>
          <w:w w:val="105"/>
        </w:rPr>
        <w:t xml:space="preserve"> </w:t>
      </w:r>
      <w:r>
        <w:rPr>
          <w:spacing w:val="-5"/>
          <w:w w:val="105"/>
        </w:rPr>
        <w:t>33</w:t>
      </w:r>
      <w:r w:rsidR="00684AFC">
        <w:rPr>
          <w:spacing w:val="-5"/>
          <w:w w:val="105"/>
        </w:rPr>
        <w:t>,</w:t>
      </w:r>
      <w:r>
        <w:rPr>
          <w:spacing w:val="-5"/>
          <w:w w:val="105"/>
        </w:rPr>
        <w:t>5</w:t>
      </w:r>
      <w:r w:rsidR="00684AFC">
        <w:rPr>
          <w:spacing w:val="-5"/>
          <w:w w:val="105"/>
        </w:rPr>
        <w:t>00</w:t>
      </w:r>
      <w:r w:rsidR="00684AFC">
        <w:rPr>
          <w:spacing w:val="-16"/>
          <w:w w:val="105"/>
        </w:rPr>
        <w:t xml:space="preserve"> </w:t>
      </w:r>
      <w:r w:rsidR="00684AFC">
        <w:rPr>
          <w:w w:val="105"/>
        </w:rPr>
        <w:t>members</w:t>
      </w:r>
      <w:r w:rsidR="00684AFC">
        <w:rPr>
          <w:spacing w:val="-6"/>
          <w:w w:val="105"/>
        </w:rPr>
        <w:t xml:space="preserve"> </w:t>
      </w:r>
      <w:r w:rsidR="00684AFC">
        <w:rPr>
          <w:w w:val="105"/>
        </w:rPr>
        <w:t>who</w:t>
      </w:r>
      <w:r w:rsidR="00684AFC">
        <w:rPr>
          <w:spacing w:val="-7"/>
          <w:w w:val="105"/>
        </w:rPr>
        <w:t xml:space="preserve"> </w:t>
      </w:r>
      <w:r w:rsidR="00684AFC">
        <w:rPr>
          <w:w w:val="105"/>
        </w:rPr>
        <w:t>live</w:t>
      </w:r>
      <w:r w:rsidR="00684AFC">
        <w:rPr>
          <w:spacing w:val="-11"/>
          <w:w w:val="105"/>
        </w:rPr>
        <w:t xml:space="preserve"> </w:t>
      </w:r>
      <w:r w:rsidR="00684AFC">
        <w:rPr>
          <w:w w:val="105"/>
        </w:rPr>
        <w:t>and</w:t>
      </w:r>
      <w:r w:rsidR="00684AFC">
        <w:rPr>
          <w:spacing w:val="-14"/>
          <w:w w:val="105"/>
        </w:rPr>
        <w:t xml:space="preserve"> </w:t>
      </w:r>
      <w:r w:rsidR="00684AFC">
        <w:rPr>
          <w:w w:val="105"/>
        </w:rPr>
        <w:t>purchase</w:t>
      </w:r>
      <w:r w:rsidR="00684AFC">
        <w:rPr>
          <w:spacing w:val="-7"/>
          <w:w w:val="105"/>
        </w:rPr>
        <w:t xml:space="preserve"> </w:t>
      </w:r>
      <w:r w:rsidR="00684AFC">
        <w:rPr>
          <w:w w:val="105"/>
        </w:rPr>
        <w:t>utility</w:t>
      </w:r>
      <w:r w:rsidR="00684AFC">
        <w:rPr>
          <w:spacing w:val="21"/>
          <w:w w:val="102"/>
        </w:rPr>
        <w:t xml:space="preserve"> </w:t>
      </w:r>
      <w:r w:rsidR="00684AFC">
        <w:rPr>
          <w:w w:val="105"/>
        </w:rPr>
        <w:t>services</w:t>
      </w:r>
      <w:r w:rsidR="00684AFC">
        <w:rPr>
          <w:spacing w:val="-17"/>
          <w:w w:val="105"/>
        </w:rPr>
        <w:t xml:space="preserve"> </w:t>
      </w:r>
      <w:r w:rsidR="00684AFC">
        <w:rPr>
          <w:w w:val="105"/>
        </w:rPr>
        <w:t>in</w:t>
      </w:r>
      <w:r w:rsidR="00684AFC">
        <w:rPr>
          <w:spacing w:val="-27"/>
          <w:w w:val="105"/>
        </w:rPr>
        <w:t xml:space="preserve"> </w:t>
      </w:r>
      <w:r>
        <w:rPr>
          <w:w w:val="105"/>
        </w:rPr>
        <w:t>Washington</w:t>
      </w:r>
      <w:r w:rsidR="00684AFC">
        <w:rPr>
          <w:w w:val="105"/>
        </w:rPr>
        <w:t>,</w:t>
      </w:r>
      <w:r w:rsidR="00684AFC">
        <w:rPr>
          <w:spacing w:val="-10"/>
          <w:w w:val="105"/>
        </w:rPr>
        <w:t xml:space="preserve"> </w:t>
      </w:r>
      <w:r w:rsidR="00684AFC">
        <w:rPr>
          <w:w w:val="105"/>
        </w:rPr>
        <w:t>many</w:t>
      </w:r>
      <w:r w:rsidR="00684AFC">
        <w:rPr>
          <w:spacing w:val="-8"/>
          <w:w w:val="105"/>
        </w:rPr>
        <w:t xml:space="preserve"> </w:t>
      </w:r>
      <w:r w:rsidR="00684AFC">
        <w:rPr>
          <w:w w:val="105"/>
        </w:rPr>
        <w:t>of</w:t>
      </w:r>
      <w:r w:rsidR="00684AFC">
        <w:rPr>
          <w:spacing w:val="-19"/>
          <w:w w:val="105"/>
        </w:rPr>
        <w:t xml:space="preserve"> </w:t>
      </w:r>
      <w:r w:rsidR="00684AFC">
        <w:rPr>
          <w:w w:val="105"/>
        </w:rPr>
        <w:t>whom</w:t>
      </w:r>
      <w:r w:rsidR="00684AFC">
        <w:rPr>
          <w:spacing w:val="-6"/>
          <w:w w:val="105"/>
        </w:rPr>
        <w:t xml:space="preserve"> </w:t>
      </w:r>
      <w:r w:rsidR="00684AFC">
        <w:rPr>
          <w:w w:val="105"/>
        </w:rPr>
        <w:t>are</w:t>
      </w:r>
      <w:r w:rsidR="00684AFC">
        <w:rPr>
          <w:spacing w:val="-21"/>
          <w:w w:val="105"/>
        </w:rPr>
        <w:t xml:space="preserve"> </w:t>
      </w:r>
      <w:r w:rsidR="00684AFC">
        <w:rPr>
          <w:w w:val="105"/>
        </w:rPr>
        <w:t>residential</w:t>
      </w:r>
      <w:r w:rsidR="00684AFC">
        <w:rPr>
          <w:spacing w:val="-3"/>
          <w:w w:val="105"/>
        </w:rPr>
        <w:t xml:space="preserve"> </w:t>
      </w:r>
      <w:r w:rsidR="00684AFC">
        <w:rPr>
          <w:w w:val="105"/>
        </w:rPr>
        <w:t>customers</w:t>
      </w:r>
      <w:r w:rsidR="00684AFC">
        <w:rPr>
          <w:spacing w:val="-12"/>
          <w:w w:val="105"/>
        </w:rPr>
        <w:t xml:space="preserve"> </w:t>
      </w:r>
      <w:r w:rsidR="00684AFC">
        <w:rPr>
          <w:w w:val="105"/>
        </w:rPr>
        <w:t>of</w:t>
      </w:r>
      <w:r w:rsidR="00684AFC">
        <w:rPr>
          <w:spacing w:val="-22"/>
          <w:w w:val="105"/>
        </w:rPr>
        <w:t xml:space="preserve"> </w:t>
      </w:r>
      <w:r>
        <w:rPr>
          <w:w w:val="105"/>
        </w:rPr>
        <w:t>Puget Sound Energy (“PSE”).</w:t>
      </w:r>
      <w:r>
        <w:rPr>
          <w:rStyle w:val="FootnoteReference"/>
          <w:w w:val="105"/>
        </w:rPr>
        <w:footnoteReference w:id="1"/>
      </w:r>
    </w:p>
    <w:p w14:paraId="319D84DB" w14:textId="077D0A81" w:rsidR="00EA3F1B" w:rsidRDefault="00684AFC" w:rsidP="001E5CF8">
      <w:pPr>
        <w:pStyle w:val="A"/>
        <w:ind w:firstLine="0"/>
      </w:pPr>
      <w:r>
        <w:rPr>
          <w:w w:val="105"/>
        </w:rPr>
        <w:t>Sierra</w:t>
      </w:r>
      <w:r>
        <w:rPr>
          <w:spacing w:val="-17"/>
          <w:w w:val="105"/>
        </w:rPr>
        <w:t xml:space="preserve"> </w:t>
      </w:r>
      <w:r>
        <w:rPr>
          <w:w w:val="105"/>
        </w:rPr>
        <w:t>Club's</w:t>
      </w:r>
      <w:r>
        <w:rPr>
          <w:spacing w:val="-14"/>
          <w:w w:val="105"/>
        </w:rPr>
        <w:t xml:space="preserve"> </w:t>
      </w:r>
      <w:r>
        <w:rPr>
          <w:w w:val="105"/>
        </w:rPr>
        <w:t>Beyond</w:t>
      </w:r>
      <w:r>
        <w:rPr>
          <w:spacing w:val="-7"/>
          <w:w w:val="105"/>
        </w:rPr>
        <w:t xml:space="preserve"> </w:t>
      </w:r>
      <w:r>
        <w:rPr>
          <w:w w:val="105"/>
        </w:rPr>
        <w:t>Coal</w:t>
      </w:r>
      <w:r>
        <w:rPr>
          <w:spacing w:val="-16"/>
          <w:w w:val="105"/>
        </w:rPr>
        <w:t xml:space="preserve"> </w:t>
      </w:r>
      <w:r w:rsidR="005F5B6E">
        <w:rPr>
          <w:w w:val="105"/>
        </w:rPr>
        <w:t>C</w:t>
      </w:r>
      <w:r>
        <w:rPr>
          <w:w w:val="105"/>
        </w:rPr>
        <w:t>ampaign</w:t>
      </w:r>
      <w:r>
        <w:rPr>
          <w:spacing w:val="-13"/>
          <w:w w:val="105"/>
        </w:rPr>
        <w:t xml:space="preserve"> </w:t>
      </w:r>
      <w:r>
        <w:rPr>
          <w:w w:val="105"/>
        </w:rPr>
        <w:t>advances</w:t>
      </w:r>
      <w:r>
        <w:rPr>
          <w:spacing w:val="-21"/>
          <w:w w:val="105"/>
        </w:rPr>
        <w:t xml:space="preserve"> </w:t>
      </w:r>
      <w:r>
        <w:rPr>
          <w:w w:val="105"/>
        </w:rPr>
        <w:t>the</w:t>
      </w:r>
      <w:r>
        <w:rPr>
          <w:spacing w:val="-15"/>
          <w:w w:val="105"/>
        </w:rPr>
        <w:t xml:space="preserve"> </w:t>
      </w:r>
      <w:r>
        <w:rPr>
          <w:w w:val="105"/>
        </w:rPr>
        <w:t>development</w:t>
      </w:r>
      <w:r>
        <w:rPr>
          <w:spacing w:val="-7"/>
          <w:w w:val="105"/>
        </w:rPr>
        <w:t xml:space="preserve"> </w:t>
      </w:r>
      <w:r>
        <w:rPr>
          <w:w w:val="105"/>
        </w:rPr>
        <w:t>of</w:t>
      </w:r>
      <w:r>
        <w:rPr>
          <w:spacing w:val="-17"/>
          <w:w w:val="105"/>
        </w:rPr>
        <w:t xml:space="preserve"> </w:t>
      </w:r>
      <w:r>
        <w:rPr>
          <w:w w:val="105"/>
        </w:rPr>
        <w:t>energy</w:t>
      </w:r>
      <w:r>
        <w:rPr>
          <w:w w:val="101"/>
        </w:rPr>
        <w:t xml:space="preserve"> </w:t>
      </w:r>
      <w:r>
        <w:rPr>
          <w:w w:val="105"/>
        </w:rPr>
        <w:t>conservation</w:t>
      </w:r>
      <w:r>
        <w:rPr>
          <w:spacing w:val="-13"/>
          <w:w w:val="105"/>
        </w:rPr>
        <w:t xml:space="preserve"> </w:t>
      </w:r>
      <w:r>
        <w:rPr>
          <w:w w:val="105"/>
        </w:rPr>
        <w:t>and</w:t>
      </w:r>
      <w:r>
        <w:rPr>
          <w:spacing w:val="-22"/>
          <w:w w:val="105"/>
        </w:rPr>
        <w:t xml:space="preserve"> </w:t>
      </w:r>
      <w:r>
        <w:rPr>
          <w:w w:val="105"/>
        </w:rPr>
        <w:t>renewable</w:t>
      </w:r>
      <w:r>
        <w:rPr>
          <w:spacing w:val="-11"/>
          <w:w w:val="105"/>
        </w:rPr>
        <w:t xml:space="preserve"> </w:t>
      </w:r>
      <w:r>
        <w:rPr>
          <w:w w:val="105"/>
        </w:rPr>
        <w:t>energy</w:t>
      </w:r>
      <w:r>
        <w:rPr>
          <w:spacing w:val="-18"/>
          <w:w w:val="105"/>
        </w:rPr>
        <w:t xml:space="preserve"> </w:t>
      </w:r>
      <w:r>
        <w:rPr>
          <w:w w:val="105"/>
        </w:rPr>
        <w:t>policies,</w:t>
      </w:r>
      <w:r>
        <w:rPr>
          <w:spacing w:val="-17"/>
          <w:w w:val="105"/>
        </w:rPr>
        <w:t xml:space="preserve"> </w:t>
      </w:r>
      <w:r>
        <w:rPr>
          <w:w w:val="105"/>
        </w:rPr>
        <w:t>which</w:t>
      </w:r>
      <w:r>
        <w:rPr>
          <w:spacing w:val="-19"/>
          <w:w w:val="105"/>
        </w:rPr>
        <w:t xml:space="preserve"> </w:t>
      </w:r>
      <w:r>
        <w:rPr>
          <w:w w:val="105"/>
        </w:rPr>
        <w:t>reduce</w:t>
      </w:r>
      <w:r>
        <w:rPr>
          <w:spacing w:val="-18"/>
          <w:w w:val="105"/>
        </w:rPr>
        <w:t xml:space="preserve"> </w:t>
      </w:r>
      <w:r>
        <w:rPr>
          <w:w w:val="105"/>
        </w:rPr>
        <w:t>utility</w:t>
      </w:r>
      <w:r>
        <w:rPr>
          <w:spacing w:val="-17"/>
          <w:w w:val="105"/>
        </w:rPr>
        <w:t xml:space="preserve"> </w:t>
      </w:r>
      <w:r>
        <w:rPr>
          <w:w w:val="105"/>
        </w:rPr>
        <w:t>bills,</w:t>
      </w:r>
      <w:r>
        <w:rPr>
          <w:spacing w:val="-16"/>
          <w:w w:val="105"/>
        </w:rPr>
        <w:t xml:space="preserve"> </w:t>
      </w:r>
      <w:r>
        <w:rPr>
          <w:w w:val="105"/>
        </w:rPr>
        <w:t>and</w:t>
      </w:r>
      <w:r>
        <w:rPr>
          <w:spacing w:val="-22"/>
          <w:w w:val="105"/>
        </w:rPr>
        <w:t xml:space="preserve"> </w:t>
      </w:r>
      <w:r>
        <w:rPr>
          <w:w w:val="105"/>
        </w:rPr>
        <w:t>generate</w:t>
      </w:r>
      <w:r>
        <w:rPr>
          <w:spacing w:val="-20"/>
          <w:w w:val="105"/>
        </w:rPr>
        <w:t xml:space="preserve"> </w:t>
      </w:r>
      <w:r>
        <w:rPr>
          <w:w w:val="105"/>
        </w:rPr>
        <w:t>renewable</w:t>
      </w:r>
      <w:r>
        <w:rPr>
          <w:w w:val="102"/>
        </w:rPr>
        <w:t xml:space="preserve"> </w:t>
      </w:r>
      <w:r>
        <w:rPr>
          <w:w w:val="105"/>
        </w:rPr>
        <w:t>energy.</w:t>
      </w:r>
      <w:r>
        <w:rPr>
          <w:spacing w:val="36"/>
          <w:w w:val="105"/>
        </w:rPr>
        <w:t xml:space="preserve"> </w:t>
      </w:r>
      <w:r>
        <w:rPr>
          <w:w w:val="105"/>
        </w:rPr>
        <w:t>Sierra</w:t>
      </w:r>
      <w:r>
        <w:rPr>
          <w:spacing w:val="-16"/>
          <w:w w:val="105"/>
        </w:rPr>
        <w:t xml:space="preserve"> </w:t>
      </w:r>
      <w:r>
        <w:rPr>
          <w:w w:val="105"/>
        </w:rPr>
        <w:t>Club's</w:t>
      </w:r>
      <w:r>
        <w:rPr>
          <w:spacing w:val="-30"/>
          <w:w w:val="105"/>
        </w:rPr>
        <w:t xml:space="preserve"> </w:t>
      </w:r>
      <w:r>
        <w:rPr>
          <w:w w:val="105"/>
        </w:rPr>
        <w:t>work</w:t>
      </w:r>
      <w:r>
        <w:rPr>
          <w:spacing w:val="-9"/>
          <w:w w:val="105"/>
        </w:rPr>
        <w:t xml:space="preserve"> </w:t>
      </w:r>
      <w:r>
        <w:rPr>
          <w:w w:val="105"/>
        </w:rPr>
        <w:t>includes</w:t>
      </w:r>
      <w:r>
        <w:rPr>
          <w:spacing w:val="-8"/>
          <w:w w:val="105"/>
        </w:rPr>
        <w:t xml:space="preserve"> </w:t>
      </w:r>
      <w:r>
        <w:rPr>
          <w:w w:val="105"/>
        </w:rPr>
        <w:t>advocating for</w:t>
      </w:r>
      <w:r>
        <w:rPr>
          <w:spacing w:val="-20"/>
          <w:w w:val="105"/>
        </w:rPr>
        <w:t xml:space="preserve"> </w:t>
      </w:r>
      <w:r>
        <w:rPr>
          <w:w w:val="105"/>
        </w:rPr>
        <w:t>the</w:t>
      </w:r>
      <w:r>
        <w:rPr>
          <w:spacing w:val="-9"/>
          <w:w w:val="105"/>
        </w:rPr>
        <w:t xml:space="preserve"> </w:t>
      </w:r>
      <w:r>
        <w:rPr>
          <w:w w:val="105"/>
        </w:rPr>
        <w:t>implementation</w:t>
      </w:r>
      <w:r>
        <w:rPr>
          <w:spacing w:val="10"/>
          <w:w w:val="105"/>
        </w:rPr>
        <w:t xml:space="preserve"> </w:t>
      </w:r>
      <w:r>
        <w:rPr>
          <w:w w:val="105"/>
        </w:rPr>
        <w:t>of robust</w:t>
      </w:r>
      <w:r>
        <w:rPr>
          <w:spacing w:val="-4"/>
          <w:w w:val="105"/>
        </w:rPr>
        <w:t xml:space="preserve"> </w:t>
      </w:r>
      <w:r>
        <w:rPr>
          <w:w w:val="105"/>
        </w:rPr>
        <w:t>incentive</w:t>
      </w:r>
      <w:r>
        <w:rPr>
          <w:spacing w:val="25"/>
          <w:w w:val="101"/>
        </w:rPr>
        <w:t xml:space="preserve"> </w:t>
      </w:r>
      <w:r>
        <w:rPr>
          <w:w w:val="105"/>
        </w:rPr>
        <w:t>programs</w:t>
      </w:r>
      <w:r>
        <w:rPr>
          <w:spacing w:val="-11"/>
          <w:w w:val="105"/>
        </w:rPr>
        <w:t xml:space="preserve"> </w:t>
      </w:r>
      <w:r>
        <w:rPr>
          <w:w w:val="105"/>
        </w:rPr>
        <w:t>that</w:t>
      </w:r>
      <w:r>
        <w:rPr>
          <w:spacing w:val="-14"/>
          <w:w w:val="105"/>
        </w:rPr>
        <w:t xml:space="preserve"> </w:t>
      </w:r>
      <w:r>
        <w:rPr>
          <w:w w:val="105"/>
        </w:rPr>
        <w:t>assist</w:t>
      </w:r>
      <w:r>
        <w:rPr>
          <w:spacing w:val="-14"/>
          <w:w w:val="105"/>
        </w:rPr>
        <w:t xml:space="preserve"> </w:t>
      </w:r>
      <w:r>
        <w:rPr>
          <w:w w:val="105"/>
        </w:rPr>
        <w:t>its</w:t>
      </w:r>
      <w:r>
        <w:rPr>
          <w:spacing w:val="-25"/>
          <w:w w:val="105"/>
        </w:rPr>
        <w:t xml:space="preserve"> </w:t>
      </w:r>
      <w:r>
        <w:rPr>
          <w:w w:val="105"/>
        </w:rPr>
        <w:t>members</w:t>
      </w:r>
      <w:r>
        <w:rPr>
          <w:spacing w:val="-4"/>
          <w:w w:val="105"/>
        </w:rPr>
        <w:t xml:space="preserve"> </w:t>
      </w:r>
      <w:r>
        <w:rPr>
          <w:w w:val="105"/>
        </w:rPr>
        <w:t>and</w:t>
      </w:r>
      <w:r>
        <w:rPr>
          <w:spacing w:val="-16"/>
          <w:w w:val="105"/>
        </w:rPr>
        <w:t xml:space="preserve"> </w:t>
      </w:r>
      <w:r>
        <w:rPr>
          <w:w w:val="105"/>
        </w:rPr>
        <w:t>utility</w:t>
      </w:r>
      <w:r>
        <w:rPr>
          <w:spacing w:val="-10"/>
          <w:w w:val="105"/>
        </w:rPr>
        <w:t xml:space="preserve"> </w:t>
      </w:r>
      <w:r>
        <w:rPr>
          <w:w w:val="105"/>
        </w:rPr>
        <w:t>consumers</w:t>
      </w:r>
      <w:r>
        <w:rPr>
          <w:spacing w:val="-14"/>
          <w:w w:val="105"/>
        </w:rPr>
        <w:t xml:space="preserve"> </w:t>
      </w:r>
      <w:r>
        <w:rPr>
          <w:w w:val="105"/>
        </w:rPr>
        <w:t>to</w:t>
      </w:r>
      <w:r>
        <w:rPr>
          <w:spacing w:val="-17"/>
          <w:w w:val="105"/>
        </w:rPr>
        <w:t xml:space="preserve"> </w:t>
      </w:r>
      <w:r>
        <w:rPr>
          <w:w w:val="105"/>
        </w:rPr>
        <w:t>generate</w:t>
      </w:r>
      <w:r>
        <w:rPr>
          <w:spacing w:val="-15"/>
          <w:w w:val="105"/>
        </w:rPr>
        <w:t xml:space="preserve"> </w:t>
      </w:r>
      <w:r>
        <w:rPr>
          <w:w w:val="105"/>
        </w:rPr>
        <w:t>their</w:t>
      </w:r>
      <w:r>
        <w:rPr>
          <w:spacing w:val="-12"/>
          <w:w w:val="105"/>
        </w:rPr>
        <w:t xml:space="preserve"> </w:t>
      </w:r>
      <w:r>
        <w:rPr>
          <w:w w:val="105"/>
        </w:rPr>
        <w:t>own</w:t>
      </w:r>
      <w:r>
        <w:rPr>
          <w:spacing w:val="-20"/>
          <w:w w:val="105"/>
        </w:rPr>
        <w:t xml:space="preserve"> </w:t>
      </w:r>
      <w:r>
        <w:rPr>
          <w:w w:val="105"/>
        </w:rPr>
        <w:t>renewable</w:t>
      </w:r>
      <w:r>
        <w:rPr>
          <w:spacing w:val="-3"/>
          <w:w w:val="105"/>
        </w:rPr>
        <w:t xml:space="preserve"> </w:t>
      </w:r>
      <w:r>
        <w:rPr>
          <w:w w:val="105"/>
        </w:rPr>
        <w:t>energy</w:t>
      </w:r>
      <w:r>
        <w:rPr>
          <w:w w:val="101"/>
        </w:rPr>
        <w:t xml:space="preserve"> </w:t>
      </w:r>
      <w:r>
        <w:rPr>
          <w:w w:val="105"/>
        </w:rPr>
        <w:t>and</w:t>
      </w:r>
      <w:r>
        <w:rPr>
          <w:spacing w:val="-20"/>
          <w:w w:val="105"/>
        </w:rPr>
        <w:t xml:space="preserve"> </w:t>
      </w:r>
      <w:r>
        <w:rPr>
          <w:w w:val="105"/>
        </w:rPr>
        <w:t>increase</w:t>
      </w:r>
      <w:r>
        <w:rPr>
          <w:spacing w:val="-17"/>
          <w:w w:val="105"/>
        </w:rPr>
        <w:t xml:space="preserve"> </w:t>
      </w:r>
      <w:r>
        <w:rPr>
          <w:w w:val="105"/>
        </w:rPr>
        <w:t>energy</w:t>
      </w:r>
      <w:r>
        <w:rPr>
          <w:spacing w:val="-20"/>
          <w:w w:val="105"/>
        </w:rPr>
        <w:t xml:space="preserve"> </w:t>
      </w:r>
      <w:r>
        <w:rPr>
          <w:w w:val="105"/>
        </w:rPr>
        <w:t>efficiency.</w:t>
      </w:r>
      <w:r>
        <w:rPr>
          <w:spacing w:val="-20"/>
          <w:w w:val="105"/>
        </w:rPr>
        <w:t xml:space="preserve"> </w:t>
      </w:r>
      <w:r>
        <w:rPr>
          <w:w w:val="105"/>
        </w:rPr>
        <w:t>The</w:t>
      </w:r>
      <w:r>
        <w:rPr>
          <w:spacing w:val="-15"/>
          <w:w w:val="105"/>
        </w:rPr>
        <w:t xml:space="preserve"> </w:t>
      </w:r>
      <w:r>
        <w:rPr>
          <w:w w:val="105"/>
        </w:rPr>
        <w:t>Sierra</w:t>
      </w:r>
      <w:r>
        <w:rPr>
          <w:spacing w:val="-23"/>
          <w:w w:val="105"/>
        </w:rPr>
        <w:t xml:space="preserve"> </w:t>
      </w:r>
      <w:r>
        <w:rPr>
          <w:w w:val="105"/>
        </w:rPr>
        <w:t>Club's</w:t>
      </w:r>
      <w:r>
        <w:rPr>
          <w:spacing w:val="-22"/>
          <w:w w:val="105"/>
        </w:rPr>
        <w:t xml:space="preserve"> </w:t>
      </w:r>
      <w:r>
        <w:rPr>
          <w:w w:val="105"/>
        </w:rPr>
        <w:t>work</w:t>
      </w:r>
      <w:r>
        <w:rPr>
          <w:spacing w:val="-14"/>
          <w:w w:val="105"/>
        </w:rPr>
        <w:t xml:space="preserve"> </w:t>
      </w:r>
      <w:r>
        <w:rPr>
          <w:w w:val="105"/>
        </w:rPr>
        <w:lastRenderedPageBreak/>
        <w:t>includes</w:t>
      </w:r>
      <w:r>
        <w:rPr>
          <w:spacing w:val="-13"/>
          <w:w w:val="105"/>
        </w:rPr>
        <w:t xml:space="preserve"> </w:t>
      </w:r>
      <w:r>
        <w:rPr>
          <w:w w:val="105"/>
        </w:rPr>
        <w:t>intervening</w:t>
      </w:r>
      <w:r>
        <w:rPr>
          <w:spacing w:val="-11"/>
          <w:w w:val="105"/>
        </w:rPr>
        <w:t xml:space="preserve"> </w:t>
      </w:r>
      <w:r>
        <w:rPr>
          <w:w w:val="105"/>
        </w:rPr>
        <w:t>in</w:t>
      </w:r>
      <w:r>
        <w:rPr>
          <w:spacing w:val="-23"/>
          <w:w w:val="105"/>
        </w:rPr>
        <w:t xml:space="preserve"> </w:t>
      </w:r>
      <w:r>
        <w:rPr>
          <w:w w:val="105"/>
        </w:rPr>
        <w:t>efficiency,</w:t>
      </w:r>
      <w:r>
        <w:t xml:space="preserve"> </w:t>
      </w:r>
      <w:r>
        <w:rPr>
          <w:w w:val="105"/>
        </w:rPr>
        <w:t>renewable</w:t>
      </w:r>
      <w:r>
        <w:rPr>
          <w:spacing w:val="-14"/>
          <w:w w:val="105"/>
        </w:rPr>
        <w:t xml:space="preserve"> </w:t>
      </w:r>
      <w:r>
        <w:rPr>
          <w:w w:val="105"/>
        </w:rPr>
        <w:t>energy</w:t>
      </w:r>
      <w:r>
        <w:rPr>
          <w:spacing w:val="-21"/>
          <w:w w:val="105"/>
        </w:rPr>
        <w:t xml:space="preserve"> </w:t>
      </w:r>
      <w:r>
        <w:rPr>
          <w:w w:val="105"/>
        </w:rPr>
        <w:t>and</w:t>
      </w:r>
      <w:r>
        <w:rPr>
          <w:spacing w:val="-24"/>
          <w:w w:val="105"/>
        </w:rPr>
        <w:t xml:space="preserve"> </w:t>
      </w:r>
      <w:r>
        <w:rPr>
          <w:w w:val="105"/>
        </w:rPr>
        <w:t>ratemaking</w:t>
      </w:r>
      <w:r>
        <w:rPr>
          <w:spacing w:val="-14"/>
          <w:w w:val="105"/>
        </w:rPr>
        <w:t xml:space="preserve"> </w:t>
      </w:r>
      <w:r>
        <w:rPr>
          <w:w w:val="105"/>
        </w:rPr>
        <w:t>dockets</w:t>
      </w:r>
      <w:r>
        <w:rPr>
          <w:spacing w:val="-17"/>
          <w:w w:val="105"/>
        </w:rPr>
        <w:t xml:space="preserve"> </w:t>
      </w:r>
      <w:r>
        <w:rPr>
          <w:w w:val="105"/>
        </w:rPr>
        <w:t>at</w:t>
      </w:r>
      <w:r>
        <w:rPr>
          <w:spacing w:val="-28"/>
          <w:w w:val="105"/>
        </w:rPr>
        <w:t xml:space="preserve"> </w:t>
      </w:r>
      <w:r>
        <w:rPr>
          <w:w w:val="105"/>
        </w:rPr>
        <w:t>public</w:t>
      </w:r>
      <w:r>
        <w:rPr>
          <w:spacing w:val="-19"/>
          <w:w w:val="105"/>
        </w:rPr>
        <w:t xml:space="preserve"> </w:t>
      </w:r>
      <w:r>
        <w:rPr>
          <w:w w:val="105"/>
        </w:rPr>
        <w:t>utility</w:t>
      </w:r>
      <w:r>
        <w:rPr>
          <w:spacing w:val="-14"/>
          <w:w w:val="105"/>
        </w:rPr>
        <w:t xml:space="preserve"> </w:t>
      </w:r>
      <w:r>
        <w:rPr>
          <w:w w:val="105"/>
        </w:rPr>
        <w:t>commissions</w:t>
      </w:r>
      <w:r>
        <w:rPr>
          <w:spacing w:val="-16"/>
          <w:w w:val="105"/>
        </w:rPr>
        <w:t xml:space="preserve"> </w:t>
      </w:r>
      <w:r>
        <w:rPr>
          <w:w w:val="105"/>
        </w:rPr>
        <w:t>nationwide,</w:t>
      </w:r>
      <w:r>
        <w:rPr>
          <w:spacing w:val="-13"/>
          <w:w w:val="105"/>
        </w:rPr>
        <w:t xml:space="preserve"> </w:t>
      </w:r>
      <w:r>
        <w:rPr>
          <w:w w:val="105"/>
        </w:rPr>
        <w:t>submitting</w:t>
      </w:r>
      <w:r>
        <w:rPr>
          <w:w w:val="102"/>
        </w:rPr>
        <w:t xml:space="preserve"> </w:t>
      </w:r>
      <w:r>
        <w:rPr>
          <w:w w:val="105"/>
        </w:rPr>
        <w:t>comments</w:t>
      </w:r>
      <w:r>
        <w:rPr>
          <w:spacing w:val="-16"/>
          <w:w w:val="105"/>
        </w:rPr>
        <w:t xml:space="preserve"> </w:t>
      </w:r>
      <w:r>
        <w:rPr>
          <w:w w:val="105"/>
        </w:rPr>
        <w:t>in</w:t>
      </w:r>
      <w:r>
        <w:rPr>
          <w:spacing w:val="-27"/>
          <w:w w:val="105"/>
        </w:rPr>
        <w:t xml:space="preserve"> </w:t>
      </w:r>
      <w:r>
        <w:rPr>
          <w:w w:val="105"/>
        </w:rPr>
        <w:t>numerous</w:t>
      </w:r>
      <w:r>
        <w:rPr>
          <w:spacing w:val="-13"/>
          <w:w w:val="105"/>
        </w:rPr>
        <w:t xml:space="preserve"> </w:t>
      </w:r>
      <w:r>
        <w:rPr>
          <w:w w:val="105"/>
        </w:rPr>
        <w:t>state</w:t>
      </w:r>
      <w:r>
        <w:rPr>
          <w:spacing w:val="-27"/>
          <w:w w:val="105"/>
        </w:rPr>
        <w:t xml:space="preserve"> </w:t>
      </w:r>
      <w:r>
        <w:rPr>
          <w:w w:val="105"/>
        </w:rPr>
        <w:t>and</w:t>
      </w:r>
      <w:r>
        <w:rPr>
          <w:spacing w:val="-23"/>
          <w:w w:val="105"/>
        </w:rPr>
        <w:t xml:space="preserve"> </w:t>
      </w:r>
      <w:r>
        <w:rPr>
          <w:w w:val="105"/>
        </w:rPr>
        <w:t>federal</w:t>
      </w:r>
      <w:r>
        <w:rPr>
          <w:spacing w:val="-20"/>
          <w:w w:val="105"/>
        </w:rPr>
        <w:t xml:space="preserve"> </w:t>
      </w:r>
      <w:r>
        <w:rPr>
          <w:w w:val="105"/>
        </w:rPr>
        <w:t>agency</w:t>
      </w:r>
      <w:r>
        <w:rPr>
          <w:spacing w:val="-17"/>
          <w:w w:val="105"/>
        </w:rPr>
        <w:t xml:space="preserve"> </w:t>
      </w:r>
      <w:r>
        <w:rPr>
          <w:w w:val="105"/>
        </w:rPr>
        <w:t>energy-related</w:t>
      </w:r>
      <w:r>
        <w:rPr>
          <w:spacing w:val="-19"/>
          <w:w w:val="105"/>
        </w:rPr>
        <w:t xml:space="preserve"> </w:t>
      </w:r>
      <w:r>
        <w:rPr>
          <w:w w:val="105"/>
        </w:rPr>
        <w:t>proceedings</w:t>
      </w:r>
      <w:r>
        <w:rPr>
          <w:spacing w:val="-9"/>
          <w:w w:val="105"/>
        </w:rPr>
        <w:t xml:space="preserve"> </w:t>
      </w:r>
      <w:r>
        <w:rPr>
          <w:w w:val="105"/>
        </w:rPr>
        <w:t>and</w:t>
      </w:r>
      <w:r>
        <w:rPr>
          <w:spacing w:val="-25"/>
          <w:w w:val="105"/>
        </w:rPr>
        <w:t xml:space="preserve"> </w:t>
      </w:r>
      <w:r>
        <w:rPr>
          <w:w w:val="105"/>
        </w:rPr>
        <w:t>rulemakings,</w:t>
      </w:r>
      <w:r>
        <w:rPr>
          <w:w w:val="102"/>
        </w:rPr>
        <w:t xml:space="preserve"> </w:t>
      </w:r>
      <w:r>
        <w:rPr>
          <w:w w:val="105"/>
        </w:rPr>
        <w:t>attending</w:t>
      </w:r>
      <w:r>
        <w:rPr>
          <w:spacing w:val="-11"/>
          <w:w w:val="105"/>
        </w:rPr>
        <w:t xml:space="preserve"> </w:t>
      </w:r>
      <w:r>
        <w:rPr>
          <w:w w:val="105"/>
        </w:rPr>
        <w:t>and</w:t>
      </w:r>
      <w:r>
        <w:rPr>
          <w:spacing w:val="-10"/>
          <w:w w:val="105"/>
        </w:rPr>
        <w:t xml:space="preserve"> </w:t>
      </w:r>
      <w:r>
        <w:rPr>
          <w:w w:val="105"/>
        </w:rPr>
        <w:t>speaking</w:t>
      </w:r>
      <w:r>
        <w:rPr>
          <w:spacing w:val="-17"/>
          <w:w w:val="105"/>
        </w:rPr>
        <w:t xml:space="preserve"> </w:t>
      </w:r>
      <w:r>
        <w:rPr>
          <w:w w:val="105"/>
        </w:rPr>
        <w:t>at</w:t>
      </w:r>
      <w:r>
        <w:rPr>
          <w:spacing w:val="-22"/>
          <w:w w:val="105"/>
        </w:rPr>
        <w:t xml:space="preserve"> </w:t>
      </w:r>
      <w:r>
        <w:rPr>
          <w:w w:val="105"/>
        </w:rPr>
        <w:t>public</w:t>
      </w:r>
      <w:r>
        <w:rPr>
          <w:spacing w:val="-11"/>
          <w:w w:val="105"/>
        </w:rPr>
        <w:t xml:space="preserve"> </w:t>
      </w:r>
      <w:r>
        <w:rPr>
          <w:w w:val="105"/>
        </w:rPr>
        <w:t>hearings,</w:t>
      </w:r>
      <w:r>
        <w:rPr>
          <w:spacing w:val="-4"/>
          <w:w w:val="105"/>
        </w:rPr>
        <w:t xml:space="preserve"> </w:t>
      </w:r>
      <w:r>
        <w:rPr>
          <w:w w:val="105"/>
        </w:rPr>
        <w:t>speaking</w:t>
      </w:r>
      <w:r>
        <w:rPr>
          <w:spacing w:val="-14"/>
          <w:w w:val="105"/>
        </w:rPr>
        <w:t xml:space="preserve"> </w:t>
      </w:r>
      <w:r>
        <w:rPr>
          <w:w w:val="105"/>
        </w:rPr>
        <w:t>to</w:t>
      </w:r>
      <w:r>
        <w:rPr>
          <w:spacing w:val="-13"/>
          <w:w w:val="105"/>
        </w:rPr>
        <w:t xml:space="preserve"> </w:t>
      </w:r>
      <w:r>
        <w:rPr>
          <w:w w:val="105"/>
        </w:rPr>
        <w:t>students</w:t>
      </w:r>
      <w:r>
        <w:rPr>
          <w:spacing w:val="-15"/>
          <w:w w:val="105"/>
        </w:rPr>
        <w:t xml:space="preserve"> </w:t>
      </w:r>
      <w:r>
        <w:rPr>
          <w:w w:val="105"/>
        </w:rPr>
        <w:t>and</w:t>
      </w:r>
      <w:r>
        <w:rPr>
          <w:spacing w:val="-15"/>
          <w:w w:val="105"/>
        </w:rPr>
        <w:t xml:space="preserve"> </w:t>
      </w:r>
      <w:r>
        <w:rPr>
          <w:w w:val="105"/>
        </w:rPr>
        <w:t>civic</w:t>
      </w:r>
      <w:r>
        <w:rPr>
          <w:spacing w:val="-17"/>
          <w:w w:val="105"/>
        </w:rPr>
        <w:t xml:space="preserve"> </w:t>
      </w:r>
      <w:r>
        <w:rPr>
          <w:w w:val="105"/>
        </w:rPr>
        <w:t>and</w:t>
      </w:r>
      <w:r>
        <w:rPr>
          <w:spacing w:val="-16"/>
          <w:w w:val="105"/>
        </w:rPr>
        <w:t xml:space="preserve"> </w:t>
      </w:r>
      <w:r>
        <w:rPr>
          <w:w w:val="105"/>
        </w:rPr>
        <w:t>other</w:t>
      </w:r>
      <w:r>
        <w:rPr>
          <w:w w:val="102"/>
        </w:rPr>
        <w:t xml:space="preserve"> </w:t>
      </w:r>
      <w:r>
        <w:rPr>
          <w:w w:val="105"/>
        </w:rPr>
        <w:t>organizations,</w:t>
      </w:r>
      <w:r>
        <w:rPr>
          <w:spacing w:val="7"/>
          <w:w w:val="105"/>
        </w:rPr>
        <w:t xml:space="preserve"> </w:t>
      </w:r>
      <w:r>
        <w:rPr>
          <w:w w:val="105"/>
        </w:rPr>
        <w:t>and</w:t>
      </w:r>
      <w:r>
        <w:rPr>
          <w:spacing w:val="-12"/>
          <w:w w:val="105"/>
        </w:rPr>
        <w:t xml:space="preserve"> </w:t>
      </w:r>
      <w:r>
        <w:rPr>
          <w:w w:val="105"/>
        </w:rPr>
        <w:t>holding</w:t>
      </w:r>
      <w:r>
        <w:rPr>
          <w:spacing w:val="5"/>
          <w:w w:val="105"/>
        </w:rPr>
        <w:t xml:space="preserve"> </w:t>
      </w:r>
      <w:r>
        <w:rPr>
          <w:w w:val="105"/>
        </w:rPr>
        <w:t>seminars</w:t>
      </w:r>
      <w:r>
        <w:rPr>
          <w:spacing w:val="-7"/>
          <w:w w:val="105"/>
        </w:rPr>
        <w:t xml:space="preserve"> </w:t>
      </w:r>
      <w:r>
        <w:rPr>
          <w:w w:val="105"/>
        </w:rPr>
        <w:t>and</w:t>
      </w:r>
      <w:r>
        <w:rPr>
          <w:spacing w:val="-8"/>
          <w:w w:val="105"/>
        </w:rPr>
        <w:t xml:space="preserve"> </w:t>
      </w:r>
      <w:r>
        <w:rPr>
          <w:w w:val="105"/>
        </w:rPr>
        <w:t>symposia</w:t>
      </w:r>
      <w:r>
        <w:rPr>
          <w:spacing w:val="-11"/>
          <w:w w:val="105"/>
        </w:rPr>
        <w:t xml:space="preserve"> </w:t>
      </w:r>
      <w:r>
        <w:rPr>
          <w:spacing w:val="1"/>
          <w:w w:val="105"/>
        </w:rPr>
        <w:t xml:space="preserve">- </w:t>
      </w:r>
      <w:r>
        <w:rPr>
          <w:spacing w:val="4"/>
          <w:w w:val="105"/>
        </w:rPr>
        <w:t>all</w:t>
      </w:r>
      <w:r>
        <w:rPr>
          <w:spacing w:val="-9"/>
          <w:w w:val="105"/>
        </w:rPr>
        <w:t xml:space="preserve"> </w:t>
      </w:r>
      <w:r>
        <w:rPr>
          <w:w w:val="105"/>
        </w:rPr>
        <w:t>in</w:t>
      </w:r>
      <w:r>
        <w:rPr>
          <w:spacing w:val="-10"/>
          <w:w w:val="105"/>
        </w:rPr>
        <w:t xml:space="preserve"> </w:t>
      </w:r>
      <w:r>
        <w:rPr>
          <w:w w:val="105"/>
        </w:rPr>
        <w:t>support</w:t>
      </w:r>
      <w:r>
        <w:rPr>
          <w:spacing w:val="-5"/>
          <w:w w:val="105"/>
        </w:rPr>
        <w:t xml:space="preserve"> </w:t>
      </w:r>
      <w:r>
        <w:rPr>
          <w:w w:val="105"/>
        </w:rPr>
        <w:t>of</w:t>
      </w:r>
      <w:r>
        <w:rPr>
          <w:spacing w:val="-16"/>
          <w:w w:val="105"/>
        </w:rPr>
        <w:t xml:space="preserve"> </w:t>
      </w:r>
      <w:r>
        <w:rPr>
          <w:w w:val="105"/>
        </w:rPr>
        <w:t>policies</w:t>
      </w:r>
      <w:r>
        <w:rPr>
          <w:spacing w:val="-3"/>
          <w:w w:val="105"/>
        </w:rPr>
        <w:t xml:space="preserve"> </w:t>
      </w:r>
      <w:r>
        <w:rPr>
          <w:w w:val="105"/>
        </w:rPr>
        <w:t>to</w:t>
      </w:r>
      <w:r>
        <w:rPr>
          <w:spacing w:val="-12"/>
          <w:w w:val="105"/>
        </w:rPr>
        <w:t xml:space="preserve"> </w:t>
      </w:r>
      <w:r>
        <w:rPr>
          <w:w w:val="105"/>
        </w:rPr>
        <w:t>reduce</w:t>
      </w:r>
      <w:r>
        <w:rPr>
          <w:spacing w:val="-8"/>
          <w:w w:val="105"/>
        </w:rPr>
        <w:t xml:space="preserve"> </w:t>
      </w:r>
      <w:r>
        <w:rPr>
          <w:w w:val="105"/>
        </w:rPr>
        <w:t>the</w:t>
      </w:r>
      <w:r>
        <w:rPr>
          <w:spacing w:val="21"/>
          <w:w w:val="103"/>
        </w:rPr>
        <w:t xml:space="preserve"> </w:t>
      </w:r>
      <w:r>
        <w:rPr>
          <w:w w:val="105"/>
        </w:rPr>
        <w:t>impact</w:t>
      </w:r>
      <w:r>
        <w:rPr>
          <w:spacing w:val="-14"/>
          <w:w w:val="105"/>
        </w:rPr>
        <w:t xml:space="preserve"> </w:t>
      </w:r>
      <w:r>
        <w:rPr>
          <w:w w:val="105"/>
        </w:rPr>
        <w:t>of</w:t>
      </w:r>
      <w:r>
        <w:rPr>
          <w:spacing w:val="-20"/>
          <w:w w:val="105"/>
        </w:rPr>
        <w:t xml:space="preserve"> </w:t>
      </w:r>
      <w:r>
        <w:rPr>
          <w:w w:val="105"/>
        </w:rPr>
        <w:t>climate</w:t>
      </w:r>
      <w:r>
        <w:rPr>
          <w:spacing w:val="-18"/>
          <w:w w:val="105"/>
        </w:rPr>
        <w:t xml:space="preserve"> </w:t>
      </w:r>
      <w:r>
        <w:rPr>
          <w:w w:val="105"/>
        </w:rPr>
        <w:t>change</w:t>
      </w:r>
      <w:r>
        <w:rPr>
          <w:spacing w:val="-14"/>
          <w:w w:val="105"/>
        </w:rPr>
        <w:t xml:space="preserve"> </w:t>
      </w:r>
      <w:r>
        <w:rPr>
          <w:w w:val="105"/>
        </w:rPr>
        <w:t>and</w:t>
      </w:r>
      <w:r>
        <w:rPr>
          <w:spacing w:val="-15"/>
          <w:w w:val="105"/>
        </w:rPr>
        <w:t xml:space="preserve"> </w:t>
      </w:r>
      <w:r>
        <w:rPr>
          <w:w w:val="105"/>
        </w:rPr>
        <w:t>other</w:t>
      </w:r>
      <w:r>
        <w:rPr>
          <w:spacing w:val="-10"/>
          <w:w w:val="105"/>
        </w:rPr>
        <w:t xml:space="preserve"> </w:t>
      </w:r>
      <w:r>
        <w:rPr>
          <w:w w:val="105"/>
        </w:rPr>
        <w:t>air</w:t>
      </w:r>
      <w:r>
        <w:rPr>
          <w:spacing w:val="-23"/>
          <w:w w:val="105"/>
        </w:rPr>
        <w:t xml:space="preserve"> </w:t>
      </w:r>
      <w:r>
        <w:rPr>
          <w:w w:val="105"/>
        </w:rPr>
        <w:t>pollution</w:t>
      </w:r>
      <w:r>
        <w:rPr>
          <w:spacing w:val="-6"/>
          <w:w w:val="105"/>
        </w:rPr>
        <w:t xml:space="preserve"> </w:t>
      </w:r>
      <w:r>
        <w:rPr>
          <w:w w:val="105"/>
        </w:rPr>
        <w:t>by</w:t>
      </w:r>
      <w:r>
        <w:rPr>
          <w:spacing w:val="-17"/>
          <w:w w:val="105"/>
        </w:rPr>
        <w:t xml:space="preserve"> </w:t>
      </w:r>
      <w:r>
        <w:rPr>
          <w:w w:val="105"/>
        </w:rPr>
        <w:t>promoting</w:t>
      </w:r>
      <w:r>
        <w:rPr>
          <w:spacing w:val="-3"/>
          <w:w w:val="105"/>
        </w:rPr>
        <w:t xml:space="preserve"> </w:t>
      </w:r>
      <w:r>
        <w:rPr>
          <w:w w:val="105"/>
        </w:rPr>
        <w:t>clean</w:t>
      </w:r>
      <w:r>
        <w:rPr>
          <w:spacing w:val="-15"/>
          <w:w w:val="105"/>
        </w:rPr>
        <w:t xml:space="preserve"> </w:t>
      </w:r>
      <w:r>
        <w:rPr>
          <w:w w:val="105"/>
        </w:rPr>
        <w:t>energy</w:t>
      </w:r>
      <w:r>
        <w:rPr>
          <w:spacing w:val="-11"/>
          <w:w w:val="105"/>
        </w:rPr>
        <w:t xml:space="preserve"> </w:t>
      </w:r>
      <w:r>
        <w:rPr>
          <w:w w:val="105"/>
        </w:rPr>
        <w:t>alternatives</w:t>
      </w:r>
      <w:r>
        <w:rPr>
          <w:spacing w:val="-9"/>
          <w:w w:val="105"/>
        </w:rPr>
        <w:t xml:space="preserve"> </w:t>
      </w:r>
      <w:r>
        <w:rPr>
          <w:w w:val="105"/>
        </w:rPr>
        <w:t xml:space="preserve">and </w:t>
      </w:r>
      <w:r>
        <w:t>energy</w:t>
      </w:r>
      <w:r>
        <w:rPr>
          <w:spacing w:val="20"/>
        </w:rPr>
        <w:t xml:space="preserve"> </w:t>
      </w:r>
      <w:r>
        <w:t xml:space="preserve">efficiency. </w:t>
      </w:r>
      <w:r>
        <w:rPr>
          <w:spacing w:val="36"/>
        </w:rPr>
        <w:t xml:space="preserve"> </w:t>
      </w:r>
      <w:r>
        <w:t>Sierra</w:t>
      </w:r>
      <w:r>
        <w:rPr>
          <w:spacing w:val="6"/>
        </w:rPr>
        <w:t xml:space="preserve"> </w:t>
      </w:r>
      <w:r>
        <w:t>Club</w:t>
      </w:r>
      <w:r>
        <w:rPr>
          <w:spacing w:val="1"/>
        </w:rPr>
        <w:t xml:space="preserve"> </w:t>
      </w:r>
      <w:r>
        <w:t>has</w:t>
      </w:r>
      <w:r>
        <w:rPr>
          <w:spacing w:val="13"/>
        </w:rPr>
        <w:t xml:space="preserve"> </w:t>
      </w:r>
      <w:r>
        <w:t>worked</w:t>
      </w:r>
      <w:r>
        <w:rPr>
          <w:spacing w:val="26"/>
        </w:rPr>
        <w:t xml:space="preserve"> </w:t>
      </w:r>
      <w:r>
        <w:t>to</w:t>
      </w:r>
      <w:r>
        <w:rPr>
          <w:spacing w:val="2"/>
        </w:rPr>
        <w:t xml:space="preserve"> </w:t>
      </w:r>
      <w:r>
        <w:t>protect</w:t>
      </w:r>
      <w:r>
        <w:rPr>
          <w:spacing w:val="35"/>
        </w:rPr>
        <w:t xml:space="preserve"> </w:t>
      </w:r>
      <w:r>
        <w:t>local</w:t>
      </w:r>
      <w:r>
        <w:rPr>
          <w:spacing w:val="17"/>
        </w:rPr>
        <w:t xml:space="preserve"> </w:t>
      </w:r>
      <w:r>
        <w:t>customers</w:t>
      </w:r>
      <w:r>
        <w:rPr>
          <w:spacing w:val="27"/>
        </w:rPr>
        <w:t xml:space="preserve"> </w:t>
      </w:r>
      <w:r>
        <w:t>from</w:t>
      </w:r>
      <w:r>
        <w:rPr>
          <w:spacing w:val="12"/>
        </w:rPr>
        <w:t xml:space="preserve"> </w:t>
      </w:r>
      <w:r>
        <w:t>increased</w:t>
      </w:r>
      <w:r>
        <w:rPr>
          <w:spacing w:val="25"/>
        </w:rPr>
        <w:t xml:space="preserve"> </w:t>
      </w:r>
      <w:r>
        <w:t>rates</w:t>
      </w:r>
      <w:r>
        <w:rPr>
          <w:spacing w:val="21"/>
        </w:rPr>
        <w:t xml:space="preserve"> </w:t>
      </w:r>
      <w:r>
        <w:t>due</w:t>
      </w:r>
      <w:r>
        <w:rPr>
          <w:spacing w:val="1"/>
        </w:rPr>
        <w:t xml:space="preserve"> </w:t>
      </w:r>
      <w:r>
        <w:t>to</w:t>
      </w:r>
      <w:r>
        <w:rPr>
          <w:w w:val="105"/>
        </w:rPr>
        <w:t xml:space="preserve"> </w:t>
      </w:r>
      <w:r>
        <w:t>utility</w:t>
      </w:r>
      <w:r>
        <w:rPr>
          <w:spacing w:val="25"/>
        </w:rPr>
        <w:t xml:space="preserve"> </w:t>
      </w:r>
      <w:r>
        <w:t>investment</w:t>
      </w:r>
      <w:r>
        <w:rPr>
          <w:spacing w:val="39"/>
        </w:rPr>
        <w:t xml:space="preserve"> </w:t>
      </w:r>
      <w:r>
        <w:t>in</w:t>
      </w:r>
      <w:r>
        <w:rPr>
          <w:spacing w:val="5"/>
        </w:rPr>
        <w:t xml:space="preserve"> </w:t>
      </w:r>
      <w:r>
        <w:t>aging</w:t>
      </w:r>
      <w:r>
        <w:rPr>
          <w:spacing w:val="15"/>
        </w:rPr>
        <w:t xml:space="preserve"> </w:t>
      </w:r>
      <w:r>
        <w:t>coal</w:t>
      </w:r>
      <w:r>
        <w:rPr>
          <w:spacing w:val="6"/>
        </w:rPr>
        <w:t xml:space="preserve"> </w:t>
      </w:r>
      <w:r>
        <w:t>plants,</w:t>
      </w:r>
      <w:r>
        <w:rPr>
          <w:spacing w:val="29"/>
        </w:rPr>
        <w:t xml:space="preserve"> </w:t>
      </w:r>
      <w:r>
        <w:t>such</w:t>
      </w:r>
      <w:r>
        <w:rPr>
          <w:spacing w:val="5"/>
        </w:rPr>
        <w:t xml:space="preserve"> </w:t>
      </w:r>
      <w:r>
        <w:t>as</w:t>
      </w:r>
      <w:r>
        <w:rPr>
          <w:spacing w:val="1"/>
        </w:rPr>
        <w:t xml:space="preserve"> </w:t>
      </w:r>
      <w:r w:rsidR="001E5CF8">
        <w:t>Colstrip</w:t>
      </w:r>
      <w:r>
        <w:t>,</w:t>
      </w:r>
      <w:r>
        <w:rPr>
          <w:spacing w:val="24"/>
        </w:rPr>
        <w:t xml:space="preserve"> </w:t>
      </w:r>
      <w:r>
        <w:t>when</w:t>
      </w:r>
      <w:r>
        <w:rPr>
          <w:spacing w:val="18"/>
        </w:rPr>
        <w:t xml:space="preserve"> </w:t>
      </w:r>
      <w:r>
        <w:t>clean</w:t>
      </w:r>
      <w:r>
        <w:rPr>
          <w:w w:val="102"/>
        </w:rPr>
        <w:t xml:space="preserve"> </w:t>
      </w:r>
      <w:r>
        <w:t>energy</w:t>
      </w:r>
      <w:r>
        <w:rPr>
          <w:spacing w:val="22"/>
        </w:rPr>
        <w:t xml:space="preserve"> </w:t>
      </w:r>
      <w:r>
        <w:t>alternatives</w:t>
      </w:r>
      <w:r>
        <w:rPr>
          <w:spacing w:val="27"/>
        </w:rPr>
        <w:t xml:space="preserve"> </w:t>
      </w:r>
      <w:r>
        <w:t>and</w:t>
      </w:r>
      <w:r>
        <w:rPr>
          <w:spacing w:val="19"/>
        </w:rPr>
        <w:t xml:space="preserve"> </w:t>
      </w:r>
      <w:r>
        <w:t>energy</w:t>
      </w:r>
      <w:r>
        <w:rPr>
          <w:spacing w:val="13"/>
        </w:rPr>
        <w:t xml:space="preserve"> </w:t>
      </w:r>
      <w:r>
        <w:t>efficiency</w:t>
      </w:r>
      <w:r>
        <w:rPr>
          <w:spacing w:val="21"/>
        </w:rPr>
        <w:t xml:space="preserve"> </w:t>
      </w:r>
      <w:r>
        <w:t>measures</w:t>
      </w:r>
      <w:r>
        <w:rPr>
          <w:spacing w:val="25"/>
        </w:rPr>
        <w:t xml:space="preserve"> </w:t>
      </w:r>
      <w:r>
        <w:t>are</w:t>
      </w:r>
      <w:r>
        <w:rPr>
          <w:spacing w:val="3"/>
        </w:rPr>
        <w:t xml:space="preserve"> </w:t>
      </w:r>
      <w:r>
        <w:t>possible</w:t>
      </w:r>
      <w:r w:rsidR="00213330">
        <w:t>.</w:t>
      </w:r>
    </w:p>
    <w:p w14:paraId="1772E18A" w14:textId="595C5BD0" w:rsidR="00213330" w:rsidRPr="00A2358C" w:rsidRDefault="00213330" w:rsidP="00213330">
      <w:pPr>
        <w:pStyle w:val="Q"/>
      </w:pPr>
      <w:r>
        <w:rPr>
          <w:szCs w:val="24"/>
        </w:rPr>
        <w:t>Q</w:t>
      </w:r>
      <w:r w:rsidR="003F0FDB">
        <w:rPr>
          <w:szCs w:val="24"/>
        </w:rPr>
        <w:t>.</w:t>
      </w:r>
      <w:r>
        <w:rPr>
          <w:szCs w:val="24"/>
        </w:rPr>
        <w:tab/>
        <w:t xml:space="preserve">What are </w:t>
      </w:r>
      <w:r w:rsidRPr="00856191">
        <w:rPr>
          <w:szCs w:val="24"/>
        </w:rPr>
        <w:t xml:space="preserve">your responsibilities in </w:t>
      </w:r>
      <w:r>
        <w:rPr>
          <w:szCs w:val="24"/>
        </w:rPr>
        <w:t>the Sierra Club Beyond Coal</w:t>
      </w:r>
      <w:r w:rsidR="005F5B6E">
        <w:rPr>
          <w:szCs w:val="24"/>
        </w:rPr>
        <w:t xml:space="preserve"> C</w:t>
      </w:r>
      <w:r w:rsidRPr="00856191">
        <w:rPr>
          <w:szCs w:val="24"/>
        </w:rPr>
        <w:t>ampaign?</w:t>
      </w:r>
    </w:p>
    <w:p w14:paraId="6EE094EA" w14:textId="459F9112" w:rsidR="00213330" w:rsidRDefault="00213330" w:rsidP="00213330">
      <w:pPr>
        <w:pStyle w:val="A"/>
      </w:pPr>
      <w:r>
        <w:t>A</w:t>
      </w:r>
      <w:r w:rsidR="003F0FDB">
        <w:t>.</w:t>
      </w:r>
      <w:r>
        <w:tab/>
        <w:t xml:space="preserve">I am responsible for coordinating advocacy and strategy for the Beyond Coal Campaign in the Pacific Northwest. My work includes engaging with utilities such as PSE to advocate for the responsible transition away from fossil generating resources toward clean energy and energy efficiency. I have managed Sierra Club’s advocacy work related to Colstrip for the past </w:t>
      </w:r>
      <w:r w:rsidR="00596310">
        <w:t>six</w:t>
      </w:r>
      <w:r>
        <w:t xml:space="preserve"> years.</w:t>
      </w:r>
    </w:p>
    <w:p w14:paraId="4BD22694" w14:textId="08C4F514" w:rsidR="00213330" w:rsidRDefault="00213330" w:rsidP="008C2148">
      <w:pPr>
        <w:pStyle w:val="Q"/>
        <w:tabs>
          <w:tab w:val="left" w:pos="720"/>
          <w:tab w:val="left" w:pos="1440"/>
          <w:tab w:val="left" w:pos="2160"/>
          <w:tab w:val="left" w:pos="2880"/>
          <w:tab w:val="left" w:pos="3600"/>
          <w:tab w:val="center" w:pos="4680"/>
        </w:tabs>
      </w:pPr>
      <w:r>
        <w:t>Q</w:t>
      </w:r>
      <w:r w:rsidR="003F0FDB">
        <w:t>.</w:t>
      </w:r>
      <w:r>
        <w:tab/>
        <w:t>Are you a technical expert?</w:t>
      </w:r>
    </w:p>
    <w:p w14:paraId="2372717B" w14:textId="547C4505" w:rsidR="00213330" w:rsidRPr="00213330" w:rsidRDefault="00213330" w:rsidP="00213330">
      <w:pPr>
        <w:pStyle w:val="A"/>
      </w:pPr>
      <w:r>
        <w:t>A</w:t>
      </w:r>
      <w:r w:rsidR="003F0FDB">
        <w:t>.</w:t>
      </w:r>
      <w:r>
        <w:tab/>
        <w:t xml:space="preserve">No. I am providing testimony based on my knowledge and representation of the Sierra Club.  </w:t>
      </w:r>
    </w:p>
    <w:p w14:paraId="02FEA300" w14:textId="6DD43560" w:rsidR="001715A7" w:rsidRPr="00A2358C" w:rsidRDefault="00213330" w:rsidP="001809FB">
      <w:pPr>
        <w:pStyle w:val="Q"/>
        <w:rPr>
          <w:rFonts w:asciiTheme="majorHAnsi" w:hAnsiTheme="majorHAnsi" w:cstheme="majorHAnsi"/>
          <w:szCs w:val="24"/>
        </w:rPr>
      </w:pPr>
      <w:r>
        <w:rPr>
          <w:rFonts w:asciiTheme="majorHAnsi" w:hAnsiTheme="majorHAnsi" w:cstheme="majorHAnsi"/>
          <w:szCs w:val="24"/>
        </w:rPr>
        <w:t>Q</w:t>
      </w:r>
      <w:r w:rsidR="003F0FDB">
        <w:rPr>
          <w:rFonts w:asciiTheme="majorHAnsi" w:hAnsiTheme="majorHAnsi" w:cstheme="majorHAnsi"/>
          <w:szCs w:val="24"/>
        </w:rPr>
        <w:t>.</w:t>
      </w:r>
      <w:r w:rsidR="001715A7" w:rsidRPr="00A2358C">
        <w:rPr>
          <w:rFonts w:asciiTheme="majorHAnsi" w:hAnsiTheme="majorHAnsi" w:cstheme="majorHAnsi"/>
          <w:szCs w:val="24"/>
        </w:rPr>
        <w:tab/>
      </w:r>
      <w:r w:rsidR="004136AE" w:rsidRPr="00A2358C">
        <w:rPr>
          <w:rFonts w:asciiTheme="majorHAnsi" w:hAnsiTheme="majorHAnsi" w:cstheme="majorHAnsi"/>
          <w:szCs w:val="24"/>
        </w:rPr>
        <w:t>Have</w:t>
      </w:r>
      <w:r w:rsidR="004136AE">
        <w:rPr>
          <w:rFonts w:asciiTheme="majorHAnsi" w:hAnsiTheme="majorHAnsi" w:cstheme="majorHAnsi"/>
          <w:szCs w:val="24"/>
        </w:rPr>
        <w:t xml:space="preserve"> you ever testified before the Washington Utilities and Transportation C</w:t>
      </w:r>
      <w:r w:rsidR="004136AE" w:rsidRPr="00A2358C">
        <w:rPr>
          <w:rFonts w:asciiTheme="majorHAnsi" w:hAnsiTheme="majorHAnsi" w:cstheme="majorHAnsi"/>
          <w:szCs w:val="24"/>
        </w:rPr>
        <w:t>ommi</w:t>
      </w:r>
      <w:r w:rsidR="004136AE">
        <w:rPr>
          <w:rFonts w:asciiTheme="majorHAnsi" w:hAnsiTheme="majorHAnsi" w:cstheme="majorHAnsi"/>
          <w:szCs w:val="24"/>
        </w:rPr>
        <w:t>ssion (WUTC</w:t>
      </w:r>
      <w:r w:rsidR="004136AE" w:rsidRPr="00A2358C">
        <w:rPr>
          <w:rFonts w:asciiTheme="majorHAnsi" w:hAnsiTheme="majorHAnsi" w:cstheme="majorHAnsi"/>
          <w:szCs w:val="24"/>
        </w:rPr>
        <w:t>)?</w:t>
      </w:r>
    </w:p>
    <w:p w14:paraId="7DBFD784" w14:textId="635E2E53" w:rsidR="007C142A" w:rsidRPr="00A2358C" w:rsidRDefault="00213330" w:rsidP="001E5CF8">
      <w:pPr>
        <w:pStyle w:val="A"/>
        <w:rPr>
          <w:rFonts w:eastAsiaTheme="minorEastAsia"/>
        </w:rPr>
      </w:pPr>
      <w:r>
        <w:t>A</w:t>
      </w:r>
      <w:r w:rsidR="003F0FDB">
        <w:t>.</w:t>
      </w:r>
      <w:r w:rsidR="001715A7" w:rsidRPr="00A2358C">
        <w:tab/>
      </w:r>
      <w:r w:rsidR="001E5CF8">
        <w:t>No</w:t>
      </w:r>
      <w:r w:rsidR="00684AFC">
        <w:t xml:space="preserve">. </w:t>
      </w:r>
    </w:p>
    <w:p w14:paraId="43BBDCB7" w14:textId="242EF91E" w:rsidR="001715A7" w:rsidRPr="00A2358C" w:rsidRDefault="001715A7" w:rsidP="001809FB">
      <w:pPr>
        <w:pStyle w:val="Q"/>
        <w:rPr>
          <w:rFonts w:asciiTheme="majorHAnsi" w:hAnsiTheme="majorHAnsi" w:cstheme="majorHAnsi"/>
          <w:szCs w:val="24"/>
        </w:rPr>
      </w:pPr>
      <w:r w:rsidRPr="00A2358C">
        <w:rPr>
          <w:rFonts w:asciiTheme="majorHAnsi" w:hAnsiTheme="majorHAnsi" w:cstheme="majorHAnsi"/>
          <w:szCs w:val="24"/>
        </w:rPr>
        <w:lastRenderedPageBreak/>
        <w:t>Q.</w:t>
      </w:r>
      <w:r w:rsidRPr="00A2358C">
        <w:rPr>
          <w:rFonts w:asciiTheme="majorHAnsi" w:hAnsiTheme="majorHAnsi" w:cstheme="majorHAnsi"/>
          <w:szCs w:val="24"/>
        </w:rPr>
        <w:tab/>
      </w:r>
      <w:r w:rsidR="004136AE" w:rsidRPr="00A2358C">
        <w:rPr>
          <w:rFonts w:asciiTheme="majorHAnsi" w:hAnsiTheme="majorHAnsi" w:cstheme="majorHAnsi"/>
          <w:szCs w:val="24"/>
        </w:rPr>
        <w:t>What is the purpose of your testimony in this proceeding?</w:t>
      </w:r>
    </w:p>
    <w:p w14:paraId="190F2955" w14:textId="491DA46A" w:rsidR="00684AFC" w:rsidRDefault="001E5CF8" w:rsidP="001E5CF8">
      <w:pPr>
        <w:pStyle w:val="A"/>
      </w:pPr>
      <w:r>
        <w:t>A.</w:t>
      </w:r>
      <w:r>
        <w:tab/>
        <w:t xml:space="preserve">My testimony </w:t>
      </w:r>
      <w:r w:rsidR="00213330">
        <w:t>explains</w:t>
      </w:r>
      <w:r>
        <w:t xml:space="preserve"> the basis for Sierra Club’s decision to join </w:t>
      </w:r>
      <w:r w:rsidR="00856191">
        <w:t xml:space="preserve">and support </w:t>
      </w:r>
      <w:r>
        <w:t xml:space="preserve">the </w:t>
      </w:r>
      <w:r>
        <w:rPr>
          <w:i/>
        </w:rPr>
        <w:t>Multiparty Settlement and Stipulation Agreement</w:t>
      </w:r>
      <w:r>
        <w:t xml:space="preserve"> filed on </w:t>
      </w:r>
      <w:r w:rsidRPr="003F0FDB">
        <w:t>September 15, 2017</w:t>
      </w:r>
      <w:r>
        <w:t xml:space="preserve"> in this proceeding (the “Settlement”). </w:t>
      </w:r>
    </w:p>
    <w:p w14:paraId="62F0BBDB" w14:textId="68EF3E88" w:rsidR="001E5CF8" w:rsidRPr="00A2358C" w:rsidRDefault="001E5CF8" w:rsidP="001E5CF8">
      <w:pPr>
        <w:pStyle w:val="Q"/>
        <w:rPr>
          <w:rFonts w:asciiTheme="majorHAnsi" w:hAnsiTheme="majorHAnsi" w:cstheme="majorHAnsi"/>
          <w:szCs w:val="24"/>
        </w:rPr>
      </w:pPr>
      <w:r>
        <w:rPr>
          <w:rFonts w:asciiTheme="majorHAnsi" w:hAnsiTheme="majorHAnsi" w:cstheme="majorHAnsi"/>
          <w:caps/>
          <w:szCs w:val="24"/>
        </w:rPr>
        <w:t>Q</w:t>
      </w:r>
      <w:r w:rsidR="003F0FDB">
        <w:rPr>
          <w:rFonts w:asciiTheme="majorHAnsi" w:hAnsiTheme="majorHAnsi" w:cstheme="majorHAnsi"/>
          <w:caps/>
          <w:szCs w:val="24"/>
        </w:rPr>
        <w:t>.</w:t>
      </w:r>
      <w:r>
        <w:rPr>
          <w:rFonts w:asciiTheme="majorHAnsi" w:hAnsiTheme="majorHAnsi" w:cstheme="majorHAnsi"/>
          <w:caps/>
          <w:szCs w:val="24"/>
        </w:rPr>
        <w:tab/>
      </w:r>
      <w:r>
        <w:rPr>
          <w:rFonts w:asciiTheme="majorHAnsi" w:hAnsiTheme="majorHAnsi" w:cstheme="majorHAnsi"/>
          <w:szCs w:val="24"/>
        </w:rPr>
        <w:t>W</w:t>
      </w:r>
      <w:r w:rsidRPr="00A2358C">
        <w:rPr>
          <w:rFonts w:asciiTheme="majorHAnsi" w:hAnsiTheme="majorHAnsi" w:cstheme="majorHAnsi"/>
          <w:szCs w:val="24"/>
        </w:rPr>
        <w:t>hat</w:t>
      </w:r>
      <w:r w:rsidR="000037B6">
        <w:rPr>
          <w:rFonts w:asciiTheme="majorHAnsi" w:hAnsiTheme="majorHAnsi" w:cstheme="majorHAnsi"/>
          <w:szCs w:val="24"/>
        </w:rPr>
        <w:t xml:space="preserve"> is</w:t>
      </w:r>
      <w:r>
        <w:rPr>
          <w:rFonts w:asciiTheme="majorHAnsi" w:hAnsiTheme="majorHAnsi" w:cstheme="majorHAnsi"/>
          <w:szCs w:val="24"/>
        </w:rPr>
        <w:t xml:space="preserve"> your recommendation</w:t>
      </w:r>
      <w:r w:rsidRPr="00A2358C">
        <w:rPr>
          <w:rFonts w:asciiTheme="majorHAnsi" w:hAnsiTheme="majorHAnsi" w:cstheme="majorHAnsi"/>
          <w:szCs w:val="24"/>
        </w:rPr>
        <w:t>?</w:t>
      </w:r>
    </w:p>
    <w:p w14:paraId="48639A2C" w14:textId="4728E075" w:rsidR="001E5CF8" w:rsidRDefault="001E5CF8" w:rsidP="001E5CF8">
      <w:pPr>
        <w:pStyle w:val="A"/>
      </w:pPr>
      <w:r w:rsidRPr="00A2358C">
        <w:t>A.</w:t>
      </w:r>
      <w:r w:rsidRPr="00A2358C">
        <w:tab/>
      </w:r>
      <w:r>
        <w:t>I</w:t>
      </w:r>
      <w:r w:rsidR="000037B6">
        <w:t xml:space="preserve"> strongly</w:t>
      </w:r>
      <w:r>
        <w:t xml:space="preserve"> recommend that the Commission approve the Settlement in full. </w:t>
      </w:r>
      <w:r w:rsidR="000037B6">
        <w:t>The Settlement is a landmark achievement that</w:t>
      </w:r>
      <w:r w:rsidR="000037B6" w:rsidRPr="000037B6">
        <w:t xml:space="preserve"> provides enormous economic, environmental and equity benefits</w:t>
      </w:r>
      <w:r w:rsidR="000037B6">
        <w:t xml:space="preserve"> </w:t>
      </w:r>
      <w:r w:rsidR="00596310">
        <w:t xml:space="preserve">for PSE ratepayers </w:t>
      </w:r>
      <w:r w:rsidR="000037B6">
        <w:t>related to the future of the Colstrip coal plant</w:t>
      </w:r>
      <w:r w:rsidR="000037B6" w:rsidRPr="000037B6">
        <w:t xml:space="preserve">. </w:t>
      </w:r>
      <w:r w:rsidR="000037B6">
        <w:t xml:space="preserve">The Commission has a </w:t>
      </w:r>
      <w:r w:rsidR="00213330">
        <w:t>unique</w:t>
      </w:r>
      <w:r w:rsidR="000037B6">
        <w:t xml:space="preserve"> opportunity in this proceeding to approve a multiparty agreement that</w:t>
      </w:r>
      <w:r w:rsidR="000037B6" w:rsidRPr="000037B6">
        <w:t xml:space="preserve"> comprehensively achieve</w:t>
      </w:r>
      <w:r w:rsidR="000037B6">
        <w:t>s</w:t>
      </w:r>
      <w:r w:rsidR="000037B6" w:rsidRPr="000037B6">
        <w:t xml:space="preserve"> this triple bottom-line. Th</w:t>
      </w:r>
      <w:r w:rsidR="000037B6">
        <w:t>e Settlement</w:t>
      </w:r>
      <w:r w:rsidR="000037B6" w:rsidRPr="000037B6">
        <w:t xml:space="preserve"> also provides more certainty for PSE ratepayers and the community of Colstrip, and </w:t>
      </w:r>
      <w:r w:rsidR="000037B6">
        <w:t xml:space="preserve">it can </w:t>
      </w:r>
      <w:r w:rsidR="000037B6" w:rsidRPr="000037B6">
        <w:t>serve as a model for other Colstrip owners.</w:t>
      </w:r>
    </w:p>
    <w:p w14:paraId="012702B7" w14:textId="447CB404" w:rsidR="008875DF" w:rsidRPr="008875DF" w:rsidRDefault="008875DF" w:rsidP="008875DF">
      <w:pPr>
        <w:pStyle w:val="Heading"/>
      </w:pPr>
      <w:bookmarkStart w:id="2" w:name="_Toc493237312"/>
      <w:r>
        <w:t>Summary of Sierra Club Position</w:t>
      </w:r>
      <w:bookmarkEnd w:id="2"/>
    </w:p>
    <w:p w14:paraId="6B1E78A3" w14:textId="000D6212" w:rsidR="000037B6" w:rsidRPr="00856191" w:rsidRDefault="000037B6" w:rsidP="000037B6">
      <w:pPr>
        <w:pStyle w:val="Q"/>
        <w:rPr>
          <w:szCs w:val="24"/>
        </w:rPr>
      </w:pPr>
      <w:r w:rsidRPr="00856191">
        <w:rPr>
          <w:szCs w:val="24"/>
        </w:rPr>
        <w:t>Q</w:t>
      </w:r>
      <w:r w:rsidR="003F0FDB">
        <w:rPr>
          <w:szCs w:val="24"/>
        </w:rPr>
        <w:t>.</w:t>
      </w:r>
      <w:r w:rsidRPr="00856191">
        <w:rPr>
          <w:szCs w:val="24"/>
        </w:rPr>
        <w:tab/>
        <w:t xml:space="preserve">Please summarize Sierra Club’s </w:t>
      </w:r>
      <w:r w:rsidR="00724053" w:rsidRPr="00856191">
        <w:rPr>
          <w:szCs w:val="24"/>
        </w:rPr>
        <w:t xml:space="preserve">participation in this proceeding. </w:t>
      </w:r>
    </w:p>
    <w:p w14:paraId="617A36ED" w14:textId="07E16201" w:rsidR="003B6734" w:rsidRDefault="000037B6" w:rsidP="000037B6">
      <w:pPr>
        <w:pStyle w:val="A"/>
      </w:pPr>
      <w:r>
        <w:t>A</w:t>
      </w:r>
      <w:r w:rsidR="003F0FDB">
        <w:t>.</w:t>
      </w:r>
      <w:r>
        <w:tab/>
      </w:r>
      <w:r w:rsidR="008875DF">
        <w:t>Sierra Club</w:t>
      </w:r>
      <w:r w:rsidR="003B6734">
        <w:t xml:space="preserve"> intervened in this proceeding</w:t>
      </w:r>
      <w:r w:rsidR="008875DF">
        <w:t xml:space="preserve"> primar</w:t>
      </w:r>
      <w:r w:rsidR="003B6734">
        <w:t>il</w:t>
      </w:r>
      <w:r w:rsidR="008875DF">
        <w:t>y</w:t>
      </w:r>
      <w:r w:rsidR="003B6734">
        <w:t xml:space="preserve"> to address issues related to the Colstrip coal plant in Montana. Sierra Club has advocated for years that PSE plan a</w:t>
      </w:r>
      <w:r w:rsidR="0048016C">
        <w:t xml:space="preserve"> responsible</w:t>
      </w:r>
      <w:r w:rsidR="003B6734">
        <w:t xml:space="preserve"> transition away from Colstrip, which is one of the largest and most </w:t>
      </w:r>
      <w:r w:rsidR="0048016C">
        <w:t>polluting</w:t>
      </w:r>
      <w:r w:rsidR="003B6734">
        <w:t xml:space="preserve"> coal plants in the Western United States. </w:t>
      </w:r>
    </w:p>
    <w:p w14:paraId="1E3A1582" w14:textId="17B755A8" w:rsidR="003B6734" w:rsidRDefault="003B6734" w:rsidP="003B6734">
      <w:pPr>
        <w:pStyle w:val="A"/>
        <w:ind w:firstLine="0"/>
      </w:pPr>
      <w:r>
        <w:t xml:space="preserve">PSE’s application in this proceeding offered an opportunity for parties to address several issues regarding the future of the Colstrip plant. First, PSE proposed a change in depreciation rates for Colstrip Units 1 and 2 that reflected the obligations of a recent </w:t>
      </w:r>
      <w:r>
        <w:lastRenderedPageBreak/>
        <w:t xml:space="preserve">consent decree to close those units no later than 2022. Second, PSE proposed a change to the depreciation schedule for Colstrip Units 3 and 4, which </w:t>
      </w:r>
      <w:r w:rsidR="00724053">
        <w:t xml:space="preserve">are currently set </w:t>
      </w:r>
      <w:r w:rsidR="00724053" w:rsidRPr="00A2358C">
        <w:t>at 2044 and 2045, respectively.</w:t>
      </w:r>
    </w:p>
    <w:p w14:paraId="5702EAF7" w14:textId="02D484CC" w:rsidR="00856191" w:rsidRPr="00856191" w:rsidRDefault="00856191" w:rsidP="00856191">
      <w:pPr>
        <w:pStyle w:val="A"/>
      </w:pPr>
      <w:r>
        <w:tab/>
        <w:t>Sierra Club submitted the pre-filed Response Testimony and Exhibits of Ezra D. Hausman on June 30, 2017 (EDH-1T through EDH-9) and Cross-Answering Testimon</w:t>
      </w:r>
      <w:r w:rsidR="003F0FDB">
        <w:t xml:space="preserve">y of Ezra D. Hausman on August </w:t>
      </w:r>
      <w:r>
        <w:t xml:space="preserve">9, 2017 (EDH-10T). </w:t>
      </w:r>
    </w:p>
    <w:p w14:paraId="4200A4C8" w14:textId="71F8941C" w:rsidR="0048016C" w:rsidRPr="0048016C" w:rsidRDefault="0048016C" w:rsidP="0048016C">
      <w:pPr>
        <w:pStyle w:val="A"/>
      </w:pPr>
      <w:r>
        <w:tab/>
        <w:t xml:space="preserve">Sierra Club participated extensively in negotiations among the parties to address Colstrip and other issues. The resulting Settlement sets a clear path for PSE to pay down the undepreciated plant balances on a schedule that better recognizes the fact that the entire Colstrip coal plant is </w:t>
      </w:r>
      <w:r w:rsidR="00856191">
        <w:t>un</w:t>
      </w:r>
      <w:r>
        <w:t xml:space="preserve">likely </w:t>
      </w:r>
      <w:r w:rsidR="00856191">
        <w:t>to operate past 2025</w:t>
      </w:r>
      <w:r>
        <w:t xml:space="preserve">. </w:t>
      </w:r>
      <w:r w:rsidR="00EE0683">
        <w:t>While the schedule</w:t>
      </w:r>
      <w:r w:rsidR="00856191">
        <w:t xml:space="preserve"> is later than Sierra Club recommended in its pre-filed testimony</w:t>
      </w:r>
      <w:r w:rsidR="00EE0683">
        <w:t xml:space="preserve">, it represents a reasonable compromise for purposes of settlement that is in the public interest. </w:t>
      </w:r>
      <w:r w:rsidR="00856191">
        <w:t xml:space="preserve">The Settlement also includes additional terms that </w:t>
      </w:r>
      <w:r w:rsidR="0055122C">
        <w:t xml:space="preserve">address </w:t>
      </w:r>
      <w:r w:rsidR="00596310">
        <w:t xml:space="preserve">Colstrip </w:t>
      </w:r>
      <w:r w:rsidR="0055122C">
        <w:t>decommissioning and remediation expenses</w:t>
      </w:r>
      <w:r w:rsidR="00596310">
        <w:t>, reporting requirements, future use of its transmission line,</w:t>
      </w:r>
      <w:r w:rsidR="0055122C">
        <w:t xml:space="preserve"> and that </w:t>
      </w:r>
      <w:r w:rsidR="00856191">
        <w:t xml:space="preserve">provide funding for a community transition plan in Colstrip, Montana. </w:t>
      </w:r>
      <w:r w:rsidR="00596310">
        <w:t>It also provide</w:t>
      </w:r>
      <w:r w:rsidR="008C2148">
        <w:t>s</w:t>
      </w:r>
      <w:r w:rsidR="00596310">
        <w:t xml:space="preserve"> important assistance to low-income households. </w:t>
      </w:r>
      <w:r w:rsidR="00856191">
        <w:t xml:space="preserve">Taken together, Sierra Club believes the terms of the Settlement are in the public interest. </w:t>
      </w:r>
    </w:p>
    <w:p w14:paraId="45A14962" w14:textId="77B423D0" w:rsidR="00724053" w:rsidRPr="00856191" w:rsidRDefault="00724053" w:rsidP="00724053">
      <w:pPr>
        <w:pStyle w:val="Q"/>
        <w:rPr>
          <w:szCs w:val="24"/>
        </w:rPr>
      </w:pPr>
      <w:r w:rsidRPr="00856191">
        <w:rPr>
          <w:szCs w:val="24"/>
        </w:rPr>
        <w:t>Q</w:t>
      </w:r>
      <w:r w:rsidR="003F0FDB">
        <w:rPr>
          <w:szCs w:val="24"/>
        </w:rPr>
        <w:t>.</w:t>
      </w:r>
      <w:r w:rsidRPr="00856191">
        <w:rPr>
          <w:szCs w:val="24"/>
        </w:rPr>
        <w:tab/>
        <w:t>Why does Sierra Club support the Settlement?</w:t>
      </w:r>
    </w:p>
    <w:p w14:paraId="4B5BEB19" w14:textId="4ADDFF47" w:rsidR="000037B6" w:rsidRDefault="00724053" w:rsidP="00724053">
      <w:pPr>
        <w:pStyle w:val="A"/>
      </w:pPr>
      <w:r>
        <w:t>A</w:t>
      </w:r>
      <w:r w:rsidR="003F0FDB">
        <w:t>.</w:t>
      </w:r>
      <w:r>
        <w:tab/>
      </w:r>
      <w:r w:rsidR="000037B6">
        <w:t>Si</w:t>
      </w:r>
      <w:r>
        <w:t>erra Club</w:t>
      </w:r>
      <w:r w:rsidR="0048016C">
        <w:t xml:space="preserve"> considered </w:t>
      </w:r>
      <w:r w:rsidR="0055122C">
        <w:t>the following</w:t>
      </w:r>
      <w:r w:rsidR="0048016C">
        <w:t xml:space="preserve"> key issue</w:t>
      </w:r>
      <w:r w:rsidR="0055122C">
        <w:t>s</w:t>
      </w:r>
      <w:r w:rsidR="0048016C">
        <w:t xml:space="preserve"> that support its decision to support the Settlement</w:t>
      </w:r>
      <w:r w:rsidR="000037B6">
        <w:t>:</w:t>
      </w:r>
    </w:p>
    <w:p w14:paraId="2056F440" w14:textId="6E569D7C" w:rsidR="000037B6" w:rsidRDefault="00724053" w:rsidP="00724053">
      <w:pPr>
        <w:pStyle w:val="Bullet"/>
        <w:numPr>
          <w:ilvl w:val="0"/>
          <w:numId w:val="28"/>
        </w:numPr>
      </w:pPr>
      <w:r>
        <w:lastRenderedPageBreak/>
        <w:t>Accelerating the</w:t>
      </w:r>
      <w:r w:rsidR="000037B6">
        <w:t xml:space="preserve"> depreciation schedule for Colstrip Units 3 and 4 </w:t>
      </w:r>
      <w:r>
        <w:t>to</w:t>
      </w:r>
      <w:r w:rsidR="000037B6">
        <w:t xml:space="preserve"> December</w:t>
      </w:r>
      <w:r>
        <w:t xml:space="preserve"> 31, 2027 (¶26)</w:t>
      </w:r>
      <w:r w:rsidR="000037B6">
        <w:t xml:space="preserve"> </w:t>
      </w:r>
      <w:r>
        <w:t>acknowledges</w:t>
      </w:r>
      <w:r w:rsidR="000037B6">
        <w:t xml:space="preserve"> a more r</w:t>
      </w:r>
      <w:r>
        <w:t>ealistic expectation for the remaining useful life of those units. While Sierra Club continues to believe that Units 3 and 4 are likely to close no later than 2025, the stipulated depreciation schedule significantly reduces the magnitude of undepre</w:t>
      </w:r>
      <w:r w:rsidR="00856191">
        <w:t xml:space="preserve">ciated plant balances that would otherwise </w:t>
      </w:r>
      <w:r>
        <w:t>be in PSE’s rate base when those units</w:t>
      </w:r>
      <w:r w:rsidR="0055122C">
        <w:t xml:space="preserve"> will likely</w:t>
      </w:r>
      <w:r>
        <w:t xml:space="preserve"> retire.</w:t>
      </w:r>
      <w:r w:rsidR="000037B6">
        <w:t xml:space="preserve"> By accelerating the depreciation schedule from 20</w:t>
      </w:r>
      <w:r>
        <w:t>44/</w:t>
      </w:r>
      <w:r w:rsidR="000037B6">
        <w:t>45 to 2027, PSE can now face the reality of the national and regional trends that make Colstrip uneconomic.</w:t>
      </w:r>
    </w:p>
    <w:p w14:paraId="42E510BE" w14:textId="6ADC924F" w:rsidR="000037B6" w:rsidRDefault="0048016C" w:rsidP="00724053">
      <w:pPr>
        <w:pStyle w:val="Bullet"/>
        <w:numPr>
          <w:ilvl w:val="0"/>
          <w:numId w:val="28"/>
        </w:numPr>
      </w:pPr>
      <w:r>
        <w:t xml:space="preserve">PSE agreed to make </w:t>
      </w:r>
      <w:r w:rsidR="000037B6">
        <w:t>a crucial and laudable step toward a fair and orderly transition for the Colstrip workers and community by setting aside $10 million for transition</w:t>
      </w:r>
      <w:r>
        <w:t>,</w:t>
      </w:r>
      <w:r w:rsidR="000037B6">
        <w:t xml:space="preserve"> with half of that money</w:t>
      </w:r>
      <w:r>
        <w:t xml:space="preserve"> coming from PSE shareholders</w:t>
      </w:r>
      <w:r w:rsidR="00856191">
        <w:t xml:space="preserve"> and the other half coming from accumulated production tax credits from wind generation</w:t>
      </w:r>
      <w:r w:rsidR="0055122C">
        <w:t xml:space="preserve"> (¶118)</w:t>
      </w:r>
      <w:r>
        <w:t xml:space="preserve">. </w:t>
      </w:r>
    </w:p>
    <w:p w14:paraId="68C02C87" w14:textId="49971569" w:rsidR="000037B6" w:rsidRDefault="0048016C" w:rsidP="00724053">
      <w:pPr>
        <w:pStyle w:val="Bullet"/>
        <w:numPr>
          <w:ilvl w:val="0"/>
          <w:numId w:val="28"/>
        </w:numPr>
      </w:pPr>
      <w:r>
        <w:t xml:space="preserve">The settlement would deliver </w:t>
      </w:r>
      <w:r w:rsidR="000037B6">
        <w:t>on the funding plan that was mandated by the state legislature in 2016 to ensure money is set aside for cleanup of the toxic coal ash waste ponds</w:t>
      </w:r>
      <w:r>
        <w:t xml:space="preserve"> and other remediation costs related to</w:t>
      </w:r>
      <w:r w:rsidR="000037B6">
        <w:t xml:space="preserve"> Colstrip Units 1 and 2</w:t>
      </w:r>
      <w:r w:rsidR="0055122C">
        <w:t xml:space="preserve"> (¶116)</w:t>
      </w:r>
      <w:r w:rsidR="000037B6">
        <w:t>.</w:t>
      </w:r>
    </w:p>
    <w:p w14:paraId="2F791946" w14:textId="10EEB772" w:rsidR="000037B6" w:rsidRDefault="000037B6" w:rsidP="00724053">
      <w:pPr>
        <w:pStyle w:val="Bullet"/>
        <w:numPr>
          <w:ilvl w:val="0"/>
          <w:numId w:val="28"/>
        </w:numPr>
      </w:pPr>
      <w:r>
        <w:t>PSE</w:t>
      </w:r>
      <w:r w:rsidR="0048016C">
        <w:t xml:space="preserve"> agreed to establish</w:t>
      </w:r>
      <w:r>
        <w:t xml:space="preserve"> a critical precedent of designating money for cleanup of the coal ash waste ponds </w:t>
      </w:r>
      <w:r w:rsidR="0048016C">
        <w:t xml:space="preserve">for Colstrip Units 3 and 4. </w:t>
      </w:r>
      <w:r w:rsidR="0055122C">
        <w:t xml:space="preserve">(¶117) </w:t>
      </w:r>
      <w:r w:rsidR="0048016C">
        <w:t xml:space="preserve"> This step will send a strong signal to</w:t>
      </w:r>
      <w:r>
        <w:t xml:space="preserve"> other Colstrip owners</w:t>
      </w:r>
      <w:r w:rsidR="0048016C">
        <w:t xml:space="preserve"> that they</w:t>
      </w:r>
      <w:r>
        <w:t xml:space="preserve"> need</w:t>
      </w:r>
      <w:r w:rsidR="0048016C">
        <w:t xml:space="preserve"> to</w:t>
      </w:r>
      <w:r>
        <w:t xml:space="preserve"> be responsible and do the same.</w:t>
      </w:r>
    </w:p>
    <w:p w14:paraId="53CB714A" w14:textId="7E80B408" w:rsidR="000037B6" w:rsidRDefault="000037B6" w:rsidP="00724053">
      <w:pPr>
        <w:pStyle w:val="Bullet"/>
        <w:numPr>
          <w:ilvl w:val="0"/>
          <w:numId w:val="28"/>
        </w:numPr>
      </w:pPr>
      <w:r>
        <w:t xml:space="preserve">PSE agreed to yearly reporting requirements on Colstrip to keep the </w:t>
      </w:r>
      <w:r w:rsidR="0048016C">
        <w:t>Commission</w:t>
      </w:r>
      <w:r>
        <w:t xml:space="preserve"> and stakeholders updated on retirement dates, the impact of retirement, cleanup costs for the toxic coal ash waste ponds, the sufficiency of funds for cleanup, and replacement power for Colstrip. </w:t>
      </w:r>
      <w:r w:rsidR="0055122C">
        <w:t xml:space="preserve">(¶119) </w:t>
      </w:r>
      <w:r>
        <w:t xml:space="preserve">This </w:t>
      </w:r>
      <w:r w:rsidR="0048016C">
        <w:t xml:space="preserve">reporting requirement </w:t>
      </w:r>
      <w:r>
        <w:t>creates a level of transparency that no other Colstrip owner has embraced</w:t>
      </w:r>
      <w:r w:rsidR="0048016C">
        <w:t xml:space="preserve"> and should serve as a model for other owners</w:t>
      </w:r>
      <w:r>
        <w:t xml:space="preserve">. </w:t>
      </w:r>
    </w:p>
    <w:p w14:paraId="3EC5FC13" w14:textId="2F36D158" w:rsidR="000037B6" w:rsidRDefault="0055122C" w:rsidP="00724053">
      <w:pPr>
        <w:pStyle w:val="Bullet"/>
        <w:numPr>
          <w:ilvl w:val="0"/>
          <w:numId w:val="28"/>
        </w:numPr>
      </w:pPr>
      <w:r>
        <w:t>The Settlement requests that the Commission</w:t>
      </w:r>
      <w:r w:rsidR="000037B6">
        <w:t xml:space="preserve"> </w:t>
      </w:r>
      <w:r>
        <w:t>convene</w:t>
      </w:r>
      <w:r w:rsidR="0048016C">
        <w:t xml:space="preserve"> a workgroup in coordination with</w:t>
      </w:r>
      <w:r>
        <w:t xml:space="preserve"> PSE and</w:t>
      </w:r>
      <w:r w:rsidR="0048016C">
        <w:t xml:space="preserve"> Commission Staff</w:t>
      </w:r>
      <w:r w:rsidR="000037B6">
        <w:t xml:space="preserve"> on the use of the transmission line for Colstrip Units 1 and 2.</w:t>
      </w:r>
      <w:r>
        <w:t xml:space="preserve"> (¶121)</w:t>
      </w:r>
      <w:r w:rsidR="000037B6">
        <w:t xml:space="preserve"> This </w:t>
      </w:r>
      <w:r w:rsidR="0048016C">
        <w:t xml:space="preserve">workgroup will </w:t>
      </w:r>
      <w:r w:rsidR="000037B6">
        <w:t xml:space="preserve">allow transparency, public scrutiny and engagement </w:t>
      </w:r>
      <w:r w:rsidR="0048016C">
        <w:t>that</w:t>
      </w:r>
      <w:r w:rsidR="000037B6">
        <w:t xml:space="preserve"> will facilitate future uses for the transmission line once Colstrip Units 1 and 2 retire. Overcoming transmission barriers will provide a critical opening for Montana wind development</w:t>
      </w:r>
      <w:r w:rsidR="0048016C">
        <w:t>,</w:t>
      </w:r>
      <w:r w:rsidR="000037B6">
        <w:t xml:space="preserve"> which could be exported to Washington. Washington must diversify its renewable portfolio to become carbon free and Montana wind is the best complement to our existing renewable resources. Addressing the transmission barriers for the Colstrip line also ensures that PSE ratepayers are realizing the economic benefit of this valuable asset. </w:t>
      </w:r>
    </w:p>
    <w:p w14:paraId="4C6436B9" w14:textId="2CB0DFA4" w:rsidR="000037B6" w:rsidRDefault="000037B6" w:rsidP="00724053">
      <w:pPr>
        <w:pStyle w:val="Bullet"/>
        <w:numPr>
          <w:ilvl w:val="0"/>
          <w:numId w:val="28"/>
        </w:numPr>
      </w:pPr>
      <w:r>
        <w:t>In addition to PSE extending i</w:t>
      </w:r>
      <w:r w:rsidR="0048016C">
        <w:t>t</w:t>
      </w:r>
      <w:r>
        <w:t xml:space="preserve">s shareholder contribution of $100,000 for weatherization programs and maintaining existing fund of $500,000/annually, PSE is providing a one-time $2 million addition for weatherization. </w:t>
      </w:r>
      <w:r w:rsidR="0055122C">
        <w:t>(¶108)</w:t>
      </w:r>
    </w:p>
    <w:p w14:paraId="41906426" w14:textId="77777777" w:rsidR="001174AA" w:rsidRDefault="001174AA" w:rsidP="0002442F">
      <w:pPr>
        <w:pStyle w:val="Bullet"/>
        <w:numPr>
          <w:ilvl w:val="0"/>
          <w:numId w:val="0"/>
        </w:numPr>
        <w:suppressLineNumbers/>
        <w:ind w:left="1080"/>
      </w:pPr>
    </w:p>
    <w:p w14:paraId="6B8DE57C" w14:textId="0D0CDD3F" w:rsidR="001174AA" w:rsidRDefault="001174AA" w:rsidP="001174AA">
      <w:pPr>
        <w:pStyle w:val="Heading"/>
      </w:pPr>
      <w:bookmarkStart w:id="3" w:name="_Toc493237313"/>
      <w:r>
        <w:lastRenderedPageBreak/>
        <w:t>Colstrip Units 3 and 4 Depreciation</w:t>
      </w:r>
      <w:bookmarkEnd w:id="3"/>
    </w:p>
    <w:p w14:paraId="1388AC67" w14:textId="2095BC22" w:rsidR="0055122C" w:rsidRDefault="00856191" w:rsidP="00856191">
      <w:pPr>
        <w:pStyle w:val="Q"/>
      </w:pPr>
      <w:r>
        <w:t>Q</w:t>
      </w:r>
      <w:r w:rsidR="003F0FDB">
        <w:t>.</w:t>
      </w:r>
      <w:r>
        <w:tab/>
      </w:r>
      <w:r w:rsidR="0055122C">
        <w:t>How does the Settlement address depreciation at Colstrip Units 3 and 4?</w:t>
      </w:r>
    </w:p>
    <w:p w14:paraId="2300F07E" w14:textId="1AD28233" w:rsidR="0055122C" w:rsidRDefault="0055122C" w:rsidP="0055122C">
      <w:pPr>
        <w:pStyle w:val="A"/>
      </w:pPr>
      <w:r>
        <w:t>A</w:t>
      </w:r>
      <w:r w:rsidR="003F0FDB">
        <w:t>.</w:t>
      </w:r>
      <w:r>
        <w:tab/>
      </w:r>
      <w:r w:rsidR="006C2C0B">
        <w:t>Paragraph 26 of the Settlement states, “</w:t>
      </w:r>
      <w:r w:rsidR="006C2C0B" w:rsidRPr="00322E40">
        <w:t>The Settling Parties agree to a depreciation schedule for Colstrip Units 3 and 4 that assumes a remaining useful life of those units through December 31, 2027.</w:t>
      </w:r>
      <w:r w:rsidR="006C2C0B">
        <w:t xml:space="preserve">” This provision represents a critical recognition among PSE, Staff and other parties that the Colstrip coal plant is likely to stop providing service to PSE customers </w:t>
      </w:r>
      <w:r w:rsidR="002C6E3F">
        <w:t xml:space="preserve">no later than Dec. 31, </w:t>
      </w:r>
      <w:r w:rsidR="006C2C0B">
        <w:t xml:space="preserve">2027. </w:t>
      </w:r>
    </w:p>
    <w:p w14:paraId="603E9F6A" w14:textId="39C32485" w:rsidR="006C2C0B" w:rsidRPr="006C2C0B" w:rsidRDefault="006C2C0B" w:rsidP="006C2C0B">
      <w:pPr>
        <w:pStyle w:val="A"/>
      </w:pPr>
      <w:r>
        <w:tab/>
        <w:t>While Sierra Club continues to believe that an estimated end of useful life in 2027 is too late, the depreciation schedule in the Settlement represents a substantial improvement over both the current depreciation schedule of 2044/45 and PSE’s filed-case of 2035.</w:t>
      </w:r>
      <w:r w:rsidR="00860F6A">
        <w:t xml:space="preserve">  Furthermore, it </w:t>
      </w:r>
      <w:r w:rsidR="002663EE">
        <w:t xml:space="preserve">facilitates </w:t>
      </w:r>
      <w:r w:rsidR="00860F6A">
        <w:t>the more likely retirement by 2025 or earlier.</w:t>
      </w:r>
    </w:p>
    <w:p w14:paraId="3B943E89" w14:textId="22A7A2AA" w:rsidR="000037B6" w:rsidRDefault="0055122C" w:rsidP="00856191">
      <w:pPr>
        <w:pStyle w:val="Q"/>
      </w:pPr>
      <w:r>
        <w:t>Q</w:t>
      </w:r>
      <w:r w:rsidR="003F0FDB">
        <w:t>.</w:t>
      </w:r>
      <w:r>
        <w:tab/>
      </w:r>
      <w:r w:rsidR="00856191" w:rsidRPr="00856191">
        <w:rPr>
          <w:szCs w:val="24"/>
        </w:rPr>
        <w:t>Why is it appropriate for the Commission to approve a depreciation schedule that assumes the remaining useful life for Colstrip Units 3 and 4 ends on December 31, 2017?</w:t>
      </w:r>
    </w:p>
    <w:p w14:paraId="272D39D6" w14:textId="0DB8432B" w:rsidR="00856191" w:rsidRDefault="00856191" w:rsidP="000037B6">
      <w:pPr>
        <w:pStyle w:val="A"/>
      </w:pPr>
      <w:r>
        <w:t>A</w:t>
      </w:r>
      <w:r w:rsidR="003F0FDB">
        <w:t>.</w:t>
      </w:r>
      <w:r>
        <w:tab/>
      </w:r>
      <w:r w:rsidR="000037B6">
        <w:t xml:space="preserve">Setting the depreciation schedule for Colstrip Units 3 and 4 at December </w:t>
      </w:r>
      <w:r>
        <w:t xml:space="preserve">31, </w:t>
      </w:r>
      <w:r w:rsidR="000037B6">
        <w:t xml:space="preserve">2027 is a critical step </w:t>
      </w:r>
      <w:r>
        <w:t>in planning for the</w:t>
      </w:r>
      <w:r w:rsidR="000037B6">
        <w:t xml:space="preserve"> retirement</w:t>
      </w:r>
      <w:r>
        <w:t xml:space="preserve"> of those units</w:t>
      </w:r>
      <w:r w:rsidR="000037B6">
        <w:t xml:space="preserve">. </w:t>
      </w:r>
      <w:r>
        <w:t xml:space="preserve">As discussed in detail in Dr. Hausman’s testimony, </w:t>
      </w:r>
      <w:r w:rsidR="000037B6">
        <w:t xml:space="preserve">current economic, environmental and political </w:t>
      </w:r>
      <w:r>
        <w:t xml:space="preserve">factors demonstrate that Colstrip Units 3 and 4 are unlikely to operate past December 31, 2024. </w:t>
      </w:r>
    </w:p>
    <w:p w14:paraId="0C09345A" w14:textId="6C8A3199" w:rsidR="000037B6" w:rsidRDefault="00856191" w:rsidP="00856191">
      <w:pPr>
        <w:pStyle w:val="A"/>
        <w:ind w:firstLine="0"/>
      </w:pPr>
      <w:r>
        <w:t>There are several spec</w:t>
      </w:r>
      <w:r w:rsidR="006C2C0B">
        <w:t xml:space="preserve">ific reasons for assuming a </w:t>
      </w:r>
      <w:r>
        <w:t>retirement date</w:t>
      </w:r>
      <w:r w:rsidR="006C2C0B">
        <w:t xml:space="preserve"> by 2025</w:t>
      </w:r>
      <w:r>
        <w:t xml:space="preserve">. First, PSE’s customers are demanding a coal-free future. </w:t>
      </w:r>
      <w:r w:rsidR="000037B6">
        <w:t xml:space="preserve">King County, </w:t>
      </w:r>
      <w:r>
        <w:t xml:space="preserve">which represents approximately </w:t>
      </w:r>
      <w:r w:rsidR="000037B6">
        <w:t xml:space="preserve">half of PSE’s service territory, passed </w:t>
      </w:r>
      <w:r w:rsidR="002C6E3F">
        <w:t xml:space="preserve">its </w:t>
      </w:r>
      <w:r w:rsidR="000037B6">
        <w:t xml:space="preserve">Strategic Climate Action Plan </w:t>
      </w:r>
      <w:r w:rsidR="000037B6">
        <w:lastRenderedPageBreak/>
        <w:t>that calls for no more coal by 2025.</w:t>
      </w:r>
      <w:r w:rsidR="00642D64">
        <w:rPr>
          <w:rStyle w:val="FootnoteReference"/>
        </w:rPr>
        <w:footnoteReference w:id="2"/>
      </w:r>
      <w:r w:rsidR="005F5B6E">
        <w:t xml:space="preserve"> </w:t>
      </w:r>
      <w:r>
        <w:t xml:space="preserve">More recently, </w:t>
      </w:r>
      <w:r w:rsidR="000037B6">
        <w:t xml:space="preserve">the City of Olympia </w:t>
      </w:r>
      <w:r>
        <w:t>passed R</w:t>
      </w:r>
      <w:r w:rsidR="000037B6">
        <w:t>esolution</w:t>
      </w:r>
      <w:r>
        <w:t xml:space="preserve"> M-1898 on August 22, 2017, which calls for PSE to retire the Colstrip plant by 2025 and replace it with 100 percent clean energy.</w:t>
      </w:r>
      <w:r w:rsidR="000037B6">
        <w:t xml:space="preserve"> Dozens of elected officials across the service territory have</w:t>
      </w:r>
      <w:r>
        <w:t xml:space="preserve"> also</w:t>
      </w:r>
      <w:r w:rsidR="000037B6">
        <w:t xml:space="preserve"> testified in fa</w:t>
      </w:r>
      <w:r>
        <w:t xml:space="preserve">vor of a 2025 retirement date. </w:t>
      </w:r>
      <w:r w:rsidR="000037B6">
        <w:t xml:space="preserve">By removing 18 years off the depreciation schedule for the remaining Colstrip units, the </w:t>
      </w:r>
      <w:r>
        <w:t xml:space="preserve">Commission would be ensuring that </w:t>
      </w:r>
      <w:r w:rsidR="000037B6">
        <w:t xml:space="preserve">a responsible transition </w:t>
      </w:r>
      <w:r>
        <w:t xml:space="preserve">to a coal-free Washington State does not leave customers or PSE with excess stranded costs. </w:t>
      </w:r>
    </w:p>
    <w:p w14:paraId="1FBA25D1" w14:textId="2F55AE1E" w:rsidR="00642D64" w:rsidRDefault="00856191" w:rsidP="00856191">
      <w:pPr>
        <w:pStyle w:val="Q"/>
      </w:pPr>
      <w:r>
        <w:t>Q</w:t>
      </w:r>
      <w:r w:rsidR="003F0FDB">
        <w:t>.</w:t>
      </w:r>
      <w:r>
        <w:tab/>
      </w:r>
      <w:r w:rsidR="00642D64">
        <w:t>What other factors make it likely that Colstrip Units 3 and 4 will close by 2025?</w:t>
      </w:r>
    </w:p>
    <w:p w14:paraId="14D2420E" w14:textId="31D3ED33" w:rsidR="00642D64" w:rsidRDefault="00642D64" w:rsidP="00642D64">
      <w:pPr>
        <w:pStyle w:val="A"/>
      </w:pPr>
      <w:r>
        <w:t>A</w:t>
      </w:r>
      <w:r w:rsidR="003F0FDB">
        <w:t>.</w:t>
      </w:r>
      <w:r>
        <w:tab/>
      </w:r>
      <w:r w:rsidRPr="00A2358C">
        <w:t>In 2014, Washington Governor Jay Inslee issued Executive Order 14-04</w:t>
      </w:r>
      <w:r w:rsidRPr="00A2358C">
        <w:rPr>
          <w:rStyle w:val="FootnoteReference"/>
        </w:rPr>
        <w:footnoteReference w:id="3"/>
      </w:r>
      <w:r w:rsidRPr="00A2358C">
        <w:t xml:space="preserve"> establishing a Governor’s Carbon Emissions Reduction Taskforce tasked to “establish a cap on carbon pollution emissions, with binding requirements to meet our statutory emission limits, and it must include the market mechanisms needed to meet the limits in the most effective and efficient manner possible.”</w:t>
      </w:r>
      <w:r w:rsidRPr="00A2358C">
        <w:rPr>
          <w:rStyle w:val="FootnoteReference"/>
        </w:rPr>
        <w:footnoteReference w:id="4"/>
      </w:r>
      <w:r>
        <w:t xml:space="preserve"> Executive Order 14-04 a</w:t>
      </w:r>
      <w:r w:rsidRPr="00A2358C">
        <w:t>lso directed the Governor</w:t>
      </w:r>
      <w:r>
        <w:t>’</w:t>
      </w:r>
      <w:r w:rsidRPr="00A2358C">
        <w:t>s Legislative Affairs and Policy Office to “seek negotiated agreements with key utilities and others to reduce and eliminate over time the use of electrical power produced from coal.”</w:t>
      </w:r>
      <w:r w:rsidRPr="00A2358C">
        <w:rPr>
          <w:color w:val="000000"/>
        </w:rPr>
        <w:t xml:space="preserve"> </w:t>
      </w:r>
      <w:r w:rsidRPr="00A2358C">
        <w:t>And to “engage key electrical utilities that generate electricity through coal-fired facilities located outside the state and that rely on this electricity to meet their Washington electrical loads, with the objective of reducing overall greenhouse gas emissions from the generation of electricity.”</w:t>
      </w:r>
      <w:r w:rsidRPr="00A2358C">
        <w:rPr>
          <w:rStyle w:val="FootnoteReference"/>
          <w:color w:val="000000"/>
        </w:rPr>
        <w:footnoteReference w:id="5"/>
      </w:r>
      <w:r w:rsidR="006C2C0B">
        <w:t xml:space="preserve"> These goals cannot be met unless and until </w:t>
      </w:r>
      <w:r w:rsidR="006C2C0B">
        <w:lastRenderedPageBreak/>
        <w:t xml:space="preserve">Colstrip is retired. </w:t>
      </w:r>
    </w:p>
    <w:p w14:paraId="5064D0FB" w14:textId="00CBC540" w:rsidR="00642D64" w:rsidRDefault="00642D64" w:rsidP="00642D64">
      <w:pPr>
        <w:pStyle w:val="Q"/>
      </w:pPr>
      <w:r>
        <w:t>Q</w:t>
      </w:r>
      <w:r w:rsidR="003F0FDB">
        <w:t>.</w:t>
      </w:r>
      <w:r>
        <w:tab/>
      </w:r>
      <w:r w:rsidR="0070715A">
        <w:t xml:space="preserve">Several coal plants across the country have closed when faced with new capital expenditures necessary to comply with modern environmental laws and regulations. Do Colstrip Units 3 and 4 face such regulations? </w:t>
      </w:r>
    </w:p>
    <w:p w14:paraId="3CB7124C" w14:textId="5B2F132C" w:rsidR="0070715A" w:rsidRDefault="0070715A" w:rsidP="0070715A">
      <w:pPr>
        <w:pStyle w:val="A"/>
      </w:pPr>
      <w:r>
        <w:t>A</w:t>
      </w:r>
      <w:r w:rsidR="003F0FDB">
        <w:t>.</w:t>
      </w:r>
      <w:r>
        <w:tab/>
        <w:t xml:space="preserve">Yes. </w:t>
      </w:r>
      <w:r w:rsidRPr="0070715A">
        <w:t xml:space="preserve">Based on the best estimates of several Colstrip owners, it appears most likely that </w:t>
      </w:r>
      <w:r>
        <w:t xml:space="preserve">an expensive </w:t>
      </w:r>
      <w:r w:rsidR="002C6E3F">
        <w:t xml:space="preserve">and protective </w:t>
      </w:r>
      <w:r w:rsidR="006C2C0B">
        <w:t>pollution</w:t>
      </w:r>
      <w:r>
        <w:t xml:space="preserve"> control, selective catalytic reduction or “</w:t>
      </w:r>
      <w:r w:rsidRPr="0070715A">
        <w:t>SCR</w:t>
      </w:r>
      <w:r>
        <w:t>,”</w:t>
      </w:r>
      <w:r w:rsidRPr="0070715A">
        <w:t xml:space="preserve"> would be required in the mid-2020 timeframe</w:t>
      </w:r>
      <w:r w:rsidR="006C2C0B">
        <w:t xml:space="preserve"> to meet the reasonable progress requirements of the Regional Haze Rule</w:t>
      </w:r>
      <w:r w:rsidRPr="0070715A">
        <w:t xml:space="preserve">. </w:t>
      </w:r>
      <w:r w:rsidR="006C2C0B">
        <w:t xml:space="preserve">Several of Colstrip’s co-owners acknowledge this likelihood. </w:t>
      </w:r>
      <w:r w:rsidRPr="0070715A">
        <w:t xml:space="preserve">PacifiCorp’s 2015 IRP included an assumption that it will incur costs to install SCR at Colstrip 3 and 4 </w:t>
      </w:r>
      <w:r w:rsidR="00BE0069">
        <w:t>in 2023 and 2022, respectively.</w:t>
      </w:r>
      <w:r w:rsidR="00BE0069">
        <w:rPr>
          <w:rStyle w:val="FootnoteReference"/>
        </w:rPr>
        <w:footnoteReference w:id="6"/>
      </w:r>
      <w:r w:rsidRPr="0070715A">
        <w:t xml:space="preserve"> Portland General Electric’s 2016 IRP assumed that SCR would be required by 2027 in order to meet the “re</w:t>
      </w:r>
      <w:r>
        <w:t>asonable progress” requirements,</w:t>
      </w:r>
      <w:r w:rsidR="00B53742">
        <w:rPr>
          <w:rStyle w:val="FootnoteReference"/>
        </w:rPr>
        <w:footnoteReference w:id="7"/>
      </w:r>
      <w:r w:rsidR="00B53742">
        <w:t xml:space="preserve"> and Avista’s recently completed </w:t>
      </w:r>
      <w:r>
        <w:t xml:space="preserve">2017 IRP assumes an SCR will be required </w:t>
      </w:r>
      <w:r w:rsidR="00B53742">
        <w:t>by the end of 2026</w:t>
      </w:r>
      <w:r>
        <w:t>.</w:t>
      </w:r>
      <w:r w:rsidR="00B53742">
        <w:rPr>
          <w:rStyle w:val="FootnoteReference"/>
        </w:rPr>
        <w:footnoteReference w:id="8"/>
      </w:r>
      <w:r>
        <w:t xml:space="preserve"> While the ultimate timing of the Regional Haze regulations remains uncertain, it is likely that some major capital expense will be needed during one of the mid-2020 compliance periods. Given the poor economic performance of Colstrip, it is highly unlikely that large capital expenditures to comply with these regulations would be a least-cost alternative.</w:t>
      </w:r>
    </w:p>
    <w:p w14:paraId="490BBA70" w14:textId="2EC21B96" w:rsidR="0070715A" w:rsidRDefault="0070715A" w:rsidP="0070715A">
      <w:pPr>
        <w:pStyle w:val="Q"/>
      </w:pPr>
      <w:r>
        <w:lastRenderedPageBreak/>
        <w:t>Q</w:t>
      </w:r>
      <w:r w:rsidR="003F0FDB">
        <w:t>.</w:t>
      </w:r>
      <w:r>
        <w:tab/>
        <w:t xml:space="preserve">What evidence supports the conclusion that Colstrip Units 3 and 4 will not be cost effective? </w:t>
      </w:r>
    </w:p>
    <w:p w14:paraId="215AAD9F" w14:textId="120AD43A" w:rsidR="00642D64" w:rsidRPr="00642D64" w:rsidRDefault="0070715A" w:rsidP="005203BB">
      <w:pPr>
        <w:pStyle w:val="A"/>
      </w:pPr>
      <w:r>
        <w:t>A</w:t>
      </w:r>
      <w:r w:rsidR="003F0FDB">
        <w:t>.</w:t>
      </w:r>
      <w:r>
        <w:tab/>
        <w:t>I am not an expert on economic modeling, but Dr. Hausman addressed this issue in detail in his testimony.</w:t>
      </w:r>
      <w:r>
        <w:rPr>
          <w:rStyle w:val="FootnoteReference"/>
        </w:rPr>
        <w:footnoteReference w:id="9"/>
      </w:r>
      <w:r>
        <w:t xml:space="preserve"> The trends affecting the coal industry in general are similarly applicable to Colstrip. PSE’s own analysis recently confirmed the marginal nature of the Colstrip </w:t>
      </w:r>
      <w:r w:rsidR="002C6E3F">
        <w:t xml:space="preserve">plant </w:t>
      </w:r>
      <w:r>
        <w:t>during the 2017 IRP ad</w:t>
      </w:r>
      <w:r w:rsidR="005203BB">
        <w:t>visory group meeting on August 11, 2017</w:t>
      </w:r>
      <w:r>
        <w:t xml:space="preserve"> when it </w:t>
      </w:r>
      <w:r w:rsidR="005203BB">
        <w:t>presented an analysis showing that</w:t>
      </w:r>
      <w:r>
        <w:t xml:space="preserve"> a carbon price imposed in 2022 would render the Colstrip Units uneconomic.</w:t>
      </w:r>
      <w:r w:rsidR="005203BB">
        <w:rPr>
          <w:rStyle w:val="FootnoteReference"/>
        </w:rPr>
        <w:footnoteReference w:id="10"/>
      </w:r>
      <w:r>
        <w:t xml:space="preserve"> </w:t>
      </w:r>
      <w:r w:rsidR="005203BB">
        <w:t xml:space="preserve">Even if a carbon tax is not specifically imposed, that cost provides an informative proxy for the type of regulations that are likely to be imposed at either the state or federal level – or both – in the 2020 timeframe. </w:t>
      </w:r>
    </w:p>
    <w:p w14:paraId="6CC8991F" w14:textId="01BE2F5C" w:rsidR="00856191" w:rsidRDefault="00642D64" w:rsidP="00856191">
      <w:pPr>
        <w:pStyle w:val="Q"/>
      </w:pPr>
      <w:r>
        <w:t>Q</w:t>
      </w:r>
      <w:r w:rsidR="003F0FDB">
        <w:t>.</w:t>
      </w:r>
      <w:r>
        <w:tab/>
      </w:r>
      <w:r w:rsidR="00856191">
        <w:t xml:space="preserve">Why is it important to align the depreciation schedule with the expected retirement date of Colstrip Units 3 and 4? </w:t>
      </w:r>
    </w:p>
    <w:p w14:paraId="21B3859A" w14:textId="0EFA432A" w:rsidR="00642D64" w:rsidRDefault="00642D64" w:rsidP="00642D64">
      <w:pPr>
        <w:pStyle w:val="A"/>
      </w:pPr>
      <w:r>
        <w:t>A</w:t>
      </w:r>
      <w:r w:rsidR="003F0FDB">
        <w:t>.</w:t>
      </w:r>
      <w:r>
        <w:tab/>
        <w:t xml:space="preserve">Aligning the depreciation schedule with estimated retirement dates appropriately balances customer and shareholder interests. Given the likelihood that Colstrip will retire sooner than its current depreciation schedule, accelerated depreciation protects the interests of utility shareholders by allowing recovery of plant assets during the life of the plant. </w:t>
      </w:r>
    </w:p>
    <w:p w14:paraId="7F192F0C" w14:textId="0A994155" w:rsidR="00642D64" w:rsidRDefault="00642D64" w:rsidP="00642D64">
      <w:pPr>
        <w:pStyle w:val="A"/>
        <w:ind w:firstLine="0"/>
      </w:pPr>
      <w:r>
        <w:t xml:space="preserve">Accelerated depreciation also protects customers by minimizing the risk of intertemporal cost shifting between current ratepayers who are continuing to receive power from the </w:t>
      </w:r>
      <w:r>
        <w:lastRenderedPageBreak/>
        <w:t>plant, and future ratepayers who may otherwise be required to pay off undepreciated assets after the plant has stopped providing power. This risk of intertemporal inequities is highlighted by the situation facing PSE in this proceeding whereby PSE has had to dramatically accelerate the depreciation schedule at Colstrip Units 1 and 2</w:t>
      </w:r>
      <w:r w:rsidR="00B53742">
        <w:t xml:space="preserve"> over a short period of time</w:t>
      </w:r>
      <w:r>
        <w:t>.</w:t>
      </w:r>
    </w:p>
    <w:p w14:paraId="042ED1DB" w14:textId="35AD0AD2" w:rsidR="00642D64" w:rsidRDefault="00642D64" w:rsidP="00642D64">
      <w:pPr>
        <w:pStyle w:val="A"/>
        <w:ind w:firstLine="0"/>
      </w:pPr>
      <w:r>
        <w:t xml:space="preserve">It is highly unlikely that Colstrip Units 3 and 4 will operate until the currently scheduled dates of 2044 and 2045, or even as long as the 2035 date proposed by PSE in its application. If the Commission does not approve the 2027 depreciation schedule, it is likely that it will require a future Commission to choose between either (1) forcing future customers to pay for a plant that is not providing any benefit to them, or (2) forcing PSE shareholders to absorb the stranded assets at the end of the Colstrip’s useful life, or some combination of the two. </w:t>
      </w:r>
    </w:p>
    <w:p w14:paraId="133560A7" w14:textId="3721F22C" w:rsidR="00642D64" w:rsidRDefault="00642D64" w:rsidP="00642D64">
      <w:pPr>
        <w:pStyle w:val="A"/>
        <w:ind w:firstLine="0"/>
      </w:pPr>
      <w:r>
        <w:t>Accelerating the depreciation schedule at Colstrip Units 3 and 4 will help to mitigate that problem. While it is still likely that Colstrip Units 3 and 4 will close earlier than 2027, accelerating the depreciation schedule now significantly reduces the plant balance that would remain if and when the plant retires before 2027.</w:t>
      </w:r>
    </w:p>
    <w:p w14:paraId="767B410A" w14:textId="267D23ED" w:rsidR="00856191" w:rsidRDefault="005203BB" w:rsidP="005203BB">
      <w:pPr>
        <w:pStyle w:val="Q"/>
      </w:pPr>
      <w:r>
        <w:t>Q</w:t>
      </w:r>
      <w:r w:rsidR="003F0FDB">
        <w:t>.</w:t>
      </w:r>
      <w:r>
        <w:tab/>
        <w:t>Does approval of the December 31, 2027 depreciation schedule mean that Colstrip Units 3 and 4 will retire on that date?</w:t>
      </w:r>
    </w:p>
    <w:p w14:paraId="406743AE" w14:textId="19770F2A" w:rsidR="005203BB" w:rsidRPr="005203BB" w:rsidRDefault="005203BB" w:rsidP="005203BB">
      <w:pPr>
        <w:pStyle w:val="A"/>
      </w:pPr>
      <w:r>
        <w:t>A</w:t>
      </w:r>
      <w:r w:rsidR="003F0FDB">
        <w:t>.</w:t>
      </w:r>
      <w:r>
        <w:tab/>
        <w:t xml:space="preserve">No. In fact, as I discussed above, Colstrip Units 3 and 4 are likely to retire before that date. </w:t>
      </w:r>
    </w:p>
    <w:p w14:paraId="62966E99" w14:textId="609D359B" w:rsidR="001E5CF8" w:rsidRPr="001E5CF8" w:rsidRDefault="005203BB" w:rsidP="005203BB">
      <w:pPr>
        <w:pStyle w:val="Q"/>
      </w:pPr>
      <w:r>
        <w:lastRenderedPageBreak/>
        <w:t>Q</w:t>
      </w:r>
      <w:r w:rsidR="003F0FDB">
        <w:t>.</w:t>
      </w:r>
      <w:r>
        <w:tab/>
        <w:t>Why should the Commission change the depreciation date to December 31, 2027 for Colstrip Units 3 and 4 if it is not certain about the date that it will retire?</w:t>
      </w:r>
    </w:p>
    <w:p w14:paraId="3E7CCD7A" w14:textId="1BC6D3BE" w:rsidR="005203BB" w:rsidRPr="005203BB" w:rsidRDefault="005203BB" w:rsidP="001174AA">
      <w:pPr>
        <w:pStyle w:val="A"/>
      </w:pPr>
      <w:r>
        <w:t>A</w:t>
      </w:r>
      <w:r w:rsidR="003F0FDB">
        <w:t>.</w:t>
      </w:r>
      <w:r>
        <w:tab/>
        <w:t xml:space="preserve">The depreciation schedule should align with the expected retirement of the units. As discussed above, this schedule reduces the intergenerational inequities of customers who may have to pay for units that they do not receive power from. However, certainty in retirement dates is not required – nor is it advisable – in setting a depreciation date. There are several factors that go into a decision to retire a coal unit, and regulators will rarely have perfect insight into a future retirement date. Regulators must therefore use their best judgment based on the evidence available to them to estimate the likely end of useful life for the units. </w:t>
      </w:r>
      <w:r w:rsidR="001174AA">
        <w:t>For Colstrip Units 3 and 4, the evidence overwhelming</w:t>
      </w:r>
      <w:r w:rsidR="00D1044D">
        <w:t>ly</w:t>
      </w:r>
      <w:r w:rsidR="001174AA">
        <w:t xml:space="preserve"> points to a retirement date no later than 2027. Ignoring this overwhelming evidence because it is not “certain” is unfair to future ratepayers. If in future years the Commission concludes based on additional evidence that a different retirement date – either earlier or later – is likely, it will be free to readjust the depreciation schedule to match that evidence. </w:t>
      </w:r>
      <w:r w:rsidR="00860F6A">
        <w:t>Reviewing the depreciation schedule is, in part, the function of the Colstrip reporting requirements in this settlement.</w:t>
      </w:r>
    </w:p>
    <w:p w14:paraId="4077E1D7" w14:textId="12757202" w:rsidR="001174AA" w:rsidRDefault="001174AA" w:rsidP="00FD7B0F">
      <w:pPr>
        <w:pStyle w:val="Heading1"/>
      </w:pPr>
      <w:bookmarkStart w:id="4" w:name="_Toc493237314"/>
      <w:r>
        <w:t>The Settlement Provides Economic Benefits for PSE Customers</w:t>
      </w:r>
      <w:bookmarkEnd w:id="4"/>
    </w:p>
    <w:p w14:paraId="7C3379AD" w14:textId="037E39EF" w:rsidR="001174AA" w:rsidRDefault="001174AA" w:rsidP="001174AA">
      <w:pPr>
        <w:pStyle w:val="Q"/>
      </w:pPr>
      <w:r>
        <w:t>Q</w:t>
      </w:r>
      <w:r w:rsidR="003F0FDB">
        <w:t>.</w:t>
      </w:r>
      <w:r>
        <w:tab/>
        <w:t xml:space="preserve">Does the Settlement provide economic benefits to PSE </w:t>
      </w:r>
      <w:r w:rsidR="00B53742">
        <w:t>customers</w:t>
      </w:r>
      <w:r>
        <w:t>?</w:t>
      </w:r>
    </w:p>
    <w:p w14:paraId="79CDFE93" w14:textId="0D84E970" w:rsidR="001174AA" w:rsidRDefault="001174AA" w:rsidP="001174AA">
      <w:pPr>
        <w:pStyle w:val="A"/>
      </w:pPr>
      <w:r>
        <w:t>A.</w:t>
      </w:r>
      <w:r>
        <w:tab/>
        <w:t xml:space="preserve">Yes. One of the critical lessons learned from Colstrip Units 1 and 2 was that when stakeholders fully understood the economic costs of those units, the more quickly the retirement date was realized.  Originally, PSE and other parties believed those units </w:t>
      </w:r>
      <w:r>
        <w:lastRenderedPageBreak/>
        <w:t>would retire in 2035, then 2030, then 2025.  Now it is 2022 or earlier.  We are about to repeat that mistake with Units 3 and 4.  The economic reality of a 2025 retirement date for Colstrip Units 3 and 4 is increasingly obvious.  To the extent that stakeholders do not fully understand the trends, they are putting PSE ratepayers at risk.  In fact, PSE’s most recent analysis reveals just that: Colstrip Units 3 and 4 will not be economic in the near future.</w:t>
      </w:r>
    </w:p>
    <w:p w14:paraId="6EAC5758" w14:textId="502E7E2B" w:rsidR="001174AA" w:rsidRDefault="001174AA" w:rsidP="001174AA">
      <w:pPr>
        <w:pStyle w:val="A"/>
        <w:ind w:firstLine="0"/>
      </w:pPr>
      <w:r>
        <w:t>It is time to a</w:t>
      </w:r>
      <w:r w:rsidR="00B53742">
        <w:t xml:space="preserve">cknowledge economic realities. </w:t>
      </w:r>
      <w:r>
        <w:t xml:space="preserve">When parties agreed in the 2007 rate case to extend the debt on Colstrip Units 3 and 4 to 2045, they began a now 10-year process of ratepayers under-paying the debt on those units.  Now ratepayers need to reverse that trend to catch up on under payments, and a 1 percent rate increase is a very modest </w:t>
      </w:r>
      <w:r w:rsidR="00B53742">
        <w:t>rate impact to remedy that deficiency</w:t>
      </w:r>
      <w:r>
        <w:t>.</w:t>
      </w:r>
    </w:p>
    <w:p w14:paraId="649FB43E" w14:textId="44DB3106" w:rsidR="001174AA" w:rsidRDefault="001174AA" w:rsidP="001174AA">
      <w:pPr>
        <w:pStyle w:val="Q"/>
      </w:pPr>
      <w:r>
        <w:t>Q</w:t>
      </w:r>
      <w:r w:rsidR="003F0FDB">
        <w:t>.</w:t>
      </w:r>
      <w:r>
        <w:tab/>
        <w:t>Why is it in ratepayer interests to depreciate Colstrip Units 3 and 4 faster?</w:t>
      </w:r>
    </w:p>
    <w:p w14:paraId="5DD2904E" w14:textId="48268EE9" w:rsidR="001174AA" w:rsidRDefault="001174AA" w:rsidP="001174AA">
      <w:pPr>
        <w:pStyle w:val="A"/>
      </w:pPr>
      <w:r>
        <w:t>A</w:t>
      </w:r>
      <w:r w:rsidR="003F0FDB">
        <w:t>.</w:t>
      </w:r>
      <w:r>
        <w:tab/>
        <w:t>Ratepayers do not want to be paying off undepreciated plant balances in 2028 and beyond if the plant retires in 2027 or sooner. That would require ratepayers to pay twice because of the need for replacement power. It is in the ratepayers’ economic interest to get this financial liability behind them as soon as possible. Even as it stands in the Settlement, ratepayers in 2026 and 2027 will like</w:t>
      </w:r>
      <w:r w:rsidR="00AA18A6">
        <w:t>ly be paying for a plant that i</w:t>
      </w:r>
      <w:r>
        <w:t xml:space="preserve">s going to close in 2025. While not ideal, the Settlement at least mitigates that problem significantly. </w:t>
      </w:r>
    </w:p>
    <w:p w14:paraId="71F6DBBF" w14:textId="503BD80B" w:rsidR="001174AA" w:rsidRDefault="0064569A" w:rsidP="0064569A">
      <w:pPr>
        <w:pStyle w:val="Q"/>
      </w:pPr>
      <w:r>
        <w:t>Q</w:t>
      </w:r>
      <w:r w:rsidR="003F0FDB">
        <w:t>.</w:t>
      </w:r>
      <w:r>
        <w:tab/>
        <w:t xml:space="preserve">Are there other ways ratepayers will save? </w:t>
      </w:r>
    </w:p>
    <w:p w14:paraId="5A1A6E7E" w14:textId="57C5FDE5" w:rsidR="0064569A" w:rsidRDefault="0064569A" w:rsidP="0064569A">
      <w:pPr>
        <w:pStyle w:val="A"/>
      </w:pPr>
      <w:r>
        <w:t>A</w:t>
      </w:r>
      <w:r w:rsidR="003F0FDB">
        <w:t>.</w:t>
      </w:r>
      <w:r>
        <w:tab/>
        <w:t>Yes. Depreciation schedules often set expectations for the usef</w:t>
      </w:r>
      <w:r w:rsidR="00AA18A6">
        <w:t>ul life of coal plants. While it</w:t>
      </w:r>
      <w:r>
        <w:t xml:space="preserve"> is supposed to work the other way (i.e. depreciation dates are set based on </w:t>
      </w:r>
      <w:r>
        <w:lastRenderedPageBreak/>
        <w:t xml:space="preserve">rationale least-cost expectations), depreciation dates that are too far out tend to create a </w:t>
      </w:r>
      <w:r w:rsidR="00860F6A">
        <w:t>willingness to continue operational, maintenance and capital expenses out to the depreciation date that</w:t>
      </w:r>
      <w:r w:rsidR="002663EE">
        <w:t>, if properly scrutinized,</w:t>
      </w:r>
      <w:r w:rsidR="00860F6A">
        <w:t xml:space="preserve"> would otherwise not be</w:t>
      </w:r>
      <w:r w:rsidR="002663EE">
        <w:t xml:space="preserve"> deemed</w:t>
      </w:r>
      <w:r w:rsidR="00860F6A">
        <w:t xml:space="preserve"> prudent</w:t>
      </w:r>
      <w:r>
        <w:t xml:space="preserve">. Utilities are wary of recognizing signals that could put them at risk of having stranded assets, and customer advocates do not want to face any changes that put upward pressure on rates. </w:t>
      </w:r>
    </w:p>
    <w:p w14:paraId="4B042A3E" w14:textId="554619CA" w:rsidR="0064569A" w:rsidRPr="0064569A" w:rsidRDefault="0064569A" w:rsidP="0064569A">
      <w:pPr>
        <w:pStyle w:val="A"/>
      </w:pPr>
      <w:r>
        <w:tab/>
        <w:t>These factors can lead to less-than-optimal resource planning</w:t>
      </w:r>
      <w:r w:rsidR="00AA18A6">
        <w:t xml:space="preserve"> decisions</w:t>
      </w:r>
      <w:r>
        <w:t xml:space="preserve">. Different stakeholders’ wariness of acting out of sync with </w:t>
      </w:r>
      <w:r w:rsidR="00AA18A6">
        <w:t>an existing</w:t>
      </w:r>
      <w:r>
        <w:t xml:space="preserve"> depreciation schedule can lead to assumptions about the useful life of the plant that are not accurate. In other words, even though the depreciation schedule does not actually impact the least-cost s</w:t>
      </w:r>
      <w:r w:rsidR="00AA18A6">
        <w:t>olution in resources planning, i</w:t>
      </w:r>
      <w:r>
        <w:t xml:space="preserve">t can influence the </w:t>
      </w:r>
      <w:r w:rsidR="00AA18A6">
        <w:t>decisions</w:t>
      </w:r>
      <w:r>
        <w:t xml:space="preserve"> made in that process. “Fixing” the depreciation schedule therefore frees up stakeholders to more readily accept lower cost solutions. </w:t>
      </w:r>
    </w:p>
    <w:p w14:paraId="01D7CC6C" w14:textId="5CCDBCDC" w:rsidR="0064569A" w:rsidRDefault="0064569A" w:rsidP="0064569A">
      <w:pPr>
        <w:pStyle w:val="Q"/>
      </w:pPr>
      <w:r>
        <w:t>Q</w:t>
      </w:r>
      <w:r w:rsidR="003F0FDB">
        <w:t>.</w:t>
      </w:r>
      <w:r>
        <w:tab/>
        <w:t>Does Colstrip face this problem?</w:t>
      </w:r>
    </w:p>
    <w:p w14:paraId="4412C2FC" w14:textId="3CBB27A7" w:rsidR="001174AA" w:rsidRDefault="0064569A" w:rsidP="0064569A">
      <w:pPr>
        <w:pStyle w:val="A"/>
      </w:pPr>
      <w:r>
        <w:t>A</w:t>
      </w:r>
      <w:r w:rsidR="003F0FDB">
        <w:t>.</w:t>
      </w:r>
      <w:r>
        <w:tab/>
        <w:t xml:space="preserve">Yes. </w:t>
      </w:r>
      <w:r w:rsidR="001174AA">
        <w:t>The plant is agi</w:t>
      </w:r>
      <w:r>
        <w:t>ng and becoming more expensive.</w:t>
      </w:r>
      <w:r w:rsidR="001174AA">
        <w:t xml:space="preserve"> Avista recently filed </w:t>
      </w:r>
      <w:r w:rsidR="002663EE">
        <w:t xml:space="preserve">a </w:t>
      </w:r>
      <w:r w:rsidR="001174AA">
        <w:t xml:space="preserve">rate case in Idaho that revealed Colstrip owners expect to pay $160 million in 2018 through 2020 just to keep </w:t>
      </w:r>
      <w:r w:rsidR="00860F6A">
        <w:t xml:space="preserve">Units 3 and 4 </w:t>
      </w:r>
      <w:r w:rsidR="001174AA">
        <w:t xml:space="preserve">running. </w:t>
      </w:r>
      <w:r w:rsidR="00860F6A">
        <w:t xml:space="preserve">The usefulness of some of those expenses may likely extend beyond 2025 or 2027 and therefore deserve intense scrutiny.  </w:t>
      </w:r>
      <w:r w:rsidR="002663EE">
        <w:t xml:space="preserve">The </w:t>
      </w:r>
      <w:r w:rsidR="00860F6A">
        <w:t xml:space="preserve">2027 depreciation schedule </w:t>
      </w:r>
      <w:r w:rsidR="002663EE">
        <w:t>encourages</w:t>
      </w:r>
      <w:r w:rsidR="00860F6A">
        <w:t xml:space="preserve"> additional scrutiny</w:t>
      </w:r>
      <w:r w:rsidR="002663EE">
        <w:t xml:space="preserve"> by PSE and other owners regarding</w:t>
      </w:r>
      <w:r w:rsidR="00860F6A">
        <w:t xml:space="preserve"> </w:t>
      </w:r>
      <w:r w:rsidR="002663EE">
        <w:t>potential</w:t>
      </w:r>
      <w:r w:rsidR="00860F6A">
        <w:t xml:space="preserve"> maintenance expenses </w:t>
      </w:r>
      <w:r w:rsidR="002663EE">
        <w:t>that may not be necessary beyond 2027.</w:t>
      </w:r>
      <w:r w:rsidR="002663EE" w:rsidDel="002663EE">
        <w:t xml:space="preserve"> </w:t>
      </w:r>
    </w:p>
    <w:p w14:paraId="0A3C9D14" w14:textId="030BD3FE" w:rsidR="001174AA" w:rsidRDefault="001174AA" w:rsidP="0064569A">
      <w:pPr>
        <w:pStyle w:val="A"/>
        <w:ind w:firstLine="0"/>
      </w:pPr>
      <w:r>
        <w:t xml:space="preserve">The price tag for cleaning up the toxic coal ash waste ponds will </w:t>
      </w:r>
      <w:r w:rsidR="0064569A">
        <w:t xml:space="preserve">also continue to grow </w:t>
      </w:r>
      <w:r w:rsidR="0064569A">
        <w:lastRenderedPageBreak/>
        <w:t xml:space="preserve">over time. </w:t>
      </w:r>
      <w:r>
        <w:t>While the Colstrip owners are now under a legal mandate to alter the disposal system for the toxic waste, the underground toxic plume continues to expand creatin</w:t>
      </w:r>
      <w:r w:rsidR="0064569A">
        <w:t>g increasing cleanup costs. A recent Commission</w:t>
      </w:r>
      <w:r>
        <w:t xml:space="preserve"> investigation concluded that the longer the Colstrip </w:t>
      </w:r>
      <w:r w:rsidR="00AA18A6">
        <w:t>Units 1 and 2</w:t>
      </w:r>
      <w:r>
        <w:t xml:space="preserve"> stay opens, the greater the cost of cleanup.</w:t>
      </w:r>
      <w:r w:rsidR="00AA18A6">
        <w:rPr>
          <w:rStyle w:val="FootnoteReference"/>
        </w:rPr>
        <w:footnoteReference w:id="11"/>
      </w:r>
      <w:r w:rsidR="00AA18A6">
        <w:t xml:space="preserve"> That same logic </w:t>
      </w:r>
      <w:r w:rsidR="002663EE">
        <w:t xml:space="preserve">regarding the expanding cleanup liability similarly </w:t>
      </w:r>
      <w:r w:rsidR="00AA18A6">
        <w:t xml:space="preserve">applies to </w:t>
      </w:r>
      <w:r w:rsidR="002663EE">
        <w:t>continued operation of Units 3 and 4.</w:t>
      </w:r>
      <w:r w:rsidR="00AA18A6">
        <w:t xml:space="preserve"> </w:t>
      </w:r>
    </w:p>
    <w:p w14:paraId="32E88141" w14:textId="6442E6E7" w:rsidR="001174AA" w:rsidRDefault="0064569A" w:rsidP="0064569A">
      <w:pPr>
        <w:pStyle w:val="A"/>
        <w:ind w:firstLine="0"/>
      </w:pPr>
      <w:r>
        <w:t xml:space="preserve">Finally, as discussed above, </w:t>
      </w:r>
      <w:r w:rsidR="001174AA">
        <w:t>PSE now finds that even modest carbon pricing will make the units uneconom</w:t>
      </w:r>
      <w:r w:rsidR="00AA18A6">
        <w:t>ic.</w:t>
      </w:r>
      <w:r w:rsidR="00AA18A6">
        <w:rPr>
          <w:rStyle w:val="FootnoteReference"/>
        </w:rPr>
        <w:footnoteReference w:id="12"/>
      </w:r>
      <w:r w:rsidR="001174AA">
        <w:t xml:space="preserve"> Regardless of whether a carbon price comes from a new federal administration, Congress or Washington State, most experts agree that climat</w:t>
      </w:r>
      <w:r w:rsidR="00AA18A6">
        <w:t>e accountability is inevitable.</w:t>
      </w:r>
      <w:r w:rsidR="001174AA">
        <w:t xml:space="preserve"> We must assume a carbon price and plan accordingly.  </w:t>
      </w:r>
    </w:p>
    <w:p w14:paraId="29B88CA3" w14:textId="0D612F6A" w:rsidR="001174AA" w:rsidRDefault="0064569A" w:rsidP="0064569A">
      <w:pPr>
        <w:pStyle w:val="Q"/>
      </w:pPr>
      <w:r>
        <w:t>Q</w:t>
      </w:r>
      <w:r w:rsidR="003F0FDB">
        <w:t>.</w:t>
      </w:r>
      <w:r>
        <w:tab/>
        <w:t>Does the Rosebud coal mine, which feeds Colstrip, face economic risks?</w:t>
      </w:r>
    </w:p>
    <w:p w14:paraId="27F8078F" w14:textId="54AEE142" w:rsidR="001174AA" w:rsidRDefault="0064569A" w:rsidP="001174AA">
      <w:pPr>
        <w:pStyle w:val="A"/>
      </w:pPr>
      <w:r>
        <w:t>A</w:t>
      </w:r>
      <w:r w:rsidR="003F0FDB">
        <w:t>.</w:t>
      </w:r>
      <w:r>
        <w:tab/>
        <w:t xml:space="preserve">Yes. </w:t>
      </w:r>
      <w:r w:rsidR="002663EE">
        <w:t xml:space="preserve">Coal mines across the country are struggling. The Rosebud mine in particular is facing higher overburden ratios in its currently permitted seams. </w:t>
      </w:r>
      <w:r w:rsidR="001174AA">
        <w:t>Westmoreland reported to the Securities and Exchange Commission that the “estimated mine life for current plans” is 2024 for the Colstrip mine.</w:t>
      </w:r>
      <w:r w:rsidR="00AA18A6">
        <w:rPr>
          <w:rStyle w:val="FootnoteReference"/>
        </w:rPr>
        <w:footnoteReference w:id="13"/>
      </w:r>
      <w:r w:rsidR="001174AA">
        <w:t xml:space="preserve">  Westmoreland is applying for three separate permits to expand the mine to gain access to </w:t>
      </w:r>
      <w:r w:rsidR="00D1044D">
        <w:t>additional</w:t>
      </w:r>
      <w:r w:rsidR="001174AA">
        <w:t xml:space="preserve"> coal.  However, state and federal law require Westmoreland to restore the land to previous conditions before expanding.  The mine has destroyed 26,000 acres of habitat, polluted groundwater, and dried up part </w:t>
      </w:r>
      <w:r w:rsidR="001174AA">
        <w:lastRenderedPageBreak/>
        <w:t>of a stream. Restorat</w:t>
      </w:r>
      <w:r w:rsidR="00DE3EB0">
        <w:t>ion is unlikely or impossible, and environmental advocates have claimed that a</w:t>
      </w:r>
      <w:r w:rsidR="001174AA">
        <w:t>n</w:t>
      </w:r>
      <w:r>
        <w:t xml:space="preserve">y expansion would be unlawful. </w:t>
      </w:r>
      <w:r w:rsidR="001174AA">
        <w:t>Westmoreland is the only economically-viable source of coal for Colstrip and its future is tentative</w:t>
      </w:r>
      <w:r w:rsidR="00E0358B">
        <w:t>, and will likely</w:t>
      </w:r>
      <w:r w:rsidR="001174AA">
        <w:t xml:space="preserve"> creat</w:t>
      </w:r>
      <w:r w:rsidR="00E0358B">
        <w:t>e</w:t>
      </w:r>
      <w:r w:rsidR="001174AA">
        <w:t xml:space="preserve"> price increases and PSE ratepayer liability.</w:t>
      </w:r>
    </w:p>
    <w:p w14:paraId="53FAC830" w14:textId="3E180823" w:rsidR="00E0358B" w:rsidRPr="00D9004D" w:rsidRDefault="00E0358B" w:rsidP="003F0FDB">
      <w:pPr>
        <w:pStyle w:val="A"/>
        <w:spacing w:after="0"/>
        <w:rPr>
          <w:b/>
        </w:rPr>
      </w:pPr>
      <w:r w:rsidRPr="00D9004D">
        <w:rPr>
          <w:b/>
        </w:rPr>
        <w:t>Q</w:t>
      </w:r>
      <w:r w:rsidR="003F0FDB">
        <w:rPr>
          <w:b/>
        </w:rPr>
        <w:t>.</w:t>
      </w:r>
      <w:r w:rsidRPr="00D9004D">
        <w:rPr>
          <w:b/>
        </w:rPr>
        <w:tab/>
        <w:t>Does the settlement provide any other benefits to ratepayers related to Colstrip?</w:t>
      </w:r>
    </w:p>
    <w:p w14:paraId="0C5EFC7A" w14:textId="6832B195" w:rsidR="00E0358B" w:rsidRPr="002663EE" w:rsidRDefault="00E0358B" w:rsidP="003F0FDB">
      <w:pPr>
        <w:pStyle w:val="Q"/>
        <w:spacing w:after="240"/>
      </w:pPr>
      <w:r>
        <w:rPr>
          <w:b w:val="0"/>
        </w:rPr>
        <w:t>A</w:t>
      </w:r>
      <w:r w:rsidR="003F0FDB">
        <w:rPr>
          <w:b w:val="0"/>
        </w:rPr>
        <w:t>.</w:t>
      </w:r>
      <w:r>
        <w:rPr>
          <w:b w:val="0"/>
        </w:rPr>
        <w:tab/>
        <w:t>Yes. The request for the Commission to study the use of the Colstrip transmission line ensures that this valuable asset will more likely be put to use once Colstrip Units 1 and 2 are retired. Montana has one of the most robust wind regimes in the country and rights to develop projects exist all along the Colstrip line. Transmission barriers have been the biggest barrier for developing and exporting Montana wind. This study will ensure PSE ratepayers have a better chance of utilizing this va</w:t>
      </w:r>
      <w:r w:rsidR="00E74E4C">
        <w:rPr>
          <w:b w:val="0"/>
        </w:rPr>
        <w:t>luable</w:t>
      </w:r>
      <w:r>
        <w:rPr>
          <w:b w:val="0"/>
        </w:rPr>
        <w:t xml:space="preserve"> asset.</w:t>
      </w:r>
    </w:p>
    <w:p w14:paraId="3AFB51A2" w14:textId="4AEC9440" w:rsidR="001174AA" w:rsidRDefault="00EC2712" w:rsidP="00EC2712">
      <w:pPr>
        <w:pStyle w:val="Heading"/>
      </w:pPr>
      <w:bookmarkStart w:id="5" w:name="_Toc493237315"/>
      <w:r>
        <w:t>Transitioning Off of Colstrip Will Provide Environmental Benefits</w:t>
      </w:r>
      <w:bookmarkEnd w:id="5"/>
    </w:p>
    <w:p w14:paraId="7258922C" w14:textId="7EAA4DB0" w:rsidR="00EC2712" w:rsidRDefault="00EC2712" w:rsidP="00EC2712">
      <w:pPr>
        <w:pStyle w:val="Q"/>
      </w:pPr>
      <w:r>
        <w:t>Q</w:t>
      </w:r>
      <w:r w:rsidR="003F0FDB">
        <w:t>.</w:t>
      </w:r>
      <w:r>
        <w:tab/>
        <w:t>Why is it important to plan a transition away from Colstrip?</w:t>
      </w:r>
    </w:p>
    <w:p w14:paraId="7268C8D0" w14:textId="4B05881B" w:rsidR="00EC2712" w:rsidRDefault="00EC2712" w:rsidP="00EC2712">
      <w:pPr>
        <w:pStyle w:val="A"/>
      </w:pPr>
      <w:r>
        <w:t>A</w:t>
      </w:r>
      <w:r w:rsidR="003F0FDB">
        <w:t>.</w:t>
      </w:r>
      <w:r>
        <w:tab/>
        <w:t xml:space="preserve">According to the U.S. Environmental Protection Agency, in 2015, Colstrip was the third largest climate polluter in the country.  </w:t>
      </w:r>
      <w:r w:rsidR="00E0358B">
        <w:t>Colstrip is the largest climate polluter in the four Northwest states.</w:t>
      </w:r>
      <w:r>
        <w:t xml:space="preserve">  Annual carbon emissions for all four units average approximately 15 million tons, equal to approximately 3 million cars.  No current initiative in the Northwest will create as many carbon reductions as retiring Colstrip.  Establishing a clear schedule for PSE to pay down the undepreciated plant balance at Colstrip is a critically important step as the plant moves closer to retirement.</w:t>
      </w:r>
    </w:p>
    <w:p w14:paraId="711D3105" w14:textId="0FC26014" w:rsidR="00EC2712" w:rsidRDefault="00EC2712" w:rsidP="00EC2712">
      <w:pPr>
        <w:pStyle w:val="A"/>
        <w:ind w:firstLine="0"/>
      </w:pPr>
      <w:r>
        <w:t xml:space="preserve">Colstrip has approximately twice as many nitrogen oxide and sulfur emissions as the </w:t>
      </w:r>
      <w:r>
        <w:lastRenderedPageBreak/>
        <w:t>combined total of the next nine la</w:t>
      </w:r>
      <w:r w:rsidR="00AA18A6">
        <w:t>rgest air polluters in Montana.</w:t>
      </w:r>
      <w:r>
        <w:t xml:space="preserve"> Colstrip has 800 acres of leaking toxic coal ash ponds where this toxic plume continues to expand to the aquifer.  And as stated above, continued reliance on the Colstrip mine further destroys habitat and pollutes groundwater.</w:t>
      </w:r>
    </w:p>
    <w:p w14:paraId="07EE71F9" w14:textId="77777777" w:rsidR="00EC2712" w:rsidRDefault="00EC2712" w:rsidP="00EC2712">
      <w:pPr>
        <w:pStyle w:val="A"/>
        <w:ind w:firstLine="0"/>
      </w:pPr>
      <w:r>
        <w:t>Such highly destructive environmental impacts are completely unnecessary when cheap and abundant renewable energy and energy efficiency continue to demonstrate their economic advantages.</w:t>
      </w:r>
    </w:p>
    <w:p w14:paraId="4E4C80BB" w14:textId="0CA9D684" w:rsidR="00EC2712" w:rsidRDefault="00EC2712" w:rsidP="00EC2712">
      <w:pPr>
        <w:pStyle w:val="Heading"/>
      </w:pPr>
      <w:bookmarkStart w:id="6" w:name="_Toc493237316"/>
      <w:r>
        <w:t xml:space="preserve">A Responsible Community Transition Plan </w:t>
      </w:r>
      <w:r w:rsidR="00AA18A6">
        <w:t>will Help Provide</w:t>
      </w:r>
      <w:r>
        <w:t xml:space="preserve"> an Equitable End to the Colstrip Plant</w:t>
      </w:r>
      <w:bookmarkEnd w:id="6"/>
    </w:p>
    <w:p w14:paraId="7C7B366D" w14:textId="49A18B13" w:rsidR="00EC2712" w:rsidRDefault="00EC2712" w:rsidP="00EC2712">
      <w:pPr>
        <w:pStyle w:val="Q"/>
      </w:pPr>
      <w:r>
        <w:t>Q</w:t>
      </w:r>
      <w:r w:rsidR="003F0FDB">
        <w:t>.</w:t>
      </w:r>
      <w:r>
        <w:tab/>
      </w:r>
      <w:r w:rsidR="00D82E01">
        <w:t xml:space="preserve">How does the Settlement support an equitable transition for the community? </w:t>
      </w:r>
    </w:p>
    <w:p w14:paraId="07B2FFFE" w14:textId="700B7E35" w:rsidR="00D82E01" w:rsidRDefault="00D82E01" w:rsidP="00D82E01">
      <w:pPr>
        <w:pStyle w:val="A"/>
      </w:pPr>
      <w:r>
        <w:t>A</w:t>
      </w:r>
      <w:r w:rsidR="003F0FDB">
        <w:t>.</w:t>
      </w:r>
      <w:r>
        <w:tab/>
        <w:t>Sierra Club is committed to addressing concerns of communities that endure economic hardship from the retirement of</w:t>
      </w:r>
      <w:r w:rsidR="00AA18A6">
        <w:t xml:space="preserve"> coal plants.</w:t>
      </w:r>
      <w:r>
        <w:t xml:space="preserve"> In 2011, Sierra Club was the primary organization insisting that the retirement of the TransAlta coal plant in Centralia, Washington include funding for community transition.  That commitment applies to Colstrip and we have made this clear to PSE.</w:t>
      </w:r>
    </w:p>
    <w:p w14:paraId="77990E15" w14:textId="7E7C3E2A" w:rsidR="00D82E01" w:rsidRDefault="00D82E01" w:rsidP="00D82E01">
      <w:pPr>
        <w:pStyle w:val="A"/>
        <w:ind w:firstLine="0"/>
      </w:pPr>
      <w:r>
        <w:t xml:space="preserve">Sierra Club applauds PSE for providing $10 million for community transition at Colstrip  (¶120). Additional accolades are due because half of this money comes from PSE shareholders.  This is a model that other Colstrip owners now need to replicate.  </w:t>
      </w:r>
    </w:p>
    <w:p w14:paraId="2F1E1FB6" w14:textId="737DC293" w:rsidR="00D82E01" w:rsidRDefault="00D82E01" w:rsidP="00D82E01">
      <w:pPr>
        <w:pStyle w:val="A"/>
        <w:ind w:firstLine="0"/>
      </w:pPr>
      <w:r>
        <w:t xml:space="preserve">PSE supported Washington legislation that mandated setting aside money for cleanup of the toxic coal ash waste sites for Colstrip Units 1 and 2. This Settlement now provides a </w:t>
      </w:r>
      <w:r>
        <w:lastRenderedPageBreak/>
        <w:t>plan to ensure those funds are available. In addition, PSE through the Settlement will designate money for the cleanup of the coal ash ponds for Units 3 and 4. This is a first among Colstrip owners and ensures a more viable future for the town of Colstrip and surrounding areas. Without clean, usable water in arid Eastern Montana, future economic viability is at risk.</w:t>
      </w:r>
    </w:p>
    <w:p w14:paraId="6DF47554" w14:textId="1041AC23" w:rsidR="00D82E01" w:rsidRPr="00D82E01" w:rsidRDefault="00D82E01" w:rsidP="00D82E01">
      <w:pPr>
        <w:pStyle w:val="Q"/>
      </w:pPr>
      <w:r>
        <w:t>Q</w:t>
      </w:r>
      <w:r w:rsidR="003F0FDB">
        <w:t>.</w:t>
      </w:r>
      <w:r>
        <w:tab/>
        <w:t>What other aspects of the Settlement provide equity benefits?</w:t>
      </w:r>
    </w:p>
    <w:p w14:paraId="49164C1E" w14:textId="5C5FA763" w:rsidR="00D82E01" w:rsidRDefault="00D82E01" w:rsidP="00D82E01">
      <w:pPr>
        <w:pStyle w:val="A"/>
      </w:pPr>
      <w:r>
        <w:t>A</w:t>
      </w:r>
      <w:r w:rsidR="003F0FDB">
        <w:t>.</w:t>
      </w:r>
      <w:r>
        <w:tab/>
        <w:t xml:space="preserve">The low-income energy assistance is critical.  </w:t>
      </w:r>
      <w:r w:rsidR="00E0358B">
        <w:t>S</w:t>
      </w:r>
      <w:r>
        <w:t xml:space="preserve">ervices for low-income families are at risk. The Settlement’s </w:t>
      </w:r>
      <w:r w:rsidR="00E0358B">
        <w:t xml:space="preserve">additional </w:t>
      </w:r>
      <w:r>
        <w:t xml:space="preserve">$2 million for weatherization programs helps fill a significant </w:t>
      </w:r>
      <w:r w:rsidR="00E0358B">
        <w:t>needs</w:t>
      </w:r>
      <w:r>
        <w:t xml:space="preserve"> (¶108).</w:t>
      </w:r>
    </w:p>
    <w:p w14:paraId="7772EE37" w14:textId="47F8B539" w:rsidR="00D82E01" w:rsidRDefault="00D82E01" w:rsidP="00D82E01">
      <w:pPr>
        <w:pStyle w:val="A"/>
        <w:ind w:firstLine="0"/>
      </w:pPr>
      <w:r>
        <w:t>The reporting requirements create their own equity (¶121). Colstrip owners have not been forthcoming with essential data to help plan for a fair and orderly transition.  Now PSE distinguishes itself by instituting yearly reporting requirements on retirement plans, cleanup and funding, and replacement power.  The remaining Colstrip owners need to follow suit.</w:t>
      </w:r>
    </w:p>
    <w:p w14:paraId="0F29B396" w14:textId="4D8E4497" w:rsidR="00D82E01" w:rsidRDefault="00D82E01" w:rsidP="00D82E01">
      <w:pPr>
        <w:pStyle w:val="Heading"/>
      </w:pPr>
      <w:bookmarkStart w:id="7" w:name="_Toc493237317"/>
      <w:r>
        <w:t>Conclusion</w:t>
      </w:r>
      <w:bookmarkEnd w:id="7"/>
    </w:p>
    <w:p w14:paraId="5CE28E2B" w14:textId="23FC2517" w:rsidR="00D82E01" w:rsidRDefault="00D82E01" w:rsidP="00D82E01">
      <w:pPr>
        <w:pStyle w:val="Q"/>
      </w:pPr>
      <w:r>
        <w:t>Q</w:t>
      </w:r>
      <w:r w:rsidR="003F0FDB">
        <w:t>.</w:t>
      </w:r>
      <w:r>
        <w:tab/>
        <w:t>What do you recommend?</w:t>
      </w:r>
    </w:p>
    <w:p w14:paraId="4DDB41DB" w14:textId="4D558EC6" w:rsidR="00D82E01" w:rsidRDefault="00D82E01" w:rsidP="00D82E01">
      <w:pPr>
        <w:pStyle w:val="A"/>
      </w:pPr>
      <w:r>
        <w:t>A</w:t>
      </w:r>
      <w:r w:rsidR="003F0FDB">
        <w:t>.</w:t>
      </w:r>
      <w:r>
        <w:tab/>
        <w:t xml:space="preserve">This settlement represents a landmark in achieving economic, environmental and equity benefits. While critical work is yet to be achieved, this is the single most important step in: protecting PSE ratepayers; beginning a fair and orderly transition for the Colstrip community; retiring the largest climate polluter in the Northwest; achieving additional environmental benefits; helping low-income ratepayers; and creating open and honest </w:t>
      </w:r>
      <w:r>
        <w:lastRenderedPageBreak/>
        <w:t>processes.</w:t>
      </w:r>
      <w:r w:rsidR="00AA18A6">
        <w:t xml:space="preserve"> I recommend that the Commission approve the Settlement in full. </w:t>
      </w:r>
    </w:p>
    <w:p w14:paraId="62D930BD" w14:textId="78F395AC" w:rsidR="00A64D02" w:rsidRPr="00D617BA" w:rsidRDefault="006C4F8E" w:rsidP="001809FB">
      <w:pPr>
        <w:pStyle w:val="Q"/>
        <w:rPr>
          <w:rFonts w:asciiTheme="majorHAnsi" w:hAnsiTheme="majorHAnsi" w:cstheme="majorHAnsi"/>
          <w:szCs w:val="24"/>
        </w:rPr>
      </w:pPr>
      <w:r w:rsidRPr="00A2358C">
        <w:rPr>
          <w:rFonts w:asciiTheme="majorHAnsi" w:hAnsiTheme="majorHAnsi" w:cstheme="majorHAnsi"/>
          <w:szCs w:val="24"/>
        </w:rPr>
        <w:t>Q.</w:t>
      </w:r>
      <w:r w:rsidRPr="00A2358C">
        <w:rPr>
          <w:rFonts w:asciiTheme="majorHAnsi" w:hAnsiTheme="majorHAnsi" w:cstheme="majorHAnsi"/>
          <w:szCs w:val="24"/>
        </w:rPr>
        <w:tab/>
      </w:r>
      <w:r w:rsidR="00D617BA" w:rsidRPr="00D617BA">
        <w:rPr>
          <w:rFonts w:asciiTheme="majorHAnsi" w:hAnsiTheme="majorHAnsi" w:cstheme="majorHAnsi"/>
          <w:szCs w:val="24"/>
        </w:rPr>
        <w:t>Does this conclude your testimony?</w:t>
      </w:r>
    </w:p>
    <w:p w14:paraId="412FAE8F" w14:textId="3C16E42D" w:rsidR="006C4F8E" w:rsidRPr="00A2358C" w:rsidRDefault="006C4F8E" w:rsidP="001E5CF8">
      <w:pPr>
        <w:pStyle w:val="A"/>
      </w:pPr>
      <w:r w:rsidRPr="00A2358C">
        <w:t>A.</w:t>
      </w:r>
      <w:r w:rsidRPr="00A2358C">
        <w:tab/>
      </w:r>
      <w:r w:rsidR="00355F2F" w:rsidRPr="00A2358C">
        <w:t>Yes.</w:t>
      </w:r>
    </w:p>
    <w:sectPr w:rsidR="006C4F8E" w:rsidRPr="00A2358C" w:rsidSect="007C3944">
      <w:footerReference w:type="default" r:id="rId17"/>
      <w:headerReference w:type="first" r:id="rId18"/>
      <w:footerReference w:type="first" r:id="rId19"/>
      <w:pgSz w:w="12240" w:h="15840" w:code="1"/>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46642" w14:textId="77777777" w:rsidR="002663EE" w:rsidRDefault="002663EE">
      <w:r>
        <w:separator/>
      </w:r>
    </w:p>
    <w:p w14:paraId="0383E8E4" w14:textId="77777777" w:rsidR="002663EE" w:rsidRDefault="002663EE"/>
  </w:endnote>
  <w:endnote w:type="continuationSeparator" w:id="0">
    <w:p w14:paraId="2E705E8D" w14:textId="77777777" w:rsidR="002663EE" w:rsidRDefault="002663EE">
      <w:r>
        <w:continuationSeparator/>
      </w:r>
    </w:p>
    <w:p w14:paraId="27E80D6F" w14:textId="77777777" w:rsidR="002663EE" w:rsidRDefault="00266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007D" w14:textId="77777777" w:rsidR="00E5703A" w:rsidRDefault="00E57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A3F6" w14:textId="77777777" w:rsidR="00E5703A" w:rsidRDefault="00E57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836B" w14:textId="77777777" w:rsidR="00E5703A" w:rsidRDefault="00E570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370E" w14:textId="7B7028B6" w:rsidR="002663EE" w:rsidRPr="00C2456A" w:rsidRDefault="002663EE" w:rsidP="00C245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0910" w14:textId="71822EDB" w:rsidR="002663EE" w:rsidRPr="00C2456A" w:rsidRDefault="002663EE" w:rsidP="00C2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25622" w14:textId="77777777" w:rsidR="002663EE" w:rsidRDefault="002663EE" w:rsidP="00F83BA3">
      <w:pPr>
        <w:spacing w:line="240" w:lineRule="auto"/>
        <w:ind w:firstLine="0"/>
      </w:pPr>
    </w:p>
    <w:p w14:paraId="511F1EA8" w14:textId="77777777" w:rsidR="002663EE" w:rsidRDefault="002663EE" w:rsidP="00F83BA3">
      <w:pPr>
        <w:spacing w:line="240" w:lineRule="auto"/>
        <w:ind w:firstLine="0"/>
      </w:pPr>
      <w:r>
        <w:separator/>
      </w:r>
    </w:p>
  </w:footnote>
  <w:footnote w:type="continuationSeparator" w:id="0">
    <w:p w14:paraId="2B17C5EF" w14:textId="77777777" w:rsidR="002663EE" w:rsidRDefault="002663EE">
      <w:r>
        <w:continuationSeparator/>
      </w:r>
    </w:p>
    <w:p w14:paraId="4A11251C" w14:textId="77777777" w:rsidR="002663EE" w:rsidRDefault="002663EE"/>
  </w:footnote>
  <w:footnote w:id="1">
    <w:p w14:paraId="35640665" w14:textId="6C65DF55" w:rsidR="002663EE" w:rsidRDefault="002663EE" w:rsidP="003F0FDB">
      <w:pPr>
        <w:pStyle w:val="FootnoteText"/>
        <w:ind w:left="0"/>
      </w:pPr>
      <w:r>
        <w:rPr>
          <w:rStyle w:val="FootnoteReference"/>
        </w:rPr>
        <w:footnoteRef/>
      </w:r>
      <w:r>
        <w:t xml:space="preserve"> Sierra Club’s membership numbers are based on data from August 2017. This number is higher than the approximately 26,000 members cited in Sierra Club’s petition to intervene, which was based on data from December 2016. </w:t>
      </w:r>
    </w:p>
  </w:footnote>
  <w:footnote w:id="2">
    <w:p w14:paraId="3D8CC251" w14:textId="06E8CB1E" w:rsidR="002663EE" w:rsidRDefault="002663EE" w:rsidP="003F0FDB">
      <w:pPr>
        <w:pStyle w:val="FootnoteText"/>
        <w:ind w:left="0"/>
      </w:pPr>
      <w:r>
        <w:rPr>
          <w:rStyle w:val="FootnoteReference"/>
        </w:rPr>
        <w:footnoteRef/>
      </w:r>
      <w:r>
        <w:t xml:space="preserve"> EDH-1T at 32. </w:t>
      </w:r>
    </w:p>
  </w:footnote>
  <w:footnote w:id="3">
    <w:p w14:paraId="613CC37D" w14:textId="77777777" w:rsidR="002663EE" w:rsidRDefault="002663EE" w:rsidP="00642D64">
      <w:pPr>
        <w:pStyle w:val="FootnoteText"/>
        <w:ind w:left="0"/>
      </w:pPr>
      <w:r>
        <w:rPr>
          <w:rStyle w:val="FootnoteReference"/>
        </w:rPr>
        <w:footnoteRef/>
      </w:r>
      <w:r>
        <w:t xml:space="preserve"> Available at </w:t>
      </w:r>
      <w:r w:rsidRPr="00711105">
        <w:t>http://www.governor.wa.gov/sites/default/files/exe_order/eo_14-04.pdf</w:t>
      </w:r>
      <w:r>
        <w:t xml:space="preserve">. </w:t>
      </w:r>
    </w:p>
  </w:footnote>
  <w:footnote w:id="4">
    <w:p w14:paraId="73247949" w14:textId="77777777" w:rsidR="002663EE" w:rsidRDefault="002663EE" w:rsidP="00642D64">
      <w:pPr>
        <w:pStyle w:val="FootnoteText"/>
        <w:ind w:left="0"/>
      </w:pPr>
      <w:r>
        <w:rPr>
          <w:rStyle w:val="FootnoteReference"/>
        </w:rPr>
        <w:footnoteRef/>
      </w:r>
      <w:r>
        <w:t xml:space="preserve"> Ibid, pp. 2-3.</w:t>
      </w:r>
    </w:p>
  </w:footnote>
  <w:footnote w:id="5">
    <w:p w14:paraId="594DCE6B" w14:textId="77777777" w:rsidR="002663EE" w:rsidRDefault="002663EE" w:rsidP="00642D64">
      <w:pPr>
        <w:pStyle w:val="FootnoteText"/>
        <w:ind w:left="0"/>
      </w:pPr>
      <w:r>
        <w:rPr>
          <w:rStyle w:val="FootnoteReference"/>
        </w:rPr>
        <w:footnoteRef/>
      </w:r>
      <w:r>
        <w:t xml:space="preserve"> Ibid, p. 4.</w:t>
      </w:r>
    </w:p>
  </w:footnote>
  <w:footnote w:id="6">
    <w:p w14:paraId="54202275" w14:textId="4D4FB39A" w:rsidR="002663EE" w:rsidRDefault="002663EE" w:rsidP="003F0FDB">
      <w:pPr>
        <w:pStyle w:val="FootnoteText"/>
        <w:ind w:left="0"/>
      </w:pPr>
      <w:r>
        <w:rPr>
          <w:rStyle w:val="FootnoteReference"/>
        </w:rPr>
        <w:footnoteRef/>
      </w:r>
      <w:r>
        <w:t xml:space="preserve"> EDH-1T at 35.</w:t>
      </w:r>
    </w:p>
  </w:footnote>
  <w:footnote w:id="7">
    <w:p w14:paraId="58E88EC3" w14:textId="2FF19E8A" w:rsidR="002663EE" w:rsidRDefault="002663EE" w:rsidP="003F0FDB">
      <w:pPr>
        <w:pStyle w:val="FootnoteText"/>
        <w:ind w:left="0"/>
      </w:pPr>
      <w:r>
        <w:rPr>
          <w:rStyle w:val="FootnoteReference"/>
        </w:rPr>
        <w:footnoteRef/>
      </w:r>
      <w:r>
        <w:t xml:space="preserve"> Id.</w:t>
      </w:r>
    </w:p>
  </w:footnote>
  <w:footnote w:id="8">
    <w:p w14:paraId="5FD119A9" w14:textId="635BE2CE" w:rsidR="002663EE" w:rsidRDefault="002663EE" w:rsidP="003F0FDB">
      <w:pPr>
        <w:pStyle w:val="FootnoteText"/>
        <w:ind w:left="0"/>
      </w:pPr>
      <w:r>
        <w:rPr>
          <w:rStyle w:val="FootnoteReference"/>
        </w:rPr>
        <w:footnoteRef/>
      </w:r>
      <w:r>
        <w:t xml:space="preserve"> Avista 2017 Integrated Resource Plan at p. 12-4. </w:t>
      </w:r>
    </w:p>
  </w:footnote>
  <w:footnote w:id="9">
    <w:p w14:paraId="66C31296" w14:textId="566C94E3" w:rsidR="002663EE" w:rsidRDefault="002663EE" w:rsidP="003F0FDB">
      <w:pPr>
        <w:pStyle w:val="FootnoteText"/>
        <w:ind w:left="0"/>
      </w:pPr>
      <w:r>
        <w:rPr>
          <w:rStyle w:val="FootnoteReference"/>
        </w:rPr>
        <w:footnoteRef/>
      </w:r>
      <w:r>
        <w:t xml:space="preserve"> EDH-1T at </w:t>
      </w:r>
      <w:r w:rsidR="005F5B6E">
        <w:t>p</w:t>
      </w:r>
      <w:r>
        <w:t>p. 25-31.</w:t>
      </w:r>
    </w:p>
  </w:footnote>
  <w:footnote w:id="10">
    <w:p w14:paraId="09D1349D" w14:textId="0BB61A8F" w:rsidR="002663EE" w:rsidRDefault="002663EE" w:rsidP="003F0FDB">
      <w:pPr>
        <w:pStyle w:val="FootnoteText"/>
        <w:ind w:left="0"/>
      </w:pPr>
      <w:r>
        <w:rPr>
          <w:rStyle w:val="FootnoteReference"/>
        </w:rPr>
        <w:footnoteRef/>
      </w:r>
      <w:r>
        <w:t xml:space="preserve"> See page 53 of presentation available here: </w:t>
      </w:r>
      <w:r w:rsidRPr="005203BB">
        <w:t>https://pse.com/aboutpse/EnergySupply/Documents/01_PSE_2017_IRPAG_DRAFT_August%2011_2017_UPDATED.pdf</w:t>
      </w:r>
      <w:r>
        <w:t xml:space="preserve"> </w:t>
      </w:r>
    </w:p>
  </w:footnote>
  <w:footnote w:id="11">
    <w:p w14:paraId="43E66423" w14:textId="549E4D04" w:rsidR="002663EE" w:rsidRDefault="002663EE" w:rsidP="003F0FDB">
      <w:pPr>
        <w:pStyle w:val="FootnoteText"/>
        <w:ind w:left="0"/>
      </w:pPr>
      <w:r>
        <w:rPr>
          <w:rStyle w:val="FootnoteReference"/>
        </w:rPr>
        <w:footnoteRef/>
      </w:r>
      <w:r>
        <w:t xml:space="preserve"> Investigation Report, UE-151500 at p.11.</w:t>
      </w:r>
    </w:p>
  </w:footnote>
  <w:footnote w:id="12">
    <w:p w14:paraId="013D8502" w14:textId="0C3771C8" w:rsidR="002663EE" w:rsidRDefault="002663EE" w:rsidP="003F0FDB">
      <w:pPr>
        <w:pStyle w:val="FootnoteText"/>
        <w:ind w:left="0"/>
      </w:pPr>
      <w:r>
        <w:rPr>
          <w:rStyle w:val="FootnoteReference"/>
        </w:rPr>
        <w:footnoteRef/>
      </w:r>
      <w:r>
        <w:t xml:space="preserve"> See page 53 of presentation available here: </w:t>
      </w:r>
      <w:r w:rsidRPr="005203BB">
        <w:t>https://pse.com/aboutpse/EnergySupply/Documents/01_PSE_2017_IRPAG_DRAFT_August%2011_2017_UPDATED.pdf</w:t>
      </w:r>
    </w:p>
  </w:footnote>
  <w:footnote w:id="13">
    <w:p w14:paraId="5A65A2BB" w14:textId="599F8697" w:rsidR="002663EE" w:rsidRPr="005F5B6E" w:rsidRDefault="002663EE" w:rsidP="005F5B6E">
      <w:pPr>
        <w:pStyle w:val="FootnoteText"/>
        <w:ind w:left="0"/>
        <w:rPr>
          <w:b/>
        </w:rPr>
      </w:pPr>
      <w:r>
        <w:rPr>
          <w:rStyle w:val="FootnoteReference"/>
        </w:rPr>
        <w:footnoteRef/>
      </w:r>
      <w:r>
        <w:t xml:space="preserve"> Westmoreland Coal’s 2016 10-k. </w:t>
      </w:r>
      <w:r w:rsidRPr="00B516AE">
        <w:t>A</w:t>
      </w:r>
      <w:r w:rsidRPr="00F56A0F">
        <w:t>vailable at: https://www.sec.gov/Archives/edgar/data/106455/000010645517000012/wlb-123116_10k.htm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B734" w14:textId="77777777" w:rsidR="00E5703A" w:rsidRDefault="00E57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DFAA8" w14:textId="77777777" w:rsidR="00E5703A" w:rsidRDefault="00E57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E222" w14:textId="77777777" w:rsidR="002663EE" w:rsidRDefault="002663EE" w:rsidP="00C2456A">
    <w:pPr>
      <w:pStyle w:val="Footer"/>
      <w:ind w:left="1440"/>
      <w:rPr>
        <w:caps w:val="0"/>
        <w:sz w:val="22"/>
      </w:rPr>
    </w:pPr>
    <w:r>
      <w:rPr>
        <w:caps w:val="0"/>
        <w:sz w:val="22"/>
      </w:rPr>
      <w:t>Docket UE-130033/UG-130034</w:t>
    </w:r>
    <w:r>
      <w:rPr>
        <w:caps w:val="0"/>
        <w:sz w:val="22"/>
      </w:rPr>
      <w:tab/>
    </w:r>
  </w:p>
  <w:p w14:paraId="7D27111F" w14:textId="77777777" w:rsidR="002663EE" w:rsidRDefault="002663EE" w:rsidP="00C2456A">
    <w:pPr>
      <w:pStyle w:val="Footer"/>
      <w:ind w:left="1440"/>
      <w:rPr>
        <w:caps w:val="0"/>
        <w:sz w:val="22"/>
      </w:rPr>
    </w:pPr>
    <w:r w:rsidRPr="00D178C8">
      <w:rPr>
        <w:caps w:val="0"/>
        <w:sz w:val="22"/>
      </w:rPr>
      <w:t>Response Testimony of Ezra D. Hausman</w:t>
    </w:r>
    <w:r>
      <w:rPr>
        <w:caps w:val="0"/>
        <w:sz w:val="22"/>
      </w:rPr>
      <w:tab/>
    </w:r>
    <w:r>
      <w:rPr>
        <w:caps w:val="0"/>
        <w:sz w:val="22"/>
      </w:rPr>
      <w:tab/>
    </w:r>
    <w:r>
      <w:rPr>
        <w:caps w:val="0"/>
        <w:sz w:val="22"/>
      </w:rPr>
      <w:tab/>
    </w:r>
    <w:r>
      <w:rPr>
        <w:caps w:val="0"/>
        <w:sz w:val="22"/>
      </w:rPr>
      <w:tab/>
    </w:r>
    <w:r>
      <w:rPr>
        <w:caps w:val="0"/>
        <w:sz w:val="22"/>
      </w:rPr>
      <w:tab/>
    </w:r>
  </w:p>
  <w:p w14:paraId="0AC26A0B" w14:textId="5EC8CAF8" w:rsidR="002663EE" w:rsidRDefault="002663EE" w:rsidP="00C2456A">
    <w:pPr>
      <w:pStyle w:val="Footer"/>
      <w:ind w:left="1440"/>
      <w:rPr>
        <w:caps w:val="0"/>
        <w:sz w:val="22"/>
      </w:rPr>
    </w:pPr>
    <w:r>
      <w:rPr>
        <w:caps w:val="0"/>
        <w:sz w:val="22"/>
      </w:rPr>
      <w:t>Exhibit EDH-1T</w:t>
    </w:r>
  </w:p>
  <w:p w14:paraId="5F6AD6C0" w14:textId="1A5E0B7C" w:rsidR="002663EE" w:rsidRPr="007C3944" w:rsidRDefault="002663EE" w:rsidP="00C2456A">
    <w:pPr>
      <w:pStyle w:val="Footer"/>
      <w:ind w:left="1440"/>
      <w:rPr>
        <w:caps w:val="0"/>
        <w:sz w:val="22"/>
      </w:rPr>
    </w:pPr>
    <w:r w:rsidRPr="00D178C8">
      <w:rPr>
        <w:caps w:val="0"/>
        <w:sz w:val="22"/>
      </w:rPr>
      <w:t xml:space="preserve">Page </w:t>
    </w:r>
    <w:r w:rsidRPr="00D178C8">
      <w:rPr>
        <w:caps w:val="0"/>
        <w:sz w:val="22"/>
      </w:rPr>
      <w:fldChar w:fldCharType="begin"/>
    </w:r>
    <w:r w:rsidRPr="00D178C8">
      <w:rPr>
        <w:caps w:val="0"/>
        <w:sz w:val="22"/>
      </w:rPr>
      <w:instrText xml:space="preserve"> PAGE  \* Arabic  \* MERGEFORMAT </w:instrText>
    </w:r>
    <w:r w:rsidRPr="00D178C8">
      <w:rPr>
        <w:caps w:val="0"/>
        <w:sz w:val="22"/>
      </w:rPr>
      <w:fldChar w:fldCharType="separate"/>
    </w:r>
    <w:r>
      <w:rPr>
        <w:caps w:val="0"/>
        <w:noProof/>
        <w:sz w:val="22"/>
      </w:rPr>
      <w:t>1</w:t>
    </w:r>
    <w:r w:rsidRPr="00D178C8">
      <w:rPr>
        <w:caps w:val="0"/>
        <w:sz w:val="22"/>
      </w:rPr>
      <w:fldChar w:fldCharType="end"/>
    </w:r>
    <w:r w:rsidRPr="00D178C8">
      <w:rPr>
        <w:caps w:val="0"/>
        <w:sz w:val="22"/>
      </w:rPr>
      <w:t xml:space="preserve"> of </w:t>
    </w:r>
    <w:r w:rsidRPr="00D178C8">
      <w:rPr>
        <w:caps w:val="0"/>
        <w:sz w:val="22"/>
      </w:rPr>
      <w:fldChar w:fldCharType="begin"/>
    </w:r>
    <w:r w:rsidRPr="00D178C8">
      <w:rPr>
        <w:caps w:val="0"/>
        <w:sz w:val="22"/>
      </w:rPr>
      <w:instrText xml:space="preserve"> NUMPAGES   \* MERGEFORMAT </w:instrText>
    </w:r>
    <w:r w:rsidRPr="00D178C8">
      <w:rPr>
        <w:caps w:val="0"/>
        <w:sz w:val="22"/>
      </w:rPr>
      <w:fldChar w:fldCharType="separate"/>
    </w:r>
    <w:r w:rsidR="000B0C81">
      <w:rPr>
        <w:caps w:val="0"/>
        <w:noProof/>
        <w:sz w:val="22"/>
      </w:rPr>
      <w:t>20</w:t>
    </w:r>
    <w:r w:rsidRPr="00D178C8">
      <w:rPr>
        <w:caps w:val="0"/>
        <w:sz w:val="22"/>
      </w:rPr>
      <w:fldChar w:fldCharType="end"/>
    </w:r>
  </w:p>
  <w:p w14:paraId="6865A546" w14:textId="77777777" w:rsidR="002663EE" w:rsidRDefault="002663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3846" w14:textId="335325DD" w:rsidR="002663EE" w:rsidRDefault="002663EE" w:rsidP="00C2456A">
    <w:pPr>
      <w:pStyle w:val="Footer"/>
      <w:ind w:left="5760"/>
      <w:jc w:val="right"/>
      <w:rPr>
        <w:caps w:val="0"/>
        <w:sz w:val="22"/>
      </w:rPr>
    </w:pPr>
    <w:r>
      <w:rPr>
        <w:caps w:val="0"/>
        <w:sz w:val="22"/>
      </w:rPr>
      <w:t>Docket UE-170033/UG-170034</w:t>
    </w:r>
  </w:p>
  <w:p w14:paraId="2120933F" w14:textId="2544B285" w:rsidR="002663EE" w:rsidRDefault="002663EE" w:rsidP="00C2456A">
    <w:pPr>
      <w:pStyle w:val="Footer"/>
      <w:ind w:left="5040"/>
      <w:jc w:val="right"/>
      <w:rPr>
        <w:caps w:val="0"/>
        <w:sz w:val="22"/>
      </w:rPr>
    </w:pPr>
    <w:r>
      <w:rPr>
        <w:caps w:val="0"/>
        <w:sz w:val="22"/>
      </w:rPr>
      <w:t>Testimony of Douglas H. Howell</w:t>
    </w:r>
  </w:p>
  <w:p w14:paraId="79BDAC1A" w14:textId="49B178B3" w:rsidR="002663EE" w:rsidRDefault="002663EE" w:rsidP="00C2456A">
    <w:pPr>
      <w:pStyle w:val="Footer"/>
      <w:ind w:left="7200"/>
      <w:jc w:val="right"/>
      <w:rPr>
        <w:caps w:val="0"/>
        <w:sz w:val="22"/>
      </w:rPr>
    </w:pPr>
    <w:r>
      <w:rPr>
        <w:caps w:val="0"/>
        <w:sz w:val="22"/>
      </w:rPr>
      <w:t>Exhibit DHH-1T</w:t>
    </w:r>
  </w:p>
  <w:p w14:paraId="7C8067F0" w14:textId="4D497716" w:rsidR="002663EE" w:rsidRDefault="002663EE" w:rsidP="00C2456A">
    <w:pPr>
      <w:pStyle w:val="Footer"/>
      <w:ind w:left="7200" w:firstLine="720"/>
      <w:jc w:val="right"/>
      <w:rPr>
        <w:caps w:val="0"/>
        <w:noProof/>
        <w:sz w:val="22"/>
      </w:rPr>
    </w:pPr>
    <w:r>
      <w:rPr>
        <w:caps w:val="0"/>
        <w:sz w:val="22"/>
      </w:rPr>
      <w:t xml:space="preserve">Page </w:t>
    </w:r>
    <w:r w:rsidRPr="00C2456A">
      <w:rPr>
        <w:caps w:val="0"/>
        <w:sz w:val="22"/>
      </w:rPr>
      <w:fldChar w:fldCharType="begin"/>
    </w:r>
    <w:r w:rsidRPr="00C2456A">
      <w:rPr>
        <w:caps w:val="0"/>
        <w:sz w:val="22"/>
      </w:rPr>
      <w:instrText xml:space="preserve"> PAGE   \* MERGEFORMAT </w:instrText>
    </w:r>
    <w:r w:rsidRPr="00C2456A">
      <w:rPr>
        <w:caps w:val="0"/>
        <w:sz w:val="22"/>
      </w:rPr>
      <w:fldChar w:fldCharType="separate"/>
    </w:r>
    <w:r w:rsidR="0002246E">
      <w:rPr>
        <w:caps w:val="0"/>
        <w:noProof/>
        <w:sz w:val="22"/>
      </w:rPr>
      <w:t>i</w:t>
    </w:r>
    <w:r w:rsidRPr="00C2456A">
      <w:rPr>
        <w:caps w:val="0"/>
        <w:noProof/>
        <w:sz w:val="22"/>
      </w:rPr>
      <w:fldChar w:fldCharType="end"/>
    </w:r>
  </w:p>
  <w:p w14:paraId="79E9B5C8" w14:textId="77777777" w:rsidR="002663EE" w:rsidRPr="007C3944" w:rsidRDefault="002663EE" w:rsidP="00C2456A">
    <w:pPr>
      <w:pStyle w:val="Footer"/>
      <w:ind w:left="7200" w:firstLine="720"/>
      <w:jc w:val="right"/>
      <w:rPr>
        <w:caps w:val="0"/>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E3BF" w14:textId="5BDEE64F" w:rsidR="002663EE" w:rsidRDefault="002663EE" w:rsidP="00C2456A">
    <w:pPr>
      <w:pStyle w:val="Footer"/>
      <w:ind w:left="5760"/>
      <w:jc w:val="right"/>
      <w:rPr>
        <w:caps w:val="0"/>
        <w:sz w:val="22"/>
      </w:rPr>
    </w:pPr>
    <w:r>
      <w:rPr>
        <w:caps w:val="0"/>
        <w:sz w:val="22"/>
      </w:rPr>
      <w:t>Docket UE-170033/UG-170034</w:t>
    </w:r>
  </w:p>
  <w:p w14:paraId="7938A88D" w14:textId="77777777" w:rsidR="00004D58" w:rsidRDefault="00004D58" w:rsidP="00004D58">
    <w:pPr>
      <w:pStyle w:val="Footer"/>
      <w:ind w:left="5040"/>
      <w:jc w:val="right"/>
      <w:rPr>
        <w:caps w:val="0"/>
        <w:sz w:val="22"/>
      </w:rPr>
    </w:pPr>
    <w:r>
      <w:rPr>
        <w:caps w:val="0"/>
        <w:sz w:val="22"/>
      </w:rPr>
      <w:t>Testimony of Douglas H. Howell</w:t>
    </w:r>
  </w:p>
  <w:p w14:paraId="6D280CD0" w14:textId="77777777" w:rsidR="00004D58" w:rsidRDefault="00004D58" w:rsidP="00004D58">
    <w:pPr>
      <w:pStyle w:val="Footer"/>
      <w:ind w:left="7200"/>
      <w:jc w:val="right"/>
      <w:rPr>
        <w:caps w:val="0"/>
        <w:sz w:val="22"/>
      </w:rPr>
    </w:pPr>
    <w:r>
      <w:rPr>
        <w:caps w:val="0"/>
        <w:sz w:val="22"/>
      </w:rPr>
      <w:t>Exhibit DHH-1T</w:t>
    </w:r>
  </w:p>
  <w:p w14:paraId="5F746691" w14:textId="33F68695" w:rsidR="002663EE" w:rsidRPr="007C3944" w:rsidRDefault="002663EE" w:rsidP="00C2456A">
    <w:pPr>
      <w:pStyle w:val="Footer"/>
      <w:ind w:left="7200" w:firstLine="720"/>
      <w:jc w:val="right"/>
      <w:rPr>
        <w:caps w:val="0"/>
        <w:sz w:val="22"/>
      </w:rPr>
    </w:pPr>
    <w:r w:rsidRPr="00D178C8">
      <w:rPr>
        <w:caps w:val="0"/>
        <w:sz w:val="22"/>
      </w:rPr>
      <w:t xml:space="preserve">Page </w:t>
    </w:r>
    <w:r w:rsidRPr="00D178C8">
      <w:rPr>
        <w:caps w:val="0"/>
        <w:sz w:val="22"/>
      </w:rPr>
      <w:fldChar w:fldCharType="begin"/>
    </w:r>
    <w:r w:rsidRPr="00D178C8">
      <w:rPr>
        <w:caps w:val="0"/>
        <w:sz w:val="22"/>
      </w:rPr>
      <w:instrText xml:space="preserve"> PAGE  \* Arabic  \* MERGEFORMAT </w:instrText>
    </w:r>
    <w:r w:rsidRPr="00D178C8">
      <w:rPr>
        <w:caps w:val="0"/>
        <w:sz w:val="22"/>
      </w:rPr>
      <w:fldChar w:fldCharType="separate"/>
    </w:r>
    <w:r w:rsidR="0002246E">
      <w:rPr>
        <w:caps w:val="0"/>
        <w:noProof/>
        <w:sz w:val="22"/>
      </w:rPr>
      <w:t>1</w:t>
    </w:r>
    <w:r w:rsidRPr="00D178C8">
      <w:rPr>
        <w:caps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CE8F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9ED2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101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83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58EE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3448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707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E5A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70B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89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46583"/>
    <w:multiLevelType w:val="hybridMultilevel"/>
    <w:tmpl w:val="63FC1E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3701A1"/>
    <w:multiLevelType w:val="hybridMultilevel"/>
    <w:tmpl w:val="7708001A"/>
    <w:lvl w:ilvl="0" w:tplc="AD2ACE9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686F04"/>
    <w:multiLevelType w:val="hybridMultilevel"/>
    <w:tmpl w:val="810E8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99C"/>
    <w:multiLevelType w:val="hybridMultilevel"/>
    <w:tmpl w:val="CCA2EA0C"/>
    <w:lvl w:ilvl="0" w:tplc="780AA85E">
      <w:start w:val="1"/>
      <w:numFmt w:val="bullet"/>
      <w:pStyle w:val="Answer"/>
      <w:lvlText w:val="A"/>
      <w:lvlJc w:val="left"/>
      <w:pPr>
        <w:tabs>
          <w:tab w:val="num" w:pos="720"/>
        </w:tabs>
        <w:ind w:left="720" w:hanging="720"/>
      </w:pPr>
      <w:rPr>
        <w:rFonts w:ascii="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778F4"/>
    <w:multiLevelType w:val="hybridMultilevel"/>
    <w:tmpl w:val="190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B0236"/>
    <w:multiLevelType w:val="hybridMultilevel"/>
    <w:tmpl w:val="A1B07AF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8909A3"/>
    <w:multiLevelType w:val="hybridMultilevel"/>
    <w:tmpl w:val="BA18AD1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B54726"/>
    <w:multiLevelType w:val="hybridMultilevel"/>
    <w:tmpl w:val="40264F96"/>
    <w:lvl w:ilvl="0" w:tplc="C046E296">
      <w:start w:val="1"/>
      <w:numFmt w:val="upperRoman"/>
      <w:pStyle w:val="Heading1"/>
      <w:lvlText w:val="%1."/>
      <w:lvlJc w:val="right"/>
      <w:pPr>
        <w:ind w:left="720" w:hanging="360"/>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62685"/>
    <w:multiLevelType w:val="hybridMultilevel"/>
    <w:tmpl w:val="03F40076"/>
    <w:lvl w:ilvl="0" w:tplc="D38636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51517"/>
    <w:multiLevelType w:val="hybridMultilevel"/>
    <w:tmpl w:val="8744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43008"/>
    <w:multiLevelType w:val="hybridMultilevel"/>
    <w:tmpl w:val="C5D6183A"/>
    <w:lvl w:ilvl="0" w:tplc="A9128856">
      <w:start w:val="1"/>
      <w:numFmt w:val="decimal"/>
      <w:lvlText w:val="%1."/>
      <w:lvlJc w:val="left"/>
      <w:pPr>
        <w:ind w:left="2160" w:hanging="360"/>
      </w:pPr>
      <w:rPr>
        <w:rFonts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C29540B"/>
    <w:multiLevelType w:val="hybridMultilevel"/>
    <w:tmpl w:val="30AC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12A8B"/>
    <w:multiLevelType w:val="hybridMultilevel"/>
    <w:tmpl w:val="C5D6183A"/>
    <w:lvl w:ilvl="0" w:tplc="A9128856">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4"/>
  </w:num>
  <w:num w:numId="14">
    <w:abstractNumId w:val="18"/>
  </w:num>
  <w:num w:numId="15">
    <w:abstractNumId w:val="17"/>
    <w:lvlOverride w:ilvl="0">
      <w:startOverride w:val="1"/>
    </w:lvlOverride>
  </w:num>
  <w:num w:numId="16">
    <w:abstractNumId w:val="17"/>
  </w:num>
  <w:num w:numId="17">
    <w:abstractNumId w:val="11"/>
  </w:num>
  <w:num w:numId="18">
    <w:abstractNumId w:val="20"/>
  </w:num>
  <w:num w:numId="19">
    <w:abstractNumId w:val="12"/>
  </w:num>
  <w:num w:numId="20">
    <w:abstractNumId w:val="10"/>
  </w:num>
  <w:num w:numId="21">
    <w:abstractNumId w:val="17"/>
  </w:num>
  <w:num w:numId="22">
    <w:abstractNumId w:val="15"/>
  </w:num>
  <w:num w:numId="23">
    <w:abstractNumId w:val="11"/>
  </w:num>
  <w:num w:numId="24">
    <w:abstractNumId w:val="22"/>
  </w:num>
  <w:num w:numId="25">
    <w:abstractNumId w:val="13"/>
  </w:num>
  <w:num w:numId="26">
    <w:abstractNumId w:val="19"/>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8C"/>
    <w:rsid w:val="000035CA"/>
    <w:rsid w:val="000037B6"/>
    <w:rsid w:val="00004D58"/>
    <w:rsid w:val="00006C83"/>
    <w:rsid w:val="00011936"/>
    <w:rsid w:val="00021893"/>
    <w:rsid w:val="0002246E"/>
    <w:rsid w:val="0002442F"/>
    <w:rsid w:val="000359F1"/>
    <w:rsid w:val="00035B10"/>
    <w:rsid w:val="0004120E"/>
    <w:rsid w:val="00047E88"/>
    <w:rsid w:val="000551A6"/>
    <w:rsid w:val="00060D33"/>
    <w:rsid w:val="00061C9B"/>
    <w:rsid w:val="00062464"/>
    <w:rsid w:val="000629B7"/>
    <w:rsid w:val="00065798"/>
    <w:rsid w:val="00073292"/>
    <w:rsid w:val="00073ABE"/>
    <w:rsid w:val="00073B71"/>
    <w:rsid w:val="0007751C"/>
    <w:rsid w:val="00085EF6"/>
    <w:rsid w:val="00095007"/>
    <w:rsid w:val="00096A54"/>
    <w:rsid w:val="000A1751"/>
    <w:rsid w:val="000A502D"/>
    <w:rsid w:val="000B0C81"/>
    <w:rsid w:val="000B4358"/>
    <w:rsid w:val="000B649E"/>
    <w:rsid w:val="000D6B19"/>
    <w:rsid w:val="000E0987"/>
    <w:rsid w:val="000E3247"/>
    <w:rsid w:val="000E7D9B"/>
    <w:rsid w:val="000F0F33"/>
    <w:rsid w:val="000F4C4C"/>
    <w:rsid w:val="00103ADE"/>
    <w:rsid w:val="001061F0"/>
    <w:rsid w:val="00116930"/>
    <w:rsid w:val="001174AA"/>
    <w:rsid w:val="0012175D"/>
    <w:rsid w:val="001229AC"/>
    <w:rsid w:val="00125E4D"/>
    <w:rsid w:val="001273E4"/>
    <w:rsid w:val="00142E33"/>
    <w:rsid w:val="00144B91"/>
    <w:rsid w:val="00144F26"/>
    <w:rsid w:val="00150128"/>
    <w:rsid w:val="00150938"/>
    <w:rsid w:val="001519D7"/>
    <w:rsid w:val="00157A86"/>
    <w:rsid w:val="001640AC"/>
    <w:rsid w:val="001641D7"/>
    <w:rsid w:val="001715A7"/>
    <w:rsid w:val="001717BE"/>
    <w:rsid w:val="00174A74"/>
    <w:rsid w:val="00177DFA"/>
    <w:rsid w:val="001809FB"/>
    <w:rsid w:val="001905DC"/>
    <w:rsid w:val="001A47DA"/>
    <w:rsid w:val="001B408F"/>
    <w:rsid w:val="001B4925"/>
    <w:rsid w:val="001C4199"/>
    <w:rsid w:val="001C461F"/>
    <w:rsid w:val="001D0412"/>
    <w:rsid w:val="001D1AB6"/>
    <w:rsid w:val="001D70F2"/>
    <w:rsid w:val="001D7BB8"/>
    <w:rsid w:val="001D7D2A"/>
    <w:rsid w:val="001E19A3"/>
    <w:rsid w:val="001E341B"/>
    <w:rsid w:val="001E5CF8"/>
    <w:rsid w:val="001F3FA3"/>
    <w:rsid w:val="001F5A17"/>
    <w:rsid w:val="00200AD9"/>
    <w:rsid w:val="00204EA4"/>
    <w:rsid w:val="002057D2"/>
    <w:rsid w:val="002066E8"/>
    <w:rsid w:val="00210140"/>
    <w:rsid w:val="00213330"/>
    <w:rsid w:val="00223BF5"/>
    <w:rsid w:val="00223D1E"/>
    <w:rsid w:val="0022574C"/>
    <w:rsid w:val="00255D58"/>
    <w:rsid w:val="00264ABE"/>
    <w:rsid w:val="002663EE"/>
    <w:rsid w:val="00267092"/>
    <w:rsid w:val="002716F5"/>
    <w:rsid w:val="00276988"/>
    <w:rsid w:val="00280D0F"/>
    <w:rsid w:val="0028115D"/>
    <w:rsid w:val="00281A22"/>
    <w:rsid w:val="002957DD"/>
    <w:rsid w:val="002C6D0A"/>
    <w:rsid w:val="002C6E3F"/>
    <w:rsid w:val="002E18EB"/>
    <w:rsid w:val="002F36AB"/>
    <w:rsid w:val="002F4D63"/>
    <w:rsid w:val="002F542B"/>
    <w:rsid w:val="003077DE"/>
    <w:rsid w:val="00307EC7"/>
    <w:rsid w:val="00315031"/>
    <w:rsid w:val="00316B4B"/>
    <w:rsid w:val="003210D2"/>
    <w:rsid w:val="00331AC7"/>
    <w:rsid w:val="00332D67"/>
    <w:rsid w:val="003416D0"/>
    <w:rsid w:val="00342013"/>
    <w:rsid w:val="00344376"/>
    <w:rsid w:val="00355F2F"/>
    <w:rsid w:val="00363818"/>
    <w:rsid w:val="003657DC"/>
    <w:rsid w:val="00367190"/>
    <w:rsid w:val="00370496"/>
    <w:rsid w:val="00372AEF"/>
    <w:rsid w:val="003758E9"/>
    <w:rsid w:val="00384B0F"/>
    <w:rsid w:val="00387EB4"/>
    <w:rsid w:val="00392898"/>
    <w:rsid w:val="00392C17"/>
    <w:rsid w:val="00394EFC"/>
    <w:rsid w:val="003963E6"/>
    <w:rsid w:val="003A1601"/>
    <w:rsid w:val="003A213F"/>
    <w:rsid w:val="003A24F2"/>
    <w:rsid w:val="003A299E"/>
    <w:rsid w:val="003A3443"/>
    <w:rsid w:val="003A3CA3"/>
    <w:rsid w:val="003A45C0"/>
    <w:rsid w:val="003A617C"/>
    <w:rsid w:val="003B5F90"/>
    <w:rsid w:val="003B6734"/>
    <w:rsid w:val="003C3E70"/>
    <w:rsid w:val="003C51DD"/>
    <w:rsid w:val="003D224A"/>
    <w:rsid w:val="003F0FDB"/>
    <w:rsid w:val="0040180A"/>
    <w:rsid w:val="00404C9A"/>
    <w:rsid w:val="004111F2"/>
    <w:rsid w:val="004136AE"/>
    <w:rsid w:val="004306EB"/>
    <w:rsid w:val="00430D13"/>
    <w:rsid w:val="0043134B"/>
    <w:rsid w:val="00431D5C"/>
    <w:rsid w:val="00441A8D"/>
    <w:rsid w:val="00447B1A"/>
    <w:rsid w:val="00453ADD"/>
    <w:rsid w:val="00455066"/>
    <w:rsid w:val="004553CA"/>
    <w:rsid w:val="00457388"/>
    <w:rsid w:val="00457D8C"/>
    <w:rsid w:val="00474AB1"/>
    <w:rsid w:val="0048016C"/>
    <w:rsid w:val="004844CC"/>
    <w:rsid w:val="004A2F13"/>
    <w:rsid w:val="004A4492"/>
    <w:rsid w:val="004C752B"/>
    <w:rsid w:val="004D6011"/>
    <w:rsid w:val="004E10D0"/>
    <w:rsid w:val="004F7D0D"/>
    <w:rsid w:val="00500995"/>
    <w:rsid w:val="00507B4F"/>
    <w:rsid w:val="005106A3"/>
    <w:rsid w:val="00513130"/>
    <w:rsid w:val="005203BB"/>
    <w:rsid w:val="00536251"/>
    <w:rsid w:val="0055122C"/>
    <w:rsid w:val="00553E24"/>
    <w:rsid w:val="00554DA8"/>
    <w:rsid w:val="00560E14"/>
    <w:rsid w:val="0057037A"/>
    <w:rsid w:val="00575246"/>
    <w:rsid w:val="00581FFB"/>
    <w:rsid w:val="00592C31"/>
    <w:rsid w:val="0059382A"/>
    <w:rsid w:val="00595A8C"/>
    <w:rsid w:val="00596310"/>
    <w:rsid w:val="005A215D"/>
    <w:rsid w:val="005B534C"/>
    <w:rsid w:val="005C12CE"/>
    <w:rsid w:val="005C7076"/>
    <w:rsid w:val="005D4635"/>
    <w:rsid w:val="005D4A61"/>
    <w:rsid w:val="005E13D5"/>
    <w:rsid w:val="005E1569"/>
    <w:rsid w:val="005E208B"/>
    <w:rsid w:val="005E4FE9"/>
    <w:rsid w:val="005F5836"/>
    <w:rsid w:val="005F5B6E"/>
    <w:rsid w:val="005F662C"/>
    <w:rsid w:val="00607A56"/>
    <w:rsid w:val="0061160E"/>
    <w:rsid w:val="006221D1"/>
    <w:rsid w:val="006237B8"/>
    <w:rsid w:val="0062787C"/>
    <w:rsid w:val="00630F78"/>
    <w:rsid w:val="00631E45"/>
    <w:rsid w:val="006376A6"/>
    <w:rsid w:val="00642BA5"/>
    <w:rsid w:val="00642D64"/>
    <w:rsid w:val="006431D6"/>
    <w:rsid w:val="006442A5"/>
    <w:rsid w:val="0064569A"/>
    <w:rsid w:val="00655377"/>
    <w:rsid w:val="0065687A"/>
    <w:rsid w:val="006571FD"/>
    <w:rsid w:val="00660E4A"/>
    <w:rsid w:val="0066562C"/>
    <w:rsid w:val="0068204E"/>
    <w:rsid w:val="0068247A"/>
    <w:rsid w:val="00682AE3"/>
    <w:rsid w:val="00684AFC"/>
    <w:rsid w:val="00696119"/>
    <w:rsid w:val="006A0240"/>
    <w:rsid w:val="006B397C"/>
    <w:rsid w:val="006C1EA6"/>
    <w:rsid w:val="006C2C0B"/>
    <w:rsid w:val="006C4F8E"/>
    <w:rsid w:val="006D7E54"/>
    <w:rsid w:val="006E1008"/>
    <w:rsid w:val="006E3088"/>
    <w:rsid w:val="006F25C6"/>
    <w:rsid w:val="00701357"/>
    <w:rsid w:val="00706785"/>
    <w:rsid w:val="007068A8"/>
    <w:rsid w:val="0070715A"/>
    <w:rsid w:val="00711105"/>
    <w:rsid w:val="00712576"/>
    <w:rsid w:val="00720036"/>
    <w:rsid w:val="007228D2"/>
    <w:rsid w:val="00724053"/>
    <w:rsid w:val="00724EF8"/>
    <w:rsid w:val="00730E00"/>
    <w:rsid w:val="00735557"/>
    <w:rsid w:val="00741D80"/>
    <w:rsid w:val="00751103"/>
    <w:rsid w:val="00753071"/>
    <w:rsid w:val="0075597A"/>
    <w:rsid w:val="00757276"/>
    <w:rsid w:val="0076027B"/>
    <w:rsid w:val="00765DF3"/>
    <w:rsid w:val="0077184B"/>
    <w:rsid w:val="0078063D"/>
    <w:rsid w:val="00793E47"/>
    <w:rsid w:val="0079557C"/>
    <w:rsid w:val="007B0950"/>
    <w:rsid w:val="007B63DF"/>
    <w:rsid w:val="007B6B4A"/>
    <w:rsid w:val="007C06BB"/>
    <w:rsid w:val="007C142A"/>
    <w:rsid w:val="007C3944"/>
    <w:rsid w:val="007D31CC"/>
    <w:rsid w:val="007D4E2D"/>
    <w:rsid w:val="007E4687"/>
    <w:rsid w:val="007E64F0"/>
    <w:rsid w:val="007F25D0"/>
    <w:rsid w:val="007F510A"/>
    <w:rsid w:val="007F60B2"/>
    <w:rsid w:val="007F734C"/>
    <w:rsid w:val="00806DAC"/>
    <w:rsid w:val="0081056D"/>
    <w:rsid w:val="008115B4"/>
    <w:rsid w:val="008139C8"/>
    <w:rsid w:val="00820DF6"/>
    <w:rsid w:val="008263BF"/>
    <w:rsid w:val="008265D7"/>
    <w:rsid w:val="00826E27"/>
    <w:rsid w:val="00832986"/>
    <w:rsid w:val="00832DD0"/>
    <w:rsid w:val="008353CD"/>
    <w:rsid w:val="00835F40"/>
    <w:rsid w:val="00837778"/>
    <w:rsid w:val="0084274F"/>
    <w:rsid w:val="0084724C"/>
    <w:rsid w:val="0085237A"/>
    <w:rsid w:val="00852696"/>
    <w:rsid w:val="00853577"/>
    <w:rsid w:val="00856191"/>
    <w:rsid w:val="00860F6A"/>
    <w:rsid w:val="008636BB"/>
    <w:rsid w:val="0086657D"/>
    <w:rsid w:val="00872E0D"/>
    <w:rsid w:val="0087523E"/>
    <w:rsid w:val="00876C38"/>
    <w:rsid w:val="00877784"/>
    <w:rsid w:val="00882621"/>
    <w:rsid w:val="008848CB"/>
    <w:rsid w:val="0088583F"/>
    <w:rsid w:val="0088746E"/>
    <w:rsid w:val="008875DF"/>
    <w:rsid w:val="0089371D"/>
    <w:rsid w:val="008A1EB1"/>
    <w:rsid w:val="008A22C4"/>
    <w:rsid w:val="008A63C5"/>
    <w:rsid w:val="008B201D"/>
    <w:rsid w:val="008B3568"/>
    <w:rsid w:val="008B3C7C"/>
    <w:rsid w:val="008B4E2D"/>
    <w:rsid w:val="008B663B"/>
    <w:rsid w:val="008C2148"/>
    <w:rsid w:val="008C7A77"/>
    <w:rsid w:val="008D0E36"/>
    <w:rsid w:val="008D4457"/>
    <w:rsid w:val="008D6F75"/>
    <w:rsid w:val="008E525A"/>
    <w:rsid w:val="008F5600"/>
    <w:rsid w:val="008F6C4F"/>
    <w:rsid w:val="008F6DE9"/>
    <w:rsid w:val="008F756A"/>
    <w:rsid w:val="00901501"/>
    <w:rsid w:val="009101C6"/>
    <w:rsid w:val="009253F0"/>
    <w:rsid w:val="0092584C"/>
    <w:rsid w:val="00930300"/>
    <w:rsid w:val="00930877"/>
    <w:rsid w:val="00932461"/>
    <w:rsid w:val="00936E83"/>
    <w:rsid w:val="00945C75"/>
    <w:rsid w:val="00946A70"/>
    <w:rsid w:val="00947D5B"/>
    <w:rsid w:val="0095353E"/>
    <w:rsid w:val="009543F5"/>
    <w:rsid w:val="0095545D"/>
    <w:rsid w:val="00957738"/>
    <w:rsid w:val="009611C3"/>
    <w:rsid w:val="0096156D"/>
    <w:rsid w:val="00961EEB"/>
    <w:rsid w:val="0096338D"/>
    <w:rsid w:val="00974E5F"/>
    <w:rsid w:val="00975A0A"/>
    <w:rsid w:val="00976073"/>
    <w:rsid w:val="00976316"/>
    <w:rsid w:val="00992E25"/>
    <w:rsid w:val="009A0EB2"/>
    <w:rsid w:val="009A1D6A"/>
    <w:rsid w:val="009A42F6"/>
    <w:rsid w:val="009A48D7"/>
    <w:rsid w:val="009B111A"/>
    <w:rsid w:val="009B181E"/>
    <w:rsid w:val="009B1C86"/>
    <w:rsid w:val="009B5B3D"/>
    <w:rsid w:val="009C51EB"/>
    <w:rsid w:val="009D3A25"/>
    <w:rsid w:val="009D51F4"/>
    <w:rsid w:val="009F0E6B"/>
    <w:rsid w:val="00A00734"/>
    <w:rsid w:val="00A018B5"/>
    <w:rsid w:val="00A02228"/>
    <w:rsid w:val="00A064AC"/>
    <w:rsid w:val="00A1256E"/>
    <w:rsid w:val="00A1795B"/>
    <w:rsid w:val="00A21129"/>
    <w:rsid w:val="00A22DAD"/>
    <w:rsid w:val="00A2358C"/>
    <w:rsid w:val="00A3056D"/>
    <w:rsid w:val="00A31713"/>
    <w:rsid w:val="00A32E31"/>
    <w:rsid w:val="00A35730"/>
    <w:rsid w:val="00A37D12"/>
    <w:rsid w:val="00A41564"/>
    <w:rsid w:val="00A45497"/>
    <w:rsid w:val="00A53F70"/>
    <w:rsid w:val="00A54773"/>
    <w:rsid w:val="00A64D02"/>
    <w:rsid w:val="00A7146E"/>
    <w:rsid w:val="00A72758"/>
    <w:rsid w:val="00A76DA0"/>
    <w:rsid w:val="00A801A7"/>
    <w:rsid w:val="00A81D31"/>
    <w:rsid w:val="00A828D7"/>
    <w:rsid w:val="00A91CEE"/>
    <w:rsid w:val="00AA0359"/>
    <w:rsid w:val="00AA18A6"/>
    <w:rsid w:val="00AA4766"/>
    <w:rsid w:val="00AA4E2F"/>
    <w:rsid w:val="00AB09BD"/>
    <w:rsid w:val="00AB4346"/>
    <w:rsid w:val="00AB4B36"/>
    <w:rsid w:val="00AB67FE"/>
    <w:rsid w:val="00AC4ED9"/>
    <w:rsid w:val="00AC7865"/>
    <w:rsid w:val="00AD2DF2"/>
    <w:rsid w:val="00AE0115"/>
    <w:rsid w:val="00AE1E32"/>
    <w:rsid w:val="00AE1FB2"/>
    <w:rsid w:val="00AE354F"/>
    <w:rsid w:val="00AE4219"/>
    <w:rsid w:val="00AE4B1E"/>
    <w:rsid w:val="00AE640A"/>
    <w:rsid w:val="00AF2FBD"/>
    <w:rsid w:val="00B013A3"/>
    <w:rsid w:val="00B33996"/>
    <w:rsid w:val="00B347A6"/>
    <w:rsid w:val="00B372EE"/>
    <w:rsid w:val="00B4040E"/>
    <w:rsid w:val="00B415A3"/>
    <w:rsid w:val="00B516AE"/>
    <w:rsid w:val="00B53742"/>
    <w:rsid w:val="00B54941"/>
    <w:rsid w:val="00B57408"/>
    <w:rsid w:val="00B714AB"/>
    <w:rsid w:val="00B71F07"/>
    <w:rsid w:val="00B73985"/>
    <w:rsid w:val="00B77C8D"/>
    <w:rsid w:val="00B81050"/>
    <w:rsid w:val="00B8638A"/>
    <w:rsid w:val="00B8703D"/>
    <w:rsid w:val="00B87713"/>
    <w:rsid w:val="00B90334"/>
    <w:rsid w:val="00B91BD1"/>
    <w:rsid w:val="00B942D4"/>
    <w:rsid w:val="00BB58D1"/>
    <w:rsid w:val="00BC79D3"/>
    <w:rsid w:val="00BD051A"/>
    <w:rsid w:val="00BE0069"/>
    <w:rsid w:val="00BE3B87"/>
    <w:rsid w:val="00BE48B0"/>
    <w:rsid w:val="00BF161D"/>
    <w:rsid w:val="00BF50F3"/>
    <w:rsid w:val="00BF5536"/>
    <w:rsid w:val="00C00DB7"/>
    <w:rsid w:val="00C030ED"/>
    <w:rsid w:val="00C12838"/>
    <w:rsid w:val="00C12DD3"/>
    <w:rsid w:val="00C12F33"/>
    <w:rsid w:val="00C13059"/>
    <w:rsid w:val="00C204EB"/>
    <w:rsid w:val="00C2456A"/>
    <w:rsid w:val="00C26684"/>
    <w:rsid w:val="00C3258D"/>
    <w:rsid w:val="00C35B21"/>
    <w:rsid w:val="00C3681F"/>
    <w:rsid w:val="00C45A59"/>
    <w:rsid w:val="00C52F21"/>
    <w:rsid w:val="00C54D8E"/>
    <w:rsid w:val="00C57B77"/>
    <w:rsid w:val="00C62878"/>
    <w:rsid w:val="00C64E8B"/>
    <w:rsid w:val="00C65052"/>
    <w:rsid w:val="00C65EC6"/>
    <w:rsid w:val="00C713F7"/>
    <w:rsid w:val="00C720E2"/>
    <w:rsid w:val="00C834E6"/>
    <w:rsid w:val="00C85E94"/>
    <w:rsid w:val="00C90F35"/>
    <w:rsid w:val="00C9430F"/>
    <w:rsid w:val="00C968BE"/>
    <w:rsid w:val="00CA47CA"/>
    <w:rsid w:val="00CD2A2E"/>
    <w:rsid w:val="00CD2A7F"/>
    <w:rsid w:val="00CD56FE"/>
    <w:rsid w:val="00CD5DDB"/>
    <w:rsid w:val="00CD6A07"/>
    <w:rsid w:val="00CE298D"/>
    <w:rsid w:val="00CE358F"/>
    <w:rsid w:val="00CE6A0F"/>
    <w:rsid w:val="00CF7CB4"/>
    <w:rsid w:val="00D015AB"/>
    <w:rsid w:val="00D01D74"/>
    <w:rsid w:val="00D024A8"/>
    <w:rsid w:val="00D037B7"/>
    <w:rsid w:val="00D05D3A"/>
    <w:rsid w:val="00D07EF8"/>
    <w:rsid w:val="00D1044D"/>
    <w:rsid w:val="00D1667E"/>
    <w:rsid w:val="00D178C8"/>
    <w:rsid w:val="00D22577"/>
    <w:rsid w:val="00D331CB"/>
    <w:rsid w:val="00D3531E"/>
    <w:rsid w:val="00D40985"/>
    <w:rsid w:val="00D40B82"/>
    <w:rsid w:val="00D53F57"/>
    <w:rsid w:val="00D54FD1"/>
    <w:rsid w:val="00D617BA"/>
    <w:rsid w:val="00D63329"/>
    <w:rsid w:val="00D63496"/>
    <w:rsid w:val="00D65250"/>
    <w:rsid w:val="00D67478"/>
    <w:rsid w:val="00D7511E"/>
    <w:rsid w:val="00D76A9A"/>
    <w:rsid w:val="00D775DD"/>
    <w:rsid w:val="00D82E01"/>
    <w:rsid w:val="00D85F9C"/>
    <w:rsid w:val="00D860DB"/>
    <w:rsid w:val="00D87317"/>
    <w:rsid w:val="00D8770C"/>
    <w:rsid w:val="00D9004D"/>
    <w:rsid w:val="00DB3B27"/>
    <w:rsid w:val="00DB587C"/>
    <w:rsid w:val="00DB61D2"/>
    <w:rsid w:val="00DC0233"/>
    <w:rsid w:val="00DC4A6C"/>
    <w:rsid w:val="00DC75D8"/>
    <w:rsid w:val="00DD38EF"/>
    <w:rsid w:val="00DD5EF7"/>
    <w:rsid w:val="00DE3EB0"/>
    <w:rsid w:val="00DE6358"/>
    <w:rsid w:val="00DE7A7F"/>
    <w:rsid w:val="00E01CF8"/>
    <w:rsid w:val="00E0358B"/>
    <w:rsid w:val="00E04F68"/>
    <w:rsid w:val="00E05592"/>
    <w:rsid w:val="00E06B4E"/>
    <w:rsid w:val="00E15827"/>
    <w:rsid w:val="00E17423"/>
    <w:rsid w:val="00E23924"/>
    <w:rsid w:val="00E40924"/>
    <w:rsid w:val="00E40E03"/>
    <w:rsid w:val="00E5703A"/>
    <w:rsid w:val="00E644E8"/>
    <w:rsid w:val="00E64A9C"/>
    <w:rsid w:val="00E65897"/>
    <w:rsid w:val="00E74E4C"/>
    <w:rsid w:val="00E9171F"/>
    <w:rsid w:val="00E9416D"/>
    <w:rsid w:val="00E952F4"/>
    <w:rsid w:val="00E957E6"/>
    <w:rsid w:val="00EA1A0C"/>
    <w:rsid w:val="00EA303B"/>
    <w:rsid w:val="00EA3F1B"/>
    <w:rsid w:val="00EB3B29"/>
    <w:rsid w:val="00EB7353"/>
    <w:rsid w:val="00EC0426"/>
    <w:rsid w:val="00EC2712"/>
    <w:rsid w:val="00EC28A0"/>
    <w:rsid w:val="00EE0683"/>
    <w:rsid w:val="00EE5235"/>
    <w:rsid w:val="00EF6CC1"/>
    <w:rsid w:val="00F00A91"/>
    <w:rsid w:val="00F164B2"/>
    <w:rsid w:val="00F166CA"/>
    <w:rsid w:val="00F24B96"/>
    <w:rsid w:val="00F27AD8"/>
    <w:rsid w:val="00F35D42"/>
    <w:rsid w:val="00F36907"/>
    <w:rsid w:val="00F40C39"/>
    <w:rsid w:val="00F50F59"/>
    <w:rsid w:val="00F52DF6"/>
    <w:rsid w:val="00F55179"/>
    <w:rsid w:val="00F56A0F"/>
    <w:rsid w:val="00F636BE"/>
    <w:rsid w:val="00F6424F"/>
    <w:rsid w:val="00F70B35"/>
    <w:rsid w:val="00F70F8C"/>
    <w:rsid w:val="00F83BA3"/>
    <w:rsid w:val="00F8438A"/>
    <w:rsid w:val="00F8495B"/>
    <w:rsid w:val="00F84FC4"/>
    <w:rsid w:val="00F8619B"/>
    <w:rsid w:val="00F8708F"/>
    <w:rsid w:val="00FB465D"/>
    <w:rsid w:val="00FB496C"/>
    <w:rsid w:val="00FC0FB2"/>
    <w:rsid w:val="00FC57C2"/>
    <w:rsid w:val="00FC6996"/>
    <w:rsid w:val="00FC7BD4"/>
    <w:rsid w:val="00FD065E"/>
    <w:rsid w:val="00FD0AE2"/>
    <w:rsid w:val="00FD30C1"/>
    <w:rsid w:val="00FD4A46"/>
    <w:rsid w:val="00FD7065"/>
    <w:rsid w:val="00FD7B0F"/>
    <w:rsid w:val="00FE12A8"/>
    <w:rsid w:val="00FE298D"/>
    <w:rsid w:val="00FE59B6"/>
    <w:rsid w:val="00FE5CA0"/>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9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533" w:lineRule="auto"/>
        <w:ind w:firstLine="14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rsid w:val="00FD7B0F"/>
    <w:pPr>
      <w:keepNext/>
      <w:keepLines/>
      <w:numPr>
        <w:numId w:val="12"/>
      </w:numPr>
      <w:spacing w:after="240" w:line="480" w:lineRule="auto"/>
      <w:ind w:hanging="450"/>
      <w:outlineLvl w:val="0"/>
    </w:pPr>
    <w:rPr>
      <w:rFonts w:asciiTheme="majorHAnsi" w:eastAsiaTheme="majorEastAsia" w:hAnsiTheme="majorHAnsi" w:cstheme="majorHAnsi"/>
      <w:b/>
      <w:sz w:val="24"/>
      <w:szCs w:val="24"/>
      <w:u w:val="single"/>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64" w:lineRule="auto"/>
      <w:ind w:firstLine="0"/>
    </w:pPr>
    <w:rPr>
      <w:caps/>
    </w:rPr>
  </w:style>
  <w:style w:type="character" w:customStyle="1" w:styleId="FooterChar">
    <w:name w:val="Footer Char"/>
    <w:basedOn w:val="DefaultParagraphFont"/>
    <w:link w:val="Footer"/>
    <w:uiPriority w:val="99"/>
    <w:rPr>
      <w:rFonts w:eastAsia="Times New Roman" w:cs="Times New Roman"/>
      <w:caps/>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54" w:line="264"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64" w:lineRule="auto"/>
      <w:ind w:firstLine="0"/>
    </w:pPr>
    <w:rPr>
      <w:caps/>
    </w:rPr>
  </w:style>
  <w:style w:type="character" w:customStyle="1" w:styleId="PleadingtitleChar">
    <w:name w:val="Pleading title Char"/>
    <w:basedOn w:val="DefaultParagraphFont"/>
    <w:link w:val="Pleadingtitle"/>
    <w:uiPriority w:val="1"/>
    <w:rPr>
      <w:rFonts w:eastAsia="Times New Roman" w:cs="Times New Roman"/>
      <w:caps/>
      <w:sz w:val="20"/>
      <w:szCs w:val="20"/>
    </w:rPr>
  </w:style>
  <w:style w:type="character" w:customStyle="1" w:styleId="PartiesChar">
    <w:name w:val="Parties Char"/>
    <w:basedOn w:val="DefaultParagraphFont"/>
    <w:link w:val="Parties"/>
    <w:uiPriority w:val="1"/>
    <w:rPr>
      <w:rFonts w:asciiTheme="majorHAnsi" w:eastAsiaTheme="majorEastAsia" w:hAnsiTheme="majorHAnsi" w:cstheme="majorBidi"/>
      <w:caps/>
      <w:sz w:val="20"/>
      <w:szCs w:val="20"/>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54" w:line="528" w:lineRule="auto"/>
      <w:ind w:firstLine="0"/>
      <w:contextualSpacing/>
      <w:jc w:val="center"/>
    </w:pPr>
    <w:rPr>
      <w:caps/>
    </w:rPr>
  </w:style>
  <w:style w:type="character" w:customStyle="1" w:styleId="Heading1Char">
    <w:name w:val="Heading 1 Char"/>
    <w:basedOn w:val="DefaultParagraphFont"/>
    <w:link w:val="Heading1"/>
    <w:uiPriority w:val="9"/>
    <w:rsid w:val="00FD7B0F"/>
    <w:rPr>
      <w:rFonts w:asciiTheme="majorHAnsi" w:eastAsiaTheme="majorEastAsia" w:hAnsiTheme="majorHAnsi" w:cstheme="majorHAnsi"/>
      <w:b/>
      <w:sz w:val="24"/>
      <w:szCs w:val="24"/>
      <w:u w:val="single"/>
    </w:rPr>
  </w:style>
  <w:style w:type="paragraph" w:customStyle="1" w:styleId="AttorneyName">
    <w:name w:val="Attorney Name"/>
    <w:basedOn w:val="Normal"/>
    <w:link w:val="AttorneyNameChar"/>
    <w:uiPriority w:val="1"/>
    <w:qFormat/>
    <w:pPr>
      <w:spacing w:line="264"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760" w:line="264"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Pr>
      <w:rFonts w:eastAsia="Times New Roman" w:cs="Times New Roman"/>
      <w:sz w:val="20"/>
      <w:szCs w:val="20"/>
    </w:rPr>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64" w:lineRule="auto"/>
      <w:ind w:firstLine="0"/>
    </w:pPr>
    <w:rPr>
      <w:rFonts w:eastAsia="Times New Roman" w:cs="Times New Roman"/>
    </w:rPr>
  </w:style>
  <w:style w:type="paragraph" w:styleId="Date">
    <w:name w:val="Date"/>
    <w:basedOn w:val="Normal"/>
    <w:next w:val="Normal"/>
    <w:link w:val="DateChar"/>
    <w:uiPriority w:val="1"/>
    <w:unhideWhenUsed/>
    <w:qFormat/>
    <w:pPr>
      <w:spacing w:after="380"/>
    </w:pPr>
  </w:style>
  <w:style w:type="character" w:customStyle="1" w:styleId="DateChar">
    <w:name w:val="Date Char"/>
    <w:basedOn w:val="DefaultParagraphFont"/>
    <w:link w:val="Date"/>
    <w:uiPriority w:val="1"/>
  </w:style>
  <w:style w:type="paragraph" w:customStyle="1" w:styleId="Q">
    <w:name w:val="Q"/>
    <w:basedOn w:val="NoSpacing"/>
    <w:next w:val="A"/>
    <w:qFormat/>
    <w:rsid w:val="00856191"/>
    <w:pPr>
      <w:keepNext/>
      <w:keepLines/>
      <w:spacing w:line="480" w:lineRule="auto"/>
      <w:ind w:left="720" w:hanging="720"/>
    </w:pPr>
    <w:rPr>
      <w:b/>
      <w:sz w:val="24"/>
    </w:rPr>
  </w:style>
  <w:style w:type="paragraph" w:customStyle="1" w:styleId="A">
    <w:name w:val="A"/>
    <w:basedOn w:val="Q"/>
    <w:next w:val="Q"/>
    <w:qFormat/>
    <w:rsid w:val="000037B6"/>
    <w:pPr>
      <w:keepNext w:val="0"/>
      <w:keepLines w:val="0"/>
      <w:spacing w:after="240"/>
    </w:pPr>
    <w:rPr>
      <w:rFonts w:asciiTheme="majorHAnsi" w:hAnsiTheme="majorHAnsi" w:cstheme="majorHAnsi"/>
      <w:b w:val="0"/>
      <w:szCs w:val="24"/>
    </w:rPr>
  </w:style>
  <w:style w:type="paragraph" w:customStyle="1" w:styleId="A2">
    <w:name w:val="A2"/>
    <w:basedOn w:val="A"/>
    <w:next w:val="Q"/>
    <w:qFormat/>
    <w:rsid w:val="00EA3F1B"/>
    <w:pPr>
      <w:ind w:firstLine="720"/>
    </w:pPr>
  </w:style>
  <w:style w:type="paragraph" w:customStyle="1" w:styleId="single">
    <w:name w:val="single"/>
    <w:basedOn w:val="Normal"/>
    <w:rsid w:val="00EA3F1B"/>
    <w:pPr>
      <w:spacing w:before="240" w:line="240" w:lineRule="atLeast"/>
      <w:ind w:firstLine="720"/>
    </w:pPr>
    <w:rPr>
      <w:rFonts w:ascii="Times New Roman" w:eastAsia="Times New Roman" w:hAnsi="Times New Roman" w:cs="Times New Roman"/>
      <w:sz w:val="24"/>
      <w:lang w:eastAsia="zh-CN"/>
    </w:rPr>
  </w:style>
  <w:style w:type="paragraph" w:customStyle="1" w:styleId="center">
    <w:name w:val="center"/>
    <w:basedOn w:val="Normal"/>
    <w:rsid w:val="00EA3F1B"/>
    <w:pPr>
      <w:keepLines/>
      <w:spacing w:before="240" w:line="240" w:lineRule="atLeast"/>
      <w:ind w:firstLine="0"/>
      <w:jc w:val="center"/>
    </w:pPr>
    <w:rPr>
      <w:rFonts w:ascii="Times New Roman" w:eastAsia="Times New Roman" w:hAnsi="Times New Roman" w:cs="Times New Roman"/>
      <w:sz w:val="24"/>
      <w:lang w:eastAsia="zh-CN"/>
    </w:rPr>
  </w:style>
  <w:style w:type="character" w:styleId="Strong">
    <w:name w:val="Strong"/>
    <w:basedOn w:val="DefaultParagraphFont"/>
    <w:qFormat/>
    <w:rsid w:val="00EA3F1B"/>
    <w:rPr>
      <w:b/>
    </w:rPr>
  </w:style>
  <w:style w:type="paragraph" w:customStyle="1" w:styleId="Bullet">
    <w:name w:val="Bullet"/>
    <w:basedOn w:val="A2"/>
    <w:qFormat/>
    <w:rsid w:val="00394EFC"/>
    <w:pPr>
      <w:widowControl/>
      <w:numPr>
        <w:numId w:val="11"/>
      </w:numPr>
      <w:spacing w:before="120" w:line="240" w:lineRule="auto"/>
    </w:pPr>
  </w:style>
  <w:style w:type="table" w:customStyle="1" w:styleId="PlainTable31">
    <w:name w:val="Plain Table 31"/>
    <w:basedOn w:val="TableNormal"/>
    <w:uiPriority w:val="43"/>
    <w:rsid w:val="00394EFC"/>
    <w:pPr>
      <w:spacing w:line="240" w:lineRule="auto"/>
    </w:pPr>
    <w:rPr>
      <w:sz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44F26"/>
    <w:rPr>
      <w:sz w:val="16"/>
      <w:szCs w:val="16"/>
    </w:rPr>
  </w:style>
  <w:style w:type="paragraph" w:styleId="CommentText">
    <w:name w:val="annotation text"/>
    <w:basedOn w:val="Normal"/>
    <w:link w:val="CommentTextChar"/>
    <w:uiPriority w:val="99"/>
    <w:semiHidden/>
    <w:unhideWhenUsed/>
    <w:rsid w:val="00144F26"/>
    <w:pPr>
      <w:spacing w:line="240" w:lineRule="auto"/>
    </w:pPr>
  </w:style>
  <w:style w:type="character" w:customStyle="1" w:styleId="CommentTextChar">
    <w:name w:val="Comment Text Char"/>
    <w:basedOn w:val="DefaultParagraphFont"/>
    <w:link w:val="CommentText"/>
    <w:uiPriority w:val="99"/>
    <w:semiHidden/>
    <w:rsid w:val="00144F26"/>
  </w:style>
  <w:style w:type="paragraph" w:styleId="CommentSubject">
    <w:name w:val="annotation subject"/>
    <w:basedOn w:val="CommentText"/>
    <w:next w:val="CommentText"/>
    <w:link w:val="CommentSubjectChar"/>
    <w:uiPriority w:val="99"/>
    <w:semiHidden/>
    <w:unhideWhenUsed/>
    <w:rsid w:val="00144F26"/>
    <w:rPr>
      <w:b/>
      <w:bCs/>
    </w:rPr>
  </w:style>
  <w:style w:type="character" w:customStyle="1" w:styleId="CommentSubjectChar">
    <w:name w:val="Comment Subject Char"/>
    <w:basedOn w:val="CommentTextChar"/>
    <w:link w:val="CommentSubject"/>
    <w:uiPriority w:val="99"/>
    <w:semiHidden/>
    <w:rsid w:val="00144F26"/>
    <w:rPr>
      <w:b/>
      <w:bCs/>
    </w:rPr>
  </w:style>
  <w:style w:type="character" w:styleId="LineNumber">
    <w:name w:val="line number"/>
    <w:basedOn w:val="DefaultParagraphFont"/>
    <w:uiPriority w:val="99"/>
    <w:semiHidden/>
    <w:unhideWhenUsed/>
    <w:rsid w:val="00957738"/>
  </w:style>
  <w:style w:type="paragraph" w:styleId="FootnoteText">
    <w:name w:val="footnote text"/>
    <w:aliases w:val="response"/>
    <w:basedOn w:val="Normal"/>
    <w:uiPriority w:val="99"/>
    <w:unhideWhenUsed/>
    <w:rsid w:val="00F83BA3"/>
    <w:pPr>
      <w:spacing w:before="100" w:beforeAutospacing="1" w:after="100" w:afterAutospacing="1" w:line="240" w:lineRule="auto"/>
      <w:ind w:left="720" w:firstLine="0"/>
      <w:contextualSpacing/>
    </w:pPr>
  </w:style>
  <w:style w:type="character" w:customStyle="1" w:styleId="FootnoteTextChar">
    <w:name w:val="Footnote Text Char"/>
    <w:aliases w:val="response Char"/>
    <w:basedOn w:val="DefaultParagraphFont"/>
    <w:uiPriority w:val="99"/>
    <w:rsid w:val="00C720E2"/>
  </w:style>
  <w:style w:type="character" w:styleId="FootnoteReference">
    <w:name w:val="footnote reference"/>
    <w:basedOn w:val="DefaultParagraphFont"/>
    <w:uiPriority w:val="99"/>
    <w:unhideWhenUsed/>
    <w:rsid w:val="00C720E2"/>
    <w:rPr>
      <w:vertAlign w:val="superscript"/>
    </w:rPr>
  </w:style>
  <w:style w:type="character" w:styleId="Hyperlink">
    <w:name w:val="Hyperlink"/>
    <w:basedOn w:val="DefaultParagraphFont"/>
    <w:uiPriority w:val="99"/>
    <w:unhideWhenUsed/>
    <w:rsid w:val="00060D33"/>
    <w:rPr>
      <w:color w:val="56C7AA" w:themeColor="hyperlink"/>
      <w:u w:val="single"/>
    </w:rPr>
  </w:style>
  <w:style w:type="character" w:customStyle="1" w:styleId="UnresolvedMention1">
    <w:name w:val="Unresolved Mention1"/>
    <w:basedOn w:val="DefaultParagraphFont"/>
    <w:uiPriority w:val="99"/>
    <w:semiHidden/>
    <w:unhideWhenUsed/>
    <w:rsid w:val="00060D33"/>
    <w:rPr>
      <w:color w:val="808080"/>
      <w:shd w:val="clear" w:color="auto" w:fill="E6E6E6"/>
    </w:rPr>
  </w:style>
  <w:style w:type="paragraph" w:styleId="Revision">
    <w:name w:val="Revision"/>
    <w:hidden/>
    <w:uiPriority w:val="99"/>
    <w:semiHidden/>
    <w:rsid w:val="00936E83"/>
    <w:pPr>
      <w:spacing w:line="240" w:lineRule="auto"/>
      <w:ind w:firstLine="0"/>
    </w:pPr>
  </w:style>
  <w:style w:type="character" w:customStyle="1" w:styleId="UnresolvedMention2">
    <w:name w:val="Unresolved Mention2"/>
    <w:basedOn w:val="DefaultParagraphFont"/>
    <w:uiPriority w:val="99"/>
    <w:semiHidden/>
    <w:unhideWhenUsed/>
    <w:rsid w:val="009A1D6A"/>
    <w:rPr>
      <w:color w:val="808080"/>
      <w:shd w:val="clear" w:color="auto" w:fill="E6E6E6"/>
    </w:rPr>
  </w:style>
  <w:style w:type="paragraph" w:styleId="Caption">
    <w:name w:val="caption"/>
    <w:basedOn w:val="Normal"/>
    <w:next w:val="Normal"/>
    <w:uiPriority w:val="35"/>
    <w:unhideWhenUsed/>
    <w:qFormat/>
    <w:rsid w:val="00B415A3"/>
    <w:pPr>
      <w:spacing w:after="200" w:line="240" w:lineRule="auto"/>
      <w:ind w:firstLine="0"/>
      <w:jc w:val="center"/>
    </w:pPr>
    <w:rPr>
      <w:i/>
      <w:iCs/>
      <w:color w:val="212745" w:themeColor="text2"/>
      <w:sz w:val="18"/>
      <w:szCs w:val="18"/>
    </w:rPr>
  </w:style>
  <w:style w:type="character" w:styleId="FollowedHyperlink">
    <w:name w:val="FollowedHyperlink"/>
    <w:basedOn w:val="DefaultParagraphFont"/>
    <w:uiPriority w:val="99"/>
    <w:semiHidden/>
    <w:unhideWhenUsed/>
    <w:rsid w:val="00A00734"/>
    <w:rPr>
      <w:color w:val="59A8D1" w:themeColor="followedHyperlink"/>
      <w:u w:val="single"/>
    </w:rPr>
  </w:style>
  <w:style w:type="character" w:customStyle="1" w:styleId="UnresolvedMention3">
    <w:name w:val="Unresolved Mention3"/>
    <w:basedOn w:val="DefaultParagraphFont"/>
    <w:uiPriority w:val="99"/>
    <w:semiHidden/>
    <w:unhideWhenUsed/>
    <w:rsid w:val="00877784"/>
    <w:rPr>
      <w:color w:val="808080"/>
      <w:shd w:val="clear" w:color="auto" w:fill="E6E6E6"/>
    </w:rPr>
  </w:style>
  <w:style w:type="paragraph" w:styleId="TOCHeading">
    <w:name w:val="TOC Heading"/>
    <w:basedOn w:val="Heading1"/>
    <w:next w:val="Normal"/>
    <w:uiPriority w:val="39"/>
    <w:semiHidden/>
    <w:unhideWhenUsed/>
    <w:qFormat/>
    <w:rsid w:val="00392898"/>
    <w:pPr>
      <w:numPr>
        <w:numId w:val="0"/>
      </w:numPr>
      <w:spacing w:before="480" w:after="0" w:line="276" w:lineRule="auto"/>
      <w:outlineLvl w:val="9"/>
    </w:pPr>
    <w:rPr>
      <w:rFonts w:cstheme="majorBidi"/>
      <w:bCs/>
      <w:color w:val="31479E" w:themeColor="accent1" w:themeShade="BF"/>
      <w:sz w:val="28"/>
      <w:szCs w:val="28"/>
      <w:u w:val="none"/>
    </w:rPr>
  </w:style>
  <w:style w:type="paragraph" w:styleId="TOC1">
    <w:name w:val="toc 1"/>
    <w:basedOn w:val="Normal"/>
    <w:next w:val="Normal"/>
    <w:autoRedefine/>
    <w:uiPriority w:val="39"/>
    <w:unhideWhenUsed/>
    <w:rsid w:val="001C461F"/>
    <w:pPr>
      <w:tabs>
        <w:tab w:val="left" w:pos="720"/>
        <w:tab w:val="right" w:leader="dot" w:pos="9360"/>
      </w:tabs>
      <w:spacing w:line="480" w:lineRule="auto"/>
      <w:ind w:left="720" w:hanging="720"/>
    </w:pPr>
  </w:style>
  <w:style w:type="paragraph" w:styleId="TableofFigures">
    <w:name w:val="table of figures"/>
    <w:basedOn w:val="Normal"/>
    <w:next w:val="Normal"/>
    <w:uiPriority w:val="99"/>
    <w:unhideWhenUsed/>
    <w:rsid w:val="002E18EB"/>
  </w:style>
  <w:style w:type="paragraph" w:customStyle="1" w:styleId="Answer">
    <w:name w:val="Answer"/>
    <w:basedOn w:val="Normal"/>
    <w:next w:val="A2"/>
    <w:link w:val="AnswerChar"/>
    <w:qFormat/>
    <w:rsid w:val="00684AFC"/>
    <w:pPr>
      <w:numPr>
        <w:numId w:val="25"/>
      </w:numPr>
      <w:spacing w:after="120" w:line="360" w:lineRule="auto"/>
    </w:pPr>
    <w:rPr>
      <w:rFonts w:ascii="Times New Roman" w:eastAsia="Times New Roman" w:hAnsi="Times New Roman" w:cs="Times New Roman"/>
      <w:sz w:val="24"/>
      <w:lang w:eastAsia="en-US"/>
    </w:rPr>
  </w:style>
  <w:style w:type="character" w:customStyle="1" w:styleId="AnswerChar">
    <w:name w:val="Answer Char"/>
    <w:link w:val="Answer"/>
    <w:locked/>
    <w:rsid w:val="00684AFC"/>
    <w:rPr>
      <w:rFonts w:ascii="Times New Roman" w:eastAsia="Times New Roman" w:hAnsi="Times New Roman" w:cs="Times New Roman"/>
      <w:sz w:val="24"/>
      <w:lang w:eastAsia="en-US"/>
    </w:rPr>
  </w:style>
  <w:style w:type="paragraph" w:customStyle="1" w:styleId="Heading">
    <w:name w:val="Heading"/>
    <w:basedOn w:val="Heading1"/>
    <w:link w:val="HeadingChar"/>
    <w:qFormat/>
    <w:rsid w:val="008875DF"/>
  </w:style>
  <w:style w:type="character" w:customStyle="1" w:styleId="HeadingChar">
    <w:name w:val="Heading Char"/>
    <w:basedOn w:val="Heading1Char"/>
    <w:link w:val="Heading"/>
    <w:rsid w:val="008875DF"/>
    <w:rPr>
      <w:rFonts w:asciiTheme="majorHAnsi" w:eastAsiaTheme="majorEastAsia" w:hAnsiTheme="majorHAnsi" w:cstheme="majorHAns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3916">
      <w:bodyDiv w:val="1"/>
      <w:marLeft w:val="0"/>
      <w:marRight w:val="0"/>
      <w:marTop w:val="0"/>
      <w:marBottom w:val="0"/>
      <w:divBdr>
        <w:top w:val="none" w:sz="0" w:space="0" w:color="auto"/>
        <w:left w:val="none" w:sz="0" w:space="0" w:color="auto"/>
        <w:bottom w:val="none" w:sz="0" w:space="0" w:color="auto"/>
        <w:right w:val="none" w:sz="0" w:space="0" w:color="auto"/>
      </w:divBdr>
      <w:divsChild>
        <w:div w:id="29497268">
          <w:marLeft w:val="0"/>
          <w:marRight w:val="0"/>
          <w:marTop w:val="0"/>
          <w:marBottom w:val="0"/>
          <w:divBdr>
            <w:top w:val="none" w:sz="0" w:space="0" w:color="auto"/>
            <w:left w:val="none" w:sz="0" w:space="0" w:color="auto"/>
            <w:bottom w:val="none" w:sz="0" w:space="0" w:color="auto"/>
            <w:right w:val="none" w:sz="0" w:space="0" w:color="auto"/>
          </w:divBdr>
        </w:div>
        <w:div w:id="1937202837">
          <w:marLeft w:val="0"/>
          <w:marRight w:val="0"/>
          <w:marTop w:val="0"/>
          <w:marBottom w:val="0"/>
          <w:divBdr>
            <w:top w:val="none" w:sz="0" w:space="0" w:color="auto"/>
            <w:left w:val="none" w:sz="0" w:space="0" w:color="auto"/>
            <w:bottom w:val="none" w:sz="0" w:space="0" w:color="auto"/>
            <w:right w:val="none" w:sz="0" w:space="0" w:color="auto"/>
          </w:divBdr>
        </w:div>
        <w:div w:id="779645564">
          <w:marLeft w:val="0"/>
          <w:marRight w:val="0"/>
          <w:marTop w:val="0"/>
          <w:marBottom w:val="0"/>
          <w:divBdr>
            <w:top w:val="none" w:sz="0" w:space="0" w:color="auto"/>
            <w:left w:val="none" w:sz="0" w:space="0" w:color="auto"/>
            <w:bottom w:val="none" w:sz="0" w:space="0" w:color="auto"/>
            <w:right w:val="none" w:sz="0" w:space="0" w:color="auto"/>
          </w:divBdr>
        </w:div>
        <w:div w:id="480775488">
          <w:marLeft w:val="0"/>
          <w:marRight w:val="0"/>
          <w:marTop w:val="0"/>
          <w:marBottom w:val="0"/>
          <w:divBdr>
            <w:top w:val="none" w:sz="0" w:space="0" w:color="auto"/>
            <w:left w:val="none" w:sz="0" w:space="0" w:color="auto"/>
            <w:bottom w:val="none" w:sz="0" w:space="0" w:color="auto"/>
            <w:right w:val="none" w:sz="0" w:space="0" w:color="auto"/>
          </w:divBdr>
        </w:div>
        <w:div w:id="1770469543">
          <w:marLeft w:val="0"/>
          <w:marRight w:val="0"/>
          <w:marTop w:val="0"/>
          <w:marBottom w:val="0"/>
          <w:divBdr>
            <w:top w:val="none" w:sz="0" w:space="0" w:color="auto"/>
            <w:left w:val="none" w:sz="0" w:space="0" w:color="auto"/>
            <w:bottom w:val="none" w:sz="0" w:space="0" w:color="auto"/>
            <w:right w:val="none" w:sz="0" w:space="0" w:color="auto"/>
          </w:divBdr>
        </w:div>
        <w:div w:id="1765421109">
          <w:marLeft w:val="0"/>
          <w:marRight w:val="0"/>
          <w:marTop w:val="0"/>
          <w:marBottom w:val="0"/>
          <w:divBdr>
            <w:top w:val="none" w:sz="0" w:space="0" w:color="auto"/>
            <w:left w:val="none" w:sz="0" w:space="0" w:color="auto"/>
            <w:bottom w:val="none" w:sz="0" w:space="0" w:color="auto"/>
            <w:right w:val="none" w:sz="0" w:space="0" w:color="auto"/>
          </w:divBdr>
        </w:div>
        <w:div w:id="1957903731">
          <w:marLeft w:val="0"/>
          <w:marRight w:val="0"/>
          <w:marTop w:val="0"/>
          <w:marBottom w:val="0"/>
          <w:divBdr>
            <w:top w:val="none" w:sz="0" w:space="0" w:color="auto"/>
            <w:left w:val="none" w:sz="0" w:space="0" w:color="auto"/>
            <w:bottom w:val="none" w:sz="0" w:space="0" w:color="auto"/>
            <w:right w:val="none" w:sz="0" w:space="0" w:color="auto"/>
          </w:divBdr>
        </w:div>
        <w:div w:id="2015523103">
          <w:marLeft w:val="0"/>
          <w:marRight w:val="0"/>
          <w:marTop w:val="0"/>
          <w:marBottom w:val="0"/>
          <w:divBdr>
            <w:top w:val="none" w:sz="0" w:space="0" w:color="auto"/>
            <w:left w:val="none" w:sz="0" w:space="0" w:color="auto"/>
            <w:bottom w:val="none" w:sz="0" w:space="0" w:color="auto"/>
            <w:right w:val="none" w:sz="0" w:space="0" w:color="auto"/>
          </w:divBdr>
        </w:div>
        <w:div w:id="1539396758">
          <w:marLeft w:val="0"/>
          <w:marRight w:val="0"/>
          <w:marTop w:val="0"/>
          <w:marBottom w:val="0"/>
          <w:divBdr>
            <w:top w:val="none" w:sz="0" w:space="0" w:color="auto"/>
            <w:left w:val="none" w:sz="0" w:space="0" w:color="auto"/>
            <w:bottom w:val="none" w:sz="0" w:space="0" w:color="auto"/>
            <w:right w:val="none" w:sz="0" w:space="0" w:color="auto"/>
          </w:divBdr>
        </w:div>
        <w:div w:id="299850611">
          <w:marLeft w:val="0"/>
          <w:marRight w:val="0"/>
          <w:marTop w:val="0"/>
          <w:marBottom w:val="0"/>
          <w:divBdr>
            <w:top w:val="none" w:sz="0" w:space="0" w:color="auto"/>
            <w:left w:val="none" w:sz="0" w:space="0" w:color="auto"/>
            <w:bottom w:val="none" w:sz="0" w:space="0" w:color="auto"/>
            <w:right w:val="none" w:sz="0" w:space="0" w:color="auto"/>
          </w:divBdr>
        </w:div>
        <w:div w:id="1563981269">
          <w:marLeft w:val="0"/>
          <w:marRight w:val="0"/>
          <w:marTop w:val="0"/>
          <w:marBottom w:val="0"/>
          <w:divBdr>
            <w:top w:val="none" w:sz="0" w:space="0" w:color="auto"/>
            <w:left w:val="none" w:sz="0" w:space="0" w:color="auto"/>
            <w:bottom w:val="none" w:sz="0" w:space="0" w:color="auto"/>
            <w:right w:val="none" w:sz="0" w:space="0" w:color="auto"/>
          </w:divBdr>
        </w:div>
        <w:div w:id="470369065">
          <w:marLeft w:val="0"/>
          <w:marRight w:val="0"/>
          <w:marTop w:val="0"/>
          <w:marBottom w:val="0"/>
          <w:divBdr>
            <w:top w:val="none" w:sz="0" w:space="0" w:color="auto"/>
            <w:left w:val="none" w:sz="0" w:space="0" w:color="auto"/>
            <w:bottom w:val="none" w:sz="0" w:space="0" w:color="auto"/>
            <w:right w:val="none" w:sz="0" w:space="0" w:color="auto"/>
          </w:divBdr>
        </w:div>
        <w:div w:id="414327179">
          <w:marLeft w:val="0"/>
          <w:marRight w:val="0"/>
          <w:marTop w:val="0"/>
          <w:marBottom w:val="0"/>
          <w:divBdr>
            <w:top w:val="none" w:sz="0" w:space="0" w:color="auto"/>
            <w:left w:val="none" w:sz="0" w:space="0" w:color="auto"/>
            <w:bottom w:val="none" w:sz="0" w:space="0" w:color="auto"/>
            <w:right w:val="none" w:sz="0" w:space="0" w:color="auto"/>
          </w:divBdr>
        </w:div>
        <w:div w:id="1801730879">
          <w:marLeft w:val="0"/>
          <w:marRight w:val="0"/>
          <w:marTop w:val="0"/>
          <w:marBottom w:val="0"/>
          <w:divBdr>
            <w:top w:val="none" w:sz="0" w:space="0" w:color="auto"/>
            <w:left w:val="none" w:sz="0" w:space="0" w:color="auto"/>
            <w:bottom w:val="none" w:sz="0" w:space="0" w:color="auto"/>
            <w:right w:val="none" w:sz="0" w:space="0" w:color="auto"/>
          </w:divBdr>
        </w:div>
        <w:div w:id="97875736">
          <w:marLeft w:val="0"/>
          <w:marRight w:val="0"/>
          <w:marTop w:val="0"/>
          <w:marBottom w:val="0"/>
          <w:divBdr>
            <w:top w:val="none" w:sz="0" w:space="0" w:color="auto"/>
            <w:left w:val="none" w:sz="0" w:space="0" w:color="auto"/>
            <w:bottom w:val="none" w:sz="0" w:space="0" w:color="auto"/>
            <w:right w:val="none" w:sz="0" w:space="0" w:color="auto"/>
          </w:divBdr>
        </w:div>
        <w:div w:id="281957621">
          <w:marLeft w:val="0"/>
          <w:marRight w:val="0"/>
          <w:marTop w:val="0"/>
          <w:marBottom w:val="0"/>
          <w:divBdr>
            <w:top w:val="none" w:sz="0" w:space="0" w:color="auto"/>
            <w:left w:val="none" w:sz="0" w:space="0" w:color="auto"/>
            <w:bottom w:val="none" w:sz="0" w:space="0" w:color="auto"/>
            <w:right w:val="none" w:sz="0" w:space="0" w:color="auto"/>
          </w:divBdr>
        </w:div>
        <w:div w:id="1294366578">
          <w:marLeft w:val="0"/>
          <w:marRight w:val="0"/>
          <w:marTop w:val="0"/>
          <w:marBottom w:val="0"/>
          <w:divBdr>
            <w:top w:val="none" w:sz="0" w:space="0" w:color="auto"/>
            <w:left w:val="none" w:sz="0" w:space="0" w:color="auto"/>
            <w:bottom w:val="none" w:sz="0" w:space="0" w:color="auto"/>
            <w:right w:val="none" w:sz="0" w:space="0" w:color="auto"/>
          </w:divBdr>
        </w:div>
        <w:div w:id="1819689385">
          <w:marLeft w:val="0"/>
          <w:marRight w:val="0"/>
          <w:marTop w:val="0"/>
          <w:marBottom w:val="0"/>
          <w:divBdr>
            <w:top w:val="none" w:sz="0" w:space="0" w:color="auto"/>
            <w:left w:val="none" w:sz="0" w:space="0" w:color="auto"/>
            <w:bottom w:val="none" w:sz="0" w:space="0" w:color="auto"/>
            <w:right w:val="none" w:sz="0" w:space="0" w:color="auto"/>
          </w:divBdr>
        </w:div>
        <w:div w:id="141698785">
          <w:marLeft w:val="0"/>
          <w:marRight w:val="0"/>
          <w:marTop w:val="0"/>
          <w:marBottom w:val="0"/>
          <w:divBdr>
            <w:top w:val="none" w:sz="0" w:space="0" w:color="auto"/>
            <w:left w:val="none" w:sz="0" w:space="0" w:color="auto"/>
            <w:bottom w:val="none" w:sz="0" w:space="0" w:color="auto"/>
            <w:right w:val="none" w:sz="0" w:space="0" w:color="auto"/>
          </w:divBdr>
        </w:div>
        <w:div w:id="568614975">
          <w:marLeft w:val="0"/>
          <w:marRight w:val="0"/>
          <w:marTop w:val="0"/>
          <w:marBottom w:val="0"/>
          <w:divBdr>
            <w:top w:val="none" w:sz="0" w:space="0" w:color="auto"/>
            <w:left w:val="none" w:sz="0" w:space="0" w:color="auto"/>
            <w:bottom w:val="none" w:sz="0" w:space="0" w:color="auto"/>
            <w:right w:val="none" w:sz="0" w:space="0" w:color="auto"/>
          </w:divBdr>
        </w:div>
        <w:div w:id="1689142937">
          <w:marLeft w:val="0"/>
          <w:marRight w:val="0"/>
          <w:marTop w:val="0"/>
          <w:marBottom w:val="0"/>
          <w:divBdr>
            <w:top w:val="none" w:sz="0" w:space="0" w:color="auto"/>
            <w:left w:val="none" w:sz="0" w:space="0" w:color="auto"/>
            <w:bottom w:val="none" w:sz="0" w:space="0" w:color="auto"/>
            <w:right w:val="none" w:sz="0" w:space="0" w:color="auto"/>
          </w:divBdr>
        </w:div>
      </w:divsChild>
    </w:div>
    <w:div w:id="430472395">
      <w:bodyDiv w:val="1"/>
      <w:marLeft w:val="0"/>
      <w:marRight w:val="0"/>
      <w:marTop w:val="0"/>
      <w:marBottom w:val="0"/>
      <w:divBdr>
        <w:top w:val="none" w:sz="0" w:space="0" w:color="auto"/>
        <w:left w:val="none" w:sz="0" w:space="0" w:color="auto"/>
        <w:bottom w:val="none" w:sz="0" w:space="0" w:color="auto"/>
        <w:right w:val="none" w:sz="0" w:space="0" w:color="auto"/>
      </w:divBdr>
    </w:div>
    <w:div w:id="772750509">
      <w:bodyDiv w:val="1"/>
      <w:marLeft w:val="0"/>
      <w:marRight w:val="0"/>
      <w:marTop w:val="0"/>
      <w:marBottom w:val="0"/>
      <w:divBdr>
        <w:top w:val="none" w:sz="0" w:space="0" w:color="auto"/>
        <w:left w:val="none" w:sz="0" w:space="0" w:color="auto"/>
        <w:bottom w:val="none" w:sz="0" w:space="0" w:color="auto"/>
        <w:right w:val="none" w:sz="0" w:space="0" w:color="auto"/>
      </w:divBdr>
    </w:div>
    <w:div w:id="1003624651">
      <w:bodyDiv w:val="1"/>
      <w:marLeft w:val="0"/>
      <w:marRight w:val="0"/>
      <w:marTop w:val="0"/>
      <w:marBottom w:val="0"/>
      <w:divBdr>
        <w:top w:val="none" w:sz="0" w:space="0" w:color="auto"/>
        <w:left w:val="none" w:sz="0" w:space="0" w:color="auto"/>
        <w:bottom w:val="none" w:sz="0" w:space="0" w:color="auto"/>
        <w:right w:val="none" w:sz="0" w:space="0" w:color="auto"/>
      </w:divBdr>
    </w:div>
    <w:div w:id="1036387277">
      <w:bodyDiv w:val="1"/>
      <w:marLeft w:val="0"/>
      <w:marRight w:val="0"/>
      <w:marTop w:val="0"/>
      <w:marBottom w:val="0"/>
      <w:divBdr>
        <w:top w:val="none" w:sz="0" w:space="0" w:color="auto"/>
        <w:left w:val="none" w:sz="0" w:space="0" w:color="auto"/>
        <w:bottom w:val="none" w:sz="0" w:space="0" w:color="auto"/>
        <w:right w:val="none" w:sz="0" w:space="0" w:color="auto"/>
      </w:divBdr>
    </w:div>
    <w:div w:id="1087657274">
      <w:bodyDiv w:val="1"/>
      <w:marLeft w:val="0"/>
      <w:marRight w:val="0"/>
      <w:marTop w:val="0"/>
      <w:marBottom w:val="0"/>
      <w:divBdr>
        <w:top w:val="none" w:sz="0" w:space="0" w:color="auto"/>
        <w:left w:val="none" w:sz="0" w:space="0" w:color="auto"/>
        <w:bottom w:val="none" w:sz="0" w:space="0" w:color="auto"/>
        <w:right w:val="none" w:sz="0" w:space="0" w:color="auto"/>
      </w:divBdr>
    </w:div>
    <w:div w:id="1102535843">
      <w:bodyDiv w:val="1"/>
      <w:marLeft w:val="0"/>
      <w:marRight w:val="0"/>
      <w:marTop w:val="0"/>
      <w:marBottom w:val="0"/>
      <w:divBdr>
        <w:top w:val="none" w:sz="0" w:space="0" w:color="auto"/>
        <w:left w:val="none" w:sz="0" w:space="0" w:color="auto"/>
        <w:bottom w:val="none" w:sz="0" w:space="0" w:color="auto"/>
        <w:right w:val="none" w:sz="0" w:space="0" w:color="auto"/>
      </w:divBdr>
    </w:div>
    <w:div w:id="1569194891">
      <w:bodyDiv w:val="1"/>
      <w:marLeft w:val="0"/>
      <w:marRight w:val="0"/>
      <w:marTop w:val="0"/>
      <w:marBottom w:val="0"/>
      <w:divBdr>
        <w:top w:val="none" w:sz="0" w:space="0" w:color="auto"/>
        <w:left w:val="none" w:sz="0" w:space="0" w:color="auto"/>
        <w:bottom w:val="none" w:sz="0" w:space="0" w:color="auto"/>
        <w:right w:val="none" w:sz="0" w:space="0" w:color="auto"/>
      </w:divBdr>
    </w:div>
    <w:div w:id="1577857286">
      <w:bodyDiv w:val="1"/>
      <w:marLeft w:val="0"/>
      <w:marRight w:val="0"/>
      <w:marTop w:val="0"/>
      <w:marBottom w:val="0"/>
      <w:divBdr>
        <w:top w:val="none" w:sz="0" w:space="0" w:color="auto"/>
        <w:left w:val="none" w:sz="0" w:space="0" w:color="auto"/>
        <w:bottom w:val="none" w:sz="0" w:space="0" w:color="auto"/>
        <w:right w:val="none" w:sz="0" w:space="0" w:color="auto"/>
      </w:divBdr>
    </w:div>
    <w:div w:id="1702632829">
      <w:bodyDiv w:val="1"/>
      <w:marLeft w:val="0"/>
      <w:marRight w:val="0"/>
      <w:marTop w:val="0"/>
      <w:marBottom w:val="0"/>
      <w:divBdr>
        <w:top w:val="none" w:sz="0" w:space="0" w:color="auto"/>
        <w:left w:val="none" w:sz="0" w:space="0" w:color="auto"/>
        <w:bottom w:val="none" w:sz="0" w:space="0" w:color="auto"/>
        <w:right w:val="none" w:sz="0" w:space="0" w:color="auto"/>
      </w:divBdr>
    </w:div>
    <w:div w:id="1752854082">
      <w:bodyDiv w:val="1"/>
      <w:marLeft w:val="0"/>
      <w:marRight w:val="0"/>
      <w:marTop w:val="0"/>
      <w:marBottom w:val="0"/>
      <w:divBdr>
        <w:top w:val="none" w:sz="0" w:space="0" w:color="auto"/>
        <w:left w:val="none" w:sz="0" w:space="0" w:color="auto"/>
        <w:bottom w:val="none" w:sz="0" w:space="0" w:color="auto"/>
        <w:right w:val="none" w:sz="0" w:space="0" w:color="auto"/>
      </w:divBdr>
    </w:div>
    <w:div w:id="20622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5D618B-D476-40C4-90A8-D66C64117999}">
  <ds:schemaRef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605CAE-65A3-4749-8E62-050C451A6051}">
  <ds:schemaRefs>
    <ds:schemaRef ds:uri="http://schemas.microsoft.com/sharepoint/v3/contenttype/forms"/>
  </ds:schemaRefs>
</ds:datastoreItem>
</file>

<file path=customXml/itemProps3.xml><?xml version="1.0" encoding="utf-8"?>
<ds:datastoreItem xmlns:ds="http://schemas.openxmlformats.org/officeDocument/2006/customXml" ds:itemID="{4486C955-C8EA-415E-A90B-A3056549ED34}"/>
</file>

<file path=customXml/itemProps4.xml><?xml version="1.0" encoding="utf-8"?>
<ds:datastoreItem xmlns:ds="http://schemas.openxmlformats.org/officeDocument/2006/customXml" ds:itemID="{B239251C-9854-48EA-BCAE-5A0657366F1E}"/>
</file>

<file path=docProps/app.xml><?xml version="1.0" encoding="utf-8"?>
<Properties xmlns="http://schemas.openxmlformats.org/officeDocument/2006/extended-properties" xmlns:vt="http://schemas.openxmlformats.org/officeDocument/2006/docPropsVTypes">
  <Template>Normal</Template>
  <TotalTime>0</TotalTime>
  <Pages>20</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2017-09-15T23:25:00Z</dcterms:created>
  <dcterms:modified xsi:type="dcterms:W3CDTF">2017-09-15T23:25:00Z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