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39331E" w:rsidP="0039331E">
      <w:pPr>
        <w:pStyle w:val="BodyText"/>
        <w:spacing w:line="240" w:lineRule="auto"/>
        <w:jc w:val="center"/>
        <w:rPr>
          <w:b/>
          <w:bCs/>
          <w:sz w:val="25"/>
          <w:szCs w:val="25"/>
        </w:rPr>
      </w:pPr>
      <w:bookmarkStart w:id="0" w:name="TXTJUDGE"/>
      <w:bookmarkStart w:id="1" w:name="_GoBack"/>
      <w:bookmarkEnd w:id="1"/>
      <w:r w:rsidRPr="00BD1EB2">
        <w:rPr>
          <w:b/>
          <w:bCs/>
          <w:sz w:val="25"/>
          <w:szCs w:val="25"/>
        </w:rPr>
        <w:t>BEFORE THE WASHINGTON</w:t>
      </w:r>
      <w:r>
        <w:rPr>
          <w:b/>
          <w:bCs/>
          <w:sz w:val="25"/>
          <w:szCs w:val="25"/>
        </w:rPr>
        <w:t xml:space="preserve"> STATE</w:t>
      </w:r>
      <w:r>
        <w:rPr>
          <w:b/>
          <w:bCs/>
          <w:sz w:val="25"/>
          <w:szCs w:val="25"/>
        </w:rPr>
        <w:br/>
      </w:r>
      <w:r w:rsidRPr="00BD1EB2">
        <w:rPr>
          <w:b/>
          <w:bCs/>
          <w:sz w:val="25"/>
          <w:szCs w:val="25"/>
        </w:rPr>
        <w:t>UTILITIES AND TRANSPORTATION COMMISSION</w:t>
      </w:r>
    </w:p>
    <w:tbl>
      <w:tblPr>
        <w:tblW w:w="8928" w:type="dxa"/>
        <w:tblLook w:val="0000"/>
      </w:tblPr>
      <w:tblGrid>
        <w:gridCol w:w="4248"/>
        <w:gridCol w:w="360"/>
        <w:gridCol w:w="4320"/>
      </w:tblGrid>
      <w:tr w:rsidTr="00520D99">
        <w:tblPrEx>
          <w:tblW w:w="8928" w:type="dxa"/>
          <w:tblLook w:val="0000"/>
        </w:tblPrEx>
        <w:tc>
          <w:tcPr>
            <w:tcW w:w="4248" w:type="dxa"/>
          </w:tcPr>
          <w:p w:rsidR="0039331E" w:rsidRPr="00B80696" w:rsidP="00520D99">
            <w:pPr>
              <w:tabs>
                <w:tab w:val="left" w:pos="2160"/>
              </w:tabs>
              <w:rPr>
                <w:bCs/>
                <w:sz w:val="25"/>
                <w:szCs w:val="25"/>
              </w:rPr>
            </w:pPr>
            <w:r w:rsidRPr="00B80696">
              <w:rPr>
                <w:bCs/>
                <w:sz w:val="25"/>
                <w:szCs w:val="25"/>
              </w:rPr>
              <w:t>WASHINGTON UTILITIES AND TRANSPORTATION COMMISSION,</w:t>
            </w:r>
          </w:p>
          <w:p w:rsidR="0039331E" w:rsidRPr="00B80696" w:rsidP="00520D99">
            <w:pPr>
              <w:tabs>
                <w:tab w:val="left" w:pos="2160"/>
              </w:tabs>
              <w:rPr>
                <w:bCs/>
                <w:sz w:val="25"/>
                <w:szCs w:val="25"/>
              </w:rPr>
            </w:pPr>
          </w:p>
          <w:p w:rsidR="0039331E" w:rsidRPr="00B80696" w:rsidP="00E63A73">
            <w:pPr>
              <w:ind w:left="2160"/>
              <w:rPr>
                <w:bCs/>
                <w:sz w:val="25"/>
                <w:szCs w:val="25"/>
              </w:rPr>
            </w:pPr>
            <w:r w:rsidRPr="00B80696">
              <w:rPr>
                <w:bCs/>
                <w:sz w:val="25"/>
                <w:szCs w:val="25"/>
              </w:rPr>
              <w:t>Complainant,</w:t>
            </w:r>
          </w:p>
          <w:p w:rsidR="0039331E" w:rsidRPr="00B80696" w:rsidP="00520D99">
            <w:pPr>
              <w:tabs>
                <w:tab w:val="left" w:pos="2160"/>
              </w:tabs>
              <w:rPr>
                <w:bCs/>
                <w:sz w:val="25"/>
                <w:szCs w:val="25"/>
              </w:rPr>
            </w:pPr>
          </w:p>
          <w:p w:rsidR="0039331E" w:rsidRPr="00B80696" w:rsidP="00FB042B">
            <w:pPr>
              <w:tabs>
                <w:tab w:val="left" w:pos="2160"/>
              </w:tabs>
              <w:ind w:left="720"/>
              <w:rPr>
                <w:bCs/>
                <w:sz w:val="25"/>
                <w:szCs w:val="25"/>
              </w:rPr>
            </w:pPr>
            <w:r w:rsidRPr="00B80696">
              <w:rPr>
                <w:bCs/>
                <w:sz w:val="25"/>
                <w:szCs w:val="25"/>
              </w:rPr>
              <w:t>v</w:t>
            </w:r>
            <w:r w:rsidRPr="00B80696">
              <w:rPr>
                <w:bCs/>
                <w:sz w:val="25"/>
                <w:szCs w:val="25"/>
              </w:rPr>
              <w:t>.</w:t>
            </w:r>
          </w:p>
          <w:p w:rsidR="0039331E" w:rsidRPr="00B80696" w:rsidP="00520D99">
            <w:pPr>
              <w:tabs>
                <w:tab w:val="left" w:pos="2160"/>
              </w:tabs>
              <w:rPr>
                <w:bCs/>
                <w:sz w:val="25"/>
                <w:szCs w:val="25"/>
              </w:rPr>
            </w:pPr>
          </w:p>
          <w:p w:rsidR="0039331E" w:rsidRPr="00B80696" w:rsidP="00520D99">
            <w:pPr>
              <w:tabs>
                <w:tab w:val="left" w:pos="2160"/>
              </w:tabs>
              <w:rPr>
                <w:bCs/>
                <w:sz w:val="25"/>
                <w:szCs w:val="25"/>
              </w:rPr>
            </w:pPr>
            <w:r>
              <w:rPr>
                <w:bCs/>
                <w:sz w:val="25"/>
                <w:szCs w:val="25"/>
              </w:rPr>
              <w:t>WASTE CONTROL, INC., G-101</w:t>
            </w:r>
            <w:r w:rsidRPr="00B80696">
              <w:rPr>
                <w:bCs/>
                <w:sz w:val="25"/>
                <w:szCs w:val="25"/>
              </w:rPr>
              <w:t>,</w:t>
            </w:r>
          </w:p>
          <w:p w:rsidR="0039331E" w:rsidRPr="00B80696" w:rsidP="00520D99">
            <w:pPr>
              <w:tabs>
                <w:tab w:val="left" w:pos="2160"/>
              </w:tabs>
              <w:rPr>
                <w:bCs/>
                <w:sz w:val="25"/>
                <w:szCs w:val="25"/>
              </w:rPr>
            </w:pPr>
          </w:p>
          <w:p w:rsidR="0039331E" w:rsidRPr="000503FF" w:rsidP="00E63A73">
            <w:pPr>
              <w:tabs>
                <w:tab w:val="left" w:pos="2160"/>
              </w:tabs>
              <w:ind w:left="2160"/>
              <w:rPr>
                <w:bCs/>
                <w:sz w:val="25"/>
                <w:szCs w:val="25"/>
              </w:rPr>
            </w:pPr>
            <w:r w:rsidRPr="00B80696">
              <w:rPr>
                <w:bCs/>
                <w:sz w:val="25"/>
                <w:szCs w:val="25"/>
              </w:rPr>
              <w:t>Respondent.</w:t>
            </w:r>
          </w:p>
        </w:tc>
        <w:tc>
          <w:tcPr>
            <w:tcW w:w="360" w:type="dxa"/>
          </w:tcPr>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r w:rsidRPr="00BD1EB2">
              <w:rPr>
                <w:sz w:val="25"/>
                <w:szCs w:val="25"/>
              </w:rPr>
              <w:t>)</w:t>
            </w:r>
          </w:p>
          <w:p w:rsidR="0039331E" w:rsidRPr="00BD1EB2" w:rsidP="00520D99">
            <w:pPr>
              <w:rPr>
                <w:sz w:val="25"/>
                <w:szCs w:val="25"/>
              </w:rPr>
            </w:pPr>
          </w:p>
        </w:tc>
        <w:tc>
          <w:tcPr>
            <w:tcW w:w="4320" w:type="dxa"/>
          </w:tcPr>
          <w:p w:rsidR="0039331E" w:rsidP="00520D99">
            <w:pPr>
              <w:rPr>
                <w:sz w:val="25"/>
                <w:szCs w:val="25"/>
              </w:rPr>
            </w:pPr>
            <w:r w:rsidRPr="00BD1EB2">
              <w:rPr>
                <w:sz w:val="25"/>
                <w:szCs w:val="25"/>
              </w:rPr>
              <w:t xml:space="preserve">DOCKET </w:t>
            </w:r>
            <w:r w:rsidR="00A20B4D">
              <w:rPr>
                <w:sz w:val="25"/>
                <w:szCs w:val="25"/>
              </w:rPr>
              <w:t>TG-</w:t>
            </w:r>
            <w:r w:rsidR="008F7C63">
              <w:rPr>
                <w:sz w:val="25"/>
                <w:szCs w:val="25"/>
              </w:rPr>
              <w:t>140560</w:t>
            </w:r>
          </w:p>
          <w:p w:rsidR="0039331E" w:rsidRPr="00BD1EB2" w:rsidP="00520D99">
            <w:pPr>
              <w:rPr>
                <w:sz w:val="25"/>
                <w:szCs w:val="25"/>
              </w:rPr>
            </w:pPr>
          </w:p>
          <w:p w:rsidR="0039331E" w:rsidRPr="00BD1EB2" w:rsidP="00520D99">
            <w:pPr>
              <w:pStyle w:val="Header"/>
              <w:tabs>
                <w:tab w:val="clear" w:pos="4320"/>
                <w:tab w:val="clear" w:pos="8640"/>
              </w:tabs>
              <w:rPr>
                <w:sz w:val="25"/>
                <w:szCs w:val="25"/>
              </w:rPr>
            </w:pPr>
          </w:p>
        </w:tc>
      </w:tr>
    </w:tbl>
    <w:p w:rsidR="0039331E" w:rsidP="0039331E">
      <w:pPr>
        <w:spacing w:line="288" w:lineRule="auto"/>
        <w:rPr>
          <w:sz w:val="25"/>
          <w:szCs w:val="25"/>
        </w:rPr>
      </w:pPr>
    </w:p>
    <w:p w:rsidR="0039331E" w:rsidRPr="00162CA3" w:rsidP="0039331E">
      <w:pPr>
        <w:pStyle w:val="Judge"/>
        <w:jc w:val="center"/>
        <w:rPr>
          <w:b/>
        </w:rPr>
      </w:pPr>
    </w:p>
    <w:p w:rsidR="0039331E" w:rsidRPr="00162CA3" w:rsidP="0039331E">
      <w:pPr>
        <w:pStyle w:val="Judge"/>
        <w:jc w:val="center"/>
        <w:rPr>
          <w:b/>
        </w:rPr>
      </w:pPr>
    </w:p>
    <w:p w:rsidR="00880FDA" w:rsidRPr="00162CA3" w:rsidP="00880FDA">
      <w:pPr>
        <w:pStyle w:val="Judge"/>
        <w:jc w:val="center"/>
        <w:rPr>
          <w:b/>
        </w:rPr>
      </w:pPr>
      <w:r>
        <w:rPr>
          <w:b/>
        </w:rPr>
        <w:t>SUPPLEMENTAL</w:t>
      </w:r>
      <w:r w:rsidRPr="00162CA3">
        <w:rPr>
          <w:b/>
        </w:rPr>
        <w:t xml:space="preserve"> TESTIMONY</w:t>
      </w:r>
    </w:p>
    <w:p w:rsidR="00880FDA" w:rsidRPr="00162CA3" w:rsidP="00880FDA">
      <w:pPr>
        <w:pStyle w:val="Judge"/>
        <w:jc w:val="center"/>
        <w:rPr>
          <w:b/>
        </w:rPr>
      </w:pPr>
    </w:p>
    <w:p w:rsidR="00880FDA" w:rsidP="00880FDA">
      <w:pPr>
        <w:pStyle w:val="Judge"/>
        <w:jc w:val="center"/>
        <w:rPr>
          <w:b/>
        </w:rPr>
      </w:pPr>
      <w:r>
        <w:rPr>
          <w:b/>
        </w:rPr>
        <w:t>OF JACQUELINE G. DAVIS</w:t>
      </w:r>
      <w:r w:rsidRPr="00162CA3">
        <w:rPr>
          <w:b/>
        </w:rPr>
        <w:t>,</w:t>
      </w:r>
    </w:p>
    <w:p w:rsidR="00880FDA" w:rsidRPr="00162CA3" w:rsidP="00880FDA">
      <w:pPr>
        <w:pStyle w:val="Judge"/>
        <w:jc w:val="center"/>
        <w:rPr>
          <w:b/>
        </w:rPr>
      </w:pPr>
      <w:r w:rsidRPr="00162CA3">
        <w:rPr>
          <w:b/>
        </w:rPr>
        <w:t xml:space="preserve"> </w:t>
      </w:r>
    </w:p>
    <w:p w:rsidR="00880FDA" w:rsidP="00880FDA">
      <w:pPr>
        <w:pStyle w:val="Judge"/>
        <w:jc w:val="center"/>
        <w:rPr>
          <w:b/>
          <w:bCs/>
          <w:color w:val="000000"/>
        </w:rPr>
      </w:pPr>
      <w:r>
        <w:rPr>
          <w:b/>
          <w:bCs/>
          <w:color w:val="000000"/>
        </w:rPr>
        <w:t>IN “PAPER-ONLY” PHASE OF GENERAL RATE CASE</w:t>
      </w:r>
    </w:p>
    <w:p w:rsidR="00880FDA" w:rsidP="00880FDA">
      <w:pPr>
        <w:pStyle w:val="Judge"/>
        <w:jc w:val="center"/>
        <w:rPr>
          <w:b/>
          <w:bCs/>
          <w:color w:val="000000"/>
        </w:rPr>
      </w:pPr>
    </w:p>
    <w:p w:rsidR="00880FDA" w:rsidP="00880FDA">
      <w:pPr>
        <w:pStyle w:val="Judge"/>
        <w:jc w:val="center"/>
        <w:rPr>
          <w:b/>
          <w:bCs/>
          <w:color w:val="000000"/>
        </w:rPr>
      </w:pPr>
      <w:r>
        <w:rPr>
          <w:b/>
          <w:bCs/>
          <w:color w:val="000000"/>
        </w:rPr>
        <w:t>FOR WASTE CONTROL, INC.</w:t>
      </w:r>
    </w:p>
    <w:p w:rsidR="00880FDA" w:rsidP="00880FDA">
      <w:pPr>
        <w:pStyle w:val="Judge"/>
        <w:jc w:val="center"/>
        <w:rPr>
          <w:b/>
          <w:bCs/>
          <w:color w:val="000000"/>
        </w:rPr>
      </w:pPr>
    </w:p>
    <w:p w:rsidR="00880FDA" w:rsidP="00880FDA">
      <w:pPr>
        <w:pStyle w:val="Judge"/>
        <w:jc w:val="center"/>
        <w:rPr>
          <w:b/>
          <w:bCs/>
          <w:color w:val="000000"/>
        </w:rPr>
      </w:pPr>
      <w:r>
        <w:rPr>
          <w:b/>
          <w:bCs/>
          <w:color w:val="000000"/>
        </w:rPr>
        <w:t>DOCKET NO. TG-140560</w:t>
      </w:r>
    </w:p>
    <w:p w:rsidR="00880FDA" w:rsidP="00880FDA">
      <w:pPr>
        <w:pStyle w:val="Judge"/>
        <w:jc w:val="center"/>
        <w:rPr>
          <w:b/>
          <w:bCs/>
          <w:color w:val="000000"/>
        </w:rPr>
      </w:pPr>
    </w:p>
    <w:p w:rsidR="00880FDA" w:rsidP="00880FDA">
      <w:pPr>
        <w:pStyle w:val="Judge"/>
        <w:jc w:val="center"/>
        <w:rPr>
          <w:b/>
        </w:rPr>
      </w:pPr>
    </w:p>
    <w:p w:rsidR="00880FDA" w:rsidP="00880FDA">
      <w:pPr>
        <w:pStyle w:val="Judge"/>
        <w:jc w:val="center"/>
      </w:pPr>
      <w:r>
        <w:rPr>
          <w:b/>
        </w:rPr>
        <w:t>NOVEMBER</w:t>
      </w:r>
      <w:r w:rsidR="00131489">
        <w:rPr>
          <w:b/>
        </w:rPr>
        <w:t xml:space="preserve"> </w:t>
      </w:r>
      <w:r w:rsidR="00A40593">
        <w:rPr>
          <w:b/>
        </w:rPr>
        <w:t>7</w:t>
      </w:r>
      <w:r>
        <w:rPr>
          <w:b/>
        </w:rPr>
        <w:t>, 2014</w:t>
      </w:r>
    </w:p>
    <w:p w:rsidR="00880FDA" w:rsidP="00880FDA">
      <w:pPr>
        <w:pStyle w:val="Judge"/>
        <w:jc w:val="center"/>
      </w:pPr>
    </w:p>
    <w:p w:rsidR="00C31577" w:rsidP="0039331E">
      <w:pPr>
        <w:pStyle w:val="Judge"/>
        <w:jc w:val="center"/>
        <w:rPr>
          <w:b/>
        </w:rPr>
      </w:pPr>
    </w:p>
    <w:p w:rsidR="0039331E" w:rsidP="0039331E">
      <w:pPr>
        <w:pStyle w:val="Judge"/>
        <w:jc w:val="center"/>
      </w:pPr>
    </w:p>
    <w:p w:rsidR="0039331E" w:rsidP="0039331E">
      <w:pPr>
        <w:pStyle w:val="Judge"/>
        <w:jc w:val="center"/>
      </w:pPr>
    </w:p>
    <w:p w:rsidR="0039331E" w:rsidP="0039331E">
      <w:pPr>
        <w:pStyle w:val="Judge"/>
        <w:jc w:val="center"/>
        <w:sectPr w:rsidSect="00D33706">
          <w:headerReference w:type="even" r:id="rId4"/>
          <w:headerReference w:type="default" r:id="rId5"/>
          <w:footerReference w:type="even" r:id="rId6"/>
          <w:footerReference w:type="default" r:id="rId7"/>
          <w:headerReference w:type="first" r:id="rId8"/>
          <w:footerReference w:type="first" r:id="rId9"/>
          <w:pgSz w:w="12240" w:h="15840" w:code="1"/>
          <w:pgMar w:top="1440" w:right="1512" w:bottom="1440" w:left="1541" w:header="720" w:footer="1008" w:gutter="0"/>
          <w:paperSrc w:first="1" w:other="1"/>
          <w:cols w:space="720"/>
          <w:titlePg/>
          <w:docGrid w:linePitch="360"/>
        </w:sectPr>
      </w:pPr>
    </w:p>
    <w:p w:rsidR="0039331E" w:rsidRPr="00A54D68" w:rsidP="00880FDA">
      <w:pPr>
        <w:pStyle w:val="Heading1"/>
        <w:rPr>
          <w:b w:val="0"/>
        </w:rPr>
      </w:pPr>
      <w:r w:rsidRPr="00A54D68">
        <w:t xml:space="preserve">  IDENTIFICATION OF WITNESS</w:t>
      </w:r>
    </w:p>
    <w:p w:rsidR="0039331E" w:rsidP="00880FDA">
      <w:pPr>
        <w:pStyle w:val="questionjd"/>
      </w:pPr>
      <w:r w:rsidRPr="00A54D68">
        <w:t>Q.</w:t>
      </w:r>
      <w:r w:rsidRPr="00A54D68">
        <w:tab/>
        <w:t xml:space="preserve">PLEASE STATE YOUR NAME, BUSINESS ADDRESS AND </w:t>
      </w:r>
      <w:r>
        <w:t xml:space="preserve">ROLE AT BOOTH, DAVIS &amp; ASSOCIATES, </w:t>
      </w:r>
      <w:r>
        <w:t>PLLC</w:t>
      </w:r>
      <w:r>
        <w:t>.</w:t>
      </w:r>
    </w:p>
    <w:p w:rsidR="00825D39" w:rsidRPr="00E323BF" w:rsidP="00825D39">
      <w:pPr>
        <w:pStyle w:val="Judge"/>
        <w:spacing w:line="240" w:lineRule="auto"/>
        <w:ind w:left="720" w:hanging="720"/>
        <w:jc w:val="left"/>
        <w:rPr>
          <w:sz w:val="16"/>
          <w:szCs w:val="16"/>
        </w:rPr>
      </w:pPr>
    </w:p>
    <w:p w:rsidR="0039331E" w:rsidP="00880FDA">
      <w:pPr>
        <w:pStyle w:val="answerjd"/>
      </w:pPr>
      <w:r>
        <w:t>A.</w:t>
      </w:r>
      <w:r>
        <w:tab/>
        <w:t xml:space="preserve">My name is Jackie G. Davis.  My business address </w:t>
      </w:r>
      <w:r w:rsidR="00035996">
        <w:t xml:space="preserve">and position with Booth Davis remains the same as previous testimony reflects.  </w:t>
      </w:r>
      <w:r>
        <w:t xml:space="preserve">I am testifying </w:t>
      </w:r>
      <w:r w:rsidR="00453F02">
        <w:t xml:space="preserve">here at the “paper-only phase” </w:t>
      </w:r>
      <w:r>
        <w:t>on behalf of Waste Control, Inc.</w:t>
      </w:r>
      <w:r w:rsidR="007E4733">
        <w:t xml:space="preserve"> (“WCI</w:t>
      </w:r>
      <w:r w:rsidR="00B213F6">
        <w:t>,</w:t>
      </w:r>
      <w:r w:rsidR="007E4733">
        <w:t>”</w:t>
      </w:r>
      <w:r w:rsidR="00B213F6">
        <w:t xml:space="preserve"> “Company” or “Waste Control”</w:t>
      </w:r>
      <w:r w:rsidR="00A20B4D">
        <w:t>) in my capacity as chief outside accountant for the Company in preparing and filing this general rate case.</w:t>
      </w:r>
    </w:p>
    <w:p w:rsidR="00880FDA" w:rsidP="00E323BF">
      <w:pPr>
        <w:pStyle w:val="questionjd"/>
        <w:spacing w:before="240"/>
      </w:pPr>
      <w:r>
        <w:t>q.</w:t>
      </w:r>
      <w:r>
        <w:tab/>
      </w:r>
      <w:r w:rsidR="00A0249C">
        <w:t>can you provide o</w:t>
      </w:r>
      <w:r w:rsidR="00DF4D2E">
        <w:t>n</w:t>
      </w:r>
      <w:r w:rsidR="00A0249C">
        <w:t>e</w:t>
      </w:r>
      <w:r w:rsidR="00DF4D2E">
        <w:t xml:space="preserve"> example to the commission of time and costs that ultimately impacted the rate case costs incurred in this proceeding by waste control?</w:t>
      </w:r>
    </w:p>
    <w:p w:rsidR="00DF4D2E" w:rsidP="00E323BF">
      <w:pPr>
        <w:pStyle w:val="answerjd"/>
        <w:spacing w:before="240"/>
      </w:pPr>
      <w:r>
        <w:t>A.</w:t>
      </w:r>
      <w:r>
        <w:tab/>
        <w:t xml:space="preserve">Yes. </w:t>
      </w:r>
      <w:r w:rsidR="00250411">
        <w:t>Upon</w:t>
      </w:r>
      <w:r>
        <w:t xml:space="preserve"> the Staff case filing on July 18, 2014</w:t>
      </w:r>
      <w:r w:rsidR="00453F02">
        <w:t>,</w:t>
      </w:r>
      <w:r>
        <w:t xml:space="preserve"> we received the first formal communication of what the Staff’s position was on the </w:t>
      </w:r>
      <w:r w:rsidR="00453F02">
        <w:t xml:space="preserve">entirety of the </w:t>
      </w:r>
      <w:r>
        <w:t>Company</w:t>
      </w:r>
      <w:r w:rsidR="00453F02">
        <w:t>’s</w:t>
      </w:r>
      <w:r>
        <w:t xml:space="preserve"> rate case which </w:t>
      </w:r>
      <w:r w:rsidR="00453F02">
        <w:t xml:space="preserve">had been pending since September 23, 2013.  Staff’s position on the initial filing under </w:t>
      </w:r>
      <w:r>
        <w:t>Dock</w:t>
      </w:r>
      <w:r w:rsidR="006C2C5A">
        <w:t xml:space="preserve">et number TG-131794 was on the verge </w:t>
      </w:r>
      <w:r>
        <w:t xml:space="preserve">of being communicated when the Staff </w:t>
      </w:r>
      <w:r w:rsidR="00453F02">
        <w:t>M</w:t>
      </w:r>
      <w:r>
        <w:t xml:space="preserve">otion to </w:t>
      </w:r>
      <w:r w:rsidR="00453F02">
        <w:t>D</w:t>
      </w:r>
      <w:r>
        <w:t>ismiss</w:t>
      </w:r>
      <w:r>
        <w:t xml:space="preserve"> the initial rate case was granted on March 25, 2014, three days before the deadline for the Staff</w:t>
      </w:r>
      <w:r w:rsidR="00453F02">
        <w:t xml:space="preserve"> case filing</w:t>
      </w:r>
      <w:r>
        <w:t xml:space="preserve">.  Thus, following the refiled case, the first time the Company formally </w:t>
      </w:r>
      <w:r w:rsidR="006C2C5A">
        <w:t xml:space="preserve">saw </w:t>
      </w:r>
      <w:r>
        <w:t>communicated the Staff’s position on all the various</w:t>
      </w:r>
      <w:r w:rsidR="00A0249C">
        <w:t xml:space="preserve"> proposed </w:t>
      </w:r>
      <w:r w:rsidR="00A40593">
        <w:t>accounting adjustments</w:t>
      </w:r>
      <w:r>
        <w:t xml:space="preserve"> in this general rate case filing was on July 18, 2014.  </w:t>
      </w:r>
    </w:p>
    <w:p w:rsidR="00DF4D2E" w:rsidP="00DF4D2E">
      <w:pPr>
        <w:pStyle w:val="questionjd"/>
      </w:pPr>
      <w:r>
        <w:t>Q.</w:t>
      </w:r>
      <w:r>
        <w:tab/>
        <w:t xml:space="preserve">and is there something particular about the filing of that </w:t>
      </w:r>
      <w:r w:rsidR="00BB13BA">
        <w:t xml:space="preserve">staff </w:t>
      </w:r>
      <w:r>
        <w:t>case that caused the company to incur substantial additional expense for its rebuttal case filing?</w:t>
      </w:r>
    </w:p>
    <w:p w:rsidR="00DF4D2E" w:rsidP="00DF4D2E">
      <w:pPr>
        <w:pStyle w:val="answerjd"/>
      </w:pPr>
      <w:r>
        <w:t>A.</w:t>
      </w:r>
      <w:r>
        <w:tab/>
      </w:r>
      <w:r w:rsidR="0060145B">
        <w:t xml:space="preserve">Yes, </w:t>
      </w:r>
      <w:r w:rsidR="00453F02">
        <w:t xml:space="preserve">particularly </w:t>
      </w:r>
      <w:r w:rsidR="0060145B">
        <w:t>o</w:t>
      </w:r>
      <w:r>
        <w:t xml:space="preserve">n matters surrounding the </w:t>
      </w:r>
      <w:r w:rsidR="0060145B">
        <w:t>City of Kalama operations.</w:t>
      </w:r>
    </w:p>
    <w:p w:rsidR="0060145B" w:rsidP="0060145B">
      <w:pPr>
        <w:pStyle w:val="questionjd"/>
      </w:pPr>
      <w:r>
        <w:t>Q.</w:t>
      </w:r>
      <w:r>
        <w:tab/>
        <w:t xml:space="preserve">can you elaborate on the chronology and what costs were entailed in addressing that </w:t>
      </w:r>
      <w:r w:rsidR="00250411">
        <w:t>Focal</w:t>
      </w:r>
      <w:r>
        <w:t xml:space="preserve"> adjustment proposed by the staff?</w:t>
      </w:r>
    </w:p>
    <w:p w:rsidR="0060145B" w:rsidP="0060145B">
      <w:pPr>
        <w:pStyle w:val="answerjd"/>
      </w:pPr>
      <w:r>
        <w:t>A.</w:t>
      </w:r>
      <w:r>
        <w:tab/>
        <w:t>Yes I can and it’s a fairly complicated chronology.  When the Company originally filed its original rate case in September 2013 in TG-131794, we adhered to the rule at WAC 480-07-520</w:t>
      </w:r>
      <w:r w:rsidR="00453F02">
        <w:t>(4)(ii)(d)</w:t>
      </w:r>
      <w:r w:rsidR="00250411">
        <w:t>,</w:t>
      </w:r>
      <w:r>
        <w:t xml:space="preserve"> that provides that you need not separate</w:t>
      </w:r>
      <w:r w:rsidR="00453F02">
        <w:t xml:space="preserve"> </w:t>
      </w:r>
      <w:r w:rsidR="00250411">
        <w:t xml:space="preserve">nonregulated </w:t>
      </w:r>
      <w:r w:rsidR="00A17D59">
        <w:t>operations</w:t>
      </w:r>
      <w:r w:rsidR="00453F02">
        <w:t>, since</w:t>
      </w:r>
      <w:r w:rsidR="00A17D59">
        <w:t xml:space="preserve"> in the nonregulated City of Kalama</w:t>
      </w:r>
      <w:r w:rsidR="00F962B6">
        <w:t xml:space="preserve"> </w:t>
      </w:r>
      <w:r w:rsidR="00A17D59">
        <w:t xml:space="preserve">and all other </w:t>
      </w:r>
      <w:r w:rsidR="00453F02">
        <w:t xml:space="preserve">parts </w:t>
      </w:r>
      <w:r w:rsidR="00A17D59">
        <w:t xml:space="preserve">of the Company’s </w:t>
      </w:r>
      <w:r w:rsidR="00453F02">
        <w:t xml:space="preserve">overall </w:t>
      </w:r>
      <w:r w:rsidR="00A17D59">
        <w:t>operations</w:t>
      </w:r>
      <w:r w:rsidR="00250411">
        <w:t>,</w:t>
      </w:r>
      <w:r w:rsidR="00A17D59">
        <w:t xml:space="preserve"> </w:t>
      </w:r>
      <w:r w:rsidR="00BB13BA">
        <w:t xml:space="preserve">we </w:t>
      </w:r>
      <w:r w:rsidR="00A17D59">
        <w:t>were well under 10%</w:t>
      </w:r>
      <w:r w:rsidR="00250411">
        <w:t>.  Thus,</w:t>
      </w:r>
      <w:r w:rsidR="00A17D59">
        <w:t xml:space="preserve"> we did not separate the revenue and expenses between regulated and nonregulated operations.</w:t>
      </w:r>
    </w:p>
    <w:p w:rsidR="00A17D59" w:rsidP="00A17D59">
      <w:pPr>
        <w:pStyle w:val="questionjd"/>
      </w:pPr>
      <w:r>
        <w:t>q.</w:t>
      </w:r>
      <w:r>
        <w:tab/>
        <w:t>Was this also in response to advice from the staff of the commission?</w:t>
      </w:r>
    </w:p>
    <w:p w:rsidR="00A17D59" w:rsidP="00A17D59">
      <w:pPr>
        <w:pStyle w:val="answerjd"/>
      </w:pPr>
      <w:r>
        <w:t>A.</w:t>
      </w:r>
      <w:r>
        <w:tab/>
        <w:t>Yes.</w:t>
      </w:r>
      <w:r w:rsidR="00453F02">
        <w:t xml:space="preserve">  As I </w:t>
      </w:r>
      <w:r w:rsidR="00250411">
        <w:t xml:space="preserve">originally </w:t>
      </w:r>
      <w:r w:rsidR="00453F02">
        <w:t>noted in m</w:t>
      </w:r>
      <w:r w:rsidR="00BB13BA">
        <w:t>y</w:t>
      </w:r>
      <w:r w:rsidR="00453F02">
        <w:t xml:space="preserve"> rebuttal testimony, </w:t>
      </w:r>
      <w:r w:rsidR="002B3BF0">
        <w:t xml:space="preserve">Exhibit </w:t>
      </w:r>
      <w:r w:rsidR="00453F02">
        <w:t>JD-41T, p.</w:t>
      </w:r>
      <w:r w:rsidR="003B4CA8">
        <w:t xml:space="preserve"> 31</w:t>
      </w:r>
      <w:r w:rsidRPr="003B4CA8" w:rsidR="00BE2D68">
        <w:t>,</w:t>
      </w:r>
      <w:r w:rsidR="003B4CA8">
        <w:t xml:space="preserve"> lines 19 and 20,</w:t>
      </w:r>
      <w:r w:rsidR="00BE2D68">
        <w:t xml:space="preserve"> after</w:t>
      </w:r>
      <w:r>
        <w:t xml:space="preserve"> our 2009 general rate case</w:t>
      </w:r>
      <w:r w:rsidR="00BB13BA">
        <w:t>,</w:t>
      </w:r>
      <w:r w:rsidR="0066726E">
        <w:t xml:space="preserve"> we were told by the Staff it was unnecessary to separate revenues and expenses in Kalama</w:t>
      </w:r>
      <w:r w:rsidR="005D0BC4">
        <w:t xml:space="preserve"> as we had done historically</w:t>
      </w:r>
      <w:r w:rsidR="007E7CAC">
        <w:t xml:space="preserve">.  </w:t>
      </w:r>
      <w:r w:rsidR="0066726E">
        <w:t xml:space="preserve"> </w:t>
      </w:r>
      <w:r w:rsidR="007E7CAC">
        <w:t>F</w:t>
      </w:r>
      <w:r w:rsidR="0066726E">
        <w:t xml:space="preserve">ollowing that </w:t>
      </w:r>
      <w:r w:rsidR="00BB13BA">
        <w:t xml:space="preserve">advice, </w:t>
      </w:r>
      <w:r w:rsidR="0066726E">
        <w:t>we did not carefully monitor</w:t>
      </w:r>
      <w:r w:rsidR="00BB13BA">
        <w:t xml:space="preserve"> and detail</w:t>
      </w:r>
      <w:r w:rsidR="0066726E">
        <w:t xml:space="preserve"> costs and expenses in Kalama as separate from our overall regulated operations</w:t>
      </w:r>
      <w:r w:rsidR="007E7CAC">
        <w:t>,</w:t>
      </w:r>
      <w:r w:rsidR="0066726E">
        <w:t xml:space="preserve"> largely from that time forward.  </w:t>
      </w:r>
    </w:p>
    <w:p w:rsidR="0066726E" w:rsidP="0066726E">
      <w:pPr>
        <w:pStyle w:val="questionjd"/>
      </w:pPr>
      <w:r>
        <w:t>q.</w:t>
      </w:r>
      <w:r>
        <w:tab/>
        <w:t>IN FILING THAT RATE CASE ON A COMBINED BASIS IN DOCKET NUMBER TG-131794</w:t>
      </w:r>
      <w:r w:rsidR="00BB13BA">
        <w:t>,</w:t>
      </w:r>
      <w:r>
        <w:t xml:space="preserve"> WAS THAT </w:t>
      </w:r>
      <w:r w:rsidR="00BB13BA">
        <w:t xml:space="preserve">also </w:t>
      </w:r>
      <w:r>
        <w:t>THE CIRCUMSTANCE GOING FORWARD?</w:t>
      </w:r>
    </w:p>
    <w:p w:rsidR="0066726E" w:rsidP="0066726E">
      <w:pPr>
        <w:pStyle w:val="answerjd"/>
      </w:pPr>
      <w:r>
        <w:t>A.</w:t>
      </w:r>
      <w:r>
        <w:tab/>
        <w:t xml:space="preserve">No. </w:t>
      </w:r>
      <w:r w:rsidR="007E7CAC">
        <w:t xml:space="preserve"> Actually during the course of d</w:t>
      </w:r>
      <w:r>
        <w:t>iscovery in that filing</w:t>
      </w:r>
      <w:r w:rsidR="007E7CAC">
        <w:t>,</w:t>
      </w:r>
      <w:r>
        <w:t xml:space="preserve"> the Staff auditor developed data and facts and proposed a separation of the results of operations in Kalama</w:t>
      </w:r>
      <w:r w:rsidR="007E7CAC">
        <w:t xml:space="preserve"> in a pro forma</w:t>
      </w:r>
      <w:r>
        <w:t>.</w:t>
      </w:r>
    </w:p>
    <w:p w:rsidR="0066726E" w:rsidP="0066726E">
      <w:pPr>
        <w:pStyle w:val="questionjd"/>
      </w:pPr>
      <w:r>
        <w:t>q.</w:t>
      </w:r>
      <w:r>
        <w:tab/>
        <w:t>when did that occur?</w:t>
      </w:r>
    </w:p>
    <w:p w:rsidR="0066726E" w:rsidP="0066726E">
      <w:pPr>
        <w:pStyle w:val="answerjd"/>
      </w:pPr>
      <w:r>
        <w:t>A.</w:t>
      </w:r>
      <w:r>
        <w:tab/>
        <w:t>Sometime approximately in November 2013.</w:t>
      </w:r>
    </w:p>
    <w:p w:rsidR="0066726E" w:rsidP="0066726E">
      <w:pPr>
        <w:pStyle w:val="questionjd"/>
      </w:pPr>
      <w:r>
        <w:t>q.</w:t>
      </w:r>
      <w:r>
        <w:tab/>
        <w:t xml:space="preserve">what </w:t>
      </w:r>
      <w:r w:rsidR="000F6923">
        <w:t xml:space="preserve">was </w:t>
      </w:r>
      <w:r>
        <w:t>the company’s response?</w:t>
      </w:r>
    </w:p>
    <w:p w:rsidR="0066726E" w:rsidP="0066726E">
      <w:pPr>
        <w:pStyle w:val="answerjd"/>
      </w:pPr>
      <w:r>
        <w:t>A.</w:t>
      </w:r>
      <w:r>
        <w:tab/>
        <w:t xml:space="preserve">Because the proposed results of operations in Kalama only caused a variation of approximately $4,000 in reduction to our proposed revenue requirement, we did not </w:t>
      </w:r>
      <w:r w:rsidR="00BB13BA">
        <w:t xml:space="preserve">contest </w:t>
      </w:r>
      <w:r>
        <w:t>the Staff pro</w:t>
      </w:r>
      <w:r w:rsidR="007E7CAC">
        <w:t xml:space="preserve"> </w:t>
      </w:r>
      <w:r>
        <w:t>forma</w:t>
      </w:r>
      <w:r w:rsidR="007E7CAC">
        <w:t xml:space="preserve"> and accepted it as part of our rate case</w:t>
      </w:r>
      <w:r w:rsidR="00BB13BA">
        <w:t xml:space="preserve"> going forward</w:t>
      </w:r>
      <w:r>
        <w:t>.</w:t>
      </w:r>
    </w:p>
    <w:p w:rsidR="0066726E" w:rsidP="0066726E">
      <w:pPr>
        <w:pStyle w:val="questionjd"/>
      </w:pPr>
      <w:r>
        <w:t>q.</w:t>
      </w:r>
      <w:r>
        <w:tab/>
        <w:t>what use did you make of that separation from that point on?</w:t>
      </w:r>
    </w:p>
    <w:p w:rsidR="0066726E" w:rsidP="0066726E">
      <w:pPr>
        <w:pStyle w:val="answerjd"/>
      </w:pPr>
      <w:r>
        <w:t>A.</w:t>
      </w:r>
      <w:r>
        <w:tab/>
        <w:t xml:space="preserve">Well, after TG-131794 was dismissed over our objection on March 25, 2014, when we refiled as </w:t>
      </w:r>
      <w:r w:rsidR="007E7CAC">
        <w:t xml:space="preserve">authorized </w:t>
      </w:r>
      <w:r>
        <w:t xml:space="preserve">by the Commission </w:t>
      </w:r>
      <w:r w:rsidR="007E7CAC">
        <w:t>in that Order</w:t>
      </w:r>
      <w:r>
        <w:t>, on April 4, 2014</w:t>
      </w:r>
      <w:r w:rsidR="00D33706">
        <w:t>, we</w:t>
      </w:r>
      <w:r>
        <w:t xml:space="preserve"> filed our successive rate case with the adjusted rate year</w:t>
      </w:r>
      <w:r w:rsidR="00BB13BA">
        <w:t>,</w:t>
      </w:r>
      <w:r>
        <w:t xml:space="preserve"> separating the Kalama results of operations as the Staff had proposed during the audit </w:t>
      </w:r>
      <w:r w:rsidR="00250411">
        <w:t xml:space="preserve">phase </w:t>
      </w:r>
      <w:r>
        <w:t>in the previous case.</w:t>
      </w:r>
    </w:p>
    <w:p w:rsidR="0066726E" w:rsidP="0066726E">
      <w:pPr>
        <w:pStyle w:val="questionjd"/>
      </w:pPr>
      <w:r>
        <w:t>q.</w:t>
      </w:r>
      <w:r>
        <w:tab/>
        <w:t>in other words, were you accepting as the latest rendition of results of operations in kalama</w:t>
      </w:r>
      <w:r w:rsidR="002B3BF0">
        <w:t>,</w:t>
      </w:r>
      <w:r>
        <w:t xml:space="preserve"> the staff’s separation</w:t>
      </w:r>
      <w:r w:rsidR="007E7CAC">
        <w:t xml:space="preserve"> of kalama results</w:t>
      </w:r>
      <w:r>
        <w:t>?</w:t>
      </w:r>
    </w:p>
    <w:p w:rsidR="0066726E" w:rsidP="0066726E">
      <w:pPr>
        <w:pStyle w:val="answerjd"/>
      </w:pPr>
      <w:r>
        <w:t>A.</w:t>
      </w:r>
      <w:r>
        <w:tab/>
        <w:t>Yes.</w:t>
      </w:r>
    </w:p>
    <w:p w:rsidR="0066726E" w:rsidP="0066726E">
      <w:pPr>
        <w:pStyle w:val="questionjd"/>
      </w:pPr>
      <w:r>
        <w:t>q.</w:t>
      </w:r>
      <w:r>
        <w:tab/>
        <w:t>what happe</w:t>
      </w:r>
      <w:r w:rsidR="00CF77C2">
        <w:t>n</w:t>
      </w:r>
      <w:r>
        <w:t>ed after that?</w:t>
      </w:r>
    </w:p>
    <w:p w:rsidR="00CF77C2" w:rsidP="00CF77C2">
      <w:pPr>
        <w:pStyle w:val="answerjd"/>
      </w:pPr>
      <w:r>
        <w:t>A.</w:t>
      </w:r>
      <w:r>
        <w:tab/>
        <w:t>Well in May, 2014 after a series of detailed requests to break out customers’ costs</w:t>
      </w:r>
      <w:r w:rsidR="007E7CAC">
        <w:t xml:space="preserve"> in discovery</w:t>
      </w:r>
      <w:r>
        <w:t>,</w:t>
      </w:r>
      <w:r w:rsidR="007E7CAC">
        <w:t xml:space="preserve"> and</w:t>
      </w:r>
      <w:r>
        <w:t xml:space="preserve"> </w:t>
      </w:r>
      <w:r w:rsidR="002B3BF0">
        <w:t xml:space="preserve">produce </w:t>
      </w:r>
      <w:r>
        <w:t xml:space="preserve">allocations and other separations in </w:t>
      </w:r>
      <w:r w:rsidR="00BB13BA">
        <w:t xml:space="preserve">and for </w:t>
      </w:r>
      <w:r>
        <w:t xml:space="preserve">the City of Kalama, we </w:t>
      </w:r>
      <w:r w:rsidR="002B3BF0">
        <w:t xml:space="preserve">continued to </w:t>
      </w:r>
      <w:r>
        <w:t xml:space="preserve">respond to specific Staff data requests about Kalama </w:t>
      </w:r>
      <w:r w:rsidR="005D0BC4">
        <w:t xml:space="preserve">continuing well </w:t>
      </w:r>
      <w:r>
        <w:t>into June</w:t>
      </w:r>
      <w:r w:rsidR="00BB13BA">
        <w:t>,</w:t>
      </w:r>
      <w:r>
        <w:t xml:space="preserve"> 2014.</w:t>
      </w:r>
    </w:p>
    <w:p w:rsidR="00CF77C2" w:rsidP="00CF77C2">
      <w:pPr>
        <w:pStyle w:val="questionjd"/>
      </w:pPr>
      <w:r>
        <w:t>q.</w:t>
      </w:r>
      <w:r>
        <w:tab/>
        <w:t xml:space="preserve">did you </w:t>
      </w:r>
      <w:r w:rsidR="007E7CAC">
        <w:t xml:space="preserve">understand </w:t>
      </w:r>
      <w:r>
        <w:t>where those data requests were leading?</w:t>
      </w:r>
    </w:p>
    <w:p w:rsidR="00CF77C2" w:rsidP="00CF77C2">
      <w:pPr>
        <w:pStyle w:val="answerjd"/>
      </w:pPr>
      <w:r>
        <w:t>A.</w:t>
      </w:r>
      <w:r>
        <w:tab/>
        <w:t>No.  We just believed the Staff wanted to verify some of the assumptions in the separated results for Kalama which again</w:t>
      </w:r>
      <w:r w:rsidR="007E7CAC">
        <w:t>,</w:t>
      </w:r>
      <w:r>
        <w:t xml:space="preserve"> </w:t>
      </w:r>
      <w:r w:rsidRPr="00CF77C2">
        <w:rPr>
          <w:i/>
        </w:rPr>
        <w:t>they</w:t>
      </w:r>
      <w:r>
        <w:t xml:space="preserve"> had initially proposed.</w:t>
      </w:r>
    </w:p>
    <w:p w:rsidR="00CF77C2" w:rsidP="00CF77C2">
      <w:pPr>
        <w:pStyle w:val="questionjd"/>
      </w:pPr>
      <w:r>
        <w:t>q.</w:t>
      </w:r>
      <w:r>
        <w:tab/>
        <w:t>what happened next?</w:t>
      </w:r>
    </w:p>
    <w:p w:rsidR="00CF77C2" w:rsidP="00CF77C2">
      <w:pPr>
        <w:pStyle w:val="answerjd"/>
      </w:pPr>
      <w:r>
        <w:t>A.</w:t>
      </w:r>
      <w:r>
        <w:tab/>
        <w:t>I</w:t>
      </w:r>
      <w:r>
        <w:t xml:space="preserve">n the Staff’s case filing </w:t>
      </w:r>
      <w:r w:rsidR="002B3BF0">
        <w:t xml:space="preserve">in July, </w:t>
      </w:r>
      <w:r w:rsidR="007E7CAC">
        <w:t xml:space="preserve">it </w:t>
      </w:r>
      <w:r>
        <w:t xml:space="preserve">proposed a revised separation of Kalama results attributed largely to independent </w:t>
      </w:r>
      <w:r w:rsidR="005D0BC4">
        <w:t xml:space="preserve">customer count </w:t>
      </w:r>
      <w:r>
        <w:t xml:space="preserve">data it had </w:t>
      </w:r>
      <w:r w:rsidR="007E7CAC">
        <w:t xml:space="preserve">recently </w:t>
      </w:r>
      <w:r>
        <w:t xml:space="preserve">received </w:t>
      </w:r>
      <w:r w:rsidR="008B5A9D">
        <w:t xml:space="preserve">from the City of Kalama and which new separation caused a </w:t>
      </w:r>
      <w:r w:rsidR="007E7CAC">
        <w:t xml:space="preserve">recommended </w:t>
      </w:r>
      <w:r w:rsidR="008B5A9D">
        <w:t>reduction in the revenue requirement to Waste Control of approximately $168,000.</w:t>
      </w:r>
    </w:p>
    <w:p w:rsidR="008B5A9D" w:rsidP="008B5A9D">
      <w:pPr>
        <w:pStyle w:val="questionjd"/>
      </w:pPr>
      <w:r>
        <w:t>q.</w:t>
      </w:r>
      <w:r>
        <w:tab/>
        <w:t>what was your reaction to that Staff position?</w:t>
      </w:r>
    </w:p>
    <w:p w:rsidR="008B5A9D" w:rsidP="008B5A9D">
      <w:pPr>
        <w:pStyle w:val="answerjd"/>
      </w:pPr>
      <w:r>
        <w:t>A.</w:t>
      </w:r>
      <w:r>
        <w:tab/>
        <w:t>F</w:t>
      </w:r>
      <w:r>
        <w:t xml:space="preserve">rankly we were </w:t>
      </w:r>
      <w:r w:rsidR="006C2C5A">
        <w:t xml:space="preserve">astonished about </w:t>
      </w:r>
      <w:r>
        <w:t xml:space="preserve">such a huge swing from the previous pro forma the Staff </w:t>
      </w:r>
      <w:r w:rsidR="005D0BC4">
        <w:t xml:space="preserve">had </w:t>
      </w:r>
      <w:r>
        <w:t xml:space="preserve">provided for Kalama which </w:t>
      </w:r>
      <w:r w:rsidR="00BB13BA">
        <w:t xml:space="preserve">again, </w:t>
      </w:r>
      <w:r>
        <w:t xml:space="preserve">we had </w:t>
      </w:r>
      <w:r w:rsidR="007E7CAC">
        <w:t xml:space="preserve">accepted </w:t>
      </w:r>
      <w:r>
        <w:t>in refiling the case</w:t>
      </w:r>
      <w:r w:rsidR="005D0BC4">
        <w:t>.</w:t>
      </w:r>
      <w:r>
        <w:t xml:space="preserve"> </w:t>
      </w:r>
      <w:r w:rsidR="005D0BC4">
        <w:t xml:space="preserve">We </w:t>
      </w:r>
      <w:r>
        <w:t xml:space="preserve">were </w:t>
      </w:r>
      <w:r w:rsidR="00BB13BA">
        <w:t xml:space="preserve">baffled </w:t>
      </w:r>
      <w:r w:rsidR="007E7CAC">
        <w:t>in</w:t>
      </w:r>
      <w:r w:rsidR="00250411">
        <w:t xml:space="preserve"> now</w:t>
      </w:r>
      <w:r w:rsidR="007E7CAC">
        <w:t xml:space="preserve"> being </w:t>
      </w:r>
      <w:r>
        <w:t xml:space="preserve">told </w:t>
      </w:r>
      <w:r w:rsidR="002B3BF0">
        <w:t xml:space="preserve">by </w:t>
      </w:r>
      <w:r>
        <w:t>the Staff our previous route study was</w:t>
      </w:r>
      <w:r w:rsidR="00BB13BA">
        <w:t xml:space="preserve"> </w:t>
      </w:r>
      <w:r>
        <w:t>inadequate and based on flawed assumptions.</w:t>
      </w:r>
    </w:p>
    <w:p w:rsidR="008B5A9D" w:rsidP="008B5A9D">
      <w:pPr>
        <w:pStyle w:val="questionjd"/>
      </w:pPr>
      <w:r>
        <w:t>q.</w:t>
      </w:r>
      <w:r>
        <w:tab/>
        <w:t>was that a surprise to you?</w:t>
      </w:r>
    </w:p>
    <w:p w:rsidR="008B5A9D" w:rsidP="008B5A9D">
      <w:pPr>
        <w:pStyle w:val="answerjd"/>
      </w:pPr>
      <w:r>
        <w:t>A.</w:t>
      </w:r>
      <w:r>
        <w:tab/>
      </w:r>
      <w:r w:rsidR="002B3BF0">
        <w:t>It was</w:t>
      </w:r>
      <w:r w:rsidR="00792662">
        <w:t>, t</w:t>
      </w:r>
      <w:r>
        <w:t xml:space="preserve">o the extent that while we realized that our original route study had some </w:t>
      </w:r>
      <w:r w:rsidR="00A96B43">
        <w:t>minor flaws</w:t>
      </w:r>
      <w:r>
        <w:t xml:space="preserve">, we had never been told </w:t>
      </w:r>
      <w:r w:rsidR="00584B3B">
        <w:t xml:space="preserve">that </w:t>
      </w:r>
      <w:r w:rsidR="002B3BF0">
        <w:t xml:space="preserve">it was completely unreliable or, for instance, </w:t>
      </w:r>
      <w:r w:rsidR="00584B3B">
        <w:t xml:space="preserve">that the </w:t>
      </w:r>
      <w:r w:rsidR="002B3BF0">
        <w:t xml:space="preserve">interval </w:t>
      </w:r>
      <w:r w:rsidR="00584B3B">
        <w:t xml:space="preserve">of time </w:t>
      </w:r>
      <w:r w:rsidR="0011612C">
        <w:t xml:space="preserve">over which the study was performed </w:t>
      </w:r>
      <w:r w:rsidR="00584B3B">
        <w:t>was insufficient.</w:t>
      </w:r>
    </w:p>
    <w:p w:rsidR="008B5A9D" w:rsidP="008B5A9D">
      <w:pPr>
        <w:pStyle w:val="questionjd"/>
      </w:pPr>
      <w:r>
        <w:t>q.</w:t>
      </w:r>
      <w:r>
        <w:tab/>
        <w:t xml:space="preserve">what was the company’s response to this </w:t>
      </w:r>
      <w:r w:rsidR="007E7CAC">
        <w:t xml:space="preserve">staff </w:t>
      </w:r>
      <w:r>
        <w:t>testimony?</w:t>
      </w:r>
    </w:p>
    <w:p w:rsidR="008B5A9D" w:rsidP="008B5A9D">
      <w:pPr>
        <w:pStyle w:val="answerjd"/>
      </w:pPr>
      <w:r>
        <w:t>A.</w:t>
      </w:r>
      <w:r>
        <w:tab/>
      </w:r>
      <w:r w:rsidR="002B3BF0">
        <w:t>We were obviously quite concerned.  I</w:t>
      </w:r>
      <w:r>
        <w:t xml:space="preserve">n the tight time </w:t>
      </w:r>
      <w:r w:rsidR="005D0BC4">
        <w:t xml:space="preserve">frame </w:t>
      </w:r>
      <w:r>
        <w:t xml:space="preserve">to file the Company </w:t>
      </w:r>
      <w:r w:rsidR="007E7CAC">
        <w:t xml:space="preserve">rebuttal </w:t>
      </w:r>
      <w:r>
        <w:t xml:space="preserve">case, we immediately commissioned a new route study for Kalama, hiring independent contractors to accumulate the </w:t>
      </w:r>
      <w:r w:rsidR="00792662">
        <w:t xml:space="preserve">new </w:t>
      </w:r>
      <w:r>
        <w:t xml:space="preserve">time and motion </w:t>
      </w:r>
      <w:r>
        <w:t>data</w:t>
      </w:r>
      <w:r w:rsidR="00584B3B">
        <w:t xml:space="preserve">  and</w:t>
      </w:r>
      <w:r w:rsidR="00584B3B">
        <w:t xml:space="preserve"> derive any additional results</w:t>
      </w:r>
      <w:r w:rsidR="00D33706">
        <w:t xml:space="preserve"> that cou</w:t>
      </w:r>
      <w:r w:rsidR="00CE1263">
        <w:t xml:space="preserve">ld be contrasted with the Staff’s surprising </w:t>
      </w:r>
      <w:r w:rsidR="00D33706">
        <w:t>proposal.</w:t>
      </w:r>
    </w:p>
    <w:p w:rsidR="008B5A9D" w:rsidP="008B5A9D">
      <w:pPr>
        <w:pStyle w:val="questionjd"/>
      </w:pPr>
      <w:r>
        <w:t>q.</w:t>
      </w:r>
      <w:r>
        <w:tab/>
        <w:t xml:space="preserve">what was the result of that </w:t>
      </w:r>
      <w:r w:rsidR="005D0BC4">
        <w:t xml:space="preserve">new study </w:t>
      </w:r>
      <w:r w:rsidR="00250411">
        <w:t xml:space="preserve">in </w:t>
      </w:r>
      <w:r w:rsidR="002B3BF0">
        <w:t xml:space="preserve">august, 2014 in </w:t>
      </w:r>
      <w:r w:rsidR="00250411">
        <w:t>kalama</w:t>
      </w:r>
      <w:r>
        <w:t>?</w:t>
      </w:r>
    </w:p>
    <w:p w:rsidR="008B5A9D" w:rsidP="008B5A9D">
      <w:pPr>
        <w:pStyle w:val="answerjd"/>
      </w:pPr>
      <w:r>
        <w:t>A.</w:t>
      </w:r>
      <w:r>
        <w:tab/>
        <w:t xml:space="preserve">The result was some recalibrated assumptions and references </w:t>
      </w:r>
      <w:r w:rsidR="00584B3B">
        <w:t xml:space="preserve">that </w:t>
      </w:r>
      <w:r w:rsidR="002B3BF0">
        <w:t xml:space="preserve">actually </w:t>
      </w:r>
      <w:r w:rsidR="00584B3B">
        <w:t xml:space="preserve">produced results very close to </w:t>
      </w:r>
      <w:r w:rsidR="002B3BF0">
        <w:t xml:space="preserve">the </w:t>
      </w:r>
      <w:r w:rsidR="00584B3B">
        <w:t>allocations in the original route study</w:t>
      </w:r>
      <w:r w:rsidR="0011612C">
        <w:t>,</w:t>
      </w:r>
      <w:r w:rsidR="00584B3B">
        <w:t xml:space="preserve"> including total route hours and numbers of pickups.  It reaffirmed</w:t>
      </w:r>
      <w:r w:rsidR="0011612C">
        <w:t xml:space="preserve"> for us</w:t>
      </w:r>
      <w:r w:rsidR="00584B3B">
        <w:t xml:space="preserve"> the original Kalama allocations were considerably more </w:t>
      </w:r>
      <w:r w:rsidR="002B3BF0">
        <w:t xml:space="preserve">reliable </w:t>
      </w:r>
      <w:r w:rsidR="00584B3B">
        <w:t xml:space="preserve">than those </w:t>
      </w:r>
      <w:r w:rsidR="0011612C">
        <w:t xml:space="preserve">being </w:t>
      </w:r>
      <w:r w:rsidR="00584B3B">
        <w:t xml:space="preserve">assigned by Staff in its </w:t>
      </w:r>
      <w:r w:rsidR="0011612C">
        <w:t xml:space="preserve">rebuttal </w:t>
      </w:r>
      <w:r w:rsidR="00584B3B">
        <w:t xml:space="preserve">case.  It thus </w:t>
      </w:r>
      <w:r w:rsidR="00520D99">
        <w:t>provided additional</w:t>
      </w:r>
      <w:r w:rsidR="00A205E1">
        <w:t>,</w:t>
      </w:r>
      <w:r w:rsidR="00520D99">
        <w:t xml:space="preserve"> </w:t>
      </w:r>
      <w:r w:rsidR="002B3BF0">
        <w:t xml:space="preserve">tangible </w:t>
      </w:r>
      <w:r w:rsidR="00520D99">
        <w:t>statistical data to support our claim that the Staff analysis deriving a $168,000-odd reduction in the revenue requirement</w:t>
      </w:r>
      <w:r>
        <w:t xml:space="preserve"> </w:t>
      </w:r>
      <w:r w:rsidR="00520D99">
        <w:t>was</w:t>
      </w:r>
      <w:r w:rsidR="00BE2D68">
        <w:t xml:space="preserve"> </w:t>
      </w:r>
      <w:r w:rsidR="00792662">
        <w:t xml:space="preserve">materially </w:t>
      </w:r>
      <w:r w:rsidR="00BE2D68">
        <w:t>wrong</w:t>
      </w:r>
      <w:r w:rsidR="00520D99">
        <w:t>.</w:t>
      </w:r>
    </w:p>
    <w:p w:rsidR="00520D99" w:rsidP="00520D99">
      <w:pPr>
        <w:pStyle w:val="questionjd"/>
      </w:pPr>
      <w:r>
        <w:t>q.</w:t>
      </w:r>
      <w:r>
        <w:tab/>
        <w:t>did you focus on this issue in your rebuttal testimony?</w:t>
      </w:r>
    </w:p>
    <w:p w:rsidR="00520D99" w:rsidP="00520D99">
      <w:pPr>
        <w:pStyle w:val="answerjd"/>
      </w:pPr>
      <w:r>
        <w:t>A.</w:t>
      </w:r>
      <w:r>
        <w:tab/>
        <w:t xml:space="preserve">Absolutely we did.  Both Layne Demas and </w:t>
      </w:r>
      <w:r w:rsidR="00792662">
        <w:t xml:space="preserve">I </w:t>
      </w:r>
      <w:r>
        <w:t xml:space="preserve">spent considerable time in our rebuttal case </w:t>
      </w:r>
      <w:r w:rsidR="00BE2D68">
        <w:t xml:space="preserve">prefiled </w:t>
      </w:r>
      <w:r>
        <w:t xml:space="preserve">testimony addressing and critiquing the Staff approach and advocating that commingling of results </w:t>
      </w:r>
      <w:r w:rsidR="002B3BF0">
        <w:t xml:space="preserve">remained </w:t>
      </w:r>
      <w:r>
        <w:t>the better approach</w:t>
      </w:r>
      <w:r w:rsidR="002B3BF0">
        <w:t>,</w:t>
      </w:r>
      <w:r>
        <w:t xml:space="preserve"> </w:t>
      </w:r>
      <w:r w:rsidR="00792662">
        <w:t xml:space="preserve">actually benefitting ratepayers </w:t>
      </w:r>
      <w:r>
        <w:t>and fully consistent with the Commission rule</w:t>
      </w:r>
      <w:r w:rsidR="00BE2D68">
        <w:t xml:space="preserve"> on </w:t>
      </w:r>
      <w:r w:rsidR="0011612C">
        <w:t xml:space="preserve">general </w:t>
      </w:r>
      <w:r w:rsidR="00BE2D68">
        <w:t>rate case workpaper submission</w:t>
      </w:r>
      <w:r>
        <w:t>.</w:t>
      </w:r>
    </w:p>
    <w:p w:rsidR="00520D99" w:rsidP="00520D99">
      <w:pPr>
        <w:pStyle w:val="questionjd"/>
      </w:pPr>
      <w:r>
        <w:t>q.</w:t>
      </w:r>
      <w:r>
        <w:tab/>
        <w:t>did the staff in fact ultimately accept that premise?</w:t>
      </w:r>
    </w:p>
    <w:p w:rsidR="00520D99" w:rsidP="00520D99">
      <w:pPr>
        <w:pStyle w:val="answerjd"/>
      </w:pPr>
      <w:r>
        <w:t>A.</w:t>
      </w:r>
      <w:r>
        <w:tab/>
      </w:r>
      <w:r w:rsidR="00587B44">
        <w:t>Not at first.  In fact, we spent a significant am</w:t>
      </w:r>
      <w:r w:rsidR="0011612C">
        <w:t>ount of time in meetings and over</w:t>
      </w:r>
      <w:r w:rsidR="00587B44">
        <w:t xml:space="preserve"> the phone with the auditor</w:t>
      </w:r>
      <w:r w:rsidR="002B3BF0">
        <w:t xml:space="preserve"> in late August</w:t>
      </w:r>
      <w:r w:rsidR="00587B44">
        <w:t xml:space="preserve"> after filing our rebuttal testimony due to her </w:t>
      </w:r>
      <w:r w:rsidR="002B3BF0">
        <w:t xml:space="preserve">continued </w:t>
      </w:r>
      <w:r w:rsidR="0011612C">
        <w:t xml:space="preserve">rejection of </w:t>
      </w:r>
      <w:r w:rsidR="00587B44">
        <w:t>commingl</w:t>
      </w:r>
      <w:r w:rsidR="0011612C">
        <w:t>ing</w:t>
      </w:r>
      <w:r w:rsidR="00587B44">
        <w:t xml:space="preserve"> Kalama.  We subsequently developed and agreed upon appropriate allocators for every single line item in our </w:t>
      </w:r>
      <w:r w:rsidR="0011612C">
        <w:t xml:space="preserve">pro forma rebuttal </w:t>
      </w:r>
      <w:r w:rsidR="005D0BC4">
        <w:t xml:space="preserve">testimony </w:t>
      </w:r>
      <w:r w:rsidR="00587B44">
        <w:t>separation of Kalama operations over a week or more of meetings</w:t>
      </w:r>
      <w:r w:rsidR="0011612C">
        <w:t>,</w:t>
      </w:r>
      <w:r w:rsidR="00587B44">
        <w:t xml:space="preserve"> emails and phone calls.  Once this process was complete</w:t>
      </w:r>
      <w:r w:rsidR="0011612C">
        <w:t>d</w:t>
      </w:r>
      <w:r w:rsidR="00587B44">
        <w:t xml:space="preserve">, the Staff abruptly informed us that they would not be using our </w:t>
      </w:r>
      <w:r w:rsidR="002B3BF0">
        <w:t xml:space="preserve">revised route </w:t>
      </w:r>
      <w:r w:rsidR="00587B44">
        <w:t xml:space="preserve">study or any of the subsequent </w:t>
      </w:r>
      <w:r w:rsidR="002B3BF0">
        <w:t xml:space="preserve">separated </w:t>
      </w:r>
      <w:r w:rsidR="00587B44">
        <w:t xml:space="preserve">allocations that we had spent hours developing </w:t>
      </w:r>
      <w:r w:rsidR="0011612C">
        <w:t xml:space="preserve">with inputs from them </w:t>
      </w:r>
      <w:r w:rsidR="00587B44">
        <w:t xml:space="preserve">since our rebuttal case filing.  </w:t>
      </w:r>
      <w:r w:rsidR="00250411">
        <w:t xml:space="preserve">After </w:t>
      </w:r>
      <w:r w:rsidR="00BF2BDD">
        <w:t xml:space="preserve">these </w:t>
      </w:r>
      <w:r w:rsidR="00250411">
        <w:t>considerable</w:t>
      </w:r>
      <w:r w:rsidR="00BF2BDD">
        <w:t xml:space="preserve"> efforts, t</w:t>
      </w:r>
      <w:r>
        <w:t xml:space="preserve">he Staff, in partial settlement, </w:t>
      </w:r>
      <w:r w:rsidR="005D0BC4">
        <w:t xml:space="preserve">then </w:t>
      </w:r>
      <w:r w:rsidR="0011612C">
        <w:t>surprisingly accept</w:t>
      </w:r>
      <w:r w:rsidR="005D0BC4">
        <w:t>ed</w:t>
      </w:r>
      <w:r w:rsidR="0011612C">
        <w:t xml:space="preserve"> </w:t>
      </w:r>
      <w:r>
        <w:t>commingling Kalama operations so</w:t>
      </w:r>
      <w:r w:rsidR="00A205E1">
        <w:t>,</w:t>
      </w:r>
      <w:r>
        <w:t xml:space="preserve"> in that sense</w:t>
      </w:r>
      <w:r w:rsidR="00792662">
        <w:t>,</w:t>
      </w:r>
      <w:r>
        <w:t xml:space="preserve"> it would appear the Staff ultimately </w:t>
      </w:r>
      <w:r w:rsidR="00587B44">
        <w:t>accepted</w:t>
      </w:r>
      <w:r>
        <w:t xml:space="preserve"> our</w:t>
      </w:r>
      <w:r w:rsidR="00D33706">
        <w:t xml:space="preserve"> position.</w:t>
      </w:r>
    </w:p>
    <w:p w:rsidR="00520D99" w:rsidP="00520D99">
      <w:pPr>
        <w:pStyle w:val="questionjd"/>
      </w:pPr>
      <w:r>
        <w:t>q.</w:t>
      </w:r>
      <w:r>
        <w:tab/>
        <w:t>and how did that impact booth davis’s and williams kastner’s bills in july and august?</w:t>
      </w:r>
    </w:p>
    <w:p w:rsidR="00520D99" w:rsidP="00520D99">
      <w:pPr>
        <w:pStyle w:val="answerjd"/>
      </w:pPr>
      <w:r>
        <w:t>A.</w:t>
      </w:r>
      <w:r>
        <w:tab/>
        <w:t xml:space="preserve">Well, it </w:t>
      </w:r>
      <w:r w:rsidR="00792662">
        <w:t>substantially</w:t>
      </w:r>
      <w:r>
        <w:t xml:space="preserve"> increased the amount of time and cost</w:t>
      </w:r>
      <w:r w:rsidR="0011612C">
        <w:t>s</w:t>
      </w:r>
      <w:r>
        <w:t xml:space="preserve"> incurred in addressing what we thought was a previously accepted approach by commingling </w:t>
      </w:r>
      <w:r w:rsidR="005D0BC4">
        <w:t xml:space="preserve">operations, </w:t>
      </w:r>
      <w:r>
        <w:t xml:space="preserve">or </w:t>
      </w:r>
      <w:r w:rsidR="00250411">
        <w:t xml:space="preserve">alternatively, </w:t>
      </w:r>
      <w:r>
        <w:t xml:space="preserve">in adopting the Staff’s previous </w:t>
      </w:r>
      <w:r w:rsidR="00250411">
        <w:t xml:space="preserve">separated </w:t>
      </w:r>
      <w:r>
        <w:t xml:space="preserve">pro forma results of Kalama which again, had an immaterial effect on our </w:t>
      </w:r>
      <w:r w:rsidR="005D0BC4">
        <w:t xml:space="preserve">overall </w:t>
      </w:r>
      <w:r>
        <w:t>revenue requirement</w:t>
      </w:r>
      <w:r w:rsidR="002B3BF0">
        <w:t xml:space="preserve">. </w:t>
      </w:r>
      <w:r>
        <w:t xml:space="preserve"> </w:t>
      </w:r>
      <w:r w:rsidR="002B3BF0">
        <w:t>T</w:t>
      </w:r>
      <w:r w:rsidR="00A205E1">
        <w:t>he Staff’s</w:t>
      </w:r>
      <w:r>
        <w:t xml:space="preserve"> July </w:t>
      </w:r>
      <w:r w:rsidR="002B3BF0">
        <w:t xml:space="preserve">case </w:t>
      </w:r>
      <w:r>
        <w:t xml:space="preserve">filing turned </w:t>
      </w:r>
      <w:r w:rsidR="002B3BF0">
        <w:t xml:space="preserve">this </w:t>
      </w:r>
      <w:r w:rsidR="005D0BC4">
        <w:t xml:space="preserve">premise </w:t>
      </w:r>
      <w:r>
        <w:t>on its head.</w:t>
      </w:r>
      <w:r w:rsidR="00BE2D68">
        <w:t xml:space="preserve">  </w:t>
      </w:r>
      <w:r w:rsidR="00A96B43">
        <w:t xml:space="preserve">Working with the Company in late July/early August to complete a new route study added a very significant amount of </w:t>
      </w:r>
      <w:r w:rsidR="0011612C">
        <w:t xml:space="preserve">accounting </w:t>
      </w:r>
      <w:r w:rsidR="00A96B43">
        <w:t>professional time and cost</w:t>
      </w:r>
      <w:r w:rsidR="002B3BF0">
        <w:t>s</w:t>
      </w:r>
      <w:r w:rsidR="00A96B43">
        <w:t xml:space="preserve"> as well as overtime and contractor costs for the Company, the latter of which are not being sought for </w:t>
      </w:r>
      <w:r w:rsidR="002B3BF0">
        <w:t xml:space="preserve">rate </w:t>
      </w:r>
      <w:r w:rsidR="00A96B43">
        <w:t xml:space="preserve">recovery here.  We subsequently had to analyze the </w:t>
      </w:r>
      <w:r w:rsidR="002B3BF0">
        <w:t xml:space="preserve">new </w:t>
      </w:r>
      <w:r w:rsidR="00A96B43">
        <w:t>r</w:t>
      </w:r>
      <w:r w:rsidR="0011612C">
        <w:t>ou</w:t>
      </w:r>
      <w:r w:rsidR="00A96B43">
        <w:t xml:space="preserve">te study data and incorporate it into our rebuttal case testimony which </w:t>
      </w:r>
      <w:r w:rsidR="005D0BC4">
        <w:t xml:space="preserve">again </w:t>
      </w:r>
      <w:r w:rsidR="002B3BF0">
        <w:t>exp</w:t>
      </w:r>
      <w:r w:rsidR="00A96B43">
        <w:t xml:space="preserve">ends considerable focus on that issue.  As noted above, before the Staff ultimately accepted the commingling premise, we </w:t>
      </w:r>
      <w:r w:rsidR="005D0BC4">
        <w:t xml:space="preserve">also </w:t>
      </w:r>
      <w:r w:rsidR="00A96B43">
        <w:t>sat down with Staff at the Commission’s offices the afternoon of August 26, 2014 and went line</w:t>
      </w:r>
      <w:r w:rsidR="0011612C">
        <w:t>-</w:t>
      </w:r>
      <w:r w:rsidR="00A96B43">
        <w:t>by</w:t>
      </w:r>
      <w:r w:rsidR="0011612C">
        <w:t>-</w:t>
      </w:r>
      <w:r w:rsidR="00A96B43">
        <w:t xml:space="preserve">line through the Company’s revised Kalama results of operations in its rebuttal </w:t>
      </w:r>
      <w:r w:rsidR="00A96B43">
        <w:t>testimony to resolve allocators and subsequently supplied additional data in response to more questions from the auditor about the Company</w:t>
      </w:r>
      <w:r w:rsidR="0011612C">
        <w:t>’s</w:t>
      </w:r>
      <w:r w:rsidR="00A96B43">
        <w:t xml:space="preserve"> separated results of operations.  </w:t>
      </w:r>
      <w:r w:rsidR="0098667D">
        <w:t>While i</w:t>
      </w:r>
      <w:r w:rsidR="00A96B43">
        <w:t xml:space="preserve">t is </w:t>
      </w:r>
      <w:r w:rsidR="0011612C">
        <w:t xml:space="preserve">now also </w:t>
      </w:r>
      <w:r w:rsidR="00A96B43">
        <w:t xml:space="preserve">very difficult to </w:t>
      </w:r>
      <w:r w:rsidR="0011612C">
        <w:t xml:space="preserve">scientifically </w:t>
      </w:r>
      <w:r w:rsidR="00A96B43">
        <w:t xml:space="preserve">estimate the total number of hours in both </w:t>
      </w:r>
      <w:r w:rsidR="0011612C">
        <w:t>d</w:t>
      </w:r>
      <w:r w:rsidR="00A96B43">
        <w:t>ockets that were allocated to these persistent questions about Kalama</w:t>
      </w:r>
      <w:r w:rsidR="0011612C">
        <w:t>,</w:t>
      </w:r>
      <w:r w:rsidR="00A96B43">
        <w:t xml:space="preserve"> </w:t>
      </w:r>
      <w:r w:rsidR="0098667D">
        <w:t xml:space="preserve">that city represents only about </w:t>
      </w:r>
      <w:r w:rsidR="00A96B43">
        <w:t xml:space="preserve">5.5 percent of </w:t>
      </w:r>
      <w:r w:rsidR="005D0BC4">
        <w:t xml:space="preserve">overall </w:t>
      </w:r>
      <w:r w:rsidR="00A96B43">
        <w:t>revenue in the case.</w:t>
      </w:r>
    </w:p>
    <w:p w:rsidR="00BE2D68" w:rsidP="00BE2D68">
      <w:pPr>
        <w:pStyle w:val="questionjd"/>
      </w:pPr>
      <w:r>
        <w:t>q.</w:t>
      </w:r>
      <w:r>
        <w:tab/>
        <w:t xml:space="preserve">what happened with that company </w:t>
      </w:r>
      <w:r w:rsidR="0098667D">
        <w:t xml:space="preserve">revised </w:t>
      </w:r>
      <w:r>
        <w:t>pro forma</w:t>
      </w:r>
      <w:r w:rsidR="00A205E1">
        <w:t xml:space="preserve"> </w:t>
      </w:r>
      <w:r w:rsidR="0098667D">
        <w:t xml:space="preserve">for kalama </w:t>
      </w:r>
      <w:r w:rsidR="00A205E1">
        <w:t>in your rebuttal testimony</w:t>
      </w:r>
      <w:r>
        <w:t>?</w:t>
      </w:r>
    </w:p>
    <w:p w:rsidR="00BE2D68" w:rsidP="00BE2D68">
      <w:pPr>
        <w:pStyle w:val="answerjd"/>
      </w:pPr>
      <w:r>
        <w:t>A.</w:t>
      </w:r>
      <w:r>
        <w:tab/>
        <w:t xml:space="preserve">It became superfluous when the Staff finally accepted our </w:t>
      </w:r>
      <w:r w:rsidR="00A205E1">
        <w:t xml:space="preserve">original </w:t>
      </w:r>
      <w:r>
        <w:t>commingling premise for Kalama results</w:t>
      </w:r>
      <w:r w:rsidR="0098667D">
        <w:t>,</w:t>
      </w:r>
      <w:r>
        <w:t xml:space="preserve"> approximately </w:t>
      </w:r>
      <w:r w:rsidR="0098667D">
        <w:t>ten days</w:t>
      </w:r>
      <w:r w:rsidR="005D0BC4">
        <w:t xml:space="preserve"> after its filing in rebuttal</w:t>
      </w:r>
      <w:r>
        <w:t>.</w:t>
      </w:r>
    </w:p>
    <w:p w:rsidR="00792662" w:rsidP="00792662">
      <w:pPr>
        <w:pStyle w:val="questionjd"/>
      </w:pPr>
      <w:r>
        <w:t>q.</w:t>
      </w:r>
      <w:r>
        <w:tab/>
        <w:t>and in reviewing your time from july and august, 2014</w:t>
      </w:r>
      <w:r w:rsidR="00A205E1">
        <w:t>,</w:t>
      </w:r>
      <w:r>
        <w:t xml:space="preserve"> how many hours of accounting time do you estimate was spent on the kalama operations issue alone?</w:t>
      </w:r>
    </w:p>
    <w:p w:rsidR="00792662" w:rsidP="00792662">
      <w:pPr>
        <w:pStyle w:val="answerjd"/>
      </w:pPr>
      <w:r>
        <w:t>A.</w:t>
      </w:r>
      <w:r>
        <w:tab/>
      </w:r>
      <w:r w:rsidR="00EE0A15">
        <w:t>Strictly in that two-month time frame, a</w:t>
      </w:r>
      <w:r w:rsidR="001B3FB8">
        <w:t xml:space="preserve">pproximately </w:t>
      </w:r>
      <w:r w:rsidR="00EE0A15">
        <w:t xml:space="preserve">100 </w:t>
      </w:r>
      <w:r>
        <w:t xml:space="preserve">hours </w:t>
      </w:r>
      <w:r w:rsidR="001B3FB8">
        <w:t xml:space="preserve">totaling </w:t>
      </w:r>
      <w:r w:rsidR="00EE0A15">
        <w:t>$18,000</w:t>
      </w:r>
      <w:r w:rsidR="001B3FB8">
        <w:t xml:space="preserve"> in accounting fees </w:t>
      </w:r>
      <w:r>
        <w:t xml:space="preserve">which would have been </w:t>
      </w:r>
      <w:r w:rsidR="0098667D">
        <w:t xml:space="preserve">wholly </w:t>
      </w:r>
      <w:r>
        <w:t xml:space="preserve">unnecessary if either the original TG-131794 position of commingling Kalama had been accepted </w:t>
      </w:r>
      <w:r w:rsidR="00A205E1">
        <w:t xml:space="preserve">or </w:t>
      </w:r>
      <w:r w:rsidR="0011720F">
        <w:t xml:space="preserve">alternatively, </w:t>
      </w:r>
      <w:r w:rsidR="00D33706">
        <w:t>that of Kalama-</w:t>
      </w:r>
      <w:r>
        <w:t>separated as proposed by the Staff in its Kalama pro forma of November, 201</w:t>
      </w:r>
      <w:r w:rsidR="00584B3B">
        <w:t>3</w:t>
      </w:r>
      <w:r>
        <w:t>.</w:t>
      </w:r>
      <w:r w:rsidR="00584B3B">
        <w:t xml:space="preserve">  </w:t>
      </w:r>
      <w:r w:rsidR="0011612C">
        <w:t>As inferred above, t</w:t>
      </w:r>
      <w:r w:rsidR="00584B3B">
        <w:t>otal time spent on Kalama</w:t>
      </w:r>
      <w:r w:rsidR="00D33706">
        <w:t xml:space="preserve"> operations</w:t>
      </w:r>
      <w:r w:rsidR="00584B3B">
        <w:t xml:space="preserve"> in both dockets since their inception would have </w:t>
      </w:r>
      <w:r w:rsidR="005D0BC4">
        <w:t xml:space="preserve">also </w:t>
      </w:r>
      <w:r w:rsidR="0098667D">
        <w:t xml:space="preserve">amounted to </w:t>
      </w:r>
      <w:r w:rsidR="00584B3B">
        <w:t>considerably more</w:t>
      </w:r>
      <w:r w:rsidR="0098667D">
        <w:t xml:space="preserve"> time and expense</w:t>
      </w:r>
      <w:r w:rsidR="00584B3B">
        <w:t>.</w:t>
      </w:r>
    </w:p>
    <w:p w:rsidR="001B3FB8" w:rsidP="004E3A33">
      <w:pPr>
        <w:pStyle w:val="questionjd"/>
      </w:pPr>
      <w:r>
        <w:t>q.</w:t>
      </w:r>
      <w:r>
        <w:tab/>
      </w:r>
      <w:r w:rsidR="00A205E1">
        <w:t xml:space="preserve">and </w:t>
      </w:r>
      <w:r>
        <w:t xml:space="preserve">how would you </w:t>
      </w:r>
      <w:r w:rsidR="00A205E1">
        <w:t xml:space="preserve">generally </w:t>
      </w:r>
      <w:r>
        <w:t xml:space="preserve">characterize the intensity of the discovery, audit and document production </w:t>
      </w:r>
      <w:r w:rsidR="0098667D">
        <w:t>phase</w:t>
      </w:r>
      <w:r w:rsidR="0098667D">
        <w:t xml:space="preserve"> of this case </w:t>
      </w:r>
      <w:r>
        <w:t>vis-à-vis your office’s time in this case?</w:t>
      </w:r>
    </w:p>
    <w:p w:rsidR="001B3FB8">
      <w:pPr>
        <w:pStyle w:val="answerjd"/>
      </w:pPr>
      <w:r>
        <w:t>A.</w:t>
      </w:r>
      <w:r>
        <w:tab/>
      </w:r>
      <w:r w:rsidR="00A205E1">
        <w:t>A</w:t>
      </w:r>
      <w:r w:rsidR="00C5755D">
        <w:t>s is reflected in the bi</w:t>
      </w:r>
      <w:r w:rsidR="00A205E1">
        <w:t xml:space="preserve">ll totals, </w:t>
      </w:r>
      <w:r w:rsidR="0011612C">
        <w:t xml:space="preserve">very </w:t>
      </w:r>
      <w:r w:rsidR="00A205E1">
        <w:t>significant.  I</w:t>
      </w:r>
      <w:r>
        <w:t>t always seemed</w:t>
      </w:r>
      <w:r w:rsidR="004E3A33">
        <w:t>,</w:t>
      </w:r>
      <w:r>
        <w:t xml:space="preserve"> due to the sheer volume of information requested of the Company and the complete rejection </w:t>
      </w:r>
      <w:r w:rsidR="00A205E1">
        <w:t xml:space="preserve">of </w:t>
      </w:r>
      <w:r w:rsidR="0098667D">
        <w:t xml:space="preserve">the concept of </w:t>
      </w:r>
      <w:r w:rsidR="00A205E1">
        <w:t xml:space="preserve">audit sampling by the Staff in both proceedings, </w:t>
      </w:r>
      <w:r>
        <w:t xml:space="preserve">that there was an </w:t>
      </w:r>
      <w:r w:rsidR="005D0BC4">
        <w:t xml:space="preserve">inordinate </w:t>
      </w:r>
      <w:r>
        <w:t xml:space="preserve">effort </w:t>
      </w:r>
      <w:r w:rsidR="00A205E1">
        <w:t xml:space="preserve">by the Staff </w:t>
      </w:r>
      <w:r>
        <w:t xml:space="preserve">to identify data and computations in Company records which would support the lowest possible rate </w:t>
      </w:r>
      <w:r w:rsidR="004E3A33">
        <w:t xml:space="preserve">adjustments for </w:t>
      </w:r>
      <w:r>
        <w:t>the Company.</w:t>
      </w:r>
      <w:r w:rsidR="004E3A33">
        <w:t xml:space="preserve">  While we </w:t>
      </w:r>
      <w:r w:rsidR="0098667D">
        <w:t xml:space="preserve">well </w:t>
      </w:r>
      <w:r w:rsidR="004E3A33">
        <w:t xml:space="preserve">understand the Staff’s concern for ratepayers </w:t>
      </w:r>
      <w:r w:rsidR="00A205E1">
        <w:t xml:space="preserve">and </w:t>
      </w:r>
      <w:r w:rsidR="0098667D">
        <w:t xml:space="preserve">ensuring </w:t>
      </w:r>
      <w:r w:rsidR="0011612C">
        <w:t>regulated</w:t>
      </w:r>
      <w:r w:rsidR="00A205E1">
        <w:t xml:space="preserve"> rates </w:t>
      </w:r>
      <w:r w:rsidR="0098667D">
        <w:t xml:space="preserve">remain </w:t>
      </w:r>
      <w:r w:rsidR="00A205E1">
        <w:t xml:space="preserve">affordable, </w:t>
      </w:r>
      <w:r w:rsidR="004E3A33">
        <w:t xml:space="preserve">we also believe there is a concomitant obligation to establish just, fair and </w:t>
      </w:r>
      <w:r w:rsidRPr="0098667D" w:rsidR="004E3A33">
        <w:rPr>
          <w:i/>
        </w:rPr>
        <w:t>sufficient</w:t>
      </w:r>
      <w:r w:rsidR="004E3A33">
        <w:t xml:space="preserve"> rates for the regulated </w:t>
      </w:r>
      <w:r w:rsidR="0098667D">
        <w:t xml:space="preserve">public service </w:t>
      </w:r>
      <w:r w:rsidR="004E3A33">
        <w:t xml:space="preserve">company to remain viable and we </w:t>
      </w:r>
      <w:r w:rsidR="00584B3B">
        <w:t>unfortunately</w:t>
      </w:r>
      <w:r w:rsidR="00A205E1">
        <w:t xml:space="preserve"> </w:t>
      </w:r>
      <w:r w:rsidR="004E3A33">
        <w:t xml:space="preserve">do not feel that concern received </w:t>
      </w:r>
      <w:r w:rsidR="00A205E1">
        <w:t>equal</w:t>
      </w:r>
      <w:r w:rsidR="004E3A33">
        <w:t xml:space="preserve"> focus or </w:t>
      </w:r>
      <w:r w:rsidR="0098667D">
        <w:t xml:space="preserve">consideration </w:t>
      </w:r>
      <w:r w:rsidR="004E3A33">
        <w:t>in the audit process.</w:t>
      </w:r>
      <w:r w:rsidR="0098667D">
        <w:t xml:space="preserve">  In other words, when it came to disputes on various accounting adjustments including the Company</w:t>
      </w:r>
      <w:r w:rsidR="00D33706">
        <w:t>,</w:t>
      </w:r>
      <w:r w:rsidR="0098667D">
        <w:t xml:space="preserve"> we felt Staff would always advocate for the least amount of rate recovery possible even when past audit treatment and practices for WCI general rate cases contravened current Staff positions on these </w:t>
      </w:r>
      <w:r w:rsidR="00D33706">
        <w:t xml:space="preserve">advocated </w:t>
      </w:r>
      <w:r w:rsidR="0098667D">
        <w:t>adjustments.  This, in turn, begat more challenges and resultant research, document production, data requests and telephone calls to attempt to counter or refute the Staff’s new perspective on critical adjustments like affiliated rents.</w:t>
      </w:r>
    </w:p>
    <w:p w:rsidR="00B4146A" w:rsidP="00B4146A">
      <w:pPr>
        <w:pStyle w:val="questionjd"/>
      </w:pPr>
      <w:r>
        <w:t>q.</w:t>
      </w:r>
      <w:r>
        <w:tab/>
        <w:t xml:space="preserve">does this conclude your supplemental testimony on </w:t>
      </w:r>
      <w:r w:rsidR="00D33706">
        <w:t xml:space="preserve">a miscellaneous </w:t>
      </w:r>
      <w:r>
        <w:t>accounting adjustment that impacted the Company’s rate case costs in this proceeding?</w:t>
      </w:r>
    </w:p>
    <w:p w:rsidR="00B4146A" w:rsidRPr="00B4146A" w:rsidP="00B4146A">
      <w:pPr>
        <w:pStyle w:val="answerjd"/>
      </w:pPr>
      <w:r>
        <w:t>A.</w:t>
      </w:r>
      <w:r>
        <w:tab/>
        <w:t>Yes it does.</w:t>
      </w:r>
    </w:p>
    <w:p w:rsidR="0060145B" w:rsidRPr="0060145B" w:rsidP="0060145B">
      <w:pPr>
        <w:pStyle w:val="questionjd"/>
      </w:pPr>
    </w:p>
    <w:p w:rsidR="00DF4D2E" w:rsidP="00DF4D2E">
      <w:pPr>
        <w:pStyle w:val="answerjd"/>
      </w:pPr>
    </w:p>
    <w:p w:rsidR="00DF4D2E" w:rsidRPr="00880FDA" w:rsidP="00880FDA">
      <w:pPr>
        <w:pStyle w:val="questionjd"/>
      </w:pPr>
    </w:p>
    <w:p w:rsidR="004721E6" w:rsidP="004721E6">
      <w:pPr>
        <w:pStyle w:val="Heading1"/>
        <w:rPr>
          <w:b w:val="0"/>
        </w:rPr>
      </w:pPr>
      <w:r w:rsidRPr="0051374E">
        <w:t>DECLARATION</w:t>
      </w:r>
    </w:p>
    <w:p w:rsidR="004721E6" w:rsidRPr="0051374E" w:rsidP="004721E6">
      <w:pPr>
        <w:pStyle w:val="BodyText2"/>
      </w:pPr>
      <w:r>
        <w:t xml:space="preserve">I hereby swear and affirm under penalty of perjury of the laws of the State of Washington that the foregoing Supplemental Testimony of </w:t>
      </w:r>
      <w:r w:rsidRPr="004721E6">
        <w:t>Jacqueline G. Davis</w:t>
      </w:r>
      <w:r>
        <w:t xml:space="preserve"> is true and correct to the best of my knowledge and belief.</w:t>
      </w:r>
    </w:p>
    <w:p w:rsidR="004721E6" w:rsidP="004721E6">
      <w:pPr>
        <w:pStyle w:val="QUESTION"/>
      </w:pPr>
    </w:p>
    <w:p w:rsidR="004721E6" w:rsidP="004721E6">
      <w:pPr>
        <w:pStyle w:val="TextAfterQuote"/>
      </w:pPr>
      <w:r w:rsidRPr="0051374E">
        <w:t xml:space="preserve">Signed at </w:t>
      </w:r>
      <w:r>
        <w:t>_______________</w:t>
      </w:r>
      <w:r w:rsidR="009906FE">
        <w:t>__</w:t>
      </w:r>
      <w:r w:rsidRPr="0051374E">
        <w:t xml:space="preserve">, Washington, this ___ day of </w:t>
      </w:r>
      <w:r w:rsidR="009906FE">
        <w:t>November</w:t>
      </w:r>
      <w:r w:rsidRPr="0051374E">
        <w:t>, 20</w:t>
      </w:r>
      <w:r>
        <w:t>14</w:t>
      </w:r>
      <w:r w:rsidRPr="0051374E">
        <w:t>.</w:t>
      </w:r>
    </w:p>
    <w:p w:rsidR="004721E6" w:rsidRPr="0051374E" w:rsidP="004721E6">
      <w:pPr>
        <w:pStyle w:val="BodyText2"/>
      </w:pPr>
    </w:p>
    <w:p w:rsidR="00880FDA" w:rsidRPr="00880FDA" w:rsidP="004721E6">
      <w:pPr>
        <w:pStyle w:val="TextAfterQuote"/>
        <w:ind w:left="5760"/>
      </w:pPr>
      <w:r>
        <w:t>____________________________</w:t>
      </w:r>
      <w:r w:rsidRPr="004721E6">
        <w:t>Jacqueline G. Davis</w:t>
      </w:r>
    </w:p>
    <w:p w:rsidR="00880FDA" w:rsidP="00880FDA">
      <w:pPr>
        <w:pStyle w:val="answerjd"/>
      </w:pPr>
    </w:p>
    <w:p w:rsidR="007F1761" w:rsidRPr="007F1761" w:rsidP="00DF7C94">
      <w:pPr>
        <w:pStyle w:val="Judge"/>
        <w:spacing w:line="480" w:lineRule="auto"/>
        <w:ind w:left="720" w:hanging="720"/>
        <w:jc w:val="left"/>
      </w:pPr>
      <w:bookmarkEnd w:id="0"/>
    </w:p>
    <w:sectPr w:rsidSect="00D33706">
      <w:headerReference w:type="default" r:id="rId10"/>
      <w:footerReference w:type="default" r:id="rId11"/>
      <w:pgSz w:w="12240" w:h="15840" w:code="1"/>
      <w:pgMar w:top="1440" w:right="1512" w:bottom="1440" w:left="1541" w:header="720" w:footer="1008" w:gutter="0"/>
      <w:paperSrc w:first="1" w:other="1"/>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FDB" w:rsidRPr="002C4FDB" w:rsidP="002C4FDB">
    <w:pPr>
      <w:spacing w:line="288" w:lineRule="auto"/>
      <w:rPr>
        <w:sz w:val="20"/>
      </w:rPr>
    </w:pPr>
    <w:r w:rsidRPr="002C4FDB">
      <w:rPr>
        <w:sz w:val="20"/>
      </w:rPr>
      <w:t>SUPPLEMENTAL TESTIMONY</w:t>
    </w:r>
    <w:r w:rsidRPr="002C4FDB">
      <w:rPr>
        <w:sz w:val="20"/>
      </w:rPr>
      <w:t xml:space="preserve"> OF JACKIE DAVIS</w:t>
    </w:r>
    <w:r>
      <w:tab/>
    </w:r>
    <w:r>
      <w:tab/>
    </w:r>
    <w:r>
      <w:tab/>
    </w:r>
    <w:r>
      <w:tab/>
      <w:t xml:space="preserve">    </w:t>
    </w:r>
    <w:r w:rsidRPr="002C4FDB">
      <w:rPr>
        <w:sz w:val="20"/>
      </w:rPr>
      <w:t>Exhibit___</w:t>
    </w:r>
    <w:r w:rsidRPr="002C4FDB">
      <w:rPr>
        <w:sz w:val="20"/>
      </w:rPr>
      <w:t>_(</w:t>
    </w:r>
    <w:r w:rsidRPr="002C4FDB">
      <w:rPr>
        <w:sz w:val="20"/>
      </w:rPr>
      <w:t>JD-50T)</w:t>
    </w:r>
  </w:p>
  <w:p w:rsidR="002C4FDB" w:rsidRPr="002C4FDB" w:rsidP="002C4FDB">
    <w:pPr>
      <w:pStyle w:val="Footer"/>
      <w:spacing w:line="160" w:lineRule="exact"/>
      <w:jc w:val="right"/>
    </w:pPr>
    <w:r>
      <w:t xml:space="preserve">___Page </w:t>
    </w:r>
    <w:r>
      <w:fldChar w:fldCharType="begin"/>
    </w:r>
    <w:r>
      <w:instrText xml:space="preserve"> PAGE  \* Arabic  \* MERGEFORMAT </w:instrText>
    </w:r>
    <w:r>
      <w:fldChar w:fldCharType="separate"/>
    </w:r>
    <w:r w:rsidR="002347C8">
      <w:rPr>
        <w:noProof/>
      </w:rPr>
      <w:t>1</w:t>
    </w:r>
    <w:r>
      <w:fldChar w:fldCharType="end"/>
    </w:r>
  </w:p>
  <w:p w:rsidR="002C4FDB" w:rsidP="002C4FDB">
    <w:pPr>
      <w:pStyle w:val="Footer"/>
      <w:spacing w:line="160" w:lineRule="exact"/>
      <w:rPr>
        <w:sz w:val="16"/>
        <w:szCs w:val="18"/>
      </w:rPr>
    </w:pPr>
  </w:p>
  <w:p w:rsidR="00520D99" w:rsidP="008478E5">
    <w:pPr>
      <w:pStyle w:val="Footer"/>
      <w:spacing w:line="160" w:lineRule="exact"/>
      <w:rPr>
        <w:sz w:val="18"/>
        <w:szCs w:val="18"/>
      </w:rPr>
    </w:pPr>
    <w:r>
      <w:rPr>
        <w:sz w:val="16"/>
        <w:szCs w:val="18"/>
      </w:rPr>
      <w:fldChar w:fldCharType="begin"/>
    </w:r>
    <w:r>
      <w:rPr>
        <w:sz w:val="16"/>
        <w:szCs w:val="18"/>
      </w:rPr>
      <w:instrText xml:space="preserve"> </w:instrText>
    </w:r>
    <w:r w:rsidRPr="008478E5">
      <w:rPr>
        <w:sz w:val="16"/>
        <w:szCs w:val="18"/>
      </w:rPr>
      <w:instrText>IF "</w:instrText>
    </w:r>
    <w:r w:rsidRPr="008478E5">
      <w:rPr>
        <w:sz w:val="16"/>
        <w:szCs w:val="18"/>
      </w:rPr>
      <w:instrText>1</w:instrText>
    </w:r>
    <w:r w:rsidRPr="008478E5">
      <w:rPr>
        <w:sz w:val="16"/>
        <w:szCs w:val="18"/>
      </w:rPr>
      <w:instrText>" = "1" "</w:instrText>
    </w:r>
    <w:r w:rsidRPr="008478E5">
      <w:rPr>
        <w:sz w:val="16"/>
        <w:szCs w:val="18"/>
      </w:rPr>
      <w:fldChar w:fldCharType="begin"/>
    </w:r>
    <w:r w:rsidRPr="008478E5">
      <w:rPr>
        <w:sz w:val="16"/>
        <w:szCs w:val="18"/>
      </w:rPr>
      <w:instrText xml:space="preserve"> DOCPROPERTY "SWDocID" </w:instrText>
    </w:r>
    <w:r w:rsidRPr="008478E5">
      <w:rPr>
        <w:sz w:val="16"/>
        <w:szCs w:val="18"/>
      </w:rPr>
      <w:fldChar w:fldCharType="separate"/>
    </w:r>
    <w:r w:rsidR="002347C8">
      <w:rPr>
        <w:sz w:val="16"/>
        <w:szCs w:val="18"/>
      </w:rPr>
      <w:instrText xml:space="preserve"> 5187366.1</w:instrText>
    </w:r>
    <w:r w:rsidRPr="008478E5">
      <w:rPr>
        <w:sz w:val="16"/>
        <w:szCs w:val="18"/>
      </w:rPr>
      <w:fldChar w:fldCharType="end"/>
    </w:r>
    <w:r w:rsidRPr="008478E5">
      <w:rPr>
        <w:sz w:val="16"/>
        <w:szCs w:val="18"/>
      </w:rPr>
      <w:instrText>" ""</w:instrText>
    </w:r>
    <w:r>
      <w:rPr>
        <w:sz w:val="16"/>
        <w:szCs w:val="18"/>
      </w:rPr>
      <w:instrText xml:space="preserve"> </w:instrText>
    </w:r>
    <w:r>
      <w:rPr>
        <w:sz w:val="16"/>
        <w:szCs w:val="18"/>
      </w:rPr>
      <w:fldChar w:fldCharType="separate"/>
    </w:r>
    <w:r w:rsidR="002347C8">
      <w:rPr>
        <w:noProof/>
        <w:sz w:val="16"/>
        <w:szCs w:val="18"/>
      </w:rPr>
      <w:t xml:space="preserve"> 5187366.1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3F02">
    <w:pPr>
      <w:pStyle w:val="Footer"/>
    </w:pPr>
  </w:p>
  <w:p w:rsidR="00453F02" w:rsidP="00453F02">
    <w:pPr>
      <w:pStyle w:val="Footer"/>
    </w:pPr>
    <w:r>
      <w:rPr>
        <w:sz w:val="16"/>
      </w:rPr>
      <w:fldChar w:fldCharType="begin"/>
    </w:r>
    <w:r>
      <w:rPr>
        <w:sz w:val="16"/>
      </w:rPr>
      <w:instrText xml:space="preserve"> </w:instrText>
    </w:r>
    <w:r w:rsidRPr="00453F02">
      <w:rPr>
        <w:sz w:val="16"/>
      </w:rPr>
      <w:instrText>IF "</w:instrText>
    </w:r>
    <w:r w:rsidRPr="00453F02">
      <w:rPr>
        <w:sz w:val="16"/>
      </w:rPr>
      <w:instrText>1</w:instrText>
    </w:r>
    <w:r w:rsidRPr="00453F02">
      <w:rPr>
        <w:sz w:val="16"/>
      </w:rPr>
      <w:instrText>" = "1" "</w:instrText>
    </w:r>
    <w:r w:rsidRPr="00453F02">
      <w:rPr>
        <w:sz w:val="16"/>
      </w:rPr>
      <w:fldChar w:fldCharType="begin"/>
    </w:r>
    <w:r w:rsidRPr="00453F02">
      <w:rPr>
        <w:sz w:val="16"/>
      </w:rPr>
      <w:instrText xml:space="preserve"> DOCPROPERTY "SWDocID" </w:instrText>
    </w:r>
    <w:r w:rsidRPr="00453F02">
      <w:rPr>
        <w:sz w:val="16"/>
      </w:rPr>
      <w:fldChar w:fldCharType="separate"/>
    </w:r>
    <w:r w:rsidR="002347C8">
      <w:rPr>
        <w:sz w:val="16"/>
      </w:rPr>
      <w:instrText xml:space="preserve"> 5187366.1</w:instrText>
    </w:r>
    <w:r w:rsidRPr="00453F02">
      <w:rPr>
        <w:sz w:val="16"/>
      </w:rPr>
      <w:fldChar w:fldCharType="end"/>
    </w:r>
    <w:r w:rsidRPr="00453F02">
      <w:rPr>
        <w:sz w:val="16"/>
      </w:rPr>
      <w:instrText>" ""</w:instrText>
    </w:r>
    <w:r>
      <w:rPr>
        <w:sz w:val="16"/>
      </w:rPr>
      <w:instrText xml:space="preserve"> </w:instrText>
    </w:r>
    <w:r>
      <w:rPr>
        <w:sz w:val="16"/>
      </w:rPr>
      <w:fldChar w:fldCharType="separate"/>
    </w:r>
    <w:r w:rsidR="002347C8">
      <w:rPr>
        <w:noProof/>
        <w:sz w:val="16"/>
      </w:rPr>
      <w:t xml:space="preserve"> 5187366.1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CA8" w:rsidRPr="002C4FDB" w:rsidP="003B4CA8">
    <w:pPr>
      <w:spacing w:line="288" w:lineRule="auto"/>
      <w:rPr>
        <w:sz w:val="20"/>
      </w:rPr>
    </w:pPr>
    <w:r w:rsidRPr="002C4FDB">
      <w:rPr>
        <w:sz w:val="20"/>
      </w:rPr>
      <w:t>SUPPLEMENTAL TESTIMONY OF JACKIE DAVIS</w:t>
    </w:r>
    <w:r>
      <w:tab/>
    </w:r>
    <w:r>
      <w:tab/>
    </w:r>
    <w:r>
      <w:tab/>
    </w:r>
    <w:r>
      <w:tab/>
      <w:t xml:space="preserve">    </w:t>
    </w:r>
    <w:r w:rsidRPr="002C4FDB">
      <w:rPr>
        <w:sz w:val="20"/>
      </w:rPr>
      <w:t>Exhibit___</w:t>
    </w:r>
    <w:r w:rsidRPr="002C4FDB">
      <w:rPr>
        <w:sz w:val="20"/>
      </w:rPr>
      <w:t>_(</w:t>
    </w:r>
    <w:r w:rsidRPr="002C4FDB">
      <w:rPr>
        <w:sz w:val="20"/>
      </w:rPr>
      <w:t>JD-50T)</w:t>
    </w:r>
  </w:p>
  <w:p w:rsidR="00DD016C">
    <w:pPr>
      <w:pStyle w:val="Footer"/>
      <w:jc w:val="right"/>
      <w:rPr>
        <w:noProof/>
      </w:rPr>
    </w:pPr>
    <w:r>
      <w:t xml:space="preserve">Page </w:t>
    </w:r>
    <w:sdt>
      <w:sdtPr>
        <w:id w:val="-19011243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47C8">
          <w:rPr>
            <w:noProof/>
          </w:rPr>
          <w:t>7</w:t>
        </w:r>
        <w:r>
          <w:rPr>
            <w:noProof/>
          </w:rPr>
          <w:fldChar w:fldCharType="end"/>
        </w:r>
      </w:sdtContent>
    </w:sdt>
  </w:p>
  <w:p w:rsidR="003B4CA8" w:rsidP="00DD016C">
    <w:pPr>
      <w:pStyle w:val="Footer"/>
    </w:pPr>
    <w:r>
      <w:rPr>
        <w:sz w:val="16"/>
      </w:rPr>
      <w:fldChar w:fldCharType="begin"/>
    </w:r>
    <w:r>
      <w:rPr>
        <w:sz w:val="16"/>
      </w:rPr>
      <w:instrText xml:space="preserve"> </w:instrText>
    </w:r>
    <w:r w:rsidRPr="00DD016C">
      <w:rPr>
        <w:sz w:val="16"/>
      </w:rPr>
      <w:instrText>IF "</w:instrText>
    </w:r>
    <w:r w:rsidRPr="00DD016C">
      <w:rPr>
        <w:sz w:val="16"/>
      </w:rPr>
      <w:instrText>1</w:instrText>
    </w:r>
    <w:r w:rsidRPr="00DD016C">
      <w:rPr>
        <w:sz w:val="16"/>
      </w:rPr>
      <w:instrText>" = "1" "</w:instrText>
    </w:r>
    <w:r w:rsidRPr="00DD016C">
      <w:rPr>
        <w:sz w:val="16"/>
      </w:rPr>
      <w:fldChar w:fldCharType="begin"/>
    </w:r>
    <w:r w:rsidRPr="00DD016C">
      <w:rPr>
        <w:sz w:val="16"/>
      </w:rPr>
      <w:instrText xml:space="preserve"> DOCPROPERTY "SWDocID" </w:instrText>
    </w:r>
    <w:r w:rsidRPr="00DD016C">
      <w:rPr>
        <w:sz w:val="16"/>
      </w:rPr>
      <w:fldChar w:fldCharType="separate"/>
    </w:r>
    <w:r w:rsidR="002347C8">
      <w:rPr>
        <w:sz w:val="16"/>
      </w:rPr>
      <w:instrText xml:space="preserve"> 5187366.1</w:instrText>
    </w:r>
    <w:r w:rsidRPr="00DD016C">
      <w:rPr>
        <w:sz w:val="16"/>
      </w:rPr>
      <w:fldChar w:fldCharType="end"/>
    </w:r>
    <w:r w:rsidRPr="00DD016C">
      <w:rPr>
        <w:sz w:val="16"/>
      </w:rPr>
      <w:instrText>" ""</w:instrText>
    </w:r>
    <w:r>
      <w:rPr>
        <w:sz w:val="16"/>
      </w:rPr>
      <w:instrText xml:space="preserve"> </w:instrText>
    </w:r>
    <w:r>
      <w:rPr>
        <w:sz w:val="16"/>
      </w:rPr>
      <w:fldChar w:fldCharType="separate"/>
    </w:r>
    <w:r w:rsidR="002347C8">
      <w:rPr>
        <w:noProof/>
        <w:sz w:val="16"/>
      </w:rPr>
      <w:t xml:space="preserve"> 5187366.1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FDB" w:rsidRPr="002C4FDB" w:rsidP="002C4FDB">
    <w:pPr>
      <w:spacing w:line="240" w:lineRule="auto"/>
      <w:jc w:val="right"/>
      <w:rPr>
        <w:sz w:val="20"/>
      </w:rPr>
    </w:pPr>
    <w:r w:rsidRPr="002C4FDB">
      <w:rPr>
        <w:sz w:val="20"/>
      </w:rPr>
      <w:t>Exhibit___</w:t>
    </w:r>
    <w:r w:rsidRPr="002C4FDB">
      <w:rPr>
        <w:sz w:val="20"/>
      </w:rPr>
      <w:t>_(</w:t>
    </w:r>
    <w:r w:rsidRPr="002C4FDB">
      <w:rPr>
        <w:sz w:val="20"/>
      </w:rPr>
      <w:t>JD-50T)</w:t>
    </w:r>
  </w:p>
  <w:p w:rsidR="002C4FDB" w:rsidRPr="002C4FDB" w:rsidP="002C4FDB">
    <w:pPr>
      <w:pStyle w:val="Footer"/>
      <w:spacing w:line="240" w:lineRule="auto"/>
      <w:jc w:val="right"/>
    </w:pPr>
    <w:r w:rsidRPr="002C4FDB">
      <w:t>Docket No. TG-140560</w:t>
    </w:r>
  </w:p>
  <w:p w:rsidR="002C4FDB" w:rsidRPr="002C4FDB" w:rsidP="002C4FDB">
    <w:pPr>
      <w:pStyle w:val="Footer"/>
      <w:spacing w:line="240" w:lineRule="auto"/>
      <w:jc w:val="right"/>
    </w:pPr>
    <w:r w:rsidRPr="002C4FDB">
      <w:t>Witness Jackie Davis</w:t>
    </w:r>
  </w:p>
  <w:p w:rsidR="002C4FDB" w:rsidRPr="002C4FDB" w:rsidP="002C4F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99" w:rsidP="002C4FDB">
    <w:pPr>
      <w:pStyle w:val="Header"/>
      <w:jc w:val="right"/>
      <w:rPr>
        <w:sz w:val="20"/>
      </w:rPr>
    </w:pPr>
    <w:r>
      <w:rPr>
        <w:noProof/>
        <w:sz w:val="20"/>
      </w:rPr>
      <w:pict>
        <v:shapetype id="_x0000_t202" coordsize="21600,21600" o:spt="202" path="m,l,21600r21600,l21600,xe">
          <v:stroke joinstyle="miter"/>
          <v:path gradientshapeok="t" o:connecttype="rect"/>
        </v:shapetype>
        <v:shape id="LineNumbers" o:spid="_x0000_s2049" type="#_x0000_t202" style="height:597.6pt;margin-left:-50.4pt;margin-top:0;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36pt;z-index:251658240" o:allowincell="f" stroked="f">
          <v:textbox inset="0,0,0,0">
            <w:txbxContent>
              <w:p w:rsidR="00520D99">
                <w:pPr>
                  <w:spacing w:line="480" w:lineRule="exact"/>
                  <w:jc w:val="right"/>
                </w:pPr>
                <w:r>
                  <w:t>1</w:t>
                </w:r>
              </w:p>
              <w:p w:rsidR="00520D99">
                <w:pPr>
                  <w:spacing w:line="480" w:lineRule="exact"/>
                  <w:jc w:val="right"/>
                </w:pPr>
                <w:r>
                  <w:t>2</w:t>
                </w:r>
              </w:p>
              <w:p w:rsidR="00520D99">
                <w:pPr>
                  <w:spacing w:line="480" w:lineRule="exact"/>
                  <w:jc w:val="right"/>
                </w:pPr>
                <w:r>
                  <w:t>3</w:t>
                </w:r>
              </w:p>
              <w:p w:rsidR="00520D99">
                <w:pPr>
                  <w:spacing w:line="480" w:lineRule="exact"/>
                  <w:jc w:val="right"/>
                </w:pPr>
                <w:r>
                  <w:t>4</w:t>
                </w:r>
              </w:p>
              <w:p w:rsidR="00520D99">
                <w:pPr>
                  <w:spacing w:line="480" w:lineRule="exact"/>
                  <w:jc w:val="right"/>
                </w:pPr>
                <w:r>
                  <w:t>5</w:t>
                </w:r>
              </w:p>
              <w:p w:rsidR="00520D99">
                <w:pPr>
                  <w:spacing w:line="480" w:lineRule="exact"/>
                  <w:jc w:val="right"/>
                </w:pPr>
                <w:r>
                  <w:t>6</w:t>
                </w:r>
              </w:p>
              <w:p w:rsidR="00520D99">
                <w:pPr>
                  <w:spacing w:line="480" w:lineRule="exact"/>
                  <w:jc w:val="right"/>
                </w:pPr>
                <w:r>
                  <w:t>7</w:t>
                </w:r>
              </w:p>
              <w:p w:rsidR="00520D99">
                <w:pPr>
                  <w:spacing w:line="480" w:lineRule="exact"/>
                  <w:jc w:val="right"/>
                </w:pPr>
                <w:r>
                  <w:t>8</w:t>
                </w:r>
              </w:p>
              <w:p w:rsidR="00520D99">
                <w:pPr>
                  <w:spacing w:line="480" w:lineRule="exact"/>
                  <w:jc w:val="right"/>
                </w:pPr>
                <w:r>
                  <w:t>9</w:t>
                </w:r>
              </w:p>
              <w:p w:rsidR="00520D99">
                <w:pPr>
                  <w:spacing w:line="480" w:lineRule="exact"/>
                  <w:jc w:val="right"/>
                </w:pPr>
                <w:r>
                  <w:t>10</w:t>
                </w:r>
              </w:p>
              <w:p w:rsidR="00520D99">
                <w:pPr>
                  <w:spacing w:line="480" w:lineRule="exact"/>
                  <w:jc w:val="right"/>
                </w:pPr>
                <w:r>
                  <w:t>11</w:t>
                </w:r>
              </w:p>
              <w:p w:rsidR="00520D99">
                <w:pPr>
                  <w:spacing w:line="480" w:lineRule="exact"/>
                  <w:jc w:val="right"/>
                </w:pPr>
                <w:r>
                  <w:t>12</w:t>
                </w:r>
              </w:p>
              <w:p w:rsidR="00520D99">
                <w:pPr>
                  <w:spacing w:line="480" w:lineRule="exact"/>
                  <w:jc w:val="right"/>
                </w:pPr>
                <w:r>
                  <w:t>13</w:t>
                </w:r>
              </w:p>
              <w:p w:rsidR="00520D99">
                <w:pPr>
                  <w:spacing w:line="480" w:lineRule="exact"/>
                  <w:jc w:val="right"/>
                </w:pPr>
                <w:r>
                  <w:t>14</w:t>
                </w:r>
              </w:p>
              <w:p w:rsidR="00520D99">
                <w:pPr>
                  <w:spacing w:line="480" w:lineRule="exact"/>
                  <w:jc w:val="right"/>
                </w:pPr>
                <w:r>
                  <w:t>15</w:t>
                </w:r>
              </w:p>
              <w:p w:rsidR="00520D99">
                <w:pPr>
                  <w:spacing w:line="480" w:lineRule="exact"/>
                  <w:jc w:val="right"/>
                </w:pPr>
                <w:r>
                  <w:t>16</w:t>
                </w:r>
              </w:p>
              <w:p w:rsidR="00520D99">
                <w:pPr>
                  <w:spacing w:line="480" w:lineRule="exact"/>
                  <w:jc w:val="right"/>
                </w:pPr>
                <w:r>
                  <w:t>17</w:t>
                </w:r>
              </w:p>
              <w:p w:rsidR="00520D99">
                <w:pPr>
                  <w:spacing w:line="480" w:lineRule="exact"/>
                  <w:jc w:val="right"/>
                </w:pPr>
                <w:r>
                  <w:t>18</w:t>
                </w:r>
              </w:p>
              <w:p w:rsidR="00520D99">
                <w:pPr>
                  <w:spacing w:line="480" w:lineRule="exact"/>
                  <w:jc w:val="right"/>
                </w:pPr>
                <w:r>
                  <w:t>19</w:t>
                </w:r>
              </w:p>
              <w:p w:rsidR="00520D99">
                <w:pPr>
                  <w:spacing w:line="480" w:lineRule="exact"/>
                  <w:jc w:val="right"/>
                </w:pPr>
                <w:r>
                  <w:t>20</w:t>
                </w:r>
              </w:p>
              <w:p w:rsidR="00520D99">
                <w:pPr>
                  <w:spacing w:line="480" w:lineRule="exact"/>
                  <w:jc w:val="right"/>
                </w:pPr>
                <w:r>
                  <w:t>21</w:t>
                </w:r>
              </w:p>
              <w:p w:rsidR="00520D99">
                <w:pPr>
                  <w:spacing w:line="480" w:lineRule="exact"/>
                  <w:jc w:val="right"/>
                </w:pPr>
                <w:r>
                  <w:t>22</w:t>
                </w:r>
              </w:p>
              <w:p w:rsidR="00520D99">
                <w:pPr>
                  <w:spacing w:line="480" w:lineRule="exact"/>
                  <w:jc w:val="right"/>
                </w:pPr>
                <w:r>
                  <w:t>23</w:t>
                </w:r>
              </w:p>
              <w:p w:rsidR="00520D99">
                <w:pPr>
                  <w:spacing w:line="480" w:lineRule="exact"/>
                  <w:jc w:val="right"/>
                </w:pPr>
                <w:r>
                  <w:t>24</w:t>
                </w:r>
              </w:p>
              <w:p w:rsidR="00520D99">
                <w:pPr>
                  <w:spacing w:line="480" w:lineRule="exact"/>
                  <w:jc w:val="right"/>
                </w:pPr>
                <w:r>
                  <w:t>25</w:t>
                </w:r>
              </w:p>
              <w:p w:rsidR="00520D99">
                <w:pPr>
                  <w:spacing w:line="480" w:lineRule="atLeast"/>
                  <w:jc w:val="right"/>
                </w:pPr>
              </w:p>
            </w:txbxContent>
          </v:textbox>
          <w10:wrap anchorx="margin" anchory="margin"/>
        </v:shape>
      </w:pict>
    </w:r>
    <w:r>
      <w:rPr>
        <w:sz w:val="20"/>
      </w:rPr>
      <w:t xml:space="preserve"> </w:t>
    </w:r>
  </w:p>
  <w:p w:rsidR="00520D99" w:rsidRPr="00FB1779" w:rsidP="004750D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7765641"/>
    <w:multiLevelType w:val="multilevel"/>
    <w:tmpl w:val="FF82ACEC"/>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3">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characterSpacingControl w:val="doNotCompress"/>
  <w:doNotEmbedSmartTags/>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note text" w:qFormat="1"/>
    <w:lsdException w:name="header" w:uiPriority="99"/>
    <w:lsdException w:name="footer" w:uiPriority="99"/>
    <w:lsdException w:name="Title" w:qFormat="1"/>
    <w:lsdException w:name="Body Text" w:qFormat="1"/>
    <w:lsdException w:name="Body Text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rsid w:val="00880FDA"/>
    <w:pPr>
      <w:keepNext/>
      <w:keepLines/>
      <w:widowControl w:val="0"/>
      <w:numPr>
        <w:numId w:val="14"/>
      </w:numPr>
      <w:spacing w:after="240"/>
      <w:jc w:val="center"/>
      <w:outlineLvl w:val="0"/>
    </w:pPr>
    <w:rPr>
      <w:b/>
      <w:bCs/>
      <w:caps/>
      <w:kern w:val="28"/>
      <w:szCs w:val="32"/>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link w:val="BodyText2Char"/>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spacing w:line="240" w:lineRule="atLeast"/>
    </w:pPr>
    <w:rPr>
      <w:sz w:val="20"/>
    </w:rPr>
  </w:style>
  <w:style w:type="paragraph" w:styleId="FootnoteText">
    <w:name w:val="footnote text"/>
    <w:basedOn w:val="Normal"/>
    <w:qFormat/>
    <w:rPr>
      <w:sz w:val="20"/>
    </w:r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link w:val="JudgeChar"/>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4750D8"/>
    <w:rPr>
      <w:color w:val="808080"/>
    </w:rPr>
  </w:style>
  <w:style w:type="paragraph" w:styleId="BalloonText">
    <w:name w:val="Balloon Text"/>
    <w:basedOn w:val="Normal"/>
    <w:link w:val="BalloonTextChar"/>
    <w:rsid w:val="004750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50D8"/>
    <w:rPr>
      <w:rFonts w:ascii="Tahoma" w:hAnsi="Tahoma" w:cs="Tahoma"/>
      <w:sz w:val="16"/>
      <w:szCs w:val="16"/>
    </w:rPr>
  </w:style>
  <w:style w:type="character" w:customStyle="1" w:styleId="HeaderChar">
    <w:name w:val="Header Char"/>
    <w:link w:val="Header"/>
    <w:uiPriority w:val="99"/>
    <w:rsid w:val="004750D8"/>
    <w:rPr>
      <w:sz w:val="24"/>
    </w:rPr>
  </w:style>
  <w:style w:type="character" w:styleId="CommentReference">
    <w:name w:val="annotation reference"/>
    <w:basedOn w:val="DefaultParagraphFont"/>
    <w:rsid w:val="00263836"/>
    <w:rPr>
      <w:sz w:val="16"/>
      <w:szCs w:val="16"/>
    </w:rPr>
  </w:style>
  <w:style w:type="paragraph" w:styleId="CommentText">
    <w:name w:val="annotation text"/>
    <w:basedOn w:val="Normal"/>
    <w:link w:val="CommentTextChar"/>
    <w:rsid w:val="00263836"/>
    <w:pPr>
      <w:spacing w:line="240" w:lineRule="auto"/>
    </w:pPr>
    <w:rPr>
      <w:sz w:val="20"/>
    </w:rPr>
  </w:style>
  <w:style w:type="character" w:customStyle="1" w:styleId="CommentTextChar">
    <w:name w:val="Comment Text Char"/>
    <w:basedOn w:val="DefaultParagraphFont"/>
    <w:link w:val="CommentText"/>
    <w:rsid w:val="00263836"/>
  </w:style>
  <w:style w:type="paragraph" w:styleId="CommentSubject">
    <w:name w:val="annotation subject"/>
    <w:basedOn w:val="CommentText"/>
    <w:next w:val="CommentText"/>
    <w:link w:val="CommentSubjectChar"/>
    <w:rsid w:val="00263836"/>
    <w:rPr>
      <w:b/>
      <w:bCs/>
    </w:rPr>
  </w:style>
  <w:style w:type="character" w:customStyle="1" w:styleId="CommentSubjectChar">
    <w:name w:val="Comment Subject Char"/>
    <w:basedOn w:val="CommentTextChar"/>
    <w:link w:val="CommentSubject"/>
    <w:rsid w:val="00263836"/>
    <w:rPr>
      <w:b/>
      <w:bCs/>
    </w:rPr>
  </w:style>
  <w:style w:type="character" w:customStyle="1" w:styleId="JudgeChar">
    <w:name w:val="Judge Char"/>
    <w:basedOn w:val="DefaultParagraphFont"/>
    <w:link w:val="Judge"/>
    <w:semiHidden/>
    <w:rsid w:val="00880FDA"/>
    <w:rPr>
      <w:sz w:val="24"/>
      <w:szCs w:val="24"/>
    </w:rPr>
  </w:style>
  <w:style w:type="paragraph" w:customStyle="1" w:styleId="questionjd">
    <w:name w:val="questionjd"/>
    <w:basedOn w:val="Judge"/>
    <w:next w:val="answerjd"/>
    <w:link w:val="questionjdChar"/>
    <w:qFormat/>
    <w:rsid w:val="00DF4D2E"/>
    <w:pPr>
      <w:spacing w:after="240" w:line="240" w:lineRule="auto"/>
      <w:ind w:left="720" w:hanging="720"/>
      <w:jc w:val="left"/>
    </w:pPr>
    <w:rPr>
      <w:b/>
      <w:caps/>
    </w:rPr>
  </w:style>
  <w:style w:type="paragraph" w:customStyle="1" w:styleId="answerjd">
    <w:name w:val="answerjd"/>
    <w:basedOn w:val="Judge"/>
    <w:next w:val="questionjd"/>
    <w:link w:val="answerjdChar"/>
    <w:qFormat/>
    <w:rsid w:val="00DF4D2E"/>
    <w:pPr>
      <w:spacing w:line="480" w:lineRule="exact"/>
      <w:ind w:left="720" w:hanging="720"/>
      <w:jc w:val="left"/>
    </w:pPr>
  </w:style>
  <w:style w:type="character" w:customStyle="1" w:styleId="questionjdChar">
    <w:name w:val="questionjd Char"/>
    <w:basedOn w:val="JudgeChar"/>
    <w:link w:val="questionjd"/>
    <w:rsid w:val="00DF4D2E"/>
    <w:rPr>
      <w:b/>
      <w:caps/>
      <w:sz w:val="24"/>
      <w:szCs w:val="24"/>
    </w:rPr>
  </w:style>
  <w:style w:type="character" w:customStyle="1" w:styleId="answerjdChar">
    <w:name w:val="answerjd Char"/>
    <w:basedOn w:val="JudgeChar"/>
    <w:link w:val="answerjd"/>
    <w:rsid w:val="00DF4D2E"/>
    <w:rPr>
      <w:sz w:val="24"/>
      <w:szCs w:val="24"/>
    </w:rPr>
  </w:style>
  <w:style w:type="character" w:customStyle="1" w:styleId="FooterChar">
    <w:name w:val="Footer Char"/>
    <w:basedOn w:val="DefaultParagraphFont"/>
    <w:link w:val="Footer"/>
    <w:uiPriority w:val="99"/>
    <w:rsid w:val="003B4CA8"/>
  </w:style>
  <w:style w:type="paragraph" w:styleId="Revision">
    <w:name w:val="Revision"/>
    <w:hidden/>
    <w:uiPriority w:val="99"/>
    <w:semiHidden/>
    <w:rsid w:val="00BF2BDD"/>
    <w:rPr>
      <w:sz w:val="24"/>
    </w:rPr>
  </w:style>
  <w:style w:type="character" w:customStyle="1" w:styleId="BodyText2Char">
    <w:name w:val="Body Text 2 Char"/>
    <w:basedOn w:val="DefaultParagraphFont"/>
    <w:link w:val="BodyText2"/>
    <w:rsid w:val="004721E6"/>
    <w:rPr>
      <w:sz w:val="24"/>
    </w:rPr>
  </w:style>
  <w:style w:type="paragraph" w:customStyle="1" w:styleId="QUESTION">
    <w:name w:val="QUESTION"/>
    <w:basedOn w:val="Normal"/>
    <w:next w:val="Normal"/>
    <w:link w:val="QUESTIONChar"/>
    <w:qFormat/>
    <w:rsid w:val="004721E6"/>
    <w:pPr>
      <w:spacing w:line="240" w:lineRule="auto"/>
      <w:ind w:left="720" w:hanging="720"/>
    </w:pPr>
    <w:rPr>
      <w:b/>
      <w:caps/>
      <w:szCs w:val="24"/>
    </w:rPr>
  </w:style>
  <w:style w:type="character" w:customStyle="1" w:styleId="QUESTIONChar">
    <w:name w:val="QUESTION Char"/>
    <w:basedOn w:val="DefaultParagraphFont"/>
    <w:link w:val="QUESTION"/>
    <w:rsid w:val="004721E6"/>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webSettings" Target="webSettings.xml"/><Relationship Id="rId16"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footer" Target="footer4.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1.xml"/><Relationship Id="rId10" Type="http://schemas.openxmlformats.org/officeDocument/2006/relationships/header" Target="header4.xml"/><Relationship Id="rId14" Type="http://schemas.openxmlformats.org/officeDocument/2006/relationships/styles" Target="styles.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2014-11-07T08:00:00+00:00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2E058E-673C-4FBD-9E9D-C02B951215EC}"/>
</file>

<file path=customXml/itemProps2.xml><?xml version="1.0" encoding="utf-8"?>
<ds:datastoreItem xmlns:ds="http://schemas.openxmlformats.org/officeDocument/2006/customXml" ds:itemID="{0CD9779D-170F-4089-9F92-6516D3C18FDF}"/>
</file>

<file path=customXml/itemProps3.xml><?xml version="1.0" encoding="utf-8"?>
<ds:datastoreItem xmlns:ds="http://schemas.openxmlformats.org/officeDocument/2006/customXml" ds:itemID="{40908DC1-EB69-4A52-B2FD-1B6E9154BCE0}"/>
</file>

<file path=customXml/itemProps4.xml><?xml version="1.0" encoding="utf-8"?>
<ds:datastoreItem xmlns:ds="http://schemas.openxmlformats.org/officeDocument/2006/customXml" ds:itemID="{BAFC3188-E297-41E6-86E7-D9E96ABB0207}"/>
</file>

<file path=docProps/app.xml><?xml version="1.0" encoding="utf-8"?>
<Properties xmlns="http://schemas.openxmlformats.org/officeDocument/2006/extended-properties" xmlns:vt="http://schemas.openxmlformats.org/officeDocument/2006/docPropsVTypes">
  <Template>wkg-wa sup.dotx</Template>
  <TotalTime>0</TotalTime>
  <Pages>8</Pages>
  <Words>2035</Words>
  <Characters>10554</Characters>
  <Application>Microsoft Office Word</Application>
  <DocSecurity>0</DocSecurity>
  <Lines>233</Lines>
  <Paragraphs>76</Paragraphs>
  <ScaleCrop>false</ScaleCrop>
  <HeadingPairs>
    <vt:vector size="2" baseType="variant">
      <vt:variant>
        <vt:lpstr>Title</vt:lpstr>
      </vt:variant>
      <vt:variant>
        <vt:i4>1</vt:i4>
      </vt:variant>
    </vt:vector>
  </HeadingPairs>
  <TitlesOfParts>
    <vt:vector size="1" baseType="lpstr">
      <vt:lpstr>The Honorable </vt:lpstr>
    </vt:vector>
  </TitlesOfParts>
  <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2014-11-07T22:52:28Z</dcterms:created>
  <dcterms:modified xsi:type="dcterms:W3CDTF">2014-11-07T22:52:28Z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5187366.1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