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2.0.0 -->
  <w:body>
    <w:p w:rsidR="00FD6404" w:rsidRPr="002B1D93" w:rsidP="00FD6404">
      <w:pPr>
        <w:pStyle w:val="Header"/>
        <w:jc w:val="center"/>
        <w:rPr>
          <w:rFonts w:ascii="Times New Roman" w:hAnsi="Times New Roman"/>
        </w:rPr>
      </w:pPr>
    </w:p>
    <w:p w:rsidR="00FD6404" w:rsidRPr="002B1D93" w:rsidP="00FD6404">
      <w:pPr>
        <w:pStyle w:val="Header"/>
        <w:jc w:val="center"/>
        <w:rPr>
          <w:rFonts w:ascii="Times New Roman" w:hAnsi="Times New Roman"/>
        </w:rPr>
      </w:pPr>
      <w:bookmarkStart w:id="0" w:name="_GoBack"/>
    </w:p>
    <w:p w:rsidR="00FD6404" w:rsidRPr="002B1D93" w:rsidP="00FD6404">
      <w:pPr>
        <w:pStyle w:val="Header"/>
        <w:jc w:val="center"/>
        <w:rPr>
          <w:rFonts w:ascii="Times New Roman" w:hAnsi="Times New Roman"/>
        </w:rPr>
      </w:pPr>
      <w:bookmarkEnd w:id="0"/>
    </w:p>
    <w:p w:rsidR="00FD6404" w:rsidRPr="002B1D93" w:rsidP="00FD6404">
      <w:pPr>
        <w:pStyle w:val="Header"/>
        <w:jc w:val="center"/>
        <w:rPr>
          <w:rFonts w:ascii="Times New Roman" w:hAnsi="Times New Roman"/>
        </w:rPr>
      </w:pPr>
    </w:p>
    <w:p w:rsidR="00FD6404" w:rsidRPr="002B1D93" w:rsidP="00FD6404">
      <w:pPr>
        <w:pStyle w:val="Header"/>
        <w:jc w:val="center"/>
        <w:rPr>
          <w:rFonts w:ascii="Times New Roman" w:hAnsi="Times New Roman"/>
        </w:rPr>
      </w:pPr>
    </w:p>
    <w:p w:rsidR="00FD6404" w:rsidRPr="002B1D93" w:rsidP="00FD6404">
      <w:pPr>
        <w:pStyle w:val="Header"/>
        <w:jc w:val="center"/>
        <w:rPr>
          <w:rFonts w:ascii="Times New Roman" w:hAnsi="Times New Roman"/>
        </w:rPr>
      </w:pPr>
      <w:r w:rsidRPr="002B1D93">
        <w:rPr>
          <w:rFonts w:ascii="Times New Roman" w:hAnsi="Times New Roman"/>
        </w:rPr>
        <w:t>BEFORE</w:t>
      </w:r>
      <w:r w:rsidRPr="002B1D93" w:rsidR="008D10FE">
        <w:rPr>
          <w:rFonts w:ascii="Times New Roman" w:hAnsi="Times New Roman"/>
        </w:rPr>
        <w:t xml:space="preserve"> THE WASHINGTON </w:t>
      </w:r>
      <w:r w:rsidRPr="002B1D93">
        <w:rPr>
          <w:rFonts w:ascii="Times New Roman" w:hAnsi="Times New Roman"/>
        </w:rPr>
        <w:t xml:space="preserve">STATE </w:t>
      </w:r>
      <w:r w:rsidRPr="002B1D93" w:rsidR="008D10FE">
        <w:rPr>
          <w:rFonts w:ascii="Times New Roman" w:hAnsi="Times New Roman"/>
        </w:rPr>
        <w:t>UTILITIES AND</w:t>
      </w:r>
    </w:p>
    <w:p w:rsidR="008D10FE" w:rsidRPr="002B1D93" w:rsidP="00FD6404">
      <w:pPr>
        <w:pStyle w:val="Header"/>
        <w:jc w:val="center"/>
        <w:rPr>
          <w:rFonts w:ascii="Times New Roman" w:hAnsi="Times New Roman"/>
        </w:rPr>
      </w:pPr>
      <w:r w:rsidRPr="002B1D93">
        <w:rPr>
          <w:rFonts w:ascii="Times New Roman" w:hAnsi="Times New Roman"/>
        </w:rPr>
        <w:t>TRANSPORTATION COMMISSION</w:t>
      </w:r>
    </w:p>
    <w:p w:rsidR="00FD6404" w:rsidRPr="002B1D93" w:rsidP="00FD6404">
      <w:pPr>
        <w:pStyle w:val="Header"/>
        <w:jc w:val="center"/>
        <w:rPr>
          <w:rFonts w:ascii="Times New Roman" w:hAnsi="Times New Roman"/>
        </w:rPr>
      </w:pPr>
    </w:p>
    <w:p w:rsidR="00FD6404" w:rsidRPr="002B1D93" w:rsidP="00FD6404">
      <w:pPr>
        <w:pStyle w:val="Header"/>
        <w:jc w:val="center"/>
        <w:rPr>
          <w:rFonts w:ascii="Times New Roman" w:hAnsi="Times New Roman"/>
        </w:rPr>
      </w:pPr>
    </w:p>
    <w:p w:rsidR="008D10FE" w:rsidRPr="002B1D93" w:rsidP="008D10FE">
      <w:pPr>
        <w:pStyle w:val="Header"/>
        <w:rPr>
          <w:rFonts w:ascii="Times New Roman" w:hAnsi="Times New Roman"/>
        </w:rPr>
      </w:pPr>
    </w:p>
    <w:tbl>
      <w:tblPr>
        <w:tblW w:w="9180" w:type="dxa"/>
        <w:tblInd w:w="124" w:type="dxa"/>
        <w:tblLayout w:type="fixed"/>
        <w:tblCellMar>
          <w:left w:w="124" w:type="dxa"/>
          <w:right w:w="124" w:type="dxa"/>
        </w:tblCellMar>
        <w:tblLook w:val="0000"/>
      </w:tblPr>
      <w:tblGrid>
        <w:gridCol w:w="4410"/>
        <w:gridCol w:w="4770"/>
      </w:tblGrid>
      <w:tr w:rsidTr="007C4AC1">
        <w:tblPrEx>
          <w:tblW w:w="9180" w:type="dxa"/>
          <w:tblInd w:w="124" w:type="dxa"/>
          <w:tblLayout w:type="fixed"/>
          <w:tblCellMar>
            <w:left w:w="124" w:type="dxa"/>
            <w:right w:w="124" w:type="dxa"/>
          </w:tblCellMar>
          <w:tblLook w:val="0000"/>
        </w:tblPrEx>
        <w:tc>
          <w:tcPr>
            <w:tcW w:w="4410" w:type="dxa"/>
            <w:tcBorders>
              <w:top w:val="single" w:sz="6" w:space="0" w:color="FFFFFF"/>
              <w:left w:val="single" w:sz="6" w:space="0" w:color="FFFFFF"/>
              <w:bottom w:val="single" w:sz="7" w:space="0" w:color="000000"/>
              <w:right w:val="single" w:sz="6" w:space="0" w:color="FFFFFF"/>
            </w:tcBorders>
          </w:tcPr>
          <w:p w:rsidR="008D10FE" w:rsidRPr="002B1D93" w:rsidP="007C4AC1">
            <w:pPr>
              <w:rPr>
                <w:rFonts w:ascii="Times New Roman" w:hAnsi="Times New Roman" w:cs="Times New Roman"/>
                <w:sz w:val="24"/>
                <w:szCs w:val="24"/>
              </w:rPr>
            </w:pPr>
            <w:r w:rsidRPr="002B1D93">
              <w:rPr>
                <w:rFonts w:ascii="Times New Roman" w:hAnsi="Times New Roman" w:cs="Times New Roman"/>
                <w:sz w:val="24"/>
                <w:szCs w:val="24"/>
              </w:rPr>
              <w:t>WASHINGTON UTILITIES AND TRANSPORTATION COMMISSION,</w:t>
            </w:r>
          </w:p>
          <w:p w:rsidR="008D10FE" w:rsidRPr="002B1D93" w:rsidP="007C4AC1">
            <w:pPr>
              <w:rPr>
                <w:rFonts w:ascii="Times New Roman" w:hAnsi="Times New Roman" w:cs="Times New Roman"/>
                <w:sz w:val="24"/>
                <w:szCs w:val="24"/>
              </w:rPr>
            </w:pPr>
          </w:p>
          <w:p w:rsidR="008D10FE" w:rsidRPr="002B1D93" w:rsidP="007C4AC1">
            <w:pPr>
              <w:rPr>
                <w:rFonts w:ascii="Times New Roman" w:hAnsi="Times New Roman" w:cs="Times New Roman"/>
                <w:sz w:val="24"/>
                <w:szCs w:val="24"/>
              </w:rPr>
            </w:pPr>
            <w:r w:rsidRPr="002B1D93">
              <w:rPr>
                <w:rFonts w:ascii="Times New Roman" w:hAnsi="Times New Roman" w:cs="Times New Roman"/>
                <w:sz w:val="24"/>
                <w:szCs w:val="24"/>
              </w:rPr>
              <w:tab/>
            </w:r>
            <w:r w:rsidRPr="002B1D93">
              <w:rPr>
                <w:rFonts w:ascii="Times New Roman" w:hAnsi="Times New Roman" w:cs="Times New Roman"/>
                <w:sz w:val="24"/>
                <w:szCs w:val="24"/>
              </w:rPr>
              <w:tab/>
              <w:t>Complainant,</w:t>
            </w:r>
          </w:p>
          <w:p w:rsidR="008D10FE" w:rsidRPr="002B1D93" w:rsidP="007C4AC1">
            <w:pPr>
              <w:rPr>
                <w:rFonts w:ascii="Times New Roman" w:hAnsi="Times New Roman" w:cs="Times New Roman"/>
                <w:sz w:val="24"/>
                <w:szCs w:val="24"/>
              </w:rPr>
            </w:pPr>
          </w:p>
          <w:p w:rsidR="008D10FE" w:rsidRPr="002B1D93" w:rsidP="007C4AC1">
            <w:pPr>
              <w:rPr>
                <w:rFonts w:ascii="Times New Roman" w:hAnsi="Times New Roman" w:cs="Times New Roman"/>
                <w:sz w:val="24"/>
                <w:szCs w:val="24"/>
              </w:rPr>
            </w:pPr>
            <w:r w:rsidRPr="002B1D93">
              <w:rPr>
                <w:rFonts w:ascii="Times New Roman" w:hAnsi="Times New Roman" w:cs="Times New Roman"/>
                <w:sz w:val="24"/>
                <w:szCs w:val="24"/>
              </w:rPr>
              <w:t>v</w:t>
            </w:r>
            <w:r w:rsidRPr="002B1D93">
              <w:rPr>
                <w:rFonts w:ascii="Times New Roman" w:hAnsi="Times New Roman" w:cs="Times New Roman"/>
                <w:sz w:val="24"/>
                <w:szCs w:val="24"/>
              </w:rPr>
              <w:t>.</w:t>
            </w:r>
          </w:p>
          <w:p w:rsidR="008D10FE" w:rsidRPr="002B1D93" w:rsidP="007C4AC1">
            <w:pPr>
              <w:rPr>
                <w:rFonts w:ascii="Times New Roman" w:hAnsi="Times New Roman" w:cs="Times New Roman"/>
                <w:sz w:val="24"/>
                <w:szCs w:val="24"/>
              </w:rPr>
            </w:pPr>
          </w:p>
          <w:p w:rsidR="008D10FE" w:rsidRPr="002B1D93" w:rsidP="007C4AC1">
            <w:pPr>
              <w:rPr>
                <w:rFonts w:ascii="Times New Roman" w:hAnsi="Times New Roman" w:cs="Times New Roman"/>
                <w:sz w:val="24"/>
                <w:szCs w:val="24"/>
              </w:rPr>
            </w:pPr>
            <w:r w:rsidRPr="002B1D93">
              <w:rPr>
                <w:rFonts w:ascii="Times New Roman" w:hAnsi="Times New Roman" w:cs="Times New Roman"/>
                <w:sz w:val="24"/>
                <w:szCs w:val="24"/>
              </w:rPr>
              <w:t>WASTE CONTROL, INC.,</w:t>
            </w:r>
          </w:p>
          <w:p w:rsidR="008D10FE" w:rsidRPr="002B1D93" w:rsidP="007C4AC1">
            <w:pPr>
              <w:rPr>
                <w:rFonts w:ascii="Times New Roman" w:hAnsi="Times New Roman" w:cs="Times New Roman"/>
                <w:sz w:val="24"/>
                <w:szCs w:val="24"/>
              </w:rPr>
            </w:pPr>
          </w:p>
          <w:p w:rsidR="008D10FE" w:rsidRPr="002B1D93" w:rsidP="007C4AC1">
            <w:pPr>
              <w:rPr>
                <w:rFonts w:ascii="Times New Roman" w:hAnsi="Times New Roman" w:cs="Times New Roman"/>
                <w:sz w:val="24"/>
                <w:szCs w:val="24"/>
              </w:rPr>
            </w:pPr>
            <w:r w:rsidRPr="002B1D93">
              <w:rPr>
                <w:rFonts w:ascii="Times New Roman" w:hAnsi="Times New Roman" w:cs="Times New Roman"/>
                <w:sz w:val="24"/>
                <w:szCs w:val="24"/>
              </w:rPr>
              <w:tab/>
            </w:r>
            <w:r w:rsidRPr="002B1D93">
              <w:rPr>
                <w:rFonts w:ascii="Times New Roman" w:hAnsi="Times New Roman" w:cs="Times New Roman"/>
                <w:sz w:val="24"/>
                <w:szCs w:val="24"/>
              </w:rPr>
              <w:tab/>
              <w:t>Respondent.</w:t>
            </w:r>
          </w:p>
          <w:p w:rsidR="008D10FE" w:rsidRPr="002B1D93" w:rsidP="007C4AC1">
            <w:pPr>
              <w:rPr>
                <w:rFonts w:ascii="Times New Roman" w:hAnsi="Times New Roman" w:cs="Times New Roman"/>
                <w:sz w:val="24"/>
                <w:szCs w:val="24"/>
              </w:rPr>
            </w:pPr>
          </w:p>
        </w:tc>
        <w:tc>
          <w:tcPr>
            <w:tcW w:w="4770" w:type="dxa"/>
            <w:tcBorders>
              <w:top w:val="single" w:sz="6" w:space="0" w:color="FFFFFF"/>
              <w:left w:val="single" w:sz="7" w:space="0" w:color="000000"/>
              <w:bottom w:val="single" w:sz="6" w:space="0" w:color="FFFFFF"/>
              <w:right w:val="single" w:sz="6" w:space="0" w:color="FFFFFF"/>
            </w:tcBorders>
          </w:tcPr>
          <w:p w:rsidR="008D10FE" w:rsidRPr="002B1D93" w:rsidP="007C4AC1">
            <w:pPr>
              <w:ind w:left="506"/>
              <w:rPr>
                <w:rFonts w:ascii="Times New Roman" w:hAnsi="Times New Roman" w:cs="Times New Roman"/>
                <w:sz w:val="24"/>
                <w:szCs w:val="24"/>
              </w:rPr>
            </w:pPr>
            <w:r w:rsidRPr="002B1D93">
              <w:rPr>
                <w:rFonts w:ascii="Times New Roman" w:hAnsi="Times New Roman" w:cs="Times New Roman"/>
                <w:sz w:val="24"/>
                <w:szCs w:val="24"/>
              </w:rPr>
              <w:t xml:space="preserve">DOCKET </w:t>
            </w:r>
            <w:r w:rsidRPr="002B1D93" w:rsidR="00CD1F90">
              <w:rPr>
                <w:rFonts w:ascii="Times New Roman" w:hAnsi="Times New Roman" w:cs="Times New Roman"/>
                <w:sz w:val="24"/>
                <w:szCs w:val="24"/>
              </w:rPr>
              <w:t>TG-140560</w:t>
            </w:r>
          </w:p>
          <w:p w:rsidR="008D10FE" w:rsidRPr="002B1D93" w:rsidP="007C4AC1">
            <w:pPr>
              <w:ind w:left="506"/>
              <w:rPr>
                <w:rFonts w:ascii="Times New Roman" w:hAnsi="Times New Roman" w:cs="Times New Roman"/>
                <w:sz w:val="24"/>
                <w:szCs w:val="24"/>
              </w:rPr>
            </w:pPr>
          </w:p>
          <w:p w:rsidR="008D10FE" w:rsidRPr="002B1D93" w:rsidP="00E90645">
            <w:pPr>
              <w:pStyle w:val="BodyTextIndent2"/>
              <w:ind w:left="506"/>
              <w:rPr>
                <w:rFonts w:ascii="Times New Roman" w:hAnsi="Times New Roman"/>
              </w:rPr>
            </w:pPr>
            <w:r w:rsidRPr="002B1D93">
              <w:rPr>
                <w:rFonts w:ascii="Times New Roman" w:hAnsi="Times New Roman"/>
              </w:rPr>
              <w:t xml:space="preserve">RESPONDENT WASTE CONTROL, INC.’S </w:t>
            </w:r>
            <w:r w:rsidRPr="002B1D93" w:rsidR="00AF5484">
              <w:rPr>
                <w:rFonts w:ascii="Times New Roman" w:hAnsi="Times New Roman"/>
              </w:rPr>
              <w:t xml:space="preserve">OPENING BRIEF AND </w:t>
            </w:r>
            <w:r w:rsidRPr="002B1D93" w:rsidR="00E90645">
              <w:rPr>
                <w:rFonts w:ascii="Times New Roman" w:hAnsi="Times New Roman"/>
              </w:rPr>
              <w:t xml:space="preserve">SWORN </w:t>
            </w:r>
            <w:r w:rsidRPr="002B1D93" w:rsidR="00AF5484">
              <w:rPr>
                <w:rFonts w:ascii="Times New Roman" w:hAnsi="Times New Roman"/>
              </w:rPr>
              <w:t>SUPPLEMENTAL</w:t>
            </w:r>
            <w:r w:rsidRPr="002B1D93" w:rsidR="00FE3416">
              <w:rPr>
                <w:rFonts w:ascii="Times New Roman" w:hAnsi="Times New Roman"/>
              </w:rPr>
              <w:t xml:space="preserve"> </w:t>
            </w:r>
            <w:r w:rsidRPr="002B1D93" w:rsidR="00AF5484">
              <w:rPr>
                <w:rFonts w:ascii="Times New Roman" w:hAnsi="Times New Roman"/>
              </w:rPr>
              <w:t xml:space="preserve">TESTIMONY ON </w:t>
            </w:r>
            <w:r w:rsidRPr="002B1D93" w:rsidR="00525F43">
              <w:rPr>
                <w:rFonts w:ascii="Times New Roman" w:hAnsi="Times New Roman"/>
              </w:rPr>
              <w:t xml:space="preserve">REMAINING </w:t>
            </w:r>
            <w:r w:rsidRPr="002B1D93" w:rsidR="00AF5484">
              <w:rPr>
                <w:rFonts w:ascii="Times New Roman" w:hAnsi="Times New Roman"/>
              </w:rPr>
              <w:t>CONTESTED ACCOUNTING ADJUSTMENT ISSUES</w:t>
            </w:r>
          </w:p>
        </w:tc>
      </w:tr>
    </w:tbl>
    <w:p w:rsidR="00D827DB" w:rsidRPr="002B1D93" w:rsidP="008D10FE">
      <w:pPr>
        <w:pStyle w:val="Header"/>
        <w:rPr>
          <w:rFonts w:ascii="Times New Roman" w:hAnsi="Times New Roman"/>
        </w:rPr>
        <w:sectPr w:rsidSect="00C909E5">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872" w:header="720" w:footer="720" w:gutter="0"/>
          <w:paperSrc w:first="261" w:other="261"/>
          <w:pgNumType w:start="1"/>
          <w:cols w:space="720"/>
          <w:titlePg/>
          <w:docGrid w:linePitch="360"/>
        </w:sectPr>
      </w:pPr>
    </w:p>
    <w:sdt>
      <w:sdtPr>
        <w:rPr>
          <w:rFonts w:ascii="Times New Roman" w:hAnsi="Times New Roman" w:eastAsiaTheme="minorHAnsi" w:cs="Times New Roman"/>
          <w:b w:val="0"/>
          <w:bCs w:val="0"/>
          <w:color w:val="auto"/>
          <w:sz w:val="24"/>
          <w:szCs w:val="24"/>
          <w:lang w:eastAsia="en-US"/>
        </w:rPr>
        <w:id w:val="275680980"/>
        <w:docPartObj>
          <w:docPartGallery w:val="Table of Contents"/>
          <w:docPartUnique/>
        </w:docPartObj>
      </w:sdtPr>
      <w:sdtEndPr>
        <w:rPr>
          <w:noProof/>
        </w:rPr>
      </w:sdtEndPr>
      <w:sdtContent>
        <w:p w:rsidR="00D827DB" w:rsidRPr="002B1D93" w:rsidP="00D827DB">
          <w:pPr>
            <w:pStyle w:val="TOCHeading"/>
            <w:jc w:val="center"/>
            <w:rPr>
              <w:rFonts w:ascii="Times New Roman" w:hAnsi="Times New Roman" w:cs="Times New Roman"/>
              <w:color w:val="auto"/>
              <w:sz w:val="24"/>
              <w:szCs w:val="24"/>
            </w:rPr>
          </w:pPr>
          <w:r w:rsidRPr="00131284">
            <w:rPr>
              <w:rFonts w:ascii="Times New Roman" w:hAnsi="Times New Roman" w:cs="Times New Roman"/>
              <w:color w:val="auto"/>
              <w:sz w:val="24"/>
              <w:szCs w:val="24"/>
            </w:rPr>
            <w:t>Opening Brief</w:t>
          </w:r>
          <w:r>
            <w:rPr>
              <w:rFonts w:ascii="Times New Roman" w:hAnsi="Times New Roman" w:eastAsiaTheme="minorHAnsi" w:cs="Times New Roman"/>
              <w:b w:val="0"/>
              <w:bCs w:val="0"/>
              <w:color w:val="auto"/>
              <w:sz w:val="24"/>
              <w:szCs w:val="24"/>
              <w:lang w:eastAsia="en-US"/>
            </w:rPr>
            <w:t xml:space="preserve"> </w:t>
          </w:r>
          <w:r w:rsidRPr="002B1D93">
            <w:rPr>
              <w:rFonts w:ascii="Times New Roman" w:hAnsi="Times New Roman" w:cs="Times New Roman"/>
              <w:color w:val="auto"/>
              <w:sz w:val="24"/>
              <w:szCs w:val="24"/>
            </w:rPr>
            <w:t>Topic</w:t>
          </w:r>
          <w:r w:rsidRPr="002B1D93">
            <w:rPr>
              <w:rFonts w:ascii="Times New Roman" w:hAnsi="Times New Roman" w:cs="Times New Roman"/>
              <w:sz w:val="24"/>
              <w:szCs w:val="24"/>
            </w:rPr>
            <w:t xml:space="preserve"> </w:t>
          </w:r>
          <w:r w:rsidRPr="002B1D93">
            <w:rPr>
              <w:rFonts w:ascii="Times New Roman" w:hAnsi="Times New Roman" w:cs="Times New Roman"/>
              <w:color w:val="auto"/>
              <w:sz w:val="24"/>
              <w:szCs w:val="24"/>
            </w:rPr>
            <w:t>Contents</w:t>
          </w:r>
        </w:p>
        <w:p w:rsidR="00D827DB" w:rsidRPr="002B1D93" w:rsidP="00D827DB">
          <w:pPr>
            <w:rPr>
              <w:rFonts w:ascii="Times New Roman" w:hAnsi="Times New Roman" w:cs="Times New Roman"/>
              <w:sz w:val="24"/>
              <w:szCs w:val="24"/>
              <w:lang w:eastAsia="ja-JP"/>
            </w:rPr>
          </w:pPr>
        </w:p>
        <w:p w:rsidR="00D827DB" w:rsidRPr="002B1D93" w:rsidP="00D827DB">
          <w:pPr>
            <w:rPr>
              <w:rFonts w:ascii="Times New Roman" w:hAnsi="Times New Roman" w:cs="Times New Roman"/>
              <w:sz w:val="24"/>
              <w:szCs w:val="24"/>
              <w:lang w:eastAsia="ja-JP"/>
            </w:rPr>
          </w:pPr>
        </w:p>
        <w:p>
          <w:pPr>
            <w:pStyle w:val="TOC1"/>
            <w:rPr>
              <w:rFonts w:asciiTheme="minorHAnsi" w:hAnsiTheme="minorHAnsi"/>
              <w:noProof/>
              <w:sz w:val="22"/>
            </w:rPr>
          </w:pPr>
          <w:r w:rsidRPr="002B1D93">
            <w:rPr>
              <w:rFonts w:ascii="Times New Roman" w:hAnsi="Times New Roman" w:cs="Times New Roman"/>
              <w:sz w:val="24"/>
              <w:szCs w:val="24"/>
            </w:rPr>
            <w:fldChar w:fldCharType="begin"/>
          </w:r>
          <w:r w:rsidRPr="002B1D93">
            <w:rPr>
              <w:rFonts w:ascii="Times New Roman" w:hAnsi="Times New Roman" w:cs="Times New Roman"/>
              <w:sz w:val="24"/>
              <w:szCs w:val="24"/>
            </w:rPr>
            <w:instrText xml:space="preserve"> TOC \o "1-3" \h \z \u </w:instrText>
          </w:r>
          <w:r w:rsidRPr="002B1D93">
            <w:rPr>
              <w:rFonts w:ascii="Times New Roman" w:hAnsi="Times New Roman" w:cs="Times New Roman"/>
              <w:sz w:val="24"/>
              <w:szCs w:val="24"/>
            </w:rPr>
            <w:fldChar w:fldCharType="separate"/>
          </w:r>
          <w:r>
            <w:fldChar w:fldCharType="begin"/>
          </w:r>
          <w:r>
            <w:rPr>
              <w:rStyle w:val="Hyperlink"/>
            </w:rPr>
            <w:instrText xml:space="preserve"> HYPERLINK \l "_Toc256000015" </w:instrText>
          </w:r>
          <w:r>
            <w:fldChar w:fldCharType="separate"/>
          </w:r>
          <w:r>
            <w:rPr>
              <w:rStyle w:val="Hyperlink"/>
              <w:rFonts w:ascii="9999999" w:hAnsi="9999999"/>
            </w:rPr>
            <w:t xml:space="preserve">I.  </w:t>
          </w:r>
          <w:r w:rsidRPr="002B1D93" w:rsidR="00471E5D">
            <w:rPr>
              <w:rStyle w:val="Hyperlink"/>
            </w:rPr>
            <w:t>INTRODUCTION</w:t>
          </w:r>
          <w:r>
            <w:rPr>
              <w:rStyle w:val="Hyperlink"/>
            </w:rPr>
            <w:tab/>
          </w:r>
          <w:r>
            <w:fldChar w:fldCharType="begin"/>
          </w:r>
          <w:r>
            <w:rPr>
              <w:rStyle w:val="Hyperlink"/>
            </w:rPr>
            <w:instrText xml:space="preserve"> PAGEREF _Toc256000015 \h </w:instrText>
          </w:r>
          <w:r>
            <w:fldChar w:fldCharType="separate"/>
          </w:r>
          <w:r>
            <w:rPr>
              <w:rStyle w:val="Hyperlink"/>
            </w:rPr>
            <w:t>1</w:t>
          </w:r>
          <w:r>
            <w:fldChar w:fldCharType="end"/>
          </w:r>
          <w:r>
            <w:fldChar w:fldCharType="end"/>
          </w:r>
        </w:p>
        <w:p>
          <w:pPr>
            <w:pStyle w:val="TOC1"/>
            <w:rPr>
              <w:rFonts w:asciiTheme="minorHAnsi" w:hAnsiTheme="minorHAnsi"/>
              <w:noProof/>
              <w:sz w:val="22"/>
            </w:rPr>
          </w:pPr>
          <w:r>
            <w:fldChar w:fldCharType="begin"/>
          </w:r>
          <w:r>
            <w:rPr>
              <w:rStyle w:val="Hyperlink"/>
            </w:rPr>
            <w:instrText xml:space="preserve"> HYPERLINK \l "_Toc256000016" </w:instrText>
          </w:r>
          <w:r>
            <w:fldChar w:fldCharType="separate"/>
          </w:r>
          <w:r>
            <w:rPr>
              <w:rStyle w:val="Hyperlink"/>
              <w:rFonts w:ascii="9999999" w:hAnsi="9999999"/>
            </w:rPr>
            <w:t xml:space="preserve">II.  </w:t>
          </w:r>
          <w:r w:rsidRPr="002B1D93">
            <w:rPr>
              <w:rStyle w:val="Hyperlink"/>
            </w:rPr>
            <w:t xml:space="preserve">utility expense allocations: </w:t>
          </w:r>
          <w:r w:rsidRPr="002B1D93" w:rsidR="00E00C99">
            <w:rPr>
              <w:rStyle w:val="Hyperlink"/>
            </w:rPr>
            <w:t>RESTATING ADJUSTMENT</w:t>
          </w:r>
          <w:r w:rsidRPr="002B1D93" w:rsidR="003053A1">
            <w:rPr>
              <w:rStyle w:val="Hyperlink"/>
            </w:rPr>
            <w:t>,</w:t>
          </w:r>
          <w:r w:rsidRPr="002B1D93" w:rsidR="00E00C99">
            <w:rPr>
              <w:rStyle w:val="Hyperlink"/>
            </w:rPr>
            <w:t xml:space="preserve"> </w:t>
          </w:r>
          <w:r w:rsidRPr="002B1D93" w:rsidR="00D50226">
            <w:rPr>
              <w:rStyle w:val="Hyperlink"/>
            </w:rPr>
            <w:t>R-</w:t>
          </w:r>
          <w:r w:rsidRPr="002B1D93" w:rsidR="00E00C99">
            <w:rPr>
              <w:rStyle w:val="Hyperlink"/>
            </w:rPr>
            <w:t>6</w:t>
          </w:r>
          <w:r w:rsidRPr="002B1D93" w:rsidR="00D55483">
            <w:rPr>
              <w:rStyle w:val="Hyperlink"/>
            </w:rPr>
            <w:t>D</w:t>
          </w:r>
          <w:r w:rsidRPr="002B1D93" w:rsidR="00E00C99">
            <w:rPr>
              <w:rStyle w:val="Hyperlink"/>
            </w:rPr>
            <w:t>.</w:t>
          </w:r>
          <w:r>
            <w:rPr>
              <w:rStyle w:val="Hyperlink"/>
            </w:rPr>
            <w:tab/>
          </w:r>
          <w:r>
            <w:fldChar w:fldCharType="begin"/>
          </w:r>
          <w:r>
            <w:rPr>
              <w:rStyle w:val="Hyperlink"/>
            </w:rPr>
            <w:instrText xml:space="preserve"> PAGEREF _Toc256000016 \h </w:instrText>
          </w:r>
          <w:r>
            <w:fldChar w:fldCharType="separate"/>
          </w:r>
          <w:r>
            <w:rPr>
              <w:rStyle w:val="Hyperlink"/>
            </w:rPr>
            <w:t>2</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"_Toc256000017" </w:instrText>
          </w:r>
          <w:r>
            <w:fldChar w:fldCharType="separate"/>
          </w:r>
          <w:r w:rsidRPr="002B1D93">
            <w:rPr>
              <w:rStyle w:val="Hyperlink"/>
              <w:rFonts w:cs="Times New Roman"/>
            </w:rPr>
            <w:t xml:space="preserve">Any </w:t>
          </w:r>
          <w:r w:rsidRPr="002B1D93" w:rsidR="00E144C6">
            <w:rPr>
              <w:rStyle w:val="Hyperlink"/>
              <w:rFonts w:cs="Times New Roman"/>
            </w:rPr>
            <w:t xml:space="preserve">Application of the Untested </w:t>
          </w:r>
          <w:r w:rsidRPr="002B1D93">
            <w:rPr>
              <w:rStyle w:val="Hyperlink"/>
              <w:rFonts w:cs="Times New Roman"/>
            </w:rPr>
            <w:t>Three</w:t>
          </w:r>
          <w:r w:rsidRPr="002B1D93" w:rsidR="00195DD9">
            <w:rPr>
              <w:rStyle w:val="Hyperlink"/>
              <w:rFonts w:cs="Times New Roman"/>
            </w:rPr>
            <w:t>-</w:t>
          </w:r>
          <w:r w:rsidRPr="002B1D93">
            <w:rPr>
              <w:rStyle w:val="Hyperlink"/>
              <w:rFonts w:cs="Times New Roman"/>
            </w:rPr>
            <w:t xml:space="preserve">Factor Allocation </w:t>
          </w:r>
          <w:r w:rsidRPr="002B1D93" w:rsidR="00E144C6">
            <w:rPr>
              <w:rStyle w:val="Hyperlink"/>
              <w:rFonts w:cs="Times New Roman"/>
            </w:rPr>
            <w:t xml:space="preserve">Formula Must Include </w:t>
          </w:r>
          <w:r w:rsidRPr="002B1D93" w:rsidR="00E144C6">
            <w:rPr>
              <w:rStyle w:val="Hyperlink"/>
              <w:rFonts w:cs="Times New Roman"/>
              <w:i/>
            </w:rPr>
            <w:t>All</w:t>
          </w:r>
          <w:r w:rsidRPr="002B1D93" w:rsidR="00E144C6">
            <w:rPr>
              <w:rStyle w:val="Hyperlink"/>
              <w:rFonts w:cs="Times New Roman"/>
            </w:rPr>
            <w:t xml:space="preserve"> Utility Costs Paid by the Nonregulated Affiliate Companies in Order to Reasonably Reflect Aggregate Costs for Allocation Purposes</w:t>
          </w:r>
          <w:r w:rsidRPr="002B1D93">
            <w:rPr>
              <w:rStyle w:val="Hyperlink"/>
              <w:rFonts w:cs="Times New Roman"/>
            </w:rPr>
            <w:t>.</w:t>
          </w:r>
          <w:r>
            <w:rPr>
              <w:rStyle w:val="Hyperlink"/>
            </w:rPr>
            <w:tab/>
          </w:r>
          <w:r>
            <w:fldChar w:fldCharType="begin"/>
          </w:r>
          <w:r>
            <w:rPr>
              <w:rStyle w:val="Hyperlink"/>
            </w:rPr>
            <w:instrText xml:space="preserve"> PAGEREF _Toc256000017 \h </w:instrText>
          </w:r>
          <w:r>
            <w:fldChar w:fldCharType="separate"/>
          </w:r>
          <w:r>
            <w:rPr>
              <w:rStyle w:val="Hyperlink"/>
            </w:rPr>
            <w:t>2</w:t>
          </w:r>
          <w:r>
            <w:fldChar w:fldCharType="end"/>
          </w:r>
          <w:r>
            <w:fldChar w:fldCharType="end"/>
          </w:r>
        </w:p>
        <w:p>
          <w:pPr>
            <w:pStyle w:val="TOC1"/>
            <w:rPr>
              <w:rFonts w:asciiTheme="minorHAnsi" w:hAnsiTheme="minorHAnsi"/>
              <w:noProof/>
              <w:sz w:val="22"/>
            </w:rPr>
          </w:pPr>
          <w:r>
            <w:fldChar w:fldCharType="begin"/>
          </w:r>
          <w:r>
            <w:rPr>
              <w:rStyle w:val="Hyperlink"/>
            </w:rPr>
            <w:instrText xml:space="preserve"> HYPERLINK \l "_Toc256000018" </w:instrText>
          </w:r>
          <w:r>
            <w:fldChar w:fldCharType="separate"/>
          </w:r>
          <w:r>
            <w:rPr>
              <w:rStyle w:val="Hyperlink"/>
              <w:rFonts w:ascii="9999999" w:hAnsi="9999999"/>
            </w:rPr>
            <w:t xml:space="preserve">III.  </w:t>
          </w:r>
          <w:r w:rsidRPr="002B1D93">
            <w:rPr>
              <w:rStyle w:val="Hyperlink"/>
            </w:rPr>
            <w:t xml:space="preserve">the </w:t>
          </w:r>
          <w:r w:rsidRPr="002B1D93" w:rsidR="0022340B">
            <w:rPr>
              <w:rStyle w:val="Hyperlink"/>
            </w:rPr>
            <w:t>land rents</w:t>
          </w:r>
          <w:r w:rsidRPr="002B1D93">
            <w:rPr>
              <w:rStyle w:val="Hyperlink"/>
            </w:rPr>
            <w:t xml:space="preserve"> issue</w:t>
          </w:r>
          <w:r w:rsidRPr="002B1D93" w:rsidR="00BA3E8A">
            <w:rPr>
              <w:rStyle w:val="Hyperlink"/>
            </w:rPr>
            <w:t>:</w:t>
          </w:r>
          <w:r w:rsidRPr="002B1D93">
            <w:rPr>
              <w:rStyle w:val="Hyperlink"/>
            </w:rPr>
            <w:t xml:space="preserve"> restating adjustment, </w:t>
          </w:r>
          <w:r w:rsidRPr="002B1D93" w:rsidR="00D50226">
            <w:rPr>
              <w:rStyle w:val="Hyperlink"/>
            </w:rPr>
            <w:t>R-</w:t>
          </w:r>
          <w:r w:rsidRPr="002B1D93" w:rsidR="00D50226">
            <w:rPr>
              <w:rStyle w:val="Hyperlink"/>
            </w:rPr>
            <w:t>6E</w:t>
          </w:r>
          <w:r w:rsidRPr="002B1D93" w:rsidR="00D87887">
            <w:rPr>
              <w:rStyle w:val="Hyperlink"/>
            </w:rPr>
            <w:t>.</w:t>
          </w:r>
          <w:r>
            <w:rPr>
              <w:rStyle w:val="Hyperlink"/>
            </w:rPr>
            <w:tab/>
          </w:r>
          <w:r>
            <w:fldChar w:fldCharType="begin"/>
          </w:r>
          <w:r>
            <w:rPr>
              <w:rStyle w:val="Hyperlink"/>
            </w:rPr>
            <w:instrText xml:space="preserve"> PAGEREF _Toc256000018 \h </w:instrText>
          </w:r>
          <w:r>
            <w:fldChar w:fldCharType="separate"/>
          </w:r>
          <w:r>
            <w:rPr>
              <w:rStyle w:val="Hyperlink"/>
            </w:rPr>
            <w:t>3</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"_Toc256000019" </w:instrText>
          </w:r>
          <w:r>
            <w:fldChar w:fldCharType="separate"/>
          </w:r>
          <w:r w:rsidRPr="002B1D93">
            <w:rPr>
              <w:rStyle w:val="Hyperlink"/>
              <w:rFonts w:cs="Times New Roman"/>
            </w:rPr>
            <w:t xml:space="preserve">Staff’s </w:t>
          </w:r>
          <w:r w:rsidRPr="002B1D93" w:rsidR="00E144C6">
            <w:rPr>
              <w:rStyle w:val="Hyperlink"/>
              <w:rFonts w:cs="Times New Roman"/>
            </w:rPr>
            <w:t xml:space="preserve">Consolidated Capital Structure Adjustment </w:t>
          </w:r>
          <w:r w:rsidRPr="002B1D93">
            <w:rPr>
              <w:rStyle w:val="Hyperlink"/>
              <w:rFonts w:cs="Times New Roman"/>
            </w:rPr>
            <w:t xml:space="preserve">for </w:t>
          </w:r>
          <w:r w:rsidRPr="002B1D93" w:rsidR="00E144C6">
            <w:rPr>
              <w:rStyle w:val="Hyperlink"/>
              <w:rFonts w:cs="Times New Roman"/>
            </w:rPr>
            <w:t xml:space="preserve">Computing Allowable Rents </w:t>
          </w:r>
          <w:r w:rsidRPr="002B1D93">
            <w:rPr>
              <w:rStyle w:val="Hyperlink"/>
              <w:rFonts w:cs="Times New Roman"/>
            </w:rPr>
            <w:t xml:space="preserve">in a </w:t>
          </w:r>
          <w:r w:rsidRPr="002B1D93" w:rsidR="00E144C6">
            <w:rPr>
              <w:rStyle w:val="Hyperlink"/>
              <w:rFonts w:cs="Times New Roman"/>
            </w:rPr>
            <w:t xml:space="preserve">Regulated Affiliate’s Rates Utilizes </w:t>
          </w:r>
          <w:r w:rsidRPr="002B1D93">
            <w:rPr>
              <w:rStyle w:val="Hyperlink"/>
              <w:rFonts w:cs="Times New Roman"/>
            </w:rPr>
            <w:t xml:space="preserve">an </w:t>
          </w:r>
          <w:r w:rsidRPr="002B1D93" w:rsidR="00E144C6">
            <w:rPr>
              <w:rStyle w:val="Hyperlink"/>
              <w:rFonts w:cs="Times New Roman"/>
            </w:rPr>
            <w:t xml:space="preserve">Inaccurate Rendition </w:t>
          </w:r>
          <w:r w:rsidRPr="002B1D93">
            <w:rPr>
              <w:rStyle w:val="Hyperlink"/>
              <w:rFonts w:cs="Times New Roman"/>
            </w:rPr>
            <w:t xml:space="preserve">of </w:t>
          </w:r>
          <w:r w:rsidRPr="002B1D93" w:rsidR="00E144C6">
            <w:rPr>
              <w:rStyle w:val="Hyperlink"/>
              <w:rFonts w:cs="Times New Roman"/>
            </w:rPr>
            <w:t>Combined Capital Structures</w:t>
          </w:r>
          <w:r w:rsidRPr="002B1D93">
            <w:rPr>
              <w:rStyle w:val="Hyperlink"/>
              <w:rFonts w:cs="Times New Roman"/>
            </w:rPr>
            <w:t xml:space="preserve"> of the </w:t>
          </w:r>
          <w:r w:rsidRPr="002B1D93" w:rsidR="00E144C6">
            <w:rPr>
              <w:rStyle w:val="Hyperlink"/>
              <w:rFonts w:cs="Times New Roman"/>
            </w:rPr>
            <w:t>Affiliates</w:t>
          </w:r>
          <w:r w:rsidRPr="002B1D93">
            <w:rPr>
              <w:rStyle w:val="Hyperlink"/>
              <w:rFonts w:cs="Times New Roman"/>
            </w:rPr>
            <w:t xml:space="preserve">, a </w:t>
          </w:r>
          <w:r w:rsidRPr="002B1D93" w:rsidR="00E144C6">
            <w:rPr>
              <w:rStyle w:val="Hyperlink"/>
              <w:rFonts w:cs="Times New Roman"/>
            </w:rPr>
            <w:t>Cost</w:t>
          </w:r>
          <w:r w:rsidRPr="002B1D93">
            <w:rPr>
              <w:rStyle w:val="Hyperlink"/>
              <w:rFonts w:cs="Times New Roman"/>
            </w:rPr>
            <w:t xml:space="preserve"> of </w:t>
          </w:r>
          <w:r w:rsidRPr="002B1D93" w:rsidR="00E144C6">
            <w:rPr>
              <w:rStyle w:val="Hyperlink"/>
              <w:rFonts w:cs="Times New Roman"/>
            </w:rPr>
            <w:t xml:space="preserve">Debt </w:t>
          </w:r>
          <w:r w:rsidRPr="002B1D93" w:rsidR="00195DD9">
            <w:rPr>
              <w:rStyle w:val="Hyperlink"/>
              <w:rFonts w:cs="Times New Roman"/>
            </w:rPr>
            <w:t>t</w:t>
          </w:r>
          <w:r w:rsidRPr="002B1D93" w:rsidR="00E144C6">
            <w:rPr>
              <w:rStyle w:val="Hyperlink"/>
              <w:rFonts w:cs="Times New Roman"/>
            </w:rPr>
            <w:t xml:space="preserve">hat </w:t>
          </w:r>
          <w:r w:rsidRPr="002B1D93">
            <w:rPr>
              <w:rStyle w:val="Hyperlink"/>
              <w:rFonts w:cs="Times New Roman"/>
            </w:rPr>
            <w:t xml:space="preserve">is </w:t>
          </w:r>
          <w:r w:rsidRPr="002B1D93" w:rsidR="00E144C6">
            <w:rPr>
              <w:rStyle w:val="Hyperlink"/>
              <w:rFonts w:cs="Times New Roman"/>
            </w:rPr>
            <w:t>Unrelated</w:t>
          </w:r>
          <w:r w:rsidRPr="002B1D93">
            <w:rPr>
              <w:rStyle w:val="Hyperlink"/>
              <w:rFonts w:cs="Times New Roman"/>
            </w:rPr>
            <w:t xml:space="preserve"> to </w:t>
          </w:r>
          <w:r w:rsidRPr="002B1D93" w:rsidR="00E144C6">
            <w:rPr>
              <w:rStyle w:val="Hyperlink"/>
              <w:rFonts w:cs="Times New Roman"/>
            </w:rPr>
            <w:t xml:space="preserve">Actual Costs </w:t>
          </w:r>
          <w:r w:rsidRPr="002B1D93">
            <w:rPr>
              <w:rStyle w:val="Hyperlink"/>
              <w:rFonts w:cs="Times New Roman"/>
            </w:rPr>
            <w:t xml:space="preserve">and </w:t>
          </w:r>
          <w:r w:rsidRPr="002B1D93" w:rsidR="00E144C6">
            <w:rPr>
              <w:rStyle w:val="Hyperlink"/>
              <w:rFonts w:cs="Times New Roman"/>
            </w:rPr>
            <w:t>Pertinent Rental Properties</w:t>
          </w:r>
          <w:r w:rsidRPr="002B1D93">
            <w:rPr>
              <w:rStyle w:val="Hyperlink"/>
              <w:rFonts w:cs="Times New Roman"/>
            </w:rPr>
            <w:t xml:space="preserve"> and </w:t>
          </w:r>
          <w:r w:rsidRPr="002B1D93" w:rsidR="00E144C6">
            <w:rPr>
              <w:rStyle w:val="Hyperlink"/>
              <w:rFonts w:cs="Times New Roman"/>
            </w:rPr>
            <w:t xml:space="preserve">Hypothesizes </w:t>
          </w:r>
          <w:r w:rsidRPr="002B1D93">
            <w:rPr>
              <w:rStyle w:val="Hyperlink"/>
              <w:rFonts w:cs="Times New Roman"/>
            </w:rPr>
            <w:t xml:space="preserve">a </w:t>
          </w:r>
          <w:r w:rsidRPr="002B1D93" w:rsidR="00E144C6">
            <w:rPr>
              <w:rStyle w:val="Hyperlink"/>
              <w:rFonts w:cs="Times New Roman"/>
            </w:rPr>
            <w:t>Return</w:t>
          </w:r>
          <w:r w:rsidRPr="002B1D93">
            <w:rPr>
              <w:rStyle w:val="Hyperlink"/>
              <w:rFonts w:cs="Times New Roman"/>
            </w:rPr>
            <w:t xml:space="preserve"> on </w:t>
          </w:r>
          <w:r w:rsidRPr="002B1D93" w:rsidR="00E144C6">
            <w:rPr>
              <w:rStyle w:val="Hyperlink"/>
              <w:rFonts w:cs="Times New Roman"/>
            </w:rPr>
            <w:t xml:space="preserve">Equity Factor </w:t>
          </w:r>
          <w:r w:rsidR="00223F7B">
            <w:rPr>
              <w:rStyle w:val="Hyperlink"/>
              <w:rFonts w:cs="Times New Roman"/>
            </w:rPr>
            <w:t>H</w:t>
          </w:r>
          <w:r w:rsidRPr="002B1D93" w:rsidR="00E144C6">
            <w:rPr>
              <w:rStyle w:val="Hyperlink"/>
              <w:rFonts w:cs="Times New Roman"/>
            </w:rPr>
            <w:t>aving N</w:t>
          </w:r>
          <w:r w:rsidRPr="002B1D93">
            <w:rPr>
              <w:rStyle w:val="Hyperlink"/>
              <w:rFonts w:cs="Times New Roman"/>
            </w:rPr>
            <w:t xml:space="preserve">o </w:t>
          </w:r>
          <w:r w:rsidRPr="002B1D93" w:rsidR="00C74E61">
            <w:rPr>
              <w:rStyle w:val="Hyperlink"/>
              <w:rFonts w:cs="Times New Roman"/>
            </w:rPr>
            <w:t>Applicability</w:t>
          </w:r>
          <w:r w:rsidRPr="002B1D93">
            <w:rPr>
              <w:rStyle w:val="Hyperlink"/>
              <w:rFonts w:cs="Times New Roman"/>
            </w:rPr>
            <w:t xml:space="preserve"> to a </w:t>
          </w:r>
          <w:r w:rsidRPr="002B1D93" w:rsidR="00195DD9">
            <w:rPr>
              <w:rStyle w:val="Hyperlink"/>
              <w:rFonts w:cs="Times New Roman"/>
            </w:rPr>
            <w:t xml:space="preserve">Privately-held </w:t>
          </w:r>
          <w:r w:rsidRPr="002B1D93" w:rsidR="00E144C6">
            <w:rPr>
              <w:rStyle w:val="Hyperlink"/>
              <w:rFonts w:cs="Times New Roman"/>
            </w:rPr>
            <w:t xml:space="preserve">Solid Waste Collection Company </w:t>
          </w:r>
          <w:r w:rsidRPr="002B1D93">
            <w:rPr>
              <w:rStyle w:val="Hyperlink"/>
              <w:rFonts w:cs="Times New Roman"/>
            </w:rPr>
            <w:t>in Washington.</w:t>
          </w:r>
          <w:r>
            <w:rPr>
              <w:rStyle w:val="Hyperlink"/>
            </w:rPr>
            <w:tab/>
          </w:r>
          <w:r>
            <w:fldChar w:fldCharType="begin"/>
          </w:r>
          <w:r>
            <w:rPr>
              <w:rStyle w:val="Hyperlink"/>
            </w:rPr>
            <w:instrText xml:space="preserve"> PAGEREF _Toc256000019 \h </w:instrText>
          </w:r>
          <w:r>
            <w:fldChar w:fldCharType="separate"/>
          </w:r>
          <w:r>
            <w:rPr>
              <w:rStyle w:val="Hyperlink"/>
            </w:rPr>
            <w:t>3</w:t>
          </w:r>
          <w:r>
            <w:fldChar w:fldCharType="end"/>
          </w:r>
          <w:r>
            <w:fldChar w:fldCharType="end"/>
          </w:r>
        </w:p>
        <w:p>
          <w:pPr>
            <w:pStyle w:val="TOC1"/>
            <w:rPr>
              <w:rFonts w:asciiTheme="minorHAnsi" w:hAnsiTheme="minorHAnsi"/>
              <w:noProof/>
              <w:sz w:val="22"/>
            </w:rPr>
          </w:pPr>
          <w:r>
            <w:fldChar w:fldCharType="begin"/>
          </w:r>
          <w:r>
            <w:rPr>
              <w:rStyle w:val="Hyperlink"/>
            </w:rPr>
            <w:instrText xml:space="preserve"> HYPERLINK \l "_Toc256000020" </w:instrText>
          </w:r>
          <w:r>
            <w:fldChar w:fldCharType="separate"/>
          </w:r>
          <w:r>
            <w:rPr>
              <w:rStyle w:val="Hyperlink"/>
              <w:rFonts w:ascii="9999999" w:hAnsi="9999999"/>
            </w:rPr>
            <w:t xml:space="preserve">IV.  </w:t>
          </w:r>
          <w:r w:rsidRPr="002B1D93">
            <w:rPr>
              <w:rStyle w:val="Hyperlink"/>
            </w:rPr>
            <w:t>investigation fee</w:t>
          </w:r>
          <w:r w:rsidRPr="002B1D93" w:rsidR="00952CBD">
            <w:rPr>
              <w:rStyle w:val="Hyperlink"/>
            </w:rPr>
            <w:t>.</w:t>
          </w:r>
          <w:r>
            <w:rPr>
              <w:rStyle w:val="Hyperlink"/>
            </w:rPr>
            <w:tab/>
          </w:r>
          <w:r>
            <w:fldChar w:fldCharType="begin"/>
          </w:r>
          <w:r>
            <w:rPr>
              <w:rStyle w:val="Hyperlink"/>
            </w:rPr>
            <w:instrText xml:space="preserve"> PAGEREF _Toc256000020 \h </w:instrText>
          </w:r>
          <w:r>
            <w:fldChar w:fldCharType="separate"/>
          </w:r>
          <w:r>
            <w:rPr>
              <w:rStyle w:val="Hyperlink"/>
            </w:rPr>
            <w:t>6</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"_Toc256000021" </w:instrText>
          </w:r>
          <w:r>
            <w:fldChar w:fldCharType="separate"/>
          </w:r>
          <w:r w:rsidRPr="002B1D93">
            <w:rPr>
              <w:rStyle w:val="Hyperlink"/>
              <w:rFonts w:cs="Times New Roman"/>
            </w:rPr>
            <w:t xml:space="preserve">The </w:t>
          </w:r>
          <w:r w:rsidRPr="002B1D93" w:rsidR="00E144C6">
            <w:rPr>
              <w:rStyle w:val="Hyperlink"/>
              <w:rFonts w:cs="Times New Roman"/>
            </w:rPr>
            <w:t xml:space="preserve">Investigation Fee Sought </w:t>
          </w:r>
          <w:r w:rsidRPr="002B1D93">
            <w:rPr>
              <w:rStyle w:val="Hyperlink"/>
              <w:rFonts w:cs="Times New Roman"/>
            </w:rPr>
            <w:t xml:space="preserve">to be </w:t>
          </w:r>
          <w:r w:rsidRPr="002B1D93" w:rsidR="00E144C6">
            <w:rPr>
              <w:rStyle w:val="Hyperlink"/>
              <w:rFonts w:cs="Times New Roman"/>
            </w:rPr>
            <w:t xml:space="preserve">Imposed Here Not </w:t>
          </w:r>
          <w:r w:rsidRPr="002B1D93" w:rsidR="00E144C6">
            <w:rPr>
              <w:rStyle w:val="Hyperlink"/>
              <w:rFonts w:cs="Times New Roman"/>
            </w:rPr>
            <w:t>Only</w:t>
          </w:r>
          <w:r w:rsidRPr="002B1D93" w:rsidR="00E144C6">
            <w:rPr>
              <w:rStyle w:val="Hyperlink"/>
              <w:rFonts w:cs="Times New Roman"/>
            </w:rPr>
            <w:t xml:space="preserve"> </w:t>
          </w:r>
          <w:r w:rsidRPr="002B1D93">
            <w:rPr>
              <w:rStyle w:val="Hyperlink"/>
              <w:rFonts w:cs="Times New Roman"/>
            </w:rPr>
            <w:t xml:space="preserve">is </w:t>
          </w:r>
          <w:r w:rsidRPr="002B1D93" w:rsidR="00E144C6">
            <w:rPr>
              <w:rStyle w:val="Hyperlink"/>
              <w:rFonts w:cs="Times New Roman"/>
            </w:rPr>
            <w:t xml:space="preserve">Punitive </w:t>
          </w:r>
          <w:r w:rsidRPr="002B1D93">
            <w:rPr>
              <w:rStyle w:val="Hyperlink"/>
              <w:rFonts w:cs="Times New Roman"/>
            </w:rPr>
            <w:t xml:space="preserve">but </w:t>
          </w:r>
          <w:r w:rsidRPr="002B1D93" w:rsidR="00195DD9">
            <w:rPr>
              <w:rStyle w:val="Hyperlink"/>
              <w:rFonts w:cs="Times New Roman"/>
            </w:rPr>
            <w:t xml:space="preserve">was </w:t>
          </w:r>
          <w:r w:rsidRPr="002B1D93" w:rsidR="00753E21">
            <w:rPr>
              <w:rStyle w:val="Hyperlink"/>
              <w:rFonts w:cs="Times New Roman"/>
            </w:rPr>
            <w:t xml:space="preserve">Neither </w:t>
          </w:r>
          <w:r w:rsidRPr="002B1D93" w:rsidR="00E144C6">
            <w:rPr>
              <w:rStyle w:val="Hyperlink"/>
              <w:rFonts w:cs="Times New Roman"/>
            </w:rPr>
            <w:t>Previously Not</w:t>
          </w:r>
          <w:r w:rsidRPr="002B1D93" w:rsidR="00195DD9">
            <w:rPr>
              <w:rStyle w:val="Hyperlink"/>
              <w:rFonts w:cs="Times New Roman"/>
            </w:rPr>
            <w:t>iced</w:t>
          </w:r>
          <w:r w:rsidRPr="002B1D93" w:rsidR="00E144C6">
            <w:rPr>
              <w:rStyle w:val="Hyperlink"/>
              <w:rFonts w:cs="Times New Roman"/>
            </w:rPr>
            <w:t xml:space="preserve"> </w:t>
          </w:r>
          <w:r w:rsidRPr="002B1D93">
            <w:rPr>
              <w:rStyle w:val="Hyperlink"/>
              <w:rFonts w:cs="Times New Roman"/>
            </w:rPr>
            <w:t xml:space="preserve">to the Company </w:t>
          </w:r>
          <w:r w:rsidRPr="002B1D93" w:rsidR="001A1696">
            <w:rPr>
              <w:rStyle w:val="Hyperlink"/>
              <w:rFonts w:cs="Times New Roman"/>
            </w:rPr>
            <w:t>N</w:t>
          </w:r>
          <w:r w:rsidRPr="002B1D93" w:rsidR="00E144C6">
            <w:rPr>
              <w:rStyle w:val="Hyperlink"/>
              <w:rFonts w:cs="Times New Roman"/>
            </w:rPr>
            <w:t xml:space="preserve">or Supported </w:t>
          </w:r>
          <w:r w:rsidRPr="002B1D93">
            <w:rPr>
              <w:rStyle w:val="Hyperlink"/>
              <w:rFonts w:cs="Times New Roman"/>
            </w:rPr>
            <w:t xml:space="preserve">by any </w:t>
          </w:r>
          <w:r w:rsidRPr="002B1D93" w:rsidR="00E144C6">
            <w:rPr>
              <w:rStyle w:val="Hyperlink"/>
              <w:rFonts w:cs="Times New Roman"/>
            </w:rPr>
            <w:t>Reference</w:t>
          </w:r>
          <w:r w:rsidRPr="002B1D93" w:rsidR="00195DD9">
            <w:rPr>
              <w:rStyle w:val="Hyperlink"/>
              <w:rFonts w:cs="Times New Roman"/>
            </w:rPr>
            <w:t>d</w:t>
          </w:r>
          <w:r w:rsidRPr="002B1D93" w:rsidR="00E144C6">
            <w:rPr>
              <w:rStyle w:val="Hyperlink"/>
              <w:rFonts w:cs="Times New Roman"/>
            </w:rPr>
            <w:t xml:space="preserve"> General Rate Case Known</w:t>
          </w:r>
          <w:r w:rsidRPr="002B1D93">
            <w:rPr>
              <w:rStyle w:val="Hyperlink"/>
              <w:rFonts w:cs="Times New Roman"/>
            </w:rPr>
            <w:t xml:space="preserve"> to the </w:t>
          </w:r>
          <w:r w:rsidRPr="002B1D93" w:rsidR="00E144C6">
            <w:rPr>
              <w:rStyle w:val="Hyperlink"/>
              <w:rFonts w:cs="Times New Roman"/>
            </w:rPr>
            <w:t>Parties.</w:t>
          </w:r>
          <w:r>
            <w:rPr>
              <w:rStyle w:val="Hyperlink"/>
            </w:rPr>
            <w:tab/>
          </w:r>
          <w:r>
            <w:fldChar w:fldCharType="begin"/>
          </w:r>
          <w:r>
            <w:rPr>
              <w:rStyle w:val="Hyperlink"/>
            </w:rPr>
            <w:instrText xml:space="preserve"> PAGEREF _Toc256000021 \h </w:instrText>
          </w:r>
          <w:r>
            <w:fldChar w:fldCharType="separate"/>
          </w:r>
          <w:r>
            <w:rPr>
              <w:rStyle w:val="Hyperlink"/>
            </w:rPr>
            <w:t>6</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"_Toc256000022" </w:instrText>
          </w:r>
          <w:r>
            <w:fldChar w:fldCharType="separate"/>
          </w:r>
          <w:r w:rsidRPr="002B1D93">
            <w:rPr>
              <w:rStyle w:val="Hyperlink"/>
              <w:rFonts w:cs="Times New Roman"/>
            </w:rPr>
            <w:t xml:space="preserve">A.  </w:t>
          </w:r>
          <w:r w:rsidRPr="002B1D93" w:rsidR="00543C16">
            <w:rPr>
              <w:rStyle w:val="Hyperlink"/>
              <w:rFonts w:cs="Times New Roman"/>
            </w:rPr>
            <w:t>Back</w:t>
          </w:r>
          <w:r w:rsidRPr="002B1D93" w:rsidR="00F80457">
            <w:rPr>
              <w:rStyle w:val="Hyperlink"/>
              <w:rFonts w:cs="Times New Roman"/>
            </w:rPr>
            <w:t>ground to Staff I</w:t>
          </w:r>
          <w:r w:rsidRPr="002B1D93" w:rsidR="0036417C">
            <w:rPr>
              <w:rStyle w:val="Hyperlink"/>
              <w:rFonts w:cs="Times New Roman"/>
            </w:rPr>
            <w:t>nvestigation Fee Issue</w:t>
          </w:r>
          <w:r>
            <w:rPr>
              <w:rStyle w:val="Hyperlink"/>
            </w:rPr>
            <w:tab/>
          </w:r>
          <w:r>
            <w:fldChar w:fldCharType="begin"/>
          </w:r>
          <w:r>
            <w:rPr>
              <w:rStyle w:val="Hyperlink"/>
            </w:rPr>
            <w:instrText xml:space="preserve"> PAGEREF _Toc256000022 \h </w:instrText>
          </w:r>
          <w:r>
            <w:fldChar w:fldCharType="separate"/>
          </w:r>
          <w:r>
            <w:rPr>
              <w:rStyle w:val="Hyperlink"/>
            </w:rPr>
            <w:t>6</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"_Toc256000023" </w:instrText>
          </w:r>
          <w:r>
            <w:fldChar w:fldCharType="separate"/>
          </w:r>
          <w:r w:rsidRPr="002B1D93">
            <w:rPr>
              <w:rStyle w:val="Hyperlink"/>
              <w:rFonts w:cs="Times New Roman"/>
            </w:rPr>
            <w:t xml:space="preserve">B.  </w:t>
          </w:r>
          <w:r w:rsidRPr="002B1D93" w:rsidR="0036417C">
            <w:rPr>
              <w:rStyle w:val="Hyperlink"/>
              <w:rFonts w:cs="Times New Roman"/>
            </w:rPr>
            <w:t>Analysis</w:t>
          </w:r>
          <w:r w:rsidRPr="002B1D93" w:rsidR="002C4F8D">
            <w:rPr>
              <w:rStyle w:val="Hyperlink"/>
              <w:rFonts w:cs="Times New Roman"/>
            </w:rPr>
            <w:t>/A</w:t>
          </w:r>
          <w:r w:rsidRPr="002B1D93" w:rsidR="0036417C">
            <w:rPr>
              <w:rStyle w:val="Hyperlink"/>
              <w:rFonts w:cs="Times New Roman"/>
            </w:rPr>
            <w:t>rgument in Opposition to Fee Imposition</w:t>
          </w:r>
          <w:r>
            <w:rPr>
              <w:rStyle w:val="Hyperlink"/>
            </w:rPr>
            <w:tab/>
          </w:r>
          <w:r>
            <w:fldChar w:fldCharType="begin"/>
          </w:r>
          <w:r>
            <w:rPr>
              <w:rStyle w:val="Hyperlink"/>
            </w:rPr>
            <w:instrText xml:space="preserve"> PAGEREF _Toc256000023 \h </w:instrText>
          </w:r>
          <w:r>
            <w:fldChar w:fldCharType="separate"/>
          </w:r>
          <w:r>
            <w:rPr>
              <w:rStyle w:val="Hyperlink"/>
            </w:rPr>
            <w:t>7</w:t>
          </w:r>
          <w:r>
            <w:fldChar w:fldCharType="end"/>
          </w:r>
          <w:r>
            <w:fldChar w:fldCharType="end"/>
          </w:r>
        </w:p>
        <w:p>
          <w:pPr>
            <w:pStyle w:val="TOC1"/>
            <w:rPr>
              <w:rFonts w:asciiTheme="minorHAnsi" w:hAnsiTheme="minorHAnsi"/>
              <w:noProof/>
              <w:sz w:val="22"/>
            </w:rPr>
          </w:pPr>
          <w:r>
            <w:fldChar w:fldCharType="begin"/>
          </w:r>
          <w:r>
            <w:rPr>
              <w:rStyle w:val="Hyperlink"/>
            </w:rPr>
            <w:instrText xml:space="preserve"> HYPERLINK \l "_Toc256000024" </w:instrText>
          </w:r>
          <w:r>
            <w:fldChar w:fldCharType="separate"/>
          </w:r>
          <w:r>
            <w:rPr>
              <w:rStyle w:val="Hyperlink"/>
              <w:rFonts w:ascii="9999999" w:hAnsi="9999999"/>
            </w:rPr>
            <w:t xml:space="preserve">V.  </w:t>
          </w:r>
          <w:r w:rsidRPr="002B1D93">
            <w:rPr>
              <w:rStyle w:val="Hyperlink"/>
            </w:rPr>
            <w:t>rate case cost recovery: pro forma ADJUSTMENT</w:t>
          </w:r>
          <w:r w:rsidRPr="002B1D93" w:rsidR="00B55B71">
            <w:rPr>
              <w:rStyle w:val="Hyperlink"/>
            </w:rPr>
            <w:t>s</w:t>
          </w:r>
          <w:r w:rsidRPr="002B1D93" w:rsidR="00BC2B22">
            <w:rPr>
              <w:rStyle w:val="Hyperlink"/>
            </w:rPr>
            <w:t>,</w:t>
          </w:r>
          <w:r w:rsidRPr="002B1D93">
            <w:rPr>
              <w:rStyle w:val="Hyperlink"/>
            </w:rPr>
            <w:t xml:space="preserve"> </w:t>
          </w:r>
          <w:r w:rsidRPr="002B1D93" w:rsidR="00D55483">
            <w:rPr>
              <w:rStyle w:val="Hyperlink"/>
            </w:rPr>
            <w:t>P-2, P-3</w:t>
          </w:r>
          <w:r w:rsidRPr="002B1D93" w:rsidR="00971548">
            <w:rPr>
              <w:rStyle w:val="Hyperlink"/>
            </w:rPr>
            <w:t>.</w:t>
          </w:r>
          <w:r>
            <w:rPr>
              <w:rStyle w:val="Hyperlink"/>
            </w:rPr>
            <w:tab/>
          </w:r>
          <w:r>
            <w:fldChar w:fldCharType="begin"/>
          </w:r>
          <w:r>
            <w:rPr>
              <w:rStyle w:val="Hyperlink"/>
            </w:rPr>
            <w:instrText xml:space="preserve"> PAGEREF _Toc256000024 \h </w:instrText>
          </w:r>
          <w:r>
            <w:fldChar w:fldCharType="separate"/>
          </w:r>
          <w:r>
            <w:rPr>
              <w:rStyle w:val="Hyperlink"/>
            </w:rPr>
            <w:t>8</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"_Toc256000025" </w:instrText>
          </w:r>
          <w:r>
            <w:fldChar w:fldCharType="separate"/>
          </w:r>
          <w:r w:rsidRPr="002B1D93">
            <w:rPr>
              <w:rStyle w:val="Hyperlink"/>
              <w:rFonts w:cs="Times New Roman"/>
            </w:rPr>
            <w:t xml:space="preserve">The Staff </w:t>
          </w:r>
          <w:r w:rsidRPr="002B1D93" w:rsidR="00E144C6">
            <w:rPr>
              <w:rStyle w:val="Hyperlink"/>
              <w:rFonts w:cs="Times New Roman"/>
            </w:rPr>
            <w:t>Recommendation t</w:t>
          </w:r>
          <w:r w:rsidRPr="002B1D93" w:rsidR="00195DD9">
            <w:rPr>
              <w:rStyle w:val="Hyperlink"/>
              <w:rFonts w:cs="Times New Roman"/>
            </w:rPr>
            <w:t>o Cut t</w:t>
          </w:r>
          <w:r w:rsidRPr="002B1D93" w:rsidR="00E144C6">
            <w:rPr>
              <w:rStyle w:val="Hyperlink"/>
              <w:rFonts w:cs="Times New Roman"/>
            </w:rPr>
            <w:t xml:space="preserve">he </w:t>
          </w:r>
          <w:r w:rsidRPr="002B1D93">
            <w:rPr>
              <w:rStyle w:val="Hyperlink"/>
              <w:rFonts w:cs="Times New Roman"/>
            </w:rPr>
            <w:t xml:space="preserve">Company’s </w:t>
          </w:r>
          <w:r w:rsidRPr="002B1D93" w:rsidR="00E144C6">
            <w:rPr>
              <w:rStyle w:val="Hyperlink"/>
              <w:rFonts w:cs="Times New Roman"/>
            </w:rPr>
            <w:t xml:space="preserve">Rate Case Cost Recovery </w:t>
          </w:r>
          <w:r w:rsidRPr="002B1D93" w:rsidR="00195DD9">
            <w:rPr>
              <w:rStyle w:val="Hyperlink"/>
              <w:rFonts w:cs="Times New Roman"/>
            </w:rPr>
            <w:t>f</w:t>
          </w:r>
          <w:r w:rsidRPr="002B1D93" w:rsidR="00E144C6">
            <w:rPr>
              <w:rStyle w:val="Hyperlink"/>
              <w:rFonts w:cs="Times New Roman"/>
            </w:rPr>
            <w:t xml:space="preserve">rom </w:t>
          </w:r>
          <w:r w:rsidRPr="002B1D93">
            <w:rPr>
              <w:rStyle w:val="Hyperlink"/>
              <w:rFonts w:cs="Times New Roman"/>
            </w:rPr>
            <w:t xml:space="preserve">December </w:t>
          </w:r>
          <w:r w:rsidRPr="002B1D93" w:rsidR="00E144C6">
            <w:rPr>
              <w:rStyle w:val="Hyperlink"/>
              <w:rFonts w:cs="Times New Roman"/>
            </w:rPr>
            <w:t>24, 2</w:t>
          </w:r>
          <w:r w:rsidRPr="002B1D93" w:rsidR="00C27BAD">
            <w:rPr>
              <w:rStyle w:val="Hyperlink"/>
              <w:rFonts w:cs="Times New Roman"/>
            </w:rPr>
            <w:t>013 to the Present is Arbitrary,</w:t>
          </w:r>
          <w:r w:rsidRPr="002B1D93" w:rsidR="00E144C6">
            <w:rPr>
              <w:rStyle w:val="Hyperlink"/>
              <w:rFonts w:cs="Times New Roman"/>
            </w:rPr>
            <w:t xml:space="preserve"> Unsupported by Statute a</w:t>
          </w:r>
          <w:r w:rsidRPr="002B1D93" w:rsidR="00195DD9">
            <w:rPr>
              <w:rStyle w:val="Hyperlink"/>
              <w:rFonts w:cs="Times New Roman"/>
            </w:rPr>
            <w:t>nd Reflective</w:t>
          </w:r>
          <w:r w:rsidRPr="002B1D93" w:rsidR="00E144C6">
            <w:rPr>
              <w:rStyle w:val="Hyperlink"/>
              <w:rFonts w:cs="Times New Roman"/>
            </w:rPr>
            <w:t xml:space="preserve"> of a Retributive Attitude for Challenging Untried </w:t>
          </w:r>
          <w:r w:rsidRPr="002B1D93">
            <w:rPr>
              <w:rStyle w:val="Hyperlink"/>
              <w:rFonts w:cs="Times New Roman"/>
            </w:rPr>
            <w:t xml:space="preserve">Staff </w:t>
          </w:r>
          <w:r w:rsidRPr="002B1D93" w:rsidR="00E144C6">
            <w:rPr>
              <w:rStyle w:val="Hyperlink"/>
              <w:rFonts w:cs="Times New Roman"/>
            </w:rPr>
            <w:t>Accounting Adjustments.</w:t>
          </w:r>
          <w:r>
            <w:rPr>
              <w:rStyle w:val="Hyperlink"/>
            </w:rPr>
            <w:tab/>
          </w:r>
          <w:r>
            <w:fldChar w:fldCharType="begin"/>
          </w:r>
          <w:r>
            <w:rPr>
              <w:rStyle w:val="Hyperlink"/>
            </w:rPr>
            <w:instrText xml:space="preserve"> PAGEREF _Toc256000025 \h </w:instrText>
          </w:r>
          <w:r>
            <w:fldChar w:fldCharType="separate"/>
          </w:r>
          <w:r>
            <w:rPr>
              <w:rStyle w:val="Hyperlink"/>
            </w:rPr>
            <w:t>8</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"_Toc256000026" </w:instrText>
          </w:r>
          <w:r>
            <w:fldChar w:fldCharType="separate"/>
          </w:r>
          <w:r w:rsidRPr="002B1D93">
            <w:rPr>
              <w:rStyle w:val="Hyperlink"/>
              <w:rFonts w:cs="Times New Roman"/>
            </w:rPr>
            <w:t>A.  Factual Background</w:t>
          </w:r>
          <w:r>
            <w:rPr>
              <w:rStyle w:val="Hyperlink"/>
            </w:rPr>
            <w:tab/>
          </w:r>
          <w:r>
            <w:fldChar w:fldCharType="begin"/>
          </w:r>
          <w:r>
            <w:rPr>
              <w:rStyle w:val="Hyperlink"/>
            </w:rPr>
            <w:instrText xml:space="preserve"> PAGEREF _Toc256000026 \h </w:instrText>
          </w:r>
          <w:r>
            <w:fldChar w:fldCharType="separate"/>
          </w:r>
          <w:r>
            <w:rPr>
              <w:rStyle w:val="Hyperlink"/>
            </w:rPr>
            <w:t>8</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"_Toc256000027" </w:instrText>
          </w:r>
          <w:r>
            <w:fldChar w:fldCharType="separate"/>
          </w:r>
          <w:r w:rsidRPr="002B1D93">
            <w:rPr>
              <w:rStyle w:val="Hyperlink"/>
              <w:rFonts w:cs="Times New Roman"/>
            </w:rPr>
            <w:t>B.  Jackie Davis Supplemental Testimony on Rate Case Cost Recovery</w:t>
          </w:r>
          <w:r>
            <w:rPr>
              <w:rStyle w:val="Hyperlink"/>
            </w:rPr>
            <w:tab/>
          </w:r>
          <w:r>
            <w:fldChar w:fldCharType="begin"/>
          </w:r>
          <w:r>
            <w:rPr>
              <w:rStyle w:val="Hyperlink"/>
            </w:rPr>
            <w:instrText xml:space="preserve"> PAGEREF _Toc256000027 \h </w:instrText>
          </w:r>
          <w:r>
            <w:fldChar w:fldCharType="separate"/>
          </w:r>
          <w:r>
            <w:rPr>
              <w:rStyle w:val="Hyperlink"/>
            </w:rPr>
            <w:t>10</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"_Toc256000028" </w:instrText>
          </w:r>
          <w:r>
            <w:fldChar w:fldCharType="separate"/>
          </w:r>
          <w:r w:rsidRPr="002B1D93">
            <w:rPr>
              <w:rStyle w:val="Hyperlink"/>
              <w:rFonts w:cs="Times New Roman"/>
            </w:rPr>
            <w:t>C</w:t>
          </w:r>
          <w:r w:rsidRPr="002B1D93" w:rsidR="00DB3B97">
            <w:rPr>
              <w:rStyle w:val="Hyperlink"/>
              <w:rFonts w:cs="Times New Roman"/>
            </w:rPr>
            <w:t>.  A</w:t>
          </w:r>
          <w:r w:rsidRPr="002B1D93" w:rsidR="008B3014">
            <w:rPr>
              <w:rStyle w:val="Hyperlink"/>
              <w:rFonts w:cs="Times New Roman"/>
            </w:rPr>
            <w:t xml:space="preserve">rgument and </w:t>
          </w:r>
          <w:r w:rsidRPr="002B1D93" w:rsidR="00DB3B97">
            <w:rPr>
              <w:rStyle w:val="Hyperlink"/>
              <w:rFonts w:cs="Times New Roman"/>
            </w:rPr>
            <w:t>A</w:t>
          </w:r>
          <w:r w:rsidRPr="002B1D93" w:rsidR="008B3014">
            <w:rPr>
              <w:rStyle w:val="Hyperlink"/>
              <w:rFonts w:cs="Times New Roman"/>
            </w:rPr>
            <w:t xml:space="preserve">pplicable </w:t>
          </w:r>
          <w:r w:rsidRPr="002B1D93" w:rsidR="00DB3B97">
            <w:rPr>
              <w:rStyle w:val="Hyperlink"/>
              <w:rFonts w:cs="Times New Roman"/>
            </w:rPr>
            <w:t>L</w:t>
          </w:r>
          <w:r w:rsidRPr="002B1D93" w:rsidR="008B3014">
            <w:rPr>
              <w:rStyle w:val="Hyperlink"/>
              <w:rFonts w:cs="Times New Roman"/>
            </w:rPr>
            <w:t>aw</w:t>
          </w:r>
          <w:r>
            <w:rPr>
              <w:rStyle w:val="Hyperlink"/>
            </w:rPr>
            <w:tab/>
          </w:r>
          <w:r>
            <w:fldChar w:fldCharType="begin"/>
          </w:r>
          <w:r>
            <w:rPr>
              <w:rStyle w:val="Hyperlink"/>
            </w:rPr>
            <w:instrText xml:space="preserve"> PAGEREF _Toc256000028 \h </w:instrText>
          </w:r>
          <w:r>
            <w:fldChar w:fldCharType="separate"/>
          </w:r>
          <w:r>
            <w:rPr>
              <w:rStyle w:val="Hyperlink"/>
            </w:rPr>
            <w:t>11</w:t>
          </w:r>
          <w:r>
            <w:fldChar w:fldCharType="end"/>
          </w:r>
          <w:r>
            <w:fldChar w:fldCharType="end"/>
          </w:r>
        </w:p>
        <w:p>
          <w:pPr>
            <w:pStyle w:val="TOC1"/>
            <w:rPr>
              <w:rFonts w:asciiTheme="minorHAnsi" w:hAnsiTheme="minorHAnsi"/>
              <w:noProof/>
              <w:sz w:val="22"/>
            </w:rPr>
          </w:pPr>
          <w:r>
            <w:fldChar w:fldCharType="begin"/>
          </w:r>
          <w:r>
            <w:rPr>
              <w:rStyle w:val="Hyperlink"/>
            </w:rPr>
            <w:instrText xml:space="preserve"> HYPERLINK \l "_Toc256000029" </w:instrText>
          </w:r>
          <w:r>
            <w:fldChar w:fldCharType="separate"/>
          </w:r>
          <w:r>
            <w:rPr>
              <w:rStyle w:val="Hyperlink"/>
              <w:rFonts w:ascii="9999999" w:hAnsi="9999999"/>
            </w:rPr>
            <w:t xml:space="preserve">VI.  </w:t>
          </w:r>
          <w:r w:rsidRPr="002B1D93" w:rsidR="00F672DC">
            <w:rPr>
              <w:rStyle w:val="Hyperlink"/>
            </w:rPr>
            <w:t>CONCLUSION</w:t>
          </w:r>
          <w:r w:rsidRPr="002B1D93" w:rsidR="00407B68">
            <w:rPr>
              <w:rStyle w:val="Hyperlink"/>
            </w:rPr>
            <w:t>/PRAYER FOR RELIEF</w:t>
          </w:r>
          <w:r>
            <w:rPr>
              <w:rStyle w:val="Hyperlink"/>
            </w:rPr>
            <w:tab/>
          </w:r>
          <w:r>
            <w:fldChar w:fldCharType="begin"/>
          </w:r>
          <w:r>
            <w:rPr>
              <w:rStyle w:val="Hyperlink"/>
            </w:rPr>
            <w:instrText xml:space="preserve"> PAGEREF _Toc256000029 \h </w:instrText>
          </w:r>
          <w:r>
            <w:fldChar w:fldCharType="separate"/>
          </w:r>
          <w:r>
            <w:rPr>
              <w:rStyle w:val="Hyperlink"/>
            </w:rPr>
            <w:t>15</w:t>
          </w:r>
          <w:r>
            <w:fldChar w:fldCharType="end"/>
          </w:r>
          <w:r>
            <w:fldChar w:fldCharType="end"/>
          </w:r>
        </w:p>
        <w:p w:rsidRPr="002B1D93">
          <w:pPr>
            <w:rPr>
              <w:rFonts w:ascii="Times New Roman" w:hAnsi="Times New Roman" w:cs="Times New Roman"/>
              <w:b/>
              <w:bCs/>
              <w:noProof/>
              <w:sz w:val="24"/>
              <w:szCs w:val="24"/>
            </w:rPr>
          </w:pPr>
          <w:r w:rsidRPr="002B1D93">
            <w:rPr>
              <w:rFonts w:ascii="Times New Roman" w:hAnsi="Times New Roman" w:cs="Times New Roman"/>
              <w:b/>
              <w:bCs/>
              <w:noProof/>
              <w:sz w:val="24"/>
              <w:szCs w:val="24"/>
            </w:rPr>
            <w:fldChar w:fldCharType="end"/>
          </w:r>
        </w:p>
      </w:sdtContent>
    </w:sdt>
    <w:p w:rsidR="00D827DB" w:rsidRPr="002B1D93" w:rsidP="008D10FE">
      <w:pPr>
        <w:pStyle w:val="Header"/>
        <w:rPr>
          <w:rFonts w:ascii="Times New Roman" w:hAnsi="Times New Roman"/>
        </w:rPr>
        <w:sectPr w:rsidSect="00C909E5">
          <w:footerReference w:type="default" r:id="rId11"/>
          <w:pgSz w:w="12240" w:h="15840" w:code="1"/>
          <w:pgMar w:top="1440" w:right="1440" w:bottom="1440" w:left="1872" w:header="720" w:footer="720" w:gutter="0"/>
          <w:paperSrc w:first="261" w:other="261"/>
          <w:cols w:space="720"/>
          <w:docGrid w:linePitch="360"/>
        </w:sectPr>
      </w:pPr>
    </w:p>
    <w:p w:rsidR="00574109" w:rsidRPr="002B1D93" w:rsidP="009617B5">
      <w:pPr>
        <w:pStyle w:val="HEADING10"/>
        <w:spacing w:after="240"/>
        <w:rPr>
          <w:szCs w:val="24"/>
        </w:rPr>
      </w:pPr>
      <w:r w:rsidRPr="002B1D93">
        <w:rPr>
          <w:szCs w:val="24"/>
        </w:rPr>
        <w:t xml:space="preserve">  </w:t>
      </w:r>
      <w:bookmarkStart w:id="1" w:name="_Toc402944386"/>
      <w:bookmarkStart w:id="2" w:name="_Toc403051675"/>
      <w:bookmarkStart w:id="3" w:name="_Toc256000000"/>
      <w:bookmarkStart w:id="4" w:name="_Toc256000015"/>
      <w:r w:rsidRPr="002B1D93" w:rsidR="00471E5D">
        <w:rPr>
          <w:szCs w:val="24"/>
        </w:rPr>
        <w:t>INTRODUCTION</w:t>
      </w:r>
      <w:bookmarkEnd w:id="4"/>
      <w:bookmarkEnd w:id="3"/>
      <w:bookmarkEnd w:id="1"/>
      <w:bookmarkEnd w:id="2"/>
    </w:p>
    <w:p w:rsidR="00C27D10" w:rsidRPr="002B1D93" w:rsidP="00F42F0B">
      <w:pPr>
        <w:pStyle w:val="ListParagraph"/>
      </w:pPr>
      <w:r w:rsidRPr="002B1D93">
        <w:tab/>
      </w:r>
      <w:r w:rsidRPr="002B1D93" w:rsidR="00E803B3">
        <w:t>Waste Control, Inc. (“WCI,” “</w:t>
      </w:r>
      <w:r w:rsidRPr="002B1D93" w:rsidR="00280373">
        <w:t>Company</w:t>
      </w:r>
      <w:r w:rsidRPr="002B1D93" w:rsidR="00E803B3">
        <w:t>” or “</w:t>
      </w:r>
      <w:r w:rsidRPr="002B1D93" w:rsidR="00280373">
        <w:t>Respondent</w:t>
      </w:r>
      <w:r w:rsidRPr="002B1D93" w:rsidR="00E803B3">
        <w:t xml:space="preserve">”) files the following opening brief and </w:t>
      </w:r>
      <w:r w:rsidRPr="002B1D93" w:rsidR="009749C8">
        <w:t xml:space="preserve">supplemental </w:t>
      </w:r>
      <w:r w:rsidRPr="002B1D93" w:rsidR="00E803B3">
        <w:t xml:space="preserve">testimony on the remaining contested accounting adjustment issues pursuant </w:t>
      </w:r>
      <w:r w:rsidRPr="002B1D93" w:rsidR="00280373">
        <w:t xml:space="preserve">to </w:t>
      </w:r>
      <w:r w:rsidRPr="002B1D93" w:rsidR="00E803B3">
        <w:t xml:space="preserve">the </w:t>
      </w:r>
      <w:r w:rsidRPr="002B1D93" w:rsidR="0001069C">
        <w:t xml:space="preserve">Commission’s decision granting </w:t>
      </w:r>
      <w:r w:rsidRPr="002B1D93" w:rsidR="00E803B3">
        <w:t xml:space="preserve">Joint Motion to Modify the Procedural Schedule </w:t>
      </w:r>
      <w:r w:rsidRPr="002B1D93" w:rsidR="00D50226">
        <w:t xml:space="preserve">of </w:t>
      </w:r>
      <w:r w:rsidRPr="002B1D93" w:rsidR="00E803B3">
        <w:t>October 2</w:t>
      </w:r>
      <w:r w:rsidRPr="002B1D93" w:rsidR="00D50226">
        <w:t>7</w:t>
      </w:r>
      <w:r w:rsidRPr="002B1D93" w:rsidR="00E803B3">
        <w:t>, 2014.  This final phase o</w:t>
      </w:r>
      <w:r w:rsidRPr="002B1D93" w:rsidR="00280373">
        <w:t>f the protracted general rate f</w:t>
      </w:r>
      <w:r w:rsidRPr="002B1D93" w:rsidR="00E803B3">
        <w:t>iling by WCI focuses upon the four remaining accounting issues as set forth in the Joint Motion to Modify the Procedural Schedule</w:t>
      </w:r>
      <w:r w:rsidRPr="002B1D93" w:rsidR="00280373">
        <w:t>:</w:t>
      </w:r>
      <w:r w:rsidRPr="002B1D93" w:rsidR="00E803B3">
        <w:t xml:space="preserve"> utility cost allocations</w:t>
      </w:r>
      <w:r w:rsidRPr="002B1D93" w:rsidR="00F42F0B">
        <w:t>,</w:t>
      </w:r>
      <w:r w:rsidRPr="002B1D93" w:rsidR="00E803B3">
        <w:t xml:space="preserve"> wh</w:t>
      </w:r>
      <w:r w:rsidRPr="002B1D93" w:rsidR="00DF4D48">
        <w:t xml:space="preserve">ich is restating adjustment </w:t>
      </w:r>
      <w:r w:rsidRPr="002B1D93" w:rsidR="00D55483">
        <w:t>R-</w:t>
      </w:r>
      <w:r w:rsidRPr="002B1D93" w:rsidR="00753E21">
        <w:t>6</w:t>
      </w:r>
      <w:r w:rsidRPr="002B1D93" w:rsidR="00DF4D48">
        <w:t>D</w:t>
      </w:r>
      <w:r w:rsidRPr="002B1D93" w:rsidR="00DF4D48">
        <w:t>;</w:t>
      </w:r>
      <w:r w:rsidRPr="002B1D93" w:rsidR="00E803B3">
        <w:t xml:space="preserve"> land </w:t>
      </w:r>
      <w:r w:rsidRPr="002B1D93" w:rsidR="00DF4D48">
        <w:t>rents, restating adjustment</w:t>
      </w:r>
      <w:r w:rsidRPr="002B1D93" w:rsidR="00D55483">
        <w:t xml:space="preserve"> R-</w:t>
      </w:r>
      <w:r w:rsidRPr="002B1D93" w:rsidR="00DF4D48">
        <w:t>6E</w:t>
      </w:r>
      <w:r w:rsidRPr="002B1D93" w:rsidR="00DF4D48">
        <w:t>;</w:t>
      </w:r>
      <w:r w:rsidRPr="002B1D93" w:rsidR="00E803B3">
        <w:t xml:space="preserve"> rate case expense</w:t>
      </w:r>
      <w:r w:rsidRPr="002B1D93" w:rsidR="00E144C6">
        <w:t>,</w:t>
      </w:r>
      <w:r w:rsidRPr="002B1D93" w:rsidR="00E803B3">
        <w:t xml:space="preserve"> pro forma adjustment</w:t>
      </w:r>
      <w:r w:rsidRPr="002B1D93" w:rsidR="006E17CC">
        <w:t>s</w:t>
      </w:r>
      <w:r w:rsidRPr="002B1D93" w:rsidR="00E803B3">
        <w:t xml:space="preserve"> P-2 and</w:t>
      </w:r>
      <w:r w:rsidRPr="002B1D93" w:rsidR="00D55483">
        <w:t xml:space="preserve"> P-3</w:t>
      </w:r>
      <w:r w:rsidRPr="002B1D93" w:rsidR="00E803B3">
        <w:t xml:space="preserve"> </w:t>
      </w:r>
      <w:r w:rsidRPr="002B1D93" w:rsidR="00753E21">
        <w:t xml:space="preserve">and </w:t>
      </w:r>
      <w:r w:rsidRPr="002B1D93" w:rsidR="00E803B3">
        <w:t>the related additional issue of imposition of investigat</w:t>
      </w:r>
      <w:r w:rsidRPr="002B1D93" w:rsidR="0044174C">
        <w:t>ion</w:t>
      </w:r>
      <w:r w:rsidRPr="002B1D93" w:rsidR="00E803B3">
        <w:t xml:space="preserve"> fee</w:t>
      </w:r>
      <w:r w:rsidRPr="002B1D93" w:rsidR="0044174C">
        <w:t>s</w:t>
      </w:r>
      <w:r w:rsidRPr="002B1D93" w:rsidR="00E803B3">
        <w:t xml:space="preserve"> sought to be imposed by the Commission Staff.</w:t>
      </w:r>
      <w:r>
        <w:rPr>
          <w:rStyle w:val="FootnoteReference"/>
        </w:rPr>
        <w:footnoteReference w:id="2"/>
      </w:r>
      <w:r w:rsidRPr="002B1D93" w:rsidR="00E803B3">
        <w:t xml:space="preserve">  </w:t>
      </w:r>
    </w:p>
    <w:p w:rsidR="00471E5D" w:rsidRPr="002B1D93" w:rsidP="00F42F0B">
      <w:pPr>
        <w:pStyle w:val="ListParagraph"/>
      </w:pPr>
      <w:r w:rsidRPr="002B1D93">
        <w:tab/>
      </w:r>
      <w:r w:rsidRPr="002B1D93" w:rsidR="00E803B3">
        <w:t xml:space="preserve">As the record in this matter will reflect as well, the parties have proposed partial settlement on all remaining issues </w:t>
      </w:r>
      <w:r w:rsidRPr="002B1D93" w:rsidR="009749C8">
        <w:t xml:space="preserve">with </w:t>
      </w:r>
      <w:r w:rsidRPr="002B1D93" w:rsidR="00280373">
        <w:t xml:space="preserve">settlement </w:t>
      </w:r>
      <w:r w:rsidRPr="002B1D93" w:rsidR="00E803B3">
        <w:t xml:space="preserve">narratives </w:t>
      </w:r>
      <w:r w:rsidRPr="002B1D93" w:rsidR="00280373">
        <w:t xml:space="preserve">and agreement </w:t>
      </w:r>
      <w:r w:rsidRPr="002B1D93" w:rsidR="00E803B3">
        <w:t xml:space="preserve">filed on October 13, 2014 which represent the proposed resolution of the majority </w:t>
      </w:r>
      <w:r w:rsidRPr="002B1D93" w:rsidR="009749C8">
        <w:t xml:space="preserve">(by adjustment number and dollar amount) </w:t>
      </w:r>
      <w:r w:rsidRPr="002B1D93" w:rsidR="00E803B3">
        <w:t xml:space="preserve">of the disputed accounting adjustments and revenue requirement </w:t>
      </w:r>
      <w:r w:rsidRPr="002B1D93" w:rsidR="00D50226">
        <w:t xml:space="preserve">disputes </w:t>
      </w:r>
      <w:r w:rsidRPr="002B1D93" w:rsidR="00E803B3">
        <w:t xml:space="preserve">between the parties.  In filing </w:t>
      </w:r>
      <w:r w:rsidRPr="002B1D93">
        <w:t>this</w:t>
      </w:r>
      <w:r w:rsidRPr="002B1D93" w:rsidR="00E803B3">
        <w:t xml:space="preserve"> opening brief and supplemental testimony</w:t>
      </w:r>
      <w:r w:rsidRPr="002B1D93" w:rsidR="00280373">
        <w:t>,</w:t>
      </w:r>
      <w:r w:rsidRPr="002B1D93" w:rsidR="00E803B3">
        <w:t xml:space="preserve"> the Respondent relies upon the Company’s direct case filing on April 4, 2014 and</w:t>
      </w:r>
      <w:r w:rsidRPr="002B1D93" w:rsidR="006526BB">
        <w:t>,</w:t>
      </w:r>
      <w:r w:rsidRPr="002B1D93" w:rsidR="00E803B3">
        <w:t xml:space="preserve"> to an even more significant degree, its rebuttal case filing on August 20, 2014</w:t>
      </w:r>
      <w:r w:rsidRPr="002B1D93" w:rsidR="00280373">
        <w:t>,</w:t>
      </w:r>
      <w:r w:rsidRPr="002B1D93" w:rsidR="00E803B3">
        <w:t xml:space="preserve"> which responded to the Commission</w:t>
      </w:r>
      <w:r w:rsidRPr="002B1D93" w:rsidR="00E00C99">
        <w:t xml:space="preserve"> Staff’s</w:t>
      </w:r>
      <w:r w:rsidRPr="002B1D93" w:rsidR="00753E21">
        <w:t xml:space="preserve"> case of July 18, 2014.  The substantial </w:t>
      </w:r>
      <w:r w:rsidRPr="002B1D93" w:rsidR="00E00C99">
        <w:t xml:space="preserve">record </w:t>
      </w:r>
      <w:r w:rsidRPr="002B1D93" w:rsidR="0022340B">
        <w:t>in</w:t>
      </w:r>
      <w:r w:rsidRPr="002B1D93" w:rsidR="00E00C99">
        <w:t xml:space="preserve"> this file which</w:t>
      </w:r>
      <w:r w:rsidRPr="002B1D93" w:rsidR="00280373">
        <w:t xml:space="preserve"> </w:t>
      </w:r>
      <w:r w:rsidRPr="002B1D93" w:rsidR="00D50226">
        <w:t xml:space="preserve">at present </w:t>
      </w:r>
      <w:r w:rsidRPr="002B1D93" w:rsidR="00280373">
        <w:t>also</w:t>
      </w:r>
      <w:r w:rsidRPr="002B1D93" w:rsidR="0022340B">
        <w:t xml:space="preserve"> includes 49 exhibits from the C</w:t>
      </w:r>
      <w:r w:rsidRPr="002B1D93" w:rsidR="00E00C99">
        <w:t>ompany in TG-140560 and nine exhibits to the Commission Staff’s testimony</w:t>
      </w:r>
      <w:r w:rsidRPr="002B1D93" w:rsidR="00280373">
        <w:t>,</w:t>
      </w:r>
      <w:r w:rsidRPr="002B1D93" w:rsidR="00E00C99">
        <w:t xml:space="preserve"> </w:t>
      </w:r>
      <w:r w:rsidRPr="002B1D93" w:rsidR="009749C8">
        <w:t xml:space="preserve">suggest </w:t>
      </w:r>
      <w:r w:rsidRPr="002B1D93" w:rsidR="00E00C99">
        <w:t xml:space="preserve">the depth and volume of the data produced and analyzed in this filing to support both the original filing in September 2013 and the refiled </w:t>
      </w:r>
      <w:r w:rsidRPr="002B1D93" w:rsidR="009749C8">
        <w:t xml:space="preserve">Company </w:t>
      </w:r>
      <w:r w:rsidRPr="002B1D93" w:rsidR="00E00C99">
        <w:t>case in April 2014.  The Company</w:t>
      </w:r>
      <w:r w:rsidRPr="002B1D93" w:rsidR="00280373">
        <w:t xml:space="preserve"> </w:t>
      </w:r>
      <w:r w:rsidRPr="002B1D93" w:rsidR="009749C8">
        <w:t xml:space="preserve">thus </w:t>
      </w:r>
      <w:r w:rsidRPr="002B1D93" w:rsidR="00E00C99">
        <w:t xml:space="preserve">will not here detailedly replicate the </w:t>
      </w:r>
      <w:r w:rsidRPr="002B1D93" w:rsidR="00E00C99">
        <w:t xml:space="preserve">chronological or jurisdictional facts that bring the parties to this juncture in the belief that the record </w:t>
      </w:r>
      <w:r w:rsidRPr="002B1D93" w:rsidR="00753E21">
        <w:t xml:space="preserve">(particularly the prefiled testimony) </w:t>
      </w:r>
      <w:r w:rsidRPr="002B1D93" w:rsidR="00E00C99">
        <w:t>fully amplifies these procedural and jurisdictional facts</w:t>
      </w:r>
      <w:r w:rsidR="00131284">
        <w:t>.  This O</w:t>
      </w:r>
      <w:r w:rsidR="00942570">
        <w:t>pening Brief will</w:t>
      </w:r>
      <w:r w:rsidRPr="002B1D93" w:rsidR="00E00C99">
        <w:t xml:space="preserve"> focus </w:t>
      </w:r>
      <w:r w:rsidRPr="002B1D93" w:rsidR="00280373">
        <w:t xml:space="preserve">instead </w:t>
      </w:r>
      <w:r w:rsidRPr="002B1D93" w:rsidR="00E00C99">
        <w:t xml:space="preserve">on the four remaining contested accounting issues </w:t>
      </w:r>
      <w:r w:rsidRPr="002B1D93" w:rsidR="00F42F0B">
        <w:t>dividing</w:t>
      </w:r>
      <w:r w:rsidRPr="002B1D93" w:rsidR="00280373">
        <w:t xml:space="preserve"> </w:t>
      </w:r>
      <w:r w:rsidRPr="002B1D93" w:rsidR="00E00C99">
        <w:t xml:space="preserve">the parties at present.  </w:t>
      </w:r>
    </w:p>
    <w:p w:rsidR="00E00C99" w:rsidRPr="002B1D93" w:rsidP="00E00C99">
      <w:pPr>
        <w:pStyle w:val="HEADING10"/>
        <w:rPr>
          <w:szCs w:val="24"/>
        </w:rPr>
      </w:pPr>
      <w:bookmarkStart w:id="5" w:name="_Toc402944387"/>
      <w:bookmarkStart w:id="6" w:name="_Toc403051676"/>
      <w:bookmarkStart w:id="7" w:name="_Toc256000001"/>
      <w:bookmarkStart w:id="8" w:name="_Toc256000016"/>
      <w:r w:rsidRPr="002B1D93">
        <w:rPr>
          <w:szCs w:val="24"/>
        </w:rPr>
        <w:t xml:space="preserve">utility expense allocations: </w:t>
      </w:r>
      <w:r w:rsidRPr="002B1D93">
        <w:rPr>
          <w:szCs w:val="24"/>
        </w:rPr>
        <w:t>RESTATING ADJUSTMENT</w:t>
      </w:r>
      <w:r w:rsidRPr="002B1D93" w:rsidR="003053A1">
        <w:rPr>
          <w:szCs w:val="24"/>
        </w:rPr>
        <w:t>,</w:t>
      </w:r>
      <w:r w:rsidRPr="002B1D93">
        <w:rPr>
          <w:szCs w:val="24"/>
        </w:rPr>
        <w:t xml:space="preserve"> </w:t>
      </w:r>
      <w:r w:rsidRPr="002B1D93" w:rsidR="00D50226">
        <w:rPr>
          <w:szCs w:val="24"/>
        </w:rPr>
        <w:t>R-</w:t>
      </w:r>
      <w:r w:rsidRPr="002B1D93">
        <w:rPr>
          <w:szCs w:val="24"/>
        </w:rPr>
        <w:t>6</w:t>
      </w:r>
      <w:r w:rsidRPr="002B1D93" w:rsidR="00D55483">
        <w:rPr>
          <w:szCs w:val="24"/>
        </w:rPr>
        <w:t>D</w:t>
      </w:r>
      <w:r w:rsidRPr="002B1D93">
        <w:rPr>
          <w:szCs w:val="24"/>
        </w:rPr>
        <w:t>.</w:t>
      </w:r>
      <w:bookmarkEnd w:id="8"/>
      <w:bookmarkEnd w:id="7"/>
      <w:bookmarkEnd w:id="5"/>
      <w:bookmarkEnd w:id="6"/>
    </w:p>
    <w:p w:rsidR="00E00C99" w:rsidRPr="002B1D93" w:rsidP="008E6A8C">
      <w:pPr>
        <w:pStyle w:val="Heading2"/>
        <w:spacing w:after="240"/>
        <w:rPr>
          <w:rFonts w:cs="Times New Roman"/>
          <w:szCs w:val="24"/>
          <w:u w:val="single"/>
        </w:rPr>
      </w:pPr>
      <w:bookmarkStart w:id="9" w:name="_Toc402944388"/>
      <w:bookmarkStart w:id="10" w:name="_Toc402951751"/>
      <w:bookmarkStart w:id="11" w:name="_Toc403051677"/>
      <w:bookmarkStart w:id="12" w:name="_Toc256000002"/>
      <w:bookmarkStart w:id="13" w:name="_Toc256000017"/>
      <w:r w:rsidRPr="002B1D93">
        <w:rPr>
          <w:rFonts w:cs="Times New Roman"/>
          <w:szCs w:val="24"/>
          <w:u w:val="single"/>
        </w:rPr>
        <w:t xml:space="preserve">Any </w:t>
      </w:r>
      <w:r w:rsidRPr="002B1D93" w:rsidR="00E144C6">
        <w:rPr>
          <w:rFonts w:cs="Times New Roman"/>
          <w:szCs w:val="24"/>
          <w:u w:val="single"/>
        </w:rPr>
        <w:t xml:space="preserve">Application of the Untested </w:t>
      </w:r>
      <w:r w:rsidRPr="002B1D93">
        <w:rPr>
          <w:rFonts w:cs="Times New Roman"/>
          <w:szCs w:val="24"/>
          <w:u w:val="single"/>
        </w:rPr>
        <w:t>Three</w:t>
      </w:r>
      <w:r w:rsidRPr="002B1D93" w:rsidR="00195DD9">
        <w:rPr>
          <w:rFonts w:cs="Times New Roman"/>
          <w:szCs w:val="24"/>
          <w:u w:val="single"/>
        </w:rPr>
        <w:t>-</w:t>
      </w:r>
      <w:r w:rsidRPr="002B1D93">
        <w:rPr>
          <w:rFonts w:cs="Times New Roman"/>
          <w:szCs w:val="24"/>
          <w:u w:val="single"/>
        </w:rPr>
        <w:t xml:space="preserve">Factor Allocation </w:t>
      </w:r>
      <w:r w:rsidRPr="002B1D93" w:rsidR="00E144C6">
        <w:rPr>
          <w:rFonts w:cs="Times New Roman"/>
          <w:szCs w:val="24"/>
          <w:u w:val="single"/>
        </w:rPr>
        <w:t xml:space="preserve">Formula Must Include </w:t>
      </w:r>
      <w:r w:rsidRPr="002B1D93" w:rsidR="00E144C6">
        <w:rPr>
          <w:rFonts w:cs="Times New Roman"/>
          <w:i/>
          <w:szCs w:val="24"/>
          <w:u w:val="single"/>
        </w:rPr>
        <w:t>All</w:t>
      </w:r>
      <w:r w:rsidRPr="002B1D93" w:rsidR="00E144C6">
        <w:rPr>
          <w:rFonts w:cs="Times New Roman"/>
          <w:szCs w:val="24"/>
          <w:u w:val="single"/>
        </w:rPr>
        <w:t xml:space="preserve"> Utility Costs Paid by the Nonregulated Affiliate Companies in Order to Reasonably Reflect Aggregate Costs for Allocation Purposes</w:t>
      </w:r>
      <w:r w:rsidRPr="002B1D93">
        <w:rPr>
          <w:rFonts w:cs="Times New Roman"/>
          <w:szCs w:val="24"/>
          <w:u w:val="single"/>
        </w:rPr>
        <w:t>.</w:t>
      </w:r>
      <w:bookmarkEnd w:id="13"/>
      <w:bookmarkEnd w:id="12"/>
      <w:bookmarkEnd w:id="9"/>
      <w:bookmarkEnd w:id="10"/>
      <w:bookmarkEnd w:id="11"/>
    </w:p>
    <w:p w:rsidR="00C04B09" w:rsidRPr="002B1D93" w:rsidP="00F42F0B">
      <w:pPr>
        <w:pStyle w:val="ListParagraph"/>
      </w:pPr>
      <w:r w:rsidRPr="002B1D93">
        <w:tab/>
      </w:r>
      <w:r w:rsidRPr="002B1D93" w:rsidR="00D50226">
        <w:t xml:space="preserve">At the </w:t>
      </w:r>
      <w:r w:rsidRPr="002B1D93" w:rsidR="00E00C99">
        <w:t xml:space="preserve">filing of the Staff’s case on July 18 and the </w:t>
      </w:r>
      <w:r w:rsidRPr="002B1D93">
        <w:t xml:space="preserve">presentation </w:t>
      </w:r>
      <w:r w:rsidRPr="002B1D93" w:rsidR="00E00C99">
        <w:t xml:space="preserve">of </w:t>
      </w:r>
      <w:r w:rsidRPr="002B1D93" w:rsidR="006044DD">
        <w:t xml:space="preserve">its </w:t>
      </w:r>
      <w:r w:rsidRPr="002B1D93">
        <w:t xml:space="preserve">novel </w:t>
      </w:r>
      <w:r w:rsidRPr="002B1D93" w:rsidR="00E00C99">
        <w:t>“three-factor allocation” formula to derive appropriate utility costs to be allocated to the Company, the Staff was proposing an allocation to the Company</w:t>
      </w:r>
      <w:r w:rsidRPr="002B1D93">
        <w:t xml:space="preserve"> expenses</w:t>
      </w:r>
      <w:r w:rsidRPr="002B1D93" w:rsidR="00E00C99">
        <w:t xml:space="preserve"> to reduce its recommended revenue</w:t>
      </w:r>
      <w:r w:rsidRPr="002B1D93" w:rsidR="0022340B">
        <w:t xml:space="preserve"> requirement </w:t>
      </w:r>
      <w:r w:rsidRPr="002B1D93">
        <w:t xml:space="preserve">by </w:t>
      </w:r>
      <w:r w:rsidRPr="002B1D93" w:rsidR="0022340B">
        <w:t>$24,</w:t>
      </w:r>
      <w:r w:rsidRPr="002B1D93" w:rsidR="00E00C99">
        <w:t>757.  The Company</w:t>
      </w:r>
      <w:r w:rsidRPr="002B1D93">
        <w:t xml:space="preserve">, as </w:t>
      </w:r>
      <w:r w:rsidRPr="002B1D93" w:rsidR="00E00C99">
        <w:t>shown in Exhibit No.</w:t>
      </w:r>
      <w:r w:rsidRPr="002B1D93" w:rsidR="001E0390">
        <w:t xml:space="preserve"> JD-41T</w:t>
      </w:r>
      <w:r w:rsidRPr="002B1D93">
        <w:t>,</w:t>
      </w:r>
      <w:r w:rsidRPr="002B1D93" w:rsidR="001E0390">
        <w:t xml:space="preserve"> disputed the Staff’s “three-factor allocators”</w:t>
      </w:r>
      <w:r>
        <w:rPr>
          <w:vertAlign w:val="superscript"/>
        </w:rPr>
        <w:footnoteReference w:id="3"/>
      </w:r>
      <w:r w:rsidRPr="002B1D93" w:rsidR="001E0390">
        <w:t xml:space="preserve"> and at page 13, Exhibit JD-41T</w:t>
      </w:r>
      <w:r w:rsidRPr="002B1D93">
        <w:t>,</w:t>
      </w:r>
      <w:r w:rsidRPr="002B1D93" w:rsidR="001E0390">
        <w:t xml:space="preserve"> proposed an increase to the u</w:t>
      </w:r>
      <w:r w:rsidRPr="002B1D93" w:rsidR="009461F9">
        <w:t>tility cost allowance to a $28,</w:t>
      </w:r>
      <w:r w:rsidRPr="002B1D93" w:rsidR="001E0390">
        <w:t>926 amount whi</w:t>
      </w:r>
      <w:r w:rsidRPr="002B1D93" w:rsidR="009461F9">
        <w:t>ch involved an increase of $15,</w:t>
      </w:r>
      <w:r w:rsidRPr="002B1D93" w:rsidR="001E0390">
        <w:t>890 in allowable operating costs in the pro forma r</w:t>
      </w:r>
      <w:r w:rsidRPr="002B1D93" w:rsidR="0022340B">
        <w:t>esults of operations and a $16,</w:t>
      </w:r>
      <w:r w:rsidRPr="002B1D93" w:rsidR="001E0390">
        <w:t xml:space="preserve">990 increase to the revenue requirement to that proposed by Staff in its case filing.  </w:t>
      </w:r>
    </w:p>
    <w:p w:rsidR="00E00C99" w:rsidRPr="002B1D93" w:rsidP="00F42F0B">
      <w:pPr>
        <w:pStyle w:val="ListParagraph"/>
      </w:pPr>
      <w:r w:rsidRPr="002B1D93">
        <w:tab/>
      </w:r>
      <w:r w:rsidRPr="002B1D93" w:rsidR="001E0390">
        <w:t>Attached hereto and incorporated by this reference is supplemental testimony</w:t>
      </w:r>
      <w:r w:rsidRPr="002B1D93" w:rsidR="00C27D10">
        <w:t xml:space="preserve"> </w:t>
      </w:r>
      <w:r w:rsidRPr="002B1D93" w:rsidR="001E0390">
        <w:t xml:space="preserve">setting forth </w:t>
      </w:r>
      <w:r w:rsidRPr="002B1D93" w:rsidR="00C27D10">
        <w:t>the Company’s</w:t>
      </w:r>
      <w:r w:rsidRPr="002B1D93" w:rsidR="001E0390">
        <w:t xml:space="preserve"> recommendations to resolve the ongoing utility expense allocation </w:t>
      </w:r>
      <w:r w:rsidRPr="002B1D93" w:rsidR="001E0390">
        <w:t>dispute.</w:t>
      </w:r>
      <w:r w:rsidRPr="002B1D93" w:rsidR="001E0390">
        <w:t xml:space="preserve">  </w:t>
      </w:r>
      <w:r w:rsidRPr="002B1D93" w:rsidR="00C27D10">
        <w:t xml:space="preserve">This proposal reflects the latest position of the Company following the filing of its rebuttal case and discussions with Staff.  </w:t>
      </w:r>
      <w:r w:rsidRPr="002B1D93" w:rsidR="001E0390">
        <w:t>As shown at Table 2, p</w:t>
      </w:r>
      <w:r w:rsidRPr="002B1D93" w:rsidR="00C04B09">
        <w:t>age 6 of</w:t>
      </w:r>
      <w:r w:rsidRPr="002B1D93" w:rsidR="00F42F0B">
        <w:t xml:space="preserve"> the</w:t>
      </w:r>
      <w:r w:rsidRPr="002B1D93" w:rsidR="00C04B09">
        <w:t xml:space="preserve"> </w:t>
      </w:r>
      <w:r w:rsidRPr="002B1D93" w:rsidR="00FE3416">
        <w:t>Supplemental Testimony</w:t>
      </w:r>
      <w:r w:rsidRPr="002B1D93" w:rsidR="00C04B09">
        <w:t xml:space="preserve"> of Layne Demas</w:t>
      </w:r>
      <w:r w:rsidRPr="002B1D93" w:rsidR="00D50226">
        <w:t>,</w:t>
      </w:r>
      <w:r w:rsidRPr="002B1D93" w:rsidR="00FE3416">
        <w:t xml:space="preserve"> </w:t>
      </w:r>
      <w:r w:rsidRPr="002B1D93" w:rsidR="00ED578E">
        <w:t xml:space="preserve">Exhibit LD-2T, </w:t>
      </w:r>
      <w:r w:rsidRPr="002B1D93" w:rsidR="001E0390">
        <w:t>the</w:t>
      </w:r>
      <w:r w:rsidRPr="002B1D93" w:rsidR="001E0390">
        <w:t xml:space="preserve"> Company </w:t>
      </w:r>
      <w:r w:rsidRPr="002B1D93" w:rsidR="00C27D10">
        <w:t xml:space="preserve">is now willing to accept </w:t>
      </w:r>
      <w:r w:rsidRPr="002B1D93" w:rsidR="001E0390">
        <w:t xml:space="preserve">a final allocation of utility expense to the regulated company </w:t>
      </w:r>
      <w:r w:rsidRPr="002B1D93" w:rsidR="0022340B">
        <w:t>of $27,</w:t>
      </w:r>
      <w:r w:rsidRPr="002B1D93" w:rsidR="001E0390">
        <w:t>749. 29 in the test period</w:t>
      </w:r>
      <w:r w:rsidRPr="002B1D93" w:rsidR="00C27D10">
        <w:t xml:space="preserve">. </w:t>
      </w:r>
      <w:r w:rsidRPr="002B1D93" w:rsidR="001E0390">
        <w:t xml:space="preserve"> </w:t>
      </w:r>
      <w:r w:rsidRPr="002B1D93" w:rsidR="00C27D10">
        <w:t xml:space="preserve">This compromise is </w:t>
      </w:r>
      <w:r w:rsidRPr="002B1D93" w:rsidR="001E0390">
        <w:t xml:space="preserve">contrasted with what </w:t>
      </w:r>
      <w:r w:rsidRPr="002B1D93" w:rsidR="00C27D10">
        <w:t xml:space="preserve">the Company </w:t>
      </w:r>
      <w:r w:rsidRPr="002B1D93" w:rsidR="001E0390">
        <w:t>understands to be the Staff’</w:t>
      </w:r>
      <w:r w:rsidRPr="002B1D93" w:rsidR="0022340B">
        <w:t xml:space="preserve">s position </w:t>
      </w:r>
      <w:r w:rsidRPr="002B1D93" w:rsidR="0022340B">
        <w:t>currently of $15,</w:t>
      </w:r>
      <w:r w:rsidRPr="002B1D93" w:rsidR="001E0390">
        <w:t>424.04</w:t>
      </w:r>
      <w:r w:rsidRPr="002B1D93" w:rsidR="00FE3416">
        <w:t>,</w:t>
      </w:r>
      <w:r w:rsidRPr="002B1D93" w:rsidR="001E0390">
        <w:t xml:space="preserve"> representing a </w:t>
      </w:r>
      <w:r w:rsidRPr="002B1D93" w:rsidR="00195DD9">
        <w:t xml:space="preserve">present </w:t>
      </w:r>
      <w:r w:rsidRPr="002B1D93" w:rsidR="001E0390">
        <w:t>$12,325.25 differential betwe</w:t>
      </w:r>
      <w:r w:rsidRPr="002B1D93" w:rsidR="00FE3416">
        <w:t>en the Company and Staff.  The S</w:t>
      </w:r>
      <w:r w:rsidRPr="002B1D93" w:rsidR="001E0390">
        <w:t xml:space="preserve">upplemental </w:t>
      </w:r>
      <w:r w:rsidRPr="002B1D93" w:rsidR="00FE3416">
        <w:t>T</w:t>
      </w:r>
      <w:r w:rsidRPr="002B1D93" w:rsidR="001E0390">
        <w:t xml:space="preserve">estimony of Mr. Demas thoroughly </w:t>
      </w:r>
      <w:r w:rsidRPr="002B1D93" w:rsidR="00D50226">
        <w:t xml:space="preserve">explains the Company </w:t>
      </w:r>
      <w:r w:rsidRPr="002B1D93" w:rsidR="001E0390">
        <w:t xml:space="preserve">position at this stage on the utility cost </w:t>
      </w:r>
      <w:r w:rsidRPr="002B1D93" w:rsidR="001E0390">
        <w:t>allocator</w:t>
      </w:r>
      <w:r w:rsidRPr="002B1D93" w:rsidR="00E144C6">
        <w:t>s</w:t>
      </w:r>
      <w:r w:rsidRPr="002B1D93" w:rsidR="001E0390">
        <w:t xml:space="preserve"> formula and </w:t>
      </w:r>
      <w:r w:rsidRPr="002B1D93" w:rsidR="00C74E61">
        <w:t xml:space="preserve">the Company intends that its explanation </w:t>
      </w:r>
      <w:r w:rsidRPr="002B1D93" w:rsidR="00C04B09">
        <w:t>constitute</w:t>
      </w:r>
      <w:r w:rsidRPr="002B1D93" w:rsidR="00C74E61">
        <w:t>s</w:t>
      </w:r>
      <w:r w:rsidRPr="002B1D93" w:rsidR="001E0390">
        <w:t xml:space="preserve"> the balance of its </w:t>
      </w:r>
      <w:r w:rsidRPr="002B1D93" w:rsidR="00C04B09">
        <w:t xml:space="preserve">premise </w:t>
      </w:r>
      <w:r w:rsidRPr="002B1D93" w:rsidR="001E0390">
        <w:t xml:space="preserve">and argument on this important contested </w:t>
      </w:r>
      <w:r w:rsidRPr="002B1D93" w:rsidR="00195DD9">
        <w:t xml:space="preserve">accounting </w:t>
      </w:r>
      <w:r w:rsidR="00131284">
        <w:t xml:space="preserve">adjustment </w:t>
      </w:r>
      <w:r w:rsidRPr="002B1D93" w:rsidR="001E0390">
        <w:t xml:space="preserve">issue.  </w:t>
      </w:r>
    </w:p>
    <w:p w:rsidR="0022340B" w:rsidRPr="002B1D93" w:rsidP="00024C6D">
      <w:pPr>
        <w:pStyle w:val="HEADING10"/>
        <w:tabs>
          <w:tab w:val="clear" w:pos="0"/>
        </w:tabs>
        <w:rPr>
          <w:szCs w:val="24"/>
        </w:rPr>
      </w:pPr>
      <w:bookmarkStart w:id="14" w:name="_Toc402944389"/>
      <w:bookmarkStart w:id="15" w:name="_Toc403051678"/>
      <w:bookmarkStart w:id="16" w:name="_Toc256000003"/>
      <w:bookmarkStart w:id="17" w:name="_Toc256000018"/>
      <w:r w:rsidRPr="002B1D93">
        <w:rPr>
          <w:szCs w:val="24"/>
        </w:rPr>
        <w:t xml:space="preserve">the </w:t>
      </w:r>
      <w:r w:rsidRPr="002B1D93">
        <w:rPr>
          <w:szCs w:val="24"/>
        </w:rPr>
        <w:t>land rents</w:t>
      </w:r>
      <w:r w:rsidRPr="002B1D93">
        <w:rPr>
          <w:szCs w:val="24"/>
        </w:rPr>
        <w:t xml:space="preserve"> issue</w:t>
      </w:r>
      <w:r w:rsidRPr="002B1D93" w:rsidR="00BA3E8A">
        <w:rPr>
          <w:szCs w:val="24"/>
        </w:rPr>
        <w:t>:</w:t>
      </w:r>
      <w:r w:rsidRPr="002B1D93">
        <w:rPr>
          <w:szCs w:val="24"/>
        </w:rPr>
        <w:t xml:space="preserve"> restating adjustment, </w:t>
      </w:r>
      <w:r w:rsidRPr="002B1D93" w:rsidR="00D50226">
        <w:rPr>
          <w:szCs w:val="24"/>
        </w:rPr>
        <w:t>R-</w:t>
      </w:r>
      <w:r w:rsidRPr="002B1D93" w:rsidR="00D50226">
        <w:rPr>
          <w:szCs w:val="24"/>
        </w:rPr>
        <w:t>6E</w:t>
      </w:r>
      <w:r w:rsidRPr="002B1D93" w:rsidR="00D87887">
        <w:rPr>
          <w:szCs w:val="24"/>
        </w:rPr>
        <w:t>.</w:t>
      </w:r>
      <w:bookmarkEnd w:id="17"/>
      <w:bookmarkEnd w:id="16"/>
      <w:bookmarkEnd w:id="14"/>
      <w:bookmarkEnd w:id="15"/>
    </w:p>
    <w:p w:rsidR="00952CBD" w:rsidRPr="002B1D93" w:rsidP="00952CBD">
      <w:pPr>
        <w:pStyle w:val="Heading2"/>
        <w:tabs>
          <w:tab w:val="clear" w:pos="0"/>
        </w:tabs>
        <w:spacing w:after="240"/>
        <w:rPr>
          <w:rFonts w:cs="Times New Roman"/>
          <w:szCs w:val="24"/>
          <w:u w:val="single"/>
        </w:rPr>
      </w:pPr>
      <w:bookmarkStart w:id="18" w:name="_Toc402944390"/>
      <w:bookmarkStart w:id="19" w:name="_Toc402951752"/>
      <w:bookmarkStart w:id="20" w:name="_Toc403051679"/>
      <w:bookmarkStart w:id="21" w:name="_Toc256000004"/>
      <w:bookmarkStart w:id="22" w:name="_Toc256000019"/>
      <w:r w:rsidRPr="002B1D93">
        <w:rPr>
          <w:rFonts w:cs="Times New Roman"/>
          <w:szCs w:val="24"/>
          <w:u w:val="single"/>
        </w:rPr>
        <w:t xml:space="preserve">Staff’s </w:t>
      </w:r>
      <w:r w:rsidRPr="002B1D93" w:rsidR="00E144C6">
        <w:rPr>
          <w:rFonts w:cs="Times New Roman"/>
          <w:szCs w:val="24"/>
          <w:u w:val="single"/>
        </w:rPr>
        <w:t xml:space="preserve">Consolidated Capital Structure Adjustment </w:t>
      </w:r>
      <w:r w:rsidRPr="002B1D93">
        <w:rPr>
          <w:rFonts w:cs="Times New Roman"/>
          <w:szCs w:val="24"/>
          <w:u w:val="single"/>
        </w:rPr>
        <w:t xml:space="preserve">for </w:t>
      </w:r>
      <w:r w:rsidRPr="002B1D93" w:rsidR="00E144C6">
        <w:rPr>
          <w:rFonts w:cs="Times New Roman"/>
          <w:szCs w:val="24"/>
          <w:u w:val="single"/>
        </w:rPr>
        <w:t xml:space="preserve">Computing Allowable Rents </w:t>
      </w:r>
      <w:r w:rsidRPr="002B1D93">
        <w:rPr>
          <w:rFonts w:cs="Times New Roman"/>
          <w:szCs w:val="24"/>
          <w:u w:val="single"/>
        </w:rPr>
        <w:t xml:space="preserve">in a </w:t>
      </w:r>
      <w:r w:rsidRPr="002B1D93" w:rsidR="00E144C6">
        <w:rPr>
          <w:rFonts w:cs="Times New Roman"/>
          <w:szCs w:val="24"/>
          <w:u w:val="single"/>
        </w:rPr>
        <w:t xml:space="preserve">Regulated Affiliate’s Rates Utilizes </w:t>
      </w:r>
      <w:r w:rsidRPr="002B1D93">
        <w:rPr>
          <w:rFonts w:cs="Times New Roman"/>
          <w:szCs w:val="24"/>
          <w:u w:val="single"/>
        </w:rPr>
        <w:t xml:space="preserve">an </w:t>
      </w:r>
      <w:r w:rsidRPr="002B1D93" w:rsidR="00E144C6">
        <w:rPr>
          <w:rFonts w:cs="Times New Roman"/>
          <w:szCs w:val="24"/>
          <w:u w:val="single"/>
        </w:rPr>
        <w:t xml:space="preserve">Inaccurate Rendition </w:t>
      </w:r>
      <w:r w:rsidRPr="002B1D93">
        <w:rPr>
          <w:rFonts w:cs="Times New Roman"/>
          <w:szCs w:val="24"/>
          <w:u w:val="single"/>
        </w:rPr>
        <w:t xml:space="preserve">of </w:t>
      </w:r>
      <w:r w:rsidRPr="002B1D93" w:rsidR="00E144C6">
        <w:rPr>
          <w:rFonts w:cs="Times New Roman"/>
          <w:szCs w:val="24"/>
          <w:u w:val="single"/>
        </w:rPr>
        <w:t>Combined Capital Structures</w:t>
      </w:r>
      <w:r w:rsidRPr="002B1D93">
        <w:rPr>
          <w:rFonts w:cs="Times New Roman"/>
          <w:szCs w:val="24"/>
          <w:u w:val="single"/>
        </w:rPr>
        <w:t xml:space="preserve"> of the </w:t>
      </w:r>
      <w:r w:rsidRPr="002B1D93" w:rsidR="00E144C6">
        <w:rPr>
          <w:rFonts w:cs="Times New Roman"/>
          <w:szCs w:val="24"/>
          <w:u w:val="single"/>
        </w:rPr>
        <w:t>Affiliates</w:t>
      </w:r>
      <w:r w:rsidRPr="002B1D93">
        <w:rPr>
          <w:rFonts w:cs="Times New Roman"/>
          <w:szCs w:val="24"/>
          <w:u w:val="single"/>
        </w:rPr>
        <w:t xml:space="preserve">, a </w:t>
      </w:r>
      <w:r w:rsidRPr="002B1D93" w:rsidR="00E144C6">
        <w:rPr>
          <w:rFonts w:cs="Times New Roman"/>
          <w:szCs w:val="24"/>
          <w:u w:val="single"/>
        </w:rPr>
        <w:t>Cost</w:t>
      </w:r>
      <w:r w:rsidRPr="002B1D93">
        <w:rPr>
          <w:rFonts w:cs="Times New Roman"/>
          <w:szCs w:val="24"/>
          <w:u w:val="single"/>
        </w:rPr>
        <w:t xml:space="preserve"> of </w:t>
      </w:r>
      <w:r w:rsidRPr="002B1D93" w:rsidR="00E144C6">
        <w:rPr>
          <w:rFonts w:cs="Times New Roman"/>
          <w:szCs w:val="24"/>
          <w:u w:val="single"/>
        </w:rPr>
        <w:t xml:space="preserve">Debt </w:t>
      </w:r>
      <w:r w:rsidRPr="002B1D93" w:rsidR="00195DD9">
        <w:rPr>
          <w:rFonts w:cs="Times New Roman"/>
          <w:szCs w:val="24"/>
          <w:u w:val="single"/>
        </w:rPr>
        <w:t>t</w:t>
      </w:r>
      <w:r w:rsidRPr="002B1D93" w:rsidR="00E144C6">
        <w:rPr>
          <w:rFonts w:cs="Times New Roman"/>
          <w:szCs w:val="24"/>
          <w:u w:val="single"/>
        </w:rPr>
        <w:t xml:space="preserve">hat </w:t>
      </w:r>
      <w:r w:rsidRPr="002B1D93">
        <w:rPr>
          <w:rFonts w:cs="Times New Roman"/>
          <w:szCs w:val="24"/>
          <w:u w:val="single"/>
        </w:rPr>
        <w:t xml:space="preserve">is </w:t>
      </w:r>
      <w:r w:rsidRPr="002B1D93" w:rsidR="00E144C6">
        <w:rPr>
          <w:rFonts w:cs="Times New Roman"/>
          <w:szCs w:val="24"/>
          <w:u w:val="single"/>
        </w:rPr>
        <w:t>Unrelated</w:t>
      </w:r>
      <w:r w:rsidRPr="002B1D93">
        <w:rPr>
          <w:rFonts w:cs="Times New Roman"/>
          <w:szCs w:val="24"/>
          <w:u w:val="single"/>
        </w:rPr>
        <w:t xml:space="preserve"> to </w:t>
      </w:r>
      <w:r w:rsidRPr="002B1D93" w:rsidR="00E144C6">
        <w:rPr>
          <w:rFonts w:cs="Times New Roman"/>
          <w:szCs w:val="24"/>
          <w:u w:val="single"/>
        </w:rPr>
        <w:t xml:space="preserve">Actual Costs </w:t>
      </w:r>
      <w:r w:rsidRPr="002B1D93">
        <w:rPr>
          <w:rFonts w:cs="Times New Roman"/>
          <w:szCs w:val="24"/>
          <w:u w:val="single"/>
        </w:rPr>
        <w:t xml:space="preserve">and </w:t>
      </w:r>
      <w:r w:rsidRPr="002B1D93" w:rsidR="00E144C6">
        <w:rPr>
          <w:rFonts w:cs="Times New Roman"/>
          <w:szCs w:val="24"/>
          <w:u w:val="single"/>
        </w:rPr>
        <w:t>Pertinent Rental Properties</w:t>
      </w:r>
      <w:r w:rsidRPr="002B1D93">
        <w:rPr>
          <w:rFonts w:cs="Times New Roman"/>
          <w:szCs w:val="24"/>
          <w:u w:val="single"/>
        </w:rPr>
        <w:t xml:space="preserve"> and </w:t>
      </w:r>
      <w:r w:rsidRPr="002B1D93" w:rsidR="00E144C6">
        <w:rPr>
          <w:rFonts w:cs="Times New Roman"/>
          <w:szCs w:val="24"/>
          <w:u w:val="single"/>
        </w:rPr>
        <w:t xml:space="preserve">Hypothesizes </w:t>
      </w:r>
      <w:r w:rsidRPr="002B1D93">
        <w:rPr>
          <w:rFonts w:cs="Times New Roman"/>
          <w:szCs w:val="24"/>
          <w:u w:val="single"/>
        </w:rPr>
        <w:t xml:space="preserve">a </w:t>
      </w:r>
      <w:r w:rsidRPr="002B1D93" w:rsidR="00E144C6">
        <w:rPr>
          <w:rFonts w:cs="Times New Roman"/>
          <w:szCs w:val="24"/>
          <w:u w:val="single"/>
        </w:rPr>
        <w:t>Return</w:t>
      </w:r>
      <w:r w:rsidRPr="002B1D93">
        <w:rPr>
          <w:rFonts w:cs="Times New Roman"/>
          <w:szCs w:val="24"/>
          <w:u w:val="single"/>
        </w:rPr>
        <w:t xml:space="preserve"> on </w:t>
      </w:r>
      <w:r w:rsidRPr="002B1D93" w:rsidR="00E144C6">
        <w:rPr>
          <w:rFonts w:cs="Times New Roman"/>
          <w:szCs w:val="24"/>
          <w:u w:val="single"/>
        </w:rPr>
        <w:t xml:space="preserve">Equity Factor </w:t>
      </w:r>
      <w:r w:rsidR="00223F7B">
        <w:rPr>
          <w:rFonts w:cs="Times New Roman"/>
          <w:szCs w:val="24"/>
          <w:u w:val="single"/>
        </w:rPr>
        <w:t>H</w:t>
      </w:r>
      <w:r w:rsidRPr="002B1D93" w:rsidR="00E144C6">
        <w:rPr>
          <w:rFonts w:cs="Times New Roman"/>
          <w:szCs w:val="24"/>
          <w:u w:val="single"/>
        </w:rPr>
        <w:t>aving N</w:t>
      </w:r>
      <w:r w:rsidRPr="002B1D93">
        <w:rPr>
          <w:rFonts w:cs="Times New Roman"/>
          <w:szCs w:val="24"/>
          <w:u w:val="single"/>
        </w:rPr>
        <w:t xml:space="preserve">o </w:t>
      </w:r>
      <w:r w:rsidRPr="002B1D93" w:rsidR="00C74E61">
        <w:rPr>
          <w:rFonts w:cs="Times New Roman"/>
          <w:szCs w:val="24"/>
          <w:u w:val="single"/>
        </w:rPr>
        <w:t>Applicability</w:t>
      </w:r>
      <w:r w:rsidRPr="002B1D93">
        <w:rPr>
          <w:rFonts w:cs="Times New Roman"/>
          <w:szCs w:val="24"/>
          <w:u w:val="single"/>
        </w:rPr>
        <w:t xml:space="preserve"> to a </w:t>
      </w:r>
      <w:r w:rsidRPr="002B1D93" w:rsidR="00195DD9">
        <w:rPr>
          <w:rFonts w:cs="Times New Roman"/>
          <w:szCs w:val="24"/>
          <w:u w:val="single"/>
        </w:rPr>
        <w:t xml:space="preserve">Privately-held </w:t>
      </w:r>
      <w:r w:rsidRPr="002B1D93" w:rsidR="00E144C6">
        <w:rPr>
          <w:rFonts w:cs="Times New Roman"/>
          <w:szCs w:val="24"/>
          <w:u w:val="single"/>
        </w:rPr>
        <w:t xml:space="preserve">Solid Waste Collection Company </w:t>
      </w:r>
      <w:r w:rsidRPr="002B1D93">
        <w:rPr>
          <w:rFonts w:cs="Times New Roman"/>
          <w:szCs w:val="24"/>
          <w:u w:val="single"/>
        </w:rPr>
        <w:t>in Washington.</w:t>
      </w:r>
      <w:bookmarkEnd w:id="22"/>
      <w:bookmarkEnd w:id="21"/>
      <w:bookmarkEnd w:id="18"/>
      <w:bookmarkEnd w:id="19"/>
      <w:bookmarkEnd w:id="20"/>
    </w:p>
    <w:p w:rsidR="00FE3416" w:rsidRPr="002B1D93" w:rsidP="00F42F0B">
      <w:pPr>
        <w:pStyle w:val="ListParagraph"/>
      </w:pPr>
      <w:r w:rsidRPr="002B1D93">
        <w:tab/>
        <w:t xml:space="preserve">The contentious land rent issue has </w:t>
      </w:r>
      <w:r w:rsidRPr="002B1D93" w:rsidR="00C27BAD">
        <w:t>persisted</w:t>
      </w:r>
      <w:r w:rsidR="00521212">
        <w:t xml:space="preserve"> in both WCI rate dockets </w:t>
      </w:r>
      <w:r w:rsidRPr="002B1D93" w:rsidR="00F42F0B">
        <w:t xml:space="preserve">particularly </w:t>
      </w:r>
      <w:r w:rsidRPr="002B1D93">
        <w:t xml:space="preserve">to the extent of Company anticipation of Staff’s </w:t>
      </w:r>
      <w:r w:rsidRPr="002B1D93" w:rsidR="00D50226">
        <w:t xml:space="preserve">ultimate </w:t>
      </w:r>
      <w:r w:rsidRPr="002B1D93">
        <w:t xml:space="preserve">position in this matter.  In the </w:t>
      </w:r>
      <w:r w:rsidRPr="002B1D93" w:rsidR="006526BB">
        <w:t xml:space="preserve">original </w:t>
      </w:r>
      <w:r w:rsidRPr="002B1D93">
        <w:t>filing, the Company</w:t>
      </w:r>
      <w:r w:rsidRPr="002B1D93" w:rsidR="00D50226">
        <w:t>,</w:t>
      </w:r>
      <w:r w:rsidRPr="002B1D93">
        <w:t xml:space="preserve"> </w:t>
      </w:r>
      <w:r w:rsidR="00521212">
        <w:t xml:space="preserve">at </w:t>
      </w:r>
      <w:r w:rsidRPr="002B1D93">
        <w:t>impasse in December, 201</w:t>
      </w:r>
      <w:r w:rsidRPr="002B1D93" w:rsidR="006044DD">
        <w:t>3</w:t>
      </w:r>
      <w:r w:rsidRPr="002B1D93">
        <w:t>, understood the Staff position on affiliated land rents was comparable to that initially advocated by the Staff in 2009, i.e. that</w:t>
      </w:r>
      <w:r w:rsidR="00131284">
        <w:t xml:space="preserve"> the</w:t>
      </w:r>
      <w:r w:rsidRPr="002B1D93">
        <w:t xml:space="preserve"> derivation of the proposed revenue requirement for </w:t>
      </w:r>
      <w:r w:rsidRPr="002B1D93" w:rsidR="00C74E61">
        <w:t xml:space="preserve">tariff rates would be based on having </w:t>
      </w:r>
      <w:r w:rsidRPr="002B1D93">
        <w:t>WCI and all of its nonregulated affiliates</w:t>
      </w:r>
      <w:r w:rsidRPr="002B1D93" w:rsidR="00607BE2">
        <w:t>’</w:t>
      </w:r>
      <w:r w:rsidRPr="002B1D93">
        <w:t xml:space="preserve"> capital structures combined.  By July, 2014, the Staff position had changed</w:t>
      </w:r>
      <w:r w:rsidRPr="002B1D93" w:rsidR="00C74E61">
        <w:t xml:space="preserve"> in TG-140560</w:t>
      </w:r>
      <w:r w:rsidRPr="002B1D93" w:rsidR="00D50226">
        <w:t>.  A</w:t>
      </w:r>
      <w:r w:rsidRPr="002B1D93">
        <w:t xml:space="preserve">s Exhibit MC-1T reflects, the Staff </w:t>
      </w:r>
      <w:r w:rsidRPr="002B1D93" w:rsidR="00D50226">
        <w:t xml:space="preserve">here </w:t>
      </w:r>
      <w:r w:rsidRPr="002B1D93">
        <w:t>proposes to use the nonregulated affiliate landlords</w:t>
      </w:r>
      <w:r w:rsidRPr="002B1D93" w:rsidR="006526BB">
        <w:t>’</w:t>
      </w:r>
      <w:r w:rsidRPr="002B1D93">
        <w:t xml:space="preserve">, </w:t>
      </w:r>
      <w:r w:rsidRPr="002B1D93" w:rsidR="006526BB">
        <w:t>(</w:t>
      </w:r>
      <w:r w:rsidRPr="002B1D93">
        <w:t xml:space="preserve">HB I and HB </w:t>
      </w:r>
      <w:r w:rsidRPr="002B1D93">
        <w:t>II’s</w:t>
      </w:r>
      <w:r w:rsidRPr="002B1D93" w:rsidR="006526BB">
        <w:t>)</w:t>
      </w:r>
      <w:r w:rsidRPr="002B1D93" w:rsidR="00D50226">
        <w:t>,</w:t>
      </w:r>
      <w:r w:rsidRPr="002B1D93">
        <w:t xml:space="preserve"> “…financial information</w:t>
      </w:r>
      <w:r w:rsidRPr="002B1D93" w:rsidR="00D50226">
        <w:t xml:space="preserve"> to</w:t>
      </w:r>
      <w:r w:rsidRPr="002B1D93">
        <w:t xml:space="preserve"> calculate a reasonable </w:t>
      </w:r>
      <w:r w:rsidRPr="002B1D93" w:rsidR="00CA431A">
        <w:t xml:space="preserve">return on their respective investments.  Staff used each company’s balance sheet and income statement to calculate a capital structure and the cost of debt for each company.  Staff </w:t>
      </w:r>
      <w:r w:rsidRPr="002B1D93" w:rsidR="006526BB">
        <w:t xml:space="preserve">then </w:t>
      </w:r>
      <w:r w:rsidRPr="002B1D93" w:rsidR="00CA431A">
        <w:t>used the discounted cash flow (</w:t>
      </w:r>
      <w:r w:rsidRPr="002B1D93" w:rsidR="00CA431A">
        <w:t>DCF</w:t>
      </w:r>
      <w:r w:rsidRPr="002B1D93" w:rsidR="00CA431A">
        <w:t xml:space="preserve">) method for HB I’s and HB </w:t>
      </w:r>
      <w:r w:rsidRPr="002B1D93" w:rsidR="00CA431A">
        <w:t>II’s</w:t>
      </w:r>
      <w:r w:rsidRPr="002B1D93" w:rsidR="00CA431A">
        <w:t xml:space="preserve"> cost of equity.</w:t>
      </w:r>
      <w:r w:rsidRPr="002B1D93" w:rsidR="00D50226">
        <w:t>”</w:t>
      </w:r>
      <w:r>
        <w:rPr>
          <w:vertAlign w:val="superscript"/>
        </w:rPr>
        <w:footnoteReference w:id="4"/>
      </w:r>
    </w:p>
    <w:p w:rsidR="00CA431A" w:rsidRPr="002B1D93" w:rsidP="00F42F0B">
      <w:pPr>
        <w:pStyle w:val="ListParagraph"/>
      </w:pPr>
      <w:r w:rsidRPr="002B1D93">
        <w:tab/>
        <w:t>The Rebuttal Testimony of Layne</w:t>
      </w:r>
      <w:r w:rsidRPr="002B1D93" w:rsidR="001002CD">
        <w:t xml:space="preserve"> Demas, Exhibit LD-1T, August 20</w:t>
      </w:r>
      <w:r w:rsidRPr="002B1D93">
        <w:t xml:space="preserve">, 2014, </w:t>
      </w:r>
      <w:r w:rsidRPr="002B1D93" w:rsidR="006526BB">
        <w:t xml:space="preserve">comprehensively </w:t>
      </w:r>
      <w:r w:rsidRPr="002B1D93" w:rsidR="006044DD">
        <w:t xml:space="preserve">presents </w:t>
      </w:r>
      <w:r w:rsidRPr="002B1D93">
        <w:t xml:space="preserve">the Company position on this approach including </w:t>
      </w:r>
      <w:r w:rsidRPr="002B1D93" w:rsidR="006526BB">
        <w:t xml:space="preserve">the Staff </w:t>
      </w:r>
      <w:r w:rsidRPr="002B1D93">
        <w:t>“three-</w:t>
      </w:r>
      <w:r w:rsidRPr="002B1D93">
        <w:t>factor allocation” method for depreciation, operating expenses and average net investment amongst the affiliates</w:t>
      </w:r>
      <w:r>
        <w:rPr>
          <w:vertAlign w:val="superscript"/>
        </w:rPr>
        <w:footnoteReference w:id="5"/>
      </w:r>
      <w:r w:rsidRPr="002B1D93">
        <w:t xml:space="preserve">  and will not be </w:t>
      </w:r>
      <w:r w:rsidRPr="002B1D93" w:rsidR="00D50226">
        <w:t xml:space="preserve">critiqued again </w:t>
      </w:r>
      <w:r w:rsidRPr="002B1D93">
        <w:t xml:space="preserve">here.  </w:t>
      </w:r>
      <w:r w:rsidRPr="002B1D93" w:rsidR="00ED578E">
        <w:t>However, t</w:t>
      </w:r>
      <w:r w:rsidRPr="002B1D93">
        <w:t>he Supplemental Testimony of Joe Willis, Exhibit No. JW-</w:t>
      </w:r>
      <w:r w:rsidRPr="002B1D93">
        <w:t>8T</w:t>
      </w:r>
      <w:r w:rsidRPr="002B1D93">
        <w:t xml:space="preserve">, </w:t>
      </w:r>
      <w:r w:rsidRPr="002B1D93" w:rsidR="00ED578E">
        <w:t xml:space="preserve">is </w:t>
      </w:r>
      <w:r w:rsidRPr="002B1D93">
        <w:t>attached and by this reference incorporated herein</w:t>
      </w:r>
      <w:r w:rsidRPr="002B1D93" w:rsidR="00D50226">
        <w:t>,</w:t>
      </w:r>
      <w:r w:rsidRPr="002B1D93">
        <w:t xml:space="preserve"> directed to the policy implications for WCI if affiliated land rents are to be calculated based on a </w:t>
      </w:r>
      <w:r w:rsidRPr="002B1D93" w:rsidR="006526BB">
        <w:t xml:space="preserve">combined </w:t>
      </w:r>
      <w:r w:rsidRPr="002B1D93">
        <w:t>capital structure of nonregulat</w:t>
      </w:r>
      <w:r w:rsidRPr="002B1D93" w:rsidR="00D50226">
        <w:t xml:space="preserve">ed as well as regulated </w:t>
      </w:r>
      <w:r w:rsidRPr="002B1D93" w:rsidR="00F42F0B">
        <w:t>c</w:t>
      </w:r>
      <w:r w:rsidRPr="002B1D93" w:rsidR="00D50226">
        <w:t>ompanies</w:t>
      </w:r>
      <w:r w:rsidRPr="002B1D93" w:rsidR="00C74E61">
        <w:t>,</w:t>
      </w:r>
      <w:r w:rsidRPr="002B1D93">
        <w:t xml:space="preserve"> without regard to the specific rental property </w:t>
      </w:r>
      <w:r w:rsidRPr="002B1D93" w:rsidR="00D50226">
        <w:t xml:space="preserve">asset </w:t>
      </w:r>
      <w:r w:rsidRPr="002B1D93">
        <w:t xml:space="preserve">capital structure in question. </w:t>
      </w:r>
    </w:p>
    <w:p w:rsidR="00CA431A" w:rsidRPr="002B1D93" w:rsidP="00F42F0B">
      <w:pPr>
        <w:pStyle w:val="ListParagraph"/>
      </w:pPr>
      <w:r w:rsidRPr="002B1D93">
        <w:tab/>
        <w:t>The policy and legal implication</w:t>
      </w:r>
      <w:r w:rsidRPr="002B1D93" w:rsidR="006044DD">
        <w:t>s</w:t>
      </w:r>
      <w:r w:rsidRPr="002B1D93">
        <w:t xml:space="preserve"> </w:t>
      </w:r>
      <w:r w:rsidRPr="002B1D93" w:rsidR="006044DD">
        <w:t xml:space="preserve">of </w:t>
      </w:r>
      <w:r w:rsidRPr="002B1D93">
        <w:t>the land rent calculation issue are substantial</w:t>
      </w:r>
      <w:r w:rsidRPr="002B1D93" w:rsidR="00D50226">
        <w:t xml:space="preserve"> and</w:t>
      </w:r>
      <w:r w:rsidRPr="002B1D93">
        <w:t xml:space="preserve"> not just for WCI.  WCI has already alluded to erroneous as</w:t>
      </w:r>
      <w:r w:rsidRPr="002B1D93" w:rsidR="00F42F0B">
        <w:t>sumptions and flawed analyses of</w:t>
      </w:r>
      <w:r w:rsidRPr="002B1D93">
        <w:t xml:space="preserve"> the capital structure, cost of debt and return on equity factors utilized by the</w:t>
      </w:r>
      <w:r w:rsidRPr="002B1D93" w:rsidR="00731A5A">
        <w:t xml:space="preserve"> </w:t>
      </w:r>
      <w:r w:rsidRPr="002B1D93">
        <w:t>Staff in this case both on a computational and practical</w:t>
      </w:r>
      <w:r w:rsidRPr="002B1D93" w:rsidR="00731A5A">
        <w:t xml:space="preserve"> application</w:t>
      </w:r>
      <w:r w:rsidRPr="002B1D93" w:rsidR="006044DD">
        <w:t xml:space="preserve"> basis</w:t>
      </w:r>
      <w:r w:rsidRPr="002B1D93" w:rsidR="00731A5A">
        <w:t>.</w:t>
      </w:r>
      <w:r w:rsidRPr="002B1D93" w:rsidR="00FF520B">
        <w:t xml:space="preserve">  If nonregulated company capital structures are to be combined in setting affiliate rents under RCW 81.</w:t>
      </w:r>
      <w:r w:rsidRPr="002B1D93" w:rsidR="006044DD">
        <w:t>1</w:t>
      </w:r>
      <w:r w:rsidRPr="002B1D93" w:rsidR="00FF520B">
        <w:t>6, then that premise and far more refinement of t</w:t>
      </w:r>
      <w:r w:rsidRPr="002B1D93" w:rsidR="00B46056">
        <w:t>he</w:t>
      </w:r>
      <w:r w:rsidRPr="002B1D93" w:rsidR="00FF520B">
        <w:t xml:space="preserve"> concept, criteria and accuracy of appropriate inputs need to be formally noticed to the industry.</w:t>
      </w:r>
    </w:p>
    <w:p w:rsidR="00731A5A" w:rsidRPr="002B1D93" w:rsidP="00F42F0B">
      <w:pPr>
        <w:pStyle w:val="ListParagraph"/>
      </w:pPr>
      <w:r w:rsidRPr="002B1D93">
        <w:tab/>
      </w:r>
      <w:r w:rsidRPr="002B1D93" w:rsidR="00C74E61">
        <w:t>In</w:t>
      </w:r>
      <w:r w:rsidRPr="002B1D93">
        <w:t xml:space="preserve"> calculating fair rental payments based on capital structure, the Commission has </w:t>
      </w:r>
      <w:r w:rsidRPr="002B1D93" w:rsidR="00FF520B">
        <w:t xml:space="preserve">previously </w:t>
      </w:r>
      <w:r w:rsidRPr="002B1D93">
        <w:t xml:space="preserve">required a regulated affiliate to </w:t>
      </w:r>
      <w:r w:rsidRPr="002B1D93" w:rsidR="00D663B5">
        <w:t>use the actual reasonable individual company capital structure (and debt costs)</w:t>
      </w:r>
      <w:r w:rsidRPr="002B1D93" w:rsidR="00C74E61">
        <w:t xml:space="preserve">.  Alternatively, </w:t>
      </w:r>
      <w:r w:rsidRPr="002B1D93" w:rsidR="00D663B5">
        <w:t xml:space="preserve">for publicly-traded companies, </w:t>
      </w:r>
      <w:r w:rsidRPr="002B1D93" w:rsidR="00C74E61">
        <w:t xml:space="preserve">the Commission has used </w:t>
      </w:r>
      <w:r w:rsidRPr="002B1D93" w:rsidR="00D663B5">
        <w:t>the parent’s actual consolidated capital structure.</w:t>
      </w:r>
      <w:r>
        <w:rPr>
          <w:vertAlign w:val="superscript"/>
        </w:rPr>
        <w:footnoteReference w:id="6"/>
      </w:r>
      <w:r w:rsidRPr="002B1D93">
        <w:rPr>
          <w:vertAlign w:val="superscript"/>
        </w:rPr>
        <w:t xml:space="preserve"> </w:t>
      </w:r>
      <w:r w:rsidRPr="002B1D93">
        <w:t xml:space="preserve"> Where there is no parent company, the debt to equity/capital structure issue/reasonable rent issue should either be </w:t>
      </w:r>
      <w:r w:rsidRPr="002B1D93" w:rsidR="006044DD">
        <w:t>de</w:t>
      </w:r>
      <w:r w:rsidRPr="002B1D93" w:rsidR="00195DD9">
        <w:t>r</w:t>
      </w:r>
      <w:r w:rsidRPr="002B1D93" w:rsidR="006044DD">
        <w:t>i</w:t>
      </w:r>
      <w:r w:rsidRPr="002B1D93" w:rsidR="00195DD9">
        <w:t>v</w:t>
      </w:r>
      <w:r w:rsidRPr="002B1D93" w:rsidR="006044DD">
        <w:t xml:space="preserve">ed </w:t>
      </w:r>
      <w:r w:rsidRPr="002B1D93">
        <w:t>based on the regulated company’s capital structure, here of 60% equity/40% debt,</w:t>
      </w:r>
      <w:r>
        <w:rPr>
          <w:vertAlign w:val="superscript"/>
        </w:rPr>
        <w:footnoteReference w:id="7"/>
      </w:r>
      <w:r w:rsidRPr="002B1D93">
        <w:t xml:space="preserve"> or on the basis of the rent</w:t>
      </w:r>
      <w:r w:rsidRPr="002B1D93" w:rsidR="006044DD">
        <w:t>al</w:t>
      </w:r>
      <w:r w:rsidRPr="002B1D93">
        <w:t xml:space="preserve"> property’s capital structure as the oft-cited, </w:t>
      </w:r>
      <w:r w:rsidRPr="002B1D93">
        <w:rPr>
          <w:i/>
        </w:rPr>
        <w:t xml:space="preserve">WUTC v. </w:t>
      </w:r>
      <w:r w:rsidRPr="002B1D93">
        <w:rPr>
          <w:i/>
        </w:rPr>
        <w:t xml:space="preserve">Bremerton </w:t>
      </w:r>
      <w:r w:rsidRPr="002B1D93" w:rsidR="00D663B5">
        <w:rPr>
          <w:i/>
        </w:rPr>
        <w:t>Kitsap Airporter, Inc</w:t>
      </w:r>
      <w:r w:rsidRPr="002B1D93" w:rsidR="00D663B5">
        <w:t xml:space="preserve">., Docket </w:t>
      </w:r>
      <w:r w:rsidRPr="002B1D93" w:rsidR="00D663B5">
        <w:t>TC</w:t>
      </w:r>
      <w:r w:rsidRPr="002B1D93" w:rsidR="00D663B5">
        <w:t xml:space="preserve">-001846, Fifth Supplemental Order, </w:t>
      </w:r>
      <w:r w:rsidRPr="002B1D93" w:rsidR="006526BB">
        <w:t>(</w:t>
      </w:r>
      <w:r w:rsidRPr="002B1D93" w:rsidR="00B46056">
        <w:t>Aug. 2002</w:t>
      </w:r>
      <w:r w:rsidRPr="002B1D93" w:rsidR="006526BB">
        <w:t>)</w:t>
      </w:r>
      <w:r w:rsidRPr="002B1D93" w:rsidR="00F42F0B">
        <w:t>,</w:t>
      </w:r>
      <w:r w:rsidRPr="002B1D93" w:rsidR="006526BB">
        <w:t xml:space="preserve"> </w:t>
      </w:r>
      <w:r w:rsidRPr="002B1D93" w:rsidR="00D663B5">
        <w:t>Appendix C: “Facility’s Debt/Equity Portions</w:t>
      </w:r>
      <w:r w:rsidRPr="002B1D93" w:rsidR="00B46056">
        <w:t>,</w:t>
      </w:r>
      <w:r w:rsidRPr="002B1D93" w:rsidR="00D663B5">
        <w:t>”</w:t>
      </w:r>
      <w:r w:rsidRPr="002B1D93" w:rsidR="00E90645">
        <w:t xml:space="preserve"> suggests</w:t>
      </w:r>
      <w:r w:rsidRPr="002B1D93" w:rsidR="00D663B5">
        <w:t xml:space="preserve">. </w:t>
      </w:r>
    </w:p>
    <w:p w:rsidR="00D663B5" w:rsidRPr="002B1D93" w:rsidP="00F42F0B">
      <w:pPr>
        <w:pStyle w:val="ListParagraph"/>
      </w:pPr>
      <w:r w:rsidRPr="002B1D93">
        <w:tab/>
      </w:r>
      <w:r w:rsidRPr="002B1D93">
        <w:t xml:space="preserve">On </w:t>
      </w:r>
      <w:r w:rsidRPr="002B1D93" w:rsidR="006526BB">
        <w:t xml:space="preserve">calculating </w:t>
      </w:r>
      <w:r w:rsidRPr="002B1D93">
        <w:t>the cost of debt for rental properties, again</w:t>
      </w:r>
      <w:r w:rsidRPr="002B1D93" w:rsidR="00195DD9">
        <w:t>,</w:t>
      </w:r>
      <w:r w:rsidRPr="002B1D93">
        <w:t xml:space="preserve"> both Jackie Davis</w:t>
      </w:r>
      <w:r>
        <w:rPr>
          <w:vertAlign w:val="superscript"/>
        </w:rPr>
        <w:footnoteReference w:id="8"/>
      </w:r>
      <w:r w:rsidRPr="002B1D93">
        <w:t xml:space="preserve"> and Layne Demas</w:t>
      </w:r>
      <w:r w:rsidRPr="002B1D93">
        <w:t>,</w:t>
      </w:r>
      <w:r>
        <w:rPr>
          <w:vertAlign w:val="superscript"/>
        </w:rPr>
        <w:footnoteReference w:id="9"/>
      </w:r>
      <w:r w:rsidRPr="002B1D93" w:rsidR="00202E4D">
        <w:rPr>
          <w:vertAlign w:val="superscript"/>
        </w:rPr>
        <w:t xml:space="preserve"> </w:t>
      </w:r>
      <w:r w:rsidRPr="002B1D93" w:rsidR="00202E4D">
        <w:t>on rebuttal</w:t>
      </w:r>
      <w:r w:rsidRPr="002B1D93">
        <w:t>,</w:t>
      </w:r>
      <w:r w:rsidRPr="002B1D93" w:rsidR="00202E4D">
        <w:t xml:space="preserve"> </w:t>
      </w:r>
      <w:r w:rsidRPr="002B1D93" w:rsidR="00F42F0B">
        <w:t xml:space="preserve">demonstrate </w:t>
      </w:r>
      <w:r w:rsidRPr="002B1D93" w:rsidR="00202E4D">
        <w:t>why the Staff-calculated debt factor is both to</w:t>
      </w:r>
      <w:r w:rsidRPr="002B1D93">
        <w:t>o</w:t>
      </w:r>
      <w:r w:rsidRPr="002B1D93" w:rsidR="00202E4D">
        <w:t xml:space="preserve"> low </w:t>
      </w:r>
      <w:r w:rsidRPr="002B1D93" w:rsidR="006526BB">
        <w:t xml:space="preserve">and </w:t>
      </w:r>
      <w:r w:rsidRPr="002B1D93" w:rsidR="00A70DD9">
        <w:t>divorced</w:t>
      </w:r>
      <w:r w:rsidRPr="002B1D93" w:rsidR="006526BB">
        <w:t xml:space="preserve"> from </w:t>
      </w:r>
      <w:r w:rsidRPr="002B1D93" w:rsidR="00202E4D">
        <w:t>WCI’s actual cost of debt</w:t>
      </w:r>
      <w:r w:rsidRPr="002B1D93">
        <w:t xml:space="preserve">. </w:t>
      </w:r>
      <w:r w:rsidRPr="002B1D93" w:rsidR="00202E4D">
        <w:t xml:space="preserve"> </w:t>
      </w:r>
      <w:r w:rsidRPr="002B1D93">
        <w:t>E</w:t>
      </w:r>
      <w:r w:rsidRPr="002B1D93" w:rsidR="00202E4D">
        <w:t xml:space="preserve">ven in applying </w:t>
      </w:r>
      <w:r w:rsidRPr="002B1D93" w:rsidR="006526BB">
        <w:t xml:space="preserve">its own formula of </w:t>
      </w:r>
      <w:r w:rsidRPr="002B1D93">
        <w:t xml:space="preserve">the </w:t>
      </w:r>
      <w:r w:rsidRPr="002B1D93" w:rsidR="006044DD">
        <w:t xml:space="preserve">combined </w:t>
      </w:r>
      <w:r w:rsidRPr="002B1D93">
        <w:t xml:space="preserve">debt </w:t>
      </w:r>
      <w:r w:rsidRPr="002B1D93" w:rsidR="00202E4D">
        <w:t>of HB I and HB II</w:t>
      </w:r>
      <w:r w:rsidRPr="002B1D93" w:rsidR="006044DD">
        <w:t>,</w:t>
      </w:r>
      <w:r w:rsidRPr="002B1D93" w:rsidR="00202E4D">
        <w:t xml:space="preserve"> </w:t>
      </w:r>
      <w:r w:rsidRPr="002B1D93">
        <w:t xml:space="preserve">Staff </w:t>
      </w:r>
      <w:r w:rsidRPr="002B1D93" w:rsidR="00202E4D">
        <w:t xml:space="preserve">uses debt for projects and investments that have no relation to </w:t>
      </w:r>
      <w:r w:rsidRPr="002B1D93" w:rsidR="006044DD">
        <w:t>the propert</w:t>
      </w:r>
      <w:r w:rsidRPr="002B1D93" w:rsidR="00753E21">
        <w:t>ies</w:t>
      </w:r>
      <w:r w:rsidRPr="002B1D93" w:rsidR="006044DD">
        <w:t xml:space="preserve"> </w:t>
      </w:r>
      <w:r w:rsidRPr="002B1D93" w:rsidR="00202E4D">
        <w:t>actually used and occupied by WCI as an affiliated tenant</w:t>
      </w:r>
      <w:r w:rsidRPr="002B1D93" w:rsidR="002C4F8D">
        <w:t xml:space="preserve">.  The </w:t>
      </w:r>
      <w:r w:rsidRPr="002B1D93" w:rsidR="00202E4D">
        <w:t xml:space="preserve">Commission should </w:t>
      </w:r>
      <w:r w:rsidRPr="002B1D93" w:rsidR="0001069C">
        <w:t>instead</w:t>
      </w:r>
      <w:r w:rsidRPr="002B1D93" w:rsidR="00202E4D">
        <w:t xml:space="preserve"> </w:t>
      </w:r>
      <w:r w:rsidRPr="002B1D93" w:rsidR="006044DD">
        <w:t xml:space="preserve">apply </w:t>
      </w:r>
      <w:r w:rsidRPr="002B1D93" w:rsidR="00202E4D">
        <w:t xml:space="preserve">the </w:t>
      </w:r>
      <w:r w:rsidRPr="002B1D93" w:rsidR="006044DD">
        <w:t xml:space="preserve">actual </w:t>
      </w:r>
      <w:r w:rsidRPr="002B1D93">
        <w:t>d</w:t>
      </w:r>
      <w:r w:rsidRPr="002B1D93" w:rsidR="00202E4D">
        <w:t xml:space="preserve">ebt </w:t>
      </w:r>
      <w:r w:rsidRPr="002B1D93" w:rsidR="00A3644A">
        <w:t>encumb</w:t>
      </w:r>
      <w:r w:rsidRPr="002B1D93">
        <w:t>er</w:t>
      </w:r>
      <w:r w:rsidRPr="002B1D93" w:rsidR="00A3644A">
        <w:t xml:space="preserve">ing </w:t>
      </w:r>
      <w:r w:rsidRPr="002B1D93" w:rsidR="00202E4D">
        <w:t>the property in question</w:t>
      </w:r>
      <w:r w:rsidRPr="002B1D93">
        <w:t>,</w:t>
      </w:r>
      <w:r w:rsidRPr="002B1D93" w:rsidR="00202E4D">
        <w:t xml:space="preserve"> as advocated by the Company</w:t>
      </w:r>
      <w:r w:rsidRPr="002B1D93" w:rsidR="00C74E61">
        <w:t xml:space="preserve"> since the inception of this case</w:t>
      </w:r>
      <w:r w:rsidRPr="002B1D93" w:rsidR="00202E4D">
        <w:t>.</w:t>
      </w:r>
    </w:p>
    <w:p w:rsidR="00476224" w:rsidRPr="002B1D93" w:rsidP="00F42F0B">
      <w:pPr>
        <w:pStyle w:val="ListParagraph"/>
      </w:pPr>
      <w:r w:rsidRPr="002B1D93">
        <w:tab/>
      </w:r>
      <w:r w:rsidRPr="002B1D93">
        <w:t>Return on equity factors</w:t>
      </w:r>
      <w:r w:rsidRPr="002B1D93" w:rsidR="00FF520B">
        <w:t>,</w:t>
      </w:r>
      <w:r w:rsidRPr="002B1D93">
        <w:t xml:space="preserve"> as Mr. Demas explains</w:t>
      </w:r>
      <w:r w:rsidRPr="002B1D93" w:rsidR="00FF520B">
        <w:t>,</w:t>
      </w:r>
      <w:r w:rsidRPr="002B1D93">
        <w:t xml:space="preserve"> have</w:t>
      </w:r>
      <w:r w:rsidRPr="002B1D93">
        <w:t xml:space="preserve"> long been </w:t>
      </w:r>
      <w:r w:rsidRPr="002B1D93" w:rsidR="00FF520B">
        <w:t>recognized by the Commission a</w:t>
      </w:r>
      <w:r w:rsidRPr="002B1D93" w:rsidR="006526BB">
        <w:t>t</w:t>
      </w:r>
      <w:r w:rsidRPr="002B1D93" w:rsidR="00FF520B">
        <w:t xml:space="preserve"> </w:t>
      </w:r>
      <w:r w:rsidRPr="002B1D93">
        <w:t>15% for affiliated transactions.</w:t>
      </w:r>
      <w:r>
        <w:rPr>
          <w:vertAlign w:val="superscript"/>
        </w:rPr>
        <w:footnoteReference w:id="10"/>
      </w:r>
      <w:r w:rsidRPr="002B1D93">
        <w:rPr>
          <w:vertAlign w:val="superscript"/>
        </w:rPr>
        <w:t xml:space="preserve"> </w:t>
      </w:r>
      <w:r w:rsidRPr="002B1D93">
        <w:t xml:space="preserve"> Again, </w:t>
      </w:r>
      <w:r w:rsidRPr="002B1D93" w:rsidR="009749C8">
        <w:rPr>
          <w:i/>
        </w:rPr>
        <w:t>Bremerton</w:t>
      </w:r>
      <w:r w:rsidRPr="002B1D93" w:rsidR="00971548">
        <w:rPr>
          <w:i/>
        </w:rPr>
        <w:t>-</w:t>
      </w:r>
      <w:r w:rsidRPr="002B1D93" w:rsidR="009749C8">
        <w:rPr>
          <w:i/>
        </w:rPr>
        <w:t>Kitsap Airporter</w:t>
      </w:r>
      <w:r w:rsidRPr="002B1D93" w:rsidR="009749C8">
        <w:t xml:space="preserve"> utilized such a return factor</w:t>
      </w:r>
      <w:r w:rsidR="00131284">
        <w:t xml:space="preserve"> </w:t>
      </w:r>
      <w:r w:rsidRPr="002B1D93" w:rsidR="009749C8">
        <w:t xml:space="preserve">and that was the precise input factor used for the Company’s last rate case calculating affiliate rental returns in 2009.  To the Company’s knowledge, </w:t>
      </w:r>
      <w:r w:rsidRPr="002B1D93" w:rsidR="00C74E61">
        <w:t xml:space="preserve">no </w:t>
      </w:r>
      <w:r w:rsidRPr="002B1D93" w:rsidR="009749C8">
        <w:t>adjudica</w:t>
      </w:r>
      <w:r w:rsidRPr="002B1D93" w:rsidR="00C74E61">
        <w:t xml:space="preserve">ted Title 81 general rate case </w:t>
      </w:r>
      <w:r w:rsidRPr="002B1D93" w:rsidR="009749C8">
        <w:t xml:space="preserve">has contravened this return on equity </w:t>
      </w:r>
      <w:r w:rsidRPr="002B1D93" w:rsidR="00B46056">
        <w:t>formula</w:t>
      </w:r>
      <w:r w:rsidRPr="002B1D93" w:rsidR="001A1696">
        <w:t>.  Further,</w:t>
      </w:r>
      <w:r w:rsidRPr="002B1D93" w:rsidR="009749C8">
        <w:t xml:space="preserve"> as Mr. Demas points out, “Dr. Lurito, in his testimony supporting the Lurito-Gallagher operating ratio formula, justified a much larger equity return for solid waste companies </w:t>
      </w:r>
      <w:r w:rsidRPr="002B1D93">
        <w:t>[as compared to Title 80 companies] as is readily observed in the formula itself.”</w:t>
      </w:r>
      <w:r>
        <w:rPr>
          <w:vertAlign w:val="superscript"/>
        </w:rPr>
        <w:footnoteReference w:id="11"/>
      </w:r>
    </w:p>
    <w:p w:rsidR="00202E4D" w:rsidRPr="002B1D93" w:rsidP="00F42F0B">
      <w:pPr>
        <w:pStyle w:val="ListParagraph"/>
      </w:pPr>
      <w:r w:rsidRPr="002B1D93">
        <w:tab/>
        <w:t xml:space="preserve">The Staff’s </w:t>
      </w:r>
      <w:r w:rsidRPr="002B1D93" w:rsidR="006044DD">
        <w:t>“</w:t>
      </w:r>
      <w:r w:rsidRPr="002B1D93">
        <w:t>belief</w:t>
      </w:r>
      <w:r w:rsidRPr="002B1D93" w:rsidR="006044DD">
        <w:t>”</w:t>
      </w:r>
      <w:r w:rsidRPr="002B1D93">
        <w:t xml:space="preserve"> that there should be a “temporal component based on the most current information possible”</w:t>
      </w:r>
      <w:r>
        <w:rPr>
          <w:vertAlign w:val="superscript"/>
        </w:rPr>
        <w:footnoteReference w:id="12"/>
      </w:r>
      <w:r w:rsidRPr="002B1D93">
        <w:rPr>
          <w:vertAlign w:val="superscript"/>
        </w:rPr>
        <w:t xml:space="preserve"> </w:t>
      </w:r>
      <w:r w:rsidRPr="002B1D93" w:rsidR="00753E21">
        <w:rPr>
          <w:vertAlign w:val="superscript"/>
        </w:rPr>
        <w:t xml:space="preserve"> </w:t>
      </w:r>
      <w:r w:rsidRPr="002B1D93" w:rsidR="00753E21">
        <w:t xml:space="preserve">includes </w:t>
      </w:r>
      <w:r w:rsidRPr="002B1D93">
        <w:t>a tortuous discounted cash flow analysis</w:t>
      </w:r>
      <w:r w:rsidRPr="002B1D93" w:rsidR="00A3644A">
        <w:t xml:space="preserve"> that seeks </w:t>
      </w:r>
      <w:r w:rsidRPr="002B1D93" w:rsidR="00A3644A">
        <w:t xml:space="preserve">to engraft a </w:t>
      </w:r>
      <w:r w:rsidRPr="002B1D93" w:rsidR="00210108">
        <w:t>“V</w:t>
      </w:r>
      <w:r w:rsidRPr="002B1D93" w:rsidR="00A3644A">
        <w:t xml:space="preserve">alue </w:t>
      </w:r>
      <w:r w:rsidRPr="002B1D93" w:rsidR="00210108">
        <w:t>L</w:t>
      </w:r>
      <w:r w:rsidRPr="002B1D93" w:rsidR="00A3644A">
        <w:t>ine</w:t>
      </w:r>
      <w:r w:rsidRPr="002B1D93" w:rsidR="00210108">
        <w:t>”</w:t>
      </w:r>
      <w:r w:rsidRPr="002B1D93" w:rsidR="00A3644A">
        <w:t xml:space="preserve"> analysis</w:t>
      </w:r>
      <w:r w:rsidRPr="002B1D93">
        <w:t xml:space="preserve"> from publicly-traded companies onto a small, closely-held </w:t>
      </w:r>
      <w:r w:rsidR="00131284">
        <w:t xml:space="preserve">regulated </w:t>
      </w:r>
      <w:r w:rsidRPr="002B1D93">
        <w:t>solid wast</w:t>
      </w:r>
      <w:r w:rsidRPr="002B1D93" w:rsidR="00A3644A">
        <w:t>e</w:t>
      </w:r>
      <w:r w:rsidRPr="002B1D93">
        <w:t xml:space="preserve"> company that would lower </w:t>
      </w:r>
      <w:r w:rsidRPr="002B1D93" w:rsidR="0089502C">
        <w:t xml:space="preserve">that </w:t>
      </w:r>
      <w:r w:rsidRPr="002B1D93" w:rsidR="00A3644A">
        <w:t xml:space="preserve">return effectively by some two-plus percentage points.  </w:t>
      </w:r>
      <w:r w:rsidRPr="002B1D93" w:rsidR="00210108">
        <w:t>While t</w:t>
      </w:r>
      <w:r w:rsidRPr="002B1D93" w:rsidR="00A3644A">
        <w:t xml:space="preserve">hat may indeed be temporal, it provides far less accuracy, </w:t>
      </w:r>
      <w:r w:rsidRPr="002B1D93" w:rsidR="00210108">
        <w:t xml:space="preserve">pertinence </w:t>
      </w:r>
      <w:r w:rsidRPr="002B1D93" w:rsidR="00A3644A">
        <w:t>to privately-held solid waste companies and no certainty as a guide for ratemaking in the future and should be rejected here</w:t>
      </w:r>
      <w:r w:rsidRPr="002B1D93" w:rsidR="00210108">
        <w:t xml:space="preserve"> as the C</w:t>
      </w:r>
      <w:r w:rsidRPr="002B1D93" w:rsidR="006526BB">
        <w:t>ompany’s testimony on rebuttal contends</w:t>
      </w:r>
      <w:r w:rsidRPr="002B1D93" w:rsidR="00A3644A">
        <w:t>.</w:t>
      </w:r>
    </w:p>
    <w:p w:rsidR="00E44A57" w:rsidRPr="002B1D93" w:rsidP="00024C6D">
      <w:pPr>
        <w:pStyle w:val="HEADING10"/>
        <w:tabs>
          <w:tab w:val="clear" w:pos="0"/>
        </w:tabs>
        <w:rPr>
          <w:szCs w:val="24"/>
        </w:rPr>
      </w:pPr>
      <w:bookmarkStart w:id="23" w:name="_Toc402944391"/>
      <w:bookmarkStart w:id="24" w:name="_Toc403051680"/>
      <w:bookmarkStart w:id="25" w:name="_Toc256000005"/>
      <w:bookmarkStart w:id="26" w:name="_Toc256000020"/>
      <w:r w:rsidRPr="002B1D93">
        <w:rPr>
          <w:szCs w:val="24"/>
        </w:rPr>
        <w:t>investigation fee</w:t>
      </w:r>
      <w:r w:rsidRPr="002B1D93" w:rsidR="00952CBD">
        <w:rPr>
          <w:szCs w:val="24"/>
        </w:rPr>
        <w:t>.</w:t>
      </w:r>
      <w:bookmarkEnd w:id="26"/>
      <w:bookmarkEnd w:id="25"/>
      <w:bookmarkEnd w:id="23"/>
      <w:bookmarkEnd w:id="24"/>
    </w:p>
    <w:p w:rsidR="0060553D" w:rsidRPr="002B1D93" w:rsidP="00952CBD">
      <w:pPr>
        <w:pStyle w:val="Heading2"/>
        <w:tabs>
          <w:tab w:val="clear" w:pos="0"/>
        </w:tabs>
        <w:spacing w:after="240"/>
        <w:rPr>
          <w:rFonts w:cs="Times New Roman"/>
          <w:szCs w:val="24"/>
          <w:u w:val="single"/>
        </w:rPr>
      </w:pPr>
      <w:bookmarkStart w:id="27" w:name="_Toc402944392"/>
      <w:bookmarkStart w:id="28" w:name="_Toc402951753"/>
      <w:bookmarkStart w:id="29" w:name="_Toc403051681"/>
      <w:bookmarkStart w:id="30" w:name="_Toc256000006"/>
      <w:bookmarkStart w:id="31" w:name="_Toc256000021"/>
      <w:r w:rsidRPr="002B1D93">
        <w:rPr>
          <w:rFonts w:cs="Times New Roman"/>
          <w:szCs w:val="24"/>
          <w:u w:val="single"/>
        </w:rPr>
        <w:t xml:space="preserve">The </w:t>
      </w:r>
      <w:r w:rsidRPr="002B1D93" w:rsidR="00E144C6">
        <w:rPr>
          <w:rFonts w:cs="Times New Roman"/>
          <w:szCs w:val="24"/>
          <w:u w:val="single"/>
        </w:rPr>
        <w:t xml:space="preserve">Investigation Fee Sought </w:t>
      </w:r>
      <w:r w:rsidRPr="002B1D93">
        <w:rPr>
          <w:rFonts w:cs="Times New Roman"/>
          <w:szCs w:val="24"/>
          <w:u w:val="single"/>
        </w:rPr>
        <w:t xml:space="preserve">to be </w:t>
      </w:r>
      <w:r w:rsidRPr="002B1D93" w:rsidR="00E144C6">
        <w:rPr>
          <w:rFonts w:cs="Times New Roman"/>
          <w:szCs w:val="24"/>
          <w:u w:val="single"/>
        </w:rPr>
        <w:t xml:space="preserve">Imposed Here Not </w:t>
      </w:r>
      <w:r w:rsidRPr="002B1D93" w:rsidR="00E144C6">
        <w:rPr>
          <w:rFonts w:cs="Times New Roman"/>
          <w:szCs w:val="24"/>
          <w:u w:val="single"/>
        </w:rPr>
        <w:t>Only</w:t>
      </w:r>
      <w:r w:rsidRPr="002B1D93" w:rsidR="00E144C6">
        <w:rPr>
          <w:rFonts w:cs="Times New Roman"/>
          <w:szCs w:val="24"/>
          <w:u w:val="single"/>
        </w:rPr>
        <w:t xml:space="preserve"> </w:t>
      </w:r>
      <w:r w:rsidRPr="002B1D93">
        <w:rPr>
          <w:rFonts w:cs="Times New Roman"/>
          <w:szCs w:val="24"/>
          <w:u w:val="single"/>
        </w:rPr>
        <w:t xml:space="preserve">is </w:t>
      </w:r>
      <w:r w:rsidRPr="002B1D93" w:rsidR="00E144C6">
        <w:rPr>
          <w:rFonts w:cs="Times New Roman"/>
          <w:szCs w:val="24"/>
          <w:u w:val="single"/>
        </w:rPr>
        <w:t xml:space="preserve">Punitive </w:t>
      </w:r>
      <w:r w:rsidRPr="002B1D93">
        <w:rPr>
          <w:rFonts w:cs="Times New Roman"/>
          <w:szCs w:val="24"/>
          <w:u w:val="single"/>
        </w:rPr>
        <w:t xml:space="preserve">but </w:t>
      </w:r>
      <w:r w:rsidRPr="002B1D93" w:rsidR="00195DD9">
        <w:rPr>
          <w:rFonts w:cs="Times New Roman"/>
          <w:szCs w:val="24"/>
          <w:u w:val="single"/>
        </w:rPr>
        <w:t xml:space="preserve">was </w:t>
      </w:r>
      <w:r w:rsidRPr="002B1D93" w:rsidR="00753E21">
        <w:rPr>
          <w:rFonts w:cs="Times New Roman"/>
          <w:szCs w:val="24"/>
          <w:u w:val="single"/>
        </w:rPr>
        <w:t xml:space="preserve">Neither </w:t>
      </w:r>
      <w:r w:rsidRPr="002B1D93" w:rsidR="00E144C6">
        <w:rPr>
          <w:rFonts w:cs="Times New Roman"/>
          <w:szCs w:val="24"/>
          <w:u w:val="single"/>
        </w:rPr>
        <w:t>Previously Not</w:t>
      </w:r>
      <w:r w:rsidRPr="002B1D93" w:rsidR="00195DD9">
        <w:rPr>
          <w:rFonts w:cs="Times New Roman"/>
          <w:szCs w:val="24"/>
          <w:u w:val="single"/>
        </w:rPr>
        <w:t>iced</w:t>
      </w:r>
      <w:r w:rsidRPr="002B1D93" w:rsidR="00E144C6">
        <w:rPr>
          <w:rFonts w:cs="Times New Roman"/>
          <w:szCs w:val="24"/>
          <w:u w:val="single"/>
        </w:rPr>
        <w:t xml:space="preserve"> </w:t>
      </w:r>
      <w:r w:rsidRPr="002B1D93">
        <w:rPr>
          <w:rFonts w:cs="Times New Roman"/>
          <w:szCs w:val="24"/>
          <w:u w:val="single"/>
        </w:rPr>
        <w:t xml:space="preserve">to the Company </w:t>
      </w:r>
      <w:r w:rsidRPr="002B1D93" w:rsidR="001A1696">
        <w:rPr>
          <w:rFonts w:cs="Times New Roman"/>
          <w:szCs w:val="24"/>
          <w:u w:val="single"/>
        </w:rPr>
        <w:t>N</w:t>
      </w:r>
      <w:r w:rsidRPr="002B1D93" w:rsidR="00E144C6">
        <w:rPr>
          <w:rFonts w:cs="Times New Roman"/>
          <w:szCs w:val="24"/>
          <w:u w:val="single"/>
        </w:rPr>
        <w:t xml:space="preserve">or Supported </w:t>
      </w:r>
      <w:r w:rsidRPr="002B1D93">
        <w:rPr>
          <w:rFonts w:cs="Times New Roman"/>
          <w:szCs w:val="24"/>
          <w:u w:val="single"/>
        </w:rPr>
        <w:t xml:space="preserve">by any </w:t>
      </w:r>
      <w:r w:rsidRPr="002B1D93" w:rsidR="00E144C6">
        <w:rPr>
          <w:rFonts w:cs="Times New Roman"/>
          <w:szCs w:val="24"/>
          <w:u w:val="single"/>
        </w:rPr>
        <w:t>Reference</w:t>
      </w:r>
      <w:r w:rsidRPr="002B1D93" w:rsidR="00195DD9">
        <w:rPr>
          <w:rFonts w:cs="Times New Roman"/>
          <w:szCs w:val="24"/>
          <w:u w:val="single"/>
        </w:rPr>
        <w:t>d</w:t>
      </w:r>
      <w:r w:rsidRPr="002B1D93" w:rsidR="00E144C6">
        <w:rPr>
          <w:rFonts w:cs="Times New Roman"/>
          <w:szCs w:val="24"/>
          <w:u w:val="single"/>
        </w:rPr>
        <w:t xml:space="preserve"> General Rate Case Known</w:t>
      </w:r>
      <w:r w:rsidRPr="002B1D93">
        <w:rPr>
          <w:rFonts w:cs="Times New Roman"/>
          <w:szCs w:val="24"/>
          <w:u w:val="single"/>
        </w:rPr>
        <w:t xml:space="preserve"> to the </w:t>
      </w:r>
      <w:r w:rsidRPr="002B1D93" w:rsidR="00E144C6">
        <w:rPr>
          <w:rFonts w:cs="Times New Roman"/>
          <w:szCs w:val="24"/>
          <w:u w:val="single"/>
        </w:rPr>
        <w:t>Parties.</w:t>
      </w:r>
      <w:bookmarkEnd w:id="31"/>
      <w:bookmarkEnd w:id="30"/>
      <w:bookmarkEnd w:id="27"/>
      <w:bookmarkEnd w:id="28"/>
      <w:bookmarkEnd w:id="29"/>
    </w:p>
    <w:p w:rsidR="00E44A57" w:rsidRPr="002B1D93" w:rsidP="00385384">
      <w:pPr>
        <w:pStyle w:val="Heading2"/>
        <w:tabs>
          <w:tab w:val="clear" w:pos="0"/>
        </w:tabs>
        <w:spacing w:before="240" w:after="240"/>
        <w:rPr>
          <w:rFonts w:cs="Times New Roman"/>
          <w:szCs w:val="24"/>
        </w:rPr>
      </w:pPr>
      <w:bookmarkStart w:id="32" w:name="_Toc402944393"/>
      <w:bookmarkStart w:id="33" w:name="_Toc402951754"/>
      <w:bookmarkStart w:id="34" w:name="_Toc403051682"/>
      <w:bookmarkStart w:id="35" w:name="_Toc256000007"/>
      <w:bookmarkStart w:id="36" w:name="_Toc256000022"/>
      <w:r w:rsidRPr="002B1D93">
        <w:rPr>
          <w:rFonts w:cs="Times New Roman"/>
          <w:szCs w:val="24"/>
        </w:rPr>
        <w:t xml:space="preserve">A.  </w:t>
      </w:r>
      <w:r w:rsidRPr="002B1D93" w:rsidR="00543C16">
        <w:rPr>
          <w:rFonts w:cs="Times New Roman"/>
          <w:szCs w:val="24"/>
        </w:rPr>
        <w:t>Back</w:t>
      </w:r>
      <w:r w:rsidRPr="002B1D93" w:rsidR="00F80457">
        <w:rPr>
          <w:rFonts w:cs="Times New Roman"/>
          <w:szCs w:val="24"/>
        </w:rPr>
        <w:t>ground to Staff I</w:t>
      </w:r>
      <w:r w:rsidRPr="002B1D93" w:rsidR="0036417C">
        <w:rPr>
          <w:rFonts w:cs="Times New Roman"/>
          <w:szCs w:val="24"/>
        </w:rPr>
        <w:t>nvestigation Fee Issue</w:t>
      </w:r>
      <w:bookmarkEnd w:id="36"/>
      <w:bookmarkEnd w:id="35"/>
      <w:bookmarkEnd w:id="32"/>
      <w:bookmarkEnd w:id="33"/>
      <w:bookmarkEnd w:id="34"/>
      <w:r w:rsidRPr="002B1D93">
        <w:rPr>
          <w:rFonts w:cs="Times New Roman"/>
          <w:szCs w:val="24"/>
        </w:rPr>
        <w:t xml:space="preserve"> </w:t>
      </w:r>
    </w:p>
    <w:p w:rsidR="00E44A57" w:rsidRPr="002B1D93" w:rsidP="00F42F0B">
      <w:pPr>
        <w:pStyle w:val="ListParagraph"/>
      </w:pPr>
      <w:r w:rsidRPr="002B1D93">
        <w:tab/>
      </w:r>
      <w:r w:rsidRPr="002B1D93" w:rsidR="007C2850">
        <w:t>I</w:t>
      </w:r>
      <w:r w:rsidRPr="002B1D93">
        <w:t>n</w:t>
      </w:r>
      <w:r w:rsidRPr="002B1D93" w:rsidR="007C2850">
        <w:t xml:space="preserve"> the</w:t>
      </w:r>
      <w:r w:rsidRPr="002B1D93">
        <w:t xml:space="preserve"> July 18, 2014 Staff case, one of its concluding miscellaneous recommendations was an unprecedented imposition of an investigation fee which </w:t>
      </w:r>
      <w:r w:rsidRPr="002B1D93" w:rsidR="007C2850">
        <w:t xml:space="preserve">it </w:t>
      </w:r>
      <w:r w:rsidRPr="002B1D93" w:rsidR="00F42F0B">
        <w:t xml:space="preserve">advocated </w:t>
      </w:r>
      <w:r w:rsidRPr="002B1D93">
        <w:t xml:space="preserve">the Commission </w:t>
      </w:r>
      <w:r w:rsidRPr="002B1D93" w:rsidR="00AB04D0">
        <w:t>impose on</w:t>
      </w:r>
      <w:r w:rsidRPr="002B1D93">
        <w:t xml:space="preserve"> the Company </w:t>
      </w:r>
      <w:r w:rsidRPr="002B1D93" w:rsidR="007C2850">
        <w:t xml:space="preserve">in the amount of </w:t>
      </w:r>
      <w:r w:rsidRPr="002B1D93" w:rsidR="006526BB">
        <w:t>$43,</w:t>
      </w:r>
      <w:r w:rsidRPr="002B1D93">
        <w:t>818.82</w:t>
      </w:r>
      <w:r w:rsidRPr="002B1D93" w:rsidR="006526BB">
        <w:t xml:space="preserve"> or 1% of its annual regulated revenues for 2013</w:t>
      </w:r>
      <w:r w:rsidRPr="002B1D93" w:rsidR="00F42F0B">
        <w:t>,</w:t>
      </w:r>
      <w:r w:rsidRPr="002B1D93">
        <w:t xml:space="preserve"> to defray a portion of the costs incurred by Staff in auditing this matter. </w:t>
      </w:r>
      <w:r>
        <w:rPr>
          <w:rStyle w:val="FootnoteReference"/>
        </w:rPr>
        <w:footnoteReference w:id="13"/>
      </w:r>
      <w:r w:rsidRPr="002B1D93">
        <w:t xml:space="preserve"> </w:t>
      </w:r>
      <w:r w:rsidRPr="002B1D93" w:rsidR="007C2850">
        <w:t>That amount is the statutor</w:t>
      </w:r>
      <w:r w:rsidRPr="002B1D93" w:rsidR="008B607D">
        <w:t>ily-</w:t>
      </w:r>
      <w:r w:rsidRPr="002B1D93" w:rsidR="007C2850">
        <w:t xml:space="preserve">allowed maximum.  </w:t>
      </w:r>
      <w:r w:rsidRPr="002B1D93">
        <w:t xml:space="preserve">The Staff </w:t>
      </w:r>
      <w:r w:rsidRPr="002B1D93" w:rsidR="006526BB">
        <w:t xml:space="preserve">again </w:t>
      </w:r>
      <w:r w:rsidRPr="002B1D93" w:rsidR="008B607D">
        <w:t xml:space="preserve">predicated </w:t>
      </w:r>
      <w:r w:rsidRPr="002B1D93">
        <w:t xml:space="preserve">its position on the basis of its characterization of the case as </w:t>
      </w:r>
      <w:r w:rsidRPr="002B1D93" w:rsidR="007C2850">
        <w:t>“highly complicated</w:t>
      </w:r>
      <w:r w:rsidRPr="002B1D93" w:rsidR="006526BB">
        <w:t>,</w:t>
      </w:r>
      <w:r w:rsidRPr="002B1D93" w:rsidR="007C2850">
        <w:t xml:space="preserve">” </w:t>
      </w:r>
      <w:r w:rsidRPr="002B1D93">
        <w:t>particularly with regard to the contested</w:t>
      </w:r>
      <w:r w:rsidRPr="002B1D93" w:rsidR="008B607D">
        <w:t>,</w:t>
      </w:r>
      <w:r w:rsidRPr="002B1D93">
        <w:t xml:space="preserve"> </w:t>
      </w:r>
      <w:r w:rsidRPr="002B1D93" w:rsidR="007C2850">
        <w:t>ultimately resolved</w:t>
      </w:r>
      <w:r w:rsidRPr="002B1D93">
        <w:t xml:space="preserve"> issue under WAC 480-07-140(6)(b)</w:t>
      </w:r>
      <w:r w:rsidRPr="002B1D93" w:rsidR="008B607D">
        <w:t>,</w:t>
      </w:r>
      <w:r w:rsidRPr="002B1D93">
        <w:t xml:space="preserve"> as to the definition of “hardcodes” and whether they constituted “locked” or “password-protected” cells as specified in that rule.</w:t>
      </w:r>
      <w:r>
        <w:rPr>
          <w:rStyle w:val="FootnoteReference"/>
        </w:rPr>
        <w:footnoteReference w:id="14"/>
      </w:r>
      <w:r w:rsidRPr="002B1D93" w:rsidR="007C2850">
        <w:t xml:space="preserve"> </w:t>
      </w:r>
    </w:p>
    <w:p w:rsidR="00133C84" w:rsidRPr="002B1D93" w:rsidP="00F42F0B">
      <w:pPr>
        <w:pStyle w:val="ListParagraph"/>
      </w:pPr>
      <w:r w:rsidRPr="002B1D93">
        <w:tab/>
        <w:t>The Company, on rebuttal</w:t>
      </w:r>
      <w:r w:rsidRPr="002B1D93" w:rsidR="008B607D">
        <w:t>,</w:t>
      </w:r>
      <w:r w:rsidRPr="002B1D93">
        <w:t xml:space="preserve"> particularly in Exhibit JD-1T pp. 45-46</w:t>
      </w:r>
      <w:r w:rsidRPr="002B1D93" w:rsidR="007C2850">
        <w:t>,</w:t>
      </w:r>
      <w:r w:rsidRPr="002B1D93">
        <w:t xml:space="preserve"> </w:t>
      </w:r>
      <w:r w:rsidRPr="002B1D93" w:rsidR="006526BB">
        <w:t xml:space="preserve">describes </w:t>
      </w:r>
      <w:r w:rsidRPr="002B1D93">
        <w:t>its reaction to th</w:t>
      </w:r>
      <w:r w:rsidRPr="002B1D93" w:rsidR="006B14CB">
        <w:t>e</w:t>
      </w:r>
      <w:r w:rsidRPr="002B1D93">
        <w:t xml:space="preserve"> investigation fee imposition advocacy</w:t>
      </w:r>
      <w:r w:rsidRPr="002B1D93" w:rsidR="007C2850">
        <w:t>,</w:t>
      </w:r>
      <w:r w:rsidRPr="002B1D93">
        <w:t xml:space="preserve"> finding it </w:t>
      </w:r>
      <w:r w:rsidRPr="002B1D93" w:rsidR="00B46056">
        <w:t xml:space="preserve">unfortunately </w:t>
      </w:r>
      <w:r w:rsidRPr="002B1D93">
        <w:t>consistent with</w:t>
      </w:r>
      <w:r w:rsidRPr="002B1D93" w:rsidR="00F42F0B">
        <w:t xml:space="preserve"> the</w:t>
      </w:r>
      <w:r w:rsidRPr="002B1D93">
        <w:t xml:space="preserve"> tendency of the Staff to seek to punish </w:t>
      </w:r>
      <w:r w:rsidRPr="002B1D93" w:rsidR="00B46056">
        <w:t xml:space="preserve">or </w:t>
      </w:r>
      <w:r w:rsidRPr="002B1D93">
        <w:t xml:space="preserve">single out </w:t>
      </w:r>
      <w:r w:rsidRPr="002B1D93" w:rsidR="001A1696">
        <w:t>WCI</w:t>
      </w:r>
      <w:r w:rsidRPr="002B1D93">
        <w:t xml:space="preserve"> for</w:t>
      </w:r>
      <w:r w:rsidRPr="002B1D93" w:rsidR="00B46056">
        <w:t xml:space="preserve"> its</w:t>
      </w:r>
      <w:r w:rsidRPr="002B1D93">
        <w:t xml:space="preserve"> numerous challenges </w:t>
      </w:r>
      <w:r w:rsidRPr="002B1D93" w:rsidR="00B46056">
        <w:t>to</w:t>
      </w:r>
      <w:r w:rsidRPr="002B1D93">
        <w:t xml:space="preserve"> accounting treatments sought by Staff </w:t>
      </w:r>
      <w:r w:rsidRPr="002B1D93" w:rsidR="006B14CB">
        <w:t xml:space="preserve">throughout </w:t>
      </w:r>
      <w:r w:rsidRPr="002B1D93">
        <w:t xml:space="preserve">this proceeding.  Along with its </w:t>
      </w:r>
      <w:r w:rsidRPr="002B1D93" w:rsidR="00B46056">
        <w:t xml:space="preserve">unprecedented </w:t>
      </w:r>
      <w:r w:rsidRPr="002B1D93">
        <w:t xml:space="preserve">position about rate case cost recovery, the Company </w:t>
      </w:r>
      <w:r w:rsidRPr="002B1D93" w:rsidR="006B14CB">
        <w:t xml:space="preserve">highlights </w:t>
      </w:r>
      <w:r w:rsidRPr="002B1D93" w:rsidR="007C2850">
        <w:t>the</w:t>
      </w:r>
      <w:r w:rsidRPr="002B1D93">
        <w:t xml:space="preserve"> punitive nature of Staff’s proposal, which as will be argued in Section V</w:t>
      </w:r>
      <w:r w:rsidRPr="002B1D93" w:rsidR="007C2850">
        <w:t>,</w:t>
      </w:r>
      <w:r w:rsidRPr="002B1D93">
        <w:t xml:space="preserve"> below, has the </w:t>
      </w:r>
      <w:r w:rsidRPr="002B1D93" w:rsidR="007C2850">
        <w:t xml:space="preserve">natural </w:t>
      </w:r>
      <w:r w:rsidRPr="002B1D93">
        <w:t xml:space="preserve">effect of discouraging exercise of due process rights in presenting, advocating and ultimately litigating </w:t>
      </w:r>
      <w:r w:rsidRPr="002B1D93" w:rsidR="007C2850">
        <w:t xml:space="preserve">a </w:t>
      </w:r>
      <w:r w:rsidRPr="002B1D93">
        <w:t>Company’s good faith case in support of fair, just, reasonable and sufficient rates under RCW 81.28.230.</w:t>
      </w:r>
    </w:p>
    <w:p w:rsidR="0036417C" w:rsidRPr="002B1D93" w:rsidP="00587D28">
      <w:pPr>
        <w:pStyle w:val="Heading2"/>
        <w:tabs>
          <w:tab w:val="clear" w:pos="0"/>
        </w:tabs>
        <w:spacing w:before="120" w:after="240"/>
        <w:rPr>
          <w:rFonts w:cs="Times New Roman"/>
          <w:szCs w:val="24"/>
        </w:rPr>
      </w:pPr>
      <w:bookmarkStart w:id="37" w:name="_Toc402944394"/>
      <w:bookmarkStart w:id="38" w:name="_Toc402951755"/>
      <w:bookmarkStart w:id="39" w:name="_Toc403051683"/>
      <w:bookmarkStart w:id="40" w:name="_Toc256000008"/>
      <w:bookmarkStart w:id="41" w:name="_Toc256000023"/>
      <w:r w:rsidRPr="002B1D93">
        <w:rPr>
          <w:rFonts w:cs="Times New Roman"/>
          <w:szCs w:val="24"/>
        </w:rPr>
        <w:t xml:space="preserve">B.  </w:t>
      </w:r>
      <w:r w:rsidRPr="002B1D93">
        <w:rPr>
          <w:rFonts w:cs="Times New Roman"/>
          <w:szCs w:val="24"/>
        </w:rPr>
        <w:t>Analysis</w:t>
      </w:r>
      <w:r w:rsidRPr="002B1D93" w:rsidR="002C4F8D">
        <w:rPr>
          <w:rFonts w:cs="Times New Roman"/>
          <w:szCs w:val="24"/>
        </w:rPr>
        <w:t>/A</w:t>
      </w:r>
      <w:r w:rsidRPr="002B1D93">
        <w:rPr>
          <w:rFonts w:cs="Times New Roman"/>
          <w:szCs w:val="24"/>
        </w:rPr>
        <w:t>rgument in Opposition to Fee Imposition</w:t>
      </w:r>
      <w:bookmarkEnd w:id="41"/>
      <w:bookmarkEnd w:id="40"/>
      <w:bookmarkEnd w:id="37"/>
      <w:bookmarkEnd w:id="38"/>
      <w:bookmarkEnd w:id="39"/>
    </w:p>
    <w:p w:rsidR="00133C84" w:rsidRPr="002B1D93" w:rsidP="00F42F0B">
      <w:pPr>
        <w:pStyle w:val="ListParagraph"/>
      </w:pPr>
      <w:r w:rsidRPr="002B1D93">
        <w:tab/>
        <w:t xml:space="preserve">The issue of </w:t>
      </w:r>
      <w:r w:rsidRPr="002B1D93" w:rsidR="003A291C">
        <w:t xml:space="preserve">Staff </w:t>
      </w:r>
      <w:r w:rsidRPr="002B1D93">
        <w:t>i</w:t>
      </w:r>
      <w:r w:rsidRPr="002B1D93" w:rsidR="006526BB">
        <w:t>nvestigation fee imposition is</w:t>
      </w:r>
      <w:r w:rsidRPr="002B1D93" w:rsidR="006B14CB">
        <w:t xml:space="preserve"> </w:t>
      </w:r>
      <w:r w:rsidRPr="002B1D93" w:rsidR="00B46056">
        <w:t xml:space="preserve">admittedly </w:t>
      </w:r>
      <w:r w:rsidRPr="002B1D93" w:rsidR="006526BB">
        <w:t>nuanced</w:t>
      </w:r>
      <w:r w:rsidR="00891B23">
        <w:t xml:space="preserve">. </w:t>
      </w:r>
      <w:r w:rsidRPr="002B1D93">
        <w:t xml:space="preserve"> </w:t>
      </w:r>
      <w:r w:rsidR="00891B23">
        <w:t>A</w:t>
      </w:r>
      <w:r w:rsidRPr="002B1D93">
        <w:t>s the Company acknowledged on rebuttal,</w:t>
      </w:r>
      <w:r w:rsidRPr="002B1D93">
        <w:rPr>
          <w:rStyle w:val="FootnoteReference"/>
        </w:rPr>
        <w:t xml:space="preserve"> </w:t>
      </w:r>
      <w:r>
        <w:rPr>
          <w:rStyle w:val="FootnoteReference"/>
        </w:rPr>
        <w:footnoteReference w:id="15"/>
      </w:r>
      <w:r w:rsidRPr="002B1D93">
        <w:t xml:space="preserve"> the Commission</w:t>
      </w:r>
      <w:r w:rsidRPr="002B1D93" w:rsidR="0036417C">
        <w:t>,</w:t>
      </w:r>
      <w:r w:rsidRPr="002B1D93">
        <w:t xml:space="preserve"> under </w:t>
      </w:r>
      <w:r w:rsidRPr="002B1D93" w:rsidR="003A291C">
        <w:t>RCW 81.20</w:t>
      </w:r>
      <w:r w:rsidRPr="002B1D93">
        <w:t>.0</w:t>
      </w:r>
      <w:r w:rsidRPr="002B1D93" w:rsidR="003A291C">
        <w:t>2</w:t>
      </w:r>
      <w:r w:rsidRPr="002B1D93">
        <w:t>0</w:t>
      </w:r>
      <w:r w:rsidRPr="002B1D93" w:rsidR="0036417C">
        <w:t>,</w:t>
      </w:r>
      <w:r w:rsidRPr="002B1D93">
        <w:t xml:space="preserve"> has the absolute right to impose an investigation fee after suspension. </w:t>
      </w:r>
      <w:r w:rsidRPr="002B1D93" w:rsidR="003A291C">
        <w:t xml:space="preserve"> </w:t>
      </w:r>
      <w:r w:rsidRPr="002B1D93">
        <w:t>Indeed</w:t>
      </w:r>
      <w:r w:rsidRPr="002B1D93" w:rsidR="00952002">
        <w:t>,</w:t>
      </w:r>
      <w:r w:rsidRPr="002B1D93">
        <w:t xml:space="preserve"> the Commission</w:t>
      </w:r>
      <w:r w:rsidRPr="002B1D93" w:rsidR="00195DD9">
        <w:t>,</w:t>
      </w:r>
      <w:r w:rsidRPr="002B1D93" w:rsidR="003A291C">
        <w:t xml:space="preserve"> in</w:t>
      </w:r>
      <w:r w:rsidRPr="002B1D93">
        <w:t xml:space="preserve"> </w:t>
      </w:r>
      <w:r w:rsidRPr="002B1D93" w:rsidR="003A291C">
        <w:t xml:space="preserve">sections </w:t>
      </w:r>
      <w:r w:rsidRPr="002B1D93">
        <w:t>of form orders suspending solid waste general rate cases</w:t>
      </w:r>
      <w:r w:rsidRPr="002B1D93" w:rsidR="00952002">
        <w:t>,</w:t>
      </w:r>
      <w:r w:rsidRPr="002B1D93" w:rsidR="003A291C">
        <w:t xml:space="preserve"> often</w:t>
      </w:r>
      <w:r w:rsidRPr="002B1D93">
        <w:t xml:space="preserve"> </w:t>
      </w:r>
      <w:r w:rsidRPr="002B1D93" w:rsidR="00952002">
        <w:t>cites</w:t>
      </w:r>
      <w:r w:rsidRPr="002B1D93">
        <w:t xml:space="preserve"> that statutory provision</w:t>
      </w:r>
      <w:r w:rsidRPr="002B1D93" w:rsidR="003A291C">
        <w:t xml:space="preserve">, and </w:t>
      </w:r>
      <w:r w:rsidRPr="002B1D93" w:rsidR="001A1696">
        <w:t xml:space="preserve">warns </w:t>
      </w:r>
      <w:r w:rsidRPr="002B1D93">
        <w:t xml:space="preserve">typically that it </w:t>
      </w:r>
      <w:r w:rsidRPr="002B1D93" w:rsidR="003A291C">
        <w:t>“</w:t>
      </w:r>
      <w:r w:rsidRPr="002B1D93">
        <w:t>may</w:t>
      </w:r>
      <w:r w:rsidRPr="002B1D93" w:rsidR="003A291C">
        <w:t>”</w:t>
      </w:r>
      <w:r w:rsidRPr="002B1D93">
        <w:t xml:space="preserve"> or </w:t>
      </w:r>
      <w:r w:rsidRPr="002B1D93" w:rsidR="003A291C">
        <w:t>“</w:t>
      </w:r>
      <w:r w:rsidRPr="002B1D93">
        <w:t>will</w:t>
      </w:r>
      <w:r w:rsidRPr="002B1D93" w:rsidR="003A291C">
        <w:t>”</w:t>
      </w:r>
      <w:r w:rsidRPr="002B1D93">
        <w:t xml:space="preserve"> impose investigation fees for the audit and Staff costs associated therewith.</w:t>
      </w:r>
      <w:r w:rsidRPr="002B1D93" w:rsidR="00C52EA7">
        <w:rPr>
          <w:rStyle w:val="FootnoteReference"/>
        </w:rPr>
        <w:t xml:space="preserve"> </w:t>
      </w:r>
      <w:r>
        <w:rPr>
          <w:rStyle w:val="FootnoteReference"/>
        </w:rPr>
        <w:footnoteReference w:id="16"/>
      </w:r>
      <w:r w:rsidRPr="002B1D93">
        <w:t xml:space="preserve">  </w:t>
      </w:r>
      <w:r w:rsidRPr="002B1D93" w:rsidR="001A1696">
        <w:t xml:space="preserve">However, even when </w:t>
      </w:r>
      <w:r w:rsidRPr="002B1D93" w:rsidR="00952002">
        <w:t xml:space="preserve">actual </w:t>
      </w:r>
      <w:r w:rsidRPr="002B1D93" w:rsidR="003A291C">
        <w:t>notice</w:t>
      </w:r>
      <w:r w:rsidRPr="002B1D93" w:rsidR="001A1696">
        <w:t xml:space="preserve"> is provided</w:t>
      </w:r>
      <w:r w:rsidRPr="002B1D93" w:rsidR="003A291C">
        <w:t xml:space="preserve">, </w:t>
      </w:r>
      <w:r w:rsidRPr="002B1D93">
        <w:t xml:space="preserve">this </w:t>
      </w:r>
      <w:r w:rsidRPr="002B1D93" w:rsidR="003A291C">
        <w:t xml:space="preserve">admonition </w:t>
      </w:r>
      <w:r w:rsidRPr="002B1D93" w:rsidR="006526BB">
        <w:t xml:space="preserve">has been </w:t>
      </w:r>
      <w:r w:rsidRPr="002B1D93">
        <w:t xml:space="preserve">honored in the breach and neither Staff </w:t>
      </w:r>
      <w:r w:rsidRPr="002B1D93" w:rsidR="00952002">
        <w:t>n</w:t>
      </w:r>
      <w:r w:rsidRPr="002B1D93">
        <w:t xml:space="preserve">or the Company </w:t>
      </w:r>
      <w:r w:rsidRPr="002B1D93">
        <w:t>are</w:t>
      </w:r>
      <w:r w:rsidRPr="002B1D93">
        <w:t xml:space="preserve"> aware of it ever being imposed on a general rate case proponent previously.</w:t>
      </w:r>
      <w:r>
        <w:rPr>
          <w:rStyle w:val="FootnoteReference"/>
        </w:rPr>
        <w:footnoteReference w:id="17"/>
      </w:r>
    </w:p>
    <w:p w:rsidR="0022340B" w:rsidRPr="002B1D93" w:rsidP="00CC6997">
      <w:pPr>
        <w:pStyle w:val="HEADING10"/>
        <w:rPr>
          <w:szCs w:val="24"/>
        </w:rPr>
      </w:pPr>
      <w:bookmarkStart w:id="42" w:name="_Toc402944395"/>
      <w:bookmarkStart w:id="43" w:name="_Toc403051684"/>
      <w:bookmarkStart w:id="44" w:name="_Toc256000009"/>
      <w:bookmarkStart w:id="45" w:name="_Toc256000024"/>
      <w:r w:rsidRPr="002B1D93">
        <w:rPr>
          <w:szCs w:val="24"/>
        </w:rPr>
        <w:t>rate case cost recovery: pro forma ADJUSTMENT</w:t>
      </w:r>
      <w:r w:rsidRPr="002B1D93" w:rsidR="00B55B71">
        <w:rPr>
          <w:szCs w:val="24"/>
        </w:rPr>
        <w:t>s</w:t>
      </w:r>
      <w:r w:rsidRPr="002B1D93" w:rsidR="00BC2B22">
        <w:rPr>
          <w:szCs w:val="24"/>
        </w:rPr>
        <w:t>,</w:t>
      </w:r>
      <w:r w:rsidRPr="002B1D93">
        <w:rPr>
          <w:szCs w:val="24"/>
        </w:rPr>
        <w:t xml:space="preserve"> </w:t>
      </w:r>
      <w:r w:rsidRPr="002B1D93" w:rsidR="00D55483">
        <w:rPr>
          <w:szCs w:val="24"/>
        </w:rPr>
        <w:t>P-2, P-3</w:t>
      </w:r>
      <w:r w:rsidRPr="002B1D93" w:rsidR="00971548">
        <w:rPr>
          <w:szCs w:val="24"/>
        </w:rPr>
        <w:t>.</w:t>
      </w:r>
      <w:bookmarkEnd w:id="45"/>
      <w:bookmarkEnd w:id="44"/>
      <w:bookmarkEnd w:id="42"/>
      <w:bookmarkEnd w:id="43"/>
    </w:p>
    <w:p w:rsidR="0060553D" w:rsidRPr="002B1D93" w:rsidP="00952CBD">
      <w:pPr>
        <w:pStyle w:val="Heading2"/>
        <w:tabs>
          <w:tab w:val="clear" w:pos="0"/>
        </w:tabs>
        <w:spacing w:after="240"/>
        <w:rPr>
          <w:rFonts w:cs="Times New Roman"/>
          <w:szCs w:val="24"/>
          <w:u w:val="single"/>
        </w:rPr>
      </w:pPr>
      <w:bookmarkStart w:id="46" w:name="_Toc402944396"/>
      <w:bookmarkStart w:id="47" w:name="_Toc402951756"/>
      <w:bookmarkStart w:id="48" w:name="_Toc403051685"/>
      <w:bookmarkStart w:id="49" w:name="_Toc256000010"/>
      <w:bookmarkStart w:id="50" w:name="_Toc256000025"/>
      <w:r w:rsidRPr="002B1D93">
        <w:rPr>
          <w:rFonts w:cs="Times New Roman"/>
          <w:szCs w:val="24"/>
          <w:u w:val="single"/>
        </w:rPr>
        <w:t xml:space="preserve">The Staff </w:t>
      </w:r>
      <w:r w:rsidRPr="002B1D93" w:rsidR="00E144C6">
        <w:rPr>
          <w:rFonts w:cs="Times New Roman"/>
          <w:szCs w:val="24"/>
          <w:u w:val="single"/>
        </w:rPr>
        <w:t>Recommendation t</w:t>
      </w:r>
      <w:r w:rsidRPr="002B1D93" w:rsidR="00195DD9">
        <w:rPr>
          <w:rFonts w:cs="Times New Roman"/>
          <w:szCs w:val="24"/>
          <w:u w:val="single"/>
        </w:rPr>
        <w:t>o Cut t</w:t>
      </w:r>
      <w:r w:rsidRPr="002B1D93" w:rsidR="00E144C6">
        <w:rPr>
          <w:rFonts w:cs="Times New Roman"/>
          <w:szCs w:val="24"/>
          <w:u w:val="single"/>
        </w:rPr>
        <w:t xml:space="preserve">he </w:t>
      </w:r>
      <w:r w:rsidRPr="002B1D93">
        <w:rPr>
          <w:rFonts w:cs="Times New Roman"/>
          <w:szCs w:val="24"/>
          <w:u w:val="single"/>
        </w:rPr>
        <w:t xml:space="preserve">Company’s </w:t>
      </w:r>
      <w:r w:rsidRPr="002B1D93" w:rsidR="00E144C6">
        <w:rPr>
          <w:rFonts w:cs="Times New Roman"/>
          <w:szCs w:val="24"/>
          <w:u w:val="single"/>
        </w:rPr>
        <w:t xml:space="preserve">Rate Case Cost Recovery </w:t>
      </w:r>
      <w:r w:rsidRPr="002B1D93" w:rsidR="00195DD9">
        <w:rPr>
          <w:rFonts w:cs="Times New Roman"/>
          <w:szCs w:val="24"/>
          <w:u w:val="single"/>
        </w:rPr>
        <w:t>f</w:t>
      </w:r>
      <w:r w:rsidRPr="002B1D93" w:rsidR="00E144C6">
        <w:rPr>
          <w:rFonts w:cs="Times New Roman"/>
          <w:szCs w:val="24"/>
          <w:u w:val="single"/>
        </w:rPr>
        <w:t xml:space="preserve">rom </w:t>
      </w:r>
      <w:r w:rsidRPr="002B1D93">
        <w:rPr>
          <w:rFonts w:cs="Times New Roman"/>
          <w:szCs w:val="24"/>
          <w:u w:val="single"/>
        </w:rPr>
        <w:t xml:space="preserve">December </w:t>
      </w:r>
      <w:r w:rsidRPr="002B1D93" w:rsidR="00E144C6">
        <w:rPr>
          <w:rFonts w:cs="Times New Roman"/>
          <w:szCs w:val="24"/>
          <w:u w:val="single"/>
        </w:rPr>
        <w:t>24, 2</w:t>
      </w:r>
      <w:r w:rsidRPr="002B1D93" w:rsidR="00C27BAD">
        <w:rPr>
          <w:rFonts w:cs="Times New Roman"/>
          <w:szCs w:val="24"/>
          <w:u w:val="single"/>
        </w:rPr>
        <w:t>013 to the Present is Arbitrary,</w:t>
      </w:r>
      <w:r w:rsidRPr="002B1D93" w:rsidR="00E144C6">
        <w:rPr>
          <w:rFonts w:cs="Times New Roman"/>
          <w:szCs w:val="24"/>
          <w:u w:val="single"/>
        </w:rPr>
        <w:t xml:space="preserve"> Unsupported by Statute a</w:t>
      </w:r>
      <w:r w:rsidRPr="002B1D93" w:rsidR="00195DD9">
        <w:rPr>
          <w:rFonts w:cs="Times New Roman"/>
          <w:szCs w:val="24"/>
          <w:u w:val="single"/>
        </w:rPr>
        <w:t>nd Reflective</w:t>
      </w:r>
      <w:r w:rsidRPr="002B1D93" w:rsidR="00E144C6">
        <w:rPr>
          <w:rFonts w:cs="Times New Roman"/>
          <w:szCs w:val="24"/>
          <w:u w:val="single"/>
        </w:rPr>
        <w:t xml:space="preserve"> of a Retributive Attitude for Challenging Untried </w:t>
      </w:r>
      <w:r w:rsidRPr="002B1D93">
        <w:rPr>
          <w:rFonts w:cs="Times New Roman"/>
          <w:szCs w:val="24"/>
          <w:u w:val="single"/>
        </w:rPr>
        <w:t xml:space="preserve">Staff </w:t>
      </w:r>
      <w:r w:rsidRPr="002B1D93" w:rsidR="00E144C6">
        <w:rPr>
          <w:rFonts w:cs="Times New Roman"/>
          <w:szCs w:val="24"/>
          <w:u w:val="single"/>
        </w:rPr>
        <w:t>Accounting Adjustments.</w:t>
      </w:r>
      <w:bookmarkEnd w:id="50"/>
      <w:bookmarkEnd w:id="49"/>
      <w:bookmarkEnd w:id="46"/>
      <w:bookmarkEnd w:id="47"/>
      <w:bookmarkEnd w:id="48"/>
    </w:p>
    <w:p w:rsidR="00E93949" w:rsidRPr="002B1D93" w:rsidP="00385384">
      <w:pPr>
        <w:pStyle w:val="Heading2"/>
        <w:tabs>
          <w:tab w:val="clear" w:pos="0"/>
        </w:tabs>
        <w:spacing w:before="240" w:after="240"/>
        <w:rPr>
          <w:rFonts w:cs="Times New Roman"/>
          <w:szCs w:val="24"/>
        </w:rPr>
      </w:pPr>
      <w:bookmarkStart w:id="51" w:name="_Toc402944397"/>
      <w:bookmarkStart w:id="52" w:name="_Toc402951757"/>
      <w:bookmarkStart w:id="53" w:name="_Toc403051686"/>
      <w:bookmarkStart w:id="54" w:name="_Toc256000011"/>
      <w:bookmarkStart w:id="55" w:name="_Toc256000026"/>
      <w:r w:rsidRPr="002B1D93">
        <w:rPr>
          <w:rFonts w:cs="Times New Roman"/>
          <w:szCs w:val="24"/>
        </w:rPr>
        <w:t>A.  Factual Background</w:t>
      </w:r>
      <w:bookmarkEnd w:id="55"/>
      <w:bookmarkEnd w:id="54"/>
      <w:bookmarkEnd w:id="51"/>
      <w:bookmarkEnd w:id="52"/>
      <w:bookmarkEnd w:id="53"/>
    </w:p>
    <w:p w:rsidR="00AF5484" w:rsidRPr="002B1D93" w:rsidP="00F42F0B">
      <w:pPr>
        <w:pStyle w:val="ListParagraph"/>
      </w:pPr>
      <w:r w:rsidRPr="002B1D93">
        <w:tab/>
      </w:r>
      <w:r w:rsidRPr="002B1D93" w:rsidR="007777FC">
        <w:t xml:space="preserve">As for the </w:t>
      </w:r>
      <w:r w:rsidRPr="002B1D93">
        <w:t xml:space="preserve">remaining </w:t>
      </w:r>
      <w:r w:rsidRPr="002B1D93" w:rsidR="006526BB">
        <w:t xml:space="preserve">sharp </w:t>
      </w:r>
      <w:r w:rsidRPr="002B1D93">
        <w:t xml:space="preserve">dispute </w:t>
      </w:r>
      <w:r w:rsidRPr="002B1D93" w:rsidR="007777FC">
        <w:t xml:space="preserve">about rate case cost recovery in this matter, the Staff’s position and </w:t>
      </w:r>
      <w:r w:rsidRPr="002B1D93" w:rsidR="00C04B09">
        <w:t xml:space="preserve">that </w:t>
      </w:r>
      <w:r w:rsidRPr="002B1D93" w:rsidR="007777FC">
        <w:t xml:space="preserve">of the Company have been </w:t>
      </w:r>
      <w:r w:rsidRPr="002B1D93" w:rsidR="0001069C">
        <w:t xml:space="preserve">succinctly </w:t>
      </w:r>
      <w:r w:rsidRPr="002B1D93" w:rsidR="007777FC">
        <w:t xml:space="preserve">framed in the October 23, 2014 Joint Motion filed by the parties, to wit: </w:t>
      </w:r>
      <w:r w:rsidRPr="002B1D93" w:rsidR="00210108">
        <w:t xml:space="preserve">the Staff </w:t>
      </w:r>
      <w:r w:rsidRPr="002B1D93" w:rsidR="006526BB">
        <w:t xml:space="preserve">seeks </w:t>
      </w:r>
      <w:r w:rsidRPr="002B1D93" w:rsidR="00210108">
        <w:t>to allow rate case cost recovery at 50%</w:t>
      </w:r>
      <w:r w:rsidR="00041B52">
        <w:t>, only,</w:t>
      </w:r>
      <w:r w:rsidRPr="002B1D93" w:rsidR="00210108">
        <w:t xml:space="preserve"> after December 24, 2013</w:t>
      </w:r>
      <w:r w:rsidR="00B257C8">
        <w:t xml:space="preserve"> and only over a five-year amortization period.  T</w:t>
      </w:r>
      <w:r w:rsidRPr="002B1D93" w:rsidR="007777FC">
        <w:t>he Company seeks to recover all reasonable rate case</w:t>
      </w:r>
      <w:r w:rsidRPr="002B1D93" w:rsidR="002C4F8D">
        <w:t>-</w:t>
      </w:r>
      <w:r w:rsidRPr="002B1D93" w:rsidR="007777FC">
        <w:t xml:space="preserve">related </w:t>
      </w:r>
      <w:r w:rsidRPr="002B1D93" w:rsidR="00525F43">
        <w:t>expenses</w:t>
      </w:r>
      <w:r w:rsidRPr="002B1D93" w:rsidR="00130302">
        <w:t xml:space="preserve"> </w:t>
      </w:r>
      <w:r w:rsidRPr="002B1D93" w:rsidR="007777FC">
        <w:t>since the original filing of TG-13</w:t>
      </w:r>
      <w:r w:rsidRPr="002B1D93">
        <w:t>1794 in September, 2013</w:t>
      </w:r>
      <w:r w:rsidR="00B257C8">
        <w:t xml:space="preserve"> and recover them over a four-year period</w:t>
      </w:r>
      <w:r w:rsidRPr="002B1D93">
        <w:t xml:space="preserve">.  </w:t>
      </w:r>
      <w:r w:rsidRPr="002B1D93" w:rsidR="006044DD">
        <w:t xml:space="preserve">Prior to </w:t>
      </w:r>
      <w:r w:rsidRPr="002B1D93">
        <w:t xml:space="preserve">November, 2013, </w:t>
      </w:r>
      <w:r w:rsidRPr="002B1D93" w:rsidR="00210108">
        <w:t xml:space="preserve">those </w:t>
      </w:r>
      <w:r w:rsidRPr="002B1D93" w:rsidR="0001069C">
        <w:t xml:space="preserve">expenses </w:t>
      </w:r>
      <w:r w:rsidR="00B257C8">
        <w:t xml:space="preserve">amounted </w:t>
      </w:r>
      <w:r w:rsidRPr="002B1D93" w:rsidR="00C04B09">
        <w:t xml:space="preserve">only </w:t>
      </w:r>
      <w:r w:rsidR="00B257C8">
        <w:t xml:space="preserve">to </w:t>
      </w:r>
      <w:r w:rsidRPr="002B1D93" w:rsidR="007777FC">
        <w:t>outside accounting costs</w:t>
      </w:r>
      <w:r w:rsidRPr="002B1D93" w:rsidR="00210108">
        <w:t>,</w:t>
      </w:r>
      <w:r w:rsidRPr="002B1D93" w:rsidR="007777FC">
        <w:t xml:space="preserve"> as the Staff and the Company engaged in extensive audit informal discovery, site visits and other back and forth exchanges which are very typical of solid waste general rate filings</w:t>
      </w:r>
      <w:r w:rsidRPr="002B1D93" w:rsidR="00130302">
        <w:t xml:space="preserve"> at that stage</w:t>
      </w:r>
      <w:r w:rsidRPr="002B1D93" w:rsidR="007777FC">
        <w:t>.</w:t>
      </w:r>
      <w:r>
        <w:rPr>
          <w:vertAlign w:val="superscript"/>
        </w:rPr>
        <w:footnoteReference w:id="18"/>
      </w:r>
      <w:r w:rsidRPr="002B1D93" w:rsidR="007777FC">
        <w:rPr>
          <w:vertAlign w:val="superscript"/>
        </w:rPr>
        <w:t xml:space="preserve"> </w:t>
      </w:r>
      <w:r w:rsidRPr="002B1D93" w:rsidR="007777FC">
        <w:t xml:space="preserve"> </w:t>
      </w:r>
      <w:r w:rsidRPr="002B1D93" w:rsidR="006B14CB">
        <w:t>But</w:t>
      </w:r>
      <w:r w:rsidRPr="002B1D93" w:rsidR="00130302">
        <w:t xml:space="preserve">, by </w:t>
      </w:r>
      <w:r w:rsidRPr="002B1D93" w:rsidR="0001069C">
        <w:t>mid-November</w:t>
      </w:r>
      <w:r w:rsidRPr="002B1D93" w:rsidR="00130302">
        <w:t>/early D</w:t>
      </w:r>
      <w:r w:rsidRPr="002B1D93" w:rsidR="006044DD">
        <w:t>ecember 2013 and the November 27</w:t>
      </w:r>
      <w:r w:rsidRPr="002B1D93" w:rsidR="00130302">
        <w:t>, 2013 initial suspension of TG-</w:t>
      </w:r>
      <w:r w:rsidRPr="002B1D93" w:rsidR="00130302">
        <w:t>131794,</w:t>
      </w:r>
      <w:r w:rsidRPr="002B1D93" w:rsidR="00130302">
        <w:t xml:space="preserve"> special counsel was </w:t>
      </w:r>
      <w:r w:rsidRPr="002B1D93" w:rsidR="006526BB">
        <w:t xml:space="preserve">formally </w:t>
      </w:r>
      <w:r w:rsidRPr="002B1D93" w:rsidR="00130302">
        <w:t>retained for work on the increasingly contested rate filing.</w:t>
      </w:r>
      <w:r>
        <w:rPr>
          <w:vertAlign w:val="superscript"/>
        </w:rPr>
        <w:footnoteReference w:id="19"/>
      </w:r>
    </w:p>
    <w:p w:rsidR="00C0736E" w:rsidRPr="002B1D93" w:rsidP="00F42F0B">
      <w:pPr>
        <w:pStyle w:val="ListParagraph"/>
      </w:pPr>
      <w:r w:rsidRPr="002B1D93">
        <w:tab/>
      </w:r>
      <w:r w:rsidRPr="002B1D93" w:rsidR="007777FC">
        <w:t xml:space="preserve"> As of </w:t>
      </w:r>
      <w:r w:rsidRPr="002B1D93" w:rsidR="00AF5484">
        <w:t xml:space="preserve">September 1, 2014, </w:t>
      </w:r>
      <w:r w:rsidRPr="002B1D93" w:rsidR="007777FC">
        <w:t xml:space="preserve">rate </w:t>
      </w:r>
      <w:r w:rsidRPr="002B1D93" w:rsidR="00B30A0D">
        <w:t xml:space="preserve">case </w:t>
      </w:r>
      <w:r w:rsidRPr="002B1D93" w:rsidR="007777FC">
        <w:t xml:space="preserve">costs for accounting amounted to </w:t>
      </w:r>
      <w:r w:rsidRPr="002B1D93" w:rsidR="00D55483">
        <w:t xml:space="preserve">$200,229.70 </w:t>
      </w:r>
      <w:r w:rsidRPr="002B1D93" w:rsidR="007777FC">
        <w:t xml:space="preserve">and for legal </w:t>
      </w:r>
      <w:r w:rsidRPr="002B1D93" w:rsidR="006526BB">
        <w:t xml:space="preserve">fees </w:t>
      </w:r>
      <w:r w:rsidRPr="002B1D93" w:rsidR="007777FC">
        <w:t>amounted to</w:t>
      </w:r>
      <w:r w:rsidRPr="002B1D93" w:rsidR="00971548">
        <w:t xml:space="preserve"> $</w:t>
      </w:r>
      <w:r w:rsidRPr="002B1D93" w:rsidR="00753E21">
        <w:t>223,337.79</w:t>
      </w:r>
      <w:r w:rsidR="00B257C8">
        <w:t>.  T</w:t>
      </w:r>
      <w:r w:rsidRPr="002B1D93" w:rsidR="007777FC">
        <w:t xml:space="preserve">he Company </w:t>
      </w:r>
      <w:r w:rsidR="00B257C8">
        <w:t xml:space="preserve">seeks </w:t>
      </w:r>
      <w:r w:rsidRPr="002B1D93" w:rsidR="007777FC">
        <w:t xml:space="preserve">to </w:t>
      </w:r>
      <w:r w:rsidRPr="002B1D93" w:rsidR="008F446A">
        <w:t xml:space="preserve">recover </w:t>
      </w:r>
      <w:r w:rsidR="00B257C8">
        <w:t xml:space="preserve">these rate case expenses </w:t>
      </w:r>
      <w:r w:rsidRPr="002B1D93" w:rsidR="008F446A">
        <w:t xml:space="preserve">in rates </w:t>
      </w:r>
      <w:r w:rsidR="00B257C8">
        <w:t>proposing</w:t>
      </w:r>
      <w:r w:rsidR="00891B23">
        <w:t xml:space="preserve"> a</w:t>
      </w:r>
      <w:r w:rsidR="00B257C8">
        <w:t xml:space="preserve"> </w:t>
      </w:r>
      <w:r w:rsidRPr="002B1D93" w:rsidR="007777FC">
        <w:t xml:space="preserve">four-year amortization period </w:t>
      </w:r>
      <w:r w:rsidRPr="002B1D93" w:rsidR="005D21B9">
        <w:t>for recovery</w:t>
      </w:r>
      <w:r w:rsidR="00B257C8">
        <w:t xml:space="preserve"> to</w:t>
      </w:r>
      <w:r w:rsidRPr="002B1D93" w:rsidR="005D21B9">
        <w:t xml:space="preserve"> </w:t>
      </w:r>
      <w:r w:rsidRPr="002B1D93" w:rsidR="007777FC">
        <w:t xml:space="preserve">reflect </w:t>
      </w:r>
      <w:r w:rsidRPr="002B1D93" w:rsidR="00130302">
        <w:t xml:space="preserve">a </w:t>
      </w:r>
      <w:r w:rsidRPr="002B1D93" w:rsidR="007777FC">
        <w:t xml:space="preserve">recent </w:t>
      </w:r>
      <w:r w:rsidRPr="002B1D93" w:rsidR="007777FC">
        <w:t>pattern of intervals between general rate case filings</w:t>
      </w:r>
      <w:r w:rsidRPr="002B1D93" w:rsidR="00AF5484">
        <w:t xml:space="preserve"> for WCI</w:t>
      </w:r>
      <w:r w:rsidRPr="002B1D93" w:rsidR="0001069C">
        <w:t>.</w:t>
      </w:r>
      <w:r>
        <w:rPr>
          <w:rStyle w:val="FootnoteReference"/>
        </w:rPr>
        <w:footnoteReference w:id="20"/>
      </w:r>
      <w:r w:rsidRPr="002B1D93" w:rsidR="0001069C">
        <w:t xml:space="preserve">  The Staff </w:t>
      </w:r>
      <w:r w:rsidRPr="002B1D93" w:rsidR="00210108">
        <w:t>recommendation of 50% rate case cost recovery from December 24, 2013,</w:t>
      </w:r>
      <w:r>
        <w:rPr>
          <w:vertAlign w:val="superscript"/>
        </w:rPr>
        <w:footnoteReference w:id="21"/>
      </w:r>
      <w:r w:rsidRPr="002B1D93" w:rsidR="00210108">
        <w:rPr>
          <w:vertAlign w:val="superscript"/>
        </w:rPr>
        <w:t xml:space="preserve"> </w:t>
      </w:r>
      <w:r w:rsidRPr="002B1D93" w:rsidR="00210108">
        <w:t>is</w:t>
      </w:r>
      <w:r w:rsidRPr="002B1D93" w:rsidR="007777FC">
        <w:t xml:space="preserve"> </w:t>
      </w:r>
      <w:r w:rsidRPr="002B1D93" w:rsidR="002C4F8D">
        <w:t xml:space="preserve">apparently </w:t>
      </w:r>
      <w:r w:rsidRPr="002B1D93" w:rsidR="006044DD">
        <w:t xml:space="preserve">pursuant to </w:t>
      </w:r>
      <w:r w:rsidRPr="002B1D93" w:rsidR="007777FC">
        <w:t xml:space="preserve">a professed theory that the Company should be </w:t>
      </w:r>
      <w:r w:rsidRPr="002B1D93" w:rsidR="00130302">
        <w:t xml:space="preserve">assessed </w:t>
      </w:r>
      <w:r w:rsidRPr="002B1D93" w:rsidR="007777FC">
        <w:t>from that point on for the complexity of the case brought about largely on the occasion of the Staff’s filing of the Motion to Dismiss on March 5, 2014</w:t>
      </w:r>
      <w:r w:rsidRPr="002B1D93" w:rsidR="005D21B9">
        <w:t>,</w:t>
      </w:r>
      <w:r w:rsidRPr="002B1D93" w:rsidR="007777FC">
        <w:t xml:space="preserve"> </w:t>
      </w:r>
      <w:r w:rsidRPr="002B1D93" w:rsidR="005D21B9">
        <w:t xml:space="preserve">granted </w:t>
      </w:r>
      <w:r w:rsidRPr="002B1D93" w:rsidR="007777FC">
        <w:t>March 25, 2014 by the Commission.</w:t>
      </w:r>
      <w:r>
        <w:rPr>
          <w:rStyle w:val="FootnoteReference"/>
        </w:rPr>
        <w:footnoteReference w:id="22"/>
      </w:r>
      <w:r w:rsidRPr="002B1D93" w:rsidR="007777FC">
        <w:t xml:space="preserve">  </w:t>
      </w:r>
    </w:p>
    <w:p w:rsidR="00471E5D" w:rsidRPr="002B1D93" w:rsidP="00F42F0B">
      <w:pPr>
        <w:pStyle w:val="ListParagraph"/>
      </w:pPr>
      <w:r w:rsidRPr="002B1D93">
        <w:tab/>
      </w:r>
      <w:r w:rsidRPr="002B1D93" w:rsidR="005D21B9">
        <w:t>Both</w:t>
      </w:r>
      <w:r w:rsidRPr="002B1D93" w:rsidR="007777FC">
        <w:t xml:space="preserve"> parties have </w:t>
      </w:r>
      <w:r w:rsidRPr="002B1D93" w:rsidR="00130302">
        <w:t xml:space="preserve">previously </w:t>
      </w:r>
      <w:r w:rsidRPr="002B1D93" w:rsidR="00C0736E">
        <w:t xml:space="preserve">specifically </w:t>
      </w:r>
      <w:r w:rsidRPr="002B1D93" w:rsidR="007777FC">
        <w:t xml:space="preserve">addressed the theory of </w:t>
      </w:r>
      <w:r w:rsidRPr="002B1D93" w:rsidR="00C0736E">
        <w:t xml:space="preserve">rate case cost </w:t>
      </w:r>
      <w:r w:rsidRPr="002B1D93" w:rsidR="007777FC">
        <w:t xml:space="preserve">disallowance </w:t>
      </w:r>
      <w:r w:rsidRPr="002B1D93" w:rsidR="005D21B9">
        <w:t>in</w:t>
      </w:r>
      <w:r w:rsidRPr="002B1D93" w:rsidR="007777FC">
        <w:t xml:space="preserve"> Exhibit MC-1T pages 46-49</w:t>
      </w:r>
      <w:r w:rsidRPr="002B1D93" w:rsidR="00C0736E">
        <w:t>,</w:t>
      </w:r>
      <w:r w:rsidRPr="002B1D93" w:rsidR="007777FC">
        <w:t xml:space="preserve"> and</w:t>
      </w:r>
      <w:r w:rsidRPr="002B1D93" w:rsidR="005D21B9">
        <w:t>,</w:t>
      </w:r>
      <w:r w:rsidRPr="002B1D93" w:rsidR="007777FC">
        <w:t xml:space="preserve"> for the Company particularly on rebuttal</w:t>
      </w:r>
      <w:r w:rsidRPr="002B1D93" w:rsidR="00130302">
        <w:t>,</w:t>
      </w:r>
      <w:r w:rsidRPr="002B1D93" w:rsidR="007777FC">
        <w:t xml:space="preserve"> </w:t>
      </w:r>
      <w:r w:rsidRPr="002B1D93" w:rsidR="00C0736E">
        <w:t>i</w:t>
      </w:r>
      <w:r w:rsidRPr="002B1D93" w:rsidR="007777FC">
        <w:t>n Exhibit JD-41T at pages 44-51 and in Exhibits JD-47 and 48</w:t>
      </w:r>
      <w:r w:rsidRPr="002B1D93" w:rsidR="00DB3B97">
        <w:t>,</w:t>
      </w:r>
      <w:r w:rsidRPr="002B1D93" w:rsidR="007777FC">
        <w:t xml:space="preserve"> which </w:t>
      </w:r>
      <w:r w:rsidRPr="002B1D93" w:rsidR="005D21B9">
        <w:t xml:space="preserve">exhibits </w:t>
      </w:r>
      <w:r w:rsidRPr="002B1D93" w:rsidR="007777FC">
        <w:t xml:space="preserve">provide </w:t>
      </w:r>
      <w:r w:rsidRPr="002B1D93" w:rsidR="00C0736E">
        <w:t xml:space="preserve">calendar year </w:t>
      </w:r>
      <w:r w:rsidRPr="002B1D93" w:rsidR="007777FC">
        <w:t>2014 rate case expenses from January 1, 2014 through the end of July (the last complete calendar month before rebuttal testimony was filed)</w:t>
      </w:r>
      <w:r w:rsidRPr="002B1D93" w:rsidR="00130302">
        <w:t>,</w:t>
      </w:r>
      <w:r w:rsidRPr="002B1D93" w:rsidR="007777FC">
        <w:t xml:space="preserve"> and in </w:t>
      </w:r>
      <w:r w:rsidRPr="002B1D93" w:rsidR="00C0736E">
        <w:t xml:space="preserve">Exhibit </w:t>
      </w:r>
      <w:r w:rsidRPr="002B1D93" w:rsidR="007777FC">
        <w:t>JD 48</w:t>
      </w:r>
      <w:r w:rsidRPr="002B1D93" w:rsidR="00C0736E">
        <w:t>, a</w:t>
      </w:r>
      <w:r w:rsidRPr="002B1D93" w:rsidR="007777FC">
        <w:t xml:space="preserve"> summary of “Professiona</w:t>
      </w:r>
      <w:r w:rsidRPr="002B1D93" w:rsidR="005D21B9">
        <w:t xml:space="preserve">l </w:t>
      </w:r>
      <w:r w:rsidR="00B20896">
        <w:t xml:space="preserve">Fee </w:t>
      </w:r>
      <w:r w:rsidRPr="002B1D93" w:rsidR="005D21B9">
        <w:t>Unilateral Reductions Applied</w:t>
      </w:r>
      <w:r w:rsidRPr="002B1D93" w:rsidR="007777FC">
        <w:t>”</w:t>
      </w:r>
      <w:r w:rsidRPr="002B1D93" w:rsidR="005D21B9">
        <w:t xml:space="preserve"> which </w:t>
      </w:r>
      <w:r w:rsidRPr="002B1D93" w:rsidR="00130302">
        <w:t xml:space="preserve">present </w:t>
      </w:r>
      <w:r w:rsidRPr="002B1D93" w:rsidR="005D21B9">
        <w:t>unilateral reduction of rate case costs to</w:t>
      </w:r>
      <w:r w:rsidRPr="002B1D93" w:rsidR="006044DD">
        <w:t xml:space="preserve"> that point</w:t>
      </w:r>
      <w:r w:rsidRPr="002B1D93" w:rsidR="005D21B9">
        <w:t>.</w:t>
      </w:r>
      <w:r>
        <w:rPr>
          <w:rStyle w:val="FootnoteReference"/>
        </w:rPr>
        <w:footnoteReference w:id="23"/>
      </w:r>
      <w:r w:rsidRPr="002B1D93" w:rsidR="007777FC">
        <w:t xml:space="preserve">  The Staff, for its part</w:t>
      </w:r>
      <w:r w:rsidRPr="002B1D93" w:rsidR="006B14CB">
        <w:t xml:space="preserve"> again</w:t>
      </w:r>
      <w:r w:rsidRPr="002B1D93" w:rsidR="00C0736E">
        <w:t>,</w:t>
      </w:r>
      <w:r w:rsidRPr="002B1D93" w:rsidR="007777FC">
        <w:t xml:space="preserve"> does </w:t>
      </w:r>
      <w:r w:rsidRPr="002B1D93" w:rsidR="00130302">
        <w:t xml:space="preserve">not </w:t>
      </w:r>
      <w:r w:rsidRPr="002B1D93" w:rsidR="007777FC">
        <w:t xml:space="preserve">contest the </w:t>
      </w:r>
      <w:r w:rsidRPr="002B1D93" w:rsidR="00C0736E">
        <w:t xml:space="preserve">cumulative total </w:t>
      </w:r>
      <w:r w:rsidRPr="002B1D93" w:rsidR="007777FC">
        <w:t>amount of time or the hourly rates assessed</w:t>
      </w:r>
      <w:r w:rsidR="00F74DC4">
        <w:t xml:space="preserve">.  </w:t>
      </w:r>
      <w:r w:rsidR="00131284">
        <w:t>Nevertheless</w:t>
      </w:r>
      <w:r w:rsidR="00F74DC4">
        <w:t xml:space="preserve">, Staff uses other means to reduce the amounts allowed, which are arbitrary and lacking any rational basis.  It </w:t>
      </w:r>
      <w:r w:rsidRPr="002B1D93" w:rsidR="007777FC">
        <w:t>proposes halving rate case costs from December 24, 201</w:t>
      </w:r>
      <w:r w:rsidRPr="002B1D93" w:rsidR="005D21B9">
        <w:t>3</w:t>
      </w:r>
      <w:r w:rsidRPr="002B1D93" w:rsidR="007777FC">
        <w:t xml:space="preserve"> forward (</w:t>
      </w:r>
      <w:r w:rsidRPr="002B1D93" w:rsidR="00DB3B97">
        <w:t xml:space="preserve">to </w:t>
      </w:r>
      <w:r w:rsidRPr="002B1D93" w:rsidR="005D21B9">
        <w:t>whatever the</w:t>
      </w:r>
      <w:r w:rsidRPr="002B1D93" w:rsidR="007777FC">
        <w:t xml:space="preserve"> future date </w:t>
      </w:r>
      <w:r w:rsidRPr="002B1D93" w:rsidR="00210108">
        <w:t xml:space="preserve">the </w:t>
      </w:r>
      <w:r w:rsidRPr="002B1D93" w:rsidR="005D21B9">
        <w:t xml:space="preserve">case </w:t>
      </w:r>
      <w:r w:rsidRPr="002B1D93" w:rsidR="007777FC">
        <w:t>is concluded).</w:t>
      </w:r>
      <w:r>
        <w:rPr>
          <w:vertAlign w:val="superscript"/>
        </w:rPr>
        <w:footnoteReference w:id="24"/>
      </w:r>
      <w:r w:rsidRPr="002B1D93" w:rsidR="006044DD">
        <w:t xml:space="preserve">  </w:t>
      </w:r>
      <w:r w:rsidR="00131284">
        <w:t xml:space="preserve">As noted, the </w:t>
      </w:r>
      <w:r w:rsidRPr="002B1D93" w:rsidR="006044DD">
        <w:t xml:space="preserve">parties also disagree about the </w:t>
      </w:r>
      <w:r w:rsidR="00131284">
        <w:t xml:space="preserve">appropriate </w:t>
      </w:r>
      <w:r w:rsidRPr="002B1D93" w:rsidR="006044DD">
        <w:t>period for amortizing rate case costs</w:t>
      </w:r>
      <w:r w:rsidR="00131284">
        <w:t>.</w:t>
      </w:r>
    </w:p>
    <w:p w:rsidR="00BC2B22" w:rsidRPr="002B1D93" w:rsidP="00F42F0B">
      <w:pPr>
        <w:pStyle w:val="Heading2"/>
        <w:tabs>
          <w:tab w:val="clear" w:pos="0"/>
        </w:tabs>
        <w:spacing w:before="120" w:after="240"/>
        <w:rPr>
          <w:rFonts w:cs="Times New Roman"/>
          <w:szCs w:val="24"/>
        </w:rPr>
      </w:pPr>
      <w:bookmarkStart w:id="56" w:name="_Toc402944398"/>
      <w:bookmarkStart w:id="57" w:name="_Toc402951758"/>
      <w:bookmarkStart w:id="58" w:name="_Toc403051687"/>
      <w:bookmarkStart w:id="59" w:name="_Toc256000012"/>
      <w:bookmarkStart w:id="60" w:name="_Toc256000027"/>
      <w:r w:rsidRPr="002B1D93">
        <w:rPr>
          <w:rFonts w:cs="Times New Roman"/>
          <w:szCs w:val="24"/>
        </w:rPr>
        <w:t>B.  Jackie Davis Supplemental Testimony on Rate Case Cost Recovery</w:t>
      </w:r>
      <w:bookmarkEnd w:id="60"/>
      <w:bookmarkEnd w:id="59"/>
      <w:bookmarkEnd w:id="56"/>
      <w:bookmarkEnd w:id="57"/>
      <w:bookmarkEnd w:id="58"/>
    </w:p>
    <w:p w:rsidR="00B30A0D" w:rsidRPr="002B1D93" w:rsidP="00F42F0B">
      <w:pPr>
        <w:pStyle w:val="ListParagraph"/>
      </w:pPr>
      <w:r w:rsidRPr="002B1D93">
        <w:tab/>
        <w:t>The Company’s accountant, Jacqueline Davis, testified previously in Exhibits JD-1T and JD-41T on all various issues either proposed for settlement or still contested in this proceeding.  Attached hereto as proposed Exhibit JD-50T</w:t>
      </w:r>
      <w:r w:rsidRPr="002B1D93" w:rsidR="00210108">
        <w:t>,</w:t>
      </w:r>
      <w:r w:rsidRPr="002B1D93">
        <w:t xml:space="preserve"> however</w:t>
      </w:r>
      <w:r w:rsidRPr="002B1D93" w:rsidR="00210108">
        <w:t>,</w:t>
      </w:r>
      <w:r w:rsidRPr="002B1D93">
        <w:t xml:space="preserve"> is supplemental testimony </w:t>
      </w:r>
      <w:r w:rsidRPr="002B1D93" w:rsidR="008F446A">
        <w:t xml:space="preserve">illustrating </w:t>
      </w:r>
      <w:r w:rsidRPr="002B1D93">
        <w:t xml:space="preserve">how </w:t>
      </w:r>
      <w:r w:rsidRPr="002B1D93" w:rsidR="002C4F8D">
        <w:t xml:space="preserve">Company </w:t>
      </w:r>
      <w:r w:rsidRPr="002B1D93">
        <w:t>rate case expenses increased over thi</w:t>
      </w:r>
      <w:r w:rsidRPr="002B1D93" w:rsidR="00971548">
        <w:t xml:space="preserve">s year.  </w:t>
      </w:r>
      <w:r w:rsidRPr="002B1D93">
        <w:t>In the supplemental testimony, s</w:t>
      </w:r>
      <w:r w:rsidRPr="002B1D93" w:rsidR="00971548">
        <w:t>he focuses on one exampl</w:t>
      </w:r>
      <w:r w:rsidRPr="002B1D93">
        <w:t xml:space="preserve">e of rate case cost expense increase as </w:t>
      </w:r>
      <w:r w:rsidRPr="002B1D93" w:rsidR="00971548">
        <w:t>symptomatic of some of the “</w:t>
      </w:r>
      <w:r w:rsidRPr="002B1D93">
        <w:t xml:space="preserve">moving </w:t>
      </w:r>
      <w:r w:rsidRPr="002B1D93" w:rsidR="00971548">
        <w:t>part</w:t>
      </w:r>
      <w:r w:rsidRPr="002B1D93">
        <w:t>s</w:t>
      </w:r>
      <w:r w:rsidRPr="002B1D93" w:rsidR="00971548">
        <w:t>” alternative ratemaking theories the Company c</w:t>
      </w:r>
      <w:r w:rsidRPr="002B1D93">
        <w:t>onfronted</w:t>
      </w:r>
      <w:r w:rsidRPr="002B1D93" w:rsidR="002C4F8D">
        <w:t xml:space="preserve">. </w:t>
      </w:r>
      <w:r w:rsidRPr="002B1D93">
        <w:t xml:space="preserve"> </w:t>
      </w:r>
      <w:r w:rsidRPr="002B1D93" w:rsidR="002C4F8D">
        <w:t>H</w:t>
      </w:r>
      <w:r w:rsidRPr="002B1D93" w:rsidR="00971548">
        <w:t xml:space="preserve">ere, </w:t>
      </w:r>
      <w:r w:rsidRPr="002B1D93">
        <w:t xml:space="preserve">on the Kalama operations issue (Restating Adjustment 10 and </w:t>
      </w:r>
      <w:r w:rsidRPr="002B1D93" w:rsidR="00377F03">
        <w:t>Reclassification Adjustment R-C</w:t>
      </w:r>
      <w:r w:rsidRPr="002B1D93">
        <w:t>-</w:t>
      </w:r>
      <w:r w:rsidRPr="002B1D93">
        <w:t>1A</w:t>
      </w:r>
      <w:r w:rsidRPr="002B1D93" w:rsidR="002C4F8D">
        <w:t xml:space="preserve"> now omitted after</w:t>
      </w:r>
      <w:r w:rsidRPr="002B1D93" w:rsidR="00D55483">
        <w:t xml:space="preserve"> commingling</w:t>
      </w:r>
      <w:r w:rsidRPr="002B1D93">
        <w:t>)</w:t>
      </w:r>
      <w:r w:rsidRPr="002B1D93" w:rsidR="0001069C">
        <w:t>,</w:t>
      </w:r>
      <w:r w:rsidRPr="002B1D93">
        <w:t xml:space="preserve"> following submission of the Staff case</w:t>
      </w:r>
      <w:r w:rsidRPr="002B1D93" w:rsidR="00FE3416">
        <w:t xml:space="preserve"> in July</w:t>
      </w:r>
      <w:r w:rsidRPr="002B1D93">
        <w:t>.</w:t>
      </w:r>
      <w:r w:rsidRPr="002B1D93" w:rsidR="00971548">
        <w:t xml:space="preserve">  </w:t>
      </w:r>
      <w:r w:rsidRPr="002B1D93">
        <w:t xml:space="preserve">The Company views this as </w:t>
      </w:r>
      <w:r w:rsidRPr="002B1D93" w:rsidR="00971548">
        <w:t>a compelling example of the volume o</w:t>
      </w:r>
      <w:r w:rsidRPr="002B1D93" w:rsidR="00C33325">
        <w:t xml:space="preserve">f </w:t>
      </w:r>
      <w:r w:rsidRPr="002B1D93" w:rsidR="008F446A">
        <w:t xml:space="preserve">focused </w:t>
      </w:r>
      <w:r w:rsidRPr="002B1D93" w:rsidR="00C33325">
        <w:t xml:space="preserve">analytical work performed to defend </w:t>
      </w:r>
      <w:r w:rsidRPr="002B1D93">
        <w:t xml:space="preserve">the </w:t>
      </w:r>
      <w:r w:rsidRPr="002B1D93" w:rsidR="00971548">
        <w:t xml:space="preserve">Company </w:t>
      </w:r>
      <w:r w:rsidRPr="002B1D93" w:rsidR="0082619D">
        <w:t xml:space="preserve">position </w:t>
      </w:r>
      <w:r w:rsidRPr="002B1D93" w:rsidR="00971548">
        <w:t xml:space="preserve">since September 2013, much of </w:t>
      </w:r>
      <w:r w:rsidRPr="002B1D93" w:rsidR="008F446A">
        <w:t xml:space="preserve">the analyses </w:t>
      </w:r>
      <w:r w:rsidRPr="002B1D93" w:rsidR="00C33325">
        <w:t xml:space="preserve">of which </w:t>
      </w:r>
      <w:r w:rsidRPr="002B1D93">
        <w:t xml:space="preserve">were </w:t>
      </w:r>
      <w:r w:rsidRPr="002B1D93" w:rsidR="00971548">
        <w:t>never ultimately utilized by Staff.</w:t>
      </w:r>
      <w:r>
        <w:rPr>
          <w:rStyle w:val="FootnoteReference"/>
        </w:rPr>
        <w:footnoteReference w:id="25"/>
      </w:r>
      <w:r w:rsidRPr="002B1D93">
        <w:t xml:space="preserve">  </w:t>
      </w:r>
    </w:p>
    <w:p w:rsidR="00BC2B22" w:rsidRPr="002B1D93" w:rsidP="00F42F0B">
      <w:pPr>
        <w:pStyle w:val="ListParagraph"/>
      </w:pPr>
      <w:r w:rsidRPr="002B1D93">
        <w:tab/>
      </w:r>
      <w:r w:rsidRPr="002B1D93" w:rsidR="003C0992">
        <w:t>To summarize</w:t>
      </w:r>
      <w:r w:rsidRPr="002B1D93" w:rsidR="008F446A">
        <w:t>,</w:t>
      </w:r>
      <w:r w:rsidRPr="002B1D93" w:rsidR="003C0992">
        <w:t xml:space="preserve"> as Ms. Davis recounts: the Company initially filed its original case</w:t>
      </w:r>
      <w:r w:rsidRPr="002B1D93" w:rsidR="0001069C">
        <w:t xml:space="preserve"> in September</w:t>
      </w:r>
      <w:r w:rsidRPr="002B1D93" w:rsidR="003C0992">
        <w:t xml:space="preserve"> with Kalama commingled in all of WCI operations.  It did so for two reasons.  First, nonregulated Kalama operations were considerably less than 10 percent of overall operations and thus did not </w:t>
      </w:r>
      <w:r w:rsidRPr="002B1D93" w:rsidR="004F435B">
        <w:t xml:space="preserve">require </w:t>
      </w:r>
      <w:r w:rsidRPr="002B1D93" w:rsidR="003C0992">
        <w:t>separation</w:t>
      </w:r>
      <w:r w:rsidRPr="002B1D93" w:rsidR="0082619D">
        <w:t>,</w:t>
      </w:r>
      <w:r w:rsidRPr="002B1D93" w:rsidR="003C0992">
        <w:t xml:space="preserve"> per WAC 480-07-420(4</w:t>
      </w:r>
      <w:r w:rsidRPr="002B1D93" w:rsidR="003C0992">
        <w:t>)(</w:t>
      </w:r>
      <w:r w:rsidRPr="002B1D93" w:rsidR="003C0992">
        <w:t xml:space="preserve">d).  Secondly, the </w:t>
      </w:r>
      <w:r w:rsidRPr="002B1D93" w:rsidR="003C0992">
        <w:t>previous UTC Staff auditor instructed WCI to file commingled in the next rate case, meaning the present case.  Current Staff</w:t>
      </w:r>
      <w:r w:rsidRPr="002B1D93" w:rsidR="002C4F8D">
        <w:t>,</w:t>
      </w:r>
      <w:r w:rsidRPr="002B1D93" w:rsidR="003C0992">
        <w:t xml:space="preserve"> however, </w:t>
      </w:r>
      <w:r w:rsidRPr="002B1D93">
        <w:t xml:space="preserve">assumed </w:t>
      </w:r>
      <w:r w:rsidRPr="002B1D93" w:rsidR="004F435B">
        <w:t xml:space="preserve">a </w:t>
      </w:r>
      <w:r w:rsidRPr="002B1D93" w:rsidR="003C0992">
        <w:t xml:space="preserve">position </w:t>
      </w:r>
      <w:r w:rsidRPr="002B1D93" w:rsidR="0001069C">
        <w:t xml:space="preserve">early </w:t>
      </w:r>
      <w:r w:rsidRPr="002B1D93" w:rsidR="00F42F0B">
        <w:t>i</w:t>
      </w:r>
      <w:r w:rsidRPr="002B1D93" w:rsidR="0001069C">
        <w:t>n</w:t>
      </w:r>
      <w:r w:rsidRPr="002B1D93" w:rsidR="003C0992">
        <w:t xml:space="preserve"> </w:t>
      </w:r>
      <w:r w:rsidRPr="002B1D93" w:rsidR="00F42F0B">
        <w:t xml:space="preserve">its review </w:t>
      </w:r>
      <w:r w:rsidRPr="002B1D93">
        <w:t xml:space="preserve">that </w:t>
      </w:r>
      <w:r w:rsidRPr="002B1D93" w:rsidR="003C0992">
        <w:t>“required” Kalama to be separated</w:t>
      </w:r>
      <w:r w:rsidRPr="002B1D93">
        <w:t>,</w:t>
      </w:r>
      <w:r w:rsidRPr="002B1D93" w:rsidR="003C0992">
        <w:t xml:space="preserve"> and then attempted to use </w:t>
      </w:r>
      <w:r w:rsidRPr="002B1D93" w:rsidR="002F4240">
        <w:t>its</w:t>
      </w:r>
      <w:r w:rsidRPr="002B1D93" w:rsidR="00EA7F53">
        <w:t xml:space="preserve"> </w:t>
      </w:r>
      <w:r w:rsidRPr="002B1D93" w:rsidR="003C0992">
        <w:t>unprecedented “three-factor allocation” to facilitate separation of expenses in Kalama while</w:t>
      </w:r>
      <w:r w:rsidRPr="002B1D93" w:rsidR="002C4F8D">
        <w:t xml:space="preserve"> surprisingly</w:t>
      </w:r>
      <w:r w:rsidRPr="002B1D93" w:rsidR="00F42F0B">
        <w:t xml:space="preserve"> (and almost a year later)</w:t>
      </w:r>
      <w:r w:rsidRPr="002B1D93" w:rsidR="003C0992">
        <w:t xml:space="preserve"> rejecting the Company’s initial route study and</w:t>
      </w:r>
      <w:r w:rsidRPr="002B1D93" w:rsidR="004F435B">
        <w:t>,</w:t>
      </w:r>
      <w:r w:rsidRPr="002B1D93" w:rsidR="003C0992">
        <w:t xml:space="preserve"> using instead</w:t>
      </w:r>
      <w:r w:rsidRPr="002B1D93" w:rsidR="0001069C">
        <w:t>,</w:t>
      </w:r>
      <w:r w:rsidRPr="002B1D93" w:rsidR="003C0992">
        <w:t xml:space="preserve"> </w:t>
      </w:r>
      <w:r w:rsidRPr="002B1D93" w:rsidR="0001069C">
        <w:t xml:space="preserve">cursory </w:t>
      </w:r>
      <w:r w:rsidRPr="002B1D93" w:rsidR="003C0992">
        <w:t xml:space="preserve">information obtained directly from the City of Kalama.  After the Staff’s case was filed proposing this unanticipated separation of results, the Company then spent countless hours attempting to revise and supplement its </w:t>
      </w:r>
      <w:r w:rsidRPr="002B1D93" w:rsidR="002F4240">
        <w:t xml:space="preserve">original </w:t>
      </w:r>
      <w:r w:rsidRPr="002B1D93" w:rsidR="003C0992">
        <w:t xml:space="preserve">route study </w:t>
      </w:r>
      <w:r w:rsidRPr="002B1D93" w:rsidR="0001069C">
        <w:t xml:space="preserve">which it ultimately found largely accurate in allocations, </w:t>
      </w:r>
      <w:r w:rsidRPr="002B1D93" w:rsidR="00ED665D">
        <w:t xml:space="preserve">only </w:t>
      </w:r>
      <w:r w:rsidRPr="002B1D93" w:rsidR="003C0992">
        <w:t xml:space="preserve">to </w:t>
      </w:r>
      <w:r w:rsidRPr="002B1D93" w:rsidR="00C33325">
        <w:t xml:space="preserve">discover </w:t>
      </w:r>
      <w:r w:rsidRPr="002B1D93" w:rsidR="003C0992">
        <w:t>at the eleventh hour</w:t>
      </w:r>
      <w:r w:rsidRPr="002B1D93" w:rsidR="008F446A">
        <w:t xml:space="preserve"> after rebuttal</w:t>
      </w:r>
      <w:r w:rsidRPr="002B1D93" w:rsidR="003C0992">
        <w:t xml:space="preserve"> </w:t>
      </w:r>
      <w:r w:rsidRPr="002B1D93" w:rsidR="00F42F0B">
        <w:t>and submission of its revised study</w:t>
      </w:r>
      <w:r w:rsidRPr="002B1D93" w:rsidR="00F64061">
        <w:t>,</w:t>
      </w:r>
      <w:r w:rsidRPr="002B1D93" w:rsidR="00F42F0B">
        <w:t xml:space="preserve"> </w:t>
      </w:r>
      <w:r w:rsidRPr="002B1D93" w:rsidR="0001069C">
        <w:t>Staff had</w:t>
      </w:r>
      <w:r w:rsidRPr="002B1D93" w:rsidR="003C0992">
        <w:t xml:space="preserve"> opted to commingle Kalama</w:t>
      </w:r>
      <w:r w:rsidRPr="002B1D93" w:rsidR="002F4240">
        <w:t xml:space="preserve"> operations, in a classic “back-to-square-one”</w:t>
      </w:r>
      <w:r w:rsidRPr="002B1D93" w:rsidR="0001069C">
        <w:t xml:space="preserve"> about-</w:t>
      </w:r>
      <w:r w:rsidRPr="002B1D93" w:rsidR="002F4240">
        <w:t>face.</w:t>
      </w:r>
    </w:p>
    <w:p w:rsidR="00AB17E5" w:rsidRPr="002B1D93" w:rsidP="00587D28">
      <w:pPr>
        <w:pStyle w:val="Heading2"/>
        <w:rPr>
          <w:rFonts w:cs="Times New Roman"/>
          <w:szCs w:val="24"/>
        </w:rPr>
      </w:pPr>
      <w:bookmarkStart w:id="61" w:name="_Toc402944399"/>
      <w:bookmarkStart w:id="62" w:name="_Toc402951759"/>
      <w:bookmarkStart w:id="63" w:name="_Toc403051688"/>
      <w:bookmarkStart w:id="64" w:name="_Toc256000013"/>
      <w:bookmarkStart w:id="65" w:name="_Toc256000028"/>
      <w:r w:rsidRPr="002B1D93">
        <w:rPr>
          <w:rFonts w:cs="Times New Roman"/>
          <w:szCs w:val="24"/>
        </w:rPr>
        <w:t>C</w:t>
      </w:r>
      <w:r w:rsidRPr="002B1D93" w:rsidR="00DB3B97">
        <w:rPr>
          <w:rFonts w:cs="Times New Roman"/>
          <w:szCs w:val="24"/>
        </w:rPr>
        <w:t>.  A</w:t>
      </w:r>
      <w:r w:rsidRPr="002B1D93" w:rsidR="008B3014">
        <w:rPr>
          <w:rFonts w:cs="Times New Roman"/>
          <w:szCs w:val="24"/>
        </w:rPr>
        <w:t xml:space="preserve">rgument and </w:t>
      </w:r>
      <w:r w:rsidRPr="002B1D93" w:rsidR="00DB3B97">
        <w:rPr>
          <w:rFonts w:cs="Times New Roman"/>
          <w:szCs w:val="24"/>
        </w:rPr>
        <w:t>A</w:t>
      </w:r>
      <w:r w:rsidRPr="002B1D93" w:rsidR="008B3014">
        <w:rPr>
          <w:rFonts w:cs="Times New Roman"/>
          <w:szCs w:val="24"/>
        </w:rPr>
        <w:t xml:space="preserve">pplicable </w:t>
      </w:r>
      <w:r w:rsidRPr="002B1D93" w:rsidR="00DB3B97">
        <w:rPr>
          <w:rFonts w:cs="Times New Roman"/>
          <w:szCs w:val="24"/>
        </w:rPr>
        <w:t>L</w:t>
      </w:r>
      <w:r w:rsidRPr="002B1D93" w:rsidR="008B3014">
        <w:rPr>
          <w:rFonts w:cs="Times New Roman"/>
          <w:szCs w:val="24"/>
        </w:rPr>
        <w:t>aw</w:t>
      </w:r>
      <w:bookmarkEnd w:id="65"/>
      <w:bookmarkEnd w:id="64"/>
      <w:bookmarkEnd w:id="61"/>
      <w:bookmarkEnd w:id="62"/>
      <w:bookmarkEnd w:id="63"/>
    </w:p>
    <w:p w:rsidR="0065175F" w:rsidP="00F42F0B">
      <w:pPr>
        <w:pStyle w:val="ListParagraph"/>
      </w:pPr>
      <w:r w:rsidRPr="002B1D93">
        <w:tab/>
      </w:r>
      <w:r w:rsidRPr="002B1D93" w:rsidR="008B3014">
        <w:t>Recover</w:t>
      </w:r>
      <w:r w:rsidRPr="002B1D93" w:rsidR="00C0736E">
        <w:t>y</w:t>
      </w:r>
      <w:r w:rsidRPr="002B1D93" w:rsidR="008B3014">
        <w:t xml:space="preserve"> of conventional rate</w:t>
      </w:r>
      <w:r w:rsidRPr="002B1D93" w:rsidR="00C0736E">
        <w:t xml:space="preserve"> case expenses start</w:t>
      </w:r>
      <w:r w:rsidRPr="002B1D93" w:rsidR="005D21B9">
        <w:t>s</w:t>
      </w:r>
      <w:r w:rsidRPr="002B1D93" w:rsidR="00C0736E">
        <w:t xml:space="preserve"> </w:t>
      </w:r>
      <w:r w:rsidRPr="002B1D93" w:rsidR="00403C05">
        <w:t xml:space="preserve">from </w:t>
      </w:r>
      <w:r w:rsidRPr="002B1D93" w:rsidR="00C0736E">
        <w:t>the “h</w:t>
      </w:r>
      <w:r w:rsidRPr="002B1D93" w:rsidR="008B3014">
        <w:t xml:space="preserve">ornbook” </w:t>
      </w:r>
      <w:r w:rsidRPr="002B1D93" w:rsidR="00C0736E">
        <w:t xml:space="preserve">premise </w:t>
      </w:r>
      <w:r w:rsidRPr="002B1D93" w:rsidR="008B3014">
        <w:t xml:space="preserve">such as set forth in Goodman, </w:t>
      </w:r>
      <w:r w:rsidRPr="002B1D93" w:rsidR="008B3014">
        <w:rPr>
          <w:u w:val="single"/>
        </w:rPr>
        <w:t>The Process of Ratemaking</w:t>
      </w:r>
      <w:r w:rsidRPr="002B1D93" w:rsidR="008B3014">
        <w:t>:  “</w:t>
      </w:r>
      <w:r w:rsidRPr="002B1D93" w:rsidR="00130302">
        <w:t>[t]</w:t>
      </w:r>
      <w:r w:rsidRPr="002B1D93" w:rsidR="008B3014">
        <w:t>he costs of litigating commission and court proceedings arising in the normal course of business including penal</w:t>
      </w:r>
      <w:r w:rsidRPr="002B1D93" w:rsidR="00CB4410">
        <w:t>ty actions and prudence reviews</w:t>
      </w:r>
      <w:r w:rsidRPr="002B1D93" w:rsidR="008B3014">
        <w:t xml:space="preserve"> are generally allowed</w:t>
      </w:r>
      <w:r w:rsidRPr="002B1D93" w:rsidR="00403C05">
        <w:t>…</w:t>
      </w:r>
      <w:r w:rsidRPr="002B1D93" w:rsidR="008B3014">
        <w:t>”</w:t>
      </w:r>
      <w:r>
        <w:rPr>
          <w:rStyle w:val="FootnoteReference"/>
        </w:rPr>
        <w:footnoteReference w:id="26"/>
      </w:r>
      <w:r w:rsidRPr="002B1D93" w:rsidR="008B3014">
        <w:t xml:space="preserve">  While recognizing this </w:t>
      </w:r>
      <w:r w:rsidRPr="002B1D93" w:rsidR="00C0736E">
        <w:t xml:space="preserve">basic </w:t>
      </w:r>
      <w:r w:rsidRPr="002B1D93" w:rsidR="008B3014">
        <w:t>premise</w:t>
      </w:r>
      <w:r w:rsidRPr="002B1D93" w:rsidR="00C0736E">
        <w:t>,</w:t>
      </w:r>
      <w:r w:rsidRPr="002B1D93" w:rsidR="008B3014">
        <w:t xml:space="preserve"> the Company acknowledges the Commission’s long</w:t>
      </w:r>
      <w:r w:rsidRPr="002B1D93" w:rsidR="00C0736E">
        <w:t>standing and</w:t>
      </w:r>
      <w:r w:rsidRPr="002B1D93" w:rsidR="008B3014">
        <w:t xml:space="preserve"> appropriate </w:t>
      </w:r>
      <w:r w:rsidRPr="002B1D93" w:rsidR="00C0736E">
        <w:t xml:space="preserve">consideration </w:t>
      </w:r>
      <w:r w:rsidRPr="002B1D93" w:rsidR="008B3014">
        <w:t>o</w:t>
      </w:r>
      <w:r w:rsidRPr="002B1D93" w:rsidR="00C0736E">
        <w:t>f</w:t>
      </w:r>
      <w:r w:rsidRPr="002B1D93" w:rsidR="008B3014">
        <w:t xml:space="preserve"> the nature, kind and amounts of rate case costs</w:t>
      </w:r>
      <w:r w:rsidRPr="002B1D93" w:rsidR="008F446A">
        <w:t>.  It</w:t>
      </w:r>
      <w:r w:rsidRPr="002B1D93" w:rsidR="008B3014">
        <w:t xml:space="preserve"> </w:t>
      </w:r>
      <w:r w:rsidRPr="002B1D93" w:rsidR="00195DD9">
        <w:t xml:space="preserve">is </w:t>
      </w:r>
      <w:r w:rsidRPr="002B1D93" w:rsidR="00DB3B97">
        <w:t xml:space="preserve">also </w:t>
      </w:r>
      <w:r w:rsidRPr="002B1D93" w:rsidR="00210108">
        <w:t xml:space="preserve">aware of </w:t>
      </w:r>
      <w:r w:rsidRPr="002B1D93" w:rsidR="008B3014">
        <w:t>circumstances where the Commission has admonished against costs which are “exorbitant and imprudent.</w:t>
      </w:r>
      <w:r>
        <w:rPr>
          <w:rStyle w:val="FootnoteReference"/>
        </w:rPr>
        <w:footnoteReference w:id="27"/>
      </w:r>
      <w:r>
        <w:br w:type="page"/>
      </w:r>
    </w:p>
    <w:p w:rsidR="00471E5D" w:rsidRPr="002B1D93" w:rsidP="0065175F">
      <w:pPr>
        <w:pStyle w:val="ListParagraph"/>
        <w:numPr>
          <w:ilvl w:val="0"/>
          <w:numId w:val="0"/>
        </w:numPr>
      </w:pPr>
    </w:p>
    <w:p w:rsidR="00607BE2" w:rsidRPr="002B1D93" w:rsidP="00F42F0B">
      <w:pPr>
        <w:pStyle w:val="ListParagraph"/>
      </w:pPr>
      <w:r w:rsidRPr="002B1D93">
        <w:tab/>
      </w:r>
      <w:r w:rsidRPr="002B1D93" w:rsidR="008B3014">
        <w:t>The Company</w:t>
      </w:r>
      <w:r w:rsidRPr="002B1D93" w:rsidR="00403C05">
        <w:t xml:space="preserve"> fully</w:t>
      </w:r>
      <w:r w:rsidRPr="002B1D93" w:rsidR="008B3014">
        <w:t xml:space="preserve"> believes, </w:t>
      </w:r>
      <w:r w:rsidRPr="002B1D93" w:rsidR="008F446A">
        <w:t xml:space="preserve">however, </w:t>
      </w:r>
      <w:r w:rsidRPr="002B1D93" w:rsidR="008B3014">
        <w:t>as reinforced by the joint qualification at</w:t>
      </w:r>
      <w:r w:rsidRPr="002B1D93" w:rsidR="00C0736E">
        <w:t xml:space="preserve"> ¶ </w:t>
      </w:r>
      <w:r w:rsidRPr="002B1D93" w:rsidR="008B3014">
        <w:t>7 of the Joint Motion to Amend Procedural Schedule</w:t>
      </w:r>
      <w:r w:rsidRPr="002B1D93" w:rsidR="00C0736E">
        <w:t>,</w:t>
      </w:r>
      <w:r w:rsidRPr="002B1D93" w:rsidR="008B3014">
        <w:t xml:space="preserve"> that the cumulative total </w:t>
      </w:r>
      <w:r w:rsidRPr="002B1D93" w:rsidR="00403C05">
        <w:t>and</w:t>
      </w:r>
      <w:r w:rsidRPr="002B1D93" w:rsidR="008B3014">
        <w:t xml:space="preserve"> hourly rates associated with </w:t>
      </w:r>
      <w:r w:rsidRPr="002B1D93" w:rsidR="008F446A">
        <w:t>this</w:t>
      </w:r>
      <w:r w:rsidRPr="002B1D93" w:rsidR="00403C05">
        <w:t xml:space="preserve"> rate case </w:t>
      </w:r>
      <w:r w:rsidRPr="002B1D93" w:rsidR="008B3014">
        <w:t xml:space="preserve">professional fees are </w:t>
      </w:r>
      <w:r w:rsidRPr="002B1D93" w:rsidR="00C0736E">
        <w:t xml:space="preserve">not </w:t>
      </w:r>
      <w:r w:rsidRPr="002B1D93" w:rsidR="008B3014">
        <w:t>excessive.</w:t>
      </w:r>
      <w:r w:rsidRPr="002B1D93" w:rsidR="00293FBD">
        <w:rPr>
          <w:rStyle w:val="FootnoteReference"/>
        </w:rPr>
        <w:t xml:space="preserve"> </w:t>
      </w:r>
      <w:r>
        <w:rPr>
          <w:rStyle w:val="FootnoteReference"/>
        </w:rPr>
        <w:footnoteReference w:id="28"/>
      </w:r>
      <w:r w:rsidRPr="002B1D93" w:rsidR="008B3014">
        <w:t xml:space="preserve">  Admittedly</w:t>
      </w:r>
      <w:r w:rsidRPr="002B1D93" w:rsidR="00C0736E">
        <w:t>,</w:t>
      </w:r>
      <w:r w:rsidRPr="002B1D93" w:rsidR="008B3014">
        <w:t xml:space="preserve"> this has been a very protracted </w:t>
      </w:r>
      <w:r w:rsidRPr="002B1D93" w:rsidR="00403C05">
        <w:t xml:space="preserve">and expensive </w:t>
      </w:r>
      <w:r w:rsidRPr="002B1D93" w:rsidR="008B3014">
        <w:t xml:space="preserve">case and </w:t>
      </w:r>
      <w:r w:rsidRPr="002B1D93">
        <w:t xml:space="preserve">one </w:t>
      </w:r>
      <w:r w:rsidRPr="002B1D93" w:rsidR="00DB3B97">
        <w:t xml:space="preserve">characterized </w:t>
      </w:r>
      <w:r w:rsidRPr="002B1D93" w:rsidR="008B3014">
        <w:t>by some unusual</w:t>
      </w:r>
      <w:r w:rsidRPr="002B1D93" w:rsidR="00C0736E">
        <w:t>,</w:t>
      </w:r>
      <w:r w:rsidRPr="002B1D93" w:rsidR="008B3014">
        <w:t xml:space="preserve"> but hopefully good-faith disputes about accounting treatments,</w:t>
      </w:r>
      <w:r w:rsidRPr="002B1D93">
        <w:t xml:space="preserve"> proposed</w:t>
      </w:r>
      <w:r w:rsidRPr="002B1D93" w:rsidR="008B3014">
        <w:t xml:space="preserve"> adjustments to </w:t>
      </w:r>
      <w:r w:rsidRPr="002B1D93">
        <w:t xml:space="preserve">the </w:t>
      </w:r>
      <w:r w:rsidRPr="002B1D93" w:rsidR="008B3014">
        <w:t xml:space="preserve">Lurito-Gallagher </w:t>
      </w:r>
      <w:r w:rsidRPr="002B1D93" w:rsidR="00C33325">
        <w:t xml:space="preserve">ratemaking </w:t>
      </w:r>
      <w:r w:rsidRPr="002B1D93">
        <w:t xml:space="preserve">methodology </w:t>
      </w:r>
      <w:r w:rsidRPr="002B1D93" w:rsidR="008F446A">
        <w:t xml:space="preserve">and </w:t>
      </w:r>
      <w:r w:rsidRPr="002B1D93" w:rsidR="00403C05">
        <w:t xml:space="preserve">experimental </w:t>
      </w:r>
      <w:r w:rsidRPr="002B1D93" w:rsidR="0001069C">
        <w:t xml:space="preserve">or fledgling </w:t>
      </w:r>
      <w:r w:rsidRPr="002B1D93" w:rsidR="008B3014">
        <w:t>theories o</w:t>
      </w:r>
      <w:r w:rsidRPr="002B1D93" w:rsidR="00D73A9D">
        <w:t>f solid waste ratemaking</w:t>
      </w:r>
      <w:r w:rsidRPr="002B1D93" w:rsidR="0001069C">
        <w:t xml:space="preserve"> posited by Staff</w:t>
      </w:r>
      <w:r w:rsidRPr="002B1D93" w:rsidR="008B3014">
        <w:t xml:space="preserve">.  </w:t>
      </w:r>
      <w:r w:rsidRPr="002B1D93" w:rsidR="00DB3B97">
        <w:t>I</w:t>
      </w:r>
      <w:r w:rsidRPr="002B1D93" w:rsidR="008B3014">
        <w:t>t is</w:t>
      </w:r>
      <w:r w:rsidRPr="002B1D93" w:rsidR="002F4240">
        <w:t xml:space="preserve"> also</w:t>
      </w:r>
      <w:r w:rsidRPr="002B1D93" w:rsidR="00D73A9D">
        <w:t xml:space="preserve"> </w:t>
      </w:r>
      <w:r w:rsidRPr="002B1D93" w:rsidR="002F4240">
        <w:t xml:space="preserve">historically </w:t>
      </w:r>
      <w:r w:rsidRPr="002B1D93" w:rsidR="008B3014">
        <w:t xml:space="preserve">unusual for a solid waste rate case to </w:t>
      </w:r>
      <w:r w:rsidRPr="002B1D93" w:rsidR="00130302">
        <w:t xml:space="preserve">proceed </w:t>
      </w:r>
      <w:r w:rsidRPr="002B1D93" w:rsidR="008B3014">
        <w:t>to</w:t>
      </w:r>
      <w:r w:rsidRPr="002B1D93" w:rsidR="00403C05">
        <w:t xml:space="preserve"> an adjudicative</w:t>
      </w:r>
      <w:r w:rsidRPr="002B1D93" w:rsidR="008B3014">
        <w:t xml:space="preserve"> hearing</w:t>
      </w:r>
      <w:r w:rsidRPr="002B1D93" w:rsidR="00DB3B97">
        <w:t xml:space="preserve"> and indeed, </w:t>
      </w:r>
      <w:r w:rsidRPr="002B1D93" w:rsidR="008B3014">
        <w:t>based on the Company’s research, the last contested so</w:t>
      </w:r>
      <w:r w:rsidRPr="002B1D93" w:rsidR="00403C05">
        <w:t xml:space="preserve">lid waste rate case going to a final </w:t>
      </w:r>
      <w:r w:rsidRPr="002B1D93" w:rsidR="008B3014">
        <w:t xml:space="preserve">adjudicated order </w:t>
      </w:r>
      <w:r w:rsidRPr="002B1D93" w:rsidR="002F4240">
        <w:t xml:space="preserve">after hearing </w:t>
      </w:r>
      <w:r w:rsidRPr="002B1D93" w:rsidR="008B3014">
        <w:t xml:space="preserve">appears to have </w:t>
      </w:r>
      <w:r w:rsidRPr="002B1D93">
        <w:t>been in 1994</w:t>
      </w:r>
      <w:r w:rsidRPr="002B1D93" w:rsidR="008B3014">
        <w:t>.</w:t>
      </w:r>
      <w:r>
        <w:rPr>
          <w:rStyle w:val="FootnoteReference"/>
        </w:rPr>
        <w:footnoteReference w:id="29"/>
      </w:r>
    </w:p>
    <w:p w:rsidR="00F64061" w:rsidRPr="002B1D93" w:rsidP="00F42F0B">
      <w:pPr>
        <w:pStyle w:val="ListParagraph"/>
      </w:pPr>
      <w:r w:rsidRPr="002B1D93">
        <w:tab/>
      </w:r>
      <w:r w:rsidRPr="002B1D93" w:rsidR="00C96868">
        <w:t xml:space="preserve">Nevertheless, as </w:t>
      </w:r>
      <w:r w:rsidRPr="002B1D93" w:rsidR="008B3014">
        <w:t>the Commission is we</w:t>
      </w:r>
      <w:r w:rsidRPr="002B1D93" w:rsidR="00C96868">
        <w:t>ll aware</w:t>
      </w:r>
      <w:r w:rsidRPr="002B1D93" w:rsidR="0082619D">
        <w:t>,</w:t>
      </w:r>
      <w:r w:rsidRPr="002B1D93" w:rsidR="00C96868">
        <w:t xml:space="preserve"> due to </w:t>
      </w:r>
      <w:r w:rsidRPr="002B1D93" w:rsidR="00F42F0B">
        <w:t>its</w:t>
      </w:r>
      <w:r w:rsidRPr="002B1D93" w:rsidR="00C96868">
        <w:t xml:space="preserve"> pending rule</w:t>
      </w:r>
      <w:r w:rsidRPr="002B1D93" w:rsidR="00403C05">
        <w:t xml:space="preserve">making in </w:t>
      </w:r>
      <w:r w:rsidRPr="002B1D93" w:rsidR="008B3014">
        <w:t>Docket</w:t>
      </w:r>
      <w:r w:rsidRPr="002B1D93" w:rsidR="00403C05">
        <w:t xml:space="preserve"> No.</w:t>
      </w:r>
      <w:r w:rsidRPr="002B1D93" w:rsidR="008B3014">
        <w:t xml:space="preserve"> TG-131255, </w:t>
      </w:r>
      <w:r w:rsidRPr="002B1D93" w:rsidR="00403C05">
        <w:t>“</w:t>
      </w:r>
      <w:r w:rsidRPr="002B1D93" w:rsidR="008B3014">
        <w:rPr>
          <w:u w:val="single"/>
        </w:rPr>
        <w:t>Inquiry to Consider Methods for Setting Rates for Solid Waste Collection Companies Pursuant to WAC 480-70</w:t>
      </w:r>
      <w:r w:rsidRPr="002B1D93" w:rsidR="008B3014">
        <w:t>,</w:t>
      </w:r>
      <w:r w:rsidRPr="002B1D93" w:rsidR="00403C05">
        <w:t>”</w:t>
      </w:r>
      <w:r w:rsidRPr="002B1D93" w:rsidR="008B3014">
        <w:t xml:space="preserve"> there are forces of internal evaluation “percolating” within the agency </w:t>
      </w:r>
      <w:r w:rsidRPr="002B1D93" w:rsidR="00C96868">
        <w:t xml:space="preserve">currently </w:t>
      </w:r>
      <w:r w:rsidRPr="002B1D93" w:rsidR="008B3014">
        <w:t xml:space="preserve">which may </w:t>
      </w:r>
      <w:r w:rsidRPr="002B1D93" w:rsidR="00403C05">
        <w:t xml:space="preserve">well </w:t>
      </w:r>
      <w:r w:rsidRPr="002B1D93" w:rsidR="00195DD9">
        <w:t xml:space="preserve">be </w:t>
      </w:r>
      <w:r w:rsidRPr="002B1D93" w:rsidR="008B3014">
        <w:t xml:space="preserve">impacting some of the more </w:t>
      </w:r>
      <w:r w:rsidRPr="002B1D93" w:rsidR="00C96868">
        <w:t xml:space="preserve">established </w:t>
      </w:r>
      <w:r w:rsidRPr="002B1D93" w:rsidR="008B3014">
        <w:t xml:space="preserve">approaches to solid waste </w:t>
      </w:r>
      <w:r w:rsidRPr="002B1D93" w:rsidR="00403C05">
        <w:t xml:space="preserve">case </w:t>
      </w:r>
      <w:r w:rsidRPr="002B1D93" w:rsidR="008B3014">
        <w:t xml:space="preserve">ratesetting </w:t>
      </w:r>
      <w:r w:rsidRPr="002B1D93" w:rsidR="0001069C">
        <w:t>and accounting adjustments</w:t>
      </w:r>
      <w:r w:rsidRPr="002B1D93" w:rsidR="003F4574">
        <w:t xml:space="preserve"> </w:t>
      </w:r>
      <w:r w:rsidRPr="002B1D93" w:rsidR="008B3014">
        <w:t xml:space="preserve">in the present era.  Indeed, </w:t>
      </w:r>
      <w:r w:rsidRPr="002B1D93" w:rsidR="00403C05">
        <w:t xml:space="preserve">in the </w:t>
      </w:r>
      <w:r w:rsidRPr="002B1D93" w:rsidR="003F4574">
        <w:t>past year or two</w:t>
      </w:r>
      <w:r w:rsidRPr="002B1D93" w:rsidR="00403C05">
        <w:t xml:space="preserve">, </w:t>
      </w:r>
      <w:r w:rsidRPr="002B1D93" w:rsidR="008B3014">
        <w:t>there were</w:t>
      </w:r>
      <w:r w:rsidRPr="002B1D93" w:rsidR="00DB3B97">
        <w:t xml:space="preserve"> relatively unusual</w:t>
      </w:r>
      <w:r w:rsidRPr="002B1D93" w:rsidR="008B3014">
        <w:t xml:space="preserve"> formal settlements </w:t>
      </w:r>
      <w:r w:rsidRPr="002B1D93" w:rsidR="00130302">
        <w:t>and</w:t>
      </w:r>
      <w:r w:rsidRPr="002B1D93">
        <w:t>/</w:t>
      </w:r>
      <w:r w:rsidRPr="002B1D93" w:rsidR="00130302">
        <w:t xml:space="preserve">or </w:t>
      </w:r>
      <w:r w:rsidRPr="002B1D93">
        <w:t>O</w:t>
      </w:r>
      <w:r w:rsidRPr="002B1D93" w:rsidR="00130302">
        <w:t xml:space="preserve">rders after suspension </w:t>
      </w:r>
      <w:r w:rsidRPr="002B1D93" w:rsidR="00403C05">
        <w:t xml:space="preserve">entered by </w:t>
      </w:r>
      <w:r w:rsidRPr="002B1D93" w:rsidR="0082619D">
        <w:t xml:space="preserve">the </w:t>
      </w:r>
      <w:r w:rsidRPr="002B1D93" w:rsidR="00403C05">
        <w:t xml:space="preserve">Commission </w:t>
      </w:r>
      <w:r w:rsidRPr="002B1D93" w:rsidR="008B3014">
        <w:t xml:space="preserve">in </w:t>
      </w:r>
      <w:r w:rsidRPr="002B1D93" w:rsidR="00C96868">
        <w:t xml:space="preserve">a number of </w:t>
      </w:r>
      <w:r w:rsidRPr="002B1D93" w:rsidR="008B3014">
        <w:t>regulated solid waste</w:t>
      </w:r>
      <w:r w:rsidRPr="002B1D93" w:rsidR="00C96868">
        <w:t xml:space="preserve"> rate </w:t>
      </w:r>
      <w:r w:rsidRPr="002B1D93" w:rsidR="00130302">
        <w:t>cases</w:t>
      </w:r>
      <w:r w:rsidRPr="002B1D93" w:rsidR="00403C05">
        <w:t xml:space="preserve"> </w:t>
      </w:r>
      <w:r w:rsidRPr="002B1D93" w:rsidR="00DB3B97">
        <w:t xml:space="preserve">perhaps </w:t>
      </w:r>
      <w:r w:rsidRPr="002B1D93" w:rsidR="00D420C4">
        <w:t>reflecting</w:t>
      </w:r>
      <w:r w:rsidRPr="002B1D93" w:rsidR="00C96868">
        <w:t xml:space="preserve"> an increasing level of </w:t>
      </w:r>
      <w:r w:rsidRPr="002B1D93" w:rsidR="00130302">
        <w:t>scrutiny</w:t>
      </w:r>
      <w:r w:rsidRPr="002B1D93" w:rsidR="00403C05">
        <w:t xml:space="preserve"> and/or </w:t>
      </w:r>
      <w:r w:rsidRPr="002B1D93" w:rsidR="008F446A">
        <w:t xml:space="preserve">disagreements </w:t>
      </w:r>
      <w:r w:rsidRPr="002B1D93" w:rsidR="00C96868">
        <w:t xml:space="preserve">between companies and Staff on </w:t>
      </w:r>
      <w:r w:rsidRPr="002B1D93" w:rsidR="00130302">
        <w:t>various</w:t>
      </w:r>
      <w:r w:rsidRPr="002B1D93">
        <w:t xml:space="preserve"> solid waste rate case</w:t>
      </w:r>
      <w:r w:rsidRPr="002B1D93" w:rsidR="00130302">
        <w:t xml:space="preserve"> </w:t>
      </w:r>
      <w:r w:rsidRPr="002B1D93" w:rsidR="00C96868">
        <w:t>accounting</w:t>
      </w:r>
      <w:r w:rsidRPr="002B1D93" w:rsidR="00F42F0B">
        <w:t xml:space="preserve"> adjustment</w:t>
      </w:r>
      <w:r w:rsidRPr="002B1D93" w:rsidR="00C96868">
        <w:t xml:space="preserve"> </w:t>
      </w:r>
    </w:p>
    <w:p w:rsidR="00771CBE" w:rsidRPr="002B1D93" w:rsidP="00F64061">
      <w:pPr>
        <w:pStyle w:val="ListParagraph"/>
        <w:numPr>
          <w:ilvl w:val="0"/>
          <w:numId w:val="0"/>
        </w:numPr>
      </w:pPr>
      <w:r w:rsidRPr="002B1D93">
        <w:t>issues</w:t>
      </w:r>
      <w:r w:rsidRPr="002B1D93">
        <w:t>.</w:t>
      </w:r>
      <w:r w:rsidRPr="002B1D93">
        <w:rPr>
          <w:rStyle w:val="FootnoteReference"/>
        </w:rPr>
        <w:t xml:space="preserve"> </w:t>
      </w:r>
      <w:r>
        <w:rPr>
          <w:rStyle w:val="FootnoteReference"/>
        </w:rPr>
        <w:footnoteReference w:id="30"/>
      </w:r>
    </w:p>
    <w:p w:rsidR="00E90645" w:rsidRPr="002B1D93" w:rsidP="00F42F0B">
      <w:pPr>
        <w:pStyle w:val="ListParagraph"/>
      </w:pPr>
      <w:r w:rsidRPr="002B1D93">
        <w:tab/>
      </w:r>
      <w:r w:rsidRPr="002B1D93" w:rsidR="002C4F8D">
        <w:t>T</w:t>
      </w:r>
      <w:r w:rsidRPr="002B1D93">
        <w:t xml:space="preserve">here is </w:t>
      </w:r>
      <w:r w:rsidRPr="002B1D93" w:rsidR="002C4F8D">
        <w:t xml:space="preserve">also </w:t>
      </w:r>
      <w:r w:rsidRPr="002B1D93">
        <w:t xml:space="preserve">some inherent conflict in the Staff rationale for </w:t>
      </w:r>
      <w:r w:rsidRPr="002B1D93" w:rsidR="00607BE2">
        <w:t xml:space="preserve">paring </w:t>
      </w:r>
      <w:r w:rsidRPr="002B1D93">
        <w:t>rate case cost recovery</w:t>
      </w:r>
      <w:r w:rsidRPr="002B1D93" w:rsidR="00607BE2">
        <w:t xml:space="preserve"> in this matter</w:t>
      </w:r>
      <w:r w:rsidRPr="002B1D93">
        <w:t xml:space="preserve">.  In </w:t>
      </w:r>
      <w:r w:rsidRPr="002B1D93" w:rsidR="00C33325">
        <w:t xml:space="preserve">its </w:t>
      </w:r>
      <w:r w:rsidRPr="002B1D93">
        <w:t>testimony,</w:t>
      </w:r>
      <w:r>
        <w:rPr>
          <w:rStyle w:val="FootnoteReference"/>
        </w:rPr>
        <w:footnoteReference w:id="31"/>
      </w:r>
      <w:r w:rsidRPr="002B1D93">
        <w:t xml:space="preserve"> the Staff expressly acknowl</w:t>
      </w:r>
      <w:r w:rsidRPr="002B1D93" w:rsidR="004F435B">
        <w:t>edges the foundation provided by</w:t>
      </w:r>
      <w:r w:rsidRPr="002B1D93">
        <w:t xml:space="preserve"> the dismissed case, TG-131794</w:t>
      </w:r>
      <w:r w:rsidRPr="002B1D93" w:rsidR="004F435B">
        <w:t>,</w:t>
      </w:r>
      <w:r w:rsidRPr="002B1D93">
        <w:t xml:space="preserve"> for the current filing, TG-140560.  Indeed</w:t>
      </w:r>
      <w:r w:rsidRPr="002B1D93">
        <w:t>,</w:t>
      </w:r>
      <w:r w:rsidRPr="002B1D93">
        <w:t xml:space="preserve"> the successive refiled case</w:t>
      </w:r>
      <w:r w:rsidRPr="002B1D93">
        <w:t>,</w:t>
      </w:r>
      <w:r w:rsidRPr="002B1D93">
        <w:t xml:space="preserve"> as the Company has repeatedly noted, </w:t>
      </w:r>
      <w:r w:rsidRPr="002B1D93" w:rsidR="00607BE2">
        <w:t xml:space="preserve">utilizes </w:t>
      </w:r>
      <w:r w:rsidRPr="002B1D93">
        <w:t>the same test period and refiled almost all the same accompanying workpapers, calculations, etc. only appro</w:t>
      </w:r>
      <w:r w:rsidRPr="002B1D93" w:rsidR="00C33325">
        <w:t>priately changing the forecast/ “</w:t>
      </w:r>
      <w:r w:rsidRPr="002B1D93">
        <w:t xml:space="preserve">rate” year </w:t>
      </w:r>
      <w:r w:rsidRPr="002B1D93">
        <w:t>for reconciliation and</w:t>
      </w:r>
      <w:r w:rsidRPr="002B1D93" w:rsidR="00607BE2">
        <w:t>,</w:t>
      </w:r>
      <w:r w:rsidRPr="002B1D93">
        <w:t xml:space="preserve"> including little if any duplication of effort</w:t>
      </w:r>
      <w:r w:rsidRPr="002B1D93">
        <w:t xml:space="preserve"> and</w:t>
      </w:r>
      <w:r w:rsidRPr="002B1D93">
        <w:t xml:space="preserve"> redundancy o</w:t>
      </w:r>
      <w:r w:rsidRPr="002B1D93" w:rsidR="00607BE2">
        <w:t>f</w:t>
      </w:r>
      <w:r w:rsidRPr="002B1D93">
        <w:t xml:space="preserve"> costs other than that associated with </w:t>
      </w:r>
      <w:r w:rsidRPr="002B1D93" w:rsidR="00EA520B">
        <w:t>formatting</w:t>
      </w:r>
      <w:r w:rsidRPr="002B1D93" w:rsidR="00607BE2">
        <w:t xml:space="preserve"> </w:t>
      </w:r>
      <w:r w:rsidRPr="002B1D93">
        <w:t xml:space="preserve">a refiling. </w:t>
      </w:r>
      <w:r w:rsidRPr="002B1D93" w:rsidR="00607BE2">
        <w:t xml:space="preserve"> I</w:t>
      </w:r>
      <w:r w:rsidRPr="002B1D93">
        <w:t xml:space="preserve">n its Order of Dismissal, the Commission had </w:t>
      </w:r>
      <w:r w:rsidRPr="002B1D93" w:rsidR="00C33325">
        <w:t xml:space="preserve">expressly </w:t>
      </w:r>
      <w:r w:rsidRPr="002B1D93">
        <w:t xml:space="preserve">provided a ten-business-day interval for the refiling and there is thus no basis for claiming any duplication of efforts upon which to sanction the Company for </w:t>
      </w:r>
      <w:r w:rsidRPr="002B1D93" w:rsidR="00607BE2">
        <w:t xml:space="preserve">a </w:t>
      </w:r>
      <w:r w:rsidRPr="002B1D93">
        <w:t>“failed case.”</w:t>
      </w:r>
      <w:r>
        <w:rPr>
          <w:rStyle w:val="FootnoteReference"/>
        </w:rPr>
        <w:footnoteReference w:id="32"/>
      </w:r>
      <w:r w:rsidRPr="002B1D93">
        <w:t xml:space="preserve">  </w:t>
      </w:r>
    </w:p>
    <w:p w:rsidR="005A3F07" w:rsidRPr="002B1D93" w:rsidP="00F42F0B">
      <w:pPr>
        <w:pStyle w:val="ListParagraph"/>
      </w:pPr>
      <w:r w:rsidRPr="002B1D93">
        <w:tab/>
      </w:r>
      <w:r w:rsidRPr="002B1D93" w:rsidR="00771CBE">
        <w:t xml:space="preserve">The “complexity” that arose in this case </w:t>
      </w:r>
      <w:r w:rsidRPr="002B1D93">
        <w:t xml:space="preserve">also </w:t>
      </w:r>
      <w:r w:rsidRPr="002B1D93" w:rsidR="00771CBE">
        <w:t xml:space="preserve">has little to do with the association of the two rate case filings </w:t>
      </w:r>
      <w:r w:rsidRPr="002B1D93" w:rsidR="00D420C4">
        <w:t xml:space="preserve">and workpapers </w:t>
      </w:r>
      <w:r w:rsidRPr="002B1D93" w:rsidR="00771CBE">
        <w:t>cover</w:t>
      </w:r>
      <w:r w:rsidRPr="002B1D93" w:rsidR="00D420C4">
        <w:t>ing</w:t>
      </w:r>
      <w:r w:rsidRPr="002B1D93" w:rsidR="00771CBE">
        <w:t xml:space="preserve"> the same test period, rather it </w:t>
      </w:r>
      <w:r w:rsidRPr="002B1D93">
        <w:t xml:space="preserve">was </w:t>
      </w:r>
      <w:r w:rsidRPr="002B1D93" w:rsidR="00771CBE">
        <w:t xml:space="preserve">the </w:t>
      </w:r>
      <w:r w:rsidRPr="002B1D93" w:rsidR="00607BE2">
        <w:t xml:space="preserve">scores </w:t>
      </w:r>
      <w:r w:rsidRPr="002B1D93" w:rsidR="00771CBE">
        <w:t>of data request</w:t>
      </w:r>
      <w:r w:rsidRPr="002B1D93" w:rsidR="00607BE2">
        <w:t>s and</w:t>
      </w:r>
      <w:r w:rsidRPr="002B1D93" w:rsidR="00771CBE">
        <w:t xml:space="preserve"> </w:t>
      </w:r>
      <w:r w:rsidRPr="002B1D93" w:rsidR="00D420C4">
        <w:t xml:space="preserve">thousands of pages of </w:t>
      </w:r>
      <w:r w:rsidRPr="002B1D93" w:rsidR="00771CBE">
        <w:t xml:space="preserve">responses, telephone and in-person meetings, site visits and sheer volume of supporting documentation and data which explored </w:t>
      </w:r>
      <w:r w:rsidRPr="002B1D93" w:rsidR="00607BE2">
        <w:t xml:space="preserve">and tested </w:t>
      </w:r>
      <w:r w:rsidRPr="002B1D93" w:rsidR="00771CBE">
        <w:t>numerous ratemaking theories particularly directed to the nonregulated affiliates</w:t>
      </w:r>
      <w:r w:rsidRPr="002B1D93" w:rsidR="00607BE2">
        <w:t>’</w:t>
      </w:r>
      <w:r w:rsidRPr="002B1D93" w:rsidR="00771CBE">
        <w:t xml:space="preserve"> capital structures and nonregulated service within the City of Kalama.</w:t>
      </w:r>
      <w:r>
        <w:rPr>
          <w:rStyle w:val="FootnoteReference"/>
        </w:rPr>
        <w:footnoteReference w:id="33"/>
      </w:r>
      <w:r w:rsidRPr="002B1D93" w:rsidR="00C33325">
        <w:t xml:space="preserve">  Those in fact</w:t>
      </w:r>
      <w:r w:rsidRPr="002B1D93" w:rsidR="00771CBE">
        <w:t xml:space="preserve"> </w:t>
      </w:r>
      <w:r w:rsidRPr="002B1D93" w:rsidR="004F435B">
        <w:t xml:space="preserve">are </w:t>
      </w:r>
      <w:r w:rsidRPr="002B1D93" w:rsidR="00771CBE">
        <w:t>the fodder for</w:t>
      </w:r>
      <w:r w:rsidRPr="002B1D93" w:rsidR="00607BE2">
        <w:t xml:space="preserve"> any</w:t>
      </w:r>
      <w:r w:rsidRPr="002B1D93" w:rsidR="00771CBE">
        <w:t xml:space="preserve"> </w:t>
      </w:r>
      <w:r w:rsidRPr="002B1D93" w:rsidR="00F42F0B">
        <w:t xml:space="preserve">of the </w:t>
      </w:r>
      <w:r w:rsidRPr="002B1D93" w:rsidR="00771CBE">
        <w:t xml:space="preserve">“complexity” in this rate case.  Moreover, the Staff and the Commissioners themselves are very attuned to detailed and voluminous general rate cases in the energy and pipeline industries and the concept of </w:t>
      </w:r>
      <w:r w:rsidRPr="002B1D93" w:rsidR="003F4574">
        <w:t xml:space="preserve">penalizing </w:t>
      </w:r>
      <w:r w:rsidRPr="002B1D93" w:rsidR="00607BE2">
        <w:t>“</w:t>
      </w:r>
      <w:r w:rsidRPr="002B1D93" w:rsidR="00771CBE">
        <w:t>complexity</w:t>
      </w:r>
      <w:r w:rsidRPr="002B1D93" w:rsidR="00607BE2">
        <w:t>”</w:t>
      </w:r>
      <w:r w:rsidRPr="002B1D93" w:rsidR="00771CBE">
        <w:t xml:space="preserve"> for general </w:t>
      </w:r>
      <w:r w:rsidRPr="002B1D93" w:rsidR="00771CBE">
        <w:t>rate cases in any field seems contrary to the expertise, mission and acclimation of the Commission to evaluate detailed financial case demonstrations by public service companies.</w:t>
      </w:r>
    </w:p>
    <w:p w:rsidR="00407B68" w:rsidRPr="002B1D93" w:rsidP="00F42F0B">
      <w:pPr>
        <w:pStyle w:val="ListParagraph"/>
      </w:pPr>
      <w:r w:rsidRPr="002B1D93">
        <w:tab/>
      </w:r>
      <w:r w:rsidRPr="002B1D93" w:rsidR="008B3014">
        <w:t xml:space="preserve">The Commission has previously recognized a need for regulated solid waste companies to recover appropriate expenses “associated with unregulated competition and rate proceedings which were reasonably expended…” </w:t>
      </w:r>
      <w:r w:rsidRPr="002B1D93" w:rsidR="00C96868">
        <w:t>Docket No</w:t>
      </w:r>
      <w:r w:rsidRPr="002B1D93" w:rsidR="00130302">
        <w:t>s</w:t>
      </w:r>
      <w:r w:rsidRPr="002B1D93" w:rsidR="00C96868">
        <w:t>.</w:t>
      </w:r>
      <w:r w:rsidRPr="002B1D93" w:rsidR="00130302">
        <w:t xml:space="preserve"> </w:t>
      </w:r>
      <w:r w:rsidRPr="002B1D93" w:rsidR="008B3014">
        <w:t xml:space="preserve">TG-2152, 2153, 2154, </w:t>
      </w:r>
      <w:r w:rsidRPr="002B1D93" w:rsidR="008B3014">
        <w:rPr>
          <w:i/>
        </w:rPr>
        <w:t>In re WUTC v. Twin City Sanitary Service, et al</w:t>
      </w:r>
      <w:r w:rsidRPr="002B1D93" w:rsidR="008B3014">
        <w:rPr>
          <w:u w:val="single"/>
        </w:rPr>
        <w:t>.</w:t>
      </w:r>
      <w:r w:rsidRPr="002B1D93" w:rsidR="008B3014">
        <w:t xml:space="preserve"> </w:t>
      </w:r>
      <w:r w:rsidRPr="002B1D93" w:rsidR="00607BE2">
        <w:t>Fourth Supplemental Order</w:t>
      </w:r>
      <w:r w:rsidRPr="002B1D93" w:rsidR="00E90645">
        <w:t>,</w:t>
      </w:r>
      <w:r w:rsidRPr="002B1D93" w:rsidR="00607BE2">
        <w:t xml:space="preserve"> </w:t>
      </w:r>
      <w:r w:rsidRPr="002B1D93" w:rsidR="008B3014">
        <w:t xml:space="preserve">(Sept. 1988). </w:t>
      </w:r>
    </w:p>
    <w:p w:rsidR="002A48DA" w:rsidRPr="002B1D93" w:rsidP="00F42F0B">
      <w:pPr>
        <w:pStyle w:val="ListParagraph"/>
      </w:pPr>
      <w:r w:rsidRPr="002B1D93">
        <w:tab/>
      </w:r>
      <w:r w:rsidRPr="002B1D93" w:rsidR="008B3014">
        <w:t xml:space="preserve">The key issue here </w:t>
      </w:r>
      <w:r w:rsidRPr="002B1D93" w:rsidR="00A734B1">
        <w:t xml:space="preserve">though, </w:t>
      </w:r>
      <w:r w:rsidRPr="002B1D93" w:rsidR="008B3014">
        <w:t>in terms of the parties’ positions</w:t>
      </w:r>
      <w:r w:rsidRPr="002B1D93" w:rsidR="00D420C4">
        <w:t xml:space="preserve"> </w:t>
      </w:r>
      <w:r w:rsidRPr="002B1D93" w:rsidR="008B3014">
        <w:t xml:space="preserve">is whether the unilateral </w:t>
      </w:r>
      <w:r w:rsidRPr="002B1D93" w:rsidR="00607BE2">
        <w:t xml:space="preserve">cost recovery </w:t>
      </w:r>
      <w:r w:rsidRPr="002B1D93" w:rsidR="008B3014">
        <w:t xml:space="preserve">reduction </w:t>
      </w:r>
      <w:r w:rsidRPr="002B1D93" w:rsidR="00C96868">
        <w:t>proposal</w:t>
      </w:r>
      <w:r w:rsidRPr="002B1D93" w:rsidR="00403C05">
        <w:t xml:space="preserve"> of</w:t>
      </w:r>
      <w:r w:rsidRPr="002B1D93" w:rsidR="00C96868">
        <w:t xml:space="preserve"> </w:t>
      </w:r>
      <w:r w:rsidRPr="002B1D93" w:rsidR="008B3014">
        <w:t xml:space="preserve">Staff </w:t>
      </w:r>
      <w:r w:rsidRPr="002B1D93" w:rsidR="004F435B">
        <w:t xml:space="preserve">seeks </w:t>
      </w:r>
      <w:r w:rsidRPr="002B1D93" w:rsidR="008B3014">
        <w:t xml:space="preserve">to </w:t>
      </w:r>
      <w:r w:rsidRPr="002B1D93" w:rsidR="00A70DD9">
        <w:t xml:space="preserve">punitively </w:t>
      </w:r>
      <w:r w:rsidRPr="002B1D93" w:rsidR="00403C05">
        <w:t xml:space="preserve">sanction </w:t>
      </w:r>
      <w:r w:rsidRPr="002B1D93" w:rsidR="008B3014">
        <w:t xml:space="preserve">the Company for </w:t>
      </w:r>
      <w:r w:rsidRPr="002B1D93" w:rsidR="00C96868">
        <w:t xml:space="preserve">litigating </w:t>
      </w:r>
      <w:r w:rsidRPr="002B1D93" w:rsidR="008B3014">
        <w:t xml:space="preserve">the case </w:t>
      </w:r>
      <w:r w:rsidRPr="002B1D93" w:rsidR="00130302">
        <w:t xml:space="preserve">and </w:t>
      </w:r>
      <w:r w:rsidRPr="002B1D93" w:rsidR="00607BE2">
        <w:t xml:space="preserve">for </w:t>
      </w:r>
      <w:r w:rsidRPr="002B1D93" w:rsidR="00DB3B97">
        <w:t xml:space="preserve">perceived </w:t>
      </w:r>
      <w:r w:rsidRPr="002B1D93" w:rsidR="00403C05">
        <w:t xml:space="preserve">“complexity” blamed on the Company by </w:t>
      </w:r>
      <w:r w:rsidRPr="002B1D93" w:rsidR="00C96868">
        <w:t xml:space="preserve">Staff </w:t>
      </w:r>
      <w:r w:rsidRPr="002B1D93">
        <w:t xml:space="preserve">which </w:t>
      </w:r>
      <w:r w:rsidRPr="002B1D93" w:rsidR="00130302">
        <w:t xml:space="preserve">Staff </w:t>
      </w:r>
      <w:r w:rsidRPr="002B1D93" w:rsidR="00C96868">
        <w:t xml:space="preserve">purports to </w:t>
      </w:r>
      <w:r w:rsidRPr="002B1D93" w:rsidR="00607BE2">
        <w:t xml:space="preserve">defend </w:t>
      </w:r>
      <w:r w:rsidRPr="002B1D93" w:rsidR="00C96868">
        <w:t>by</w:t>
      </w:r>
      <w:r w:rsidRPr="002B1D93" w:rsidR="003F4574">
        <w:t xml:space="preserve"> largely </w:t>
      </w:r>
      <w:r w:rsidRPr="002B1D93" w:rsidR="00C96868">
        <w:t xml:space="preserve">alluding to </w:t>
      </w:r>
      <w:r w:rsidRPr="002B1D93" w:rsidR="008B3014">
        <w:t xml:space="preserve">alleged flaws in </w:t>
      </w:r>
      <w:r w:rsidR="00131284">
        <w:t xml:space="preserve">the formatting of </w:t>
      </w:r>
      <w:r w:rsidRPr="002B1D93" w:rsidR="008B3014">
        <w:t>spreadsheets and in the involuntary dismissal of the initial TG</w:t>
      </w:r>
      <w:r w:rsidRPr="002B1D93" w:rsidR="00C96868">
        <w:t>-131794 general rate case</w:t>
      </w:r>
      <w:r w:rsidRPr="002B1D93" w:rsidR="00C33325">
        <w:t xml:space="preserve"> in broad-brush form</w:t>
      </w:r>
      <w:r w:rsidRPr="002B1D93" w:rsidR="0082619D">
        <w:t xml:space="preserve"> which footnote 21</w:t>
      </w:r>
      <w:r w:rsidRPr="002B1D93" w:rsidR="00595C94">
        <w:t>, above,</w:t>
      </w:r>
      <w:r w:rsidRPr="002B1D93" w:rsidR="00E8371B">
        <w:t xml:space="preserve"> </w:t>
      </w:r>
      <w:r w:rsidRPr="002B1D93" w:rsidR="002C4F8D">
        <w:t>backgrounds</w:t>
      </w:r>
      <w:r w:rsidRPr="002B1D93" w:rsidR="00C96868">
        <w:t>.</w:t>
      </w:r>
      <w:r w:rsidRPr="002B1D93" w:rsidR="008B3014">
        <w:t xml:space="preserve">  </w:t>
      </w:r>
    </w:p>
    <w:p w:rsidR="00D420C4" w:rsidRPr="002B1D93" w:rsidP="00F42F0B">
      <w:pPr>
        <w:pStyle w:val="ListParagraph"/>
        <w:rPr>
          <w:i/>
          <w:iCs/>
          <w:color w:val="000000" w:themeColor="text1"/>
        </w:rPr>
      </w:pPr>
      <w:r w:rsidRPr="002B1D93">
        <w:tab/>
      </w:r>
      <w:r w:rsidRPr="002B1D93" w:rsidR="008B3014">
        <w:t xml:space="preserve">The Company </w:t>
      </w:r>
      <w:r w:rsidRPr="002B1D93" w:rsidR="00525F43">
        <w:t>believes</w:t>
      </w:r>
      <w:r w:rsidRPr="002B1D93" w:rsidR="002A48DA">
        <w:t xml:space="preserve"> </w:t>
      </w:r>
      <w:r w:rsidRPr="002B1D93" w:rsidR="008B3014">
        <w:t xml:space="preserve">that the </w:t>
      </w:r>
      <w:r w:rsidRPr="002B1D93" w:rsidR="00130302">
        <w:t xml:space="preserve">blunt </w:t>
      </w:r>
      <w:r w:rsidR="0065175F">
        <w:t xml:space="preserve">and unscientific </w:t>
      </w:r>
      <w:r w:rsidRPr="002B1D93" w:rsidR="00C96868">
        <w:t xml:space="preserve">proposal to </w:t>
      </w:r>
      <w:r w:rsidRPr="002B1D93" w:rsidR="008B3014">
        <w:t>halv</w:t>
      </w:r>
      <w:r w:rsidRPr="002B1D93" w:rsidR="00C96868">
        <w:t>e</w:t>
      </w:r>
      <w:r w:rsidRPr="002B1D93" w:rsidR="008B3014">
        <w:t xml:space="preserve"> its rate costs </w:t>
      </w:r>
      <w:r w:rsidRPr="002B1D93" w:rsidR="00C96868">
        <w:t xml:space="preserve">as a result, </w:t>
      </w:r>
      <w:r w:rsidRPr="002B1D93" w:rsidR="008B3014">
        <w:t>is arbitrary and unsupported in law</w:t>
      </w:r>
      <w:r w:rsidRPr="002B1D93" w:rsidR="00471E5D">
        <w:t>.</w:t>
      </w:r>
      <w:r w:rsidRPr="002B1D93" w:rsidR="00C96868">
        <w:t xml:space="preserve">  As the Commission</w:t>
      </w:r>
      <w:r w:rsidRPr="002B1D93" w:rsidR="002A48DA">
        <w:t xml:space="preserve"> previously</w:t>
      </w:r>
      <w:r w:rsidRPr="002B1D93" w:rsidR="00C96868">
        <w:t xml:space="preserve"> ruled </w:t>
      </w:r>
      <w:r w:rsidRPr="002B1D93" w:rsidR="008B3014">
        <w:t>in</w:t>
      </w:r>
      <w:r w:rsidRPr="002B1D93" w:rsidR="00130302">
        <w:t>,</w:t>
      </w:r>
      <w:r w:rsidRPr="002B1D93" w:rsidR="008B3014">
        <w:t xml:space="preserve"> </w:t>
      </w:r>
      <w:r w:rsidRPr="002B1D93" w:rsidR="002A48DA">
        <w:rPr>
          <w:i/>
        </w:rPr>
        <w:t xml:space="preserve">In re </w:t>
      </w:r>
      <w:r w:rsidRPr="002B1D93" w:rsidR="008B3014">
        <w:rPr>
          <w:i/>
        </w:rPr>
        <w:t xml:space="preserve">WUTC v. Puget Sound Energy, </w:t>
      </w:r>
      <w:r w:rsidRPr="002B1D93" w:rsidR="008B3014">
        <w:rPr>
          <w:i/>
        </w:rPr>
        <w:t>Inc</w:t>
      </w:r>
      <w:r w:rsidRPr="002B1D93" w:rsidR="00C96868">
        <w:t>,</w:t>
      </w:r>
      <w:r w:rsidRPr="002B1D93" w:rsidR="008B3014">
        <w:t xml:space="preserve"> Docket Nos. </w:t>
      </w:r>
      <w:r w:rsidRPr="002B1D93" w:rsidR="008B3014">
        <w:t>UE</w:t>
      </w:r>
      <w:r w:rsidRPr="002B1D93" w:rsidR="008B3014">
        <w:t xml:space="preserve">-040640 &amp; </w:t>
      </w:r>
      <w:r w:rsidRPr="002B1D93" w:rsidR="008B3014">
        <w:t>UE</w:t>
      </w:r>
      <w:r w:rsidRPr="002B1D93" w:rsidR="008B3014">
        <w:t xml:space="preserve">-040641, </w:t>
      </w:r>
      <w:r w:rsidRPr="002B1D93" w:rsidR="00C96868">
        <w:t>and</w:t>
      </w:r>
      <w:r w:rsidRPr="002B1D93" w:rsidR="008B3014">
        <w:t xml:space="preserve"> Docket Nos. </w:t>
      </w:r>
      <w:r w:rsidRPr="002B1D93" w:rsidR="008B3014">
        <w:t>UE</w:t>
      </w:r>
      <w:r w:rsidRPr="002B1D93" w:rsidR="008B3014">
        <w:t xml:space="preserve">-031471 and </w:t>
      </w:r>
      <w:r w:rsidRPr="002B1D93" w:rsidR="008B3014">
        <w:t>UE</w:t>
      </w:r>
      <w:r w:rsidRPr="002B1D93" w:rsidR="008B3014">
        <w:t>-032043</w:t>
      </w:r>
      <w:r w:rsidRPr="002B1D93" w:rsidR="00130302">
        <w:t>,</w:t>
      </w:r>
      <w:r w:rsidRPr="002B1D93" w:rsidR="00F42F0B">
        <w:t xml:space="preserve"> (Feb. 2005),</w:t>
      </w:r>
      <w:r w:rsidRPr="002B1D93" w:rsidR="00CB4410">
        <w:t xml:space="preserve"> rejecting </w:t>
      </w:r>
      <w:r w:rsidRPr="002B1D93" w:rsidR="008B3014">
        <w:t>a similar argument about sharing of rate case expenses on a 50/</w:t>
      </w:r>
      <w:r w:rsidRPr="002B1D93" w:rsidR="002A48DA">
        <w:t>50 percent basis in that case</w:t>
      </w:r>
      <w:r w:rsidRPr="002B1D93" w:rsidR="00812F13">
        <w:t xml:space="preserve"> </w:t>
      </w:r>
      <w:r w:rsidRPr="002B1D93" w:rsidR="002A48DA">
        <w:t xml:space="preserve">in denying the argument </w:t>
      </w:r>
      <w:r w:rsidRPr="002B1D93" w:rsidR="008B3014">
        <w:t>by the interven</w:t>
      </w:r>
      <w:r w:rsidRPr="002B1D93" w:rsidR="00CB4410">
        <w:t>or</w:t>
      </w:r>
      <w:r w:rsidRPr="002B1D93" w:rsidR="002A48DA">
        <w:t>,</w:t>
      </w:r>
      <w:r w:rsidRPr="002B1D93" w:rsidR="00CB4410">
        <w:t xml:space="preserve"> I</w:t>
      </w:r>
      <w:r w:rsidRPr="002B1D93" w:rsidR="008B3014">
        <w:t xml:space="preserve">ndustrial </w:t>
      </w:r>
      <w:r w:rsidRPr="002B1D93" w:rsidR="00CB4410">
        <w:t>C</w:t>
      </w:r>
      <w:r w:rsidRPr="002B1D93" w:rsidR="008B3014">
        <w:t xml:space="preserve">ustomers of </w:t>
      </w:r>
      <w:r w:rsidRPr="002B1D93" w:rsidR="00CB4410">
        <w:t>Northwest U</w:t>
      </w:r>
      <w:r w:rsidRPr="002B1D93" w:rsidR="008B3014">
        <w:t>tilities</w:t>
      </w:r>
      <w:r w:rsidRPr="002B1D93" w:rsidR="0082619D">
        <w:t>,</w:t>
      </w:r>
      <w:r w:rsidRPr="002B1D93" w:rsidR="002A48DA">
        <w:t xml:space="preserve"> </w:t>
      </w:r>
      <w:r w:rsidRPr="002B1D93" w:rsidR="00BC1563">
        <w:t>and noting</w:t>
      </w:r>
      <w:r w:rsidRPr="002B1D93" w:rsidR="00812F13">
        <w:t xml:space="preserve"> </w:t>
      </w:r>
      <w:r w:rsidRPr="002B1D93" w:rsidR="002A48DA">
        <w:t>there</w:t>
      </w:r>
      <w:r w:rsidRPr="002B1D93" w:rsidR="00CB4410">
        <w:t>:</w:t>
      </w:r>
      <w:r w:rsidRPr="002B1D93" w:rsidR="00C33325">
        <w:t xml:space="preserve"> </w:t>
      </w:r>
    </w:p>
    <w:p w:rsidR="00C70A33" w:rsidRPr="002B1D93" w:rsidP="00543A18">
      <w:pPr>
        <w:pStyle w:val="Quote"/>
        <w:ind w:left="1440"/>
        <w:rPr>
          <w:rStyle w:val="QuoteChar"/>
          <w:rFonts w:ascii="Times New Roman" w:hAnsi="Times New Roman" w:cs="Times New Roman"/>
          <w:sz w:val="24"/>
          <w:szCs w:val="24"/>
        </w:rPr>
      </w:pPr>
      <w:r w:rsidRPr="002B1D93">
        <w:rPr>
          <w:rFonts w:ascii="Times New Roman" w:hAnsi="Times New Roman" w:cs="Times New Roman"/>
          <w:i w:val="0"/>
          <w:sz w:val="24"/>
          <w:szCs w:val="24"/>
        </w:rPr>
        <w:t>…</w:t>
      </w:r>
      <w:r w:rsidRPr="002B1D93" w:rsidR="00CB4410">
        <w:rPr>
          <w:rFonts w:ascii="Times New Roman" w:hAnsi="Times New Roman" w:cs="Times New Roman"/>
          <w:i w:val="0"/>
          <w:sz w:val="24"/>
          <w:szCs w:val="24"/>
        </w:rPr>
        <w:t>[</w:t>
      </w:r>
      <w:r w:rsidRPr="002B1D93" w:rsidR="00CB4410">
        <w:rPr>
          <w:rFonts w:ascii="Times New Roman" w:hAnsi="Times New Roman" w:cs="Times New Roman"/>
          <w:i w:val="0"/>
          <w:sz w:val="24"/>
          <w:szCs w:val="24"/>
        </w:rPr>
        <w:t>w]</w:t>
      </w:r>
      <w:r w:rsidRPr="002B1D93" w:rsidR="008B3014">
        <w:rPr>
          <w:rFonts w:ascii="Times New Roman" w:hAnsi="Times New Roman" w:cs="Times New Roman"/>
          <w:i w:val="0"/>
          <w:sz w:val="24"/>
          <w:szCs w:val="24"/>
        </w:rPr>
        <w:t>e find no basis in our record upon</w:t>
      </w:r>
      <w:r w:rsidRPr="002B1D93" w:rsidR="002A48DA">
        <w:rPr>
          <w:rFonts w:ascii="Times New Roman" w:hAnsi="Times New Roman" w:cs="Times New Roman"/>
          <w:i w:val="0"/>
          <w:sz w:val="24"/>
          <w:szCs w:val="24"/>
        </w:rPr>
        <w:t xml:space="preserve"> which</w:t>
      </w:r>
      <w:r w:rsidRPr="002B1D93" w:rsidR="008B3014">
        <w:rPr>
          <w:rFonts w:ascii="Times New Roman" w:hAnsi="Times New Roman" w:cs="Times New Roman"/>
          <w:i w:val="0"/>
          <w:sz w:val="24"/>
          <w:szCs w:val="24"/>
        </w:rPr>
        <w:t xml:space="preserve"> to adjust the amount both PSE and Staff recommend be allowed for general ra</w:t>
      </w:r>
      <w:r w:rsidRPr="002B1D93" w:rsidR="00CB4410">
        <w:rPr>
          <w:rFonts w:ascii="Times New Roman" w:hAnsi="Times New Roman" w:cs="Times New Roman"/>
          <w:i w:val="0"/>
          <w:sz w:val="24"/>
          <w:szCs w:val="24"/>
        </w:rPr>
        <w:t>te case expense. [ICNU’s expert</w:t>
      </w:r>
      <w:r w:rsidRPr="002B1D93" w:rsidR="008B3014">
        <w:rPr>
          <w:rFonts w:ascii="Times New Roman" w:hAnsi="Times New Roman" w:cs="Times New Roman"/>
          <w:i w:val="0"/>
          <w:sz w:val="24"/>
          <w:szCs w:val="24"/>
        </w:rPr>
        <w:t>’s</w:t>
      </w:r>
      <w:r w:rsidRPr="002B1D93" w:rsidR="00CB4410">
        <w:rPr>
          <w:rFonts w:ascii="Times New Roman" w:hAnsi="Times New Roman" w:cs="Times New Roman"/>
          <w:i w:val="0"/>
          <w:sz w:val="24"/>
          <w:szCs w:val="24"/>
        </w:rPr>
        <w:t xml:space="preserve">] </w:t>
      </w:r>
      <w:r w:rsidRPr="002B1D93" w:rsidR="008B3014">
        <w:rPr>
          <w:rFonts w:ascii="Times New Roman" w:hAnsi="Times New Roman" w:cs="Times New Roman"/>
          <w:i w:val="0"/>
          <w:sz w:val="24"/>
          <w:szCs w:val="24"/>
        </w:rPr>
        <w:t>sharing proposal is not grounded in statute.  His proposal is not based on any expert analysis that would provide a factual basis for not allowing the Company to recover half of the costs it has, in fact, incurred.  Accordingly</w:t>
      </w:r>
      <w:r w:rsidRPr="002B1D93" w:rsidR="002A48DA">
        <w:rPr>
          <w:rFonts w:ascii="Times New Roman" w:hAnsi="Times New Roman" w:cs="Times New Roman"/>
          <w:i w:val="0"/>
          <w:sz w:val="24"/>
          <w:szCs w:val="24"/>
        </w:rPr>
        <w:t xml:space="preserve"> we will not</w:t>
      </w:r>
      <w:r w:rsidRPr="002B1D93" w:rsidR="008B3014">
        <w:rPr>
          <w:rFonts w:ascii="Times New Roman" w:hAnsi="Times New Roman" w:cs="Times New Roman"/>
          <w:i w:val="0"/>
          <w:sz w:val="24"/>
          <w:szCs w:val="24"/>
        </w:rPr>
        <w:t xml:space="preserve"> adjust PSE’s rate case expense as ICNU proposes.</w:t>
      </w:r>
      <w:r>
        <w:rPr>
          <w:rStyle w:val="QuoteChar"/>
          <w:rFonts w:ascii="Times New Roman" w:hAnsi="Times New Roman" w:cs="Times New Roman"/>
          <w:sz w:val="24"/>
          <w:szCs w:val="24"/>
          <w:vertAlign w:val="superscript"/>
        </w:rPr>
        <w:footnoteReference w:id="34"/>
      </w:r>
    </w:p>
    <w:p w:rsidR="00543A18" w:rsidRPr="002B1D93" w:rsidP="00543A18">
      <w:pPr>
        <w:rPr>
          <w:rFonts w:ascii="Times New Roman" w:hAnsi="Times New Roman" w:cs="Times New Roman"/>
          <w:sz w:val="24"/>
          <w:szCs w:val="24"/>
        </w:rPr>
      </w:pPr>
    </w:p>
    <w:p w:rsidR="00C70A33" w:rsidRPr="002B1D93" w:rsidP="00F42F0B">
      <w:pPr>
        <w:pStyle w:val="ListParagraph"/>
      </w:pPr>
      <w:r w:rsidRPr="002B1D93">
        <w:tab/>
      </w:r>
      <w:r w:rsidRPr="002B1D93" w:rsidR="00D55483">
        <w:t>One</w:t>
      </w:r>
      <w:r w:rsidRPr="002B1D93" w:rsidR="00595C94">
        <w:t xml:space="preserve"> major flaw in </w:t>
      </w:r>
      <w:r w:rsidRPr="002B1D93" w:rsidR="002A48DA">
        <w:t>Staff’s proposal to dilute and disallow recovery of legitimately</w:t>
      </w:r>
      <w:r w:rsidRPr="002B1D93" w:rsidR="00A07248">
        <w:t>-</w:t>
      </w:r>
      <w:r w:rsidRPr="002B1D93" w:rsidR="002A48DA">
        <w:t xml:space="preserve">incurred Company </w:t>
      </w:r>
      <w:r w:rsidRPr="002B1D93" w:rsidR="00C33325">
        <w:t xml:space="preserve">reasonable </w:t>
      </w:r>
      <w:r w:rsidRPr="002B1D93" w:rsidR="002A48DA">
        <w:t xml:space="preserve">rate case costs is its </w:t>
      </w:r>
      <w:r w:rsidRPr="002B1D93" w:rsidR="008C12E7">
        <w:t xml:space="preserve">obvious </w:t>
      </w:r>
      <w:r w:rsidRPr="002B1D93" w:rsidR="002A48DA">
        <w:t>arbitrariness.  There is no</w:t>
      </w:r>
      <w:r w:rsidR="00891B23">
        <w:t xml:space="preserve"> real</w:t>
      </w:r>
      <w:r w:rsidRPr="002B1D93" w:rsidR="002A48DA">
        <w:t xml:space="preserve"> logic to its selection of December 24, 2013 as an “embarkation point” </w:t>
      </w:r>
      <w:r w:rsidRPr="002B1D93" w:rsidR="00812F13">
        <w:t>(</w:t>
      </w:r>
      <w:r w:rsidRPr="002B1D93" w:rsidR="002A48DA">
        <w:t>the date on which the Prehearing conference Notice issued</w:t>
      </w:r>
      <w:r w:rsidR="009617B5">
        <w:t xml:space="preserve"> and the adjudication formally commenced</w:t>
      </w:r>
      <w:r w:rsidRPr="002B1D93" w:rsidR="00812F13">
        <w:t>)</w:t>
      </w:r>
      <w:r w:rsidRPr="002B1D93" w:rsidR="002A48DA">
        <w:t xml:space="preserve"> nor is there any </w:t>
      </w:r>
      <w:r w:rsidRPr="002B1D93" w:rsidR="00E90645">
        <w:t xml:space="preserve">logical </w:t>
      </w:r>
      <w:r w:rsidRPr="002B1D93" w:rsidR="002A48DA">
        <w:t xml:space="preserve">symmetry to its premise that from that point on the Company should only receive “half a loaf” in rate case expense recovery.  The </w:t>
      </w:r>
      <w:r w:rsidRPr="002B1D93" w:rsidR="00DB3B97">
        <w:t xml:space="preserve">measurement </w:t>
      </w:r>
      <w:r w:rsidRPr="002B1D93" w:rsidR="002A48DA">
        <w:t xml:space="preserve">from that point on </w:t>
      </w:r>
      <w:r w:rsidRPr="002B1D93" w:rsidR="00DB3B97">
        <w:t xml:space="preserve">when </w:t>
      </w:r>
      <w:r w:rsidRPr="002B1D93" w:rsidR="002A48DA">
        <w:t xml:space="preserve">the matter appeared destined for contest could only be justified as a trigger point for reducing rate case costs if the </w:t>
      </w:r>
      <w:r w:rsidRPr="002B1D93" w:rsidR="00DB3B97">
        <w:t xml:space="preserve">overriding </w:t>
      </w:r>
      <w:r w:rsidRPr="002B1D93" w:rsidR="002A48DA">
        <w:t xml:space="preserve">goal </w:t>
      </w:r>
      <w:r w:rsidRPr="002B1D93" w:rsidR="00812F13">
        <w:t xml:space="preserve">were </w:t>
      </w:r>
      <w:r w:rsidRPr="002B1D93" w:rsidR="002A48DA">
        <w:t xml:space="preserve">to sanction </w:t>
      </w:r>
      <w:r w:rsidRPr="002B1D93" w:rsidR="00F42F0B">
        <w:t xml:space="preserve">the </w:t>
      </w:r>
      <w:r w:rsidRPr="002B1D93" w:rsidR="002A48DA">
        <w:t xml:space="preserve">Company for refusing to accept what </w:t>
      </w:r>
      <w:r w:rsidRPr="002B1D93" w:rsidR="00F42F0B">
        <w:t xml:space="preserve">the Company </w:t>
      </w:r>
      <w:r w:rsidRPr="002B1D93" w:rsidR="00A734B1">
        <w:t xml:space="preserve">then </w:t>
      </w:r>
      <w:r w:rsidRPr="002B1D93" w:rsidR="002A48DA">
        <w:t>viewed as unprecedented</w:t>
      </w:r>
      <w:r w:rsidRPr="002B1D93" w:rsidR="000C0B49">
        <w:t>,</w:t>
      </w:r>
      <w:r w:rsidRPr="002B1D93" w:rsidR="002A48DA">
        <w:t xml:space="preserve"> unfair and</w:t>
      </w:r>
      <w:r w:rsidRPr="002B1D93" w:rsidR="00595C94">
        <w:t>/or</w:t>
      </w:r>
      <w:r w:rsidRPr="002B1D93" w:rsidR="002A48DA">
        <w:t xml:space="preserve"> inaccurate renditions of accounting adjustments and </w:t>
      </w:r>
      <w:r w:rsidRPr="002B1D93" w:rsidR="00A734B1">
        <w:t xml:space="preserve">also </w:t>
      </w:r>
      <w:r w:rsidRPr="002B1D93" w:rsidR="00DB3B97">
        <w:t xml:space="preserve">apparently </w:t>
      </w:r>
      <w:r w:rsidRPr="002B1D93" w:rsidR="002A48DA">
        <w:t xml:space="preserve">having the temerity to </w:t>
      </w:r>
      <w:r w:rsidRPr="002B1D93" w:rsidR="00C33325">
        <w:t xml:space="preserve">formally </w:t>
      </w:r>
      <w:r w:rsidRPr="002B1D93" w:rsidR="002A48DA">
        <w:t>challenge</w:t>
      </w:r>
      <w:r w:rsidRPr="002B1D93" w:rsidR="00D97721">
        <w:t xml:space="preserve"> these</w:t>
      </w:r>
      <w:r w:rsidRPr="002B1D93" w:rsidR="002A48DA">
        <w:t xml:space="preserve"> S</w:t>
      </w:r>
      <w:r w:rsidRPr="002B1D93" w:rsidR="00D97721">
        <w:t xml:space="preserve">taff </w:t>
      </w:r>
      <w:r w:rsidRPr="002B1D93" w:rsidR="002A48DA">
        <w:t>positions before the agency.  The</w:t>
      </w:r>
      <w:r w:rsidRPr="002B1D93" w:rsidR="00A435E6">
        <w:t xml:space="preserve"> Company believes</w:t>
      </w:r>
      <w:r w:rsidRPr="002B1D93" w:rsidR="00E90645">
        <w:t xml:space="preserve"> instead,</w:t>
      </w:r>
      <w:r w:rsidRPr="002B1D93" w:rsidR="00A435E6">
        <w:t xml:space="preserve"> RCW 81.77, 81.28 and WAC 480-07-500 </w:t>
      </w:r>
      <w:r w:rsidRPr="002B1D93" w:rsidR="00812F13">
        <w:t xml:space="preserve">et seq. all </w:t>
      </w:r>
      <w:r w:rsidRPr="002B1D93" w:rsidR="004F435B">
        <w:t xml:space="preserve">guarantee </w:t>
      </w:r>
      <w:r w:rsidRPr="002B1D93" w:rsidR="00BC1563">
        <w:t xml:space="preserve">basic </w:t>
      </w:r>
      <w:r w:rsidRPr="002B1D93" w:rsidR="00812F13">
        <w:t xml:space="preserve">due process </w:t>
      </w:r>
      <w:r w:rsidRPr="002B1D93" w:rsidR="00A07248">
        <w:t xml:space="preserve">procedures </w:t>
      </w:r>
      <w:r w:rsidRPr="002B1D93" w:rsidR="00DB3B97">
        <w:t xml:space="preserve">codifying that </w:t>
      </w:r>
      <w:r w:rsidRPr="002B1D93" w:rsidR="00A435E6">
        <w:t>right in a</w:t>
      </w:r>
      <w:r w:rsidRPr="002B1D93" w:rsidR="00812F13">
        <w:t>ny</w:t>
      </w:r>
      <w:r w:rsidRPr="002B1D93" w:rsidR="00A435E6">
        <w:t xml:space="preserve"> respondent</w:t>
      </w:r>
      <w:r w:rsidRPr="002B1D93" w:rsidR="0082619D">
        <w:t xml:space="preserve"> with the statutory burden of proof.</w:t>
      </w:r>
      <w:r w:rsidRPr="002B1D93" w:rsidR="00812F13">
        <w:t xml:space="preserve">  </w:t>
      </w:r>
      <w:r w:rsidRPr="002B1D93" w:rsidR="00BC1563">
        <w:t>T</w:t>
      </w:r>
      <w:r w:rsidRPr="002B1D93" w:rsidR="00A435E6">
        <w:t xml:space="preserve">elling a </w:t>
      </w:r>
      <w:r w:rsidRPr="002B1D93" w:rsidR="00A734B1">
        <w:t xml:space="preserve">rate case proponent </w:t>
      </w:r>
      <w:r w:rsidRPr="002B1D93" w:rsidR="00D97721">
        <w:t xml:space="preserve">finding </w:t>
      </w:r>
      <w:r w:rsidRPr="002B1D93" w:rsidR="00A435E6">
        <w:t xml:space="preserve">the </w:t>
      </w:r>
      <w:r w:rsidRPr="002B1D93" w:rsidR="00C33325">
        <w:t xml:space="preserve">final </w:t>
      </w:r>
      <w:r w:rsidRPr="002B1D93" w:rsidR="00A435E6">
        <w:t>Staff</w:t>
      </w:r>
      <w:r w:rsidRPr="002B1D93" w:rsidR="00812F13">
        <w:t>-</w:t>
      </w:r>
      <w:r w:rsidRPr="002B1D93" w:rsidR="00A435E6">
        <w:t>recommended revenue requirement insufficient under law that it risks subjective</w:t>
      </w:r>
      <w:r w:rsidRPr="002B1D93" w:rsidR="00812F13">
        <w:t>, material</w:t>
      </w:r>
      <w:r w:rsidRPr="002B1D93" w:rsidR="00A435E6">
        <w:t xml:space="preserve"> disallowance of subsequent rate case cost recovery by proceeding through the various due process hearing avenues is unquestionably chilling to the exercise of such rights</w:t>
      </w:r>
      <w:r w:rsidRPr="002B1D93" w:rsidR="00A07248">
        <w:t xml:space="preserve"> </w:t>
      </w:r>
      <w:r w:rsidRPr="002B1D93" w:rsidR="00D97721">
        <w:t xml:space="preserve">for </w:t>
      </w:r>
      <w:r w:rsidRPr="002B1D93" w:rsidR="00A07248">
        <w:t xml:space="preserve">any regulated </w:t>
      </w:r>
      <w:r w:rsidRPr="002B1D93" w:rsidR="003F4574">
        <w:t xml:space="preserve">public service </w:t>
      </w:r>
      <w:r w:rsidRPr="002B1D93" w:rsidR="00A07248">
        <w:t>company</w:t>
      </w:r>
      <w:r w:rsidRPr="002B1D93" w:rsidR="00595C94">
        <w:t>,</w:t>
      </w:r>
      <w:r w:rsidRPr="002B1D93" w:rsidR="00A70DD9">
        <w:t xml:space="preserve"> and</w:t>
      </w:r>
      <w:r w:rsidRPr="002B1D93" w:rsidR="00595C94">
        <w:t>,</w:t>
      </w:r>
      <w:r w:rsidRPr="002B1D93" w:rsidR="00A70DD9">
        <w:t xml:space="preserve"> </w:t>
      </w:r>
      <w:r w:rsidRPr="002B1D93" w:rsidR="00BC1563">
        <w:t xml:space="preserve">concomitantly, </w:t>
      </w:r>
      <w:r w:rsidRPr="002B1D93" w:rsidR="00A70DD9">
        <w:t>contrary to the public interest</w:t>
      </w:r>
      <w:r w:rsidRPr="002B1D93" w:rsidR="00A07248">
        <w:t>.</w:t>
      </w:r>
    </w:p>
    <w:p w:rsidR="00595C94" w:rsidRPr="002B1D93" w:rsidP="00595C94">
      <w:pPr>
        <w:pStyle w:val="HEADING10"/>
        <w:spacing w:after="240"/>
        <w:rPr>
          <w:szCs w:val="24"/>
        </w:rPr>
      </w:pPr>
      <w:r w:rsidRPr="002B1D93">
        <w:rPr>
          <w:szCs w:val="24"/>
        </w:rPr>
        <w:t xml:space="preserve">  </w:t>
      </w:r>
      <w:bookmarkStart w:id="66" w:name="_Toc402944400"/>
      <w:bookmarkStart w:id="67" w:name="_Toc403051689"/>
      <w:bookmarkStart w:id="68" w:name="_Toc256000014"/>
      <w:bookmarkStart w:id="69" w:name="_Toc256000029"/>
      <w:r w:rsidRPr="002B1D93" w:rsidR="00F672DC">
        <w:rPr>
          <w:szCs w:val="24"/>
        </w:rPr>
        <w:t>CONCLUSION</w:t>
      </w:r>
      <w:r w:rsidRPr="002B1D93" w:rsidR="00407B68">
        <w:rPr>
          <w:szCs w:val="24"/>
        </w:rPr>
        <w:t>/PRAYER FOR RELIEF</w:t>
      </w:r>
      <w:bookmarkEnd w:id="69"/>
      <w:bookmarkEnd w:id="68"/>
      <w:bookmarkEnd w:id="66"/>
      <w:bookmarkEnd w:id="67"/>
    </w:p>
    <w:p w:rsidR="009E2996" w:rsidRPr="002B1D93" w:rsidP="00F42F0B">
      <w:pPr>
        <w:pStyle w:val="ListParagraph"/>
      </w:pPr>
      <w:r w:rsidRPr="002B1D93">
        <w:tab/>
        <w:t xml:space="preserve">For all of the foregoing reasons, Waste Control, Inc. asks the Commission to reject the Staff positions on utility cost allocations, land rent return, investigation fee imposition and diluted rate case cost recovery and find in the Company’s favor based on the facts and </w:t>
      </w:r>
      <w:r w:rsidRPr="002B1D93" w:rsidR="00732296">
        <w:t xml:space="preserve">legal </w:t>
      </w:r>
      <w:r w:rsidRPr="002B1D93">
        <w:t xml:space="preserve">arguments above and the </w:t>
      </w:r>
      <w:r w:rsidRPr="002B1D93" w:rsidR="0082619D">
        <w:t>Company’</w:t>
      </w:r>
      <w:r w:rsidRPr="002B1D93">
        <w:t>s</w:t>
      </w:r>
      <w:r w:rsidRPr="002B1D93" w:rsidR="00D2502E">
        <w:t xml:space="preserve"> S</w:t>
      </w:r>
      <w:r w:rsidRPr="002B1D93">
        <w:t xml:space="preserve">upplemental </w:t>
      </w:r>
      <w:r w:rsidRPr="002B1D93" w:rsidR="00732296">
        <w:t>T</w:t>
      </w:r>
      <w:r w:rsidRPr="002B1D93">
        <w:t>estimony supporting th</w:t>
      </w:r>
      <w:r w:rsidRPr="002B1D93" w:rsidR="00A734B1">
        <w:t>e</w:t>
      </w:r>
      <w:r w:rsidRPr="002B1D93" w:rsidR="00366671">
        <w:t>se remaining contested accounting adjustments</w:t>
      </w:r>
      <w:r w:rsidRPr="002B1D93">
        <w:t>.</w:t>
      </w:r>
    </w:p>
    <w:p w:rsidR="009903F4" w:rsidP="009903F4">
      <w:pPr>
        <w:pStyle w:val="ListParagraph"/>
        <w:numPr>
          <w:ilvl w:val="0"/>
          <w:numId w:val="0"/>
        </w:numPr>
      </w:pPr>
    </w:p>
    <w:p w:rsidR="00BC1563" w:rsidP="009903F4">
      <w:pPr>
        <w:pStyle w:val="ListParagraph"/>
        <w:numPr>
          <w:ilvl w:val="0"/>
          <w:numId w:val="0"/>
        </w:numPr>
      </w:pPr>
      <w:r w:rsidRPr="002B1D93">
        <w:t>DATED this 7</w:t>
      </w:r>
      <w:r w:rsidRPr="002B1D93">
        <w:rPr>
          <w:vertAlign w:val="superscript"/>
        </w:rPr>
        <w:t>th</w:t>
      </w:r>
      <w:r w:rsidRPr="002B1D93">
        <w:t xml:space="preserve"> day of November 2014.</w:t>
      </w:r>
    </w:p>
    <w:p w:rsidR="0065175F" w:rsidRPr="002B1D93" w:rsidP="009903F4">
      <w:pPr>
        <w:pStyle w:val="ListParagraph"/>
        <w:numPr>
          <w:ilvl w:val="0"/>
          <w:numId w:val="0"/>
        </w:numPr>
      </w:pPr>
    </w:p>
    <w:tbl>
      <w:tblPr>
        <w:tblW w:w="9558" w:type="dxa"/>
        <w:tblLayout w:type="fixed"/>
        <w:tblLook w:val="0000"/>
      </w:tblPr>
      <w:tblGrid>
        <w:gridCol w:w="4698"/>
        <w:gridCol w:w="4860"/>
      </w:tblGrid>
      <w:tr w:rsidTr="00BC1563">
        <w:tblPrEx>
          <w:tblW w:w="9558" w:type="dxa"/>
          <w:tblLayout w:type="fixed"/>
          <w:tblLook w:val="0000"/>
        </w:tblPrEx>
        <w:trPr>
          <w:cantSplit/>
        </w:trPr>
        <w:tc>
          <w:tcPr>
            <w:tcW w:w="4698" w:type="dxa"/>
          </w:tcPr>
          <w:p w:rsidR="00BC1563" w:rsidRPr="002B1D93" w:rsidP="00E73486">
            <w:pPr>
              <w:keepNext/>
              <w:keepLines/>
              <w:tabs>
                <w:tab w:val="left" w:pos="432"/>
              </w:tabs>
              <w:spacing w:line="240" w:lineRule="exact"/>
              <w:rPr>
                <w:rFonts w:ascii="Times New Roman" w:hAnsi="Times New Roman" w:cs="Times New Roman"/>
                <w:sz w:val="24"/>
                <w:szCs w:val="24"/>
              </w:rPr>
            </w:pPr>
          </w:p>
        </w:tc>
        <w:tc>
          <w:tcPr>
            <w:tcW w:w="4860" w:type="dxa"/>
          </w:tcPr>
          <w:p w:rsidR="00BC1563" w:rsidP="00E73486">
            <w:pPr>
              <w:keepNext/>
              <w:keepLines/>
              <w:spacing w:line="240" w:lineRule="exact"/>
              <w:rPr>
                <w:rFonts w:ascii="Times New Roman" w:hAnsi="Times New Roman" w:cs="Times New Roman"/>
                <w:caps/>
                <w:sz w:val="24"/>
                <w:szCs w:val="24"/>
              </w:rPr>
            </w:pPr>
            <w:r w:rsidRPr="002B1D93">
              <w:rPr>
                <w:rFonts w:ascii="Times New Roman" w:hAnsi="Times New Roman" w:cs="Times New Roman"/>
                <w:sz w:val="24"/>
                <w:szCs w:val="24"/>
              </w:rPr>
              <w:t>Respectfully submitted</w:t>
            </w:r>
            <w:r w:rsidRPr="002B1D93">
              <w:rPr>
                <w:rFonts w:ascii="Times New Roman" w:hAnsi="Times New Roman" w:cs="Times New Roman"/>
                <w:caps/>
                <w:sz w:val="24"/>
                <w:szCs w:val="24"/>
              </w:rPr>
              <w:t>,</w:t>
            </w:r>
          </w:p>
          <w:p w:rsidR="0065175F" w:rsidRPr="002B1D93" w:rsidP="00E73486">
            <w:pPr>
              <w:keepNext/>
              <w:keepLines/>
              <w:spacing w:line="240" w:lineRule="exact"/>
              <w:rPr>
                <w:rFonts w:ascii="Times New Roman" w:hAnsi="Times New Roman" w:cs="Times New Roman"/>
                <w:caps/>
                <w:sz w:val="24"/>
                <w:szCs w:val="24"/>
              </w:rPr>
            </w:pPr>
          </w:p>
          <w:p w:rsidR="00BC1563" w:rsidRPr="002B1D93" w:rsidP="00E73486">
            <w:pPr>
              <w:keepNext/>
              <w:keepLines/>
              <w:spacing w:line="240" w:lineRule="exact"/>
              <w:rPr>
                <w:rFonts w:ascii="Times New Roman" w:hAnsi="Times New Roman" w:cs="Times New Roman"/>
                <w:caps/>
                <w:sz w:val="24"/>
                <w:szCs w:val="24"/>
              </w:rPr>
            </w:pPr>
            <w:r w:rsidRPr="002B1D93">
              <w:rPr>
                <w:rFonts w:ascii="Times New Roman" w:hAnsi="Times New Roman" w:cs="Times New Roman"/>
                <w:caps/>
                <w:sz w:val="24"/>
                <w:szCs w:val="24"/>
              </w:rPr>
              <w:t>Williams, Kastner &amp; Gibbs PLLC</w:t>
            </w:r>
          </w:p>
          <w:p w:rsidR="00BC1563" w:rsidRPr="002B1D93" w:rsidP="00E73486">
            <w:pPr>
              <w:keepNext/>
              <w:keepLines/>
              <w:spacing w:line="240" w:lineRule="exact"/>
              <w:rPr>
                <w:rFonts w:ascii="Times New Roman" w:hAnsi="Times New Roman" w:cs="Times New Roman"/>
                <w:sz w:val="24"/>
                <w:szCs w:val="24"/>
              </w:rPr>
            </w:pPr>
          </w:p>
          <w:p w:rsidR="00BC1563" w:rsidP="00E73486">
            <w:pPr>
              <w:keepNext/>
              <w:keepLines/>
              <w:spacing w:line="240" w:lineRule="exact"/>
              <w:rPr>
                <w:rFonts w:ascii="Times New Roman" w:hAnsi="Times New Roman" w:cs="Times New Roman"/>
                <w:sz w:val="24"/>
                <w:szCs w:val="24"/>
              </w:rPr>
            </w:pPr>
          </w:p>
          <w:p w:rsidR="0065175F" w:rsidRPr="002B1D93" w:rsidP="00E73486">
            <w:pPr>
              <w:keepNext/>
              <w:keepLines/>
              <w:spacing w:line="240" w:lineRule="exact"/>
              <w:rPr>
                <w:rFonts w:ascii="Times New Roman" w:hAnsi="Times New Roman" w:cs="Times New Roman"/>
                <w:sz w:val="24"/>
                <w:szCs w:val="24"/>
              </w:rPr>
            </w:pPr>
          </w:p>
          <w:p w:rsidR="00BC1563" w:rsidRPr="002B1D93" w:rsidP="00E73486">
            <w:pPr>
              <w:keepNext/>
              <w:keepLines/>
              <w:tabs>
                <w:tab w:val="right" w:pos="4572"/>
              </w:tabs>
              <w:spacing w:line="240" w:lineRule="exact"/>
              <w:rPr>
                <w:rFonts w:ascii="Times New Roman" w:hAnsi="Times New Roman" w:cs="Times New Roman"/>
                <w:sz w:val="24"/>
                <w:szCs w:val="24"/>
                <w:u w:val="single"/>
              </w:rPr>
            </w:pPr>
            <w:r w:rsidRPr="002B1D93">
              <w:rPr>
                <w:rFonts w:ascii="Times New Roman" w:hAnsi="Times New Roman" w:cs="Times New Roman"/>
                <w:sz w:val="24"/>
                <w:szCs w:val="24"/>
              </w:rPr>
              <w:t xml:space="preserve">By </w:t>
            </w:r>
            <w:r w:rsidRPr="002B1D93">
              <w:rPr>
                <w:rFonts w:ascii="Times New Roman" w:hAnsi="Times New Roman" w:cs="Times New Roman"/>
                <w:sz w:val="24"/>
                <w:szCs w:val="24"/>
                <w:u w:val="single"/>
              </w:rPr>
              <w:tab/>
            </w:r>
          </w:p>
          <w:p w:rsidR="00BC1563" w:rsidRPr="002B1D93" w:rsidP="00E73486">
            <w:pPr>
              <w:keepNext/>
              <w:keepLines/>
              <w:tabs>
                <w:tab w:val="left" w:pos="432"/>
                <w:tab w:val="right" w:pos="4932"/>
              </w:tabs>
              <w:spacing w:line="240" w:lineRule="exact"/>
              <w:rPr>
                <w:rFonts w:ascii="Times New Roman" w:hAnsi="Times New Roman" w:cs="Times New Roman"/>
                <w:sz w:val="24"/>
                <w:szCs w:val="24"/>
              </w:rPr>
            </w:pPr>
            <w:r w:rsidRPr="002B1D93">
              <w:rPr>
                <w:rFonts w:ascii="Times New Roman" w:hAnsi="Times New Roman" w:cs="Times New Roman"/>
                <w:sz w:val="24"/>
                <w:szCs w:val="24"/>
              </w:rPr>
              <w:tab/>
              <w:t>David W. Wiley, WSBA #08614</w:t>
            </w:r>
          </w:p>
          <w:p w:rsidR="00BC1563" w:rsidRPr="002B1D93" w:rsidP="00E73486">
            <w:pPr>
              <w:keepNext/>
              <w:keepLines/>
              <w:tabs>
                <w:tab w:val="left" w:pos="432"/>
                <w:tab w:val="right" w:pos="4932"/>
              </w:tabs>
              <w:spacing w:line="240" w:lineRule="exact"/>
              <w:rPr>
                <w:rFonts w:ascii="Times New Roman" w:hAnsi="Times New Roman" w:cs="Times New Roman"/>
                <w:sz w:val="24"/>
                <w:szCs w:val="24"/>
              </w:rPr>
            </w:pPr>
            <w:r w:rsidRPr="002B1D93">
              <w:rPr>
                <w:rFonts w:ascii="Times New Roman" w:hAnsi="Times New Roman" w:cs="Times New Roman"/>
                <w:sz w:val="24"/>
                <w:szCs w:val="24"/>
              </w:rPr>
              <w:t xml:space="preserve">       </w:t>
            </w:r>
            <w:r w:rsidRPr="002B1D93">
              <w:rPr>
                <w:rStyle w:val="Hyperlink"/>
                <w:rFonts w:ascii="Times New Roman" w:hAnsi="Times New Roman" w:cs="Times New Roman"/>
                <w:sz w:val="24"/>
                <w:szCs w:val="24"/>
              </w:rPr>
              <w:t>dwiley@williamskastner.com</w:t>
            </w:r>
            <w:r w:rsidRPr="002B1D93">
              <w:rPr>
                <w:rFonts w:ascii="Times New Roman" w:hAnsi="Times New Roman" w:cs="Times New Roman"/>
                <w:sz w:val="24"/>
                <w:szCs w:val="24"/>
              </w:rPr>
              <w:t xml:space="preserve"> </w:t>
            </w:r>
          </w:p>
          <w:p w:rsidR="00BC1563" w:rsidRPr="002B1D93" w:rsidP="00E73486">
            <w:pPr>
              <w:keepNext/>
              <w:keepLines/>
              <w:spacing w:line="240" w:lineRule="exact"/>
              <w:rPr>
                <w:rFonts w:ascii="Times New Roman" w:hAnsi="Times New Roman" w:cs="Times New Roman"/>
                <w:sz w:val="24"/>
                <w:szCs w:val="24"/>
              </w:rPr>
            </w:pPr>
            <w:r w:rsidRPr="002B1D93">
              <w:rPr>
                <w:rFonts w:ascii="Times New Roman" w:hAnsi="Times New Roman" w:cs="Times New Roman"/>
                <w:sz w:val="24"/>
                <w:szCs w:val="24"/>
              </w:rPr>
              <w:t>Attorneys for Waste Control, Inc.</w:t>
            </w:r>
          </w:p>
        </w:tc>
      </w:tr>
    </w:tbl>
    <w:p w:rsidR="00BC1563" w:rsidRPr="002B1D93" w:rsidP="00BC1563">
      <w:pPr>
        <w:pStyle w:val="ListParagraph"/>
        <w:numPr>
          <w:ilvl w:val="0"/>
          <w:numId w:val="0"/>
        </w:numPr>
      </w:pPr>
      <w:r w:rsidRPr="002B1D93">
        <w:br w:type="page"/>
      </w:r>
    </w:p>
    <w:p w:rsidR="00DD2273" w:rsidRPr="002B1D93" w:rsidP="00DD2273">
      <w:pPr>
        <w:keepNext/>
        <w:keepLines/>
        <w:jc w:val="center"/>
        <w:rPr>
          <w:rFonts w:ascii="Times New Roman" w:hAnsi="Times New Roman" w:cs="Times New Roman"/>
          <w:b/>
          <w:sz w:val="24"/>
          <w:szCs w:val="24"/>
        </w:rPr>
      </w:pPr>
      <w:r w:rsidRPr="002B1D93">
        <w:rPr>
          <w:rFonts w:ascii="Times New Roman" w:hAnsi="Times New Roman" w:cs="Times New Roman"/>
          <w:b/>
          <w:sz w:val="24"/>
          <w:szCs w:val="24"/>
        </w:rPr>
        <w:t>CERTIFICATE OF SERVICE</w:t>
      </w:r>
    </w:p>
    <w:p w:rsidR="00DD2273" w:rsidRPr="002B1D93" w:rsidP="00DD2273">
      <w:pPr>
        <w:keepNext/>
        <w:keepLines/>
        <w:rPr>
          <w:rFonts w:ascii="Times New Roman" w:hAnsi="Times New Roman" w:cs="Times New Roman"/>
          <w:b/>
          <w:sz w:val="24"/>
          <w:szCs w:val="24"/>
        </w:rPr>
      </w:pPr>
    </w:p>
    <w:p w:rsidR="00DD2273" w:rsidRPr="002B1D93" w:rsidP="00DD2273">
      <w:pPr>
        <w:rPr>
          <w:rFonts w:ascii="Times New Roman" w:hAnsi="Times New Roman" w:cs="Times New Roman"/>
          <w:sz w:val="24"/>
          <w:szCs w:val="24"/>
        </w:rPr>
      </w:pPr>
      <w:r w:rsidRPr="002B1D93">
        <w:rPr>
          <w:rFonts w:ascii="Times New Roman" w:hAnsi="Times New Roman" w:cs="Times New Roman"/>
          <w:sz w:val="24"/>
          <w:szCs w:val="24"/>
        </w:rPr>
        <w:tab/>
        <w:t xml:space="preserve">I hereby certify that on </w:t>
      </w:r>
      <w:r w:rsidRPr="002B1D93" w:rsidR="00224666">
        <w:rPr>
          <w:rFonts w:ascii="Times New Roman" w:hAnsi="Times New Roman" w:cs="Times New Roman"/>
          <w:sz w:val="24"/>
          <w:szCs w:val="24"/>
        </w:rPr>
        <w:t>November 7</w:t>
      </w:r>
      <w:r w:rsidRPr="002B1D93">
        <w:rPr>
          <w:rFonts w:ascii="Times New Roman" w:hAnsi="Times New Roman" w:cs="Times New Roman"/>
          <w:sz w:val="24"/>
          <w:szCs w:val="24"/>
        </w:rPr>
        <w:t xml:space="preserve">, 2014, I caused to be served the original and </w:t>
      </w:r>
      <w:r w:rsidRPr="002B1D93" w:rsidR="00EF2F40">
        <w:rPr>
          <w:rFonts w:ascii="Times New Roman" w:hAnsi="Times New Roman" w:cs="Times New Roman"/>
          <w:sz w:val="24"/>
          <w:szCs w:val="24"/>
        </w:rPr>
        <w:t>two (2)</w:t>
      </w:r>
      <w:r w:rsidRPr="002B1D93" w:rsidR="00071CF6">
        <w:rPr>
          <w:rFonts w:ascii="Times New Roman" w:hAnsi="Times New Roman" w:cs="Times New Roman"/>
          <w:sz w:val="24"/>
          <w:szCs w:val="24"/>
        </w:rPr>
        <w:t xml:space="preserve"> copies </w:t>
      </w:r>
      <w:r w:rsidRPr="002B1D93">
        <w:rPr>
          <w:rFonts w:ascii="Times New Roman" w:hAnsi="Times New Roman" w:cs="Times New Roman"/>
          <w:sz w:val="24"/>
          <w:szCs w:val="24"/>
        </w:rPr>
        <w:t>of the foregoing document to the following address via first class mail, postage prepaid to:</w:t>
      </w:r>
    </w:p>
    <w:p w:rsidR="00DD2273" w:rsidRPr="002B1D93" w:rsidP="00DD2273">
      <w:pPr>
        <w:rPr>
          <w:rFonts w:ascii="Times New Roman" w:hAnsi="Times New Roman" w:cs="Times New Roman"/>
          <w:sz w:val="24"/>
          <w:szCs w:val="24"/>
        </w:rPr>
      </w:pPr>
    </w:p>
    <w:p w:rsidR="00DD2273" w:rsidRPr="002B1D93" w:rsidP="00DD2273">
      <w:pPr>
        <w:rPr>
          <w:rFonts w:ascii="Times New Roman" w:hAnsi="Times New Roman" w:cs="Times New Roman"/>
          <w:sz w:val="24"/>
          <w:szCs w:val="24"/>
        </w:rPr>
      </w:pPr>
      <w:r w:rsidRPr="002B1D93">
        <w:rPr>
          <w:rFonts w:ascii="Times New Roman" w:hAnsi="Times New Roman" w:cs="Times New Roman"/>
          <w:sz w:val="24"/>
          <w:szCs w:val="24"/>
        </w:rPr>
        <w:tab/>
        <w:t>Steven V. King, Executive Director and Secretary</w:t>
      </w:r>
    </w:p>
    <w:p w:rsidR="00DD2273" w:rsidRPr="002B1D93" w:rsidP="00DD2273">
      <w:pPr>
        <w:ind w:firstLine="720"/>
        <w:rPr>
          <w:rFonts w:ascii="Times New Roman" w:hAnsi="Times New Roman" w:cs="Times New Roman"/>
          <w:sz w:val="24"/>
          <w:szCs w:val="24"/>
        </w:rPr>
      </w:pPr>
      <w:r w:rsidRPr="002B1D93">
        <w:rPr>
          <w:rFonts w:ascii="Times New Roman" w:hAnsi="Times New Roman" w:cs="Times New Roman"/>
          <w:sz w:val="24"/>
          <w:szCs w:val="24"/>
        </w:rPr>
        <w:t>Washington Utilities and Transportation Commission</w:t>
      </w:r>
    </w:p>
    <w:p w:rsidR="00DD2273" w:rsidRPr="002B1D93" w:rsidP="00DD2273">
      <w:pPr>
        <w:ind w:firstLine="720"/>
        <w:rPr>
          <w:rFonts w:ascii="Times New Roman" w:hAnsi="Times New Roman" w:cs="Times New Roman"/>
          <w:sz w:val="24"/>
          <w:szCs w:val="24"/>
        </w:rPr>
      </w:pPr>
      <w:r w:rsidRPr="002B1D93">
        <w:rPr>
          <w:rFonts w:ascii="Times New Roman" w:hAnsi="Times New Roman" w:cs="Times New Roman"/>
          <w:sz w:val="24"/>
          <w:szCs w:val="24"/>
        </w:rPr>
        <w:t>Attn.:  Records Center</w:t>
      </w:r>
    </w:p>
    <w:p w:rsidR="00DD2273" w:rsidRPr="002B1D93" w:rsidP="00DD2273">
      <w:pPr>
        <w:ind w:firstLine="720"/>
        <w:rPr>
          <w:rFonts w:ascii="Times New Roman" w:hAnsi="Times New Roman" w:cs="Times New Roman"/>
          <w:sz w:val="24"/>
          <w:szCs w:val="24"/>
        </w:rPr>
      </w:pPr>
      <w:r w:rsidRPr="002B1D93">
        <w:rPr>
          <w:rFonts w:ascii="Times New Roman" w:hAnsi="Times New Roman" w:cs="Times New Roman"/>
          <w:sz w:val="24"/>
          <w:szCs w:val="24"/>
        </w:rPr>
        <w:t>P.O. Box 47250</w:t>
      </w:r>
    </w:p>
    <w:p w:rsidR="00DD2273" w:rsidRPr="002B1D93" w:rsidP="00DD2273">
      <w:pPr>
        <w:ind w:firstLine="720"/>
        <w:rPr>
          <w:rFonts w:ascii="Times New Roman" w:hAnsi="Times New Roman" w:cs="Times New Roman"/>
          <w:sz w:val="24"/>
          <w:szCs w:val="24"/>
        </w:rPr>
      </w:pPr>
      <w:r w:rsidRPr="002B1D93">
        <w:rPr>
          <w:rFonts w:ascii="Times New Roman" w:hAnsi="Times New Roman" w:cs="Times New Roman"/>
          <w:sz w:val="24"/>
          <w:szCs w:val="24"/>
        </w:rPr>
        <w:t>1300 S. Evergreen Park Dr. SW</w:t>
      </w:r>
    </w:p>
    <w:p w:rsidR="00DD2273" w:rsidRPr="002B1D93" w:rsidP="00DD2273">
      <w:pPr>
        <w:ind w:firstLine="720"/>
        <w:rPr>
          <w:rFonts w:ascii="Times New Roman" w:hAnsi="Times New Roman" w:cs="Times New Roman"/>
          <w:sz w:val="24"/>
          <w:szCs w:val="24"/>
        </w:rPr>
      </w:pPr>
      <w:r w:rsidRPr="002B1D93">
        <w:rPr>
          <w:rFonts w:ascii="Times New Roman" w:hAnsi="Times New Roman" w:cs="Times New Roman"/>
          <w:sz w:val="24"/>
          <w:szCs w:val="24"/>
        </w:rPr>
        <w:t>Olympia, WA 98504-7250</w:t>
      </w:r>
    </w:p>
    <w:p w:rsidR="00DD2273" w:rsidRPr="002B1D93" w:rsidP="00DD2273">
      <w:pPr>
        <w:keepNext/>
        <w:keepLines/>
        <w:rPr>
          <w:rFonts w:ascii="Times New Roman" w:hAnsi="Times New Roman" w:cs="Times New Roman"/>
          <w:sz w:val="24"/>
          <w:szCs w:val="24"/>
        </w:rPr>
      </w:pPr>
    </w:p>
    <w:p w:rsidR="00DD2273" w:rsidRPr="002B1D93" w:rsidP="00DD2273">
      <w:pPr>
        <w:keepNext/>
        <w:keepLines/>
        <w:rPr>
          <w:rFonts w:ascii="Times New Roman" w:hAnsi="Times New Roman" w:cs="Times New Roman"/>
          <w:sz w:val="24"/>
          <w:szCs w:val="24"/>
        </w:rPr>
      </w:pPr>
      <w:r w:rsidRPr="002B1D93">
        <w:rPr>
          <w:rFonts w:ascii="Times New Roman" w:hAnsi="Times New Roman" w:cs="Times New Roman"/>
          <w:sz w:val="24"/>
          <w:szCs w:val="24"/>
        </w:rPr>
        <w:t xml:space="preserve">I certify I have also provided to the Washington Utilities and Transportation Commission’s Secretary an official electronic file containing the foregoing document via email to:  </w:t>
      </w:r>
    </w:p>
    <w:p w:rsidR="00DD2273" w:rsidRPr="002B1D93" w:rsidP="00DD2273">
      <w:pPr>
        <w:keepNext/>
        <w:keepLines/>
        <w:rPr>
          <w:rFonts w:ascii="Times New Roman" w:hAnsi="Times New Roman" w:cs="Times New Roman"/>
          <w:sz w:val="24"/>
          <w:szCs w:val="24"/>
        </w:rPr>
      </w:pPr>
      <w:r w:rsidRPr="002B1D93">
        <w:rPr>
          <w:rStyle w:val="Hyperlink"/>
          <w:rFonts w:ascii="Times New Roman" w:hAnsi="Times New Roman" w:cs="Times New Roman"/>
          <w:sz w:val="24"/>
          <w:szCs w:val="24"/>
        </w:rPr>
        <w:t>records@utc.wa.gov</w:t>
      </w:r>
    </w:p>
    <w:p w:rsidR="00DD2273" w:rsidRPr="002B1D93" w:rsidP="00DD2273">
      <w:pPr>
        <w:rPr>
          <w:rFonts w:ascii="Times New Roman" w:hAnsi="Times New Roman" w:cs="Times New Roman"/>
          <w:sz w:val="24"/>
          <w:szCs w:val="24"/>
        </w:rPr>
      </w:pPr>
    </w:p>
    <w:p w:rsidR="00DD2273" w:rsidRPr="002B1D93" w:rsidP="00DD2273">
      <w:pPr>
        <w:keepNext/>
        <w:keepLines/>
        <w:rPr>
          <w:rFonts w:ascii="Times New Roman" w:hAnsi="Times New Roman" w:cs="Times New Roman"/>
          <w:sz w:val="24"/>
          <w:szCs w:val="24"/>
        </w:rPr>
      </w:pPr>
      <w:r w:rsidRPr="002B1D93">
        <w:rPr>
          <w:rFonts w:ascii="Times New Roman" w:hAnsi="Times New Roman" w:cs="Times New Roman"/>
          <w:sz w:val="24"/>
          <w:szCs w:val="24"/>
        </w:rPr>
        <w:t>and</w:t>
      </w:r>
      <w:r w:rsidRPr="002B1D93">
        <w:rPr>
          <w:rFonts w:ascii="Times New Roman" w:hAnsi="Times New Roman" w:cs="Times New Roman"/>
          <w:sz w:val="24"/>
          <w:szCs w:val="24"/>
        </w:rPr>
        <w:t xml:space="preserve"> an electronic copy via email and first class mail, postage prepaid, to:</w:t>
      </w:r>
      <w:r w:rsidRPr="002B1D93">
        <w:rPr>
          <w:rFonts w:ascii="Times New Roman" w:hAnsi="Times New Roman" w:cs="Times New Roman"/>
          <w:sz w:val="24"/>
          <w:szCs w:val="24"/>
        </w:rPr>
        <w:br/>
      </w:r>
    </w:p>
    <w:p w:rsidR="00400BD4" w:rsidRPr="002B1D93" w:rsidP="00400BD4">
      <w:pPr>
        <w:ind w:firstLine="720"/>
        <w:rPr>
          <w:rFonts w:ascii="Times New Roman" w:hAnsi="Times New Roman" w:cs="Times New Roman"/>
          <w:sz w:val="24"/>
          <w:szCs w:val="24"/>
        </w:rPr>
      </w:pPr>
      <w:r w:rsidRPr="002B1D93">
        <w:rPr>
          <w:rFonts w:ascii="Times New Roman" w:hAnsi="Times New Roman" w:cs="Times New Roman"/>
          <w:sz w:val="24"/>
          <w:szCs w:val="24"/>
        </w:rPr>
        <w:t>Marguerite Friedlander, Administrative Law Judge</w:t>
      </w:r>
    </w:p>
    <w:p w:rsidR="00400BD4" w:rsidRPr="002B1D93" w:rsidP="00400BD4">
      <w:pPr>
        <w:ind w:firstLine="720"/>
        <w:rPr>
          <w:rFonts w:ascii="Times New Roman" w:hAnsi="Times New Roman" w:cs="Times New Roman"/>
          <w:sz w:val="24"/>
          <w:szCs w:val="24"/>
        </w:rPr>
      </w:pPr>
      <w:r w:rsidRPr="002B1D93">
        <w:rPr>
          <w:rFonts w:ascii="Times New Roman" w:hAnsi="Times New Roman" w:cs="Times New Roman"/>
          <w:sz w:val="24"/>
          <w:szCs w:val="24"/>
        </w:rPr>
        <w:t>Washington Utilities and Transportation Commission</w:t>
      </w:r>
    </w:p>
    <w:p w:rsidR="00400BD4" w:rsidRPr="002B1D93" w:rsidP="00400BD4">
      <w:pPr>
        <w:ind w:firstLine="720"/>
        <w:rPr>
          <w:rFonts w:ascii="Times New Roman" w:hAnsi="Times New Roman" w:cs="Times New Roman"/>
          <w:sz w:val="24"/>
          <w:szCs w:val="24"/>
        </w:rPr>
      </w:pPr>
      <w:r w:rsidRPr="002B1D93">
        <w:rPr>
          <w:rFonts w:ascii="Times New Roman" w:hAnsi="Times New Roman" w:cs="Times New Roman"/>
          <w:sz w:val="24"/>
          <w:szCs w:val="24"/>
        </w:rPr>
        <w:t>P.O. Box 47250</w:t>
      </w:r>
    </w:p>
    <w:p w:rsidR="00400BD4" w:rsidRPr="002B1D93" w:rsidP="00400BD4">
      <w:pPr>
        <w:ind w:firstLine="720"/>
        <w:rPr>
          <w:rFonts w:ascii="Times New Roman" w:hAnsi="Times New Roman" w:cs="Times New Roman"/>
          <w:sz w:val="24"/>
          <w:szCs w:val="24"/>
        </w:rPr>
      </w:pPr>
      <w:r w:rsidRPr="002B1D93">
        <w:rPr>
          <w:rFonts w:ascii="Times New Roman" w:hAnsi="Times New Roman" w:cs="Times New Roman"/>
          <w:sz w:val="24"/>
          <w:szCs w:val="24"/>
        </w:rPr>
        <w:t>1300 S. Evergreen Park Dr. SW</w:t>
      </w:r>
    </w:p>
    <w:p w:rsidR="00400BD4" w:rsidRPr="002B1D93" w:rsidP="00400BD4">
      <w:pPr>
        <w:ind w:firstLine="720"/>
        <w:rPr>
          <w:rFonts w:ascii="Times New Roman" w:hAnsi="Times New Roman" w:cs="Times New Roman"/>
          <w:sz w:val="24"/>
          <w:szCs w:val="24"/>
        </w:rPr>
      </w:pPr>
      <w:r w:rsidRPr="002B1D93">
        <w:rPr>
          <w:rFonts w:ascii="Times New Roman" w:hAnsi="Times New Roman" w:cs="Times New Roman"/>
          <w:sz w:val="24"/>
          <w:szCs w:val="24"/>
        </w:rPr>
        <w:t>Olympia, WA 98504-7250</w:t>
      </w:r>
    </w:p>
    <w:p w:rsidR="00B37BEE" w:rsidRPr="002B1D93" w:rsidP="00400BD4">
      <w:pPr>
        <w:ind w:firstLine="720"/>
        <w:rPr>
          <w:rFonts w:ascii="Times New Roman" w:hAnsi="Times New Roman" w:cs="Times New Roman"/>
          <w:sz w:val="24"/>
          <w:szCs w:val="24"/>
        </w:rPr>
      </w:pPr>
      <w:r w:rsidRPr="002B1D93">
        <w:rPr>
          <w:rFonts w:ascii="Times New Roman" w:hAnsi="Times New Roman" w:cs="Times New Roman"/>
          <w:sz w:val="24"/>
          <w:szCs w:val="24"/>
        </w:rPr>
        <w:t xml:space="preserve">Email:  </w:t>
      </w:r>
      <w:r w:rsidRPr="002B1D93">
        <w:rPr>
          <w:rStyle w:val="Hyperlink"/>
          <w:rFonts w:ascii="Times New Roman" w:hAnsi="Times New Roman" w:cs="Times New Roman"/>
          <w:sz w:val="24"/>
          <w:szCs w:val="24"/>
        </w:rPr>
        <w:t>mfriedla@utc.wa.gov</w:t>
      </w:r>
      <w:r w:rsidRPr="002B1D93">
        <w:rPr>
          <w:rFonts w:ascii="Times New Roman" w:hAnsi="Times New Roman" w:cs="Times New Roman"/>
          <w:sz w:val="24"/>
          <w:szCs w:val="24"/>
        </w:rPr>
        <w:t xml:space="preserve"> </w:t>
      </w:r>
    </w:p>
    <w:p w:rsidR="00400BD4" w:rsidRPr="002B1D93" w:rsidP="00DD2273">
      <w:pPr>
        <w:keepNext/>
        <w:keepLines/>
        <w:rPr>
          <w:rFonts w:ascii="Times New Roman" w:hAnsi="Times New Roman" w:cs="Times New Roman"/>
          <w:sz w:val="24"/>
          <w:szCs w:val="24"/>
        </w:rPr>
      </w:pPr>
    </w:p>
    <w:p w:rsidR="00DD2273" w:rsidRPr="002B1D93" w:rsidP="00DD2273">
      <w:pPr>
        <w:keepNext/>
        <w:keepLines/>
        <w:rPr>
          <w:rFonts w:ascii="Times New Roman" w:hAnsi="Times New Roman" w:cs="Times New Roman"/>
          <w:sz w:val="24"/>
          <w:szCs w:val="24"/>
        </w:rPr>
      </w:pPr>
      <w:r w:rsidRPr="002B1D93">
        <w:rPr>
          <w:rFonts w:ascii="Times New Roman" w:hAnsi="Times New Roman" w:cs="Times New Roman"/>
          <w:sz w:val="24"/>
          <w:szCs w:val="24"/>
        </w:rPr>
        <w:tab/>
      </w:r>
      <w:r w:rsidRPr="002B1D93" w:rsidR="00471E5D">
        <w:rPr>
          <w:rFonts w:ascii="Times New Roman" w:hAnsi="Times New Roman" w:cs="Times New Roman"/>
          <w:sz w:val="24"/>
          <w:szCs w:val="24"/>
        </w:rPr>
        <w:t xml:space="preserve">Brett </w:t>
      </w:r>
      <w:r w:rsidRPr="002B1D93" w:rsidR="00D56CE0">
        <w:rPr>
          <w:rFonts w:ascii="Times New Roman" w:hAnsi="Times New Roman" w:cs="Times New Roman"/>
          <w:sz w:val="24"/>
          <w:szCs w:val="24"/>
        </w:rPr>
        <w:t xml:space="preserve">P. </w:t>
      </w:r>
      <w:r w:rsidRPr="002B1D93" w:rsidR="00471E5D">
        <w:rPr>
          <w:rFonts w:ascii="Times New Roman" w:hAnsi="Times New Roman" w:cs="Times New Roman"/>
          <w:sz w:val="24"/>
          <w:szCs w:val="24"/>
        </w:rPr>
        <w:t>Shearer</w:t>
      </w:r>
      <w:r w:rsidRPr="002B1D93">
        <w:rPr>
          <w:rFonts w:ascii="Times New Roman" w:hAnsi="Times New Roman" w:cs="Times New Roman"/>
          <w:sz w:val="24"/>
          <w:szCs w:val="24"/>
        </w:rPr>
        <w:t xml:space="preserve"> </w:t>
      </w:r>
    </w:p>
    <w:p w:rsidR="00DD2273" w:rsidRPr="002B1D93" w:rsidP="00DD2273">
      <w:pPr>
        <w:keepNext/>
        <w:keepLines/>
        <w:rPr>
          <w:rFonts w:ascii="Times New Roman" w:hAnsi="Times New Roman" w:cs="Times New Roman"/>
          <w:sz w:val="24"/>
          <w:szCs w:val="24"/>
        </w:rPr>
      </w:pPr>
      <w:r w:rsidRPr="002B1D93">
        <w:rPr>
          <w:rFonts w:ascii="Times New Roman" w:hAnsi="Times New Roman" w:cs="Times New Roman"/>
          <w:sz w:val="24"/>
          <w:szCs w:val="24"/>
        </w:rPr>
        <w:tab/>
        <w:t>Office of the Attorney General</w:t>
      </w:r>
    </w:p>
    <w:p w:rsidR="00DD2273" w:rsidRPr="002B1D93" w:rsidP="00DD2273">
      <w:pPr>
        <w:ind w:firstLine="720"/>
        <w:rPr>
          <w:rFonts w:ascii="Times New Roman" w:hAnsi="Times New Roman" w:cs="Times New Roman"/>
          <w:sz w:val="24"/>
          <w:szCs w:val="24"/>
        </w:rPr>
      </w:pPr>
      <w:r w:rsidRPr="002B1D93">
        <w:rPr>
          <w:rFonts w:ascii="Times New Roman" w:hAnsi="Times New Roman" w:cs="Times New Roman"/>
          <w:sz w:val="24"/>
          <w:szCs w:val="24"/>
        </w:rPr>
        <w:t>Washington Utilities and Transportation Commission</w:t>
      </w:r>
    </w:p>
    <w:p w:rsidR="00DD2273" w:rsidRPr="002B1D93" w:rsidP="00DD2273">
      <w:pPr>
        <w:ind w:firstLine="720"/>
        <w:rPr>
          <w:rFonts w:ascii="Times New Roman" w:hAnsi="Times New Roman" w:cs="Times New Roman"/>
          <w:sz w:val="24"/>
          <w:szCs w:val="24"/>
        </w:rPr>
      </w:pPr>
      <w:r w:rsidRPr="002B1D93">
        <w:rPr>
          <w:rFonts w:ascii="Times New Roman" w:hAnsi="Times New Roman" w:cs="Times New Roman"/>
          <w:sz w:val="24"/>
          <w:szCs w:val="24"/>
        </w:rPr>
        <w:t>1400 S. Evergreen Park Dr. SW</w:t>
      </w:r>
    </w:p>
    <w:p w:rsidR="00DD2273" w:rsidRPr="002B1D93" w:rsidP="00DD2273">
      <w:pPr>
        <w:ind w:firstLine="720"/>
        <w:rPr>
          <w:rFonts w:ascii="Times New Roman" w:hAnsi="Times New Roman" w:cs="Times New Roman"/>
          <w:sz w:val="24"/>
          <w:szCs w:val="24"/>
        </w:rPr>
      </w:pPr>
      <w:r w:rsidRPr="002B1D93">
        <w:rPr>
          <w:rFonts w:ascii="Times New Roman" w:hAnsi="Times New Roman" w:cs="Times New Roman"/>
          <w:sz w:val="24"/>
          <w:szCs w:val="24"/>
        </w:rPr>
        <w:t>PO Box 40128</w:t>
      </w:r>
    </w:p>
    <w:p w:rsidR="00DD2273" w:rsidRPr="002B1D93" w:rsidP="00DD2273">
      <w:pPr>
        <w:ind w:firstLine="720"/>
        <w:rPr>
          <w:rFonts w:ascii="Times New Roman" w:hAnsi="Times New Roman" w:cs="Times New Roman"/>
          <w:sz w:val="24"/>
          <w:szCs w:val="24"/>
        </w:rPr>
      </w:pPr>
      <w:r w:rsidRPr="002B1D93">
        <w:rPr>
          <w:rFonts w:ascii="Times New Roman" w:hAnsi="Times New Roman" w:cs="Times New Roman"/>
          <w:sz w:val="24"/>
          <w:szCs w:val="24"/>
        </w:rPr>
        <w:t>Olympia, WA  98504-0128</w:t>
      </w:r>
    </w:p>
    <w:p w:rsidR="00DD2273" w:rsidRPr="002B1D93" w:rsidP="00DD2273">
      <w:pPr>
        <w:ind w:firstLine="720"/>
        <w:rPr>
          <w:rFonts w:ascii="Times New Roman" w:hAnsi="Times New Roman" w:cs="Times New Roman"/>
          <w:sz w:val="24"/>
          <w:szCs w:val="24"/>
        </w:rPr>
      </w:pPr>
      <w:r w:rsidRPr="002B1D93">
        <w:rPr>
          <w:rFonts w:ascii="Times New Roman" w:hAnsi="Times New Roman" w:cs="Times New Roman"/>
          <w:sz w:val="24"/>
          <w:szCs w:val="24"/>
        </w:rPr>
        <w:t xml:space="preserve">Email: </w:t>
      </w:r>
      <w:r w:rsidRPr="002B1D93" w:rsidR="00650113">
        <w:rPr>
          <w:rStyle w:val="Hyperlink"/>
          <w:rFonts w:ascii="Times New Roman" w:hAnsi="Times New Roman" w:cs="Times New Roman"/>
          <w:sz w:val="24"/>
          <w:szCs w:val="24"/>
        </w:rPr>
        <w:t>bshearer@utc.wa.gov</w:t>
      </w:r>
      <w:r w:rsidRPr="002B1D93" w:rsidR="00AD68D4">
        <w:rPr>
          <w:rFonts w:ascii="Times New Roman" w:hAnsi="Times New Roman" w:cs="Times New Roman"/>
          <w:sz w:val="24"/>
          <w:szCs w:val="24"/>
        </w:rPr>
        <w:t xml:space="preserve"> </w:t>
      </w:r>
    </w:p>
    <w:p w:rsidR="00DD2273" w:rsidRPr="002B1D93" w:rsidP="00DD2273">
      <w:pPr>
        <w:ind w:firstLine="720"/>
        <w:rPr>
          <w:rFonts w:ascii="Times New Roman" w:hAnsi="Times New Roman" w:cs="Times New Roman"/>
          <w:sz w:val="24"/>
          <w:szCs w:val="24"/>
        </w:rPr>
      </w:pPr>
    </w:p>
    <w:p w:rsidR="00AD68D4" w:rsidRPr="002B1D93" w:rsidP="00AD68D4">
      <w:pPr>
        <w:ind w:right="-252"/>
        <w:rPr>
          <w:rFonts w:ascii="Times New Roman" w:hAnsi="Times New Roman" w:cs="Times New Roman"/>
          <w:iCs/>
          <w:sz w:val="24"/>
          <w:szCs w:val="24"/>
        </w:rPr>
      </w:pPr>
      <w:r w:rsidRPr="002B1D93">
        <w:rPr>
          <w:rFonts w:ascii="Times New Roman" w:hAnsi="Times New Roman" w:cs="Times New Roman"/>
          <w:iCs/>
          <w:sz w:val="24"/>
          <w:szCs w:val="24"/>
        </w:rPr>
        <w:tab/>
        <w:t>James K. Sells</w:t>
      </w:r>
    </w:p>
    <w:p w:rsidR="00AD68D4" w:rsidRPr="002B1D93" w:rsidP="00AD68D4">
      <w:pPr>
        <w:ind w:right="-252"/>
        <w:rPr>
          <w:rFonts w:ascii="Times New Roman" w:hAnsi="Times New Roman" w:cs="Times New Roman"/>
          <w:iCs/>
          <w:sz w:val="24"/>
          <w:szCs w:val="24"/>
        </w:rPr>
      </w:pPr>
      <w:r w:rsidRPr="002B1D93">
        <w:rPr>
          <w:rFonts w:ascii="Times New Roman" w:hAnsi="Times New Roman" w:cs="Times New Roman"/>
          <w:iCs/>
          <w:sz w:val="24"/>
          <w:szCs w:val="24"/>
        </w:rPr>
        <w:tab/>
        <w:t>Attorney at Law</w:t>
      </w:r>
    </w:p>
    <w:p w:rsidR="00AD68D4" w:rsidRPr="002B1D93" w:rsidP="00AD68D4">
      <w:pPr>
        <w:ind w:right="-252"/>
        <w:rPr>
          <w:rFonts w:ascii="Times New Roman" w:hAnsi="Times New Roman" w:cs="Times New Roman"/>
          <w:iCs/>
          <w:sz w:val="24"/>
          <w:szCs w:val="24"/>
        </w:rPr>
      </w:pPr>
      <w:r w:rsidRPr="002B1D93">
        <w:rPr>
          <w:rFonts w:ascii="Times New Roman" w:hAnsi="Times New Roman" w:cs="Times New Roman"/>
          <w:iCs/>
          <w:sz w:val="24"/>
          <w:szCs w:val="24"/>
        </w:rPr>
        <w:tab/>
      </w:r>
      <w:r w:rsidRPr="002B1D93">
        <w:rPr>
          <w:rFonts w:ascii="Times New Roman" w:hAnsi="Times New Roman" w:cs="Times New Roman"/>
          <w:iCs/>
          <w:sz w:val="24"/>
          <w:szCs w:val="24"/>
        </w:rPr>
        <w:t>PMB</w:t>
      </w:r>
      <w:r w:rsidRPr="002B1D93">
        <w:rPr>
          <w:rFonts w:ascii="Times New Roman" w:hAnsi="Times New Roman" w:cs="Times New Roman"/>
          <w:iCs/>
          <w:sz w:val="24"/>
          <w:szCs w:val="24"/>
        </w:rPr>
        <w:t xml:space="preserve"> 22, 3110 Judson St.</w:t>
      </w:r>
      <w:r w:rsidRPr="002B1D93">
        <w:rPr>
          <w:rFonts w:ascii="Times New Roman" w:hAnsi="Times New Roman" w:cs="Times New Roman"/>
          <w:iCs/>
          <w:sz w:val="24"/>
          <w:szCs w:val="24"/>
        </w:rPr>
        <w:t xml:space="preserve"> </w:t>
      </w:r>
    </w:p>
    <w:p w:rsidR="00AD68D4" w:rsidRPr="002B1D93" w:rsidP="00AD68D4">
      <w:pPr>
        <w:ind w:right="-252"/>
        <w:rPr>
          <w:rFonts w:ascii="Times New Roman" w:hAnsi="Times New Roman" w:cs="Times New Roman"/>
          <w:iCs/>
          <w:sz w:val="24"/>
          <w:szCs w:val="24"/>
        </w:rPr>
      </w:pPr>
      <w:r w:rsidRPr="002B1D93">
        <w:rPr>
          <w:rFonts w:ascii="Times New Roman" w:hAnsi="Times New Roman" w:cs="Times New Roman"/>
          <w:iCs/>
          <w:sz w:val="24"/>
          <w:szCs w:val="24"/>
        </w:rPr>
        <w:tab/>
        <w:t>Gig Harbor, WA  98335</w:t>
      </w:r>
    </w:p>
    <w:p w:rsidR="00AD68D4" w:rsidRPr="002B1D93" w:rsidP="00AD68D4">
      <w:pPr>
        <w:ind w:right="-252"/>
        <w:rPr>
          <w:rFonts w:ascii="Times New Roman" w:hAnsi="Times New Roman" w:cs="Times New Roman"/>
          <w:bCs/>
          <w:color w:val="0000FF"/>
          <w:sz w:val="24"/>
          <w:szCs w:val="24"/>
          <w:u w:val="single"/>
          <w:lang w:val="fr-FR"/>
        </w:rPr>
      </w:pPr>
      <w:r w:rsidRPr="002B1D93">
        <w:rPr>
          <w:rFonts w:ascii="Times New Roman" w:hAnsi="Times New Roman" w:cs="Times New Roman"/>
          <w:iCs/>
          <w:sz w:val="24"/>
          <w:szCs w:val="24"/>
        </w:rPr>
        <w:tab/>
        <w:t xml:space="preserve">E-mail:  </w:t>
      </w:r>
      <w:r w:rsidRPr="002B1D93">
        <w:rPr>
          <w:rStyle w:val="Hyperlink"/>
          <w:rFonts w:ascii="Times New Roman" w:hAnsi="Times New Roman" w:cs="Times New Roman"/>
          <w:bCs/>
          <w:sz w:val="24"/>
          <w:szCs w:val="24"/>
          <w:lang w:val="fr-FR"/>
        </w:rPr>
        <w:t>jamessells@comcast.net</w:t>
      </w:r>
    </w:p>
    <w:p w:rsidR="00024C6D" w:rsidRPr="002B1D93" w:rsidP="00DD2273">
      <w:pPr>
        <w:keepNext/>
        <w:keepLines/>
        <w:jc w:val="right"/>
        <w:rPr>
          <w:rFonts w:ascii="Times New Roman" w:hAnsi="Times New Roman" w:cs="Times New Roman"/>
          <w:sz w:val="24"/>
          <w:szCs w:val="24"/>
        </w:rPr>
      </w:pPr>
    </w:p>
    <w:p w:rsidR="00DD2273" w:rsidRPr="002B1D93" w:rsidP="00DD2273">
      <w:pPr>
        <w:keepNext/>
        <w:keepLines/>
        <w:jc w:val="right"/>
        <w:rPr>
          <w:rFonts w:ascii="Times New Roman" w:hAnsi="Times New Roman" w:cs="Times New Roman"/>
          <w:sz w:val="24"/>
          <w:szCs w:val="24"/>
        </w:rPr>
      </w:pPr>
      <w:r w:rsidRPr="002B1D93">
        <w:rPr>
          <w:rFonts w:ascii="Times New Roman" w:hAnsi="Times New Roman" w:cs="Times New Roman"/>
          <w:sz w:val="24"/>
          <w:szCs w:val="24"/>
        </w:rPr>
        <w:t>__________________________</w:t>
      </w:r>
    </w:p>
    <w:p w:rsidR="00E00C99" w:rsidRPr="002B1D93" w:rsidP="00DD2273">
      <w:pPr>
        <w:keepNext/>
        <w:keepLines/>
        <w:rPr>
          <w:rFonts w:ascii="Times New Roman" w:hAnsi="Times New Roman" w:cs="Times New Roman"/>
          <w:sz w:val="24"/>
          <w:szCs w:val="24"/>
        </w:rPr>
      </w:pPr>
      <w:r w:rsidRPr="002B1D93">
        <w:rPr>
          <w:rFonts w:ascii="Times New Roman" w:hAnsi="Times New Roman" w:cs="Times New Roman"/>
          <w:sz w:val="24"/>
          <w:szCs w:val="24"/>
        </w:rPr>
        <w:tab/>
      </w:r>
      <w:r w:rsidRPr="002B1D93">
        <w:rPr>
          <w:rFonts w:ascii="Times New Roman" w:hAnsi="Times New Roman" w:cs="Times New Roman"/>
          <w:sz w:val="24"/>
          <w:szCs w:val="24"/>
        </w:rPr>
        <w:tab/>
      </w:r>
      <w:r w:rsidRPr="002B1D93">
        <w:rPr>
          <w:rFonts w:ascii="Times New Roman" w:hAnsi="Times New Roman" w:cs="Times New Roman"/>
          <w:sz w:val="24"/>
          <w:szCs w:val="24"/>
        </w:rPr>
        <w:tab/>
      </w:r>
      <w:r w:rsidRPr="002B1D93">
        <w:rPr>
          <w:rFonts w:ascii="Times New Roman" w:hAnsi="Times New Roman" w:cs="Times New Roman"/>
          <w:sz w:val="24"/>
          <w:szCs w:val="24"/>
        </w:rPr>
        <w:tab/>
      </w:r>
      <w:r w:rsidRPr="002B1D93">
        <w:rPr>
          <w:rFonts w:ascii="Times New Roman" w:hAnsi="Times New Roman" w:cs="Times New Roman"/>
          <w:sz w:val="24"/>
          <w:szCs w:val="24"/>
        </w:rPr>
        <w:tab/>
      </w:r>
      <w:r w:rsidRPr="002B1D93">
        <w:rPr>
          <w:rFonts w:ascii="Times New Roman" w:hAnsi="Times New Roman" w:cs="Times New Roman"/>
          <w:sz w:val="24"/>
          <w:szCs w:val="24"/>
        </w:rPr>
        <w:tab/>
      </w:r>
      <w:r w:rsidRPr="002B1D93">
        <w:rPr>
          <w:rFonts w:ascii="Times New Roman" w:hAnsi="Times New Roman" w:cs="Times New Roman"/>
          <w:sz w:val="24"/>
          <w:szCs w:val="24"/>
        </w:rPr>
        <w:tab/>
      </w:r>
      <w:r w:rsidRPr="002B1D93">
        <w:rPr>
          <w:rFonts w:ascii="Times New Roman" w:hAnsi="Times New Roman" w:cs="Times New Roman"/>
          <w:sz w:val="24"/>
          <w:szCs w:val="24"/>
        </w:rPr>
        <w:tab/>
      </w:r>
      <w:r w:rsidRPr="002B1D93" w:rsidR="00224666">
        <w:rPr>
          <w:rFonts w:ascii="Times New Roman" w:hAnsi="Times New Roman" w:cs="Times New Roman"/>
          <w:sz w:val="24"/>
          <w:szCs w:val="24"/>
        </w:rPr>
        <w:t>Maggi Gruber, Legal Assistant</w:t>
      </w:r>
    </w:p>
    <w:p w:rsidR="00024C6D" w:rsidRPr="002B1D93" w:rsidP="00DD2273">
      <w:pPr>
        <w:keepNext/>
        <w:keepLines/>
        <w:rPr>
          <w:rFonts w:ascii="Times New Roman" w:hAnsi="Times New Roman" w:cs="Times New Roman"/>
          <w:sz w:val="24"/>
          <w:szCs w:val="24"/>
        </w:rPr>
      </w:pPr>
    </w:p>
    <w:p w:rsidR="00024C6D" w:rsidRPr="002B1D93" w:rsidP="00DD2273">
      <w:pPr>
        <w:keepNext/>
        <w:keepLines/>
        <w:rPr>
          <w:rFonts w:ascii="Times New Roman" w:hAnsi="Times New Roman" w:cs="Times New Roman"/>
          <w:sz w:val="24"/>
          <w:szCs w:val="24"/>
        </w:rPr>
      </w:pPr>
    </w:p>
    <w:p w:rsidR="00024C6D" w:rsidRPr="002B1D93" w:rsidP="00D827DB">
      <w:pPr>
        <w:rPr>
          <w:rFonts w:ascii="Times New Roman" w:hAnsi="Times New Roman" w:cs="Times New Roman"/>
          <w:sz w:val="24"/>
          <w:szCs w:val="24"/>
        </w:rPr>
      </w:pPr>
    </w:p>
    <w:sectPr w:rsidSect="00C909E5">
      <w:footerReference w:type="default" r:id="rId12"/>
      <w:pgSz w:w="12240" w:h="15840" w:code="1"/>
      <w:pgMar w:top="1440" w:right="1440" w:bottom="1440" w:left="1872" w:header="720" w:footer="720" w:gutter="0"/>
      <w:paperSrc w:first="261" w:other="261"/>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9999999">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03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27DB" w:rsidRPr="00AA07D6" w:rsidP="00321F3A">
    <w:pPr>
      <w:pStyle w:val="Footer"/>
      <w:rPr>
        <w:rFonts w:ascii="Times New Roman" w:hAnsi="Times New Roman"/>
        <w:sz w:val="20"/>
        <w:szCs w:val="20"/>
      </w:rPr>
    </w:pPr>
    <w:r w:rsidRPr="00AA07D6">
      <w:rPr>
        <w:rFonts w:ascii="Times New Roman" w:hAnsi="Times New Roman"/>
        <w:sz w:val="20"/>
        <w:szCs w:val="20"/>
      </w:rPr>
      <w:t xml:space="preserve">RESPONDENT WASTE CONTROL, INC.’S OPENING </w:t>
    </w:r>
  </w:p>
  <w:p w:rsidR="00D827DB" w:rsidP="00321F3A">
    <w:pPr>
      <w:pStyle w:val="Footer"/>
      <w:rPr>
        <w:rFonts w:ascii="Times New Roman" w:hAnsi="Times New Roman" w:cs="Times New Roman"/>
        <w:noProof/>
      </w:rPr>
    </w:pPr>
    <w:r w:rsidRPr="00AA07D6">
      <w:rPr>
        <w:rFonts w:ascii="Times New Roman" w:hAnsi="Times New Roman"/>
        <w:sz w:val="20"/>
        <w:szCs w:val="20"/>
      </w:rPr>
      <w:t>BRIEF AND SUPPLEMENTAL TESTIMONY</w:t>
    </w:r>
    <w:r>
      <w:rPr>
        <w:rFonts w:ascii="Times New Roman" w:hAnsi="Times New Roman"/>
      </w:rPr>
      <w:t xml:space="preserve"> </w:t>
    </w:r>
  </w:p>
  <w:p w:rsidR="00D827DB" w:rsidRPr="00623547" w:rsidP="00425E07">
    <w:pPr>
      <w:pStyle w:val="Footer"/>
      <w:rPr>
        <w:rFonts w:ascii="Times New Roman" w:hAnsi="Times New Roman" w:cs="Times New Roman"/>
      </w:rPr>
    </w:pPr>
    <w:r>
      <w:rPr>
        <w:rFonts w:ascii="Times New Roman" w:hAnsi="Times New Roman" w:cs="Times New Roman"/>
        <w:sz w:val="16"/>
      </w:rPr>
      <w:fldChar w:fldCharType="begin"/>
    </w:r>
    <w:r>
      <w:rPr>
        <w:rFonts w:ascii="Times New Roman" w:hAnsi="Times New Roman" w:cs="Times New Roman"/>
        <w:sz w:val="16"/>
      </w:rPr>
      <w:instrText xml:space="preserve"> </w:instrText>
    </w:r>
    <w:r w:rsidRPr="00425E07">
      <w:rPr>
        <w:rFonts w:ascii="Times New Roman" w:hAnsi="Times New Roman" w:cs="Times New Roman"/>
        <w:sz w:val="16"/>
      </w:rPr>
      <w:instrText>IF "</w:instrText>
    </w:r>
    <w:r w:rsidRPr="00425E07">
      <w:rPr>
        <w:rFonts w:ascii="Times New Roman" w:hAnsi="Times New Roman" w:cs="Times New Roman"/>
        <w:sz w:val="16"/>
      </w:rPr>
      <w:instrText>1</w:instrText>
    </w:r>
    <w:r w:rsidRPr="00425E07">
      <w:rPr>
        <w:rFonts w:ascii="Times New Roman" w:hAnsi="Times New Roman" w:cs="Times New Roman"/>
        <w:sz w:val="16"/>
      </w:rPr>
      <w:instrText>" = "1" "</w:instrText>
    </w:r>
    <w:r w:rsidRPr="00425E07">
      <w:rPr>
        <w:rFonts w:ascii="Times New Roman" w:hAnsi="Times New Roman" w:cs="Times New Roman"/>
        <w:sz w:val="16"/>
      </w:rPr>
      <w:fldChar w:fldCharType="begin"/>
    </w:r>
    <w:r w:rsidRPr="00425E07">
      <w:rPr>
        <w:rFonts w:ascii="Times New Roman" w:hAnsi="Times New Roman" w:cs="Times New Roman"/>
        <w:sz w:val="16"/>
      </w:rPr>
      <w:instrText xml:space="preserve"> DOCPROPERTY "SWDocID" </w:instrText>
    </w:r>
    <w:r w:rsidRPr="00425E07">
      <w:rPr>
        <w:rFonts w:ascii="Times New Roman" w:hAnsi="Times New Roman" w:cs="Times New Roman"/>
        <w:sz w:val="16"/>
      </w:rPr>
      <w:fldChar w:fldCharType="separate"/>
    </w:r>
    <w:r w:rsidRPr="00425E07">
      <w:rPr>
        <w:rFonts w:ascii="Times New Roman" w:hAnsi="Times New Roman" w:cs="Times New Roman"/>
        <w:sz w:val="16"/>
      </w:rPr>
      <w:instrText xml:space="preserve"> 5189928.1</w:instrText>
    </w:r>
    <w:r w:rsidRPr="00425E07">
      <w:rPr>
        <w:rFonts w:ascii="Times New Roman" w:hAnsi="Times New Roman" w:cs="Times New Roman"/>
        <w:sz w:val="16"/>
      </w:rPr>
      <w:fldChar w:fldCharType="end"/>
    </w:r>
    <w:r w:rsidRPr="00425E07">
      <w:rPr>
        <w:rFonts w:ascii="Times New Roman" w:hAnsi="Times New Roman" w:cs="Times New Roman"/>
        <w:sz w:val="16"/>
      </w:rPr>
      <w:instrText>" ""</w:instrText>
    </w:r>
    <w:r>
      <w:rPr>
        <w:rFonts w:ascii="Times New Roman" w:hAnsi="Times New Roman" w:cs="Times New Roman"/>
        <w:sz w:val="16"/>
      </w:rPr>
      <w:instrText xml:space="preserve"> </w:instrText>
    </w:r>
    <w:r>
      <w:rPr>
        <w:rFonts w:ascii="Times New Roman" w:hAnsi="Times New Roman" w:cs="Times New Roman"/>
        <w:sz w:val="16"/>
      </w:rPr>
      <w:fldChar w:fldCharType="separate"/>
    </w:r>
    <w:r w:rsidRPr="00425E07">
      <w:rPr>
        <w:rFonts w:ascii="Times New Roman" w:hAnsi="Times New Roman" w:cs="Times New Roman"/>
        <w:sz w:val="16"/>
      </w:rPr>
      <w:t xml:space="preserve"> 5189928.1</w:t>
    </w:r>
    <w:r>
      <w:rPr>
        <w:rFonts w:ascii="Times New Roman" w:hAnsi="Times New Roman" w:cs="Times New Roman"/>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5920">
    <w:pPr>
      <w:pStyle w:val="Footer"/>
    </w:pPr>
  </w:p>
  <w:p w:rsidR="00EB5920" w:rsidP="00EB5920">
    <w:pPr>
      <w:pStyle w:val="Footer"/>
    </w:pPr>
    <w:r>
      <w:rPr>
        <w:sz w:val="16"/>
      </w:rPr>
      <w:fldChar w:fldCharType="begin"/>
    </w:r>
    <w:r>
      <w:rPr>
        <w:sz w:val="16"/>
      </w:rPr>
      <w:instrText xml:space="preserve"> </w:instrText>
    </w:r>
    <w:r w:rsidRPr="00EB5920">
      <w:rPr>
        <w:sz w:val="16"/>
      </w:rPr>
      <w:instrText>IF "</w:instrText>
    </w:r>
    <w:r w:rsidRPr="00EB5920">
      <w:rPr>
        <w:sz w:val="16"/>
      </w:rPr>
      <w:instrText>1</w:instrText>
    </w:r>
    <w:r w:rsidRPr="00EB5920">
      <w:rPr>
        <w:sz w:val="16"/>
      </w:rPr>
      <w:instrText>" = "1" "</w:instrText>
    </w:r>
    <w:r w:rsidRPr="00EB5920">
      <w:rPr>
        <w:sz w:val="16"/>
      </w:rPr>
      <w:fldChar w:fldCharType="begin"/>
    </w:r>
    <w:r w:rsidRPr="00EB5920">
      <w:rPr>
        <w:sz w:val="16"/>
      </w:rPr>
      <w:instrText xml:space="preserve"> DOCPROPERTY "SWDocID" </w:instrText>
    </w:r>
    <w:r w:rsidRPr="00EB5920">
      <w:rPr>
        <w:sz w:val="16"/>
      </w:rPr>
      <w:fldChar w:fldCharType="separate"/>
    </w:r>
    <w:r w:rsidRPr="00EB5920">
      <w:rPr>
        <w:sz w:val="16"/>
      </w:rPr>
      <w:instrText xml:space="preserve"> 5189928.1</w:instrText>
    </w:r>
    <w:r w:rsidRPr="00EB5920">
      <w:rPr>
        <w:sz w:val="16"/>
      </w:rPr>
      <w:fldChar w:fldCharType="end"/>
    </w:r>
    <w:r w:rsidRPr="00EB5920">
      <w:rPr>
        <w:sz w:val="16"/>
      </w:rPr>
      <w:instrText>" ""</w:instrText>
    </w:r>
    <w:r>
      <w:rPr>
        <w:sz w:val="16"/>
      </w:rPr>
      <w:instrText xml:space="preserve"> </w:instrText>
    </w:r>
    <w:r>
      <w:rPr>
        <w:sz w:val="16"/>
      </w:rPr>
      <w:fldChar w:fldCharType="separate"/>
    </w:r>
    <w:r w:rsidRPr="00EB5920">
      <w:rPr>
        <w:sz w:val="16"/>
      </w:rPr>
      <w:t xml:space="preserve"> 5189928.1</w:t>
    </w:r>
    <w:r>
      <w:rPr>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27DB" w:rsidRPr="00AA07D6" w:rsidP="00321F3A">
    <w:pPr>
      <w:pStyle w:val="Footer"/>
      <w:rPr>
        <w:rFonts w:ascii="Times New Roman" w:hAnsi="Times New Roman"/>
        <w:sz w:val="20"/>
        <w:szCs w:val="20"/>
      </w:rPr>
    </w:pPr>
    <w:r w:rsidRPr="00AA07D6">
      <w:rPr>
        <w:rFonts w:ascii="Times New Roman" w:hAnsi="Times New Roman"/>
        <w:sz w:val="20"/>
        <w:szCs w:val="20"/>
      </w:rPr>
      <w:t xml:space="preserve">RESPONDENT WASTE CONTROL, INC.’S OPENING </w:t>
    </w:r>
  </w:p>
  <w:p w:rsidR="00D827DB" w:rsidP="00321F3A">
    <w:pPr>
      <w:pStyle w:val="Footer"/>
      <w:rPr>
        <w:rFonts w:ascii="Times New Roman" w:hAnsi="Times New Roman" w:cs="Times New Roman"/>
        <w:noProof/>
      </w:rPr>
    </w:pPr>
    <w:r w:rsidRPr="00AA07D6">
      <w:rPr>
        <w:rFonts w:ascii="Times New Roman" w:hAnsi="Times New Roman"/>
        <w:sz w:val="20"/>
        <w:szCs w:val="20"/>
      </w:rPr>
      <w:t>BRIEF AND SUPPLEMENTAL TESTIMONY</w:t>
    </w:r>
    <w:r>
      <w:rPr>
        <w:rFonts w:ascii="Times New Roman" w:hAnsi="Times New Roman"/>
      </w:rPr>
      <w:t xml:space="preserve"> </w:t>
    </w:r>
  </w:p>
  <w:p w:rsidR="00D827DB" w:rsidRPr="00623547" w:rsidP="00425E07">
    <w:pPr>
      <w:pStyle w:val="Footer"/>
      <w:rPr>
        <w:rFonts w:ascii="Times New Roman" w:hAnsi="Times New Roman" w:cs="Times New Roman"/>
      </w:rPr>
    </w:pPr>
    <w:r>
      <w:rPr>
        <w:rFonts w:ascii="Times New Roman" w:hAnsi="Times New Roman" w:cs="Times New Roman"/>
        <w:sz w:val="16"/>
      </w:rPr>
      <w:fldChar w:fldCharType="begin"/>
    </w:r>
    <w:r>
      <w:rPr>
        <w:rFonts w:ascii="Times New Roman" w:hAnsi="Times New Roman" w:cs="Times New Roman"/>
        <w:sz w:val="16"/>
      </w:rPr>
      <w:instrText xml:space="preserve"> </w:instrText>
    </w:r>
    <w:r w:rsidRPr="00425E07">
      <w:rPr>
        <w:rFonts w:ascii="Times New Roman" w:hAnsi="Times New Roman" w:cs="Times New Roman"/>
        <w:sz w:val="16"/>
      </w:rPr>
      <w:instrText>IF "</w:instrText>
    </w:r>
    <w:r w:rsidRPr="00425E07">
      <w:rPr>
        <w:rFonts w:ascii="Times New Roman" w:hAnsi="Times New Roman" w:cs="Times New Roman"/>
        <w:sz w:val="16"/>
      </w:rPr>
      <w:instrText>1</w:instrText>
    </w:r>
    <w:r w:rsidRPr="00425E07">
      <w:rPr>
        <w:rFonts w:ascii="Times New Roman" w:hAnsi="Times New Roman" w:cs="Times New Roman"/>
        <w:sz w:val="16"/>
      </w:rPr>
      <w:instrText>" = "1" "</w:instrText>
    </w:r>
    <w:r w:rsidRPr="00425E07">
      <w:rPr>
        <w:rFonts w:ascii="Times New Roman" w:hAnsi="Times New Roman" w:cs="Times New Roman"/>
        <w:sz w:val="16"/>
      </w:rPr>
      <w:fldChar w:fldCharType="begin"/>
    </w:r>
    <w:r w:rsidRPr="00425E07">
      <w:rPr>
        <w:rFonts w:ascii="Times New Roman" w:hAnsi="Times New Roman" w:cs="Times New Roman"/>
        <w:sz w:val="16"/>
      </w:rPr>
      <w:instrText xml:space="preserve"> DOCPROPERTY "SWDocID" </w:instrText>
    </w:r>
    <w:r w:rsidRPr="00425E07">
      <w:rPr>
        <w:rFonts w:ascii="Times New Roman" w:hAnsi="Times New Roman" w:cs="Times New Roman"/>
        <w:sz w:val="16"/>
      </w:rPr>
      <w:fldChar w:fldCharType="separate"/>
    </w:r>
    <w:r w:rsidRPr="00425E07">
      <w:rPr>
        <w:rFonts w:ascii="Times New Roman" w:hAnsi="Times New Roman" w:cs="Times New Roman"/>
        <w:sz w:val="16"/>
      </w:rPr>
      <w:instrText xml:space="preserve"> 5189928.1</w:instrText>
    </w:r>
    <w:r w:rsidRPr="00425E07">
      <w:rPr>
        <w:rFonts w:ascii="Times New Roman" w:hAnsi="Times New Roman" w:cs="Times New Roman"/>
        <w:sz w:val="16"/>
      </w:rPr>
      <w:fldChar w:fldCharType="end"/>
    </w:r>
    <w:r w:rsidRPr="00425E07">
      <w:rPr>
        <w:rFonts w:ascii="Times New Roman" w:hAnsi="Times New Roman" w:cs="Times New Roman"/>
        <w:sz w:val="16"/>
      </w:rPr>
      <w:instrText>" ""</w:instrText>
    </w:r>
    <w:r>
      <w:rPr>
        <w:rFonts w:ascii="Times New Roman" w:hAnsi="Times New Roman" w:cs="Times New Roman"/>
        <w:sz w:val="16"/>
      </w:rPr>
      <w:instrText xml:space="preserve"> </w:instrText>
    </w:r>
    <w:r>
      <w:rPr>
        <w:rFonts w:ascii="Times New Roman" w:hAnsi="Times New Roman" w:cs="Times New Roman"/>
        <w:sz w:val="16"/>
      </w:rPr>
      <w:fldChar w:fldCharType="separate"/>
    </w:r>
    <w:r w:rsidRPr="00425E07">
      <w:rPr>
        <w:rFonts w:ascii="Times New Roman" w:hAnsi="Times New Roman" w:cs="Times New Roman"/>
        <w:sz w:val="16"/>
      </w:rPr>
      <w:t xml:space="preserve"> 5189928.1</w:t>
    </w:r>
    <w:r>
      <w:rPr>
        <w:rFonts w:ascii="Times New Roman" w:hAnsi="Times New Roman" w:cs="Times New Roman"/>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27DB" w:rsidRPr="00AA07D6" w:rsidP="00321F3A">
    <w:pPr>
      <w:pStyle w:val="Footer"/>
      <w:rPr>
        <w:rFonts w:ascii="Times New Roman" w:hAnsi="Times New Roman"/>
        <w:sz w:val="20"/>
        <w:szCs w:val="20"/>
      </w:rPr>
    </w:pPr>
    <w:r w:rsidRPr="00AA07D6">
      <w:rPr>
        <w:rFonts w:ascii="Times New Roman" w:hAnsi="Times New Roman"/>
        <w:sz w:val="20"/>
        <w:szCs w:val="20"/>
      </w:rPr>
      <w:t xml:space="preserve">RESPONDENT WASTE CONTROL, INC.’S OPENING </w:t>
    </w:r>
  </w:p>
  <w:p w:rsidR="00D827DB" w:rsidP="00321F3A">
    <w:pPr>
      <w:pStyle w:val="Footer"/>
      <w:rPr>
        <w:rFonts w:ascii="Times New Roman" w:hAnsi="Times New Roman" w:cs="Times New Roman"/>
        <w:noProof/>
      </w:rPr>
    </w:pPr>
    <w:r w:rsidRPr="00AA07D6">
      <w:rPr>
        <w:rFonts w:ascii="Times New Roman" w:hAnsi="Times New Roman"/>
        <w:sz w:val="20"/>
        <w:szCs w:val="20"/>
      </w:rPr>
      <w:t>BRIEF AND SUPPLEMENTAL TESTIMONY</w:t>
    </w:r>
    <w:r>
      <w:rPr>
        <w:rFonts w:ascii="Times New Roman" w:hAnsi="Times New Roman"/>
      </w:rPr>
      <w:t xml:space="preserve"> - </w:t>
    </w:r>
    <w:r w:rsidRPr="00D827DB">
      <w:rPr>
        <w:rFonts w:ascii="Times New Roman" w:hAnsi="Times New Roman"/>
      </w:rPr>
      <w:fldChar w:fldCharType="begin"/>
    </w:r>
    <w:r w:rsidRPr="00D827DB">
      <w:rPr>
        <w:rFonts w:ascii="Times New Roman" w:hAnsi="Times New Roman"/>
      </w:rPr>
      <w:instrText xml:space="preserve"> PAGE   \* MERGEFORMAT </w:instrText>
    </w:r>
    <w:r w:rsidRPr="00D827DB">
      <w:rPr>
        <w:rFonts w:ascii="Times New Roman" w:hAnsi="Times New Roman"/>
      </w:rPr>
      <w:fldChar w:fldCharType="separate"/>
    </w:r>
    <w:r w:rsidR="00C909E5">
      <w:rPr>
        <w:rFonts w:ascii="Times New Roman" w:hAnsi="Times New Roman"/>
        <w:noProof/>
      </w:rPr>
      <w:t>17</w:t>
    </w:r>
    <w:r w:rsidRPr="00D827DB">
      <w:rPr>
        <w:rFonts w:ascii="Times New Roman" w:hAnsi="Times New Roman"/>
        <w:noProof/>
      </w:rPr>
      <w:fldChar w:fldCharType="end"/>
    </w:r>
  </w:p>
  <w:p w:rsidR="00D827DB" w:rsidRPr="00623547" w:rsidP="00425E07">
    <w:pPr>
      <w:pStyle w:val="Footer"/>
      <w:rPr>
        <w:rFonts w:ascii="Times New Roman" w:hAnsi="Times New Roman" w:cs="Times New Roman"/>
      </w:rPr>
    </w:pPr>
    <w:r>
      <w:rPr>
        <w:rFonts w:ascii="Times New Roman" w:hAnsi="Times New Roman" w:cs="Times New Roman"/>
        <w:sz w:val="16"/>
      </w:rPr>
      <w:fldChar w:fldCharType="begin"/>
    </w:r>
    <w:r>
      <w:rPr>
        <w:rFonts w:ascii="Times New Roman" w:hAnsi="Times New Roman" w:cs="Times New Roman"/>
        <w:sz w:val="16"/>
      </w:rPr>
      <w:instrText xml:space="preserve"> </w:instrText>
    </w:r>
    <w:r w:rsidRPr="00425E07">
      <w:rPr>
        <w:rFonts w:ascii="Times New Roman" w:hAnsi="Times New Roman" w:cs="Times New Roman"/>
        <w:sz w:val="16"/>
      </w:rPr>
      <w:instrText>IF "</w:instrText>
    </w:r>
    <w:r w:rsidRPr="00425E07">
      <w:rPr>
        <w:rFonts w:ascii="Times New Roman" w:hAnsi="Times New Roman" w:cs="Times New Roman"/>
        <w:sz w:val="16"/>
      </w:rPr>
      <w:instrText>1</w:instrText>
    </w:r>
    <w:r w:rsidRPr="00425E07">
      <w:rPr>
        <w:rFonts w:ascii="Times New Roman" w:hAnsi="Times New Roman" w:cs="Times New Roman"/>
        <w:sz w:val="16"/>
      </w:rPr>
      <w:instrText>" = "1" "</w:instrText>
    </w:r>
    <w:r w:rsidRPr="00425E07">
      <w:rPr>
        <w:rFonts w:ascii="Times New Roman" w:hAnsi="Times New Roman" w:cs="Times New Roman"/>
        <w:sz w:val="16"/>
      </w:rPr>
      <w:fldChar w:fldCharType="begin"/>
    </w:r>
    <w:r w:rsidRPr="00425E07">
      <w:rPr>
        <w:rFonts w:ascii="Times New Roman" w:hAnsi="Times New Roman" w:cs="Times New Roman"/>
        <w:sz w:val="16"/>
      </w:rPr>
      <w:instrText xml:space="preserve"> DOCPROPERTY "SWDocID" </w:instrText>
    </w:r>
    <w:r w:rsidRPr="00425E07">
      <w:rPr>
        <w:rFonts w:ascii="Times New Roman" w:hAnsi="Times New Roman" w:cs="Times New Roman"/>
        <w:sz w:val="16"/>
      </w:rPr>
      <w:fldChar w:fldCharType="separate"/>
    </w:r>
    <w:r w:rsidRPr="00425E07">
      <w:rPr>
        <w:rFonts w:ascii="Times New Roman" w:hAnsi="Times New Roman" w:cs="Times New Roman"/>
        <w:sz w:val="16"/>
      </w:rPr>
      <w:instrText xml:space="preserve"> 5189928.1</w:instrText>
    </w:r>
    <w:r w:rsidRPr="00425E07">
      <w:rPr>
        <w:rFonts w:ascii="Times New Roman" w:hAnsi="Times New Roman" w:cs="Times New Roman"/>
        <w:sz w:val="16"/>
      </w:rPr>
      <w:fldChar w:fldCharType="end"/>
    </w:r>
    <w:r w:rsidRPr="00425E07">
      <w:rPr>
        <w:rFonts w:ascii="Times New Roman" w:hAnsi="Times New Roman" w:cs="Times New Roman"/>
        <w:sz w:val="16"/>
      </w:rPr>
      <w:instrText>" ""</w:instrText>
    </w:r>
    <w:r>
      <w:rPr>
        <w:rFonts w:ascii="Times New Roman" w:hAnsi="Times New Roman" w:cs="Times New Roman"/>
        <w:sz w:val="16"/>
      </w:rPr>
      <w:instrText xml:space="preserve"> </w:instrText>
    </w:r>
    <w:r>
      <w:rPr>
        <w:rFonts w:ascii="Times New Roman" w:hAnsi="Times New Roman" w:cs="Times New Roman"/>
        <w:sz w:val="16"/>
      </w:rPr>
      <w:fldChar w:fldCharType="separate"/>
    </w:r>
    <w:r w:rsidRPr="00425E07">
      <w:rPr>
        <w:rFonts w:ascii="Times New Roman" w:hAnsi="Times New Roman" w:cs="Times New Roman"/>
        <w:sz w:val="16"/>
      </w:rPr>
      <w:t xml:space="preserve"> 5189928.1</w:t>
    </w:r>
    <w:r>
      <w:rPr>
        <w:rFonts w:ascii="Times New Roman" w:hAnsi="Times New Roman" w:cs="Times New Roman"/>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F3A76" w:rsidP="00623547">
      <w:r>
        <w:separator/>
      </w:r>
    </w:p>
  </w:footnote>
  <w:footnote w:type="continuationSeparator" w:id="1">
    <w:p w:rsidR="00CF3A76" w:rsidP="00623547">
      <w:r>
        <w:continuationSeparator/>
      </w:r>
    </w:p>
  </w:footnote>
  <w:footnote w:id="2">
    <w:p w:rsidR="00E803B3" w:rsidRPr="00C358D2">
      <w:pPr>
        <w:pStyle w:val="FootnoteText"/>
        <w:rPr>
          <w:rFonts w:ascii="Times New Roman" w:hAnsi="Times New Roman" w:cs="Times New Roman"/>
        </w:rPr>
      </w:pPr>
      <w:r>
        <w:rPr>
          <w:rStyle w:val="FootnoteReference"/>
        </w:rPr>
        <w:footnoteRef/>
      </w:r>
      <w:r>
        <w:t xml:space="preserve"> </w:t>
      </w:r>
      <w:r w:rsidRPr="00C358D2">
        <w:rPr>
          <w:rFonts w:ascii="Times New Roman" w:hAnsi="Times New Roman" w:cs="Times New Roman"/>
        </w:rPr>
        <w:t>Joint Moti</w:t>
      </w:r>
      <w:r w:rsidRPr="00C358D2" w:rsidR="00A1630A">
        <w:rPr>
          <w:rFonts w:ascii="Times New Roman" w:hAnsi="Times New Roman" w:cs="Times New Roman"/>
        </w:rPr>
        <w:t>on to Amend Procedural Schedule,¶ ¶ 5-8</w:t>
      </w:r>
    </w:p>
  </w:footnote>
  <w:footnote w:id="3">
    <w:p w:rsidR="00BC2B22" w:rsidRPr="00C358D2">
      <w:pPr>
        <w:pStyle w:val="FootnoteText"/>
        <w:rPr>
          <w:rFonts w:ascii="Times New Roman" w:hAnsi="Times New Roman" w:cs="Times New Roman"/>
        </w:rPr>
      </w:pPr>
      <w:r>
        <w:rPr>
          <w:rStyle w:val="FootnoteReference"/>
        </w:rPr>
        <w:footnoteRef/>
      </w:r>
      <w:r w:rsidRPr="00C358D2" w:rsidR="00D50226">
        <w:rPr>
          <w:rFonts w:ascii="Times New Roman" w:hAnsi="Times New Roman" w:cs="Times New Roman"/>
        </w:rPr>
        <w:t xml:space="preserve">Staff </w:t>
      </w:r>
      <w:r w:rsidRPr="00C358D2">
        <w:rPr>
          <w:rFonts w:ascii="Times New Roman" w:hAnsi="Times New Roman" w:cs="Times New Roman"/>
        </w:rPr>
        <w:t xml:space="preserve">admitted </w:t>
      </w:r>
      <w:r w:rsidR="00E144C6">
        <w:rPr>
          <w:rFonts w:ascii="Times New Roman" w:hAnsi="Times New Roman" w:cs="Times New Roman"/>
        </w:rPr>
        <w:t>it was</w:t>
      </w:r>
      <w:r w:rsidRPr="00C358D2">
        <w:rPr>
          <w:rFonts w:ascii="Times New Roman" w:hAnsi="Times New Roman" w:cs="Times New Roman"/>
        </w:rPr>
        <w:t xml:space="preserve"> unaware of </w:t>
      </w:r>
      <w:r w:rsidR="00E144C6">
        <w:rPr>
          <w:rFonts w:ascii="Times New Roman" w:hAnsi="Times New Roman" w:cs="Times New Roman"/>
        </w:rPr>
        <w:t xml:space="preserve">ever </w:t>
      </w:r>
      <w:r w:rsidR="00131284">
        <w:rPr>
          <w:rFonts w:ascii="Times New Roman" w:hAnsi="Times New Roman" w:cs="Times New Roman"/>
        </w:rPr>
        <w:t>utilizing such allocations</w:t>
      </w:r>
      <w:r w:rsidRPr="00C358D2">
        <w:rPr>
          <w:rFonts w:ascii="Times New Roman" w:hAnsi="Times New Roman" w:cs="Times New Roman"/>
        </w:rPr>
        <w:t xml:space="preserve"> in any previous solid waste general rate case</w:t>
      </w:r>
      <w:r w:rsidR="00C27D10">
        <w:rPr>
          <w:rFonts w:ascii="Times New Roman" w:hAnsi="Times New Roman" w:cs="Times New Roman"/>
        </w:rPr>
        <w:t>,</w:t>
      </w:r>
      <w:r w:rsidRPr="00C27D10" w:rsidR="00C27D10">
        <w:rPr>
          <w:rFonts w:ascii="Times New Roman" w:hAnsi="Times New Roman" w:cs="Times New Roman"/>
        </w:rPr>
        <w:t xml:space="preserve"> </w:t>
      </w:r>
      <w:r w:rsidRPr="00C358D2" w:rsidR="00C27D10">
        <w:rPr>
          <w:rFonts w:ascii="Times New Roman" w:hAnsi="Times New Roman" w:cs="Times New Roman"/>
        </w:rPr>
        <w:t xml:space="preserve">in </w:t>
      </w:r>
      <w:r w:rsidR="00131284">
        <w:rPr>
          <w:rFonts w:ascii="Times New Roman" w:hAnsi="Times New Roman" w:cs="Times New Roman"/>
        </w:rPr>
        <w:t xml:space="preserve">its </w:t>
      </w:r>
      <w:r w:rsidRPr="00C358D2" w:rsidR="00C27D10">
        <w:rPr>
          <w:rFonts w:ascii="Times New Roman" w:hAnsi="Times New Roman" w:cs="Times New Roman"/>
        </w:rPr>
        <w:t>response to Company Data Request No. 13,</w:t>
      </w:r>
      <w:r w:rsidR="00131284">
        <w:rPr>
          <w:rFonts w:ascii="Times New Roman" w:hAnsi="Times New Roman" w:cs="Times New Roman"/>
        </w:rPr>
        <w:t xml:space="preserve"> of</w:t>
      </w:r>
      <w:r w:rsidRPr="00C358D2" w:rsidR="00C27D10">
        <w:rPr>
          <w:rFonts w:ascii="Times New Roman" w:hAnsi="Times New Roman" w:cs="Times New Roman"/>
        </w:rPr>
        <w:t xml:space="preserve"> Aug. 7, 2014</w:t>
      </w:r>
      <w:r w:rsidRPr="00C358D2">
        <w:rPr>
          <w:rFonts w:ascii="Times New Roman" w:hAnsi="Times New Roman" w:cs="Times New Roman"/>
        </w:rPr>
        <w:t>.</w:t>
      </w:r>
    </w:p>
  </w:footnote>
  <w:footnote w:id="4">
    <w:p w:rsidR="00CA431A" w:rsidRPr="00C358D2">
      <w:pPr>
        <w:pStyle w:val="FootnoteText"/>
        <w:rPr>
          <w:rFonts w:ascii="Times New Roman" w:hAnsi="Times New Roman" w:cs="Times New Roman"/>
        </w:rPr>
      </w:pPr>
      <w:r>
        <w:rPr>
          <w:rStyle w:val="FootnoteReference"/>
        </w:rPr>
        <w:footnoteRef/>
      </w:r>
      <w:r>
        <w:t xml:space="preserve"> </w:t>
      </w:r>
      <w:r w:rsidRPr="00C358D2">
        <w:rPr>
          <w:rFonts w:ascii="Times New Roman" w:hAnsi="Times New Roman" w:cs="Times New Roman"/>
        </w:rPr>
        <w:t>Exhibit MC-1T, lines 17-21, p</w:t>
      </w:r>
      <w:r w:rsidRPr="00C358D2" w:rsidR="00157292">
        <w:rPr>
          <w:rFonts w:ascii="Times New Roman" w:hAnsi="Times New Roman" w:cs="Times New Roman"/>
        </w:rPr>
        <w:t xml:space="preserve">. </w:t>
      </w:r>
      <w:r w:rsidRPr="00C358D2">
        <w:rPr>
          <w:rFonts w:ascii="Times New Roman" w:hAnsi="Times New Roman" w:cs="Times New Roman"/>
        </w:rPr>
        <w:t>18.</w:t>
      </w:r>
    </w:p>
  </w:footnote>
  <w:footnote w:id="5">
    <w:p w:rsidR="00CA431A" w:rsidRPr="00C358D2">
      <w:pPr>
        <w:pStyle w:val="FootnoteText"/>
        <w:rPr>
          <w:rFonts w:ascii="Times New Roman" w:hAnsi="Times New Roman" w:cs="Times New Roman"/>
        </w:rPr>
      </w:pPr>
      <w:r>
        <w:rPr>
          <w:rStyle w:val="FootnoteReference"/>
        </w:rPr>
        <w:footnoteRef/>
      </w:r>
      <w:r>
        <w:t xml:space="preserve"> </w:t>
      </w:r>
      <w:r w:rsidRPr="00C358D2">
        <w:rPr>
          <w:rFonts w:ascii="Times New Roman" w:hAnsi="Times New Roman" w:cs="Times New Roman"/>
        </w:rPr>
        <w:t>“Rebuttal Testimony of Layne C. Demas for Waste Contr</w:t>
      </w:r>
      <w:r w:rsidRPr="00C358D2" w:rsidR="001002CD">
        <w:rPr>
          <w:rFonts w:ascii="Times New Roman" w:hAnsi="Times New Roman" w:cs="Times New Roman"/>
        </w:rPr>
        <w:t>ol, Inc.”, Exhibit LD-1T, Aug.</w:t>
      </w:r>
      <w:r w:rsidRPr="00C358D2">
        <w:rPr>
          <w:rFonts w:ascii="Times New Roman" w:hAnsi="Times New Roman" w:cs="Times New Roman"/>
        </w:rPr>
        <w:t xml:space="preserve"> 20,</w:t>
      </w:r>
      <w:r w:rsidRPr="00C358D2" w:rsidR="001002CD">
        <w:rPr>
          <w:rFonts w:ascii="Times New Roman" w:hAnsi="Times New Roman" w:cs="Times New Roman"/>
        </w:rPr>
        <w:t xml:space="preserve"> </w:t>
      </w:r>
      <w:r w:rsidRPr="00C358D2">
        <w:rPr>
          <w:rFonts w:ascii="Times New Roman" w:hAnsi="Times New Roman" w:cs="Times New Roman"/>
        </w:rPr>
        <w:t>2014, pp. 3-8.</w:t>
      </w:r>
    </w:p>
  </w:footnote>
  <w:footnote w:id="6">
    <w:p w:rsidR="00731A5A" w:rsidRPr="00C358D2">
      <w:pPr>
        <w:pStyle w:val="FootnoteText"/>
        <w:rPr>
          <w:rFonts w:ascii="Times New Roman" w:hAnsi="Times New Roman" w:cs="Times New Roman"/>
        </w:rPr>
      </w:pPr>
      <w:r w:rsidRPr="00C358D2">
        <w:rPr>
          <w:rStyle w:val="FootnoteReference"/>
          <w:rFonts w:ascii="Times New Roman" w:hAnsi="Times New Roman" w:cs="Times New Roman"/>
        </w:rPr>
        <w:footnoteRef/>
      </w:r>
      <w:r w:rsidRPr="00C358D2">
        <w:rPr>
          <w:rFonts w:ascii="Times New Roman" w:hAnsi="Times New Roman" w:cs="Times New Roman"/>
        </w:rPr>
        <w:t xml:space="preserve"> </w:t>
      </w:r>
      <w:r w:rsidRPr="00C358D2">
        <w:rPr>
          <w:rFonts w:ascii="Times New Roman" w:hAnsi="Times New Roman" w:cs="Times New Roman"/>
          <w:i/>
        </w:rPr>
        <w:t>See</w:t>
      </w:r>
      <w:r w:rsidRPr="00C358D2">
        <w:rPr>
          <w:rFonts w:ascii="Times New Roman" w:hAnsi="Times New Roman" w:cs="Times New Roman"/>
        </w:rPr>
        <w:t xml:space="preserve">, for example, </w:t>
      </w:r>
      <w:r w:rsidRPr="00C358D2">
        <w:rPr>
          <w:rFonts w:ascii="Times New Roman" w:hAnsi="Times New Roman" w:cs="Times New Roman"/>
          <w:i/>
        </w:rPr>
        <w:t xml:space="preserve">WUTC v. Waste Management of Washington, Inc. d/b/a </w:t>
      </w:r>
      <w:r w:rsidRPr="00C358D2">
        <w:rPr>
          <w:rFonts w:ascii="Times New Roman" w:hAnsi="Times New Roman" w:cs="Times New Roman"/>
          <w:i/>
        </w:rPr>
        <w:t>Sno</w:t>
      </w:r>
      <w:r w:rsidRPr="00C358D2">
        <w:rPr>
          <w:rFonts w:ascii="Times New Roman" w:hAnsi="Times New Roman" w:cs="Times New Roman"/>
          <w:i/>
        </w:rPr>
        <w:t>-King Garbage</w:t>
      </w:r>
      <w:r w:rsidRPr="00C358D2">
        <w:rPr>
          <w:rFonts w:ascii="Times New Roman" w:hAnsi="Times New Roman" w:cs="Times New Roman"/>
        </w:rPr>
        <w:t>, TG-900657 and TG-900658, Orders No. 4 &amp; 5 (Dec. 1991) at p. 8.</w:t>
      </w:r>
    </w:p>
  </w:footnote>
  <w:footnote w:id="7">
    <w:p w:rsidR="00731A5A" w:rsidRPr="00C358D2">
      <w:pPr>
        <w:pStyle w:val="FootnoteText"/>
        <w:rPr>
          <w:rFonts w:ascii="Times New Roman" w:hAnsi="Times New Roman" w:cs="Times New Roman"/>
        </w:rPr>
      </w:pPr>
      <w:r>
        <w:rPr>
          <w:rStyle w:val="FootnoteReference"/>
        </w:rPr>
        <w:footnoteRef/>
      </w:r>
      <w:r>
        <w:t xml:space="preserve"> </w:t>
      </w:r>
      <w:r w:rsidRPr="00C358D2">
        <w:rPr>
          <w:rFonts w:ascii="Times New Roman" w:hAnsi="Times New Roman" w:cs="Times New Roman"/>
          <w:i/>
        </w:rPr>
        <w:t>See</w:t>
      </w:r>
      <w:r w:rsidRPr="00C358D2">
        <w:rPr>
          <w:rFonts w:ascii="Times New Roman" w:hAnsi="Times New Roman" w:cs="Times New Roman"/>
        </w:rPr>
        <w:t xml:space="preserve">, Partial Settlement Agreement of October 13, 2014, at </w:t>
      </w:r>
      <w:r w:rsidRPr="00C358D2" w:rsidR="00D663B5">
        <w:rPr>
          <w:rFonts w:ascii="Times New Roman" w:hAnsi="Times New Roman" w:cs="Times New Roman"/>
        </w:rPr>
        <w:t>¶4, p. 4.</w:t>
      </w:r>
    </w:p>
  </w:footnote>
  <w:footnote w:id="8">
    <w:p w:rsidR="00D663B5" w:rsidRPr="00C358D2">
      <w:pPr>
        <w:pStyle w:val="FootnoteText"/>
        <w:rPr>
          <w:rFonts w:ascii="Times New Roman" w:hAnsi="Times New Roman" w:cs="Times New Roman"/>
        </w:rPr>
      </w:pPr>
      <w:r w:rsidRPr="00C358D2">
        <w:rPr>
          <w:rStyle w:val="FootnoteReference"/>
          <w:rFonts w:ascii="Times New Roman" w:hAnsi="Times New Roman" w:cs="Times New Roman"/>
        </w:rPr>
        <w:footnoteRef/>
      </w:r>
      <w:r w:rsidRPr="00C358D2">
        <w:rPr>
          <w:rFonts w:ascii="Times New Roman" w:hAnsi="Times New Roman" w:cs="Times New Roman"/>
        </w:rPr>
        <w:t xml:space="preserve"> “Rebuttal Testim</w:t>
      </w:r>
      <w:r w:rsidRPr="00C358D2" w:rsidR="00202E4D">
        <w:rPr>
          <w:rFonts w:ascii="Times New Roman" w:hAnsi="Times New Roman" w:cs="Times New Roman"/>
        </w:rPr>
        <w:t>on</w:t>
      </w:r>
      <w:r w:rsidRPr="00C358D2">
        <w:rPr>
          <w:rFonts w:ascii="Times New Roman" w:hAnsi="Times New Roman" w:cs="Times New Roman"/>
        </w:rPr>
        <w:t>y of Jacqueline G. Davis for Waste Control, I</w:t>
      </w:r>
      <w:r w:rsidRPr="00C358D2" w:rsidR="00202E4D">
        <w:rPr>
          <w:rFonts w:ascii="Times New Roman" w:hAnsi="Times New Roman" w:cs="Times New Roman"/>
        </w:rPr>
        <w:t>n</w:t>
      </w:r>
      <w:r w:rsidRPr="00C358D2" w:rsidR="001002CD">
        <w:rPr>
          <w:rFonts w:ascii="Times New Roman" w:hAnsi="Times New Roman" w:cs="Times New Roman"/>
        </w:rPr>
        <w:t>c.,” Aug. 20</w:t>
      </w:r>
      <w:r w:rsidRPr="00C358D2">
        <w:rPr>
          <w:rFonts w:ascii="Times New Roman" w:hAnsi="Times New Roman" w:cs="Times New Roman"/>
        </w:rPr>
        <w:t>, 2014, Exhibit JD-43.</w:t>
      </w:r>
    </w:p>
  </w:footnote>
  <w:footnote w:id="9">
    <w:p w:rsidR="00D663B5" w:rsidRPr="00C358D2">
      <w:pPr>
        <w:pStyle w:val="FootnoteText"/>
        <w:rPr>
          <w:rFonts w:ascii="Times New Roman" w:hAnsi="Times New Roman" w:cs="Times New Roman"/>
        </w:rPr>
      </w:pPr>
      <w:r w:rsidRPr="00C358D2">
        <w:rPr>
          <w:rStyle w:val="FootnoteReference"/>
          <w:rFonts w:ascii="Times New Roman" w:hAnsi="Times New Roman" w:cs="Times New Roman"/>
        </w:rPr>
        <w:footnoteRef/>
      </w:r>
      <w:r w:rsidRPr="00C358D2">
        <w:rPr>
          <w:rFonts w:ascii="Times New Roman" w:hAnsi="Times New Roman" w:cs="Times New Roman"/>
        </w:rPr>
        <w:t xml:space="preserve"> “Rebuttal Testimony of Layne C. Dema</w:t>
      </w:r>
      <w:r w:rsidRPr="00C358D2" w:rsidR="001002CD">
        <w:rPr>
          <w:rFonts w:ascii="Times New Roman" w:hAnsi="Times New Roman" w:cs="Times New Roman"/>
        </w:rPr>
        <w:t>s for Waste Control Inc.</w:t>
      </w:r>
      <w:r w:rsidR="002902FD">
        <w:rPr>
          <w:rFonts w:ascii="Times New Roman" w:hAnsi="Times New Roman" w:cs="Times New Roman"/>
        </w:rPr>
        <w:t>,</w:t>
      </w:r>
      <w:r w:rsidR="00E2570E">
        <w:rPr>
          <w:rFonts w:ascii="Times New Roman" w:hAnsi="Times New Roman" w:cs="Times New Roman"/>
        </w:rPr>
        <w:t>”</w:t>
      </w:r>
      <w:r w:rsidRPr="00C358D2" w:rsidR="001002CD">
        <w:rPr>
          <w:rFonts w:ascii="Times New Roman" w:hAnsi="Times New Roman" w:cs="Times New Roman"/>
        </w:rPr>
        <w:t xml:space="preserve"> Aug. 20</w:t>
      </w:r>
      <w:r w:rsidRPr="00C358D2" w:rsidR="00202E4D">
        <w:rPr>
          <w:rFonts w:ascii="Times New Roman" w:hAnsi="Times New Roman" w:cs="Times New Roman"/>
        </w:rPr>
        <w:t>, 2014, Table No. 1, p. 4. Both Davis and Demas thus advocate using the cost of debt encumb</w:t>
      </w:r>
      <w:r w:rsidRPr="00C358D2" w:rsidR="00FF520B">
        <w:rPr>
          <w:rFonts w:ascii="Times New Roman" w:hAnsi="Times New Roman" w:cs="Times New Roman"/>
        </w:rPr>
        <w:t>er</w:t>
      </w:r>
      <w:r w:rsidRPr="00C358D2" w:rsidR="00A3644A">
        <w:rPr>
          <w:rFonts w:ascii="Times New Roman" w:hAnsi="Times New Roman" w:cs="Times New Roman"/>
        </w:rPr>
        <w:t>ing</w:t>
      </w:r>
      <w:r w:rsidRPr="00C358D2" w:rsidR="00476224">
        <w:rPr>
          <w:rFonts w:ascii="Times New Roman" w:hAnsi="Times New Roman" w:cs="Times New Roman"/>
        </w:rPr>
        <w:t xml:space="preserve"> </w:t>
      </w:r>
      <w:r w:rsidRPr="00C358D2" w:rsidR="00202E4D">
        <w:rPr>
          <w:rFonts w:ascii="Times New Roman" w:hAnsi="Times New Roman" w:cs="Times New Roman"/>
        </w:rPr>
        <w:t>the</w:t>
      </w:r>
      <w:r w:rsidR="002C4F8D">
        <w:rPr>
          <w:rFonts w:ascii="Times New Roman" w:hAnsi="Times New Roman" w:cs="Times New Roman"/>
        </w:rPr>
        <w:t xml:space="preserve"> specific</w:t>
      </w:r>
      <w:r w:rsidRPr="00C358D2" w:rsidR="00202E4D">
        <w:rPr>
          <w:rFonts w:ascii="Times New Roman" w:hAnsi="Times New Roman" w:cs="Times New Roman"/>
        </w:rPr>
        <w:t xml:space="preserve"> commercial property in question for calculating allowable affiliate rents.</w:t>
      </w:r>
    </w:p>
  </w:footnote>
  <w:footnote w:id="10">
    <w:p w:rsidR="00202E4D" w:rsidRPr="00C358D2">
      <w:pPr>
        <w:pStyle w:val="FootnoteText"/>
        <w:rPr>
          <w:rFonts w:ascii="Times New Roman" w:hAnsi="Times New Roman" w:cs="Times New Roman"/>
        </w:rPr>
      </w:pPr>
      <w:r w:rsidRPr="00C358D2">
        <w:rPr>
          <w:rStyle w:val="FootnoteReference"/>
          <w:rFonts w:ascii="Times New Roman" w:hAnsi="Times New Roman" w:cs="Times New Roman"/>
        </w:rPr>
        <w:footnoteRef/>
      </w:r>
      <w:r w:rsidRPr="00C358D2" w:rsidR="007A6667">
        <w:rPr>
          <w:rFonts w:ascii="Times New Roman" w:hAnsi="Times New Roman" w:cs="Times New Roman"/>
        </w:rPr>
        <w:t xml:space="preserve"> Exhibit LD-1T,</w:t>
      </w:r>
      <w:r w:rsidRPr="00C358D2" w:rsidR="00FF520B">
        <w:rPr>
          <w:rFonts w:ascii="Times New Roman" w:hAnsi="Times New Roman" w:cs="Times New Roman"/>
        </w:rPr>
        <w:t xml:space="preserve"> </w:t>
      </w:r>
      <w:r w:rsidRPr="00C358D2">
        <w:rPr>
          <w:rFonts w:ascii="Times New Roman" w:hAnsi="Times New Roman" w:cs="Times New Roman"/>
        </w:rPr>
        <w:t>p.</w:t>
      </w:r>
      <w:r w:rsidRPr="00C358D2" w:rsidR="00FF520B">
        <w:rPr>
          <w:rFonts w:ascii="Times New Roman" w:hAnsi="Times New Roman" w:cs="Times New Roman"/>
        </w:rPr>
        <w:t xml:space="preserve"> </w:t>
      </w:r>
      <w:r w:rsidRPr="00C358D2">
        <w:rPr>
          <w:rFonts w:ascii="Times New Roman" w:hAnsi="Times New Roman" w:cs="Times New Roman"/>
        </w:rPr>
        <w:t>6.</w:t>
      </w:r>
    </w:p>
  </w:footnote>
  <w:footnote w:id="11">
    <w:p w:rsidR="00476224" w:rsidRPr="00C358D2">
      <w:pPr>
        <w:pStyle w:val="FootnoteText"/>
        <w:rPr>
          <w:rFonts w:ascii="Times New Roman" w:hAnsi="Times New Roman" w:cs="Times New Roman"/>
        </w:rPr>
      </w:pPr>
      <w:r w:rsidRPr="00C358D2">
        <w:rPr>
          <w:rStyle w:val="FootnoteReference"/>
          <w:rFonts w:ascii="Times New Roman" w:hAnsi="Times New Roman" w:cs="Times New Roman"/>
        </w:rPr>
        <w:footnoteRef/>
      </w:r>
      <w:r w:rsidRPr="00C358D2">
        <w:rPr>
          <w:rFonts w:ascii="Times New Roman" w:hAnsi="Times New Roman" w:cs="Times New Roman"/>
        </w:rPr>
        <w:t xml:space="preserve"> </w:t>
      </w:r>
      <w:r w:rsidRPr="00C358D2" w:rsidR="00EA54B4">
        <w:rPr>
          <w:rFonts w:ascii="Times New Roman" w:hAnsi="Times New Roman" w:cs="Times New Roman"/>
          <w:i/>
        </w:rPr>
        <w:t>Id.</w:t>
      </w:r>
      <w:r w:rsidRPr="00C358D2" w:rsidR="00EA54B4">
        <w:rPr>
          <w:rFonts w:ascii="Times New Roman" w:hAnsi="Times New Roman" w:cs="Times New Roman"/>
        </w:rPr>
        <w:t xml:space="preserve"> at</w:t>
      </w:r>
      <w:r w:rsidRPr="00C358D2" w:rsidR="00FF520B">
        <w:rPr>
          <w:rFonts w:ascii="Times New Roman" w:hAnsi="Times New Roman" w:cs="Times New Roman"/>
        </w:rPr>
        <w:t xml:space="preserve"> lines 17-19, p. 6.</w:t>
      </w:r>
    </w:p>
  </w:footnote>
  <w:footnote w:id="12">
    <w:p w:rsidR="00476224" w:rsidRPr="00C358D2" w:rsidP="00476224">
      <w:pPr>
        <w:pStyle w:val="FootnoteText"/>
        <w:rPr>
          <w:rFonts w:ascii="Times New Roman" w:hAnsi="Times New Roman" w:cs="Times New Roman"/>
        </w:rPr>
      </w:pPr>
      <w:r>
        <w:rPr>
          <w:rStyle w:val="FootnoteReference"/>
        </w:rPr>
        <w:footnoteRef/>
      </w:r>
      <w:r>
        <w:t xml:space="preserve"> </w:t>
      </w:r>
      <w:r w:rsidRPr="00C358D2">
        <w:rPr>
          <w:rFonts w:ascii="Times New Roman" w:hAnsi="Times New Roman" w:cs="Times New Roman"/>
        </w:rPr>
        <w:t>Exhibit MC-1T, lines 17, 18, p. 22.</w:t>
      </w:r>
    </w:p>
  </w:footnote>
  <w:footnote w:id="13">
    <w:p w:rsidR="00E44A57" w:rsidRPr="00C358D2" w:rsidP="00E44A57">
      <w:pPr>
        <w:pStyle w:val="FootnoteText"/>
        <w:rPr>
          <w:rFonts w:ascii="Times New Roman" w:hAnsi="Times New Roman" w:cs="Times New Roman"/>
        </w:rPr>
      </w:pPr>
      <w:r w:rsidRPr="00C358D2">
        <w:rPr>
          <w:rStyle w:val="FootnoteReference"/>
          <w:rFonts w:ascii="Times New Roman" w:hAnsi="Times New Roman" w:cs="Times New Roman"/>
        </w:rPr>
        <w:footnoteRef/>
      </w:r>
      <w:r w:rsidRPr="00C358D2">
        <w:rPr>
          <w:rFonts w:ascii="Times New Roman" w:hAnsi="Times New Roman" w:cs="Times New Roman"/>
        </w:rPr>
        <w:t xml:space="preserve"> MC-1T, p. 54-55.</w:t>
      </w:r>
    </w:p>
  </w:footnote>
  <w:footnote w:id="14">
    <w:p w:rsidR="00E44A57" w:rsidRPr="00C358D2" w:rsidP="00E44A57">
      <w:pPr>
        <w:pStyle w:val="FootnoteText"/>
        <w:rPr>
          <w:rFonts w:ascii="Times New Roman" w:hAnsi="Times New Roman" w:cs="Times New Roman"/>
        </w:rPr>
      </w:pPr>
      <w:r w:rsidRPr="00C358D2">
        <w:rPr>
          <w:rStyle w:val="FootnoteReference"/>
          <w:rFonts w:ascii="Times New Roman" w:hAnsi="Times New Roman" w:cs="Times New Roman"/>
        </w:rPr>
        <w:footnoteRef/>
      </w:r>
      <w:r w:rsidRPr="00C358D2">
        <w:rPr>
          <w:rFonts w:ascii="Times New Roman" w:hAnsi="Times New Roman" w:cs="Times New Roman"/>
        </w:rPr>
        <w:t xml:space="preserve"> </w:t>
      </w:r>
      <w:r w:rsidR="002C4F8D">
        <w:rPr>
          <w:rFonts w:ascii="Times New Roman" w:hAnsi="Times New Roman" w:cs="Times New Roman"/>
        </w:rPr>
        <w:t>Also a</w:t>
      </w:r>
      <w:r w:rsidR="00753E21">
        <w:rPr>
          <w:rFonts w:ascii="Times New Roman" w:hAnsi="Times New Roman" w:cs="Times New Roman"/>
        </w:rPr>
        <w:t xml:space="preserve">bsent </w:t>
      </w:r>
      <w:r w:rsidRPr="00C358D2" w:rsidR="00121A38">
        <w:rPr>
          <w:rFonts w:ascii="Times New Roman" w:hAnsi="Times New Roman" w:cs="Times New Roman"/>
        </w:rPr>
        <w:t>from</w:t>
      </w:r>
      <w:r w:rsidRPr="00C358D2">
        <w:rPr>
          <w:rFonts w:ascii="Times New Roman" w:hAnsi="Times New Roman" w:cs="Times New Roman"/>
        </w:rPr>
        <w:t xml:space="preserve"> the rationalization of the imposition of the investigation fee </w:t>
      </w:r>
      <w:r w:rsidR="00195DD9">
        <w:rPr>
          <w:rFonts w:ascii="Times New Roman" w:hAnsi="Times New Roman" w:cs="Times New Roman"/>
        </w:rPr>
        <w:t xml:space="preserve">in Staff’s case </w:t>
      </w:r>
      <w:r w:rsidRPr="00C358D2">
        <w:rPr>
          <w:rFonts w:ascii="Times New Roman" w:hAnsi="Times New Roman" w:cs="Times New Roman"/>
        </w:rPr>
        <w:t xml:space="preserve">was the immediately subsequent discussion of “Staff communication with WCI” in which the Staff admitted critical lapses in </w:t>
      </w:r>
      <w:r w:rsidR="00F42F0B">
        <w:rPr>
          <w:rFonts w:ascii="Times New Roman" w:hAnsi="Times New Roman" w:cs="Times New Roman"/>
        </w:rPr>
        <w:t xml:space="preserve">communication which </w:t>
      </w:r>
      <w:r w:rsidRPr="00C358D2">
        <w:rPr>
          <w:rFonts w:ascii="Times New Roman" w:hAnsi="Times New Roman" w:cs="Times New Roman"/>
        </w:rPr>
        <w:t>protracted and exacerbated the ability of the Company to work together</w:t>
      </w:r>
      <w:r w:rsidRPr="00C358D2" w:rsidR="006526BB">
        <w:rPr>
          <w:rFonts w:ascii="Times New Roman" w:hAnsi="Times New Roman" w:cs="Times New Roman"/>
        </w:rPr>
        <w:t xml:space="preserve"> with Staff</w:t>
      </w:r>
      <w:r w:rsidRPr="00C358D2">
        <w:rPr>
          <w:rFonts w:ascii="Times New Roman" w:hAnsi="Times New Roman" w:cs="Times New Roman"/>
        </w:rPr>
        <w:t xml:space="preserve"> in this </w:t>
      </w:r>
      <w:r w:rsidRPr="00C358D2" w:rsidR="007C2850">
        <w:rPr>
          <w:rFonts w:ascii="Times New Roman" w:hAnsi="Times New Roman" w:cs="Times New Roman"/>
        </w:rPr>
        <w:t xml:space="preserve">audit.  Exhibit MC-1T, pp.  </w:t>
      </w:r>
      <w:r w:rsidRPr="00C358D2" w:rsidR="007C2850">
        <w:rPr>
          <w:rFonts w:ascii="Times New Roman" w:hAnsi="Times New Roman" w:cs="Times New Roman"/>
        </w:rPr>
        <w:t>56, 57.</w:t>
      </w:r>
      <w:r w:rsidRPr="00C358D2" w:rsidR="007C2850">
        <w:rPr>
          <w:rFonts w:ascii="Times New Roman" w:hAnsi="Times New Roman" w:cs="Times New Roman"/>
        </w:rPr>
        <w:t xml:space="preserve">  In the Company’s view, those communication lapses</w:t>
      </w:r>
      <w:r w:rsidRPr="00C358D2" w:rsidR="006526BB">
        <w:rPr>
          <w:rFonts w:ascii="Times New Roman" w:hAnsi="Times New Roman" w:cs="Times New Roman"/>
        </w:rPr>
        <w:t xml:space="preserve"> undoubtedly</w:t>
      </w:r>
      <w:r w:rsidRPr="00C358D2" w:rsidR="007C2850">
        <w:rPr>
          <w:rFonts w:ascii="Times New Roman" w:hAnsi="Times New Roman" w:cs="Times New Roman"/>
        </w:rPr>
        <w:t xml:space="preserve"> resulted in some of the additional Staff costs Staff seeks to impose on the Company through its argument for recovery of investigation fees.</w:t>
      </w:r>
    </w:p>
  </w:footnote>
  <w:footnote w:id="15">
    <w:p w:rsidR="00133C84" w:rsidRPr="00C358D2" w:rsidP="00133C84">
      <w:pPr>
        <w:pStyle w:val="FootnoteText"/>
        <w:rPr>
          <w:rFonts w:ascii="Times New Roman" w:hAnsi="Times New Roman" w:cs="Times New Roman"/>
        </w:rPr>
      </w:pPr>
      <w:r>
        <w:rPr>
          <w:rStyle w:val="FootnoteReference"/>
        </w:rPr>
        <w:footnoteRef/>
      </w:r>
      <w:r>
        <w:t xml:space="preserve"> </w:t>
      </w:r>
      <w:r w:rsidRPr="00C358D2">
        <w:rPr>
          <w:rFonts w:ascii="Times New Roman" w:hAnsi="Times New Roman" w:cs="Times New Roman"/>
        </w:rPr>
        <w:t>Exhibit JD-41T</w:t>
      </w:r>
      <w:r w:rsidRPr="00C358D2">
        <w:rPr>
          <w:rFonts w:ascii="Times New Roman" w:hAnsi="Times New Roman" w:cs="Times New Roman"/>
        </w:rPr>
        <w:t>,  p</w:t>
      </w:r>
      <w:r w:rsidRPr="00C358D2">
        <w:rPr>
          <w:rFonts w:ascii="Times New Roman" w:hAnsi="Times New Roman" w:cs="Times New Roman"/>
        </w:rPr>
        <w:t>. 49.</w:t>
      </w:r>
    </w:p>
  </w:footnote>
  <w:footnote w:id="16">
    <w:p w:rsidR="00C52EA7" w:rsidRPr="00C358D2" w:rsidP="00C52EA7">
      <w:pPr>
        <w:pStyle w:val="FootnoteText"/>
        <w:rPr>
          <w:rFonts w:ascii="Times New Roman" w:hAnsi="Times New Roman" w:cs="Times New Roman"/>
        </w:rPr>
      </w:pPr>
      <w:r w:rsidRPr="00C358D2">
        <w:rPr>
          <w:rStyle w:val="FootnoteReference"/>
          <w:rFonts w:ascii="Times New Roman" w:hAnsi="Times New Roman" w:cs="Times New Roman"/>
        </w:rPr>
        <w:footnoteRef/>
      </w:r>
      <w:r w:rsidR="00753E21">
        <w:rPr>
          <w:rFonts w:ascii="Times New Roman" w:hAnsi="Times New Roman" w:cs="Times New Roman"/>
        </w:rPr>
        <w:t xml:space="preserve"> Interestingly, Order No. 1 (April 10, 2014)</w:t>
      </w:r>
      <w:r w:rsidRPr="00C358D2">
        <w:rPr>
          <w:rFonts w:ascii="Times New Roman" w:hAnsi="Times New Roman" w:cs="Times New Roman"/>
        </w:rPr>
        <w:t xml:space="preserve"> in this matter </w:t>
      </w:r>
      <w:r w:rsidRPr="00C358D2" w:rsidR="006526BB">
        <w:rPr>
          <w:rFonts w:ascii="Times New Roman" w:hAnsi="Times New Roman" w:cs="Times New Roman"/>
        </w:rPr>
        <w:t xml:space="preserve">makes </w:t>
      </w:r>
      <w:r w:rsidRPr="00C358D2">
        <w:rPr>
          <w:rFonts w:ascii="Times New Roman" w:hAnsi="Times New Roman" w:cs="Times New Roman"/>
        </w:rPr>
        <w:t>no such reference whatsoever to the prospect of imposition of any Staff investigation fees.  While</w:t>
      </w:r>
      <w:r w:rsidR="002C4F8D">
        <w:rPr>
          <w:rFonts w:ascii="Times New Roman" w:hAnsi="Times New Roman" w:cs="Times New Roman"/>
        </w:rPr>
        <w:t>,</w:t>
      </w:r>
      <w:r w:rsidRPr="00C358D2">
        <w:rPr>
          <w:rFonts w:ascii="Times New Roman" w:hAnsi="Times New Roman" w:cs="Times New Roman"/>
        </w:rPr>
        <w:t xml:space="preserve"> again</w:t>
      </w:r>
      <w:r w:rsidR="002C4F8D">
        <w:rPr>
          <w:rFonts w:ascii="Times New Roman" w:hAnsi="Times New Roman" w:cs="Times New Roman"/>
        </w:rPr>
        <w:t>,</w:t>
      </w:r>
      <w:r w:rsidRPr="00C358D2">
        <w:rPr>
          <w:rFonts w:ascii="Times New Roman" w:hAnsi="Times New Roman" w:cs="Times New Roman"/>
        </w:rPr>
        <w:t xml:space="preserve"> that</w:t>
      </w:r>
      <w:r w:rsidRPr="00C358D2" w:rsidR="006B14CB">
        <w:rPr>
          <w:rFonts w:ascii="Times New Roman" w:hAnsi="Times New Roman" w:cs="Times New Roman"/>
        </w:rPr>
        <w:t xml:space="preserve"> provision</w:t>
      </w:r>
      <w:r w:rsidRPr="00C358D2">
        <w:rPr>
          <w:rFonts w:ascii="Times New Roman" w:hAnsi="Times New Roman" w:cs="Times New Roman"/>
        </w:rPr>
        <w:t xml:space="preserve"> has been noted in previous transportation </w:t>
      </w:r>
      <w:r w:rsidRPr="00C358D2" w:rsidR="006B14CB">
        <w:rPr>
          <w:rFonts w:ascii="Times New Roman" w:hAnsi="Times New Roman" w:cs="Times New Roman"/>
        </w:rPr>
        <w:t xml:space="preserve">industry </w:t>
      </w:r>
      <w:r w:rsidR="002C4F8D">
        <w:rPr>
          <w:rFonts w:ascii="Times New Roman" w:hAnsi="Times New Roman" w:cs="Times New Roman"/>
        </w:rPr>
        <w:t>orders on</w:t>
      </w:r>
      <w:r w:rsidRPr="00C358D2">
        <w:rPr>
          <w:rFonts w:ascii="Times New Roman" w:hAnsi="Times New Roman" w:cs="Times New Roman"/>
        </w:rPr>
        <w:t xml:space="preserve"> suspension, it was not so ordered in this case. </w:t>
      </w:r>
      <w:r w:rsidRPr="00C358D2">
        <w:rPr>
          <w:rFonts w:ascii="Times New Roman" w:hAnsi="Times New Roman" w:cs="Times New Roman"/>
          <w:i/>
        </w:rPr>
        <w:t>See</w:t>
      </w:r>
      <w:r w:rsidRPr="00C358D2">
        <w:rPr>
          <w:rFonts w:ascii="Times New Roman" w:hAnsi="Times New Roman" w:cs="Times New Roman"/>
        </w:rPr>
        <w:t xml:space="preserve"> in contrast, </w:t>
      </w:r>
      <w:r w:rsidRPr="00C358D2">
        <w:rPr>
          <w:rFonts w:ascii="Times New Roman" w:hAnsi="Times New Roman" w:cs="Times New Roman"/>
          <w:i/>
        </w:rPr>
        <w:t xml:space="preserve">WUTC v. Pacific NW Transportation Service, </w:t>
      </w:r>
      <w:r w:rsidRPr="00C358D2">
        <w:rPr>
          <w:rFonts w:ascii="Times New Roman" w:hAnsi="Times New Roman" w:cs="Times New Roman"/>
          <w:i/>
        </w:rPr>
        <w:t>Inc</w:t>
      </w:r>
      <w:r w:rsidRPr="00C358D2">
        <w:rPr>
          <w:rFonts w:ascii="Times New Roman" w:hAnsi="Times New Roman" w:cs="Times New Roman"/>
          <w:i/>
        </w:rPr>
        <w:t xml:space="preserve">, C-862, Complaint and Order Suspending Tariff Filing </w:t>
      </w:r>
      <w:r w:rsidRPr="00C358D2">
        <w:rPr>
          <w:rFonts w:ascii="Times New Roman" w:hAnsi="Times New Roman" w:cs="Times New Roman"/>
        </w:rPr>
        <w:t xml:space="preserve">(Aug. 2000); </w:t>
      </w:r>
      <w:r w:rsidRPr="00C358D2" w:rsidR="00DD27B4">
        <w:rPr>
          <w:rFonts w:ascii="Times New Roman" w:hAnsi="Times New Roman" w:cs="Times New Roman"/>
          <w:i/>
        </w:rPr>
        <w:t xml:space="preserve">WUTC v. </w:t>
      </w:r>
      <w:r w:rsidRPr="00C358D2" w:rsidR="00DD27B4">
        <w:rPr>
          <w:rFonts w:ascii="Times New Roman" w:hAnsi="Times New Roman" w:cs="Times New Roman"/>
          <w:i/>
        </w:rPr>
        <w:t>Brem</w:t>
      </w:r>
      <w:r w:rsidRPr="00C358D2" w:rsidR="00DD27B4">
        <w:rPr>
          <w:rFonts w:ascii="Times New Roman" w:hAnsi="Times New Roman" w:cs="Times New Roman"/>
          <w:i/>
        </w:rPr>
        <w:t>-Air</w:t>
      </w:r>
      <w:r w:rsidRPr="00C358D2">
        <w:rPr>
          <w:rFonts w:ascii="Times New Roman" w:hAnsi="Times New Roman" w:cs="Times New Roman"/>
          <w:i/>
        </w:rPr>
        <w:t xml:space="preserve"> Disposal, </w:t>
      </w:r>
      <w:r w:rsidRPr="00C358D2">
        <w:rPr>
          <w:rFonts w:ascii="Times New Roman" w:hAnsi="Times New Roman" w:cs="Times New Roman"/>
          <w:i/>
        </w:rPr>
        <w:t>Inc</w:t>
      </w:r>
      <w:r w:rsidRPr="00C358D2">
        <w:rPr>
          <w:rFonts w:ascii="Times New Roman" w:hAnsi="Times New Roman" w:cs="Times New Roman"/>
          <w:i/>
        </w:rPr>
        <w:t>, G-38</w:t>
      </w:r>
      <w:r w:rsidR="00195DD9">
        <w:rPr>
          <w:rFonts w:ascii="Times New Roman" w:hAnsi="Times New Roman" w:cs="Times New Roman"/>
          <w:i/>
        </w:rPr>
        <w:t>,</w:t>
      </w:r>
      <w:r w:rsidR="00195DD9">
        <w:rPr>
          <w:rFonts w:ascii="Times New Roman" w:hAnsi="Times New Roman" w:cs="Times New Roman"/>
        </w:rPr>
        <w:t xml:space="preserve"> Order No. 1,</w:t>
      </w:r>
      <w:r w:rsidRPr="00C358D2">
        <w:rPr>
          <w:rFonts w:ascii="Times New Roman" w:hAnsi="Times New Roman" w:cs="Times New Roman"/>
        </w:rPr>
        <w:t xml:space="preserve"> Docket TG-010611, (June 2001).</w:t>
      </w:r>
      <w:r w:rsidR="00131284">
        <w:rPr>
          <w:rFonts w:ascii="Times New Roman" w:hAnsi="Times New Roman" w:cs="Times New Roman"/>
        </w:rPr>
        <w:t xml:space="preserve">  </w:t>
      </w:r>
      <w:r w:rsidRPr="00C358D2" w:rsidR="00131284">
        <w:rPr>
          <w:rFonts w:ascii="Times New Roman" w:hAnsi="Times New Roman" w:cs="Times New Roman"/>
        </w:rPr>
        <w:t>“</w:t>
      </w:r>
      <w:r w:rsidRPr="00C358D2" w:rsidR="00131284">
        <w:rPr>
          <w:rFonts w:ascii="Times New Roman" w:hAnsi="Times New Roman" w:cs="Times New Roman"/>
        </w:rPr>
        <w:t>Brem</w:t>
      </w:r>
      <w:r w:rsidRPr="00C358D2" w:rsidR="00131284">
        <w:rPr>
          <w:rFonts w:ascii="Times New Roman" w:hAnsi="Times New Roman" w:cs="Times New Roman"/>
        </w:rPr>
        <w:t xml:space="preserve">-Air may be required to pay the expenses reasonably attributable and allocable to </w:t>
      </w:r>
      <w:r w:rsidR="00131284">
        <w:rPr>
          <w:rFonts w:ascii="Times New Roman" w:hAnsi="Times New Roman" w:cs="Times New Roman"/>
        </w:rPr>
        <w:t>the Commission’s investigation..</w:t>
      </w:r>
      <w:r w:rsidRPr="00C358D2" w:rsidR="00131284">
        <w:rPr>
          <w:rFonts w:ascii="Times New Roman" w:hAnsi="Times New Roman" w:cs="Times New Roman"/>
        </w:rPr>
        <w:t>.</w:t>
      </w:r>
      <w:r w:rsidR="00131284">
        <w:rPr>
          <w:rFonts w:ascii="Times New Roman" w:hAnsi="Times New Roman" w:cs="Times New Roman"/>
        </w:rPr>
        <w:t>”</w:t>
      </w:r>
    </w:p>
  </w:footnote>
  <w:footnote w:id="17">
    <w:p w:rsidR="00B46056" w:rsidRPr="008F446A">
      <w:pPr>
        <w:pStyle w:val="FootnoteText"/>
        <w:rPr>
          <w:rFonts w:ascii="Times New Roman" w:hAnsi="Times New Roman" w:cs="Times New Roman"/>
        </w:rPr>
      </w:pPr>
      <w:r>
        <w:rPr>
          <w:rStyle w:val="FootnoteReference"/>
        </w:rPr>
        <w:footnoteRef/>
      </w:r>
      <w:r>
        <w:t xml:space="preserve"> </w:t>
      </w:r>
      <w:r w:rsidRPr="00C358D2" w:rsidR="008F446A">
        <w:rPr>
          <w:rFonts w:ascii="Times New Roman" w:hAnsi="Times New Roman" w:cs="Times New Roman"/>
        </w:rPr>
        <w:t>Indeed, in its response to Company Data Request No. 18 on August 7, 2014, the Staff noted it had no memory of such a fee ever being imposed upon a solid waste company.  The Company is unaware of investigation</w:t>
      </w:r>
      <w:r w:rsidR="00366671">
        <w:rPr>
          <w:rFonts w:ascii="Times New Roman" w:hAnsi="Times New Roman" w:cs="Times New Roman"/>
        </w:rPr>
        <w:t xml:space="preserve"> fees</w:t>
      </w:r>
      <w:r w:rsidRPr="00C358D2" w:rsidR="008F446A">
        <w:rPr>
          <w:rFonts w:ascii="Times New Roman" w:hAnsi="Times New Roman" w:cs="Times New Roman"/>
        </w:rPr>
        <w:t xml:space="preserve"> ever being imposed on a solid waste collection company either</w:t>
      </w:r>
      <w:r w:rsidR="00366671">
        <w:rPr>
          <w:rFonts w:ascii="Times New Roman" w:hAnsi="Times New Roman" w:cs="Times New Roman"/>
        </w:rPr>
        <w:t>,</w:t>
      </w:r>
      <w:r w:rsidRPr="00C358D2" w:rsidR="008F446A">
        <w:rPr>
          <w:rFonts w:ascii="Times New Roman" w:hAnsi="Times New Roman" w:cs="Times New Roman"/>
        </w:rPr>
        <w:t xml:space="preserve"> nor is it even aware of an instance of investigation fees being </w:t>
      </w:r>
      <w:r w:rsidR="008F446A">
        <w:rPr>
          <w:rFonts w:ascii="Times New Roman" w:hAnsi="Times New Roman" w:cs="Times New Roman"/>
        </w:rPr>
        <w:t xml:space="preserve">assessed </w:t>
      </w:r>
      <w:r w:rsidRPr="00C358D2" w:rsidR="008F446A">
        <w:rPr>
          <w:rFonts w:ascii="Times New Roman" w:hAnsi="Times New Roman" w:cs="Times New Roman"/>
        </w:rPr>
        <w:t>on energy company rate case proponents which obviously entail an assignment of massive amounts of internal Staff resources to analyze.</w:t>
      </w:r>
    </w:p>
  </w:footnote>
  <w:footnote w:id="18">
    <w:p w:rsidR="00210108" w:rsidRPr="00C358D2">
      <w:pPr>
        <w:pStyle w:val="FootnoteText"/>
        <w:rPr>
          <w:rFonts w:ascii="Times New Roman" w:hAnsi="Times New Roman" w:cs="Times New Roman"/>
        </w:rPr>
      </w:pPr>
      <w:r w:rsidRPr="00C358D2">
        <w:rPr>
          <w:rStyle w:val="FootnoteReference"/>
          <w:rFonts w:ascii="Times New Roman" w:hAnsi="Times New Roman" w:cs="Times New Roman"/>
        </w:rPr>
        <w:footnoteRef/>
      </w:r>
      <w:r w:rsidRPr="00C358D2">
        <w:rPr>
          <w:rFonts w:ascii="Times New Roman" w:hAnsi="Times New Roman" w:cs="Times New Roman"/>
        </w:rPr>
        <w:t xml:space="preserve"> Due to its relatively modest size, Waste Control does not employ inside CPA staff and instead relies on its outside CPAs, Booth Davis of Longview, for all regulated rate related filings and computations, fuel surcharges and annual reports, etc. and thus there is no in-house staff dedicated to</w:t>
      </w:r>
      <w:r w:rsidR="00F42F0B">
        <w:rPr>
          <w:rFonts w:ascii="Times New Roman" w:hAnsi="Times New Roman" w:cs="Times New Roman"/>
        </w:rPr>
        <w:t xml:space="preserve"> such </w:t>
      </w:r>
      <w:r w:rsidRPr="00C358D2">
        <w:rPr>
          <w:rFonts w:ascii="Times New Roman" w:hAnsi="Times New Roman" w:cs="Times New Roman"/>
        </w:rPr>
        <w:t xml:space="preserve"> tasks which must in turn be performed by outside accountants.</w:t>
      </w:r>
    </w:p>
  </w:footnote>
  <w:footnote w:id="19">
    <w:p w:rsidR="00210108" w:rsidRPr="00C358D2">
      <w:pPr>
        <w:pStyle w:val="FootnoteText"/>
        <w:rPr>
          <w:rFonts w:ascii="Times New Roman" w:hAnsi="Times New Roman" w:cs="Times New Roman"/>
        </w:rPr>
      </w:pPr>
      <w:r w:rsidRPr="00C358D2">
        <w:rPr>
          <w:rStyle w:val="FootnoteReference"/>
          <w:rFonts w:ascii="Times New Roman" w:hAnsi="Times New Roman" w:cs="Times New Roman"/>
        </w:rPr>
        <w:footnoteRef/>
      </w:r>
      <w:r w:rsidRPr="00C358D2">
        <w:rPr>
          <w:rFonts w:ascii="Times New Roman" w:hAnsi="Times New Roman" w:cs="Times New Roman"/>
        </w:rPr>
        <w:t xml:space="preserve"> Additionally, the Company’s outside counsel, Walstead</w:t>
      </w:r>
      <w:r w:rsidR="00EF07BB">
        <w:rPr>
          <w:rFonts w:ascii="Times New Roman" w:hAnsi="Times New Roman" w:cs="Times New Roman"/>
        </w:rPr>
        <w:t xml:space="preserve"> </w:t>
      </w:r>
      <w:r w:rsidRPr="00C358D2">
        <w:rPr>
          <w:rFonts w:ascii="Times New Roman" w:hAnsi="Times New Roman" w:cs="Times New Roman"/>
        </w:rPr>
        <w:t>Merts</w:t>
      </w:r>
      <w:r w:rsidR="00525F2D">
        <w:rPr>
          <w:rFonts w:ascii="Times New Roman" w:hAnsi="Times New Roman" w:cs="Times New Roman"/>
        </w:rPr>
        <w:t>c</w:t>
      </w:r>
      <w:r w:rsidRPr="00C358D2">
        <w:rPr>
          <w:rFonts w:ascii="Times New Roman" w:hAnsi="Times New Roman" w:cs="Times New Roman"/>
        </w:rPr>
        <w:t xml:space="preserve">hing of Longview, does not have attorneys regularly appearing before the Commission and thus the Company retained outside counsel who had assisted </w:t>
      </w:r>
      <w:r w:rsidR="00195DD9">
        <w:rPr>
          <w:rFonts w:ascii="Times New Roman" w:hAnsi="Times New Roman" w:cs="Times New Roman"/>
        </w:rPr>
        <w:t xml:space="preserve">it </w:t>
      </w:r>
      <w:r w:rsidRPr="00C358D2">
        <w:rPr>
          <w:rFonts w:ascii="Times New Roman" w:hAnsi="Times New Roman" w:cs="Times New Roman"/>
        </w:rPr>
        <w:t>in Commission rate matters</w:t>
      </w:r>
      <w:r w:rsidR="00195DD9">
        <w:rPr>
          <w:rFonts w:ascii="Times New Roman" w:hAnsi="Times New Roman" w:cs="Times New Roman"/>
        </w:rPr>
        <w:t xml:space="preserve"> previously</w:t>
      </w:r>
      <w:r w:rsidRPr="00C358D2">
        <w:rPr>
          <w:rFonts w:ascii="Times New Roman" w:hAnsi="Times New Roman" w:cs="Times New Roman"/>
        </w:rPr>
        <w:t xml:space="preserve">.  </w:t>
      </w:r>
    </w:p>
  </w:footnote>
  <w:footnote w:id="20">
    <w:p w:rsidR="002C4F8D" w:rsidRPr="008D1D01">
      <w:pPr>
        <w:pStyle w:val="FootnoteText"/>
        <w:rPr>
          <w:rFonts w:ascii="Times New Roman" w:hAnsi="Times New Roman" w:cs="Times New Roman"/>
        </w:rPr>
      </w:pPr>
      <w:r w:rsidRPr="008D1D01">
        <w:rPr>
          <w:rStyle w:val="FootnoteReference"/>
          <w:rFonts w:ascii="Times New Roman" w:hAnsi="Times New Roman" w:cs="Times New Roman"/>
        </w:rPr>
        <w:footnoteRef/>
      </w:r>
      <w:r w:rsidRPr="008D1D01">
        <w:rPr>
          <w:rFonts w:ascii="Times New Roman" w:hAnsi="Times New Roman" w:cs="Times New Roman"/>
        </w:rPr>
        <w:t xml:space="preserve"> The Company, as referenced at ¶7 of the Joint Motion to Amend Procedural Schedule</w:t>
      </w:r>
      <w:r w:rsidR="00F42F0B">
        <w:rPr>
          <w:rFonts w:ascii="Times New Roman" w:hAnsi="Times New Roman" w:cs="Times New Roman"/>
        </w:rPr>
        <w:t>,</w:t>
      </w:r>
      <w:r w:rsidRPr="008D1D01">
        <w:rPr>
          <w:rFonts w:ascii="Times New Roman" w:hAnsi="Times New Roman" w:cs="Times New Roman"/>
        </w:rPr>
        <w:t xml:space="preserve"> also seeks to add “updated amounts” of time/rate case costs that are deemed reasonable through the conclusion of this proceeding.</w:t>
      </w:r>
    </w:p>
  </w:footnote>
  <w:footnote w:id="21">
    <w:p w:rsidR="005D21B9" w:rsidRPr="00C358D2" w:rsidP="005D21B9">
      <w:pPr>
        <w:pStyle w:val="FootnoteText"/>
        <w:rPr>
          <w:rFonts w:ascii="Times New Roman" w:hAnsi="Times New Roman" w:cs="Times New Roman"/>
        </w:rPr>
      </w:pPr>
      <w:r>
        <w:rPr>
          <w:rStyle w:val="FootnoteReference"/>
        </w:rPr>
        <w:footnoteRef/>
      </w:r>
      <w:r>
        <w:t xml:space="preserve"> </w:t>
      </w:r>
      <w:r w:rsidRPr="00C358D2">
        <w:rPr>
          <w:rFonts w:ascii="Times New Roman" w:hAnsi="Times New Roman" w:cs="Times New Roman"/>
        </w:rPr>
        <w:t>That December 24, 2013 cutoff would also, of course, mean almost the entirety of the Company’s legal fees</w:t>
      </w:r>
      <w:r w:rsidRPr="00C358D2" w:rsidR="00130302">
        <w:rPr>
          <w:rFonts w:ascii="Times New Roman" w:hAnsi="Times New Roman" w:cs="Times New Roman"/>
        </w:rPr>
        <w:t xml:space="preserve"> comprised</w:t>
      </w:r>
      <w:r w:rsidRPr="00C358D2">
        <w:rPr>
          <w:rFonts w:ascii="Times New Roman" w:hAnsi="Times New Roman" w:cs="Times New Roman"/>
        </w:rPr>
        <w:t xml:space="preserve"> in the rate case costs would be recovered at 50 cents on the dollar, since </w:t>
      </w:r>
      <w:r w:rsidRPr="00C358D2" w:rsidR="00ED665D">
        <w:rPr>
          <w:rFonts w:ascii="Times New Roman" w:hAnsi="Times New Roman" w:cs="Times New Roman"/>
        </w:rPr>
        <w:t xml:space="preserve">only </w:t>
      </w:r>
      <w:r w:rsidRPr="00C358D2">
        <w:rPr>
          <w:rFonts w:ascii="Times New Roman" w:hAnsi="Times New Roman" w:cs="Times New Roman"/>
        </w:rPr>
        <w:t>mi</w:t>
      </w:r>
      <w:r w:rsidR="00366671">
        <w:rPr>
          <w:rFonts w:ascii="Times New Roman" w:hAnsi="Times New Roman" w:cs="Times New Roman"/>
        </w:rPr>
        <w:t>nimal legal work was performed in</w:t>
      </w:r>
      <w:r w:rsidRPr="00C358D2" w:rsidR="00ED665D">
        <w:rPr>
          <w:rFonts w:ascii="Times New Roman" w:hAnsi="Times New Roman" w:cs="Times New Roman"/>
        </w:rPr>
        <w:t xml:space="preserve"> </w:t>
      </w:r>
      <w:r w:rsidRPr="00C358D2" w:rsidR="00ED665D">
        <w:rPr>
          <w:rFonts w:ascii="Times New Roman" w:hAnsi="Times New Roman" w:cs="Times New Roman"/>
        </w:rPr>
        <w:t>Fall</w:t>
      </w:r>
      <w:r w:rsidRPr="00C358D2">
        <w:rPr>
          <w:rFonts w:ascii="Times New Roman" w:hAnsi="Times New Roman" w:cs="Times New Roman"/>
        </w:rPr>
        <w:t>, 201</w:t>
      </w:r>
      <w:r w:rsidRPr="00C358D2" w:rsidR="00ED665D">
        <w:rPr>
          <w:rFonts w:ascii="Times New Roman" w:hAnsi="Times New Roman" w:cs="Times New Roman"/>
        </w:rPr>
        <w:t>3</w:t>
      </w:r>
      <w:r w:rsidRPr="00C358D2">
        <w:rPr>
          <w:rFonts w:ascii="Times New Roman" w:hAnsi="Times New Roman" w:cs="Times New Roman"/>
        </w:rPr>
        <w:t>.</w:t>
      </w:r>
    </w:p>
  </w:footnote>
  <w:footnote w:id="22">
    <w:p w:rsidR="00552C26" w:rsidRPr="00C358D2">
      <w:pPr>
        <w:pStyle w:val="FootnoteText"/>
        <w:rPr>
          <w:rFonts w:ascii="Times New Roman" w:hAnsi="Times New Roman" w:cs="Times New Roman"/>
        </w:rPr>
      </w:pPr>
      <w:r w:rsidRPr="00C358D2">
        <w:rPr>
          <w:rStyle w:val="FootnoteReference"/>
          <w:rFonts w:ascii="Times New Roman" w:hAnsi="Times New Roman" w:cs="Times New Roman"/>
        </w:rPr>
        <w:footnoteRef/>
      </w:r>
      <w:r w:rsidRPr="00C358D2">
        <w:rPr>
          <w:rFonts w:ascii="Times New Roman" w:hAnsi="Times New Roman" w:cs="Times New Roman"/>
        </w:rPr>
        <w:t xml:space="preserve"> </w:t>
      </w:r>
      <w:r w:rsidRPr="00C358D2" w:rsidR="004F435B">
        <w:rPr>
          <w:rFonts w:ascii="Times New Roman" w:hAnsi="Times New Roman" w:cs="Times New Roman"/>
        </w:rPr>
        <w:t>There was a previous episode of communication lapse</w:t>
      </w:r>
      <w:r w:rsidRPr="00C358D2">
        <w:rPr>
          <w:rFonts w:ascii="Times New Roman" w:hAnsi="Times New Roman" w:cs="Times New Roman"/>
        </w:rPr>
        <w:t xml:space="preserve"> in this case that </w:t>
      </w:r>
      <w:r w:rsidR="00AE5059">
        <w:rPr>
          <w:rFonts w:ascii="Times New Roman" w:hAnsi="Times New Roman" w:cs="Times New Roman"/>
        </w:rPr>
        <w:t xml:space="preserve">had significant </w:t>
      </w:r>
      <w:r w:rsidR="00131284">
        <w:rPr>
          <w:rFonts w:ascii="Times New Roman" w:hAnsi="Times New Roman" w:cs="Times New Roman"/>
        </w:rPr>
        <w:t xml:space="preserve">adverse </w:t>
      </w:r>
      <w:r w:rsidR="00AE5059">
        <w:rPr>
          <w:rFonts w:ascii="Times New Roman" w:hAnsi="Times New Roman" w:cs="Times New Roman"/>
        </w:rPr>
        <w:t xml:space="preserve">consequences for the </w:t>
      </w:r>
      <w:r w:rsidRPr="00C358D2">
        <w:rPr>
          <w:rFonts w:ascii="Times New Roman" w:hAnsi="Times New Roman" w:cs="Times New Roman"/>
        </w:rPr>
        <w:t>Company.  In early February (</w:t>
      </w:r>
      <w:r w:rsidRPr="00C358D2">
        <w:rPr>
          <w:rFonts w:ascii="Times New Roman" w:hAnsi="Times New Roman" w:cs="Times New Roman"/>
          <w:i/>
        </w:rPr>
        <w:t>see</w:t>
      </w:r>
      <w:r w:rsidRPr="00C358D2">
        <w:rPr>
          <w:rFonts w:ascii="Times New Roman" w:hAnsi="Times New Roman" w:cs="Times New Roman"/>
        </w:rPr>
        <w:t xml:space="preserve"> Exhibit JD-42) the Company, through counsel, had sought to communicate its concerns about formatting the upcoming Company case presentation in emails and telephone contacts with Staff counsel,  including asking for</w:t>
      </w:r>
      <w:r w:rsidRPr="00C358D2" w:rsidR="004F435B">
        <w:rPr>
          <w:rFonts w:ascii="Times New Roman" w:hAnsi="Times New Roman" w:cs="Times New Roman"/>
        </w:rPr>
        <w:t xml:space="preserve"> a</w:t>
      </w:r>
      <w:r w:rsidRPr="00C358D2">
        <w:rPr>
          <w:rFonts w:ascii="Times New Roman" w:hAnsi="Times New Roman" w:cs="Times New Roman"/>
        </w:rPr>
        <w:t xml:space="preserve"> telephone status conference with the administrative la</w:t>
      </w:r>
      <w:r w:rsidRPr="00C358D2" w:rsidR="00A70DD9">
        <w:rPr>
          <w:rFonts w:ascii="Times New Roman" w:hAnsi="Times New Roman" w:cs="Times New Roman"/>
        </w:rPr>
        <w:t>w judge  on February 10</w:t>
      </w:r>
      <w:r w:rsidRPr="00C358D2">
        <w:rPr>
          <w:rFonts w:ascii="Times New Roman" w:hAnsi="Times New Roman" w:cs="Times New Roman"/>
        </w:rPr>
        <w:t>, 2014.  The issue then was the concern that, unlike other Title 80</w:t>
      </w:r>
      <w:r w:rsidR="00521212">
        <w:rPr>
          <w:rFonts w:ascii="Times New Roman" w:hAnsi="Times New Roman" w:cs="Times New Roman"/>
        </w:rPr>
        <w:t xml:space="preserve"> RCW</w:t>
      </w:r>
      <w:r w:rsidRPr="00C358D2">
        <w:rPr>
          <w:rFonts w:ascii="Times New Roman" w:hAnsi="Times New Roman" w:cs="Times New Roman"/>
        </w:rPr>
        <w:t xml:space="preserve"> rate cases, the Company had filed its direct cas</w:t>
      </w:r>
      <w:r w:rsidRPr="00C358D2" w:rsidR="004F435B">
        <w:rPr>
          <w:rFonts w:ascii="Times New Roman" w:hAnsi="Times New Roman" w:cs="Times New Roman"/>
        </w:rPr>
        <w:t>e almost six months previously.  Thereafter</w:t>
      </w:r>
      <w:r w:rsidR="00753E21">
        <w:rPr>
          <w:rFonts w:ascii="Times New Roman" w:hAnsi="Times New Roman" w:cs="Times New Roman"/>
        </w:rPr>
        <w:t>,</w:t>
      </w:r>
      <w:r w:rsidRPr="00C358D2" w:rsidR="004F435B">
        <w:rPr>
          <w:rFonts w:ascii="Times New Roman" w:hAnsi="Times New Roman" w:cs="Times New Roman"/>
        </w:rPr>
        <w:t xml:space="preserve"> it was </w:t>
      </w:r>
      <w:r w:rsidRPr="00C358D2">
        <w:rPr>
          <w:rFonts w:ascii="Times New Roman" w:hAnsi="Times New Roman" w:cs="Times New Roman"/>
        </w:rPr>
        <w:t>subjected to substantial Staff audit, Staff memos and pro forma results of operations revisions.  How would that amassed work product to date affect the identification of exhibits and</w:t>
      </w:r>
      <w:r w:rsidR="00753E21">
        <w:rPr>
          <w:rFonts w:ascii="Times New Roman" w:hAnsi="Times New Roman" w:cs="Times New Roman"/>
        </w:rPr>
        <w:t>, more importantly,</w:t>
      </w:r>
      <w:r w:rsidRPr="00C358D2">
        <w:rPr>
          <w:rFonts w:ascii="Times New Roman" w:hAnsi="Times New Roman" w:cs="Times New Roman"/>
        </w:rPr>
        <w:t xml:space="preserve"> presentation of the parties’ cases and avoid costly duplication of issues to be presented to the Commission on non-contested adjustments?  </w:t>
      </w:r>
      <w:r w:rsidRPr="00C358D2" w:rsidR="00E138CF">
        <w:rPr>
          <w:rFonts w:ascii="Times New Roman" w:hAnsi="Times New Roman" w:cs="Times New Roman"/>
        </w:rPr>
        <w:t>That pivotal question was never resolved, due to Staff’s non-communication in the critical February interval prior to the Company’s original case submission on February 18, 2014.  Then, a little more than a month later</w:t>
      </w:r>
      <w:r w:rsidR="00D14FA3">
        <w:rPr>
          <w:rFonts w:ascii="Times New Roman" w:hAnsi="Times New Roman" w:cs="Times New Roman"/>
        </w:rPr>
        <w:t>,</w:t>
      </w:r>
      <w:r w:rsidRPr="00C358D2" w:rsidR="00E138CF">
        <w:rPr>
          <w:rFonts w:ascii="Times New Roman" w:hAnsi="Times New Roman" w:cs="Times New Roman"/>
        </w:rPr>
        <w:t xml:space="preserve"> the Commission dismissed TG-131794 on the Staff’s Motion</w:t>
      </w:r>
      <w:r w:rsidR="008F446A">
        <w:rPr>
          <w:rFonts w:ascii="Times New Roman" w:hAnsi="Times New Roman" w:cs="Times New Roman"/>
        </w:rPr>
        <w:t>,</w:t>
      </w:r>
      <w:r w:rsidRPr="00C358D2" w:rsidR="00E138CF">
        <w:rPr>
          <w:rFonts w:ascii="Times New Roman" w:hAnsi="Times New Roman" w:cs="Times New Roman"/>
        </w:rPr>
        <w:t xml:space="preserve"> which argued </w:t>
      </w:r>
      <w:r w:rsidR="002833F6">
        <w:rPr>
          <w:rFonts w:ascii="Times New Roman" w:hAnsi="Times New Roman" w:cs="Times New Roman"/>
        </w:rPr>
        <w:t xml:space="preserve">largely </w:t>
      </w:r>
      <w:r w:rsidRPr="00C358D2" w:rsidR="00E138CF">
        <w:rPr>
          <w:rFonts w:ascii="Times New Roman" w:hAnsi="Times New Roman" w:cs="Times New Roman"/>
        </w:rPr>
        <w:t xml:space="preserve">that the Company had not sufficiently presented the </w:t>
      </w:r>
      <w:r w:rsidRPr="008F446A" w:rsidR="00E138CF">
        <w:rPr>
          <w:rFonts w:ascii="Times New Roman" w:hAnsi="Times New Roman" w:cs="Times New Roman"/>
          <w:b/>
        </w:rPr>
        <w:t xml:space="preserve">non-contested </w:t>
      </w:r>
      <w:r w:rsidRPr="00C358D2" w:rsidR="00E138CF">
        <w:rPr>
          <w:rFonts w:ascii="Times New Roman" w:hAnsi="Times New Roman" w:cs="Times New Roman"/>
        </w:rPr>
        <w:t xml:space="preserve">accounting adjustments, precisely the issue which the Company </w:t>
      </w:r>
      <w:r w:rsidR="00D14FA3">
        <w:rPr>
          <w:rFonts w:ascii="Times New Roman" w:hAnsi="Times New Roman" w:cs="Times New Roman"/>
        </w:rPr>
        <w:t xml:space="preserve">had </w:t>
      </w:r>
      <w:r w:rsidRPr="00C358D2" w:rsidR="00E138CF">
        <w:rPr>
          <w:rFonts w:ascii="Times New Roman" w:hAnsi="Times New Roman" w:cs="Times New Roman"/>
        </w:rPr>
        <w:t>sought to d</w:t>
      </w:r>
      <w:r w:rsidR="00131284">
        <w:rPr>
          <w:rFonts w:ascii="Times New Roman" w:hAnsi="Times New Roman" w:cs="Times New Roman"/>
        </w:rPr>
        <w:t>e</w:t>
      </w:r>
      <w:r w:rsidRPr="00C358D2" w:rsidR="00E138CF">
        <w:rPr>
          <w:rFonts w:ascii="Times New Roman" w:hAnsi="Times New Roman" w:cs="Times New Roman"/>
        </w:rPr>
        <w:t>fuse by its attempted communications with the Staff</w:t>
      </w:r>
      <w:r w:rsidRPr="00C358D2" w:rsidR="00C358D2">
        <w:rPr>
          <w:rFonts w:ascii="Times New Roman" w:hAnsi="Times New Roman" w:cs="Times New Roman"/>
        </w:rPr>
        <w:t>. The Company</w:t>
      </w:r>
      <w:r w:rsidR="00753E21">
        <w:rPr>
          <w:rFonts w:ascii="Times New Roman" w:hAnsi="Times New Roman" w:cs="Times New Roman"/>
        </w:rPr>
        <w:t xml:space="preserve"> had</w:t>
      </w:r>
      <w:r w:rsidR="00195DD9">
        <w:rPr>
          <w:rFonts w:ascii="Times New Roman" w:hAnsi="Times New Roman" w:cs="Times New Roman"/>
        </w:rPr>
        <w:t xml:space="preserve"> tried</w:t>
      </w:r>
      <w:r w:rsidR="00592B47">
        <w:rPr>
          <w:rFonts w:ascii="Times New Roman" w:hAnsi="Times New Roman" w:cs="Times New Roman"/>
        </w:rPr>
        <w:t>,</w:t>
      </w:r>
      <w:r w:rsidRPr="00C358D2" w:rsidR="00C358D2">
        <w:rPr>
          <w:rFonts w:ascii="Times New Roman" w:hAnsi="Times New Roman" w:cs="Times New Roman"/>
        </w:rPr>
        <w:t xml:space="preserve"> </w:t>
      </w:r>
      <w:r w:rsidR="00D14FA3">
        <w:rPr>
          <w:rFonts w:ascii="Times New Roman" w:hAnsi="Times New Roman" w:cs="Times New Roman"/>
        </w:rPr>
        <w:t>(</w:t>
      </w:r>
      <w:r w:rsidRPr="00C358D2" w:rsidR="00C358D2">
        <w:rPr>
          <w:rFonts w:ascii="Times New Roman" w:hAnsi="Times New Roman" w:cs="Times New Roman"/>
        </w:rPr>
        <w:t>consisten</w:t>
      </w:r>
      <w:r w:rsidR="00592B47">
        <w:rPr>
          <w:rFonts w:ascii="Times New Roman" w:hAnsi="Times New Roman" w:cs="Times New Roman"/>
        </w:rPr>
        <w:t>t</w:t>
      </w:r>
      <w:r w:rsidRPr="00C358D2" w:rsidR="00E138CF">
        <w:rPr>
          <w:rFonts w:ascii="Times New Roman" w:hAnsi="Times New Roman" w:cs="Times New Roman"/>
        </w:rPr>
        <w:t xml:space="preserve"> with analogous rules such as WAC 480-07-425(1)</w:t>
      </w:r>
      <w:r w:rsidR="00D14FA3">
        <w:rPr>
          <w:rFonts w:ascii="Times New Roman" w:hAnsi="Times New Roman" w:cs="Times New Roman"/>
        </w:rPr>
        <w:t>)</w:t>
      </w:r>
      <w:r w:rsidRPr="00C358D2" w:rsidR="00C358D2">
        <w:rPr>
          <w:rFonts w:ascii="Times New Roman" w:hAnsi="Times New Roman" w:cs="Times New Roman"/>
        </w:rPr>
        <w:t>,</w:t>
      </w:r>
      <w:r w:rsidRPr="00C358D2" w:rsidR="00E138CF">
        <w:rPr>
          <w:rFonts w:ascii="Times New Roman" w:hAnsi="Times New Roman" w:cs="Times New Roman"/>
        </w:rPr>
        <w:t xml:space="preserve"> to resolve</w:t>
      </w:r>
      <w:r w:rsidR="002833F6">
        <w:rPr>
          <w:rFonts w:ascii="Times New Roman" w:hAnsi="Times New Roman" w:cs="Times New Roman"/>
        </w:rPr>
        <w:t>,</w:t>
      </w:r>
      <w:r w:rsidRPr="00C358D2" w:rsidR="00E138CF">
        <w:rPr>
          <w:rFonts w:ascii="Times New Roman" w:hAnsi="Times New Roman" w:cs="Times New Roman"/>
        </w:rPr>
        <w:t xml:space="preserve"> in good faith</w:t>
      </w:r>
      <w:r w:rsidR="002833F6">
        <w:rPr>
          <w:rFonts w:ascii="Times New Roman" w:hAnsi="Times New Roman" w:cs="Times New Roman"/>
        </w:rPr>
        <w:t>,</w:t>
      </w:r>
      <w:r w:rsidRPr="00C358D2" w:rsidR="00E138CF">
        <w:rPr>
          <w:rFonts w:ascii="Times New Roman" w:hAnsi="Times New Roman" w:cs="Times New Roman"/>
        </w:rPr>
        <w:t xml:space="preserve"> </w:t>
      </w:r>
      <w:r w:rsidR="00592B47">
        <w:rPr>
          <w:rFonts w:ascii="Times New Roman" w:hAnsi="Times New Roman" w:cs="Times New Roman"/>
        </w:rPr>
        <w:t xml:space="preserve">the </w:t>
      </w:r>
      <w:r w:rsidR="002833F6">
        <w:rPr>
          <w:rFonts w:ascii="Times New Roman" w:hAnsi="Times New Roman" w:cs="Times New Roman"/>
        </w:rPr>
        <w:t xml:space="preserve">formatting </w:t>
      </w:r>
      <w:r w:rsidR="00592B47">
        <w:rPr>
          <w:rFonts w:ascii="Times New Roman" w:hAnsi="Times New Roman" w:cs="Times New Roman"/>
        </w:rPr>
        <w:t xml:space="preserve">dilemma posed by the </w:t>
      </w:r>
      <w:r w:rsidR="008F446A">
        <w:rPr>
          <w:rFonts w:ascii="Times New Roman" w:hAnsi="Times New Roman" w:cs="Times New Roman"/>
        </w:rPr>
        <w:t>previous</w:t>
      </w:r>
      <w:r w:rsidR="00D14FA3">
        <w:rPr>
          <w:rFonts w:ascii="Times New Roman" w:hAnsi="Times New Roman" w:cs="Times New Roman"/>
        </w:rPr>
        <w:t xml:space="preserve"> exhaustively-</w:t>
      </w:r>
      <w:r w:rsidR="00592B47">
        <w:rPr>
          <w:rFonts w:ascii="Times New Roman" w:hAnsi="Times New Roman" w:cs="Times New Roman"/>
        </w:rPr>
        <w:t xml:space="preserve">analyzed case </w:t>
      </w:r>
      <w:r w:rsidRPr="00C358D2" w:rsidR="00E138CF">
        <w:rPr>
          <w:rFonts w:ascii="Times New Roman" w:hAnsi="Times New Roman" w:cs="Times New Roman"/>
        </w:rPr>
        <w:t>without the need for adversary motion</w:t>
      </w:r>
      <w:r w:rsidR="00592B47">
        <w:rPr>
          <w:rFonts w:ascii="Times New Roman" w:hAnsi="Times New Roman" w:cs="Times New Roman"/>
        </w:rPr>
        <w:t>s</w:t>
      </w:r>
      <w:r w:rsidRPr="00C358D2" w:rsidR="00E138CF">
        <w:rPr>
          <w:rFonts w:ascii="Times New Roman" w:hAnsi="Times New Roman" w:cs="Times New Roman"/>
        </w:rPr>
        <w:t xml:space="preserve"> and procedural contests and the accompanying expense</w:t>
      </w:r>
      <w:r w:rsidRPr="00C358D2" w:rsidR="00C358D2">
        <w:rPr>
          <w:rFonts w:ascii="Times New Roman" w:hAnsi="Times New Roman" w:cs="Times New Roman"/>
        </w:rPr>
        <w:t xml:space="preserve"> all</w:t>
      </w:r>
      <w:r w:rsidR="008F446A">
        <w:rPr>
          <w:rFonts w:ascii="Times New Roman" w:hAnsi="Times New Roman" w:cs="Times New Roman"/>
        </w:rPr>
        <w:t>,</w:t>
      </w:r>
      <w:r w:rsidRPr="00C358D2" w:rsidR="00C358D2">
        <w:rPr>
          <w:rFonts w:ascii="Times New Roman" w:hAnsi="Times New Roman" w:cs="Times New Roman"/>
        </w:rPr>
        <w:t xml:space="preserve"> </w:t>
      </w:r>
      <w:r w:rsidR="00592B47">
        <w:rPr>
          <w:rFonts w:ascii="Times New Roman" w:hAnsi="Times New Roman" w:cs="Times New Roman"/>
        </w:rPr>
        <w:t xml:space="preserve">ultimately, </w:t>
      </w:r>
      <w:r w:rsidRPr="00C358D2" w:rsidR="00C358D2">
        <w:rPr>
          <w:rFonts w:ascii="Times New Roman" w:hAnsi="Times New Roman" w:cs="Times New Roman"/>
        </w:rPr>
        <w:t>for naught.</w:t>
      </w:r>
    </w:p>
  </w:footnote>
  <w:footnote w:id="23">
    <w:p w:rsidR="00C33325">
      <w:pPr>
        <w:pStyle w:val="FootnoteText"/>
      </w:pPr>
      <w:r w:rsidRPr="00C358D2">
        <w:rPr>
          <w:rStyle w:val="FootnoteReference"/>
          <w:rFonts w:ascii="Times New Roman" w:hAnsi="Times New Roman" w:cs="Times New Roman"/>
        </w:rPr>
        <w:footnoteRef/>
      </w:r>
      <w:r w:rsidRPr="00C358D2">
        <w:rPr>
          <w:rFonts w:ascii="Times New Roman" w:hAnsi="Times New Roman" w:cs="Times New Roman"/>
        </w:rPr>
        <w:t xml:space="preserve"> The unsolicited professional fee reductions reflected in the Exhibit are an appropriate </w:t>
      </w:r>
      <w:r w:rsidR="00D14FA3">
        <w:rPr>
          <w:rFonts w:ascii="Times New Roman" w:hAnsi="Times New Roman" w:cs="Times New Roman"/>
        </w:rPr>
        <w:t xml:space="preserve">concession to </w:t>
      </w:r>
      <w:r w:rsidRPr="00C358D2">
        <w:rPr>
          <w:rFonts w:ascii="Times New Roman" w:hAnsi="Times New Roman" w:cs="Times New Roman"/>
        </w:rPr>
        <w:t>the time,</w:t>
      </w:r>
      <w:r w:rsidR="00753E21">
        <w:rPr>
          <w:rFonts w:ascii="Times New Roman" w:hAnsi="Times New Roman" w:cs="Times New Roman"/>
        </w:rPr>
        <w:t xml:space="preserve"> substantial</w:t>
      </w:r>
      <w:r w:rsidRPr="00C358D2">
        <w:rPr>
          <w:rFonts w:ascii="Times New Roman" w:hAnsi="Times New Roman" w:cs="Times New Roman"/>
        </w:rPr>
        <w:t xml:space="preserve"> expense and vicissitudes that are associa</w:t>
      </w:r>
      <w:r w:rsidRPr="00C358D2" w:rsidR="00E138CF">
        <w:rPr>
          <w:rFonts w:ascii="Times New Roman" w:hAnsi="Times New Roman" w:cs="Times New Roman"/>
        </w:rPr>
        <w:t>ted with a year-long plus case which</w:t>
      </w:r>
      <w:r w:rsidRPr="00C358D2">
        <w:rPr>
          <w:rFonts w:ascii="Times New Roman" w:hAnsi="Times New Roman" w:cs="Times New Roman"/>
        </w:rPr>
        <w:t xml:space="preserve"> became </w:t>
      </w:r>
      <w:r w:rsidR="00195DD9">
        <w:rPr>
          <w:rFonts w:ascii="Times New Roman" w:hAnsi="Times New Roman" w:cs="Times New Roman"/>
        </w:rPr>
        <w:t xml:space="preserve">an </w:t>
      </w:r>
      <w:r w:rsidR="008F446A">
        <w:rPr>
          <w:rFonts w:ascii="Times New Roman" w:hAnsi="Times New Roman" w:cs="Times New Roman"/>
        </w:rPr>
        <w:t xml:space="preserve">almost </w:t>
      </w:r>
      <w:r w:rsidR="00195DD9">
        <w:rPr>
          <w:rFonts w:ascii="Times New Roman" w:hAnsi="Times New Roman" w:cs="Times New Roman"/>
        </w:rPr>
        <w:t>d</w:t>
      </w:r>
      <w:r w:rsidRPr="00C358D2">
        <w:rPr>
          <w:rFonts w:ascii="Times New Roman" w:hAnsi="Times New Roman" w:cs="Times New Roman"/>
        </w:rPr>
        <w:t>a</w:t>
      </w:r>
      <w:r w:rsidR="00195DD9">
        <w:rPr>
          <w:rFonts w:ascii="Times New Roman" w:hAnsi="Times New Roman" w:cs="Times New Roman"/>
        </w:rPr>
        <w:t>ily</w:t>
      </w:r>
      <w:r w:rsidRPr="00C358D2">
        <w:rPr>
          <w:rFonts w:ascii="Times New Roman" w:hAnsi="Times New Roman" w:cs="Times New Roman"/>
        </w:rPr>
        <w:t xml:space="preserve"> focus of </w:t>
      </w:r>
      <w:r w:rsidR="00195DD9">
        <w:rPr>
          <w:rFonts w:ascii="Times New Roman" w:hAnsi="Times New Roman" w:cs="Times New Roman"/>
        </w:rPr>
        <w:t xml:space="preserve">the </w:t>
      </w:r>
      <w:r w:rsidRPr="00C358D2">
        <w:rPr>
          <w:rFonts w:ascii="Times New Roman" w:hAnsi="Times New Roman" w:cs="Times New Roman"/>
        </w:rPr>
        <w:t>parties</w:t>
      </w:r>
      <w:r w:rsidRPr="00C358D2" w:rsidR="00E138CF">
        <w:rPr>
          <w:rFonts w:ascii="Times New Roman" w:hAnsi="Times New Roman" w:cs="Times New Roman"/>
        </w:rPr>
        <w:t>’</w:t>
      </w:r>
      <w:r w:rsidRPr="00C358D2">
        <w:rPr>
          <w:rFonts w:ascii="Times New Roman" w:hAnsi="Times New Roman" w:cs="Times New Roman"/>
        </w:rPr>
        <w:t xml:space="preserve"> </w:t>
      </w:r>
      <w:r w:rsidRPr="00C358D2" w:rsidR="00E138CF">
        <w:rPr>
          <w:rFonts w:ascii="Times New Roman" w:hAnsi="Times New Roman" w:cs="Times New Roman"/>
        </w:rPr>
        <w:t xml:space="preserve">representatives in </w:t>
      </w:r>
      <w:r w:rsidRPr="00C358D2">
        <w:rPr>
          <w:rFonts w:ascii="Times New Roman" w:hAnsi="Times New Roman" w:cs="Times New Roman"/>
        </w:rPr>
        <w:t>this interval.</w:t>
      </w:r>
    </w:p>
  </w:footnote>
  <w:footnote w:id="24">
    <w:p w:rsidR="00C0736E" w:rsidRPr="00C358D2">
      <w:pPr>
        <w:pStyle w:val="FootnoteText"/>
        <w:rPr>
          <w:rFonts w:ascii="Times New Roman" w:hAnsi="Times New Roman" w:cs="Times New Roman"/>
        </w:rPr>
      </w:pPr>
      <w:r>
        <w:rPr>
          <w:rStyle w:val="FootnoteReference"/>
        </w:rPr>
        <w:footnoteRef/>
      </w:r>
      <w:r>
        <w:t xml:space="preserve"> </w:t>
      </w:r>
      <w:r w:rsidRPr="00C358D2" w:rsidR="00D73A9D">
        <w:rPr>
          <w:rFonts w:ascii="Times New Roman" w:hAnsi="Times New Roman" w:cs="Times New Roman"/>
        </w:rPr>
        <w:t xml:space="preserve">Joint Motion to Amend </w:t>
      </w:r>
      <w:r w:rsidRPr="00C358D2" w:rsidR="00CB4410">
        <w:rPr>
          <w:rFonts w:ascii="Times New Roman" w:hAnsi="Times New Roman" w:cs="Times New Roman"/>
        </w:rPr>
        <w:t>Proced</w:t>
      </w:r>
      <w:r w:rsidRPr="00C358D2" w:rsidR="00D73A9D">
        <w:rPr>
          <w:rFonts w:ascii="Times New Roman" w:hAnsi="Times New Roman" w:cs="Times New Roman"/>
        </w:rPr>
        <w:t>ural Schedule, ¶ 7</w:t>
      </w:r>
      <w:r w:rsidRPr="00C358D2" w:rsidR="001457DE">
        <w:rPr>
          <w:rFonts w:ascii="Times New Roman" w:hAnsi="Times New Roman" w:cs="Times New Roman"/>
        </w:rPr>
        <w:t>.</w:t>
      </w:r>
    </w:p>
  </w:footnote>
  <w:footnote w:id="25">
    <w:p w:rsidR="00971548" w:rsidRPr="0082619D">
      <w:pPr>
        <w:pStyle w:val="FootnoteText"/>
        <w:rPr>
          <w:rFonts w:ascii="Times New Roman" w:hAnsi="Times New Roman" w:cs="Times New Roman"/>
        </w:rPr>
      </w:pPr>
      <w:r w:rsidRPr="00C358D2">
        <w:rPr>
          <w:rStyle w:val="FootnoteReference"/>
          <w:rFonts w:ascii="Times New Roman" w:hAnsi="Times New Roman" w:cs="Times New Roman"/>
        </w:rPr>
        <w:footnoteRef/>
      </w:r>
      <w:r w:rsidRPr="00C358D2">
        <w:rPr>
          <w:rFonts w:ascii="Times New Roman" w:hAnsi="Times New Roman" w:cs="Times New Roman"/>
        </w:rPr>
        <w:t xml:space="preserve"> One other </w:t>
      </w:r>
      <w:r w:rsidRPr="00C358D2" w:rsidR="00C33325">
        <w:rPr>
          <w:rFonts w:ascii="Times New Roman" w:hAnsi="Times New Roman" w:cs="Times New Roman"/>
        </w:rPr>
        <w:t xml:space="preserve">such </w:t>
      </w:r>
      <w:r w:rsidRPr="00C358D2">
        <w:rPr>
          <w:rFonts w:ascii="Times New Roman" w:hAnsi="Times New Roman" w:cs="Times New Roman"/>
        </w:rPr>
        <w:t>example was an exercise in test year overtime normalization that required exhaustive review of payroll data going back to 2009</w:t>
      </w:r>
      <w:r w:rsidRPr="00C358D2" w:rsidR="00B30A0D">
        <w:rPr>
          <w:rFonts w:ascii="Times New Roman" w:hAnsi="Times New Roman" w:cs="Times New Roman"/>
        </w:rPr>
        <w:t xml:space="preserve"> by individual employee</w:t>
      </w:r>
      <w:r w:rsidRPr="00C358D2" w:rsidR="00C33325">
        <w:rPr>
          <w:rFonts w:ascii="Times New Roman" w:hAnsi="Times New Roman" w:cs="Times New Roman"/>
        </w:rPr>
        <w:t xml:space="preserve"> and by year</w:t>
      </w:r>
      <w:r w:rsidRPr="00C358D2">
        <w:rPr>
          <w:rFonts w:ascii="Times New Roman" w:hAnsi="Times New Roman" w:cs="Times New Roman"/>
        </w:rPr>
        <w:t xml:space="preserve"> but which was ultimately </w:t>
      </w:r>
      <w:r w:rsidRPr="00C358D2" w:rsidR="00B30A0D">
        <w:rPr>
          <w:rFonts w:ascii="Times New Roman" w:hAnsi="Times New Roman" w:cs="Times New Roman"/>
        </w:rPr>
        <w:t xml:space="preserve">jettisoned </w:t>
      </w:r>
      <w:r w:rsidRPr="00C358D2">
        <w:rPr>
          <w:rFonts w:ascii="Times New Roman" w:hAnsi="Times New Roman" w:cs="Times New Roman"/>
        </w:rPr>
        <w:t>as a</w:t>
      </w:r>
      <w:r w:rsidRPr="00C358D2" w:rsidR="00B30A0D">
        <w:rPr>
          <w:rFonts w:ascii="Times New Roman" w:hAnsi="Times New Roman" w:cs="Times New Roman"/>
        </w:rPr>
        <w:t>n adjustment</w:t>
      </w:r>
      <w:r w:rsidRPr="00C358D2">
        <w:rPr>
          <w:rFonts w:ascii="Times New Roman" w:hAnsi="Times New Roman" w:cs="Times New Roman"/>
        </w:rPr>
        <w:t xml:space="preserve"> theory by the Staff in its </w:t>
      </w:r>
      <w:r w:rsidRPr="00C358D2" w:rsidR="00B30A0D">
        <w:rPr>
          <w:rFonts w:ascii="Times New Roman" w:hAnsi="Times New Roman" w:cs="Times New Roman"/>
        </w:rPr>
        <w:t>July</w:t>
      </w:r>
      <w:r w:rsidR="0082619D">
        <w:rPr>
          <w:rFonts w:ascii="Times New Roman" w:hAnsi="Times New Roman" w:cs="Times New Roman"/>
        </w:rPr>
        <w:t>, 2014 case, (</w:t>
      </w:r>
      <w:r w:rsidR="0082619D">
        <w:rPr>
          <w:rFonts w:ascii="Times New Roman" w:hAnsi="Times New Roman" w:cs="Times New Roman"/>
          <w:i/>
        </w:rPr>
        <w:t>see,</w:t>
      </w:r>
      <w:r w:rsidR="0082619D">
        <w:rPr>
          <w:rFonts w:ascii="Times New Roman" w:hAnsi="Times New Roman" w:cs="Times New Roman"/>
        </w:rPr>
        <w:t xml:space="preserve"> Exhibit JD-1T (</w:t>
      </w:r>
      <w:r w:rsidR="00AE5059">
        <w:rPr>
          <w:rFonts w:ascii="Times New Roman" w:hAnsi="Times New Roman" w:cs="Times New Roman"/>
        </w:rPr>
        <w:t>(</w:t>
      </w:r>
      <w:r w:rsidR="0082619D">
        <w:rPr>
          <w:rFonts w:ascii="Times New Roman" w:hAnsi="Times New Roman" w:cs="Times New Roman"/>
        </w:rPr>
        <w:t>February 18, 2014)</w:t>
      </w:r>
      <w:r w:rsidR="00AE5059">
        <w:rPr>
          <w:rFonts w:ascii="Times New Roman" w:hAnsi="Times New Roman" w:cs="Times New Roman"/>
        </w:rPr>
        <w:t>)</w:t>
      </w:r>
      <w:r w:rsidR="0082619D">
        <w:rPr>
          <w:rFonts w:ascii="Times New Roman" w:hAnsi="Times New Roman" w:cs="Times New Roman"/>
        </w:rPr>
        <w:t>, pp. 21-24).</w:t>
      </w:r>
    </w:p>
  </w:footnote>
  <w:footnote w:id="26">
    <w:p w:rsidR="00D73A9D" w:rsidRPr="00C358D2">
      <w:pPr>
        <w:pStyle w:val="FootnoteText"/>
        <w:rPr>
          <w:rFonts w:ascii="Times New Roman" w:hAnsi="Times New Roman" w:cs="Times New Roman"/>
        </w:rPr>
      </w:pPr>
      <w:r>
        <w:rPr>
          <w:rStyle w:val="FootnoteReference"/>
        </w:rPr>
        <w:footnoteRef/>
      </w:r>
      <w:r>
        <w:t xml:space="preserve"> </w:t>
      </w:r>
      <w:r w:rsidRPr="00C358D2">
        <w:rPr>
          <w:rFonts w:ascii="Times New Roman" w:hAnsi="Times New Roman" w:cs="Times New Roman"/>
        </w:rPr>
        <w:t xml:space="preserve">Goodman, </w:t>
      </w:r>
      <w:r w:rsidRPr="00C358D2">
        <w:rPr>
          <w:rFonts w:ascii="Times New Roman" w:hAnsi="Times New Roman" w:cs="Times New Roman"/>
          <w:u w:val="single"/>
        </w:rPr>
        <w:t>The Process of Ratemaking</w:t>
      </w:r>
      <w:r w:rsidR="008F446A">
        <w:rPr>
          <w:rFonts w:ascii="Times New Roman" w:hAnsi="Times New Roman" w:cs="Times New Roman"/>
          <w:u w:val="single"/>
        </w:rPr>
        <w:t>,</w:t>
      </w:r>
      <w:r w:rsidRPr="00C358D2" w:rsidR="002F4240">
        <w:rPr>
          <w:rFonts w:ascii="Times New Roman" w:hAnsi="Times New Roman" w:cs="Times New Roman"/>
        </w:rPr>
        <w:t xml:space="preserve"> </w:t>
      </w:r>
      <w:r w:rsidRPr="00C358D2" w:rsidR="00130302">
        <w:rPr>
          <w:rFonts w:ascii="Times New Roman" w:hAnsi="Times New Roman" w:cs="Times New Roman"/>
        </w:rPr>
        <w:t>(1998)</w:t>
      </w:r>
      <w:r w:rsidR="008F446A">
        <w:rPr>
          <w:rFonts w:ascii="Times New Roman" w:hAnsi="Times New Roman" w:cs="Times New Roman"/>
        </w:rPr>
        <w:t>,</w:t>
      </w:r>
      <w:r w:rsidRPr="00C358D2" w:rsidR="002F4240">
        <w:rPr>
          <w:rFonts w:ascii="Times New Roman" w:hAnsi="Times New Roman" w:cs="Times New Roman"/>
        </w:rPr>
        <w:t xml:space="preserve"> Volume I,</w:t>
      </w:r>
      <w:r w:rsidRPr="00C358D2">
        <w:rPr>
          <w:rFonts w:ascii="Times New Roman" w:hAnsi="Times New Roman" w:cs="Times New Roman"/>
        </w:rPr>
        <w:t xml:space="preserve"> p. 329.</w:t>
      </w:r>
    </w:p>
  </w:footnote>
  <w:footnote w:id="27">
    <w:p w:rsidR="008B3014" w:rsidRPr="00293FBD">
      <w:pPr>
        <w:pStyle w:val="FootnoteText"/>
        <w:rPr>
          <w:rFonts w:ascii="Times New Roman" w:hAnsi="Times New Roman" w:cs="Times New Roman"/>
          <w:i/>
        </w:rPr>
      </w:pPr>
      <w:r w:rsidRPr="00C358D2">
        <w:rPr>
          <w:rStyle w:val="FootnoteReference"/>
          <w:rFonts w:ascii="Times New Roman" w:hAnsi="Times New Roman" w:cs="Times New Roman"/>
        </w:rPr>
        <w:footnoteRef/>
      </w:r>
      <w:r w:rsidRPr="00C358D2" w:rsidR="00D73A9D">
        <w:rPr>
          <w:rFonts w:ascii="Times New Roman" w:hAnsi="Times New Roman" w:cs="Times New Roman"/>
          <w:i/>
        </w:rPr>
        <w:t>See</w:t>
      </w:r>
      <w:r w:rsidRPr="00C358D2" w:rsidR="00D73A9D">
        <w:rPr>
          <w:rFonts w:ascii="Times New Roman" w:hAnsi="Times New Roman" w:cs="Times New Roman"/>
        </w:rPr>
        <w:t xml:space="preserve"> i.e., TG-900657</w:t>
      </w:r>
      <w:r w:rsidR="008F446A">
        <w:rPr>
          <w:rFonts w:ascii="Times New Roman" w:hAnsi="Times New Roman" w:cs="Times New Roman"/>
        </w:rPr>
        <w:t>,</w:t>
      </w:r>
      <w:r w:rsidRPr="00C358D2" w:rsidR="00D73A9D">
        <w:rPr>
          <w:rFonts w:ascii="Times New Roman" w:hAnsi="Times New Roman" w:cs="Times New Roman"/>
        </w:rPr>
        <w:t xml:space="preserve"> </w:t>
      </w:r>
      <w:r w:rsidRPr="00C358D2" w:rsidR="00D73A9D">
        <w:rPr>
          <w:rFonts w:ascii="Times New Roman" w:hAnsi="Times New Roman" w:cs="Times New Roman"/>
          <w:i/>
        </w:rPr>
        <w:t>Washington Utilities and Transportation Commission v. Sno-King Garbage Company, et al.</w:t>
      </w:r>
      <w:r w:rsidRPr="00C358D2" w:rsidR="00C33325">
        <w:rPr>
          <w:rFonts w:ascii="Times New Roman" w:hAnsi="Times New Roman" w:cs="Times New Roman"/>
          <w:i/>
        </w:rPr>
        <w:t xml:space="preserve">, </w:t>
      </w:r>
      <w:r w:rsidRPr="00C358D2" w:rsidR="00D73A9D">
        <w:rPr>
          <w:rFonts w:ascii="Times New Roman" w:hAnsi="Times New Roman" w:cs="Times New Roman"/>
          <w:i/>
        </w:rPr>
        <w:t xml:space="preserve"> </w:t>
      </w:r>
      <w:r w:rsidRPr="00C358D2" w:rsidR="00D73A9D">
        <w:rPr>
          <w:rFonts w:ascii="Times New Roman" w:hAnsi="Times New Roman" w:cs="Times New Roman"/>
        </w:rPr>
        <w:t>Fifth Supplemental Order</w:t>
      </w:r>
      <w:r w:rsidR="008F446A">
        <w:rPr>
          <w:rFonts w:ascii="Times New Roman" w:hAnsi="Times New Roman" w:cs="Times New Roman"/>
        </w:rPr>
        <w:t>,</w:t>
      </w:r>
      <w:r w:rsidRPr="00C358D2" w:rsidR="00D73A9D">
        <w:rPr>
          <w:rFonts w:ascii="Times New Roman" w:hAnsi="Times New Roman" w:cs="Times New Roman"/>
        </w:rPr>
        <w:t xml:space="preserve"> (Dec. 1991)</w:t>
      </w:r>
      <w:r w:rsidR="008F446A">
        <w:rPr>
          <w:rFonts w:ascii="Times New Roman" w:hAnsi="Times New Roman" w:cs="Times New Roman"/>
        </w:rPr>
        <w:t>,</w:t>
      </w:r>
      <w:r w:rsidRPr="00C358D2" w:rsidR="00D73A9D">
        <w:rPr>
          <w:rFonts w:ascii="Times New Roman" w:hAnsi="Times New Roman" w:cs="Times New Roman"/>
        </w:rPr>
        <w:t xml:space="preserve"> at 19.</w:t>
      </w:r>
    </w:p>
  </w:footnote>
  <w:footnote w:id="28">
    <w:p w:rsidR="00293FBD" w:rsidRPr="00B939A8" w:rsidP="00293FBD">
      <w:pPr>
        <w:pStyle w:val="FootnoteText"/>
        <w:rPr>
          <w:rFonts w:ascii="Times New Roman" w:hAnsi="Times New Roman" w:cs="Times New Roman"/>
        </w:rPr>
      </w:pPr>
      <w:r>
        <w:rPr>
          <w:rStyle w:val="FootnoteReference"/>
        </w:rPr>
        <w:footnoteRef/>
      </w:r>
      <w:r>
        <w:t xml:space="preserve"> </w:t>
      </w:r>
      <w:r w:rsidRPr="00B939A8">
        <w:rPr>
          <w:rFonts w:ascii="Times New Roman" w:hAnsi="Times New Roman" w:cs="Times New Roman"/>
        </w:rPr>
        <w:t>Interestingly, through June 30, 2014, for total accounting (non-legal time)</w:t>
      </w:r>
      <w:r w:rsidR="002C4F8D">
        <w:rPr>
          <w:rFonts w:ascii="Times New Roman" w:hAnsi="Times New Roman" w:cs="Times New Roman"/>
        </w:rPr>
        <w:t>,</w:t>
      </w:r>
      <w:r w:rsidRPr="00B939A8">
        <w:rPr>
          <w:rFonts w:ascii="Times New Roman" w:hAnsi="Times New Roman" w:cs="Times New Roman"/>
        </w:rPr>
        <w:t xml:space="preserve"> the Staff had recorded </w:t>
      </w:r>
      <w:r w:rsidRPr="00AE5059">
        <w:rPr>
          <w:rFonts w:ascii="Times New Roman" w:hAnsi="Times New Roman" w:cs="Times New Roman"/>
          <w:b/>
        </w:rPr>
        <w:t>1</w:t>
      </w:r>
      <w:r w:rsidRPr="00AE5059" w:rsidR="00AE5059">
        <w:rPr>
          <w:rFonts w:ascii="Times New Roman" w:hAnsi="Times New Roman" w:cs="Times New Roman"/>
          <w:b/>
        </w:rPr>
        <w:t>,</w:t>
      </w:r>
      <w:r w:rsidRPr="00AE5059">
        <w:rPr>
          <w:rFonts w:ascii="Times New Roman" w:hAnsi="Times New Roman" w:cs="Times New Roman"/>
          <w:b/>
        </w:rPr>
        <w:t>595</w:t>
      </w:r>
      <w:r w:rsidRPr="00B939A8">
        <w:rPr>
          <w:rFonts w:ascii="Times New Roman" w:hAnsi="Times New Roman" w:cs="Times New Roman"/>
        </w:rPr>
        <w:t xml:space="preserve"> hours for the case since its inception in September 2013 as Staff Data Request Response </w:t>
      </w:r>
      <w:r w:rsidR="000D0A82">
        <w:rPr>
          <w:rFonts w:ascii="Times New Roman" w:hAnsi="Times New Roman" w:cs="Times New Roman"/>
        </w:rPr>
        <w:t xml:space="preserve">to Company Data Request </w:t>
      </w:r>
      <w:r w:rsidRPr="00B939A8">
        <w:rPr>
          <w:rFonts w:ascii="Times New Roman" w:hAnsi="Times New Roman" w:cs="Times New Roman"/>
        </w:rPr>
        <w:t xml:space="preserve">No. 10, March 20, 2014 (TG-131794) and Staff Data Request Response </w:t>
      </w:r>
      <w:r w:rsidR="000D0A82">
        <w:rPr>
          <w:rFonts w:ascii="Times New Roman" w:hAnsi="Times New Roman" w:cs="Times New Roman"/>
        </w:rPr>
        <w:t xml:space="preserve">to Company Data Request </w:t>
      </w:r>
      <w:r w:rsidRPr="00B939A8">
        <w:rPr>
          <w:rFonts w:ascii="Times New Roman" w:hAnsi="Times New Roman" w:cs="Times New Roman"/>
        </w:rPr>
        <w:t>No. 4, July 9, 2014 (TG-140560) cumulate.  For that period in the August 2013 through June 2014 period</w:t>
      </w:r>
      <w:r w:rsidR="00AE5059">
        <w:rPr>
          <w:rFonts w:ascii="Times New Roman" w:hAnsi="Times New Roman" w:cs="Times New Roman"/>
        </w:rPr>
        <w:t>,</w:t>
      </w:r>
      <w:r w:rsidRPr="00B939A8">
        <w:rPr>
          <w:rFonts w:ascii="Times New Roman" w:hAnsi="Times New Roman" w:cs="Times New Roman"/>
        </w:rPr>
        <w:t xml:space="preserve"> the Company recorded </w:t>
      </w:r>
      <w:r w:rsidR="00D25F71">
        <w:rPr>
          <w:rFonts w:ascii="Times New Roman" w:hAnsi="Times New Roman" w:cs="Times New Roman"/>
          <w:b/>
        </w:rPr>
        <w:t>911.1</w:t>
      </w:r>
      <w:r w:rsidRPr="00B939A8">
        <w:rPr>
          <w:rFonts w:ascii="Times New Roman" w:hAnsi="Times New Roman" w:cs="Times New Roman"/>
        </w:rPr>
        <w:t xml:space="preserve"> hours</w:t>
      </w:r>
      <w:r w:rsidR="0004131F">
        <w:rPr>
          <w:rFonts w:ascii="Times New Roman" w:hAnsi="Times New Roman" w:cs="Times New Roman"/>
        </w:rPr>
        <w:t xml:space="preserve"> of corresponding </w:t>
      </w:r>
      <w:r w:rsidR="003D52B2">
        <w:rPr>
          <w:rFonts w:ascii="Times New Roman" w:hAnsi="Times New Roman" w:cs="Times New Roman"/>
        </w:rPr>
        <w:t>accounting time</w:t>
      </w:r>
      <w:r w:rsidRPr="00B939A8">
        <w:rPr>
          <w:rFonts w:ascii="Times New Roman" w:hAnsi="Times New Roman" w:cs="Times New Roman"/>
        </w:rPr>
        <w:t>.</w:t>
      </w:r>
    </w:p>
  </w:footnote>
  <w:footnote w:id="29">
    <w:p w:rsidR="00607BE2" w:rsidRPr="00C358D2">
      <w:pPr>
        <w:pStyle w:val="FootnoteText"/>
        <w:rPr>
          <w:rFonts w:ascii="Times New Roman" w:hAnsi="Times New Roman" w:cs="Times New Roman"/>
          <w:u w:val="single"/>
        </w:rPr>
      </w:pPr>
      <w:r>
        <w:rPr>
          <w:rStyle w:val="FootnoteReference"/>
        </w:rPr>
        <w:footnoteRef/>
      </w:r>
      <w:r>
        <w:t xml:space="preserve"> </w:t>
      </w:r>
      <w:r w:rsidRPr="002C4F8D">
        <w:rPr>
          <w:rFonts w:ascii="Times New Roman" w:hAnsi="Times New Roman" w:cs="Times New Roman"/>
          <w:i/>
        </w:rPr>
        <w:t>In re King County Department of Public Works, Solid Waste Division v. Seattle Disposal Co, Rabanco, Ltd., d/b/a Eastside Disposal and Container Hauling</w:t>
      </w:r>
      <w:r w:rsidRPr="002C4F8D" w:rsidR="002C4F8D">
        <w:rPr>
          <w:rFonts w:ascii="Times New Roman" w:hAnsi="Times New Roman" w:cs="Times New Roman"/>
        </w:rPr>
        <w:t xml:space="preserve">, </w:t>
      </w:r>
      <w:r w:rsidRPr="00C358D2">
        <w:rPr>
          <w:rFonts w:ascii="Times New Roman" w:hAnsi="Times New Roman" w:cs="Times New Roman"/>
        </w:rPr>
        <w:t>Third Supplemental Order, TG-940411 (Sept. 1994).</w:t>
      </w:r>
    </w:p>
  </w:footnote>
  <w:footnote w:id="30">
    <w:p w:rsidR="008B3014" w:rsidRPr="00C358D2" w:rsidP="008B3014">
      <w:pPr>
        <w:pStyle w:val="FootnoteText"/>
        <w:rPr>
          <w:rFonts w:ascii="Times New Roman" w:hAnsi="Times New Roman" w:cs="Times New Roman"/>
        </w:rPr>
      </w:pPr>
      <w:r w:rsidRPr="00C358D2">
        <w:rPr>
          <w:rStyle w:val="FootnoteReference"/>
          <w:rFonts w:ascii="Times New Roman" w:hAnsi="Times New Roman" w:cs="Times New Roman"/>
        </w:rPr>
        <w:footnoteRef/>
      </w:r>
      <w:r w:rsidRPr="00C358D2">
        <w:rPr>
          <w:rFonts w:ascii="Times New Roman" w:hAnsi="Times New Roman" w:cs="Times New Roman"/>
        </w:rPr>
        <w:t xml:space="preserve"> </w:t>
      </w:r>
      <w:r w:rsidRPr="00C358D2">
        <w:rPr>
          <w:rFonts w:ascii="Times New Roman" w:hAnsi="Times New Roman" w:cs="Times New Roman"/>
          <w:i/>
        </w:rPr>
        <w:t>See</w:t>
      </w:r>
      <w:r w:rsidRPr="00C358D2">
        <w:rPr>
          <w:rFonts w:ascii="Times New Roman" w:hAnsi="Times New Roman" w:cs="Times New Roman"/>
        </w:rPr>
        <w:t xml:space="preserve"> i.e. TG-130501 &amp;TG-130502</w:t>
      </w:r>
      <w:r w:rsidR="00595C94">
        <w:rPr>
          <w:rFonts w:ascii="Times New Roman" w:hAnsi="Times New Roman" w:cs="Times New Roman"/>
        </w:rPr>
        <w:t>,</w:t>
      </w:r>
      <w:r w:rsidRPr="00C358D2">
        <w:rPr>
          <w:rFonts w:ascii="Times New Roman" w:hAnsi="Times New Roman" w:cs="Times New Roman"/>
        </w:rPr>
        <w:t xml:space="preserve"> </w:t>
      </w:r>
      <w:r w:rsidRPr="00595C94" w:rsidR="00595C94">
        <w:rPr>
          <w:rFonts w:ascii="Times New Roman" w:hAnsi="Times New Roman" w:cs="Times New Roman"/>
          <w:i/>
        </w:rPr>
        <w:t xml:space="preserve">In re WUTC v. </w:t>
      </w:r>
      <w:r w:rsidRPr="00595C94">
        <w:rPr>
          <w:rFonts w:ascii="Times New Roman" w:hAnsi="Times New Roman" w:cs="Times New Roman"/>
          <w:i/>
        </w:rPr>
        <w:t>Murrey’s Disposal/American Disposal</w:t>
      </w:r>
      <w:r w:rsidRPr="00C358D2">
        <w:rPr>
          <w:rFonts w:ascii="Times New Roman" w:hAnsi="Times New Roman" w:cs="Times New Roman"/>
        </w:rPr>
        <w:t xml:space="preserve"> </w:t>
      </w:r>
      <w:r w:rsidRPr="00C358D2" w:rsidR="00CB4410">
        <w:rPr>
          <w:rFonts w:ascii="Times New Roman" w:hAnsi="Times New Roman" w:cs="Times New Roman"/>
        </w:rPr>
        <w:t xml:space="preserve">(Oct. 2013) </w:t>
      </w:r>
      <w:r w:rsidR="00A734B1">
        <w:rPr>
          <w:rFonts w:ascii="Times New Roman" w:hAnsi="Times New Roman" w:cs="Times New Roman"/>
        </w:rPr>
        <w:t>and TG-</w:t>
      </w:r>
      <w:r w:rsidRPr="00C358D2" w:rsidR="00CB4410">
        <w:rPr>
          <w:rFonts w:ascii="Times New Roman" w:hAnsi="Times New Roman" w:cs="Times New Roman"/>
        </w:rPr>
        <w:t xml:space="preserve">130938, In re </w:t>
      </w:r>
      <w:r w:rsidRPr="00C358D2" w:rsidR="00CB4410">
        <w:rPr>
          <w:rFonts w:ascii="Times New Roman" w:hAnsi="Times New Roman" w:cs="Times New Roman"/>
          <w:i/>
        </w:rPr>
        <w:t xml:space="preserve">WUTC v </w:t>
      </w:r>
      <w:r w:rsidRPr="00C358D2">
        <w:rPr>
          <w:rFonts w:ascii="Times New Roman" w:hAnsi="Times New Roman" w:cs="Times New Roman"/>
          <w:i/>
        </w:rPr>
        <w:t>Waste Management</w:t>
      </w:r>
      <w:r w:rsidRPr="00C358D2" w:rsidR="00CB4410">
        <w:rPr>
          <w:rFonts w:ascii="Times New Roman" w:hAnsi="Times New Roman" w:cs="Times New Roman"/>
          <w:i/>
        </w:rPr>
        <w:t>, Inc. d/b/a Waste Management-Northwest</w:t>
      </w:r>
      <w:r w:rsidRPr="00C358D2" w:rsidR="00CB4410">
        <w:rPr>
          <w:rFonts w:ascii="Times New Roman" w:hAnsi="Times New Roman" w:cs="Times New Roman"/>
        </w:rPr>
        <w:t xml:space="preserve"> (Dec. 2013).</w:t>
      </w:r>
    </w:p>
  </w:footnote>
  <w:footnote w:id="31">
    <w:p w:rsidR="00771CBE" w:rsidRPr="00C358D2" w:rsidP="00771CBE">
      <w:pPr>
        <w:pStyle w:val="FootnoteText"/>
        <w:rPr>
          <w:rFonts w:ascii="Times New Roman" w:hAnsi="Times New Roman" w:cs="Times New Roman"/>
        </w:rPr>
      </w:pPr>
      <w:r w:rsidRPr="00C358D2">
        <w:rPr>
          <w:rStyle w:val="FootnoteReference"/>
          <w:rFonts w:ascii="Times New Roman" w:hAnsi="Times New Roman" w:cs="Times New Roman"/>
        </w:rPr>
        <w:footnoteRef/>
      </w:r>
      <w:r w:rsidRPr="00C358D2">
        <w:rPr>
          <w:rFonts w:ascii="Times New Roman" w:hAnsi="Times New Roman" w:cs="Times New Roman"/>
        </w:rPr>
        <w:t xml:space="preserve"> Exhibit No. MC-1T, July 18, 2014, p. 48.</w:t>
      </w:r>
    </w:p>
  </w:footnote>
  <w:footnote w:id="32">
    <w:p w:rsidR="0082619D" w:rsidRPr="0082619D">
      <w:pPr>
        <w:pStyle w:val="FootnoteText"/>
        <w:rPr>
          <w:rFonts w:ascii="Times New Roman" w:hAnsi="Times New Roman" w:cs="Times New Roman"/>
        </w:rPr>
      </w:pPr>
      <w:r>
        <w:rPr>
          <w:rStyle w:val="FootnoteReference"/>
        </w:rPr>
        <w:footnoteRef/>
      </w:r>
      <w:r>
        <w:t xml:space="preserve"> </w:t>
      </w:r>
      <w:r w:rsidRPr="0082619D">
        <w:rPr>
          <w:rFonts w:ascii="Times New Roman" w:hAnsi="Times New Roman" w:cs="Times New Roman"/>
          <w:u w:val="single"/>
        </w:rPr>
        <w:t>Ibid</w:t>
      </w:r>
      <w:r w:rsidRPr="0082619D">
        <w:rPr>
          <w:rFonts w:ascii="Times New Roman" w:hAnsi="Times New Roman" w:cs="Times New Roman"/>
        </w:rPr>
        <w:t>, at 48</w:t>
      </w:r>
      <w:r w:rsidR="00131284">
        <w:rPr>
          <w:rFonts w:ascii="Times New Roman" w:hAnsi="Times New Roman" w:cs="Times New Roman"/>
        </w:rPr>
        <w:t>.</w:t>
      </w:r>
    </w:p>
  </w:footnote>
  <w:footnote w:id="33">
    <w:p w:rsidR="003F4574">
      <w:pPr>
        <w:pStyle w:val="FootnoteText"/>
      </w:pPr>
      <w:r>
        <w:rPr>
          <w:rStyle w:val="FootnoteReference"/>
        </w:rPr>
        <w:footnoteRef/>
      </w:r>
      <w:r>
        <w:t xml:space="preserve"> </w:t>
      </w:r>
      <w:r w:rsidR="00A734B1">
        <w:t>T</w:t>
      </w:r>
      <w:r w:rsidRPr="00C358D2">
        <w:rPr>
          <w:rFonts w:ascii="Times New Roman" w:hAnsi="Times New Roman" w:cs="Times New Roman"/>
        </w:rPr>
        <w:t xml:space="preserve">he Company prepared </w:t>
      </w:r>
      <w:r w:rsidR="00A734B1">
        <w:rPr>
          <w:rFonts w:ascii="Times New Roman" w:hAnsi="Times New Roman" w:cs="Times New Roman"/>
        </w:rPr>
        <w:t xml:space="preserve">revised </w:t>
      </w:r>
      <w:r w:rsidRPr="00C358D2">
        <w:rPr>
          <w:rFonts w:ascii="Times New Roman" w:hAnsi="Times New Roman" w:cs="Times New Roman"/>
        </w:rPr>
        <w:t>p</w:t>
      </w:r>
      <w:r w:rsidRPr="00C358D2" w:rsidR="004F435B">
        <w:rPr>
          <w:rFonts w:ascii="Times New Roman" w:hAnsi="Times New Roman" w:cs="Times New Roman"/>
        </w:rPr>
        <w:t xml:space="preserve">ro forma results of operations </w:t>
      </w:r>
      <w:r w:rsidR="00A734B1">
        <w:rPr>
          <w:rFonts w:ascii="Times New Roman" w:hAnsi="Times New Roman" w:cs="Times New Roman"/>
        </w:rPr>
        <w:t xml:space="preserve">for updates </w:t>
      </w:r>
      <w:r w:rsidRPr="00C358D2" w:rsidR="004F435B">
        <w:rPr>
          <w:rFonts w:ascii="Times New Roman" w:hAnsi="Times New Roman" w:cs="Times New Roman"/>
        </w:rPr>
        <w:t xml:space="preserve">and </w:t>
      </w:r>
      <w:r w:rsidR="00A734B1">
        <w:rPr>
          <w:rFonts w:ascii="Times New Roman" w:hAnsi="Times New Roman" w:cs="Times New Roman"/>
        </w:rPr>
        <w:t xml:space="preserve">was </w:t>
      </w:r>
      <w:r w:rsidRPr="00C358D2" w:rsidR="004F435B">
        <w:rPr>
          <w:rFonts w:ascii="Times New Roman" w:hAnsi="Times New Roman" w:cs="Times New Roman"/>
        </w:rPr>
        <w:t>subsequently</w:t>
      </w:r>
      <w:r w:rsidR="008D1D01">
        <w:rPr>
          <w:rFonts w:ascii="Times New Roman" w:hAnsi="Times New Roman" w:cs="Times New Roman"/>
        </w:rPr>
        <w:t xml:space="preserve"> pointedly</w:t>
      </w:r>
      <w:r w:rsidRPr="00C358D2" w:rsidR="004F435B">
        <w:rPr>
          <w:rFonts w:ascii="Times New Roman" w:hAnsi="Times New Roman" w:cs="Times New Roman"/>
        </w:rPr>
        <w:t xml:space="preserve"> criticized for successive submission</w:t>
      </w:r>
      <w:r w:rsidR="00A734B1">
        <w:rPr>
          <w:rFonts w:ascii="Times New Roman" w:hAnsi="Times New Roman" w:cs="Times New Roman"/>
        </w:rPr>
        <w:t xml:space="preserve">s </w:t>
      </w:r>
      <w:r w:rsidR="008D1D01">
        <w:rPr>
          <w:rFonts w:ascii="Times New Roman" w:hAnsi="Times New Roman" w:cs="Times New Roman"/>
        </w:rPr>
        <w:t xml:space="preserve">originally </w:t>
      </w:r>
      <w:r w:rsidRPr="00C358D2">
        <w:rPr>
          <w:rFonts w:ascii="Times New Roman" w:hAnsi="Times New Roman" w:cs="Times New Roman"/>
        </w:rPr>
        <w:t>intended as a courtesy to Staff to reflect incremental progress to resolving material accounting adjustments in the discovery phase.</w:t>
      </w:r>
    </w:p>
  </w:footnote>
  <w:footnote w:id="34">
    <w:p w:rsidR="008B3014" w:rsidRPr="00C358D2" w:rsidP="008B3014">
      <w:pPr>
        <w:pStyle w:val="FootnoteText"/>
        <w:rPr>
          <w:rFonts w:ascii="Times New Roman" w:hAnsi="Times New Roman" w:cs="Times New Roman"/>
        </w:rPr>
      </w:pPr>
      <w:r>
        <w:rPr>
          <w:rStyle w:val="FootnoteReference"/>
        </w:rPr>
        <w:footnoteRef/>
      </w:r>
      <w:r>
        <w:t xml:space="preserve"> </w:t>
      </w:r>
      <w:r w:rsidRPr="00C358D2">
        <w:rPr>
          <w:rFonts w:ascii="Times New Roman" w:hAnsi="Times New Roman" w:cs="Times New Roman"/>
          <w:i/>
        </w:rPr>
        <w:t>WUTC v. PSE</w:t>
      </w:r>
      <w:r w:rsidRPr="00C358D2" w:rsidR="00F934DF">
        <w:rPr>
          <w:rFonts w:ascii="Times New Roman" w:hAnsi="Times New Roman" w:cs="Times New Roman"/>
        </w:rPr>
        <w:t>,</w:t>
      </w:r>
      <w:r w:rsidRPr="00C358D2">
        <w:rPr>
          <w:rFonts w:ascii="Times New Roman" w:hAnsi="Times New Roman" w:cs="Times New Roman"/>
        </w:rPr>
        <w:t xml:space="preserve"> Docket No. </w:t>
      </w:r>
      <w:r w:rsidRPr="00C358D2">
        <w:rPr>
          <w:rFonts w:ascii="Times New Roman" w:hAnsi="Times New Roman" w:cs="Times New Roman"/>
        </w:rPr>
        <w:t>UG</w:t>
      </w:r>
      <w:r w:rsidRPr="00C358D2">
        <w:rPr>
          <w:rFonts w:ascii="Times New Roman" w:hAnsi="Times New Roman" w:cs="Times New Roman"/>
        </w:rPr>
        <w:t xml:space="preserve">-040640 et al. </w:t>
      </w:r>
      <w:r w:rsidRPr="00C358D2" w:rsidR="00F934DF">
        <w:rPr>
          <w:rFonts w:ascii="Times New Roman" w:hAnsi="Times New Roman" w:cs="Times New Roman"/>
        </w:rPr>
        <w:t xml:space="preserve">(Feb. 2005) </w:t>
      </w:r>
      <w:r w:rsidRPr="00C358D2">
        <w:rPr>
          <w:rFonts w:ascii="Times New Roman" w:hAnsi="Times New Roman" w:cs="Times New Roman"/>
        </w:rPr>
        <w:t>at ¶ 176</w:t>
      </w:r>
      <w:r w:rsidRPr="00C358D2" w:rsidR="00525F43">
        <w:rPr>
          <w:rFonts w:ascii="Times New Roman" w:hAnsi="Times New Roman" w:cs="Times New Roman"/>
        </w:rPr>
        <w:t>, page</w:t>
      </w:r>
      <w:r w:rsidRPr="00C358D2">
        <w:rPr>
          <w:rFonts w:ascii="Times New Roman" w:hAnsi="Times New Roman" w:cs="Times New Roman"/>
        </w:rPr>
        <w:t xml:space="preserve"> 119.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03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27DB" w:rsidRPr="00C909E5" w:rsidP="00C909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03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FE60442"/>
    <w:multiLevelType w:val="multilevel"/>
    <w:tmpl w:val="257C80F6"/>
    <w:lvl w:ilvl="0">
      <w:start w:val="1"/>
      <w:numFmt w:val="upperRoman"/>
      <w:pStyle w:val="Heading1"/>
      <w:suff w:val="nothing"/>
      <w:lvlText w:val="%1.  "/>
      <w:lvlJc w:val="left"/>
      <w:pPr>
        <w:tabs>
          <w:tab w:val="num" w:pos="0"/>
        </w:tabs>
        <w:ind w:left="0" w:firstLine="0"/>
      </w:pPr>
      <w:rPr>
        <w:rFonts w:ascii="9999999" w:hAnsi="9999999"/>
        <w:b/>
        <w:i w:val="0"/>
        <w:caps w:val="0"/>
        <w:strike w:val="0"/>
        <w:dstrike w:val="0"/>
        <w:outline w:val="0"/>
        <w:shadow w:val="0"/>
        <w:emboss w:val="0"/>
        <w:imprint w:val="0"/>
        <w:vanish w:val="0"/>
        <w:color w:val="000000"/>
        <w:u w:val="none"/>
        <w:effect w:val="none"/>
        <w:vertAlign w:val="baseline"/>
      </w:rPr>
    </w:lvl>
    <w:lvl w:ilvl="1">
      <w:start w:val="1"/>
      <w:numFmt w:val="none"/>
      <w:pStyle w:val="Heading2"/>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2">
      <w:start w:val="1"/>
      <w:numFmt w:val="upperLetter"/>
      <w:pStyle w:val="Heading3"/>
      <w:suff w:val="nothing"/>
      <w:lvlText w:val="%3.  "/>
      <w:lvlJc w:val="left"/>
      <w:pPr>
        <w:tabs>
          <w:tab w:val="num" w:pos="0"/>
        </w:tabs>
        <w:ind w:left="0" w:firstLine="0"/>
      </w:pPr>
      <w:rPr>
        <w:rFonts w:ascii="9999999" w:hAnsi="9999999"/>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xmlns:w14="http://schemas.microsoft.com/office/word/2010/wordml" w14:rad="0">
          <w14:srgbClr w14:val="000000"/>
        </w14:glow>
        <w14:shadow xmlns:w14="http://schemas.microsoft.com/office/word/2010/wordml" w14:blurRad="0" w14:dist="0" w14:dir="0" w14:sx="0" w14:sy="0" w14:kx="0" w14:ky="0" w14:algn="none">
          <w14:srgbClr w14:val="000000"/>
        </w14:shadow>
        <w14:reflection xmlns:w14="http://schemas.microsoft.com/office/word/2010/wordml" w14:blurRad="0" w14:stA="0" w14:stPos="0" w14:endA="0" w14:endPos="0" w14:dist="0" w14:dir="0" w14:fadeDir="0" w14:sx="0" w14:sy="0" w14:kx="0" w14:ky="0" w14:algn="none"/>
        <w14:textOutline xmlns:w14="http://schemas.microsoft.com/office/word/2010/wordml" w14:w="0" w14:cap="rnd" w14:cmpd="sng" w14:algn="ctr">
          <w14:noFill/>
          <w14:prstDash w14:val="solid"/>
          <w14:bevel/>
        </w14:textOutline>
        <w14:scene3d xmlns:w14="http://schemas.microsoft.com/office/word/2010/wordml">
          <w14:camera w14:prst="orthographicFront"/>
          <w14:lightRig w14:rig="threePt" w14:dir="t">
            <w14:rot w14:lat="0" w14:lon="0" w14:rev="0"/>
          </w14:lightRig>
        </w14:scene3d>
        <w14:props3d xmlns:w14="http://schemas.microsoft.com/office/word/2010/wordml" w14:extrusionH="0" w14:contourW="0" w14:prstMaterial="none"/>
        <w14:ligatures w14:val="none"/>
        <w14:numForm w14:val="default"/>
        <w14:numSpacing w14:val="default"/>
        <w14:stylisticSets xmlns:w14="http://schemas.microsoft.com/office/word/2010/wordml"/>
        <w14:cntxtAlts w14:val="0"/>
      </w:rPr>
    </w:lvl>
    <w:lvl w:ilvl="3">
      <w:start w:val="1"/>
      <w:numFmt w:val="none"/>
      <w:pStyle w:val="Heading4"/>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4">
      <w:start w:val="1"/>
      <w:numFmt w:val="none"/>
      <w:pStyle w:val="Heading5"/>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5">
      <w:start w:val="1"/>
      <w:numFmt w:val="none"/>
      <w:pStyle w:val="Heading6"/>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6">
      <w:start w:val="1"/>
      <w:numFmt w:val="none"/>
      <w:pStyle w:val="Heading7"/>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7">
      <w:start w:val="1"/>
      <w:numFmt w:val="decimal"/>
      <w:pStyle w:val="Heading8"/>
      <w:suff w:val="space"/>
      <w:lvlText w:val="%8."/>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8">
      <w:start w:val="1"/>
      <w:numFmt w:val="none"/>
      <w:pStyle w:val="Heading9"/>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abstractNum>
  <w:abstractNum w:abstractNumId="1">
    <w:nsid w:val="620115ED"/>
    <w:multiLevelType w:val="hybridMultilevel"/>
    <w:tmpl w:val="C57804A0"/>
    <w:lvl w:ilvl="0">
      <w:start w:val="1"/>
      <w:numFmt w:val="decimal"/>
      <w:pStyle w:val="ListParagraph"/>
      <w:lvlText w:val="%1"/>
      <w:lvlJc w:val="left"/>
      <w:pPr>
        <w:ind w:left="360" w:hanging="360"/>
      </w:pPr>
      <w:rPr>
        <w:rFonts w:ascii="Times New Roman" w:hAnsi="Times New Roman" w:hint="default"/>
        <w:b w:val="0"/>
        <w:i/>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779C6F18"/>
    <w:multiLevelType w:val="hybridMultilevel"/>
    <w:tmpl w:val="78D2766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0"/>
  </w:num>
  <w:num w:numId="5">
    <w:abstractNumId w:val="0"/>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0"/>
  </w:num>
  <w:num w:numId="25">
    <w:abstractNumId w:val="0"/>
  </w:num>
  <w:num w:numId="26">
    <w:abstractNumId w:val="0"/>
  </w:num>
  <w:num w:numId="27">
    <w:abstractNumId w:val="0"/>
  </w:num>
  <w:num w:numId="28">
    <w:abstractNumId w:val="0"/>
  </w:num>
  <w:num w:numId="29">
    <w:abstractNumId w:val="0"/>
  </w:num>
  <w:num w:numId="30">
    <w:abstractNumId w:val="1"/>
  </w:num>
  <w:num w:numId="31">
    <w:abstractNumId w:val="0"/>
  </w:num>
  <w:num w:numId="32">
    <w:abstractNumId w:val="0"/>
  </w:num>
  <w:num w:numId="33">
    <w:abstractNumId w:val="0"/>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ListParagraph"/>
    <w:link w:val="Heading1Char"/>
    <w:uiPriority w:val="9"/>
    <w:qFormat/>
    <w:rsid w:val="0060553D"/>
    <w:pPr>
      <w:keepNext/>
      <w:keepLines/>
      <w:numPr>
        <w:numId w:val="3"/>
      </w:numPr>
      <w:tabs>
        <w:tab w:val="clear" w:pos="0"/>
      </w:tabs>
      <w:spacing w:before="480"/>
      <w:outlineLvl w:val="0"/>
    </w:pPr>
    <w:rPr>
      <w:rFonts w:ascii="Times New Roman" w:hAnsi="Times New Roman" w:eastAsiaTheme="majorEastAsia" w:cs="Times New Roman"/>
      <w:bCs/>
      <w:sz w:val="24"/>
      <w:szCs w:val="28"/>
    </w:rPr>
  </w:style>
  <w:style w:type="paragraph" w:styleId="Heading2">
    <w:name w:val="heading 2"/>
    <w:basedOn w:val="Normal"/>
    <w:next w:val="ListParagraph"/>
    <w:link w:val="Heading2Char"/>
    <w:uiPriority w:val="9"/>
    <w:unhideWhenUsed/>
    <w:qFormat/>
    <w:rsid w:val="00587D28"/>
    <w:pPr>
      <w:keepNext/>
      <w:keepLines/>
      <w:numPr>
        <w:ilvl w:val="1"/>
        <w:numId w:val="3"/>
      </w:numPr>
      <w:outlineLvl w:val="1"/>
    </w:pPr>
    <w:rPr>
      <w:rFonts w:ascii="Times New Roman" w:hAnsi="Times New Roman" w:eastAsiaTheme="majorEastAsia" w:cstheme="majorBidi"/>
      <w:b/>
      <w:bCs/>
      <w:sz w:val="24"/>
      <w:szCs w:val="26"/>
    </w:rPr>
  </w:style>
  <w:style w:type="paragraph" w:styleId="Heading3">
    <w:name w:val="heading 3"/>
    <w:basedOn w:val="Normal"/>
    <w:next w:val="ListParagraph"/>
    <w:link w:val="Heading3Char"/>
    <w:uiPriority w:val="9"/>
    <w:unhideWhenUsed/>
    <w:qFormat/>
    <w:rsid w:val="0060553D"/>
    <w:pPr>
      <w:keepNext/>
      <w:keepLines/>
      <w:numPr>
        <w:ilvl w:val="2"/>
        <w:numId w:val="3"/>
      </w:numPr>
      <w:tabs>
        <w:tab w:val="clear" w:pos="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2"/>
    <w:link w:val="Heading4Char"/>
    <w:uiPriority w:val="9"/>
    <w:semiHidden/>
    <w:unhideWhenUsed/>
    <w:qFormat/>
    <w:rsid w:val="0060553D"/>
    <w:pPr>
      <w:keepNext/>
      <w:keepLines/>
      <w:numPr>
        <w:ilvl w:val="3"/>
        <w:numId w:val="3"/>
      </w:numPr>
      <w:tabs>
        <w:tab w:val="clear" w:pos="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BodyText2"/>
    <w:link w:val="Heading5Char"/>
    <w:uiPriority w:val="9"/>
    <w:semiHidden/>
    <w:unhideWhenUsed/>
    <w:qFormat/>
    <w:rsid w:val="0060553D"/>
    <w:pPr>
      <w:keepNext/>
      <w:keepLines/>
      <w:numPr>
        <w:ilvl w:val="4"/>
        <w:numId w:val="3"/>
      </w:numPr>
      <w:tabs>
        <w:tab w:val="clear" w:pos="0"/>
      </w:tab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BodyText2"/>
    <w:link w:val="Heading6Char"/>
    <w:uiPriority w:val="9"/>
    <w:semiHidden/>
    <w:unhideWhenUsed/>
    <w:qFormat/>
    <w:rsid w:val="0060553D"/>
    <w:pPr>
      <w:keepNext/>
      <w:keepLines/>
      <w:numPr>
        <w:ilvl w:val="5"/>
        <w:numId w:val="3"/>
      </w:numPr>
      <w:tabs>
        <w:tab w:val="clear" w:pos="0"/>
      </w:tab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BodyText2"/>
    <w:link w:val="Heading7Char"/>
    <w:uiPriority w:val="9"/>
    <w:semiHidden/>
    <w:unhideWhenUsed/>
    <w:qFormat/>
    <w:rsid w:val="0060553D"/>
    <w:pPr>
      <w:keepNext/>
      <w:keepLines/>
      <w:numPr>
        <w:ilvl w:val="6"/>
        <w:numId w:val="3"/>
      </w:numPr>
      <w:tabs>
        <w:tab w:val="clear" w:pos="0"/>
      </w:tab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ListParagraph"/>
    <w:link w:val="Heading8Char"/>
    <w:uiPriority w:val="9"/>
    <w:semiHidden/>
    <w:unhideWhenUsed/>
    <w:qFormat/>
    <w:rsid w:val="0060553D"/>
    <w:pPr>
      <w:keepNext/>
      <w:keepLines/>
      <w:numPr>
        <w:ilvl w:val="7"/>
        <w:numId w:val="3"/>
      </w:numPr>
      <w:tabs>
        <w:tab w:val="clear" w:pos="0"/>
      </w:tab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BodyText2"/>
    <w:link w:val="Heading9Char"/>
    <w:uiPriority w:val="9"/>
    <w:semiHidden/>
    <w:unhideWhenUsed/>
    <w:qFormat/>
    <w:rsid w:val="0060553D"/>
    <w:pPr>
      <w:keepNext/>
      <w:keepLines/>
      <w:numPr>
        <w:ilvl w:val="8"/>
        <w:numId w:val="3"/>
      </w:numPr>
      <w:tabs>
        <w:tab w:val="clear" w:pos="0"/>
      </w:tab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53D"/>
    <w:rPr>
      <w:rFonts w:ascii="Times New Roman" w:hAnsi="Times New Roman" w:eastAsiaTheme="majorEastAsia" w:cs="Times New Roman"/>
      <w:bCs/>
      <w:sz w:val="24"/>
      <w:szCs w:val="28"/>
    </w:rPr>
  </w:style>
  <w:style w:type="paragraph" w:styleId="BodyTextIndent2">
    <w:name w:val="Body Text Indent 2"/>
    <w:basedOn w:val="Normal"/>
    <w:link w:val="BodyTextIndent2Char"/>
    <w:rsid w:val="008D10FE"/>
    <w:pPr>
      <w:ind w:left="686"/>
    </w:pPr>
    <w:rPr>
      <w:rFonts w:ascii="Palatino Linotype" w:eastAsia="Times New Roman" w:hAnsi="Palatino Linotype" w:cs="Times New Roman"/>
      <w:sz w:val="24"/>
      <w:szCs w:val="24"/>
    </w:rPr>
  </w:style>
  <w:style w:type="character" w:customStyle="1" w:styleId="BodyTextIndent2Char">
    <w:name w:val="Body Text Indent 2 Char"/>
    <w:basedOn w:val="DefaultParagraphFont"/>
    <w:link w:val="BodyTextIndent2"/>
    <w:rsid w:val="008D10FE"/>
    <w:rPr>
      <w:rFonts w:ascii="Palatino Linotype" w:eastAsia="Times New Roman" w:hAnsi="Palatino Linotype" w:cs="Times New Roman"/>
      <w:sz w:val="24"/>
      <w:szCs w:val="24"/>
    </w:rPr>
  </w:style>
  <w:style w:type="paragraph" w:styleId="Header">
    <w:name w:val="header"/>
    <w:basedOn w:val="Normal"/>
    <w:link w:val="HeaderChar"/>
    <w:rsid w:val="008D10FE"/>
    <w:pPr>
      <w:tabs>
        <w:tab w:val="center" w:pos="4320"/>
        <w:tab w:val="right" w:pos="8640"/>
      </w:tabs>
    </w:pPr>
    <w:rPr>
      <w:rFonts w:ascii="Palatino Linotype" w:eastAsia="Times New Roman" w:hAnsi="Palatino Linotype" w:cs="Times New Roman"/>
      <w:sz w:val="24"/>
      <w:szCs w:val="24"/>
    </w:rPr>
  </w:style>
  <w:style w:type="character" w:customStyle="1" w:styleId="HeaderChar">
    <w:name w:val="Header Char"/>
    <w:basedOn w:val="DefaultParagraphFont"/>
    <w:link w:val="Header"/>
    <w:rsid w:val="008D10FE"/>
    <w:rPr>
      <w:rFonts w:ascii="Palatino Linotype" w:eastAsia="Times New Roman" w:hAnsi="Palatino Linotype" w:cs="Times New Roman"/>
      <w:sz w:val="24"/>
      <w:szCs w:val="24"/>
    </w:rPr>
  </w:style>
  <w:style w:type="paragraph" w:styleId="ListParagraph">
    <w:name w:val="List Paragraph"/>
    <w:basedOn w:val="Normal"/>
    <w:autoRedefine/>
    <w:uiPriority w:val="34"/>
    <w:qFormat/>
    <w:rsid w:val="00F42F0B"/>
    <w:pPr>
      <w:numPr>
        <w:numId w:val="1"/>
      </w:numPr>
      <w:spacing w:before="120" w:line="480" w:lineRule="auto"/>
      <w:ind w:left="0" w:hanging="720"/>
      <w:contextualSpacing/>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A5AE0"/>
    <w:rPr>
      <w:rFonts w:ascii="Tahoma" w:hAnsi="Tahoma" w:cs="Tahoma"/>
      <w:sz w:val="16"/>
      <w:szCs w:val="16"/>
    </w:rPr>
  </w:style>
  <w:style w:type="character" w:customStyle="1" w:styleId="BalloonTextChar">
    <w:name w:val="Balloon Text Char"/>
    <w:basedOn w:val="DefaultParagraphFont"/>
    <w:link w:val="BalloonText"/>
    <w:uiPriority w:val="99"/>
    <w:semiHidden/>
    <w:rsid w:val="001A5AE0"/>
    <w:rPr>
      <w:rFonts w:ascii="Tahoma" w:hAnsi="Tahoma" w:cs="Tahoma"/>
      <w:sz w:val="16"/>
      <w:szCs w:val="16"/>
    </w:rPr>
  </w:style>
  <w:style w:type="character" w:styleId="CommentReference">
    <w:name w:val="annotation reference"/>
    <w:basedOn w:val="DefaultParagraphFont"/>
    <w:uiPriority w:val="99"/>
    <w:semiHidden/>
    <w:unhideWhenUsed/>
    <w:rsid w:val="00704B50"/>
    <w:rPr>
      <w:sz w:val="16"/>
      <w:szCs w:val="16"/>
    </w:rPr>
  </w:style>
  <w:style w:type="paragraph" w:styleId="CommentText">
    <w:name w:val="annotation text"/>
    <w:basedOn w:val="Normal"/>
    <w:link w:val="CommentTextChar"/>
    <w:uiPriority w:val="99"/>
    <w:semiHidden/>
    <w:unhideWhenUsed/>
    <w:rsid w:val="00704B50"/>
    <w:rPr>
      <w:sz w:val="20"/>
      <w:szCs w:val="20"/>
    </w:rPr>
  </w:style>
  <w:style w:type="character" w:customStyle="1" w:styleId="CommentTextChar">
    <w:name w:val="Comment Text Char"/>
    <w:basedOn w:val="DefaultParagraphFont"/>
    <w:link w:val="CommentText"/>
    <w:uiPriority w:val="99"/>
    <w:semiHidden/>
    <w:rsid w:val="00704B50"/>
    <w:rPr>
      <w:sz w:val="20"/>
      <w:szCs w:val="20"/>
    </w:rPr>
  </w:style>
  <w:style w:type="paragraph" w:styleId="CommentSubject">
    <w:name w:val="annotation subject"/>
    <w:basedOn w:val="CommentText"/>
    <w:next w:val="CommentText"/>
    <w:link w:val="CommentSubjectChar"/>
    <w:uiPriority w:val="99"/>
    <w:semiHidden/>
    <w:unhideWhenUsed/>
    <w:rsid w:val="00704B50"/>
    <w:rPr>
      <w:b/>
      <w:bCs/>
    </w:rPr>
  </w:style>
  <w:style w:type="character" w:customStyle="1" w:styleId="CommentSubjectChar">
    <w:name w:val="Comment Subject Char"/>
    <w:basedOn w:val="CommentTextChar"/>
    <w:link w:val="CommentSubject"/>
    <w:uiPriority w:val="99"/>
    <w:semiHidden/>
    <w:rsid w:val="00704B50"/>
    <w:rPr>
      <w:b/>
      <w:bCs/>
      <w:sz w:val="20"/>
      <w:szCs w:val="20"/>
    </w:rPr>
  </w:style>
  <w:style w:type="paragraph" w:styleId="Revision">
    <w:name w:val="Revision"/>
    <w:hidden/>
    <w:uiPriority w:val="99"/>
    <w:semiHidden/>
    <w:rsid w:val="00704B50"/>
  </w:style>
  <w:style w:type="paragraph" w:styleId="Footer">
    <w:name w:val="footer"/>
    <w:basedOn w:val="Normal"/>
    <w:link w:val="FooterChar"/>
    <w:unhideWhenUsed/>
    <w:rsid w:val="00623547"/>
    <w:pPr>
      <w:tabs>
        <w:tab w:val="center" w:pos="4680"/>
        <w:tab w:val="right" w:pos="9360"/>
      </w:tabs>
    </w:pPr>
  </w:style>
  <w:style w:type="character" w:customStyle="1" w:styleId="FooterChar">
    <w:name w:val="Footer Char"/>
    <w:basedOn w:val="DefaultParagraphFont"/>
    <w:link w:val="Footer"/>
    <w:rsid w:val="00623547"/>
  </w:style>
  <w:style w:type="paragraph" w:styleId="FootnoteText">
    <w:name w:val="footnote text"/>
    <w:basedOn w:val="Normal"/>
    <w:link w:val="FootnoteTextChar"/>
    <w:unhideWhenUsed/>
    <w:rsid w:val="007D5EB2"/>
    <w:rPr>
      <w:sz w:val="20"/>
      <w:szCs w:val="20"/>
    </w:rPr>
  </w:style>
  <w:style w:type="character" w:customStyle="1" w:styleId="FootnoteTextChar">
    <w:name w:val="Footnote Text Char"/>
    <w:basedOn w:val="DefaultParagraphFont"/>
    <w:link w:val="FootnoteText"/>
    <w:uiPriority w:val="99"/>
    <w:semiHidden/>
    <w:rsid w:val="007D5EB2"/>
    <w:rPr>
      <w:sz w:val="20"/>
      <w:szCs w:val="20"/>
    </w:rPr>
  </w:style>
  <w:style w:type="character" w:styleId="FootnoteReference">
    <w:name w:val="footnote reference"/>
    <w:basedOn w:val="DefaultParagraphFont"/>
    <w:semiHidden/>
    <w:unhideWhenUsed/>
    <w:rsid w:val="007D5EB2"/>
    <w:rPr>
      <w:vertAlign w:val="superscript"/>
    </w:rPr>
  </w:style>
  <w:style w:type="character" w:styleId="Hyperlink">
    <w:name w:val="Hyperlink"/>
    <w:uiPriority w:val="99"/>
    <w:rsid w:val="00DD2273"/>
    <w:rPr>
      <w:color w:val="0000FF"/>
      <w:u w:val="single"/>
    </w:rPr>
  </w:style>
  <w:style w:type="paragraph" w:styleId="BodyText2">
    <w:name w:val="Body Text 2"/>
    <w:basedOn w:val="Normal"/>
    <w:link w:val="BodyText2Char"/>
    <w:uiPriority w:val="99"/>
    <w:semiHidden/>
    <w:unhideWhenUsed/>
    <w:rsid w:val="004B1970"/>
    <w:pPr>
      <w:spacing w:after="120" w:line="480" w:lineRule="auto"/>
    </w:pPr>
  </w:style>
  <w:style w:type="character" w:customStyle="1" w:styleId="BodyText2Char">
    <w:name w:val="Body Text 2 Char"/>
    <w:basedOn w:val="DefaultParagraphFont"/>
    <w:link w:val="BodyText2"/>
    <w:uiPriority w:val="99"/>
    <w:semiHidden/>
    <w:rsid w:val="004B1970"/>
  </w:style>
  <w:style w:type="character" w:customStyle="1" w:styleId="Heading2Char">
    <w:name w:val="Heading 2 Char"/>
    <w:basedOn w:val="DefaultParagraphFont"/>
    <w:link w:val="Heading2"/>
    <w:uiPriority w:val="9"/>
    <w:rsid w:val="00587D28"/>
    <w:rPr>
      <w:rFonts w:ascii="Times New Roman" w:hAnsi="Times New Roman" w:eastAsiaTheme="majorEastAsia" w:cstheme="majorBidi"/>
      <w:b/>
      <w:bCs/>
      <w:sz w:val="24"/>
      <w:szCs w:val="26"/>
    </w:rPr>
  </w:style>
  <w:style w:type="character" w:customStyle="1" w:styleId="Heading3Char">
    <w:name w:val="Heading 3 Char"/>
    <w:basedOn w:val="DefaultParagraphFont"/>
    <w:link w:val="Heading3"/>
    <w:uiPriority w:val="9"/>
    <w:rsid w:val="0060553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055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0553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0553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0553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0553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0553D"/>
    <w:rPr>
      <w:rFonts w:asciiTheme="majorHAnsi" w:eastAsiaTheme="majorEastAsia" w:hAnsiTheme="majorHAnsi" w:cstheme="majorBidi"/>
      <w:i/>
      <w:iCs/>
      <w:color w:val="404040" w:themeColor="text1" w:themeTint="BF"/>
      <w:sz w:val="20"/>
      <w:szCs w:val="20"/>
    </w:rPr>
  </w:style>
  <w:style w:type="paragraph" w:customStyle="1" w:styleId="HEADING10">
    <w:name w:val="HEADING1"/>
    <w:basedOn w:val="Heading1"/>
    <w:next w:val="ListParagraph"/>
    <w:link w:val="HEADING1Char0"/>
    <w:qFormat/>
    <w:rsid w:val="00587D28"/>
    <w:pPr>
      <w:tabs>
        <w:tab w:val="num" w:pos="0"/>
      </w:tabs>
      <w:spacing w:before="120"/>
      <w:jc w:val="center"/>
    </w:pPr>
    <w:rPr>
      <w:b/>
      <w:caps/>
    </w:rPr>
  </w:style>
  <w:style w:type="character" w:customStyle="1" w:styleId="HEADING1Char0">
    <w:name w:val="HEADING1 Char"/>
    <w:basedOn w:val="Heading1Char"/>
    <w:link w:val="HEADING10"/>
    <w:rsid w:val="00587D28"/>
    <w:rPr>
      <w:rFonts w:ascii="Times New Roman" w:hAnsi="Times New Roman" w:eastAsiaTheme="majorEastAsia" w:cs="Times New Roman"/>
      <w:b/>
      <w:bCs/>
      <w:caps/>
      <w:sz w:val="24"/>
      <w:szCs w:val="28"/>
    </w:rPr>
  </w:style>
  <w:style w:type="paragraph" w:customStyle="1" w:styleId="TextAfterQuote">
    <w:name w:val="TextAfterQuote"/>
    <w:basedOn w:val="Normal"/>
    <w:next w:val="BodyText"/>
    <w:qFormat/>
    <w:rsid w:val="00771CBE"/>
    <w:pPr>
      <w:spacing w:after="240"/>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771CBE"/>
    <w:pPr>
      <w:spacing w:after="120"/>
    </w:pPr>
  </w:style>
  <w:style w:type="character" w:customStyle="1" w:styleId="BodyTextChar">
    <w:name w:val="Body Text Char"/>
    <w:basedOn w:val="DefaultParagraphFont"/>
    <w:link w:val="BodyText"/>
    <w:uiPriority w:val="99"/>
    <w:semiHidden/>
    <w:rsid w:val="00771CBE"/>
  </w:style>
  <w:style w:type="paragraph" w:styleId="Quote">
    <w:name w:val="Quote"/>
    <w:basedOn w:val="Normal"/>
    <w:next w:val="Normal"/>
    <w:link w:val="QuoteChar"/>
    <w:uiPriority w:val="29"/>
    <w:qFormat/>
    <w:rsid w:val="00D420C4"/>
    <w:rPr>
      <w:i/>
      <w:iCs/>
      <w:color w:val="000000" w:themeColor="text1"/>
    </w:rPr>
  </w:style>
  <w:style w:type="character" w:customStyle="1" w:styleId="QuoteChar">
    <w:name w:val="Quote Char"/>
    <w:basedOn w:val="DefaultParagraphFont"/>
    <w:link w:val="Quote"/>
    <w:uiPriority w:val="29"/>
    <w:rsid w:val="00D420C4"/>
    <w:rPr>
      <w:i/>
      <w:iCs/>
      <w:color w:val="000000" w:themeColor="text1"/>
    </w:rPr>
  </w:style>
  <w:style w:type="paragraph" w:styleId="TOC1">
    <w:name w:val="toc 1"/>
    <w:basedOn w:val="Normal"/>
    <w:next w:val="Normal"/>
    <w:autoRedefine/>
    <w:uiPriority w:val="39"/>
    <w:unhideWhenUsed/>
    <w:rsid w:val="00EA54B4"/>
    <w:pPr>
      <w:tabs>
        <w:tab w:val="right" w:leader="dot" w:pos="8920"/>
      </w:tabs>
      <w:spacing w:after="100"/>
    </w:pPr>
  </w:style>
  <w:style w:type="paragraph" w:styleId="TOC2">
    <w:name w:val="toc 2"/>
    <w:basedOn w:val="Normal"/>
    <w:next w:val="Normal"/>
    <w:autoRedefine/>
    <w:uiPriority w:val="39"/>
    <w:unhideWhenUsed/>
    <w:rsid w:val="00EA54B4"/>
    <w:pPr>
      <w:tabs>
        <w:tab w:val="right" w:leader="dot" w:pos="8920"/>
      </w:tabs>
      <w:spacing w:after="100"/>
      <w:ind w:left="220"/>
    </w:pPr>
  </w:style>
  <w:style w:type="paragraph" w:styleId="TOC3">
    <w:name w:val="toc 3"/>
    <w:basedOn w:val="Normal"/>
    <w:next w:val="Normal"/>
    <w:autoRedefine/>
    <w:uiPriority w:val="39"/>
    <w:semiHidden/>
    <w:unhideWhenUsed/>
    <w:rsid w:val="00EA54B4"/>
    <w:pPr>
      <w:tabs>
        <w:tab w:val="right" w:leader="dot" w:pos="8920"/>
      </w:tabs>
      <w:spacing w:after="100"/>
      <w:ind w:left="440"/>
    </w:pPr>
  </w:style>
  <w:style w:type="paragraph" w:styleId="TOC4">
    <w:name w:val="toc 4"/>
    <w:basedOn w:val="Normal"/>
    <w:next w:val="Normal"/>
    <w:autoRedefine/>
    <w:uiPriority w:val="39"/>
    <w:semiHidden/>
    <w:unhideWhenUsed/>
    <w:rsid w:val="00EA54B4"/>
    <w:pPr>
      <w:spacing w:after="100"/>
      <w:ind w:left="660"/>
    </w:pPr>
  </w:style>
  <w:style w:type="paragraph" w:styleId="TOC5">
    <w:name w:val="toc 5"/>
    <w:basedOn w:val="Normal"/>
    <w:next w:val="Normal"/>
    <w:autoRedefine/>
    <w:uiPriority w:val="39"/>
    <w:semiHidden/>
    <w:unhideWhenUsed/>
    <w:rsid w:val="00EA54B4"/>
    <w:pPr>
      <w:spacing w:after="100"/>
      <w:ind w:left="880"/>
    </w:pPr>
  </w:style>
  <w:style w:type="paragraph" w:styleId="TOC6">
    <w:name w:val="toc 6"/>
    <w:basedOn w:val="Normal"/>
    <w:next w:val="Normal"/>
    <w:autoRedefine/>
    <w:uiPriority w:val="39"/>
    <w:semiHidden/>
    <w:unhideWhenUsed/>
    <w:rsid w:val="00EA54B4"/>
    <w:pPr>
      <w:spacing w:after="100"/>
      <w:ind w:left="1100"/>
    </w:pPr>
  </w:style>
  <w:style w:type="paragraph" w:styleId="TOC7">
    <w:name w:val="toc 7"/>
    <w:basedOn w:val="Normal"/>
    <w:next w:val="Normal"/>
    <w:autoRedefine/>
    <w:uiPriority w:val="39"/>
    <w:semiHidden/>
    <w:unhideWhenUsed/>
    <w:rsid w:val="00EA54B4"/>
    <w:pPr>
      <w:spacing w:after="100"/>
      <w:ind w:left="1320"/>
    </w:pPr>
  </w:style>
  <w:style w:type="paragraph" w:styleId="TOC8">
    <w:name w:val="toc 8"/>
    <w:basedOn w:val="Normal"/>
    <w:next w:val="Normal"/>
    <w:autoRedefine/>
    <w:uiPriority w:val="39"/>
    <w:semiHidden/>
    <w:unhideWhenUsed/>
    <w:rsid w:val="00EA54B4"/>
    <w:pPr>
      <w:spacing w:after="100"/>
      <w:ind w:left="1540"/>
    </w:pPr>
  </w:style>
  <w:style w:type="paragraph" w:styleId="TOC9">
    <w:name w:val="toc 9"/>
    <w:basedOn w:val="Normal"/>
    <w:next w:val="Normal"/>
    <w:autoRedefine/>
    <w:uiPriority w:val="39"/>
    <w:semiHidden/>
    <w:unhideWhenUsed/>
    <w:rsid w:val="00EA54B4"/>
    <w:pPr>
      <w:spacing w:after="100"/>
      <w:ind w:left="1760"/>
    </w:pPr>
  </w:style>
  <w:style w:type="paragraph" w:styleId="TOCHeading">
    <w:name w:val="TOC Heading"/>
    <w:basedOn w:val="Heading1"/>
    <w:next w:val="Normal"/>
    <w:uiPriority w:val="39"/>
    <w:unhideWhenUsed/>
    <w:qFormat/>
    <w:rsid w:val="00E8371B"/>
    <w:pPr>
      <w:numPr>
        <w:numId w:val="0"/>
      </w:numPr>
      <w:spacing w:line="276" w:lineRule="auto"/>
      <w:outlineLvl w:val="9"/>
    </w:pPr>
    <w:rPr>
      <w:rFonts w:asciiTheme="majorHAnsi" w:hAnsiTheme="majorHAnsi" w:cstheme="majorBidi"/>
      <w:b/>
      <w:color w:val="365F91" w:themeColor="accent1" w:themeShade="BF"/>
      <w:sz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webSettings" Target="webSettings.xml"/><Relationship Id="rId12" Type="http://schemas.openxmlformats.org/officeDocument/2006/relationships/footer" Target="footer5.xml"/><Relationship Id="rId7"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footnotes" Target="footnotes.xml"/><Relationship Id="rId11" Type="http://schemas.openxmlformats.org/officeDocument/2006/relationships/footer" Target="footer4.xml"/><Relationship Id="rId6" Type="http://schemas.openxmlformats.org/officeDocument/2006/relationships/header" Target="header2.xml"/><Relationship Id="rId15" Type="http://schemas.openxmlformats.org/officeDocument/2006/relationships/styles" Target="styles.xml"/><Relationship Id="rId5" Type="http://schemas.openxmlformats.org/officeDocument/2006/relationships/header" Target="header1.xml"/><Relationship Id="rId10" Type="http://schemas.openxmlformats.org/officeDocument/2006/relationships/footer" Target="footer3.xml"/><Relationship Id="rId19" Type="http://schemas.openxmlformats.org/officeDocument/2006/relationships/customXml" Target="../customXml/item4.xml"/><Relationship Id="rId14"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2014-04-03T07:00:00+00:00</OpenedDate>
    <Date1 xmlns="dc463f71-b30c-4ab2-9473-d307f9d35888">2014-11-07T08:00:00+00:00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08BC6D2-834D-426D-8ECF-B097BDE7C1A4}"/>
</file>

<file path=customXml/itemProps2.xml><?xml version="1.0" encoding="utf-8"?>
<ds:datastoreItem xmlns:ds="http://schemas.openxmlformats.org/officeDocument/2006/customXml" ds:itemID="{94ED9735-4BE1-4198-8E87-17A9CE9F5EB6}"/>
</file>

<file path=customXml/itemProps3.xml><?xml version="1.0" encoding="utf-8"?>
<ds:datastoreItem xmlns:ds="http://schemas.openxmlformats.org/officeDocument/2006/customXml" ds:itemID="{0FE304BF-C634-4545-AE13-0BC434C16CC1}"/>
</file>

<file path=customXml/itemProps4.xml><?xml version="1.0" encoding="utf-8"?>
<ds:datastoreItem xmlns:ds="http://schemas.openxmlformats.org/officeDocument/2006/customXml" ds:itemID="{569EE441-A397-4627-BE7B-9ECC8C79CC15}"/>
</file>

<file path=docProps/app.xml><?xml version="1.0" encoding="utf-8"?>
<Properties xmlns="http://schemas.openxmlformats.org/officeDocument/2006/extended-properties" xmlns:vt="http://schemas.openxmlformats.org/officeDocument/2006/docPropsVTypes">
  <Template>Normal.dotm</Template>
  <TotalTime>0</TotalTime>
  <Pages>19</Pages>
  <Words>4363</Words>
  <Characters>24259</Characters>
  <Application>Microsoft Office Word</Application>
  <DocSecurity>0</DocSecurity>
  <Lines>429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2014-11-07T22:52:26Z</dcterms:created>
  <dcterms:modified xsi:type="dcterms:W3CDTF">2014-11-07T22:52:26Z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5189928.1</vt:lpwstr>
  </property>
  <property fmtid="{D5CDD505-2E9C-101B-9397-08002B2CF9AE}" pid="3" name="ContentTypeId">
    <vt:lpwstr>0x0101006E56B4D1795A2E4DB2F0B01679ED314A00D2190E13D69736428DC0AA09A9BE07E0</vt:lpwstr>
  </property>
  <property fmtid="{D5CDD505-2E9C-101B-9397-08002B2CF9AE}" pid="4" name="_docset_NoMedatataSyncRequired">
    <vt:lpwstr>False</vt:lpwstr>
  </property>
</Properties>
</file>