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24" w:rsidRPr="009F7F24" w:rsidRDefault="009F7F24" w:rsidP="008536C2">
      <w:pPr>
        <w:spacing w:before="240" w:after="240"/>
        <w:jc w:val="center"/>
        <w:rPr>
          <w:rFonts w:eastAsia="Times New Roman" w:cs="Times New Roman"/>
          <w:b/>
        </w:rPr>
      </w:pPr>
      <w:r w:rsidRPr="009F7F24">
        <w:rPr>
          <w:rFonts w:eastAsia="Times New Roman" w:cs="Times New Roman"/>
          <w:b/>
        </w:rPr>
        <w:t>BEFORE THE WASHINGTON</w:t>
      </w:r>
      <w:r w:rsidRPr="009F7F24">
        <w:rPr>
          <w:rFonts w:eastAsia="Times New Roman" w:cs="Times New Roman"/>
          <w:b/>
        </w:rPr>
        <w:br/>
        <w:t>UTILITIES AND TRANSPORTATION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F7F24" w:rsidTr="00E56E5D">
        <w:tc>
          <w:tcPr>
            <w:tcW w:w="4788" w:type="dxa"/>
            <w:tcBorders>
              <w:bottom w:val="single" w:sz="4" w:space="0" w:color="auto"/>
              <w:right w:val="single" w:sz="4" w:space="0" w:color="auto"/>
            </w:tcBorders>
          </w:tcPr>
          <w:p w:rsidR="009F7F24" w:rsidRPr="009F7F24" w:rsidRDefault="009F7F24" w:rsidP="009F7F24">
            <w:pPr>
              <w:spacing w:before="240" w:after="240"/>
              <w:rPr>
                <w:rFonts w:eastAsia="Times New Roman" w:cs="Times New Roman"/>
              </w:rPr>
            </w:pPr>
            <w:r w:rsidRPr="009F7F24">
              <w:rPr>
                <w:rFonts w:eastAsia="Times New Roman" w:cs="Times New Roman"/>
              </w:rPr>
              <w:t>WASHINGTON UTILITIES AND</w:t>
            </w:r>
            <w:r>
              <w:rPr>
                <w:rFonts w:eastAsia="Times New Roman" w:cs="Times New Roman"/>
              </w:rPr>
              <w:br/>
            </w:r>
            <w:r w:rsidRPr="009F7F24">
              <w:rPr>
                <w:rFonts w:eastAsia="Times New Roman" w:cs="Times New Roman"/>
              </w:rPr>
              <w:t>TRANSPORTATION COMMISSION,</w:t>
            </w:r>
          </w:p>
          <w:p w:rsidR="009F7F24" w:rsidRPr="009F7F24" w:rsidRDefault="009F7F24" w:rsidP="009F7F24">
            <w:pPr>
              <w:spacing w:before="240" w:after="240"/>
              <w:ind w:left="1440"/>
              <w:rPr>
                <w:rFonts w:eastAsia="Times New Roman" w:cs="Times New Roman"/>
              </w:rPr>
            </w:pPr>
            <w:r w:rsidRPr="009F7F24">
              <w:rPr>
                <w:rFonts w:eastAsia="Times New Roman" w:cs="Times New Roman"/>
              </w:rPr>
              <w:t>Complainant,</w:t>
            </w:r>
          </w:p>
          <w:p w:rsidR="009F7F24" w:rsidRPr="009F7F24" w:rsidRDefault="009F7F24" w:rsidP="00E56E5D">
            <w:pPr>
              <w:spacing w:before="240" w:after="240"/>
              <w:jc w:val="center"/>
              <w:rPr>
                <w:rFonts w:eastAsia="Times New Roman" w:cs="Times New Roman"/>
              </w:rPr>
            </w:pPr>
            <w:r w:rsidRPr="009F7F24">
              <w:rPr>
                <w:rFonts w:eastAsia="Times New Roman" w:cs="Times New Roman"/>
              </w:rPr>
              <w:t>v.</w:t>
            </w:r>
          </w:p>
          <w:p w:rsidR="009F7F24" w:rsidRPr="009F7F24" w:rsidRDefault="009F7F24" w:rsidP="009F7F24">
            <w:pPr>
              <w:spacing w:before="240" w:after="240"/>
              <w:rPr>
                <w:rFonts w:eastAsia="Times New Roman" w:cs="Times New Roman"/>
              </w:rPr>
            </w:pPr>
            <w:r w:rsidRPr="009F7F24">
              <w:rPr>
                <w:rFonts w:eastAsia="Times New Roman" w:cs="Times New Roman"/>
              </w:rPr>
              <w:t>PUGET SOUND ENERGY,</w:t>
            </w:r>
          </w:p>
          <w:p w:rsidR="009F7F24" w:rsidRDefault="009F7F24" w:rsidP="009F7F24">
            <w:pPr>
              <w:spacing w:before="240" w:after="240"/>
              <w:ind w:left="1440"/>
              <w:rPr>
                <w:rFonts w:eastAsia="Times New Roman" w:cs="Times New Roman"/>
              </w:rPr>
            </w:pPr>
            <w:r w:rsidRPr="009F7F24">
              <w:rPr>
                <w:rFonts w:eastAsia="Times New Roman" w:cs="Times New Roman"/>
              </w:rPr>
              <w:t>Respondent.</w:t>
            </w:r>
          </w:p>
        </w:tc>
        <w:tc>
          <w:tcPr>
            <w:tcW w:w="4788" w:type="dxa"/>
            <w:tcBorders>
              <w:left w:val="single" w:sz="4" w:space="0" w:color="auto"/>
            </w:tcBorders>
            <w:vAlign w:val="center"/>
          </w:tcPr>
          <w:p w:rsidR="009F7F24" w:rsidRDefault="00E56E5D" w:rsidP="00E56E5D">
            <w:pPr>
              <w:spacing w:before="240" w:after="240"/>
              <w:ind w:left="252"/>
              <w:rPr>
                <w:rFonts w:eastAsia="Times New Roman" w:cs="Times New Roman"/>
              </w:rPr>
            </w:pPr>
            <w:r>
              <w:rPr>
                <w:rFonts w:eastAsia="Times New Roman" w:cs="Times New Roman"/>
              </w:rPr>
              <w:t xml:space="preserve">DOCKETS UE-170033 &amp; </w:t>
            </w:r>
            <w:r w:rsidRPr="00E56E5D">
              <w:rPr>
                <w:rFonts w:eastAsia="Times New Roman" w:cs="Times New Roman"/>
              </w:rPr>
              <w:t>UG-170034</w:t>
            </w:r>
          </w:p>
          <w:p w:rsidR="00E56E5D" w:rsidRDefault="002C0DBA" w:rsidP="004060F6">
            <w:pPr>
              <w:spacing w:before="240" w:after="240"/>
              <w:ind w:left="252"/>
              <w:rPr>
                <w:rFonts w:eastAsia="Times New Roman" w:cs="Times New Roman"/>
              </w:rPr>
            </w:pPr>
            <w:r>
              <w:rPr>
                <w:rFonts w:eastAsia="Times New Roman" w:cs="Times New Roman"/>
              </w:rPr>
              <w:t>MULTIPARTY</w:t>
            </w:r>
            <w:r w:rsidR="00D23670">
              <w:rPr>
                <w:rFonts w:eastAsia="Times New Roman" w:cs="Times New Roman"/>
              </w:rPr>
              <w:t xml:space="preserve"> </w:t>
            </w:r>
            <w:r w:rsidR="00E56E5D">
              <w:rPr>
                <w:rFonts w:eastAsia="Times New Roman" w:cs="Times New Roman"/>
              </w:rPr>
              <w:t>SETTLEMENT</w:t>
            </w:r>
            <w:r w:rsidR="004060F6">
              <w:rPr>
                <w:rFonts w:eastAsia="Times New Roman" w:cs="Times New Roman"/>
              </w:rPr>
              <w:br/>
            </w:r>
            <w:r w:rsidR="00E56E5D">
              <w:rPr>
                <w:rFonts w:eastAsia="Times New Roman" w:cs="Times New Roman"/>
              </w:rPr>
              <w:t>STIPULATION</w:t>
            </w:r>
            <w:r w:rsidR="004060F6">
              <w:rPr>
                <w:rFonts w:eastAsia="Times New Roman" w:cs="Times New Roman"/>
              </w:rPr>
              <w:t xml:space="preserve"> </w:t>
            </w:r>
            <w:r w:rsidR="00E56E5D">
              <w:rPr>
                <w:rFonts w:eastAsia="Times New Roman" w:cs="Times New Roman"/>
              </w:rPr>
              <w:t>AND</w:t>
            </w:r>
            <w:r w:rsidR="00D23670">
              <w:rPr>
                <w:rFonts w:eastAsia="Times New Roman" w:cs="Times New Roman"/>
              </w:rPr>
              <w:t xml:space="preserve"> </w:t>
            </w:r>
            <w:r w:rsidR="00E56E5D">
              <w:rPr>
                <w:rFonts w:eastAsia="Times New Roman" w:cs="Times New Roman"/>
              </w:rPr>
              <w:t>AGREEMENT</w:t>
            </w:r>
          </w:p>
        </w:tc>
      </w:tr>
    </w:tbl>
    <w:p w:rsidR="009F7F24" w:rsidRPr="00E56E5D" w:rsidRDefault="009F7F24" w:rsidP="00EE2D01">
      <w:pPr>
        <w:pStyle w:val="Heading1"/>
        <w:spacing w:before="360"/>
      </w:pPr>
      <w:r w:rsidRPr="00E56E5D">
        <w:t>I.</w:t>
      </w:r>
      <w:r w:rsidR="00E56E5D" w:rsidRPr="00E56E5D">
        <w:tab/>
      </w:r>
      <w:r w:rsidRPr="00E56E5D">
        <w:t>INTRODUCTION</w:t>
      </w:r>
    </w:p>
    <w:p w:rsidR="005A11F9" w:rsidRDefault="009F7F24" w:rsidP="00121EC6">
      <w:pPr>
        <w:pStyle w:val="ListParagraph"/>
      </w:pPr>
      <w:r w:rsidRPr="005A11F9">
        <w:t>This Settlement Stipulation and Agreement (“Settlement”) is entered into by and</w:t>
      </w:r>
      <w:r w:rsidR="00E56E5D" w:rsidRPr="005A11F9">
        <w:t xml:space="preserve"> </w:t>
      </w:r>
      <w:r w:rsidRPr="005A11F9">
        <w:t xml:space="preserve">between the following parties in this case: </w:t>
      </w:r>
      <w:r w:rsidR="002C2288" w:rsidRPr="005A11F9">
        <w:t>(i) </w:t>
      </w:r>
      <w:r w:rsidRPr="005A11F9">
        <w:t xml:space="preserve">Puget Sound Energy (“PSE”), </w:t>
      </w:r>
      <w:r w:rsidR="00FE1E75">
        <w:t>(ii)</w:t>
      </w:r>
      <w:r w:rsidR="002C0DBA">
        <w:t> </w:t>
      </w:r>
      <w:r w:rsidR="00FE1E75" w:rsidRPr="005A11F9">
        <w:t>the Commission’s regulatory staff (“Commission Staff”),</w:t>
      </w:r>
      <w:r w:rsidR="00FE1E75">
        <w:rPr>
          <w:rStyle w:val="FootnoteReference"/>
        </w:rPr>
        <w:footnoteReference w:id="1"/>
      </w:r>
      <w:r w:rsidR="00FE1E75">
        <w:t xml:space="preserve"> (iii)</w:t>
      </w:r>
      <w:r w:rsidR="002C0DBA">
        <w:t> </w:t>
      </w:r>
      <w:r w:rsidR="00FE1E75">
        <w:t>the Industrial Customers of Northwest Utilities (“ICNU”), (iv)</w:t>
      </w:r>
      <w:r w:rsidR="002C0DBA">
        <w:t> </w:t>
      </w:r>
      <w:r w:rsidR="00FE1E75">
        <w:t>NW Energy Coalition/Renewable Northwest/Natural Resource Defense Council, (v)</w:t>
      </w:r>
      <w:r w:rsidR="002C0DBA">
        <w:t> </w:t>
      </w:r>
      <w:r w:rsidR="00FE1E75">
        <w:t>The Energy Project, (vi)</w:t>
      </w:r>
      <w:r w:rsidR="002C0DBA">
        <w:t> </w:t>
      </w:r>
      <w:r w:rsidR="00FE1E75">
        <w:t>Sierra Club, (vii)</w:t>
      </w:r>
      <w:r w:rsidR="002C0DBA">
        <w:t> </w:t>
      </w:r>
      <w:r w:rsidR="00B9137D">
        <w:t>Federal Executive Agencies, (viii)</w:t>
      </w:r>
      <w:r w:rsidR="002C0DBA">
        <w:t> </w:t>
      </w:r>
      <w:r w:rsidR="00B9137D">
        <w:t>The Kroger Co., (ix)</w:t>
      </w:r>
      <w:r w:rsidR="002C0DBA">
        <w:t xml:space="preserve"> the </w:t>
      </w:r>
      <w:r w:rsidR="00B9137D">
        <w:t>State of Montana</w:t>
      </w:r>
      <w:r w:rsidR="002C0DBA">
        <w:t>, and (x) Northwest Industrial Gas Users (“NWIGU”)</w:t>
      </w:r>
      <w:r w:rsidR="00FE1E75" w:rsidRPr="005A11F9">
        <w:t xml:space="preserve"> </w:t>
      </w:r>
      <w:r w:rsidR="00716C19" w:rsidRPr="005A11F9">
        <w:t xml:space="preserve">as of September </w:t>
      </w:r>
      <w:r w:rsidR="00DE0DA6">
        <w:t>15</w:t>
      </w:r>
      <w:bookmarkStart w:id="0" w:name="_GoBack"/>
      <w:bookmarkEnd w:id="0"/>
      <w:r w:rsidR="00716C19" w:rsidRPr="005A11F9">
        <w:t>, 2017 (the “</w:t>
      </w:r>
      <w:r w:rsidR="00236F29" w:rsidRPr="005A11F9">
        <w:t>Settlement</w:t>
      </w:r>
      <w:r w:rsidR="00716C19" w:rsidRPr="005A11F9">
        <w:t xml:space="preserve"> Date”)</w:t>
      </w:r>
      <w:r w:rsidR="002C2288" w:rsidRPr="005A11F9">
        <w:t xml:space="preserve">. </w:t>
      </w:r>
      <w:r w:rsidRPr="005A11F9">
        <w:t>These parties are hereinafter collectively referred to as “Settling Parties” and individually as a</w:t>
      </w:r>
      <w:r w:rsidR="00E56E5D" w:rsidRPr="005A11F9">
        <w:t xml:space="preserve"> </w:t>
      </w:r>
      <w:r w:rsidRPr="005A11F9">
        <w:t>“Settling Party.”</w:t>
      </w:r>
      <w:bookmarkStart w:id="1" w:name="Par_02"/>
    </w:p>
    <w:bookmarkEnd w:id="1"/>
    <w:p w:rsidR="005A11F9" w:rsidRPr="002C0DBA" w:rsidRDefault="00716C19" w:rsidP="00121EC6">
      <w:pPr>
        <w:pStyle w:val="ListParagraph"/>
      </w:pPr>
      <w:r w:rsidRPr="002C0DBA">
        <w:t xml:space="preserve">This Settlement </w:t>
      </w:r>
      <w:r w:rsidR="001D1366" w:rsidRPr="002C0DBA">
        <w:t>is a “multiparty settlement,” as that term is defined in WAC 480-07-730(3)</w:t>
      </w:r>
      <w:r w:rsidRPr="002C0DBA">
        <w:t>, because this Settlement is entered into by some, but not all, parties on one or more issues</w:t>
      </w:r>
      <w:bookmarkStart w:id="2" w:name="Par_03"/>
      <w:r w:rsidR="002C0DBA" w:rsidRPr="002C0DBA">
        <w:t>.</w:t>
      </w:r>
    </w:p>
    <w:bookmarkEnd w:id="2"/>
    <w:p w:rsidR="009F7F24" w:rsidRPr="005A11F9" w:rsidRDefault="009F7F24" w:rsidP="00121EC6">
      <w:pPr>
        <w:pStyle w:val="ListParagraph"/>
      </w:pPr>
      <w:r w:rsidRPr="005A11F9">
        <w:lastRenderedPageBreak/>
        <w:t>This Settlement is subject to review and disposition by the Washington Utilities</w:t>
      </w:r>
      <w:r w:rsidR="002C2288" w:rsidRPr="005A11F9">
        <w:t xml:space="preserve"> </w:t>
      </w:r>
      <w:r w:rsidRPr="005A11F9">
        <w:t>and Transportation Commission (“Commission”). Section</w:t>
      </w:r>
      <w:r w:rsidR="00EE2D01" w:rsidRPr="005A11F9">
        <w:t> </w:t>
      </w:r>
      <w:r w:rsidRPr="005A11F9">
        <w:t>III of the Settlement is effective on the</w:t>
      </w:r>
      <w:r w:rsidR="002C2288" w:rsidRPr="005A11F9">
        <w:t xml:space="preserve"> </w:t>
      </w:r>
      <w:r w:rsidRPr="005A11F9">
        <w:t>date of the Commission order approving it (unless the Commission establishes a different</w:t>
      </w:r>
      <w:r w:rsidR="002C2288" w:rsidRPr="005A11F9">
        <w:t xml:space="preserve"> </w:t>
      </w:r>
      <w:r w:rsidRPr="005A11F9">
        <w:t>effective date).</w:t>
      </w:r>
    </w:p>
    <w:p w:rsidR="009F7F24" w:rsidRPr="002C2288" w:rsidRDefault="009F7F24" w:rsidP="00EE2D01">
      <w:pPr>
        <w:pStyle w:val="Heading1"/>
      </w:pPr>
      <w:r w:rsidRPr="002C2288">
        <w:t>II.</w:t>
      </w:r>
      <w:r w:rsidR="002C2288" w:rsidRPr="002C2288">
        <w:tab/>
      </w:r>
      <w:r w:rsidRPr="002C2288">
        <w:t>BACKGROUND AND NATURE OF THE DOCKET</w:t>
      </w:r>
    </w:p>
    <w:p w:rsidR="005D46B9" w:rsidRDefault="0071688C" w:rsidP="005D46B9">
      <w:pPr>
        <w:pStyle w:val="ListParagraph"/>
      </w:pPr>
      <w:r w:rsidRPr="005A11F9">
        <w:t>On January 13, 2017, PSE filed with the Commission</w:t>
      </w:r>
      <w:r w:rsidR="000F0C7A" w:rsidRPr="005A11F9">
        <w:t>,</w:t>
      </w:r>
      <w:r w:rsidRPr="005A11F9">
        <w:t xml:space="preserve"> </w:t>
      </w:r>
      <w:r w:rsidR="000F0C7A" w:rsidRPr="005A11F9">
        <w:t>in Docket</w:t>
      </w:r>
      <w:r w:rsidR="002C0DBA">
        <w:t>s</w:t>
      </w:r>
      <w:r w:rsidR="000F0C7A" w:rsidRPr="005A11F9">
        <w:t> UE-170033</w:t>
      </w:r>
      <w:r w:rsidR="002C0DBA">
        <w:t> &amp; UG</w:t>
      </w:r>
      <w:r w:rsidR="002C0DBA" w:rsidRPr="005A11F9">
        <w:t>-17003</w:t>
      </w:r>
      <w:r w:rsidR="002C0DBA">
        <w:t>4</w:t>
      </w:r>
      <w:r w:rsidR="000F0C7A" w:rsidRPr="005A11F9">
        <w:t xml:space="preserve">, </w:t>
      </w:r>
      <w:r w:rsidRPr="005A11F9">
        <w:t xml:space="preserve">tariff revisions to increase rates for electric </w:t>
      </w:r>
      <w:r w:rsidR="002C0DBA">
        <w:t xml:space="preserve">and natural gas </w:t>
      </w:r>
      <w:r w:rsidRPr="005A11F9">
        <w:t>services provided to customers in Washington. The tariff revisions, if allowed to become effective, would have increased</w:t>
      </w:r>
      <w:r w:rsidR="002B46AC" w:rsidRPr="005A11F9">
        <w:t xml:space="preserve"> </w:t>
      </w:r>
      <w:r w:rsidRPr="005A11F9">
        <w:t xml:space="preserve">electric base rates </w:t>
      </w:r>
      <w:r w:rsidR="000F0C7A" w:rsidRPr="005A11F9">
        <w:t xml:space="preserve">by </w:t>
      </w:r>
      <w:r w:rsidRPr="005A11F9">
        <w:t>approximately $149 million (7.6 percent) on an annual basis</w:t>
      </w:r>
      <w:r w:rsidR="005D46B9">
        <w:t xml:space="preserve"> and </w:t>
      </w:r>
      <w:r w:rsidR="005D46B9" w:rsidRPr="005A11F9">
        <w:t xml:space="preserve">increased </w:t>
      </w:r>
      <w:r w:rsidR="005D46B9">
        <w:t xml:space="preserve">natural </w:t>
      </w:r>
      <w:r w:rsidR="009D6815">
        <w:t xml:space="preserve">gas </w:t>
      </w:r>
      <w:r w:rsidR="005D46B9" w:rsidRPr="005A11F9">
        <w:t>base rates by approximately $</w:t>
      </w:r>
      <w:r w:rsidR="005D46B9">
        <w:t>23</w:t>
      </w:r>
      <w:r w:rsidR="005D46B9" w:rsidRPr="005A11F9">
        <w:t> million (</w:t>
      </w:r>
      <w:r w:rsidR="005D46B9">
        <w:t>2.8</w:t>
      </w:r>
      <w:r w:rsidR="005D46B9" w:rsidRPr="005A11F9">
        <w:t> percent) on an annual basis</w:t>
      </w:r>
      <w:r w:rsidRPr="005A11F9">
        <w:t>. The net impact to customers after applying various offsets would be an increase in electric rates of approximately $87 million (4.1 percent)</w:t>
      </w:r>
      <w:r w:rsidR="005D46B9">
        <w:t xml:space="preserve"> and </w:t>
      </w:r>
      <w:r w:rsidR="005D46B9" w:rsidRPr="005A11F9">
        <w:t xml:space="preserve">a </w:t>
      </w:r>
      <w:r w:rsidR="005D46B9">
        <w:t>de</w:t>
      </w:r>
      <w:r w:rsidR="005D46B9" w:rsidRPr="005A11F9">
        <w:t xml:space="preserve">crease in </w:t>
      </w:r>
      <w:r w:rsidR="005D46B9">
        <w:t xml:space="preserve">natural gas </w:t>
      </w:r>
      <w:r w:rsidR="005D46B9" w:rsidRPr="005A11F9">
        <w:t>rates of approximately $</w:t>
      </w:r>
      <w:r w:rsidR="005D46B9">
        <w:t>22</w:t>
      </w:r>
      <w:r w:rsidR="005D46B9" w:rsidRPr="005A11F9">
        <w:t> million</w:t>
      </w:r>
      <w:r w:rsidR="005D46B9">
        <w:t xml:space="preserve"> </w:t>
      </w:r>
      <w:r w:rsidR="005D46B9" w:rsidRPr="005A11F9">
        <w:t>(</w:t>
      </w:r>
      <w:r w:rsidR="005D46B9">
        <w:t>–2.4</w:t>
      </w:r>
      <w:r w:rsidR="005D46B9" w:rsidRPr="005A11F9">
        <w:t> </w:t>
      </w:r>
      <w:r w:rsidR="005D46B9">
        <w:t>percent)</w:t>
      </w:r>
      <w:r w:rsidRPr="005A11F9">
        <w:t>. The Commission</w:t>
      </w:r>
      <w:r w:rsidR="000F0C7A" w:rsidRPr="005A11F9">
        <w:t xml:space="preserve"> </w:t>
      </w:r>
      <w:r w:rsidRPr="005A11F9">
        <w:t xml:space="preserve">suspended operation of the as-filed tariffs </w:t>
      </w:r>
      <w:r w:rsidR="000F0C7A" w:rsidRPr="005A11F9">
        <w:t xml:space="preserve">and set the matters for hearing in Order 01 on January 19, 2017. </w:t>
      </w:r>
      <w:r w:rsidRPr="005A11F9">
        <w:t>The Commission convened a prehearing</w:t>
      </w:r>
      <w:r w:rsidR="000F0C7A" w:rsidRPr="005D46B9">
        <w:rPr>
          <w:u w:val="single"/>
        </w:rPr>
        <w:t xml:space="preserve"> </w:t>
      </w:r>
      <w:r w:rsidRPr="005A11F9">
        <w:t xml:space="preserve">conference in this proceeding at Olympia, Washington on </w:t>
      </w:r>
      <w:r w:rsidR="000F0C7A" w:rsidRPr="005A11F9">
        <w:t>February 13, 2017</w:t>
      </w:r>
      <w:r w:rsidRPr="005A11F9">
        <w:t>.</w:t>
      </w:r>
    </w:p>
    <w:p w:rsidR="005A11F9" w:rsidRDefault="0071688C" w:rsidP="005D46B9">
      <w:pPr>
        <w:pStyle w:val="ListParagraph"/>
      </w:pPr>
      <w:r w:rsidRPr="005A11F9">
        <w:t>At various times established in its procedural sched</w:t>
      </w:r>
      <w:r w:rsidR="000F0C7A" w:rsidRPr="005A11F9">
        <w:t xml:space="preserve">ule, and by several orders, the </w:t>
      </w:r>
      <w:r w:rsidRPr="005A11F9">
        <w:t xml:space="preserve">Commission accepted prefiled testimony and exhibits from </w:t>
      </w:r>
      <w:r w:rsidR="000F0C7A" w:rsidRPr="005A11F9">
        <w:t>PSE</w:t>
      </w:r>
      <w:r w:rsidRPr="005A11F9">
        <w:t>, Commission Staff</w:t>
      </w:r>
      <w:r w:rsidR="000F0C7A" w:rsidRPr="005A11F9">
        <w:t>,</w:t>
      </w:r>
      <w:r w:rsidR="005D46B9">
        <w:t xml:space="preserve"> a</w:t>
      </w:r>
      <w:r w:rsidRPr="005A11F9">
        <w:t>nd other parties. The</w:t>
      </w:r>
      <w:r w:rsidR="000F0C7A" w:rsidRPr="005A11F9">
        <w:t xml:space="preserve"> </w:t>
      </w:r>
      <w:r w:rsidR="00381F4C" w:rsidRPr="005A11F9">
        <w:t xml:space="preserve">parties to the proceeding </w:t>
      </w:r>
      <w:r w:rsidR="000F0C7A" w:rsidRPr="005A11F9">
        <w:t xml:space="preserve">participated in settlement conferences on August 11, 2017, and August 24, 2017, and have participated in subsequent settlement-related calls and correspondence after </w:t>
      </w:r>
      <w:r w:rsidR="00381F4C" w:rsidRPr="005A11F9">
        <w:t xml:space="preserve">those </w:t>
      </w:r>
      <w:r w:rsidR="000F0C7A" w:rsidRPr="005A11F9">
        <w:t>date</w:t>
      </w:r>
      <w:r w:rsidR="00381F4C" w:rsidRPr="005A11F9">
        <w:t>s</w:t>
      </w:r>
      <w:r w:rsidR="000F0C7A" w:rsidRPr="005A11F9">
        <w:t>.</w:t>
      </w:r>
      <w:r w:rsidR="00381F4C" w:rsidRPr="005A11F9">
        <w:t xml:space="preserve"> On August 25, 2017, the Settling Parties reached an agreement in principle for the settlement on some, but not all issues, and agreed that remaining issues may be litigated and provided notice of this agreement in principle to Administrative Law Judge Moss.</w:t>
      </w:r>
      <w:bookmarkStart w:id="3" w:name="Par_06"/>
    </w:p>
    <w:bookmarkEnd w:id="3"/>
    <w:p w:rsidR="0071688C" w:rsidRPr="005A11F9" w:rsidRDefault="00381F4C" w:rsidP="00121EC6">
      <w:pPr>
        <w:pStyle w:val="ListParagraph"/>
      </w:pPr>
      <w:r w:rsidRPr="005A11F9">
        <w:lastRenderedPageBreak/>
        <w:t xml:space="preserve">On August 30, 2017, the </w:t>
      </w:r>
      <w:r w:rsidR="0071688C" w:rsidRPr="005A11F9">
        <w:t xml:space="preserve">Commission conducted evidentiary hearings on </w:t>
      </w:r>
      <w:r w:rsidRPr="005A11F9">
        <w:t>the remaining issues not resolved in the agreement in principle among the Settling Parties</w:t>
      </w:r>
      <w:r w:rsidR="0071688C" w:rsidRPr="005A11F9">
        <w:t>. In addition,</w:t>
      </w:r>
      <w:r w:rsidRPr="005A11F9">
        <w:t xml:space="preserve"> </w:t>
      </w:r>
      <w:r w:rsidR="0071688C" w:rsidRPr="005A11F9">
        <w:t>the Commission conducted public comment hearings in PSE</w:t>
      </w:r>
      <w:r w:rsidRPr="005A11F9">
        <w:t>’</w:t>
      </w:r>
      <w:r w:rsidR="0071688C" w:rsidRPr="005A11F9">
        <w:t>s service territory on</w:t>
      </w:r>
      <w:r w:rsidR="005F6D7A" w:rsidRPr="005A11F9">
        <w:t xml:space="preserve"> July 31, 2017</w:t>
      </w:r>
      <w:r w:rsidR="0071688C" w:rsidRPr="005A11F9">
        <w:t xml:space="preserve">, and on </w:t>
      </w:r>
      <w:r w:rsidRPr="005A11F9">
        <w:t>August 31</w:t>
      </w:r>
      <w:r w:rsidR="0071688C" w:rsidRPr="005A11F9">
        <w:t>, 201</w:t>
      </w:r>
      <w:r w:rsidRPr="005A11F9">
        <w:t>7</w:t>
      </w:r>
      <w:r w:rsidR="0071688C" w:rsidRPr="005A11F9">
        <w:t xml:space="preserve">, during which </w:t>
      </w:r>
      <w:r w:rsidR="005F6D7A" w:rsidRPr="005A11F9">
        <w:t xml:space="preserve">the Commission </w:t>
      </w:r>
      <w:r w:rsidR="0071688C" w:rsidRPr="005A11F9">
        <w:t>received into the record</w:t>
      </w:r>
      <w:r w:rsidR="005F6D7A" w:rsidRPr="005A11F9">
        <w:t xml:space="preserve"> </w:t>
      </w:r>
      <w:r w:rsidR="0071688C" w:rsidRPr="005A11F9">
        <w:t>oral comments and exhibits from in</w:t>
      </w:r>
      <w:r w:rsidR="005F6D7A" w:rsidRPr="005A11F9">
        <w:t>terested members of the public.</w:t>
      </w:r>
    </w:p>
    <w:p w:rsidR="009F7F24" w:rsidRPr="00EE2D01" w:rsidRDefault="009F7F24" w:rsidP="00EE2D01">
      <w:pPr>
        <w:pStyle w:val="Heading1"/>
      </w:pPr>
      <w:r w:rsidRPr="00EE2D01">
        <w:t>III.</w:t>
      </w:r>
      <w:r w:rsidR="00EE2D01" w:rsidRPr="00EE2D01">
        <w:tab/>
      </w:r>
      <w:r w:rsidRPr="00EE2D01">
        <w:t>AGREEMENT</w:t>
      </w:r>
    </w:p>
    <w:p w:rsidR="00EE2D01" w:rsidRPr="00EE2D01" w:rsidRDefault="00EE2D01" w:rsidP="00EE2D01">
      <w:pPr>
        <w:pStyle w:val="Heading2"/>
      </w:pPr>
      <w:r w:rsidRPr="00EE2D01">
        <w:t>A.</w:t>
      </w:r>
      <w:r w:rsidRPr="00EE2D01">
        <w:tab/>
        <w:t>Capital Structure and Cost of Capital</w:t>
      </w:r>
    </w:p>
    <w:p w:rsidR="00EE2D01" w:rsidRDefault="00EE2D01" w:rsidP="00EE2D01">
      <w:pPr>
        <w:pStyle w:val="Heading3"/>
      </w:pPr>
      <w:r w:rsidRPr="00EE2D01">
        <w:t>1.</w:t>
      </w:r>
      <w:r w:rsidRPr="00EE2D01">
        <w:tab/>
        <w:t>Capital Structure</w:t>
      </w:r>
    </w:p>
    <w:p w:rsidR="00C21964" w:rsidRPr="005A11F9" w:rsidRDefault="00C21964" w:rsidP="00121EC6">
      <w:pPr>
        <w:pStyle w:val="ListParagraph"/>
      </w:pPr>
      <w:r w:rsidRPr="005A11F9">
        <w:t>The Settling Parties agree to a capital structure for PSE that includes 48.5 percent equity</w:t>
      </w:r>
      <w:r w:rsidR="0013147C">
        <w:t xml:space="preserve"> and</w:t>
      </w:r>
      <w:r w:rsidRPr="005A11F9">
        <w:t xml:space="preserve"> </w:t>
      </w:r>
      <w:r w:rsidR="0013147C" w:rsidRPr="005A11F9">
        <w:t>5</w:t>
      </w:r>
      <w:r w:rsidR="0013147C">
        <w:t>1</w:t>
      </w:r>
      <w:r w:rsidRPr="005A11F9">
        <w:t>.5 percent debt.</w:t>
      </w:r>
    </w:p>
    <w:p w:rsidR="00EE2D01" w:rsidRDefault="00EE2D01" w:rsidP="00EE2D01">
      <w:pPr>
        <w:pStyle w:val="Heading3"/>
      </w:pPr>
      <w:r w:rsidRPr="009F7F24">
        <w:t>2.</w:t>
      </w:r>
      <w:r>
        <w:tab/>
      </w:r>
      <w:r w:rsidRPr="009F7F24">
        <w:t>Cost of Equity</w:t>
      </w:r>
    </w:p>
    <w:p w:rsidR="0046460A" w:rsidRPr="005A11F9" w:rsidRDefault="0046460A" w:rsidP="00121EC6">
      <w:pPr>
        <w:pStyle w:val="ListParagraph"/>
      </w:pPr>
      <w:r w:rsidRPr="005A11F9">
        <w:t>The Settling Parties agree to an authorized return</w:t>
      </w:r>
      <w:r w:rsidR="00E23D37">
        <w:t xml:space="preserve"> on equity</w:t>
      </w:r>
      <w:r w:rsidRPr="005A11F9">
        <w:t xml:space="preserve"> for PSE of 9.50 percent.</w:t>
      </w:r>
    </w:p>
    <w:p w:rsidR="00EE2D01" w:rsidRDefault="00EE2D01" w:rsidP="00EE2D01">
      <w:pPr>
        <w:pStyle w:val="Heading3"/>
      </w:pPr>
      <w:r w:rsidRPr="009F7F24">
        <w:t>3.</w:t>
      </w:r>
      <w:r>
        <w:tab/>
      </w:r>
      <w:r w:rsidRPr="009F7F24">
        <w:t>Costs of Debt</w:t>
      </w:r>
    </w:p>
    <w:p w:rsidR="00F12D1E" w:rsidRPr="005A11F9" w:rsidRDefault="00F12D1E" w:rsidP="00121EC6">
      <w:pPr>
        <w:pStyle w:val="ListParagraph"/>
      </w:pPr>
      <w:r w:rsidRPr="005A11F9">
        <w:t xml:space="preserve">The Settling Parties agree to an authorized cost of debt for PSE of </w:t>
      </w:r>
      <w:r w:rsidR="00826CB0" w:rsidRPr="005A11F9">
        <w:t>5</w:t>
      </w:r>
      <w:r w:rsidRPr="005A11F9">
        <w:t>.</w:t>
      </w:r>
      <w:r w:rsidR="0013147C">
        <w:t>81</w:t>
      </w:r>
      <w:r w:rsidRPr="005A11F9">
        <w:t> percent.</w:t>
      </w:r>
    </w:p>
    <w:p w:rsidR="0046460A" w:rsidRDefault="0046460A" w:rsidP="0046460A">
      <w:pPr>
        <w:pStyle w:val="Heading3"/>
      </w:pPr>
      <w:r>
        <w:t>4</w:t>
      </w:r>
      <w:r w:rsidRPr="009F7F24">
        <w:t>.</w:t>
      </w:r>
      <w:r>
        <w:tab/>
      </w:r>
      <w:r w:rsidR="003C1CB6">
        <w:t xml:space="preserve">Authorized </w:t>
      </w:r>
      <w:r>
        <w:t>Rate of Return</w:t>
      </w:r>
    </w:p>
    <w:p w:rsidR="003C1CB6" w:rsidRDefault="003C1CB6" w:rsidP="00121EC6">
      <w:pPr>
        <w:pStyle w:val="ListParagraph"/>
      </w:pPr>
      <w:r>
        <w:t xml:space="preserve">The Settling Parties agree to an </w:t>
      </w:r>
      <w:r w:rsidR="00E23D37">
        <w:t xml:space="preserve">overall </w:t>
      </w:r>
      <w:r>
        <w:t xml:space="preserve">authorized rate of return for PSE of </w:t>
      </w:r>
      <w:r w:rsidR="00E6340C">
        <w:t>7</w:t>
      </w:r>
      <w:r>
        <w:t>.</w:t>
      </w:r>
      <w:r w:rsidR="00E6340C">
        <w:t>6</w:t>
      </w:r>
      <w:r>
        <w:t>0 </w:t>
      </w:r>
      <w:r w:rsidRPr="0046460A">
        <w:t>percent</w:t>
      </w:r>
      <w:r>
        <w:t>, as reflected in Table 1 below.</w:t>
      </w:r>
    </w:p>
    <w:p w:rsidR="00E6340C" w:rsidRPr="00E6340C" w:rsidRDefault="00E6340C" w:rsidP="002D745B">
      <w:pPr>
        <w:keepNext/>
        <w:keepLines/>
        <w:spacing w:after="120"/>
        <w:jc w:val="center"/>
        <w:rPr>
          <w:rFonts w:eastAsia="Times New Roman" w:cs="Times New Roman"/>
          <w:b/>
        </w:rPr>
      </w:pPr>
      <w:r w:rsidRPr="00E6340C">
        <w:rPr>
          <w:rFonts w:eastAsia="Times New Roman" w:cs="Times New Roman"/>
          <w:b/>
        </w:rPr>
        <w:t>Table 1. Authorized Rate of Return</w:t>
      </w:r>
    </w:p>
    <w:tbl>
      <w:tblPr>
        <w:tblStyle w:val="TableGrid"/>
        <w:tblW w:w="7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1523"/>
        <w:gridCol w:w="1523"/>
        <w:gridCol w:w="1523"/>
      </w:tblGrid>
      <w:tr w:rsidR="003C1CB6" w:rsidTr="00B05CDB">
        <w:trPr>
          <w:jc w:val="center"/>
        </w:trPr>
        <w:tc>
          <w:tcPr>
            <w:tcW w:w="2529" w:type="dxa"/>
            <w:tcBorders>
              <w:bottom w:val="single" w:sz="4" w:space="0" w:color="auto"/>
            </w:tcBorders>
          </w:tcPr>
          <w:p w:rsidR="003C1CB6" w:rsidRDefault="003C1CB6" w:rsidP="002D745B">
            <w:pPr>
              <w:keepNext/>
              <w:keepLines/>
              <w:spacing w:before="60" w:after="60"/>
              <w:rPr>
                <w:rFonts w:eastAsia="Times New Roman" w:cs="Times New Roman"/>
              </w:rPr>
            </w:pPr>
          </w:p>
        </w:tc>
        <w:tc>
          <w:tcPr>
            <w:tcW w:w="1523" w:type="dxa"/>
            <w:tcBorders>
              <w:bottom w:val="single" w:sz="4" w:space="0" w:color="auto"/>
            </w:tcBorders>
            <w:vAlign w:val="bottom"/>
          </w:tcPr>
          <w:p w:rsidR="003C1CB6" w:rsidRPr="00E6340C" w:rsidRDefault="00E6340C" w:rsidP="002D745B">
            <w:pPr>
              <w:keepNext/>
              <w:keepLines/>
              <w:spacing w:before="60" w:after="60"/>
              <w:jc w:val="center"/>
              <w:rPr>
                <w:rFonts w:eastAsia="Times New Roman" w:cs="Times New Roman"/>
                <w:b/>
              </w:rPr>
            </w:pPr>
            <w:r w:rsidRPr="00E6340C">
              <w:rPr>
                <w:rFonts w:eastAsia="Times New Roman" w:cs="Times New Roman"/>
                <w:b/>
              </w:rPr>
              <w:br/>
              <w:t>Capital</w:t>
            </w:r>
            <w:r w:rsidR="00FE1E75">
              <w:rPr>
                <w:rFonts w:eastAsia="Times New Roman" w:cs="Times New Roman"/>
                <w:b/>
              </w:rPr>
              <w:t xml:space="preserve"> Structure</w:t>
            </w:r>
          </w:p>
        </w:tc>
        <w:tc>
          <w:tcPr>
            <w:tcW w:w="1523" w:type="dxa"/>
            <w:tcBorders>
              <w:bottom w:val="single" w:sz="4" w:space="0" w:color="auto"/>
            </w:tcBorders>
            <w:vAlign w:val="bottom"/>
          </w:tcPr>
          <w:p w:rsidR="003C1CB6" w:rsidRPr="00E6340C" w:rsidRDefault="00E6340C" w:rsidP="002D745B">
            <w:pPr>
              <w:keepNext/>
              <w:keepLines/>
              <w:spacing w:before="60" w:after="60"/>
              <w:jc w:val="center"/>
              <w:rPr>
                <w:rFonts w:eastAsia="Times New Roman" w:cs="Times New Roman"/>
                <w:b/>
              </w:rPr>
            </w:pPr>
            <w:r>
              <w:rPr>
                <w:rFonts w:eastAsia="Times New Roman" w:cs="Times New Roman"/>
                <w:b/>
              </w:rPr>
              <w:t>Cost</w:t>
            </w:r>
          </w:p>
        </w:tc>
        <w:tc>
          <w:tcPr>
            <w:tcW w:w="1523" w:type="dxa"/>
            <w:tcBorders>
              <w:bottom w:val="single" w:sz="4" w:space="0" w:color="auto"/>
            </w:tcBorders>
            <w:vAlign w:val="bottom"/>
          </w:tcPr>
          <w:p w:rsidR="003C1CB6" w:rsidRPr="00E6340C" w:rsidRDefault="00E6340C" w:rsidP="002D745B">
            <w:pPr>
              <w:keepNext/>
              <w:keepLines/>
              <w:spacing w:before="60" w:after="60"/>
              <w:jc w:val="center"/>
              <w:rPr>
                <w:rFonts w:eastAsia="Times New Roman" w:cs="Times New Roman"/>
                <w:b/>
              </w:rPr>
            </w:pPr>
            <w:r>
              <w:rPr>
                <w:rFonts w:eastAsia="Times New Roman" w:cs="Times New Roman"/>
                <w:b/>
              </w:rPr>
              <w:t>Weighted</w:t>
            </w:r>
            <w:r w:rsidRPr="00E6340C">
              <w:rPr>
                <w:rFonts w:eastAsia="Times New Roman" w:cs="Times New Roman"/>
                <w:b/>
              </w:rPr>
              <w:br/>
            </w:r>
            <w:r>
              <w:rPr>
                <w:rFonts w:eastAsia="Times New Roman" w:cs="Times New Roman"/>
                <w:b/>
              </w:rPr>
              <w:t>Cost</w:t>
            </w:r>
          </w:p>
        </w:tc>
      </w:tr>
      <w:tr w:rsidR="003C1CB6" w:rsidTr="00E6340C">
        <w:trPr>
          <w:jc w:val="center"/>
        </w:trPr>
        <w:tc>
          <w:tcPr>
            <w:tcW w:w="2529" w:type="dxa"/>
            <w:tcBorders>
              <w:top w:val="single" w:sz="4" w:space="0" w:color="auto"/>
            </w:tcBorders>
          </w:tcPr>
          <w:p w:rsidR="003C1CB6" w:rsidRDefault="003C1CB6" w:rsidP="002D745B">
            <w:pPr>
              <w:keepNext/>
              <w:keepLines/>
              <w:spacing w:before="60" w:after="60"/>
              <w:rPr>
                <w:rFonts w:eastAsia="Times New Roman" w:cs="Times New Roman"/>
              </w:rPr>
            </w:pPr>
          </w:p>
        </w:tc>
        <w:tc>
          <w:tcPr>
            <w:tcW w:w="1523" w:type="dxa"/>
            <w:tcBorders>
              <w:top w:val="single" w:sz="4" w:space="0" w:color="auto"/>
            </w:tcBorders>
          </w:tcPr>
          <w:p w:rsidR="003C1CB6" w:rsidRDefault="003C1CB6" w:rsidP="002D745B">
            <w:pPr>
              <w:keepNext/>
              <w:keepLines/>
              <w:spacing w:before="60" w:after="60"/>
              <w:jc w:val="center"/>
              <w:rPr>
                <w:rFonts w:eastAsia="Times New Roman" w:cs="Times New Roman"/>
              </w:rPr>
            </w:pPr>
          </w:p>
        </w:tc>
        <w:tc>
          <w:tcPr>
            <w:tcW w:w="1523" w:type="dxa"/>
            <w:tcBorders>
              <w:top w:val="single" w:sz="4" w:space="0" w:color="auto"/>
            </w:tcBorders>
          </w:tcPr>
          <w:p w:rsidR="003C1CB6" w:rsidRDefault="003C1CB6" w:rsidP="002D745B">
            <w:pPr>
              <w:keepNext/>
              <w:keepLines/>
              <w:spacing w:before="60" w:after="60"/>
              <w:jc w:val="center"/>
              <w:rPr>
                <w:rFonts w:eastAsia="Times New Roman" w:cs="Times New Roman"/>
              </w:rPr>
            </w:pPr>
          </w:p>
        </w:tc>
        <w:tc>
          <w:tcPr>
            <w:tcW w:w="1523" w:type="dxa"/>
            <w:tcBorders>
              <w:top w:val="single" w:sz="4" w:space="0" w:color="auto"/>
            </w:tcBorders>
          </w:tcPr>
          <w:p w:rsidR="003C1CB6" w:rsidRDefault="003C1CB6" w:rsidP="002D745B">
            <w:pPr>
              <w:keepNext/>
              <w:keepLines/>
              <w:spacing w:before="60" w:after="60"/>
              <w:jc w:val="center"/>
              <w:rPr>
                <w:rFonts w:eastAsia="Times New Roman" w:cs="Times New Roman"/>
              </w:rPr>
            </w:pPr>
          </w:p>
        </w:tc>
      </w:tr>
      <w:tr w:rsidR="003C1CB6" w:rsidTr="00E6340C">
        <w:trPr>
          <w:jc w:val="center"/>
        </w:trPr>
        <w:tc>
          <w:tcPr>
            <w:tcW w:w="2529" w:type="dxa"/>
          </w:tcPr>
          <w:p w:rsidR="003C1CB6" w:rsidRDefault="003C1CB6" w:rsidP="002D745B">
            <w:pPr>
              <w:keepNext/>
              <w:keepLines/>
              <w:spacing w:before="60" w:after="60"/>
              <w:rPr>
                <w:rFonts w:eastAsia="Times New Roman" w:cs="Times New Roman"/>
              </w:rPr>
            </w:pPr>
            <w:r>
              <w:rPr>
                <w:rFonts w:eastAsia="Times New Roman" w:cs="Times New Roman"/>
              </w:rPr>
              <w:t>Debt</w:t>
            </w:r>
          </w:p>
        </w:tc>
        <w:tc>
          <w:tcPr>
            <w:tcW w:w="1523" w:type="dxa"/>
          </w:tcPr>
          <w:p w:rsidR="003C1CB6" w:rsidRDefault="0013147C" w:rsidP="002D745B">
            <w:pPr>
              <w:keepNext/>
              <w:keepLines/>
              <w:spacing w:before="60" w:after="60"/>
              <w:jc w:val="center"/>
              <w:rPr>
                <w:rFonts w:eastAsia="Times New Roman" w:cs="Times New Roman"/>
              </w:rPr>
            </w:pPr>
            <w:r>
              <w:rPr>
                <w:rFonts w:eastAsia="Times New Roman" w:cs="Times New Roman"/>
              </w:rPr>
              <w:t>51</w:t>
            </w:r>
            <w:r w:rsidR="003C1CB6">
              <w:rPr>
                <w:rFonts w:eastAsia="Times New Roman" w:cs="Times New Roman"/>
              </w:rPr>
              <w:t>.5</w:t>
            </w:r>
            <w:r w:rsidR="00B05CDB">
              <w:rPr>
                <w:rFonts w:eastAsia="Times New Roman" w:cs="Times New Roman"/>
              </w:rPr>
              <w:t>%</w:t>
            </w:r>
          </w:p>
        </w:tc>
        <w:tc>
          <w:tcPr>
            <w:tcW w:w="1523" w:type="dxa"/>
          </w:tcPr>
          <w:p w:rsidR="003C1CB6" w:rsidRDefault="00E6340C" w:rsidP="002D745B">
            <w:pPr>
              <w:keepNext/>
              <w:keepLines/>
              <w:spacing w:before="60" w:after="60"/>
              <w:jc w:val="center"/>
              <w:rPr>
                <w:rFonts w:eastAsia="Times New Roman" w:cs="Times New Roman"/>
              </w:rPr>
            </w:pPr>
            <w:r>
              <w:rPr>
                <w:rFonts w:eastAsia="Times New Roman" w:cs="Times New Roman"/>
              </w:rPr>
              <w:t>5.</w:t>
            </w:r>
            <w:r w:rsidR="0013147C">
              <w:rPr>
                <w:rFonts w:eastAsia="Times New Roman" w:cs="Times New Roman"/>
              </w:rPr>
              <w:t>81</w:t>
            </w:r>
            <w:r w:rsidR="00B05CDB">
              <w:rPr>
                <w:rFonts w:eastAsia="Times New Roman" w:cs="Times New Roman"/>
              </w:rPr>
              <w:t>%</w:t>
            </w:r>
          </w:p>
        </w:tc>
        <w:tc>
          <w:tcPr>
            <w:tcW w:w="1523" w:type="dxa"/>
          </w:tcPr>
          <w:p w:rsidR="003C1CB6" w:rsidRDefault="00E6340C" w:rsidP="002D745B">
            <w:pPr>
              <w:keepNext/>
              <w:keepLines/>
              <w:spacing w:before="60" w:after="60"/>
              <w:jc w:val="center"/>
              <w:rPr>
                <w:rFonts w:eastAsia="Times New Roman" w:cs="Times New Roman"/>
              </w:rPr>
            </w:pPr>
            <w:r>
              <w:rPr>
                <w:rFonts w:eastAsia="Times New Roman" w:cs="Times New Roman"/>
              </w:rPr>
              <w:t>2.</w:t>
            </w:r>
            <w:r w:rsidR="0013147C">
              <w:rPr>
                <w:rFonts w:eastAsia="Times New Roman" w:cs="Times New Roman"/>
              </w:rPr>
              <w:t>99</w:t>
            </w:r>
            <w:r w:rsidR="00B05CDB">
              <w:rPr>
                <w:rFonts w:eastAsia="Times New Roman" w:cs="Times New Roman"/>
              </w:rPr>
              <w:t>%</w:t>
            </w:r>
          </w:p>
        </w:tc>
      </w:tr>
      <w:tr w:rsidR="003C1CB6" w:rsidTr="00E6340C">
        <w:trPr>
          <w:jc w:val="center"/>
        </w:trPr>
        <w:tc>
          <w:tcPr>
            <w:tcW w:w="2529" w:type="dxa"/>
            <w:tcBorders>
              <w:bottom w:val="single" w:sz="4" w:space="0" w:color="auto"/>
            </w:tcBorders>
          </w:tcPr>
          <w:p w:rsidR="003C1CB6" w:rsidRDefault="003C1CB6" w:rsidP="002D745B">
            <w:pPr>
              <w:keepNext/>
              <w:keepLines/>
              <w:spacing w:before="60" w:after="60"/>
              <w:rPr>
                <w:rFonts w:eastAsia="Times New Roman" w:cs="Times New Roman"/>
              </w:rPr>
            </w:pPr>
            <w:r>
              <w:rPr>
                <w:rFonts w:eastAsia="Times New Roman" w:cs="Times New Roman"/>
              </w:rPr>
              <w:t>Equity</w:t>
            </w:r>
          </w:p>
        </w:tc>
        <w:tc>
          <w:tcPr>
            <w:tcW w:w="1523" w:type="dxa"/>
            <w:tcBorders>
              <w:bottom w:val="single" w:sz="4" w:space="0" w:color="auto"/>
            </w:tcBorders>
          </w:tcPr>
          <w:p w:rsidR="003C1CB6" w:rsidRDefault="003C1CB6" w:rsidP="002D745B">
            <w:pPr>
              <w:keepNext/>
              <w:keepLines/>
              <w:spacing w:before="60" w:after="60"/>
              <w:jc w:val="center"/>
              <w:rPr>
                <w:rFonts w:eastAsia="Times New Roman" w:cs="Times New Roman"/>
              </w:rPr>
            </w:pPr>
            <w:r>
              <w:rPr>
                <w:rFonts w:eastAsia="Times New Roman" w:cs="Times New Roman"/>
              </w:rPr>
              <w:t>48.5</w:t>
            </w:r>
            <w:r w:rsidR="00B05CDB">
              <w:rPr>
                <w:rFonts w:eastAsia="Times New Roman" w:cs="Times New Roman"/>
              </w:rPr>
              <w:t>%</w:t>
            </w:r>
          </w:p>
        </w:tc>
        <w:tc>
          <w:tcPr>
            <w:tcW w:w="1523" w:type="dxa"/>
            <w:tcBorders>
              <w:bottom w:val="single" w:sz="4" w:space="0" w:color="auto"/>
            </w:tcBorders>
          </w:tcPr>
          <w:p w:rsidR="003C1CB6" w:rsidRDefault="00E6340C" w:rsidP="002D745B">
            <w:pPr>
              <w:keepNext/>
              <w:keepLines/>
              <w:spacing w:before="60" w:after="60"/>
              <w:jc w:val="center"/>
              <w:rPr>
                <w:rFonts w:eastAsia="Times New Roman" w:cs="Times New Roman"/>
              </w:rPr>
            </w:pPr>
            <w:r>
              <w:rPr>
                <w:rFonts w:eastAsia="Times New Roman" w:cs="Times New Roman"/>
              </w:rPr>
              <w:t>9.50</w:t>
            </w:r>
            <w:r w:rsidR="00B05CDB">
              <w:rPr>
                <w:rFonts w:eastAsia="Times New Roman" w:cs="Times New Roman"/>
              </w:rPr>
              <w:t>%</w:t>
            </w:r>
          </w:p>
        </w:tc>
        <w:tc>
          <w:tcPr>
            <w:tcW w:w="1523" w:type="dxa"/>
            <w:tcBorders>
              <w:bottom w:val="single" w:sz="4" w:space="0" w:color="auto"/>
            </w:tcBorders>
          </w:tcPr>
          <w:p w:rsidR="003C1CB6" w:rsidRDefault="00E6340C" w:rsidP="002D745B">
            <w:pPr>
              <w:keepNext/>
              <w:keepLines/>
              <w:spacing w:before="60" w:after="60"/>
              <w:jc w:val="center"/>
              <w:rPr>
                <w:rFonts w:eastAsia="Times New Roman" w:cs="Times New Roman"/>
              </w:rPr>
            </w:pPr>
            <w:r>
              <w:rPr>
                <w:rFonts w:eastAsia="Times New Roman" w:cs="Times New Roman"/>
              </w:rPr>
              <w:t>4.61</w:t>
            </w:r>
            <w:r w:rsidR="00B05CDB">
              <w:rPr>
                <w:rFonts w:eastAsia="Times New Roman" w:cs="Times New Roman"/>
              </w:rPr>
              <w:t>%</w:t>
            </w:r>
          </w:p>
        </w:tc>
      </w:tr>
      <w:tr w:rsidR="003C1CB6" w:rsidTr="00E6340C">
        <w:trPr>
          <w:jc w:val="center"/>
        </w:trPr>
        <w:tc>
          <w:tcPr>
            <w:tcW w:w="2529" w:type="dxa"/>
            <w:tcBorders>
              <w:top w:val="single" w:sz="4" w:space="0" w:color="auto"/>
            </w:tcBorders>
          </w:tcPr>
          <w:p w:rsidR="003C1CB6" w:rsidRDefault="003C1CB6" w:rsidP="003C1CB6">
            <w:pPr>
              <w:spacing w:before="60" w:after="60"/>
              <w:rPr>
                <w:rFonts w:eastAsia="Times New Roman" w:cs="Times New Roman"/>
              </w:rPr>
            </w:pPr>
            <w:r>
              <w:rPr>
                <w:rFonts w:eastAsia="Times New Roman" w:cs="Times New Roman"/>
              </w:rPr>
              <w:t>Overall Rate of Return</w:t>
            </w:r>
          </w:p>
        </w:tc>
        <w:tc>
          <w:tcPr>
            <w:tcW w:w="1523" w:type="dxa"/>
            <w:tcBorders>
              <w:top w:val="single" w:sz="4" w:space="0" w:color="auto"/>
            </w:tcBorders>
          </w:tcPr>
          <w:p w:rsidR="003C1CB6" w:rsidRDefault="003C1CB6" w:rsidP="00E6340C">
            <w:pPr>
              <w:spacing w:before="60" w:after="60"/>
              <w:jc w:val="center"/>
              <w:rPr>
                <w:rFonts w:eastAsia="Times New Roman" w:cs="Times New Roman"/>
              </w:rPr>
            </w:pPr>
            <w:r>
              <w:rPr>
                <w:rFonts w:eastAsia="Times New Roman" w:cs="Times New Roman"/>
              </w:rPr>
              <w:t>100.0</w:t>
            </w:r>
            <w:r w:rsidR="00B05CDB">
              <w:rPr>
                <w:rFonts w:eastAsia="Times New Roman" w:cs="Times New Roman"/>
              </w:rPr>
              <w:t>%</w:t>
            </w:r>
          </w:p>
        </w:tc>
        <w:tc>
          <w:tcPr>
            <w:tcW w:w="1523" w:type="dxa"/>
            <w:tcBorders>
              <w:top w:val="single" w:sz="4" w:space="0" w:color="auto"/>
            </w:tcBorders>
          </w:tcPr>
          <w:p w:rsidR="003C1CB6" w:rsidRDefault="003C1CB6" w:rsidP="00E6340C">
            <w:pPr>
              <w:spacing w:before="60" w:after="60"/>
              <w:jc w:val="center"/>
              <w:rPr>
                <w:rFonts w:eastAsia="Times New Roman" w:cs="Times New Roman"/>
              </w:rPr>
            </w:pPr>
          </w:p>
        </w:tc>
        <w:tc>
          <w:tcPr>
            <w:tcW w:w="1523" w:type="dxa"/>
            <w:tcBorders>
              <w:top w:val="single" w:sz="4" w:space="0" w:color="auto"/>
            </w:tcBorders>
          </w:tcPr>
          <w:p w:rsidR="003C1CB6" w:rsidRDefault="00E6340C" w:rsidP="00E6340C">
            <w:pPr>
              <w:spacing w:before="60" w:after="60"/>
              <w:jc w:val="center"/>
              <w:rPr>
                <w:rFonts w:eastAsia="Times New Roman" w:cs="Times New Roman"/>
              </w:rPr>
            </w:pPr>
            <w:r>
              <w:rPr>
                <w:rFonts w:eastAsia="Times New Roman" w:cs="Times New Roman"/>
              </w:rPr>
              <w:t>7.60</w:t>
            </w:r>
            <w:r w:rsidR="00B05CDB">
              <w:rPr>
                <w:rFonts w:eastAsia="Times New Roman" w:cs="Times New Roman"/>
              </w:rPr>
              <w:t>%</w:t>
            </w:r>
          </w:p>
        </w:tc>
      </w:tr>
    </w:tbl>
    <w:p w:rsidR="00EE2D01" w:rsidRDefault="00EE2D01" w:rsidP="00E6340C">
      <w:pPr>
        <w:pStyle w:val="Heading2"/>
        <w:spacing w:before="360"/>
      </w:pPr>
      <w:r>
        <w:lastRenderedPageBreak/>
        <w:t>B</w:t>
      </w:r>
      <w:r w:rsidRPr="009F7F24">
        <w:t>.</w:t>
      </w:r>
      <w:r>
        <w:tab/>
      </w:r>
      <w:r w:rsidRPr="009F7F24">
        <w:t>Revenue, Expense and Rate Base Restating and Pro Forma Adjustments</w:t>
      </w:r>
    </w:p>
    <w:p w:rsidR="005F1756" w:rsidRPr="009F7F24" w:rsidRDefault="0013147C" w:rsidP="0013147C">
      <w:pPr>
        <w:pStyle w:val="ListParagraph"/>
      </w:pPr>
      <w:r w:rsidRPr="0013147C">
        <w:t>The Settling Parties agree to an overall electric revenue increase of $20</w:t>
      </w:r>
      <w:r>
        <w:t> </w:t>
      </w:r>
      <w:r w:rsidRPr="0013147C">
        <w:t xml:space="preserve">million (or </w:t>
      </w:r>
      <w:r w:rsidR="00D86330">
        <w:t>0.9</w:t>
      </w:r>
      <w:r>
        <w:t> </w:t>
      </w:r>
      <w:r w:rsidRPr="0013147C">
        <w:t>percent increase) and an overall natural gas revenue decrease of $35</w:t>
      </w:r>
      <w:r>
        <w:t> </w:t>
      </w:r>
      <w:r w:rsidRPr="0013147C">
        <w:t>million (or</w:t>
      </w:r>
      <w:r w:rsidR="00D86330">
        <w:t> 3</w:t>
      </w:r>
      <w:r w:rsidRPr="0013147C">
        <w:t>.</w:t>
      </w:r>
      <w:r w:rsidR="00D86330">
        <w:t>8</w:t>
      </w:r>
      <w:r>
        <w:t> </w:t>
      </w:r>
      <w:r w:rsidRPr="0013147C">
        <w:t>percent decrease).</w:t>
      </w:r>
      <w:r>
        <w:t xml:space="preserve"> </w:t>
      </w:r>
      <w:r w:rsidR="005F1756">
        <w:t xml:space="preserve">For purposes of this Section III.B, the Settling Parties used as a common base </w:t>
      </w:r>
      <w:r w:rsidR="00280FCF">
        <w:t>(i) </w:t>
      </w:r>
      <w:r w:rsidR="005F1756">
        <w:t>the Electric Result</w:t>
      </w:r>
      <w:r w:rsidR="002C3EFC">
        <w:t>s</w:t>
      </w:r>
      <w:r w:rsidR="005F1756">
        <w:t xml:space="preserve"> of Operations for the Twelve Months Ended September 30, 2016, </w:t>
      </w:r>
      <w:r w:rsidR="002C3EFC">
        <w:t xml:space="preserve">as </w:t>
      </w:r>
      <w:r w:rsidR="005F1756">
        <w:t>presented by Ms.</w:t>
      </w:r>
      <w:r w:rsidR="00FF53FF">
        <w:t> </w:t>
      </w:r>
      <w:r w:rsidR="005F1756">
        <w:t xml:space="preserve">Melissa </w:t>
      </w:r>
      <w:proofErr w:type="spellStart"/>
      <w:r w:rsidR="005F1756">
        <w:t>Che</w:t>
      </w:r>
      <w:r w:rsidR="008536C2">
        <w:t>es</w:t>
      </w:r>
      <w:r w:rsidR="005F1756">
        <w:t>man</w:t>
      </w:r>
      <w:proofErr w:type="spellEnd"/>
      <w:r w:rsidR="005F1756">
        <w:t xml:space="preserve"> in </w:t>
      </w:r>
      <w:proofErr w:type="spellStart"/>
      <w:r w:rsidR="005F1756">
        <w:t>Exh</w:t>
      </w:r>
      <w:proofErr w:type="spellEnd"/>
      <w:r w:rsidR="005F1756">
        <w:t>. MCC-2r</w:t>
      </w:r>
      <w:r w:rsidR="00280FCF">
        <w:t>, and (ii) </w:t>
      </w:r>
      <w:r w:rsidR="00280FCF" w:rsidRPr="00280FCF">
        <w:t>the Gas Result</w:t>
      </w:r>
      <w:r w:rsidR="002C3EFC">
        <w:t>s</w:t>
      </w:r>
      <w:r w:rsidR="00280FCF" w:rsidRPr="00280FCF">
        <w:t xml:space="preserve"> of Operations for the Twelve Months Ended September 30, 2016, </w:t>
      </w:r>
      <w:r w:rsidR="002C3EFC">
        <w:t xml:space="preserve">as </w:t>
      </w:r>
      <w:r w:rsidR="00280FCF" w:rsidRPr="00280FCF">
        <w:t>presented by Ms.</w:t>
      </w:r>
      <w:r w:rsidR="002C3EFC">
        <w:t> </w:t>
      </w:r>
      <w:r w:rsidR="00280FCF" w:rsidRPr="00280FCF">
        <w:t xml:space="preserve">Melissa </w:t>
      </w:r>
      <w:proofErr w:type="spellStart"/>
      <w:r w:rsidR="00280FCF" w:rsidRPr="00280FCF">
        <w:t>Cheesman</w:t>
      </w:r>
      <w:proofErr w:type="spellEnd"/>
      <w:r w:rsidR="00280FCF" w:rsidRPr="00280FCF">
        <w:t xml:space="preserve"> in </w:t>
      </w:r>
      <w:proofErr w:type="spellStart"/>
      <w:r w:rsidR="00280FCF" w:rsidRPr="00280FCF">
        <w:t>Exh</w:t>
      </w:r>
      <w:proofErr w:type="spellEnd"/>
      <w:r w:rsidR="00280FCF" w:rsidRPr="00280FCF">
        <w:t>. MCC-7r</w:t>
      </w:r>
      <w:r w:rsidR="005F1756">
        <w:t xml:space="preserve">. </w:t>
      </w:r>
      <w:r w:rsidR="00FF53FF">
        <w:t xml:space="preserve">All adjustment numbers and nomenclature in this Section III.B are identical to those presented in </w:t>
      </w:r>
      <w:proofErr w:type="spellStart"/>
      <w:r w:rsidR="00FF53FF">
        <w:t>Exh</w:t>
      </w:r>
      <w:proofErr w:type="spellEnd"/>
      <w:r w:rsidR="00FF53FF">
        <w:t>. MCC-2r</w:t>
      </w:r>
      <w:r w:rsidR="00280FCF">
        <w:t xml:space="preserve"> for electric operations and </w:t>
      </w:r>
      <w:proofErr w:type="spellStart"/>
      <w:r w:rsidR="00280FCF">
        <w:t>Exh</w:t>
      </w:r>
      <w:proofErr w:type="spellEnd"/>
      <w:r w:rsidR="00280FCF">
        <w:t>. MCC-7r</w:t>
      </w:r>
      <w:r w:rsidR="00280FCF" w:rsidRPr="00280FCF">
        <w:t xml:space="preserve"> </w:t>
      </w:r>
      <w:r w:rsidR="00280FCF">
        <w:t>for natural gas operations</w:t>
      </w:r>
      <w:r w:rsidR="00FF53FF">
        <w:t xml:space="preserve">. Additionally, the Settling Parties present a table of all </w:t>
      </w:r>
      <w:r w:rsidR="002C3EFC">
        <w:t xml:space="preserve">agreed-upon </w:t>
      </w:r>
      <w:r w:rsidR="00FF53FF">
        <w:t>r</w:t>
      </w:r>
      <w:r w:rsidR="00FF53FF" w:rsidRPr="009F7F24">
        <w:t xml:space="preserve">evenue, </w:t>
      </w:r>
      <w:r w:rsidR="00FF53FF">
        <w:t>e</w:t>
      </w:r>
      <w:r w:rsidR="00FF53FF" w:rsidRPr="009F7F24">
        <w:t xml:space="preserve">xpense and </w:t>
      </w:r>
      <w:r w:rsidR="00FF53FF">
        <w:t>r</w:t>
      </w:r>
      <w:r w:rsidR="00FF53FF" w:rsidRPr="009F7F24">
        <w:t xml:space="preserve">ate </w:t>
      </w:r>
      <w:r w:rsidR="00FF53FF">
        <w:t>b</w:t>
      </w:r>
      <w:r w:rsidR="00FF53FF" w:rsidRPr="009F7F24">
        <w:t xml:space="preserve">ase </w:t>
      </w:r>
      <w:r w:rsidR="00FF53FF">
        <w:t>r</w:t>
      </w:r>
      <w:r w:rsidR="00FF53FF" w:rsidRPr="009F7F24">
        <w:t xml:space="preserve">estating and </w:t>
      </w:r>
      <w:r w:rsidR="00FF53FF">
        <w:t>p</w:t>
      </w:r>
      <w:r w:rsidR="00FF53FF" w:rsidRPr="009F7F24">
        <w:t xml:space="preserve">ro </w:t>
      </w:r>
      <w:r w:rsidR="00FF53FF">
        <w:t>f</w:t>
      </w:r>
      <w:r w:rsidR="00FF53FF" w:rsidRPr="009F7F24">
        <w:t xml:space="preserve">orma </w:t>
      </w:r>
      <w:r w:rsidR="00FF53FF">
        <w:t>a</w:t>
      </w:r>
      <w:r w:rsidR="00FF53FF" w:rsidRPr="009F7F24">
        <w:t>djustments</w:t>
      </w:r>
      <w:r w:rsidR="00FF53FF">
        <w:t xml:space="preserve"> consistent with this Settlement as Exhibit A to this Settlement.</w:t>
      </w:r>
    </w:p>
    <w:p w:rsidR="00B05CDB" w:rsidRDefault="00E6340C" w:rsidP="00E6340C">
      <w:pPr>
        <w:pStyle w:val="Heading3"/>
      </w:pPr>
      <w:r>
        <w:t>1</w:t>
      </w:r>
      <w:r w:rsidRPr="009F7F24">
        <w:t>.</w:t>
      </w:r>
      <w:r>
        <w:tab/>
      </w:r>
      <w:r w:rsidR="00B05CDB" w:rsidRPr="00B05CDB">
        <w:t>Actual Results of Operations</w:t>
      </w:r>
    </w:p>
    <w:p w:rsidR="000D400B" w:rsidRDefault="000D400B" w:rsidP="000D400B">
      <w:pPr>
        <w:pStyle w:val="Heading4"/>
      </w:pPr>
      <w:r>
        <w:t>a</w:t>
      </w:r>
      <w:r w:rsidRPr="009F7F24">
        <w:t>.</w:t>
      </w:r>
      <w:r>
        <w:tab/>
      </w:r>
      <w:r w:rsidRPr="00B05CDB">
        <w:t>Actual Results of Operations</w:t>
      </w:r>
      <w:r>
        <w:t xml:space="preserve"> for Electric Operations</w:t>
      </w:r>
    </w:p>
    <w:p w:rsidR="00121EC6" w:rsidRDefault="002C3EFC" w:rsidP="00121EC6">
      <w:pPr>
        <w:pStyle w:val="ListParagraph"/>
      </w:pPr>
      <w:r>
        <w:t>The actual</w:t>
      </w:r>
      <w:r w:rsidR="00287B69">
        <w:t xml:space="preserve"> results of electric operations </w:t>
      </w:r>
      <w:r w:rsidR="00121EC6">
        <w:t xml:space="preserve">for the test year are uncontested and consist of </w:t>
      </w:r>
      <w:r w:rsidR="00287B69">
        <w:t xml:space="preserve">(i) net operating income of </w:t>
      </w:r>
      <w:r w:rsidR="00287B69" w:rsidRPr="00B05CDB">
        <w:t xml:space="preserve">$401,002,972 </w:t>
      </w:r>
      <w:r w:rsidR="00287B69">
        <w:t xml:space="preserve">and (ii) rate base of </w:t>
      </w:r>
      <w:r w:rsidR="00287B69" w:rsidRPr="00B05CDB">
        <w:t>$5,153,204,462.</w:t>
      </w:r>
      <w:r w:rsidR="00287B69" w:rsidRPr="00C14E9E">
        <w:t xml:space="preserve"> </w:t>
      </w:r>
      <w:r w:rsidR="00287B69">
        <w:t>(</w:t>
      </w:r>
      <w:r w:rsidR="00287B69" w:rsidRPr="00121EC6">
        <w:rPr>
          <w:i/>
        </w:rPr>
        <w:t>See</w:t>
      </w:r>
      <w:r w:rsidR="00121EC6" w:rsidRPr="00121EC6">
        <w:rPr>
          <w:i/>
        </w:rPr>
        <w:t>, e.g.,</w:t>
      </w:r>
      <w:r w:rsidR="00287B69">
        <w:t> </w:t>
      </w:r>
      <w:proofErr w:type="spellStart"/>
      <w:r w:rsidR="00287B69">
        <w:t>Cheesman</w:t>
      </w:r>
      <w:proofErr w:type="spellEnd"/>
      <w:r w:rsidR="00287B69">
        <w:t xml:space="preserve">, </w:t>
      </w:r>
      <w:proofErr w:type="spellStart"/>
      <w:r w:rsidR="00287B69">
        <w:t>Exh</w:t>
      </w:r>
      <w:proofErr w:type="spellEnd"/>
      <w:r w:rsidR="00287B69">
        <w:t>. MCC-2r at 2.)</w:t>
      </w:r>
    </w:p>
    <w:p w:rsidR="000D400B" w:rsidRDefault="000D400B" w:rsidP="000D400B">
      <w:pPr>
        <w:pStyle w:val="Heading4"/>
      </w:pPr>
      <w:r>
        <w:t>b</w:t>
      </w:r>
      <w:r w:rsidRPr="009F7F24">
        <w:t>.</w:t>
      </w:r>
      <w:r>
        <w:tab/>
      </w:r>
      <w:r w:rsidRPr="00B05CDB">
        <w:t>Actual Results of Operations</w:t>
      </w:r>
      <w:r>
        <w:t xml:space="preserve"> for Natural Gas Operations</w:t>
      </w:r>
    </w:p>
    <w:p w:rsidR="00280FCF" w:rsidRPr="009F7F24" w:rsidRDefault="002C3EFC" w:rsidP="00280FCF">
      <w:pPr>
        <w:pStyle w:val="ListParagraph"/>
      </w:pPr>
      <w:r>
        <w:t>The actual</w:t>
      </w:r>
      <w:r w:rsidR="00280FCF">
        <w:t xml:space="preserve"> results of natural gas operations </w:t>
      </w:r>
      <w:r>
        <w:t xml:space="preserve">for the test year </w:t>
      </w:r>
      <w:r w:rsidR="00280FCF">
        <w:t xml:space="preserve">are uncontested and consist of (i) net operating income of </w:t>
      </w:r>
      <w:r w:rsidR="00280FCF" w:rsidRPr="00B05CDB">
        <w:t>$</w:t>
      </w:r>
      <w:r w:rsidR="00280FCF">
        <w:t>119</w:t>
      </w:r>
      <w:r w:rsidR="00280FCF" w:rsidRPr="00B05CDB">
        <w:t>,</w:t>
      </w:r>
      <w:r w:rsidR="00280FCF">
        <w:t>145</w:t>
      </w:r>
      <w:r w:rsidR="00280FCF" w:rsidRPr="00B05CDB">
        <w:t>,</w:t>
      </w:r>
      <w:r w:rsidR="00280FCF">
        <w:t xml:space="preserve">769 and (ii) rate base of </w:t>
      </w:r>
      <w:r w:rsidR="00280FCF" w:rsidRPr="00B05CDB">
        <w:t>$</w:t>
      </w:r>
      <w:r w:rsidR="00280FCF">
        <w:t>1</w:t>
      </w:r>
      <w:r w:rsidR="00280FCF" w:rsidRPr="00B05CDB">
        <w:t>,</w:t>
      </w:r>
      <w:r w:rsidR="00280FCF">
        <w:t>727</w:t>
      </w:r>
      <w:r w:rsidR="00280FCF" w:rsidRPr="00B05CDB">
        <w:t>,</w:t>
      </w:r>
      <w:r w:rsidR="00280FCF">
        <w:t>319</w:t>
      </w:r>
      <w:r w:rsidR="00280FCF" w:rsidRPr="00B05CDB">
        <w:t>,</w:t>
      </w:r>
      <w:r w:rsidR="00280FCF">
        <w:t>760</w:t>
      </w:r>
      <w:r w:rsidR="00280FCF" w:rsidRPr="00B05CDB">
        <w:t>.</w:t>
      </w:r>
      <w:r w:rsidR="00280FCF" w:rsidRPr="00C14E9E">
        <w:t xml:space="preserve"> </w:t>
      </w:r>
      <w:r w:rsidR="00280FCF">
        <w:t>(</w:t>
      </w:r>
      <w:r w:rsidR="00280FCF" w:rsidRPr="009B66D0">
        <w:rPr>
          <w:i/>
        </w:rPr>
        <w:t>See</w:t>
      </w:r>
      <w:r w:rsidR="00280FCF">
        <w:rPr>
          <w:i/>
        </w:rPr>
        <w:t xml:space="preserve">, e.g., </w:t>
      </w:r>
      <w:proofErr w:type="spellStart"/>
      <w:r w:rsidR="00280FCF">
        <w:t>Cheesman</w:t>
      </w:r>
      <w:proofErr w:type="spellEnd"/>
      <w:r w:rsidR="00280FCF">
        <w:t xml:space="preserve">, </w:t>
      </w:r>
      <w:proofErr w:type="spellStart"/>
      <w:r w:rsidR="00280FCF">
        <w:t>Exh</w:t>
      </w:r>
      <w:proofErr w:type="spellEnd"/>
      <w:r w:rsidR="00280FCF">
        <w:t>. MCC-7r at 2.)</w:t>
      </w:r>
    </w:p>
    <w:p w:rsidR="00EE2D01" w:rsidRDefault="00E6340C" w:rsidP="00EE2D01">
      <w:pPr>
        <w:pStyle w:val="Heading3"/>
      </w:pPr>
      <w:r>
        <w:lastRenderedPageBreak/>
        <w:t>2</w:t>
      </w:r>
      <w:r w:rsidR="00EE2D01" w:rsidRPr="009F7F24">
        <w:t>.</w:t>
      </w:r>
      <w:r w:rsidR="00EE2D01">
        <w:tab/>
        <w:t>Common Adjustments</w:t>
      </w:r>
    </w:p>
    <w:p w:rsidR="00083A53" w:rsidRPr="007A518C" w:rsidRDefault="00083A53" w:rsidP="007A518C">
      <w:pPr>
        <w:pStyle w:val="Heading4"/>
      </w:pPr>
      <w:r w:rsidRPr="007A518C">
        <w:t>a.</w:t>
      </w:r>
      <w:r w:rsidRPr="007A518C">
        <w:tab/>
      </w:r>
      <w:r w:rsidR="00280FCF" w:rsidRPr="007A518C">
        <w:t>Revenues and Expenses</w:t>
      </w:r>
    </w:p>
    <w:p w:rsidR="000D400B" w:rsidRPr="000D400B" w:rsidRDefault="000D400B" w:rsidP="000D400B">
      <w:pPr>
        <w:pStyle w:val="Heading5"/>
      </w:pPr>
      <w:r w:rsidRPr="000D400B">
        <w:t>i.</w:t>
      </w:r>
      <w:r w:rsidRPr="000D400B">
        <w:tab/>
        <w:t xml:space="preserve">Adjustment No. 13.01 – Revenues and Expenses </w:t>
      </w:r>
      <w:r>
        <w:t>(Electric)</w:t>
      </w:r>
    </w:p>
    <w:p w:rsidR="009B66D0" w:rsidRDefault="009B66D0" w:rsidP="00121EC6">
      <w:pPr>
        <w:pStyle w:val="ListParagraph"/>
      </w:pPr>
      <w:r>
        <w:t xml:space="preserve">Adjustment </w:t>
      </w:r>
      <w:r w:rsidRPr="007A518C">
        <w:t>No.</w:t>
      </w:r>
      <w:r>
        <w:t> 13</w:t>
      </w:r>
      <w:r w:rsidRPr="007A518C">
        <w:t>.01</w:t>
      </w:r>
      <w:r>
        <w:t> – </w:t>
      </w:r>
      <w:r w:rsidRPr="007A518C">
        <w:t>Revenues and Expenses</w:t>
      </w:r>
      <w:r>
        <w:t xml:space="preserve"> </w:t>
      </w:r>
      <w:r w:rsidR="00121EC6">
        <w:t>is</w:t>
      </w:r>
      <w:r w:rsidR="00176AA6">
        <w:t xml:space="preserve"> uncontested </w:t>
      </w:r>
      <w:r w:rsidR="00121EC6">
        <w:t>and</w:t>
      </w:r>
      <w:r w:rsidR="00C14E9E">
        <w:t xml:space="preserve"> </w:t>
      </w:r>
      <w:r w:rsidRPr="00B05CDB">
        <w:t>decreases net operating income for electric operations</w:t>
      </w:r>
      <w:r>
        <w:t xml:space="preserve"> </w:t>
      </w:r>
      <w:r w:rsidRPr="00B05CDB">
        <w:t>by $29,139,114.</w:t>
      </w:r>
      <w:r w:rsidR="00C14E9E" w:rsidRPr="00C14E9E">
        <w:t xml:space="preserve"> </w:t>
      </w:r>
      <w:r w:rsidR="00C14E9E">
        <w:t>(</w:t>
      </w:r>
      <w:r w:rsidR="00C14E9E" w:rsidRPr="009B66D0">
        <w:rPr>
          <w:i/>
        </w:rPr>
        <w:t>See</w:t>
      </w:r>
      <w:r w:rsidR="00121EC6">
        <w:rPr>
          <w:i/>
        </w:rPr>
        <w:t>, e.g.,</w:t>
      </w:r>
      <w:r w:rsidR="00121EC6">
        <w:t> </w:t>
      </w:r>
      <w:proofErr w:type="spellStart"/>
      <w:r w:rsidR="00C14E9E">
        <w:t>Cheesman</w:t>
      </w:r>
      <w:proofErr w:type="spellEnd"/>
      <w:r w:rsidR="00C14E9E">
        <w:t xml:space="preserve">, </w:t>
      </w:r>
      <w:proofErr w:type="spellStart"/>
      <w:r w:rsidR="00C14E9E">
        <w:t>Exh</w:t>
      </w:r>
      <w:proofErr w:type="spellEnd"/>
      <w:r w:rsidR="00C14E9E">
        <w:t>. MCC-2r at 2.)</w:t>
      </w:r>
    </w:p>
    <w:p w:rsidR="000D400B" w:rsidRPr="000D400B" w:rsidRDefault="000D400B" w:rsidP="000D400B">
      <w:pPr>
        <w:pStyle w:val="Heading5"/>
      </w:pPr>
      <w:r>
        <w:t>i</w:t>
      </w:r>
      <w:r w:rsidRPr="000D400B">
        <w:t>i.</w:t>
      </w:r>
      <w:r w:rsidRPr="000D400B">
        <w:tab/>
      </w:r>
      <w:r>
        <w:t xml:space="preserve">Adjustment </w:t>
      </w:r>
      <w:r w:rsidRPr="007A518C">
        <w:t>No.</w:t>
      </w:r>
      <w:r>
        <w:t> 11</w:t>
      </w:r>
      <w:r w:rsidRPr="007A518C">
        <w:t>.01</w:t>
      </w:r>
      <w:r>
        <w:t> – </w:t>
      </w:r>
      <w:r w:rsidRPr="007A518C">
        <w:t>Revenues and Expenses</w:t>
      </w:r>
      <w:r>
        <w:t xml:space="preserve"> (Natural Gas)</w:t>
      </w:r>
    </w:p>
    <w:p w:rsidR="00280FCF" w:rsidRDefault="00280FCF" w:rsidP="00280FCF">
      <w:pPr>
        <w:pStyle w:val="ListParagraph"/>
      </w:pPr>
      <w:r>
        <w:t xml:space="preserve">Adjustment </w:t>
      </w:r>
      <w:r w:rsidRPr="007A518C">
        <w:t>No.</w:t>
      </w:r>
      <w:r>
        <w:t> 11</w:t>
      </w:r>
      <w:r w:rsidRPr="007A518C">
        <w:t>.01</w:t>
      </w:r>
      <w:r>
        <w:t> – </w:t>
      </w:r>
      <w:r w:rsidRPr="007A518C">
        <w:t>Revenues and Expenses</w:t>
      </w:r>
      <w:r>
        <w:t xml:space="preserve"> is uncontested and </w:t>
      </w:r>
      <w:r w:rsidRPr="00B05CDB">
        <w:t xml:space="preserve">decreases net operating income for </w:t>
      </w:r>
      <w:r>
        <w:t xml:space="preserve">natural gas </w:t>
      </w:r>
      <w:r w:rsidRPr="00B05CDB">
        <w:t>operations</w:t>
      </w:r>
      <w:r>
        <w:t xml:space="preserve"> </w:t>
      </w:r>
      <w:r w:rsidRPr="00B05CDB">
        <w:t>by $</w:t>
      </w:r>
      <w:r>
        <w:t>32</w:t>
      </w:r>
      <w:r w:rsidRPr="00B05CDB">
        <w:t>,</w:t>
      </w:r>
      <w:r>
        <w:t>674</w:t>
      </w:r>
      <w:r w:rsidRPr="00B05CDB">
        <w:t>,</w:t>
      </w:r>
      <w:r>
        <w:t>131</w:t>
      </w:r>
      <w:r w:rsidRPr="00B05CDB">
        <w:t>.</w:t>
      </w:r>
      <w:r w:rsidRPr="00C14E9E">
        <w:t xml:space="preserve"> </w:t>
      </w:r>
      <w:r>
        <w:t>(</w:t>
      </w:r>
      <w:r w:rsidRPr="009B66D0">
        <w:rPr>
          <w:i/>
        </w:rPr>
        <w:t>See</w:t>
      </w:r>
      <w:r>
        <w:rPr>
          <w:i/>
        </w:rPr>
        <w:t>, e.g.,</w:t>
      </w:r>
      <w:r>
        <w:t xml:space="preserve"> </w:t>
      </w:r>
      <w:proofErr w:type="spellStart"/>
      <w:r>
        <w:t>Cheesman</w:t>
      </w:r>
      <w:proofErr w:type="spellEnd"/>
      <w:r>
        <w:t xml:space="preserve">, </w:t>
      </w:r>
      <w:proofErr w:type="spellStart"/>
      <w:r>
        <w:t>Exh</w:t>
      </w:r>
      <w:proofErr w:type="spellEnd"/>
      <w:r>
        <w:t>. MCC-7r at 2.)</w:t>
      </w:r>
    </w:p>
    <w:p w:rsidR="00083A53" w:rsidRPr="007A518C" w:rsidRDefault="007A518C" w:rsidP="007A518C">
      <w:pPr>
        <w:pStyle w:val="Heading4"/>
      </w:pPr>
      <w:r>
        <w:t>b</w:t>
      </w:r>
      <w:r w:rsidRPr="007A518C">
        <w:t>.</w:t>
      </w:r>
      <w:r w:rsidRPr="007A518C">
        <w:tab/>
      </w:r>
      <w:r w:rsidRPr="00083A53">
        <w:rPr>
          <w:rFonts w:eastAsia="Times New Roman"/>
        </w:rPr>
        <w:t xml:space="preserve">Temperature </w:t>
      </w:r>
      <w:r>
        <w:rPr>
          <w:rFonts w:eastAsia="Times New Roman"/>
        </w:rPr>
        <w:t>N</w:t>
      </w:r>
      <w:r w:rsidRPr="00083A53">
        <w:rPr>
          <w:rFonts w:eastAsia="Times New Roman"/>
        </w:rPr>
        <w:t>ormalization</w:t>
      </w:r>
    </w:p>
    <w:p w:rsidR="000D400B" w:rsidRPr="000D400B" w:rsidRDefault="000D400B" w:rsidP="000D400B">
      <w:pPr>
        <w:pStyle w:val="Heading5"/>
      </w:pPr>
      <w:r w:rsidRPr="000D400B">
        <w:t>i.</w:t>
      </w:r>
      <w:r w:rsidRPr="000D400B">
        <w:tab/>
      </w:r>
      <w:r w:rsidRPr="007A518C">
        <w:t>Adjustment No.</w:t>
      </w:r>
      <w:r>
        <w:t> 13</w:t>
      </w:r>
      <w:r w:rsidRPr="007A518C">
        <w:t>.0</w:t>
      </w:r>
      <w:r>
        <w:t>2 – </w:t>
      </w:r>
      <w:r w:rsidRPr="00083A53">
        <w:rPr>
          <w:rFonts w:eastAsia="Times New Roman"/>
        </w:rPr>
        <w:t xml:space="preserve">Temperature </w:t>
      </w:r>
      <w:r>
        <w:rPr>
          <w:rFonts w:eastAsia="Times New Roman"/>
        </w:rPr>
        <w:t>N</w:t>
      </w:r>
      <w:r w:rsidRPr="00083A53">
        <w:rPr>
          <w:rFonts w:eastAsia="Times New Roman"/>
        </w:rPr>
        <w:t>ormalization</w:t>
      </w:r>
      <w:r>
        <w:rPr>
          <w:rFonts w:eastAsia="Times New Roman"/>
        </w:rPr>
        <w:t xml:space="preserve"> (Electric)</w:t>
      </w:r>
    </w:p>
    <w:p w:rsidR="00480A66" w:rsidRDefault="00480A66" w:rsidP="00D87954">
      <w:pPr>
        <w:pStyle w:val="ListParagraph"/>
      </w:pPr>
      <w:r>
        <w:t xml:space="preserve">The Settling Parties </w:t>
      </w:r>
      <w:r w:rsidR="00D87954">
        <w:t>accept, for purpose of settlement,</w:t>
      </w:r>
      <w:r>
        <w:t xml:space="preserve"> Adjustment </w:t>
      </w:r>
      <w:r w:rsidRPr="007A518C">
        <w:t>No.</w:t>
      </w:r>
      <w:r>
        <w:t> 13</w:t>
      </w:r>
      <w:r w:rsidRPr="007A518C">
        <w:t>.0</w:t>
      </w:r>
      <w:r>
        <w:t>2 – </w:t>
      </w:r>
      <w:r w:rsidRPr="00083A53">
        <w:t xml:space="preserve">Temperature </w:t>
      </w:r>
      <w:r>
        <w:t>N</w:t>
      </w:r>
      <w:r w:rsidRPr="00083A53">
        <w:t>ormalization</w:t>
      </w:r>
      <w:r>
        <w:t xml:space="preserve"> proposed by PSE</w:t>
      </w:r>
      <w:r w:rsidR="00C14E9E">
        <w:t xml:space="preserve">, which increases </w:t>
      </w:r>
      <w:r w:rsidR="00C14E9E" w:rsidRPr="00B05CDB">
        <w:t>net operating income for electric operations</w:t>
      </w:r>
      <w:r w:rsidR="00C14E9E">
        <w:t xml:space="preserve"> </w:t>
      </w:r>
      <w:r w:rsidR="00C14E9E" w:rsidRPr="00B05CDB">
        <w:t>by $</w:t>
      </w:r>
      <w:r w:rsidR="00C14E9E">
        <w:t>17</w:t>
      </w:r>
      <w:r w:rsidR="00C14E9E" w:rsidRPr="00B05CDB">
        <w:t>,</w:t>
      </w:r>
      <w:r w:rsidR="00C14E9E">
        <w:t>527</w:t>
      </w:r>
      <w:r w:rsidR="00C14E9E" w:rsidRPr="00B05CDB">
        <w:t>,</w:t>
      </w:r>
      <w:r w:rsidR="00C14E9E">
        <w:t>344</w:t>
      </w:r>
      <w:r w:rsidR="00C14E9E" w:rsidRPr="00B05CDB">
        <w:t>.</w:t>
      </w:r>
      <w:r>
        <w:t xml:space="preserve"> (</w:t>
      </w:r>
      <w:r w:rsidRPr="009B66D0">
        <w:rPr>
          <w:i/>
        </w:rPr>
        <w:t>See</w:t>
      </w:r>
      <w:r>
        <w:t xml:space="preserve"> Barnard, </w:t>
      </w:r>
      <w:proofErr w:type="spellStart"/>
      <w:r>
        <w:t>Exh</w:t>
      </w:r>
      <w:proofErr w:type="spellEnd"/>
      <w:r>
        <w:t xml:space="preserve">. KJB-19 at 2 (labeled therein as “Adjustment </w:t>
      </w:r>
      <w:r w:rsidRPr="007A518C">
        <w:t>No.</w:t>
      </w:r>
      <w:r>
        <w:t> 20</w:t>
      </w:r>
      <w:r w:rsidRPr="007A518C">
        <w:t>.0</w:t>
      </w:r>
      <w:r>
        <w:t>2 – </w:t>
      </w:r>
      <w:r w:rsidRPr="00083A53">
        <w:t xml:space="preserve">Temperature </w:t>
      </w:r>
      <w:r>
        <w:t>N</w:t>
      </w:r>
      <w:r w:rsidRPr="00083A53">
        <w:t>ormalization</w:t>
      </w:r>
      <w:r>
        <w:t xml:space="preserve">”).) </w:t>
      </w:r>
      <w:r w:rsidR="00D87954" w:rsidRPr="00D87954">
        <w:t>The Settling Parties do not agree to any methodology for temperature normalization going forward and expressly reserve the right to address similar modifications in subsequent proceedings.</w:t>
      </w:r>
    </w:p>
    <w:p w:rsidR="000D400B" w:rsidRPr="000D400B" w:rsidRDefault="000D400B" w:rsidP="000D400B">
      <w:pPr>
        <w:pStyle w:val="Heading5"/>
      </w:pPr>
      <w:r w:rsidRPr="000D400B">
        <w:t>i</w:t>
      </w:r>
      <w:r>
        <w:t>i</w:t>
      </w:r>
      <w:r w:rsidRPr="000D400B">
        <w:t>.</w:t>
      </w:r>
      <w:r w:rsidRPr="000D400B">
        <w:tab/>
      </w:r>
      <w:r w:rsidRPr="007A518C">
        <w:t>Adjustment No.</w:t>
      </w:r>
      <w:r>
        <w:t> 11</w:t>
      </w:r>
      <w:r w:rsidRPr="007A518C">
        <w:t>.0</w:t>
      </w:r>
      <w:r>
        <w:t>2 – </w:t>
      </w:r>
      <w:r w:rsidRPr="00083A53">
        <w:rPr>
          <w:rFonts w:eastAsia="Times New Roman"/>
        </w:rPr>
        <w:t xml:space="preserve">Temperature </w:t>
      </w:r>
      <w:r>
        <w:rPr>
          <w:rFonts w:eastAsia="Times New Roman"/>
        </w:rPr>
        <w:t>N</w:t>
      </w:r>
      <w:r w:rsidRPr="00083A53">
        <w:rPr>
          <w:rFonts w:eastAsia="Times New Roman"/>
        </w:rPr>
        <w:t>ormalization</w:t>
      </w:r>
      <w:r>
        <w:rPr>
          <w:rFonts w:eastAsia="Times New Roman"/>
        </w:rPr>
        <w:t xml:space="preserve"> (Natural Gas)</w:t>
      </w:r>
    </w:p>
    <w:p w:rsidR="00280FCF" w:rsidRDefault="00280FCF" w:rsidP="00D8148E">
      <w:pPr>
        <w:pStyle w:val="ListParagraph"/>
      </w:pPr>
      <w:r>
        <w:t xml:space="preserve">The Settling Parties </w:t>
      </w:r>
      <w:r w:rsidR="00D87954">
        <w:t>accept</w:t>
      </w:r>
      <w:r w:rsidR="00D8148E">
        <w:t>,</w:t>
      </w:r>
      <w:r w:rsidR="00D87954">
        <w:t xml:space="preserve"> for </w:t>
      </w:r>
      <w:r w:rsidR="00D8148E">
        <w:t>purposes of settlement,</w:t>
      </w:r>
      <w:r>
        <w:t xml:space="preserve"> Adjustment </w:t>
      </w:r>
      <w:r w:rsidRPr="007A518C">
        <w:t>No.</w:t>
      </w:r>
      <w:r>
        <w:t> 11</w:t>
      </w:r>
      <w:r w:rsidRPr="007A518C">
        <w:t>.0</w:t>
      </w:r>
      <w:r>
        <w:t>2 – </w:t>
      </w:r>
      <w:r w:rsidRPr="00083A53">
        <w:t xml:space="preserve">Temperature </w:t>
      </w:r>
      <w:r>
        <w:t>N</w:t>
      </w:r>
      <w:r w:rsidRPr="00083A53">
        <w:t>ormalization</w:t>
      </w:r>
      <w:r>
        <w:t xml:space="preserve"> proposed by PSE, which increases </w:t>
      </w:r>
      <w:r w:rsidRPr="00B05CDB">
        <w:t xml:space="preserve">net operating income for </w:t>
      </w:r>
      <w:r>
        <w:t xml:space="preserve">natural gas </w:t>
      </w:r>
      <w:r w:rsidRPr="00B05CDB">
        <w:t>operations</w:t>
      </w:r>
      <w:r>
        <w:t xml:space="preserve"> </w:t>
      </w:r>
      <w:r w:rsidRPr="00B05CDB">
        <w:t>by $</w:t>
      </w:r>
      <w:r>
        <w:t>16</w:t>
      </w:r>
      <w:r w:rsidRPr="00B05CDB">
        <w:t>,</w:t>
      </w:r>
      <w:r>
        <w:t>046</w:t>
      </w:r>
      <w:r w:rsidRPr="00B05CDB">
        <w:t>,</w:t>
      </w:r>
      <w:r>
        <w:t>445</w:t>
      </w:r>
      <w:r w:rsidRPr="00B05CDB">
        <w:t>.</w:t>
      </w:r>
      <w:r>
        <w:t xml:space="preserve"> (</w:t>
      </w:r>
      <w:r w:rsidRPr="009B66D0">
        <w:rPr>
          <w:i/>
        </w:rPr>
        <w:t>See</w:t>
      </w:r>
      <w:r>
        <w:t xml:space="preserve"> Free, </w:t>
      </w:r>
      <w:proofErr w:type="spellStart"/>
      <w:r>
        <w:t>Exh</w:t>
      </w:r>
      <w:proofErr w:type="spellEnd"/>
      <w:r>
        <w:t>. SEF-14 at 2 (labeled therein as “Adjustment No. 15</w:t>
      </w:r>
      <w:r w:rsidRPr="007A518C">
        <w:t>.0</w:t>
      </w:r>
      <w:r>
        <w:t>2 – </w:t>
      </w:r>
      <w:r w:rsidRPr="00083A53">
        <w:t xml:space="preserve">Temperature </w:t>
      </w:r>
      <w:r>
        <w:t>N</w:t>
      </w:r>
      <w:r w:rsidRPr="00083A53">
        <w:t>ormalization</w:t>
      </w:r>
      <w:r>
        <w:t>”).)</w:t>
      </w:r>
      <w:r w:rsidR="00D8148E" w:rsidRPr="00D8148E">
        <w:t xml:space="preserve"> The Settling Parties do not agree to any </w:t>
      </w:r>
      <w:r w:rsidR="00D8148E" w:rsidRPr="00D8148E">
        <w:lastRenderedPageBreak/>
        <w:t>methodology for temperature normalization going forward and expressly reserve the right to address similar modifications in subsequent proceedings.</w:t>
      </w:r>
    </w:p>
    <w:p w:rsidR="00083A53" w:rsidRPr="007A518C" w:rsidRDefault="007A518C" w:rsidP="007A518C">
      <w:pPr>
        <w:pStyle w:val="Heading4"/>
      </w:pPr>
      <w:r>
        <w:t>c</w:t>
      </w:r>
      <w:r w:rsidRPr="007A518C">
        <w:t>.</w:t>
      </w:r>
      <w:r w:rsidRPr="007A518C">
        <w:tab/>
      </w:r>
      <w:r w:rsidR="000D400B" w:rsidRPr="00083A53">
        <w:rPr>
          <w:rFonts w:eastAsia="Times New Roman"/>
        </w:rPr>
        <w:t>Pass-</w:t>
      </w:r>
      <w:r w:rsidR="000D400B">
        <w:rPr>
          <w:rFonts w:eastAsia="Times New Roman"/>
        </w:rPr>
        <w:t>T</w:t>
      </w:r>
      <w:r w:rsidR="000D400B" w:rsidRPr="00083A53">
        <w:rPr>
          <w:rFonts w:eastAsia="Times New Roman"/>
        </w:rPr>
        <w:t xml:space="preserve">hrough </w:t>
      </w:r>
      <w:r w:rsidR="000D400B">
        <w:rPr>
          <w:rFonts w:eastAsia="Times New Roman"/>
        </w:rPr>
        <w:t>R</w:t>
      </w:r>
      <w:r w:rsidR="000D400B" w:rsidRPr="00083A53">
        <w:rPr>
          <w:rFonts w:eastAsia="Times New Roman"/>
        </w:rPr>
        <w:t xml:space="preserve">evenues and </w:t>
      </w:r>
      <w:r w:rsidR="000D400B">
        <w:rPr>
          <w:rFonts w:eastAsia="Times New Roman"/>
        </w:rPr>
        <w:t>E</w:t>
      </w:r>
      <w:r w:rsidR="000D400B" w:rsidRPr="00083A53">
        <w:rPr>
          <w:rFonts w:eastAsia="Times New Roman"/>
        </w:rPr>
        <w:t>xpenses</w:t>
      </w:r>
    </w:p>
    <w:p w:rsidR="000D400B" w:rsidRPr="000D400B" w:rsidRDefault="000D400B" w:rsidP="000D400B">
      <w:pPr>
        <w:pStyle w:val="Heading5"/>
      </w:pPr>
      <w:r>
        <w:t>i</w:t>
      </w:r>
      <w:r w:rsidRPr="000D400B">
        <w:t>.</w:t>
      </w:r>
      <w:r w:rsidRPr="000D400B">
        <w:tab/>
      </w:r>
      <w:r w:rsidRPr="007A518C">
        <w:t>Adjustment No.</w:t>
      </w:r>
      <w:r>
        <w:t> 13</w:t>
      </w:r>
      <w:r w:rsidRPr="007A518C">
        <w:t>.0</w:t>
      </w:r>
      <w:r>
        <w:t>3 – </w:t>
      </w:r>
      <w:r w:rsidRPr="00083A53">
        <w:rPr>
          <w:rFonts w:eastAsia="Times New Roman"/>
        </w:rPr>
        <w:t>Pass-</w:t>
      </w:r>
      <w:r>
        <w:rPr>
          <w:rFonts w:eastAsia="Times New Roman"/>
        </w:rPr>
        <w:t>T</w:t>
      </w:r>
      <w:r w:rsidRPr="00083A53">
        <w:rPr>
          <w:rFonts w:eastAsia="Times New Roman"/>
        </w:rPr>
        <w:t xml:space="preserve">hrough </w:t>
      </w:r>
      <w:r>
        <w:rPr>
          <w:rFonts w:eastAsia="Times New Roman"/>
        </w:rPr>
        <w:t>R</w:t>
      </w:r>
      <w:r w:rsidRPr="00083A53">
        <w:rPr>
          <w:rFonts w:eastAsia="Times New Roman"/>
        </w:rPr>
        <w:t xml:space="preserve">evenues and </w:t>
      </w:r>
      <w:r>
        <w:rPr>
          <w:rFonts w:eastAsia="Times New Roman"/>
        </w:rPr>
        <w:t>E</w:t>
      </w:r>
      <w:r w:rsidRPr="00083A53">
        <w:rPr>
          <w:rFonts w:eastAsia="Times New Roman"/>
        </w:rPr>
        <w:t>xpenses</w:t>
      </w:r>
      <w:r>
        <w:rPr>
          <w:rFonts w:eastAsia="Times New Roman"/>
        </w:rPr>
        <w:t xml:space="preserve"> (Electric)</w:t>
      </w:r>
    </w:p>
    <w:p w:rsidR="00F5160A" w:rsidRPr="009F7F24" w:rsidRDefault="00566D6E" w:rsidP="00121EC6">
      <w:pPr>
        <w:pStyle w:val="ListParagraph"/>
      </w:pPr>
      <w:r>
        <w:t xml:space="preserve">Adjustment </w:t>
      </w:r>
      <w:r w:rsidR="008C4FCB" w:rsidRPr="007A518C">
        <w:t>No.</w:t>
      </w:r>
      <w:r w:rsidR="008C4FCB">
        <w:t> 13</w:t>
      </w:r>
      <w:r w:rsidR="008C4FCB" w:rsidRPr="007A518C">
        <w:t>.0</w:t>
      </w:r>
      <w:r w:rsidR="008C4FCB">
        <w:t>3 – </w:t>
      </w:r>
      <w:r w:rsidR="008C4FCB" w:rsidRPr="00083A53">
        <w:t>Pass-</w:t>
      </w:r>
      <w:r w:rsidR="008C4FCB">
        <w:t>T</w:t>
      </w:r>
      <w:r w:rsidR="008C4FCB" w:rsidRPr="00083A53">
        <w:t xml:space="preserve">hrough </w:t>
      </w:r>
      <w:r w:rsidR="008C4FCB">
        <w:t>R</w:t>
      </w:r>
      <w:r w:rsidR="008C4FCB" w:rsidRPr="00083A53">
        <w:t xml:space="preserve">evenues and </w:t>
      </w:r>
      <w:r w:rsidR="008C4FCB">
        <w:t>E</w:t>
      </w:r>
      <w:r w:rsidR="008C4FCB" w:rsidRPr="00083A53">
        <w:t>xpenses</w:t>
      </w:r>
      <w:r w:rsidR="008C4FCB" w:rsidRPr="00480A66">
        <w:t xml:space="preserve"> </w:t>
      </w:r>
      <w:r w:rsidR="00121EC6">
        <w:t>is</w:t>
      </w:r>
      <w:r w:rsidR="00176AA6">
        <w:t xml:space="preserve"> uncontested </w:t>
      </w:r>
      <w:r w:rsidR="00121EC6">
        <w:t>and</w:t>
      </w:r>
      <w:r w:rsidR="00C14E9E">
        <w:t xml:space="preserve"> </w:t>
      </w:r>
      <w:r w:rsidR="00F5160A">
        <w:t xml:space="preserve">decreases </w:t>
      </w:r>
      <w:r w:rsidR="00F5160A" w:rsidRPr="00B05CDB">
        <w:t>net operating income for electric operations</w:t>
      </w:r>
      <w:r w:rsidR="00F5160A">
        <w:t xml:space="preserve"> </w:t>
      </w:r>
      <w:r w:rsidR="00F5160A" w:rsidRPr="00B05CDB">
        <w:t>by $</w:t>
      </w:r>
      <w:r w:rsidR="00F5160A">
        <w:t>1</w:t>
      </w:r>
      <w:r w:rsidR="00F5160A" w:rsidRPr="00B05CDB">
        <w:t>,</w:t>
      </w:r>
      <w:r w:rsidR="00F5160A">
        <w:t>000</w:t>
      </w:r>
      <w:r w:rsidR="00F5160A" w:rsidRPr="00B05CDB">
        <w:t>,</w:t>
      </w:r>
      <w:r w:rsidR="00F5160A">
        <w:t>540</w:t>
      </w:r>
      <w:r w:rsidR="00F5160A" w:rsidRPr="00B05CDB">
        <w:t>.</w:t>
      </w:r>
      <w:r w:rsidR="00C14E9E" w:rsidRPr="00C14E9E">
        <w:t xml:space="preserve"> </w:t>
      </w:r>
      <w:r w:rsidR="00C14E9E">
        <w:t>(</w:t>
      </w:r>
      <w:r w:rsidR="00C14E9E" w:rsidRPr="009B66D0">
        <w:rPr>
          <w:i/>
        </w:rPr>
        <w:t>See</w:t>
      </w:r>
      <w:r w:rsidR="00121EC6">
        <w:rPr>
          <w:i/>
        </w:rPr>
        <w:t>, e.g.,</w:t>
      </w:r>
      <w:r w:rsidR="00C14E9E">
        <w:t> </w:t>
      </w:r>
      <w:proofErr w:type="spellStart"/>
      <w:r w:rsidR="00C14E9E">
        <w:t>Cheesman</w:t>
      </w:r>
      <w:proofErr w:type="spellEnd"/>
      <w:r w:rsidR="00C14E9E">
        <w:t xml:space="preserve">, </w:t>
      </w:r>
      <w:proofErr w:type="spellStart"/>
      <w:r w:rsidR="00C14E9E">
        <w:t>Exh</w:t>
      </w:r>
      <w:proofErr w:type="spellEnd"/>
      <w:r w:rsidR="00C14E9E">
        <w:t>. MCC-2r at 2.)</w:t>
      </w:r>
    </w:p>
    <w:p w:rsidR="000D400B" w:rsidRPr="000D400B" w:rsidRDefault="000D400B" w:rsidP="000D400B">
      <w:pPr>
        <w:pStyle w:val="Heading5"/>
      </w:pPr>
      <w:r w:rsidRPr="000D400B">
        <w:t>i</w:t>
      </w:r>
      <w:r>
        <w:t>i</w:t>
      </w:r>
      <w:r w:rsidRPr="000D400B">
        <w:t>.</w:t>
      </w:r>
      <w:r w:rsidRPr="000D400B">
        <w:tab/>
      </w:r>
      <w:r w:rsidRPr="007A518C">
        <w:t>Adjustment No.</w:t>
      </w:r>
      <w:r>
        <w:t> 11</w:t>
      </w:r>
      <w:r w:rsidRPr="007A518C">
        <w:t>.0</w:t>
      </w:r>
      <w:r>
        <w:t>3 – </w:t>
      </w:r>
      <w:r w:rsidRPr="00083A53">
        <w:rPr>
          <w:rFonts w:eastAsia="Times New Roman"/>
        </w:rPr>
        <w:t>Pass-</w:t>
      </w:r>
      <w:r>
        <w:rPr>
          <w:rFonts w:eastAsia="Times New Roman"/>
        </w:rPr>
        <w:t>T</w:t>
      </w:r>
      <w:r w:rsidRPr="00083A53">
        <w:rPr>
          <w:rFonts w:eastAsia="Times New Roman"/>
        </w:rPr>
        <w:t xml:space="preserve">hrough </w:t>
      </w:r>
      <w:r>
        <w:rPr>
          <w:rFonts w:eastAsia="Times New Roman"/>
        </w:rPr>
        <w:t>R</w:t>
      </w:r>
      <w:r w:rsidRPr="00083A53">
        <w:rPr>
          <w:rFonts w:eastAsia="Times New Roman"/>
        </w:rPr>
        <w:t xml:space="preserve">evenues and </w:t>
      </w:r>
      <w:r>
        <w:rPr>
          <w:rFonts w:eastAsia="Times New Roman"/>
        </w:rPr>
        <w:t>E</w:t>
      </w:r>
      <w:r w:rsidRPr="00083A53">
        <w:rPr>
          <w:rFonts w:eastAsia="Times New Roman"/>
        </w:rPr>
        <w:t>xpenses</w:t>
      </w:r>
      <w:r>
        <w:rPr>
          <w:rFonts w:eastAsia="Times New Roman"/>
        </w:rPr>
        <w:t xml:space="preserve"> (Natural Gas)</w:t>
      </w:r>
    </w:p>
    <w:p w:rsidR="00280FCF" w:rsidRPr="009F7F24" w:rsidRDefault="00280FCF" w:rsidP="00280FCF">
      <w:pPr>
        <w:pStyle w:val="ListParagraph"/>
      </w:pPr>
      <w:r>
        <w:t xml:space="preserve">Adjustment </w:t>
      </w:r>
      <w:r w:rsidRPr="007A518C">
        <w:t>No.</w:t>
      </w:r>
      <w:r>
        <w:t> 11</w:t>
      </w:r>
      <w:r w:rsidRPr="007A518C">
        <w:t>.0</w:t>
      </w:r>
      <w:r>
        <w:t>3 – </w:t>
      </w:r>
      <w:r w:rsidRPr="00083A53">
        <w:t>Pass-</w:t>
      </w:r>
      <w:r>
        <w:t>T</w:t>
      </w:r>
      <w:r w:rsidRPr="00083A53">
        <w:t xml:space="preserve">hrough </w:t>
      </w:r>
      <w:r>
        <w:t>R</w:t>
      </w:r>
      <w:r w:rsidRPr="00083A53">
        <w:t xml:space="preserve">evenues and </w:t>
      </w:r>
      <w:r>
        <w:t>E</w:t>
      </w:r>
      <w:r w:rsidRPr="00083A53">
        <w:t>xpenses</w:t>
      </w:r>
      <w:r w:rsidRPr="00480A66">
        <w:t xml:space="preserve"> </w:t>
      </w:r>
      <w:r>
        <w:t xml:space="preserve">is uncontested and increases </w:t>
      </w:r>
      <w:r w:rsidRPr="00B05CDB">
        <w:t xml:space="preserve">net operating income for </w:t>
      </w:r>
      <w:r>
        <w:t xml:space="preserve">natural gas </w:t>
      </w:r>
      <w:r w:rsidRPr="00B05CDB">
        <w:t>operations</w:t>
      </w:r>
      <w:r>
        <w:t xml:space="preserve"> </w:t>
      </w:r>
      <w:r w:rsidRPr="00B05CDB">
        <w:t>by $</w:t>
      </w:r>
      <w:r>
        <w:t>736</w:t>
      </w:r>
      <w:r w:rsidRPr="00B05CDB">
        <w:t>,</w:t>
      </w:r>
      <w:r>
        <w:t>148</w:t>
      </w:r>
      <w:r w:rsidRPr="00B05CDB">
        <w:t>.</w:t>
      </w:r>
      <w:r w:rsidRPr="00C14E9E">
        <w:t xml:space="preserve"> </w:t>
      </w:r>
      <w:r>
        <w:t>(</w:t>
      </w:r>
      <w:r w:rsidRPr="009B66D0">
        <w:rPr>
          <w:i/>
        </w:rPr>
        <w:t>See</w:t>
      </w:r>
      <w:r>
        <w:rPr>
          <w:i/>
        </w:rPr>
        <w:t>, e.g.,</w:t>
      </w:r>
      <w:r>
        <w:t> </w:t>
      </w:r>
      <w:proofErr w:type="spellStart"/>
      <w:r>
        <w:t>Cheesman</w:t>
      </w:r>
      <w:proofErr w:type="spellEnd"/>
      <w:r>
        <w:t xml:space="preserve">, </w:t>
      </w:r>
      <w:proofErr w:type="spellStart"/>
      <w:r>
        <w:t>Exh</w:t>
      </w:r>
      <w:proofErr w:type="spellEnd"/>
      <w:r>
        <w:t>. MCC-7r at 2.)</w:t>
      </w:r>
    </w:p>
    <w:p w:rsidR="00083A53" w:rsidRPr="00456C66" w:rsidRDefault="007A518C" w:rsidP="007A518C">
      <w:pPr>
        <w:pStyle w:val="Heading4"/>
      </w:pPr>
      <w:r w:rsidRPr="00456C66">
        <w:t>d.</w:t>
      </w:r>
      <w:r w:rsidRPr="00456C66">
        <w:tab/>
      </w:r>
      <w:r w:rsidR="00280FCF" w:rsidRPr="00083A53">
        <w:rPr>
          <w:rFonts w:eastAsia="Times New Roman"/>
        </w:rPr>
        <w:t>Federal Income Tax</w:t>
      </w:r>
    </w:p>
    <w:p w:rsidR="00C679F0" w:rsidRPr="000D400B" w:rsidRDefault="00C679F0" w:rsidP="00C679F0">
      <w:pPr>
        <w:pStyle w:val="Heading5"/>
      </w:pPr>
      <w:r>
        <w:t>i</w:t>
      </w:r>
      <w:r w:rsidRPr="000D400B">
        <w:t>.</w:t>
      </w:r>
      <w:r w:rsidRPr="000D400B">
        <w:tab/>
      </w:r>
      <w:r w:rsidRPr="007A518C">
        <w:t>Adjustment No.</w:t>
      </w:r>
      <w:r>
        <w:t> </w:t>
      </w:r>
      <w:r w:rsidRPr="00456C66">
        <w:t>13.04 – </w:t>
      </w:r>
      <w:r w:rsidRPr="00456C66">
        <w:rPr>
          <w:rFonts w:eastAsia="Times New Roman"/>
        </w:rPr>
        <w:t>Federal Income Tax</w:t>
      </w:r>
      <w:r>
        <w:rPr>
          <w:rFonts w:eastAsia="Times New Roman"/>
        </w:rPr>
        <w:t xml:space="preserve"> (Electric)</w:t>
      </w:r>
    </w:p>
    <w:p w:rsidR="00F5160A" w:rsidRDefault="00566D6E" w:rsidP="00121EC6">
      <w:pPr>
        <w:pStyle w:val="ListParagraph"/>
      </w:pPr>
      <w:r w:rsidRPr="00456C66">
        <w:t xml:space="preserve">Adjustment </w:t>
      </w:r>
      <w:r w:rsidR="008C4FCB" w:rsidRPr="00456C66">
        <w:t xml:space="preserve">No. 13.04 – Federal Income Tax </w:t>
      </w:r>
      <w:r w:rsidR="00121EC6">
        <w:t>is</w:t>
      </w:r>
      <w:r w:rsidR="00456C66" w:rsidRPr="00456C66">
        <w:t xml:space="preserve"> uncontested </w:t>
      </w:r>
      <w:r w:rsidR="00121EC6">
        <w:t>and</w:t>
      </w:r>
      <w:r w:rsidR="00C14E9E" w:rsidRPr="00456C66">
        <w:t xml:space="preserve"> </w:t>
      </w:r>
      <w:r w:rsidR="00F5160A" w:rsidRPr="00456C66">
        <w:t>decreases net operating income for electric operations by $27,023,239.</w:t>
      </w:r>
      <w:r w:rsidR="00C14E9E" w:rsidRPr="00456C66">
        <w:t xml:space="preserve"> (</w:t>
      </w:r>
      <w:r w:rsidR="00C14E9E" w:rsidRPr="00456C66">
        <w:rPr>
          <w:i/>
        </w:rPr>
        <w:t>See</w:t>
      </w:r>
      <w:r w:rsidR="00121EC6">
        <w:rPr>
          <w:i/>
        </w:rPr>
        <w:t>, e.g.,</w:t>
      </w:r>
      <w:r w:rsidR="00C14E9E" w:rsidRPr="00456C66">
        <w:t> </w:t>
      </w:r>
      <w:proofErr w:type="spellStart"/>
      <w:r w:rsidR="00C14E9E" w:rsidRPr="00456C66">
        <w:t>Cheesman</w:t>
      </w:r>
      <w:proofErr w:type="spellEnd"/>
      <w:r w:rsidR="00C14E9E" w:rsidRPr="00456C66">
        <w:t xml:space="preserve">, </w:t>
      </w:r>
      <w:proofErr w:type="spellStart"/>
      <w:r w:rsidR="00C14E9E" w:rsidRPr="00456C66">
        <w:t>Exh</w:t>
      </w:r>
      <w:proofErr w:type="spellEnd"/>
      <w:r w:rsidR="00C14E9E" w:rsidRPr="00456C66">
        <w:t>. MCC-2r at 2.)</w:t>
      </w:r>
    </w:p>
    <w:p w:rsidR="00C679F0" w:rsidRPr="000D400B" w:rsidRDefault="00C679F0" w:rsidP="00C679F0">
      <w:pPr>
        <w:pStyle w:val="Heading5"/>
      </w:pPr>
      <w:r>
        <w:t>ii</w:t>
      </w:r>
      <w:r w:rsidRPr="000D400B">
        <w:t>.</w:t>
      </w:r>
      <w:r w:rsidRPr="000D400B">
        <w:tab/>
      </w:r>
      <w:r w:rsidRPr="007A518C">
        <w:t>Adjustment No.</w:t>
      </w:r>
      <w:r>
        <w:t> 11</w:t>
      </w:r>
      <w:r w:rsidRPr="00456C66">
        <w:t>.04 – </w:t>
      </w:r>
      <w:r w:rsidRPr="00456C66">
        <w:rPr>
          <w:rFonts w:eastAsia="Times New Roman"/>
        </w:rPr>
        <w:t>Federal Income Tax</w:t>
      </w:r>
      <w:r>
        <w:rPr>
          <w:rFonts w:eastAsia="Times New Roman"/>
        </w:rPr>
        <w:t xml:space="preserve"> (Natural Gas)</w:t>
      </w:r>
    </w:p>
    <w:p w:rsidR="00280FCF" w:rsidRPr="009F7F24" w:rsidRDefault="00280FCF" w:rsidP="00280FCF">
      <w:pPr>
        <w:pStyle w:val="ListParagraph"/>
      </w:pPr>
      <w:r>
        <w:t xml:space="preserve">Adjustment </w:t>
      </w:r>
      <w:r w:rsidRPr="007A518C">
        <w:t>No.</w:t>
      </w:r>
      <w:r>
        <w:t> 11</w:t>
      </w:r>
      <w:r w:rsidRPr="007A518C">
        <w:t>.0</w:t>
      </w:r>
      <w:r>
        <w:t>4 – </w:t>
      </w:r>
      <w:r w:rsidRPr="00083A53">
        <w:t>Federal Income Tax</w:t>
      </w:r>
      <w:r>
        <w:t xml:space="preserve"> is uncontested and increases </w:t>
      </w:r>
      <w:r w:rsidRPr="00B05CDB">
        <w:t xml:space="preserve">net operating income for </w:t>
      </w:r>
      <w:r>
        <w:t xml:space="preserve">natural gas </w:t>
      </w:r>
      <w:r w:rsidRPr="00B05CDB">
        <w:t>operations</w:t>
      </w:r>
      <w:r>
        <w:t xml:space="preserve"> </w:t>
      </w:r>
      <w:r w:rsidRPr="00B05CDB">
        <w:t>by $</w:t>
      </w:r>
      <w:r>
        <w:t>700</w:t>
      </w:r>
      <w:r w:rsidRPr="00B05CDB">
        <w:t>,</w:t>
      </w:r>
      <w:r>
        <w:t>822</w:t>
      </w:r>
      <w:r w:rsidRPr="00B05CDB">
        <w:t>.</w:t>
      </w:r>
      <w:r w:rsidRPr="00C14E9E">
        <w:t xml:space="preserve"> </w:t>
      </w:r>
      <w:r>
        <w:t>(</w:t>
      </w:r>
      <w:r w:rsidRPr="009B66D0">
        <w:rPr>
          <w:i/>
        </w:rPr>
        <w:t>See</w:t>
      </w:r>
      <w:r>
        <w:rPr>
          <w:i/>
        </w:rPr>
        <w:t>, e.g.,</w:t>
      </w:r>
      <w:r>
        <w:t> </w:t>
      </w:r>
      <w:proofErr w:type="spellStart"/>
      <w:r>
        <w:t>Cheesman</w:t>
      </w:r>
      <w:proofErr w:type="spellEnd"/>
      <w:r>
        <w:t xml:space="preserve">, </w:t>
      </w:r>
      <w:proofErr w:type="spellStart"/>
      <w:r>
        <w:t>Exh</w:t>
      </w:r>
      <w:proofErr w:type="spellEnd"/>
      <w:r>
        <w:t>. MCC-7r at 2.)</w:t>
      </w:r>
    </w:p>
    <w:p w:rsidR="00083A53" w:rsidRPr="00456C66" w:rsidRDefault="007A518C" w:rsidP="007A518C">
      <w:pPr>
        <w:pStyle w:val="Heading4"/>
      </w:pPr>
      <w:r w:rsidRPr="00456C66">
        <w:lastRenderedPageBreak/>
        <w:t>e.</w:t>
      </w:r>
      <w:r w:rsidRPr="00456C66">
        <w:tab/>
      </w:r>
      <w:r w:rsidRPr="00456C66">
        <w:rPr>
          <w:rFonts w:eastAsia="Times New Roman"/>
        </w:rPr>
        <w:t>Tax Benefit of Pro Forma Interest</w:t>
      </w:r>
    </w:p>
    <w:p w:rsidR="00C679F0" w:rsidRPr="000D400B" w:rsidRDefault="00C679F0" w:rsidP="00C679F0">
      <w:pPr>
        <w:pStyle w:val="Heading5"/>
      </w:pPr>
      <w:r>
        <w:t>i</w:t>
      </w:r>
      <w:r w:rsidRPr="000D400B">
        <w:t>.</w:t>
      </w:r>
      <w:r w:rsidRPr="000D400B">
        <w:tab/>
      </w:r>
      <w:r w:rsidRPr="007A518C">
        <w:t>Adjustment No.</w:t>
      </w:r>
      <w:r>
        <w:t> </w:t>
      </w:r>
      <w:r w:rsidRPr="00456C66">
        <w:t>13.05 – </w:t>
      </w:r>
      <w:r w:rsidRPr="00456C66">
        <w:rPr>
          <w:rFonts w:eastAsia="Times New Roman"/>
        </w:rPr>
        <w:t>Tax Benefit of Pro Forma Interest</w:t>
      </w:r>
      <w:r>
        <w:rPr>
          <w:rFonts w:eastAsia="Times New Roman"/>
        </w:rPr>
        <w:t xml:space="preserve"> (Electric)</w:t>
      </w:r>
    </w:p>
    <w:p w:rsidR="00F5160A" w:rsidRDefault="002B46AC" w:rsidP="00121EC6">
      <w:pPr>
        <w:pStyle w:val="ListParagraph"/>
      </w:pPr>
      <w:r w:rsidRPr="00456C66">
        <w:t>No party contested the manner in which Adjustment No. 13.05 – Tax Benefit of Pro Forma Interest should be calculated, although parties differed in the result based on the rate base items included. Based upon the rate base items included in this Settlement, t</w:t>
      </w:r>
      <w:r w:rsidR="00F5160A" w:rsidRPr="00456C66">
        <w:t>he Settling Parties agree that Adjustment No. </w:t>
      </w:r>
      <w:r w:rsidR="00A954D6" w:rsidRPr="00456C66">
        <w:t>13</w:t>
      </w:r>
      <w:r w:rsidR="00F151BA" w:rsidRPr="00456C66">
        <w:t>.</w:t>
      </w:r>
      <w:r w:rsidR="00F5160A" w:rsidRPr="00456C66">
        <w:t>05 – Tax Benefit of Pro Forma Interest increases net operating income for electric operations by $54,</w:t>
      </w:r>
      <w:r w:rsidR="00456C66" w:rsidRPr="00456C66">
        <w:t>06</w:t>
      </w:r>
      <w:r w:rsidR="00456C66">
        <w:t>7</w:t>
      </w:r>
      <w:r w:rsidR="00F5160A" w:rsidRPr="00456C66">
        <w:t>,</w:t>
      </w:r>
      <w:r w:rsidR="00456C66">
        <w:t>781</w:t>
      </w:r>
      <w:r w:rsidR="00F5160A" w:rsidRPr="00456C66">
        <w:t>.</w:t>
      </w:r>
      <w:r w:rsidR="00AF798B" w:rsidRPr="00AF798B">
        <w:t xml:space="preserve"> </w:t>
      </w:r>
      <w:r w:rsidR="00AF798B">
        <w:rPr>
          <w:rStyle w:val="FootnoteReference"/>
        </w:rPr>
        <w:footnoteReference w:id="2"/>
      </w:r>
    </w:p>
    <w:p w:rsidR="00C679F0" w:rsidRPr="000D400B" w:rsidRDefault="00C679F0" w:rsidP="00C679F0">
      <w:pPr>
        <w:pStyle w:val="Heading5"/>
      </w:pPr>
      <w:r>
        <w:t>ii</w:t>
      </w:r>
      <w:r w:rsidRPr="000D400B">
        <w:t>.</w:t>
      </w:r>
      <w:r w:rsidRPr="000D400B">
        <w:tab/>
      </w:r>
      <w:r w:rsidRPr="007A518C">
        <w:t>Adjustment No.</w:t>
      </w:r>
      <w:r>
        <w:t> 11</w:t>
      </w:r>
      <w:r w:rsidRPr="00456C66">
        <w:t>.05 – </w:t>
      </w:r>
      <w:r w:rsidRPr="00456C66">
        <w:rPr>
          <w:rFonts w:eastAsia="Times New Roman"/>
        </w:rPr>
        <w:t>Tax Benefit of Pro Forma Interest</w:t>
      </w:r>
      <w:r>
        <w:rPr>
          <w:rFonts w:eastAsia="Times New Roman"/>
        </w:rPr>
        <w:t xml:space="preserve"> (Natural Gas)</w:t>
      </w:r>
    </w:p>
    <w:p w:rsidR="000D400B" w:rsidRPr="009F7F24" w:rsidRDefault="000D400B" w:rsidP="000D400B">
      <w:pPr>
        <w:pStyle w:val="ListParagraph"/>
      </w:pPr>
      <w:r w:rsidRPr="002B46AC">
        <w:t>No party contested the manner in which Adjustment No. 1</w:t>
      </w:r>
      <w:r w:rsidR="00C679F0">
        <w:t>1</w:t>
      </w:r>
      <w:r w:rsidRPr="002B46AC">
        <w:t>.05 – Tax Benefit of Pro Forma Interest should be calculated, although parties differed in the result based on the rate base items included. Based upon the rate base items included in this Settlement, the Settling Parties agree that Adjustment No. </w:t>
      </w:r>
      <w:r>
        <w:t>11</w:t>
      </w:r>
      <w:r w:rsidRPr="002B46AC">
        <w:t xml:space="preserve">.05 – Tax Benefit of Pro Forma Interest increases net operating income for </w:t>
      </w:r>
      <w:r>
        <w:t xml:space="preserve">natural gas </w:t>
      </w:r>
      <w:r w:rsidRPr="002B46AC">
        <w:t>operations by $</w:t>
      </w:r>
      <w:r>
        <w:t>18</w:t>
      </w:r>
      <w:r w:rsidRPr="002B46AC">
        <w:t>,</w:t>
      </w:r>
      <w:r>
        <w:t>475</w:t>
      </w:r>
      <w:r w:rsidRPr="002B46AC">
        <w:t>,</w:t>
      </w:r>
      <w:r>
        <w:t>298</w:t>
      </w:r>
      <w:r w:rsidRPr="002B46AC">
        <w:t>.</w:t>
      </w:r>
      <w:r w:rsidR="00AF798B">
        <w:rPr>
          <w:rStyle w:val="FootnoteReference"/>
        </w:rPr>
        <w:footnoteReference w:id="3"/>
      </w:r>
    </w:p>
    <w:p w:rsidR="007A518C" w:rsidRPr="007A3997" w:rsidRDefault="007A518C" w:rsidP="007A518C">
      <w:pPr>
        <w:pStyle w:val="Heading4"/>
      </w:pPr>
      <w:r w:rsidRPr="007A3997">
        <w:t>f.</w:t>
      </w:r>
      <w:r w:rsidRPr="007A3997">
        <w:tab/>
      </w:r>
      <w:r w:rsidRPr="007A3997">
        <w:rPr>
          <w:rFonts w:eastAsia="Times New Roman"/>
        </w:rPr>
        <w:t>Depreciation Study</w:t>
      </w:r>
      <w:r w:rsidR="000D400B">
        <w:rPr>
          <w:rFonts w:eastAsia="Times New Roman"/>
        </w:rPr>
        <w:t xml:space="preserve"> </w:t>
      </w:r>
    </w:p>
    <w:p w:rsidR="00FB136F" w:rsidRPr="000D400B" w:rsidRDefault="00FB136F" w:rsidP="00FB136F">
      <w:pPr>
        <w:pStyle w:val="Heading5"/>
      </w:pPr>
      <w:r>
        <w:t>i</w:t>
      </w:r>
      <w:r w:rsidRPr="000D400B">
        <w:t>.</w:t>
      </w:r>
      <w:r w:rsidRPr="000D400B">
        <w:tab/>
      </w:r>
      <w:r w:rsidRPr="007A3997">
        <w:t>Adjustment No. 13.06 – </w:t>
      </w:r>
      <w:r w:rsidRPr="007A3997">
        <w:rPr>
          <w:rFonts w:eastAsia="Times New Roman"/>
        </w:rPr>
        <w:t>Depreciation Study</w:t>
      </w:r>
      <w:r>
        <w:rPr>
          <w:rFonts w:eastAsia="Times New Roman"/>
        </w:rPr>
        <w:t xml:space="preserve"> (Electric)</w:t>
      </w:r>
    </w:p>
    <w:p w:rsidR="00DA75FF" w:rsidRDefault="00D56579" w:rsidP="00AF798B">
      <w:pPr>
        <w:pStyle w:val="ListParagraph"/>
      </w:pPr>
      <w:r w:rsidRPr="00D56579">
        <w:t xml:space="preserve">The Settling Parties agree </w:t>
      </w:r>
      <w:r>
        <w:t xml:space="preserve">to use the depreciation study </w:t>
      </w:r>
      <w:r w:rsidR="007A3997">
        <w:t>provided</w:t>
      </w:r>
      <w:r>
        <w:t xml:space="preserve"> by PSE </w:t>
      </w:r>
      <w:r w:rsidR="007A3997">
        <w:t xml:space="preserve">as the Second Exhibit to the Prefiled Direct Testimony </w:t>
      </w:r>
      <w:r w:rsidR="00AF798B">
        <w:t xml:space="preserve">of </w:t>
      </w:r>
      <w:r w:rsidR="007A3997">
        <w:t xml:space="preserve">Mr. John J. Spanos, </w:t>
      </w:r>
      <w:r>
        <w:t>Exhibit</w:t>
      </w:r>
      <w:r w:rsidR="007A3997">
        <w:t> </w:t>
      </w:r>
      <w:r>
        <w:t>JJS-</w:t>
      </w:r>
      <w:r w:rsidR="007A3997">
        <w:t>3r</w:t>
      </w:r>
      <w:r>
        <w:t xml:space="preserve">, subject to </w:t>
      </w:r>
      <w:r w:rsidR="007A3997">
        <w:t xml:space="preserve">modifications with respect to </w:t>
      </w:r>
      <w:r>
        <w:t>(i) Colstrip Units 1 and 2 identified in paragraph </w:t>
      </w:r>
      <w:r w:rsidR="00663008">
        <w:fldChar w:fldCharType="begin"/>
      </w:r>
      <w:r w:rsidR="00663008">
        <w:instrText xml:space="preserve"> REF _Ref491943341 \r \h </w:instrText>
      </w:r>
      <w:r w:rsidR="00663008">
        <w:fldChar w:fldCharType="separate"/>
      </w:r>
      <w:r w:rsidR="00831E9E">
        <w:t>25</w:t>
      </w:r>
      <w:r w:rsidR="00663008">
        <w:fldChar w:fldCharType="end"/>
      </w:r>
      <w:r>
        <w:t xml:space="preserve"> below and (ii) Colstrip Units 3 and 4 identified in paragraph </w:t>
      </w:r>
      <w:r w:rsidR="00663008">
        <w:fldChar w:fldCharType="begin"/>
      </w:r>
      <w:r w:rsidR="00663008">
        <w:instrText xml:space="preserve"> REF _Ref492987509 \r \h </w:instrText>
      </w:r>
      <w:r w:rsidR="00663008">
        <w:fldChar w:fldCharType="separate"/>
      </w:r>
      <w:r w:rsidR="00831E9E">
        <w:t>26</w:t>
      </w:r>
      <w:r w:rsidR="00663008">
        <w:fldChar w:fldCharType="end"/>
      </w:r>
      <w:r>
        <w:t xml:space="preserve"> below.</w:t>
      </w:r>
      <w:bookmarkStart w:id="4" w:name="Par_20"/>
      <w:r w:rsidR="00394F98">
        <w:t xml:space="preserve"> Please see </w:t>
      </w:r>
      <w:r w:rsidR="00730CD2">
        <w:t xml:space="preserve">Exhibit B to this </w:t>
      </w:r>
      <w:r w:rsidR="00730CD2">
        <w:lastRenderedPageBreak/>
        <w:t xml:space="preserve">Settlement for the electric </w:t>
      </w:r>
      <w:r w:rsidR="00394F98">
        <w:t>depreciation study adjustment</w:t>
      </w:r>
      <w:r w:rsidR="00AF798B" w:rsidRPr="00AF798B">
        <w:t xml:space="preserve"> and the agreed</w:t>
      </w:r>
      <w:r w:rsidR="00AF798B">
        <w:t>-</w:t>
      </w:r>
      <w:r w:rsidR="00AF798B" w:rsidRPr="00AF798B">
        <w:t>upon electric depreciation rates that result from this Settlement</w:t>
      </w:r>
      <w:r w:rsidR="00730CD2">
        <w:t>.</w:t>
      </w:r>
    </w:p>
    <w:p w:rsidR="00322E40" w:rsidRDefault="007A3997" w:rsidP="00121EC6">
      <w:pPr>
        <w:pStyle w:val="ListParagraph"/>
      </w:pPr>
      <w:bookmarkStart w:id="5" w:name="_Ref491943341"/>
      <w:bookmarkEnd w:id="4"/>
      <w:r w:rsidRPr="005A11F9">
        <w:t xml:space="preserve">The Settling Parties agree to </w:t>
      </w:r>
      <w:r w:rsidR="005F6D7A" w:rsidRPr="005A11F9">
        <w:t xml:space="preserve">set </w:t>
      </w:r>
      <w:r w:rsidR="00805CF1">
        <w:t>depreciation rates</w:t>
      </w:r>
      <w:r w:rsidR="005F6D7A" w:rsidRPr="005A11F9">
        <w:t xml:space="preserve"> for Colstrip Units 1 and 2 at </w:t>
      </w:r>
      <w:r w:rsidR="00805CF1">
        <w:t xml:space="preserve">amounts that will yield annual depreciation expense of </w:t>
      </w:r>
      <w:r w:rsidR="005F6D7A" w:rsidRPr="005A11F9">
        <w:t>$18.5 million for the remaining operational lives of those units.</w:t>
      </w:r>
      <w:r w:rsidR="00805CF1">
        <w:t xml:space="preserve"> The </w:t>
      </w:r>
      <w:r w:rsidR="00AF798B">
        <w:t xml:space="preserve">resulting </w:t>
      </w:r>
      <w:r w:rsidR="00805CF1">
        <w:t xml:space="preserve">depreciation rates are included </w:t>
      </w:r>
      <w:r w:rsidR="00DA75FF">
        <w:t>on pages 12 and 13 of</w:t>
      </w:r>
      <w:r w:rsidR="00805CF1">
        <w:t xml:space="preserve"> Exhibit</w:t>
      </w:r>
      <w:r w:rsidR="00F907A2">
        <w:t> </w:t>
      </w:r>
      <w:r w:rsidR="00805CF1">
        <w:t xml:space="preserve">B to this Settlement. At closure of Units 1 and 2, </w:t>
      </w:r>
      <w:r w:rsidR="005F6D7A" w:rsidRPr="005A11F9">
        <w:t>PSE shall offset all additional unrecovered plant balances for Colstrip Units 1 and 2 with monetized production tax credits (</w:t>
      </w:r>
      <w:r w:rsidR="00D56579" w:rsidRPr="005A11F9">
        <w:t>“</w:t>
      </w:r>
      <w:r w:rsidR="005F6D7A" w:rsidRPr="005A11F9">
        <w:t>PTCs</w:t>
      </w:r>
      <w:r w:rsidR="00D56579" w:rsidRPr="005A11F9">
        <w:t>”</w:t>
      </w:r>
      <w:r w:rsidR="005F6D7A" w:rsidRPr="005A11F9">
        <w:t>). PSE assume</w:t>
      </w:r>
      <w:r w:rsidR="00CD0B87" w:rsidRPr="005A11F9">
        <w:t>s</w:t>
      </w:r>
      <w:r w:rsidR="005F6D7A" w:rsidRPr="005A11F9">
        <w:t xml:space="preserve"> the risk that </w:t>
      </w:r>
      <w:r w:rsidR="00490591" w:rsidRPr="005A11F9">
        <w:t xml:space="preserve">it </w:t>
      </w:r>
      <w:r w:rsidR="005F6D7A" w:rsidRPr="005A11F9">
        <w:t>is unable to monetize the PTCs</w:t>
      </w:r>
      <w:r w:rsidR="00CD0B87" w:rsidRPr="005A11F9">
        <w:t xml:space="preserve"> to offset additional unrecovered plant balances for Colstrip Units 1 and 2</w:t>
      </w:r>
      <w:r w:rsidR="00814B54">
        <w:t>; provided</w:t>
      </w:r>
      <w:r w:rsidR="00CD0B87" w:rsidRPr="005A11F9">
        <w:t>, however</w:t>
      </w:r>
      <w:r w:rsidR="00F518E5">
        <w:t xml:space="preserve"> that if</w:t>
      </w:r>
      <w:r w:rsidR="00CD0B87" w:rsidRPr="005A11F9">
        <w:t xml:space="preserve"> </w:t>
      </w:r>
      <w:r w:rsidR="005F6D7A" w:rsidRPr="005A11F9">
        <w:t>Colstrip Units</w:t>
      </w:r>
      <w:r w:rsidR="00490591" w:rsidRPr="005A11F9">
        <w:t> </w:t>
      </w:r>
      <w:r w:rsidR="005F6D7A" w:rsidRPr="005A11F9">
        <w:t>1</w:t>
      </w:r>
      <w:r w:rsidR="00490591" w:rsidRPr="005A11F9">
        <w:t> </w:t>
      </w:r>
      <w:r w:rsidR="005F6D7A" w:rsidRPr="005A11F9">
        <w:t>and</w:t>
      </w:r>
      <w:r w:rsidR="00490591" w:rsidRPr="005A11F9">
        <w:t> </w:t>
      </w:r>
      <w:r w:rsidR="005F6D7A" w:rsidRPr="005A11F9">
        <w:t xml:space="preserve">2 </w:t>
      </w:r>
      <w:r w:rsidR="00490591" w:rsidRPr="005A11F9">
        <w:t xml:space="preserve">close prior to the monetization of </w:t>
      </w:r>
      <w:r w:rsidR="00CD0B87" w:rsidRPr="005A11F9">
        <w:t xml:space="preserve">sufficient </w:t>
      </w:r>
      <w:r w:rsidR="00490591" w:rsidRPr="005A11F9">
        <w:t>PTCs</w:t>
      </w:r>
      <w:r w:rsidR="00CD0B87" w:rsidRPr="005A11F9">
        <w:t xml:space="preserve"> to offset additional unrecovered plant balances for Colstrip Units 1 and 2</w:t>
      </w:r>
      <w:r w:rsidR="005F6D7A" w:rsidRPr="005A11F9">
        <w:t xml:space="preserve">, PSE </w:t>
      </w:r>
      <w:r w:rsidR="00490591" w:rsidRPr="005A11F9">
        <w:t xml:space="preserve">shall </w:t>
      </w:r>
      <w:r w:rsidR="005F6D7A" w:rsidRPr="005A11F9">
        <w:t xml:space="preserve">hold </w:t>
      </w:r>
      <w:r w:rsidR="00CD0B87" w:rsidRPr="005A11F9">
        <w:t xml:space="preserve">remaining unrecovered plant </w:t>
      </w:r>
      <w:r w:rsidR="00440B11">
        <w:t xml:space="preserve">balances </w:t>
      </w:r>
      <w:r w:rsidR="00CD0B87" w:rsidRPr="005A11F9">
        <w:t xml:space="preserve">of Colstrip Units 1 and 2 in a regulatory asset in rate base until the earlier to occur of (i) the recovery of all plant balances for Colstrip Units 1 and 2 </w:t>
      </w:r>
      <w:r w:rsidR="00AF798B">
        <w:t xml:space="preserve">through monetized PTC offsets </w:t>
      </w:r>
      <w:r w:rsidR="00CD0B87" w:rsidRPr="005A11F9">
        <w:t>or (ii) </w:t>
      </w:r>
      <w:r w:rsidR="005F6D7A" w:rsidRPr="005A11F9">
        <w:t>December</w:t>
      </w:r>
      <w:r w:rsidR="00CD0B87" w:rsidRPr="005A11F9">
        <w:t> 31, 2029.</w:t>
      </w:r>
      <w:bookmarkStart w:id="6" w:name="Par_21"/>
      <w:bookmarkEnd w:id="5"/>
    </w:p>
    <w:p w:rsidR="00322E40" w:rsidRDefault="00D56579" w:rsidP="00121EC6">
      <w:pPr>
        <w:pStyle w:val="ListParagraph"/>
      </w:pPr>
      <w:bookmarkStart w:id="7" w:name="_Ref491943378"/>
      <w:bookmarkStart w:id="8" w:name="_Ref492987509"/>
      <w:bookmarkEnd w:id="6"/>
      <w:r w:rsidRPr="00322E40">
        <w:t xml:space="preserve">The Settling Parties agree to a depreciation schedule for Colstrip Units 3 and 4 that assumes a remaining useful life of those units through December 31, 2027. The Settling Parties understand that December 31, 2027, is a </w:t>
      </w:r>
      <w:r w:rsidR="0089030B">
        <w:t xml:space="preserve">stipulated </w:t>
      </w:r>
      <w:r w:rsidRPr="00322E40">
        <w:t xml:space="preserve">depreciation </w:t>
      </w:r>
      <w:r w:rsidR="009D6D77">
        <w:t>life</w:t>
      </w:r>
      <w:r w:rsidRPr="00322E40">
        <w:t xml:space="preserve"> for Colstrip Units 3 and 4.</w:t>
      </w:r>
      <w:bookmarkStart w:id="9" w:name="Par_22"/>
      <w:bookmarkEnd w:id="7"/>
      <w:r w:rsidR="00805CF1">
        <w:t xml:space="preserve"> The resulting depreciation rates for Units</w:t>
      </w:r>
      <w:r w:rsidR="0089030B">
        <w:t> </w:t>
      </w:r>
      <w:r w:rsidR="00805CF1">
        <w:t>3</w:t>
      </w:r>
      <w:r w:rsidR="0089030B">
        <w:t> </w:t>
      </w:r>
      <w:r w:rsidR="00805CF1">
        <w:t xml:space="preserve">and 4 are included </w:t>
      </w:r>
      <w:r w:rsidR="00730CD2">
        <w:t>on pages</w:t>
      </w:r>
      <w:r w:rsidR="009E0516">
        <w:t> </w:t>
      </w:r>
      <w:r w:rsidR="00730CD2">
        <w:t>2</w:t>
      </w:r>
      <w:r w:rsidR="009E0516">
        <w:t> </w:t>
      </w:r>
      <w:r w:rsidR="00730CD2">
        <w:t>and 3 of</w:t>
      </w:r>
      <w:r w:rsidR="00805CF1">
        <w:t xml:space="preserve"> </w:t>
      </w:r>
      <w:r w:rsidR="0089030B">
        <w:t>Exhibit</w:t>
      </w:r>
      <w:r w:rsidR="00F907A2">
        <w:t> </w:t>
      </w:r>
      <w:r w:rsidR="00805CF1">
        <w:t>B to this Settlement</w:t>
      </w:r>
      <w:r w:rsidR="00F907A2">
        <w:t>.</w:t>
      </w:r>
      <w:bookmarkEnd w:id="8"/>
    </w:p>
    <w:bookmarkEnd w:id="9"/>
    <w:p w:rsidR="00CD0B87" w:rsidRPr="00322E40" w:rsidRDefault="00CD0B87" w:rsidP="00AF798B">
      <w:pPr>
        <w:pStyle w:val="ListParagraph"/>
      </w:pPr>
      <w:r w:rsidRPr="00322E40">
        <w:t xml:space="preserve">The Settling Parties agree that </w:t>
      </w:r>
      <w:r w:rsidRPr="00D56579">
        <w:t>Adjustment No. 13.06 – </w:t>
      </w:r>
      <w:r w:rsidRPr="00322E40">
        <w:t xml:space="preserve">Depreciation Study (i) decreases net operating income for electric operations by </w:t>
      </w:r>
      <w:r w:rsidRPr="00456C66">
        <w:t>$34,</w:t>
      </w:r>
      <w:r w:rsidR="00456C66" w:rsidRPr="00456C66">
        <w:t>311,788</w:t>
      </w:r>
      <w:r w:rsidRPr="00456C66">
        <w:t xml:space="preserve"> and (ii) decreases rate base for electric operations by $17,</w:t>
      </w:r>
      <w:r w:rsidR="00456C66" w:rsidRPr="00456C66">
        <w:t>155</w:t>
      </w:r>
      <w:r w:rsidR="00456C66">
        <w:t>,894</w:t>
      </w:r>
      <w:r w:rsidR="00AF798B" w:rsidRPr="00AF798B">
        <w:t>, as is shown on page</w:t>
      </w:r>
      <w:r w:rsidR="00AF798B">
        <w:t> </w:t>
      </w:r>
      <w:r w:rsidR="00AF798B" w:rsidRPr="00AF798B">
        <w:t>1 of Exhibit</w:t>
      </w:r>
      <w:r w:rsidR="00AF798B">
        <w:t> </w:t>
      </w:r>
      <w:r w:rsidR="00AF798B" w:rsidRPr="00AF798B">
        <w:t>B</w:t>
      </w:r>
      <w:r w:rsidR="00AF798B">
        <w:t xml:space="preserve"> to this Settlement</w:t>
      </w:r>
      <w:r w:rsidRPr="00322E40">
        <w:t>.</w:t>
      </w:r>
    </w:p>
    <w:p w:rsidR="00FB136F" w:rsidRPr="000D400B" w:rsidRDefault="00FB136F" w:rsidP="00FB136F">
      <w:pPr>
        <w:pStyle w:val="Heading5"/>
      </w:pPr>
      <w:r>
        <w:lastRenderedPageBreak/>
        <w:t>ii</w:t>
      </w:r>
      <w:r w:rsidRPr="000D400B">
        <w:t>.</w:t>
      </w:r>
      <w:r w:rsidRPr="000D400B">
        <w:tab/>
      </w:r>
      <w:r w:rsidRPr="007A3997">
        <w:t>Adjustment No. 1</w:t>
      </w:r>
      <w:r>
        <w:t>1</w:t>
      </w:r>
      <w:r w:rsidRPr="007A3997">
        <w:t>.06 – </w:t>
      </w:r>
      <w:r w:rsidRPr="007A3997">
        <w:rPr>
          <w:rFonts w:eastAsia="Times New Roman"/>
        </w:rPr>
        <w:t>Depreciation Study</w:t>
      </w:r>
      <w:r>
        <w:rPr>
          <w:rFonts w:eastAsia="Times New Roman"/>
        </w:rPr>
        <w:t xml:space="preserve"> (Natural Gas)</w:t>
      </w:r>
    </w:p>
    <w:p w:rsidR="00FB136F" w:rsidRPr="009F7F24" w:rsidRDefault="00FB136F" w:rsidP="00FB136F">
      <w:pPr>
        <w:pStyle w:val="ListParagraph"/>
      </w:pPr>
      <w:r w:rsidRPr="00615285">
        <w:t>The Settling Parties agree to use the depreciation study provided by PSE as the Second Exhibit to the Prefiled Direct Testimony Mr. John J. Spanos, Exhibit JJS-3r</w:t>
      </w:r>
      <w:r>
        <w:t xml:space="preserve">. </w:t>
      </w:r>
      <w:r w:rsidRPr="00615285">
        <w:t xml:space="preserve">The Settling Parties </w:t>
      </w:r>
      <w:r>
        <w:t xml:space="preserve">further </w:t>
      </w:r>
      <w:r w:rsidRPr="00615285">
        <w:t xml:space="preserve">agree </w:t>
      </w:r>
      <w:r>
        <w:t xml:space="preserve">that Adjustment </w:t>
      </w:r>
      <w:r w:rsidRPr="007A518C">
        <w:t>No.</w:t>
      </w:r>
      <w:r>
        <w:t> 11</w:t>
      </w:r>
      <w:r w:rsidRPr="007A518C">
        <w:t>.0</w:t>
      </w:r>
      <w:r>
        <w:t>6 – </w:t>
      </w:r>
      <w:r w:rsidRPr="007A3997">
        <w:t>Depreciation Study</w:t>
      </w:r>
      <w:r>
        <w:t xml:space="preserve"> is uncontested for natural gas operations and (i) increases </w:t>
      </w:r>
      <w:r w:rsidRPr="00B05CDB">
        <w:t xml:space="preserve">net operating income for </w:t>
      </w:r>
      <w:r>
        <w:t xml:space="preserve">natural gas </w:t>
      </w:r>
      <w:r w:rsidRPr="00B05CDB">
        <w:t>operations</w:t>
      </w:r>
      <w:r>
        <w:t xml:space="preserve"> </w:t>
      </w:r>
      <w:r w:rsidRPr="00B05CDB">
        <w:t>by $</w:t>
      </w:r>
      <w:r>
        <w:t>13</w:t>
      </w:r>
      <w:r w:rsidRPr="00B05CDB">
        <w:t>,</w:t>
      </w:r>
      <w:r>
        <w:t>174,098 and (ii) increases rate base for natural gas operations by $6,587,049</w:t>
      </w:r>
      <w:r w:rsidRPr="00B05CDB">
        <w:t>.</w:t>
      </w:r>
      <w:r w:rsidRPr="00C14E9E">
        <w:t xml:space="preserve"> </w:t>
      </w:r>
      <w:r>
        <w:t>(</w:t>
      </w:r>
      <w:r w:rsidRPr="009B66D0">
        <w:rPr>
          <w:i/>
        </w:rPr>
        <w:t>See</w:t>
      </w:r>
      <w:r>
        <w:rPr>
          <w:i/>
        </w:rPr>
        <w:t>, e.g.,</w:t>
      </w:r>
      <w:r>
        <w:t> </w:t>
      </w:r>
      <w:proofErr w:type="spellStart"/>
      <w:r>
        <w:t>Cheesman</w:t>
      </w:r>
      <w:proofErr w:type="spellEnd"/>
      <w:r>
        <w:t xml:space="preserve">, </w:t>
      </w:r>
      <w:proofErr w:type="spellStart"/>
      <w:r>
        <w:t>Exh</w:t>
      </w:r>
      <w:proofErr w:type="spellEnd"/>
      <w:r>
        <w:t>. MCC-7r at 2.)</w:t>
      </w:r>
    </w:p>
    <w:p w:rsidR="00582DCE" w:rsidRPr="00FB136F" w:rsidRDefault="00582DCE" w:rsidP="00582DCE">
      <w:pPr>
        <w:pStyle w:val="Heading4"/>
      </w:pPr>
      <w:r>
        <w:t>g</w:t>
      </w:r>
      <w:r w:rsidRPr="007A518C">
        <w:t>.</w:t>
      </w:r>
      <w:r w:rsidRPr="007A518C">
        <w:tab/>
      </w:r>
      <w:r>
        <w:rPr>
          <w:rFonts w:eastAsia="Times New Roman"/>
        </w:rPr>
        <w:t>Reg</w:t>
      </w:r>
      <w:r w:rsidR="004C7C31">
        <w:rPr>
          <w:rFonts w:eastAsia="Times New Roman"/>
        </w:rPr>
        <w:t>ulatory</w:t>
      </w:r>
      <w:r>
        <w:rPr>
          <w:rFonts w:eastAsia="Times New Roman"/>
        </w:rPr>
        <w:t xml:space="preserve"> Asset Colstrip</w:t>
      </w:r>
    </w:p>
    <w:p w:rsidR="00582DCE" w:rsidRPr="009F7F24" w:rsidRDefault="00582DCE" w:rsidP="00121EC6">
      <w:pPr>
        <w:pStyle w:val="ListParagraph"/>
      </w:pPr>
      <w:r w:rsidRPr="00582DCE">
        <w:t xml:space="preserve">The Settling Parties agree not to </w:t>
      </w:r>
      <w:r w:rsidR="00A74AC1">
        <w:t xml:space="preserve">use </w:t>
      </w:r>
      <w:r w:rsidRPr="00582DCE">
        <w:t>Adjustment No. </w:t>
      </w:r>
      <w:r>
        <w:t>13</w:t>
      </w:r>
      <w:r w:rsidRPr="007A518C">
        <w:t>.0</w:t>
      </w:r>
      <w:r>
        <w:t>6A – Reg. Asset Colstrip</w:t>
      </w:r>
      <w:r w:rsidRPr="00582DCE">
        <w:t xml:space="preserve"> proposed by Commission Staff.</w:t>
      </w:r>
      <w:r>
        <w:t xml:space="preserve"> Accordingly, </w:t>
      </w:r>
      <w:r w:rsidRPr="00582DCE">
        <w:t>Adjustment No. </w:t>
      </w:r>
      <w:r>
        <w:t>13</w:t>
      </w:r>
      <w:r w:rsidRPr="007A518C">
        <w:t>.0</w:t>
      </w:r>
      <w:r>
        <w:t>6A – Reg. Asset Colstrip has no effect on either net operating income or rate base for electric operations.</w:t>
      </w:r>
    </w:p>
    <w:p w:rsidR="00083A53" w:rsidRPr="007A518C" w:rsidRDefault="003B75F9" w:rsidP="007A518C">
      <w:pPr>
        <w:pStyle w:val="Heading4"/>
      </w:pPr>
      <w:r>
        <w:t>h</w:t>
      </w:r>
      <w:r w:rsidR="007A518C" w:rsidRPr="007A518C">
        <w:t>.</w:t>
      </w:r>
      <w:r w:rsidR="007A518C" w:rsidRPr="007A518C">
        <w:tab/>
      </w:r>
      <w:r w:rsidR="007A518C" w:rsidRPr="00083A53">
        <w:rPr>
          <w:rFonts w:eastAsia="Times New Roman"/>
        </w:rPr>
        <w:t xml:space="preserve">Normalize Injuries </w:t>
      </w:r>
      <w:r w:rsidR="007A518C">
        <w:rPr>
          <w:rFonts w:eastAsia="Times New Roman"/>
        </w:rPr>
        <w:t>a</w:t>
      </w:r>
      <w:r w:rsidR="007A518C" w:rsidRPr="00083A53">
        <w:rPr>
          <w:rFonts w:eastAsia="Times New Roman"/>
        </w:rPr>
        <w:t>nd Damages</w:t>
      </w:r>
    </w:p>
    <w:p w:rsidR="00FB136F" w:rsidRPr="000D400B" w:rsidRDefault="00FB136F" w:rsidP="00FB136F">
      <w:pPr>
        <w:pStyle w:val="Heading5"/>
      </w:pPr>
      <w:r>
        <w:t>i</w:t>
      </w:r>
      <w:r w:rsidRPr="000D400B">
        <w:t>.</w:t>
      </w:r>
      <w:r w:rsidRPr="000D400B">
        <w:tab/>
      </w:r>
      <w:r w:rsidRPr="007A3997">
        <w:t>Adjustment No. 1</w:t>
      </w:r>
      <w:r>
        <w:t>3</w:t>
      </w:r>
      <w:r w:rsidRPr="007A518C">
        <w:t>.0</w:t>
      </w:r>
      <w:r>
        <w:t>7 – </w:t>
      </w:r>
      <w:r w:rsidRPr="00083A53">
        <w:rPr>
          <w:rFonts w:eastAsia="Times New Roman"/>
        </w:rPr>
        <w:t xml:space="preserve">Normalize Injuries </w:t>
      </w:r>
      <w:r>
        <w:rPr>
          <w:rFonts w:eastAsia="Times New Roman"/>
        </w:rPr>
        <w:t>a</w:t>
      </w:r>
      <w:r w:rsidRPr="00083A53">
        <w:rPr>
          <w:rFonts w:eastAsia="Times New Roman"/>
        </w:rPr>
        <w:t>nd Damages</w:t>
      </w:r>
      <w:r>
        <w:rPr>
          <w:rFonts w:eastAsia="Times New Roman"/>
        </w:rPr>
        <w:t xml:space="preserve"> (Electric)</w:t>
      </w:r>
    </w:p>
    <w:p w:rsidR="00F5160A" w:rsidRPr="00322E40" w:rsidRDefault="00566D6E" w:rsidP="00121EC6">
      <w:pPr>
        <w:pStyle w:val="ListParagraph"/>
      </w:pPr>
      <w:r w:rsidRPr="00322E40">
        <w:t xml:space="preserve">Adjustment </w:t>
      </w:r>
      <w:r w:rsidR="00E64A9E" w:rsidRPr="007A518C">
        <w:t>No.</w:t>
      </w:r>
      <w:r w:rsidR="00E64A9E">
        <w:t> 13</w:t>
      </w:r>
      <w:r w:rsidR="00E64A9E" w:rsidRPr="007A518C">
        <w:t>.0</w:t>
      </w:r>
      <w:r w:rsidR="00E64A9E">
        <w:t>7 – </w:t>
      </w:r>
      <w:r w:rsidR="00E64A9E" w:rsidRPr="00322E40">
        <w:t xml:space="preserve">Normalize Injuries and Damages </w:t>
      </w:r>
      <w:r w:rsidR="00F907A2">
        <w:t>is</w:t>
      </w:r>
      <w:r w:rsidR="00DB791E">
        <w:t xml:space="preserve"> uncontested </w:t>
      </w:r>
      <w:r w:rsidR="00F907A2">
        <w:t>and</w:t>
      </w:r>
      <w:r w:rsidR="00C14E9E" w:rsidRPr="00322E40">
        <w:t xml:space="preserve"> </w:t>
      </w:r>
      <w:r w:rsidR="00DB2E85" w:rsidRPr="00322E40">
        <w:t xml:space="preserve">increases </w:t>
      </w:r>
      <w:r w:rsidR="00F5160A" w:rsidRPr="00322E40">
        <w:t>net operating income for electric operations by $</w:t>
      </w:r>
      <w:r w:rsidR="00DB2E85" w:rsidRPr="00322E40">
        <w:t>69</w:t>
      </w:r>
      <w:r w:rsidR="00F5160A" w:rsidRPr="00322E40">
        <w:t>,</w:t>
      </w:r>
      <w:r w:rsidR="00DB2E85" w:rsidRPr="00322E40">
        <w:t>387</w:t>
      </w:r>
      <w:r w:rsidR="00F5160A" w:rsidRPr="00322E40">
        <w:t>.</w:t>
      </w:r>
      <w:r w:rsidR="00C14E9E" w:rsidRPr="00322E40">
        <w:t xml:space="preserve"> (</w:t>
      </w:r>
      <w:r w:rsidR="00C14E9E" w:rsidRPr="00322E40">
        <w:rPr>
          <w:i/>
        </w:rPr>
        <w:t>See</w:t>
      </w:r>
      <w:r w:rsidR="00F907A2">
        <w:rPr>
          <w:i/>
        </w:rPr>
        <w:t>, e.g.,</w:t>
      </w:r>
      <w:r w:rsidR="00C14E9E" w:rsidRPr="00322E40">
        <w:t> </w:t>
      </w:r>
      <w:proofErr w:type="spellStart"/>
      <w:r w:rsidR="00C14E9E" w:rsidRPr="00322E40">
        <w:t>Cheesman</w:t>
      </w:r>
      <w:proofErr w:type="spellEnd"/>
      <w:r w:rsidR="00C14E9E" w:rsidRPr="00322E40">
        <w:t xml:space="preserve">, </w:t>
      </w:r>
      <w:proofErr w:type="spellStart"/>
      <w:r w:rsidR="00C14E9E" w:rsidRPr="00322E40">
        <w:t>Exh</w:t>
      </w:r>
      <w:proofErr w:type="spellEnd"/>
      <w:r w:rsidR="00C14E9E" w:rsidRPr="00322E40">
        <w:t>. MCC-2r at 3.)</w:t>
      </w:r>
    </w:p>
    <w:p w:rsidR="00FB136F" w:rsidRPr="000D400B" w:rsidRDefault="00FB136F" w:rsidP="00FB136F">
      <w:pPr>
        <w:pStyle w:val="Heading5"/>
      </w:pPr>
      <w:r>
        <w:t>ii</w:t>
      </w:r>
      <w:r w:rsidRPr="000D400B">
        <w:t>.</w:t>
      </w:r>
      <w:r w:rsidRPr="000D400B">
        <w:tab/>
      </w:r>
      <w:r w:rsidRPr="007A3997">
        <w:t>Adjustment No. 1</w:t>
      </w:r>
      <w:r>
        <w:t>1</w:t>
      </w:r>
      <w:r w:rsidRPr="007A518C">
        <w:t>.0</w:t>
      </w:r>
      <w:r>
        <w:t>7 – </w:t>
      </w:r>
      <w:r w:rsidRPr="00083A53">
        <w:rPr>
          <w:rFonts w:eastAsia="Times New Roman"/>
        </w:rPr>
        <w:t xml:space="preserve">Normalize Injuries </w:t>
      </w:r>
      <w:r>
        <w:rPr>
          <w:rFonts w:eastAsia="Times New Roman"/>
        </w:rPr>
        <w:t>a</w:t>
      </w:r>
      <w:r w:rsidRPr="00083A53">
        <w:rPr>
          <w:rFonts w:eastAsia="Times New Roman"/>
        </w:rPr>
        <w:t>nd Damages</w:t>
      </w:r>
      <w:r>
        <w:rPr>
          <w:rFonts w:eastAsia="Times New Roman"/>
        </w:rPr>
        <w:t xml:space="preserve"> (Natural Gas)</w:t>
      </w:r>
    </w:p>
    <w:p w:rsidR="00FB136F" w:rsidRPr="00322E40" w:rsidRDefault="00FB136F" w:rsidP="00FB136F">
      <w:pPr>
        <w:pStyle w:val="ListParagraph"/>
      </w:pPr>
      <w:r w:rsidRPr="00322E40">
        <w:t xml:space="preserve">Adjustment </w:t>
      </w:r>
      <w:r w:rsidRPr="007A518C">
        <w:t>No.</w:t>
      </w:r>
      <w:r>
        <w:t> 11</w:t>
      </w:r>
      <w:r w:rsidRPr="007A518C">
        <w:t>.0</w:t>
      </w:r>
      <w:r>
        <w:t>7 – </w:t>
      </w:r>
      <w:r w:rsidRPr="00322E40">
        <w:t xml:space="preserve">Normalize Injuries and Damages </w:t>
      </w:r>
      <w:r>
        <w:t>is uncontested and de</w:t>
      </w:r>
      <w:r w:rsidRPr="00322E40">
        <w:t xml:space="preserve">creases net operating income for </w:t>
      </w:r>
      <w:r>
        <w:t xml:space="preserve">natural gas </w:t>
      </w:r>
      <w:r w:rsidRPr="00322E40">
        <w:t>operations by $</w:t>
      </w:r>
      <w:r>
        <w:t>57</w:t>
      </w:r>
      <w:r w:rsidRPr="00322E40">
        <w:t>,</w:t>
      </w:r>
      <w:r>
        <w:t>738</w:t>
      </w:r>
      <w:r w:rsidRPr="00322E40">
        <w:t>. (</w:t>
      </w:r>
      <w:r w:rsidRPr="00322E40">
        <w:rPr>
          <w:i/>
        </w:rPr>
        <w:t>See</w:t>
      </w:r>
      <w:r>
        <w:rPr>
          <w:i/>
        </w:rPr>
        <w:t>, e.g.,</w:t>
      </w:r>
      <w:r>
        <w:t xml:space="preserve">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 xml:space="preserve">r at </w:t>
      </w:r>
      <w:r>
        <w:t>2</w:t>
      </w:r>
      <w:r w:rsidRPr="00322E40">
        <w:t>.)</w:t>
      </w:r>
    </w:p>
    <w:p w:rsidR="00083A53" w:rsidRPr="007A518C" w:rsidRDefault="003B75F9" w:rsidP="007A518C">
      <w:pPr>
        <w:pStyle w:val="Heading4"/>
      </w:pPr>
      <w:r>
        <w:lastRenderedPageBreak/>
        <w:t>i</w:t>
      </w:r>
      <w:r w:rsidR="007A518C" w:rsidRPr="007A518C">
        <w:t>.</w:t>
      </w:r>
      <w:r w:rsidR="007A518C" w:rsidRPr="007A518C">
        <w:tab/>
      </w:r>
      <w:r w:rsidR="007A518C" w:rsidRPr="00083A53">
        <w:rPr>
          <w:rFonts w:eastAsia="Times New Roman"/>
        </w:rPr>
        <w:t>Bad Debts</w:t>
      </w:r>
    </w:p>
    <w:p w:rsidR="00FB136F" w:rsidRPr="000D400B" w:rsidRDefault="00FB136F" w:rsidP="00FB136F">
      <w:pPr>
        <w:pStyle w:val="Heading5"/>
      </w:pPr>
      <w:r>
        <w:t>i</w:t>
      </w:r>
      <w:r w:rsidRPr="000D400B">
        <w:t>.</w:t>
      </w:r>
      <w:r w:rsidRPr="000D400B">
        <w:tab/>
      </w:r>
      <w:r w:rsidRPr="007A3997">
        <w:t>Adjustment No. 1</w:t>
      </w:r>
      <w:r>
        <w:t>3</w:t>
      </w:r>
      <w:r w:rsidRPr="007A518C">
        <w:t>.0</w:t>
      </w:r>
      <w:r>
        <w:t>8 – </w:t>
      </w:r>
      <w:r>
        <w:rPr>
          <w:rFonts w:eastAsia="Times New Roman"/>
        </w:rPr>
        <w:t>Bad Debts (Electric)</w:t>
      </w:r>
    </w:p>
    <w:p w:rsidR="00DB2E85" w:rsidRPr="00322E40" w:rsidRDefault="00566D6E" w:rsidP="00121EC6">
      <w:pPr>
        <w:pStyle w:val="ListParagraph"/>
      </w:pPr>
      <w:r w:rsidRPr="00322E40">
        <w:t xml:space="preserve">Adjustment </w:t>
      </w:r>
      <w:r w:rsidR="00E64A9E" w:rsidRPr="007A518C">
        <w:t>No.</w:t>
      </w:r>
      <w:r w:rsidR="00E64A9E">
        <w:t> 13</w:t>
      </w:r>
      <w:r w:rsidR="00E64A9E" w:rsidRPr="007A518C">
        <w:t>.0</w:t>
      </w:r>
      <w:r w:rsidR="00E64A9E">
        <w:t>8 – </w:t>
      </w:r>
      <w:r w:rsidR="00E64A9E" w:rsidRPr="00322E40">
        <w:t xml:space="preserve">Bad Debts </w:t>
      </w:r>
      <w:r w:rsidR="00F907A2">
        <w:t>is</w:t>
      </w:r>
      <w:r w:rsidR="00DB791E">
        <w:t xml:space="preserve"> uncontested </w:t>
      </w:r>
      <w:r w:rsidR="00F907A2">
        <w:t>and</w:t>
      </w:r>
      <w:r w:rsidR="00C14E9E" w:rsidRPr="00322E40">
        <w:t xml:space="preserve"> </w:t>
      </w:r>
      <w:r w:rsidR="00DB2E85" w:rsidRPr="00322E40">
        <w:t>increases net operating income for electric operations by $681,065.</w:t>
      </w:r>
      <w:r w:rsidR="00C14E9E" w:rsidRPr="00322E40">
        <w:t xml:space="preserve"> (</w:t>
      </w:r>
      <w:r w:rsidR="00C14E9E" w:rsidRPr="00322E40">
        <w:rPr>
          <w:i/>
        </w:rPr>
        <w:t>See</w:t>
      </w:r>
      <w:r w:rsidR="00F907A2">
        <w:rPr>
          <w:i/>
        </w:rPr>
        <w:t>, e.g.,</w:t>
      </w:r>
      <w:r w:rsidR="00C14E9E" w:rsidRPr="00322E40">
        <w:t> </w:t>
      </w:r>
      <w:proofErr w:type="spellStart"/>
      <w:r w:rsidR="00C14E9E" w:rsidRPr="00322E40">
        <w:t>Cheesman</w:t>
      </w:r>
      <w:proofErr w:type="spellEnd"/>
      <w:r w:rsidR="00C14E9E" w:rsidRPr="00322E40">
        <w:t xml:space="preserve">, </w:t>
      </w:r>
      <w:proofErr w:type="spellStart"/>
      <w:r w:rsidR="00C14E9E" w:rsidRPr="00322E40">
        <w:t>Exh</w:t>
      </w:r>
      <w:proofErr w:type="spellEnd"/>
      <w:r w:rsidR="00C14E9E" w:rsidRPr="00322E40">
        <w:t>. MCC-2r at 3.)</w:t>
      </w:r>
    </w:p>
    <w:p w:rsidR="00FB136F" w:rsidRPr="000D400B" w:rsidRDefault="00FB136F" w:rsidP="00FB136F">
      <w:pPr>
        <w:pStyle w:val="Heading5"/>
      </w:pPr>
      <w:r>
        <w:t>ii</w:t>
      </w:r>
      <w:r w:rsidRPr="000D400B">
        <w:t>.</w:t>
      </w:r>
      <w:r w:rsidRPr="000D400B">
        <w:tab/>
      </w:r>
      <w:r w:rsidRPr="007A3997">
        <w:t>Adjustment No. </w:t>
      </w:r>
      <w:r>
        <w:t>11</w:t>
      </w:r>
      <w:r w:rsidRPr="007A518C">
        <w:t>.0</w:t>
      </w:r>
      <w:r>
        <w:t>8 – </w:t>
      </w:r>
      <w:r>
        <w:rPr>
          <w:rFonts w:eastAsia="Times New Roman"/>
        </w:rPr>
        <w:t>Bad Debts (Natural Gas)</w:t>
      </w:r>
    </w:p>
    <w:p w:rsidR="00FB136F" w:rsidRPr="00322E40" w:rsidRDefault="00FB136F" w:rsidP="00FB136F">
      <w:pPr>
        <w:pStyle w:val="ListParagraph"/>
      </w:pPr>
      <w:r w:rsidRPr="00322E40">
        <w:t xml:space="preserve">Adjustment </w:t>
      </w:r>
      <w:r w:rsidRPr="007A518C">
        <w:t>No.</w:t>
      </w:r>
      <w:r>
        <w:t> 11</w:t>
      </w:r>
      <w:r w:rsidRPr="007A518C">
        <w:t>.0</w:t>
      </w:r>
      <w:r>
        <w:t>8 – </w:t>
      </w:r>
      <w:r w:rsidRPr="00322E40">
        <w:t xml:space="preserve">Bad Debts </w:t>
      </w:r>
      <w:r>
        <w:t xml:space="preserve">is uncontested and </w:t>
      </w:r>
      <w:r w:rsidRPr="00322E40">
        <w:t xml:space="preserve">increases net operating income for </w:t>
      </w:r>
      <w:r>
        <w:t xml:space="preserve">natural gas </w:t>
      </w:r>
      <w:r w:rsidRPr="00322E40">
        <w:t>operations by $</w:t>
      </w:r>
      <w:r>
        <w:t>35</w:t>
      </w:r>
      <w:r w:rsidRPr="00322E40">
        <w:t>,</w:t>
      </w:r>
      <w:r>
        <w:t>240</w:t>
      </w:r>
      <w:r w:rsidRPr="00322E40">
        <w:t>. (</w:t>
      </w:r>
      <w:r w:rsidRPr="00322E40">
        <w:rPr>
          <w:i/>
        </w:rPr>
        <w:t>See</w:t>
      </w:r>
      <w:r>
        <w:rPr>
          <w:i/>
        </w:rPr>
        <w:t xml:space="preserve">, e.g.,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3.)</w:t>
      </w:r>
    </w:p>
    <w:p w:rsidR="00083A53" w:rsidRPr="007A518C" w:rsidRDefault="003B75F9" w:rsidP="007A518C">
      <w:pPr>
        <w:pStyle w:val="Heading4"/>
      </w:pPr>
      <w:r>
        <w:t>j</w:t>
      </w:r>
      <w:r w:rsidR="007A518C" w:rsidRPr="007A518C">
        <w:t>.</w:t>
      </w:r>
      <w:r w:rsidR="007A518C" w:rsidRPr="007A518C">
        <w:tab/>
      </w:r>
      <w:r w:rsidR="007A518C" w:rsidRPr="00083A53">
        <w:rPr>
          <w:rFonts w:eastAsia="Times New Roman"/>
        </w:rPr>
        <w:t>Incentive Pay</w:t>
      </w:r>
    </w:p>
    <w:p w:rsidR="004C7C31" w:rsidRPr="000D400B" w:rsidRDefault="004C7C31" w:rsidP="004C7C31">
      <w:pPr>
        <w:pStyle w:val="Heading5"/>
      </w:pPr>
      <w:r>
        <w:t>i</w:t>
      </w:r>
      <w:r w:rsidRPr="000D400B">
        <w:t>.</w:t>
      </w:r>
      <w:r w:rsidRPr="000D400B">
        <w:tab/>
      </w:r>
      <w:r w:rsidRPr="007A3997">
        <w:t>Adjustment No. </w:t>
      </w:r>
      <w:r>
        <w:t>13</w:t>
      </w:r>
      <w:r w:rsidRPr="007A518C">
        <w:t>.0</w:t>
      </w:r>
      <w:r>
        <w:t>9 – </w:t>
      </w:r>
      <w:r w:rsidRPr="00083A53">
        <w:rPr>
          <w:rFonts w:eastAsia="Times New Roman"/>
        </w:rPr>
        <w:t>Incentive Pay</w:t>
      </w:r>
      <w:r>
        <w:rPr>
          <w:rFonts w:eastAsia="Times New Roman"/>
        </w:rPr>
        <w:t xml:space="preserve"> (Electric)</w:t>
      </w:r>
    </w:p>
    <w:p w:rsidR="00DB2E85" w:rsidRPr="00322E40" w:rsidRDefault="00566D6E" w:rsidP="00121EC6">
      <w:pPr>
        <w:pStyle w:val="ListParagraph"/>
      </w:pPr>
      <w:r w:rsidRPr="00322E40">
        <w:t xml:space="preserve">Adjustment </w:t>
      </w:r>
      <w:r w:rsidR="00E64A9E" w:rsidRPr="007A518C">
        <w:t>No.</w:t>
      </w:r>
      <w:r w:rsidR="00E64A9E">
        <w:t> 13</w:t>
      </w:r>
      <w:r w:rsidR="00E64A9E" w:rsidRPr="007A518C">
        <w:t>.0</w:t>
      </w:r>
      <w:r w:rsidR="00E64A9E">
        <w:t>9 – </w:t>
      </w:r>
      <w:r w:rsidR="00E64A9E" w:rsidRPr="00322E40">
        <w:t xml:space="preserve">Incentive Pay </w:t>
      </w:r>
      <w:r w:rsidR="00F907A2">
        <w:t>is</w:t>
      </w:r>
      <w:r w:rsidR="00DB791E">
        <w:t xml:space="preserve"> uncontested </w:t>
      </w:r>
      <w:r w:rsidR="00F907A2">
        <w:t>and</w:t>
      </w:r>
      <w:r w:rsidR="00C656F4" w:rsidRPr="00322E40">
        <w:t xml:space="preserve"> </w:t>
      </w:r>
      <w:r w:rsidR="00DB2E85" w:rsidRPr="00322E40">
        <w:t>decreases net operating income for electric operations by $109,903.</w:t>
      </w:r>
      <w:r w:rsidR="00C656F4" w:rsidRPr="00322E40">
        <w:t xml:space="preserve"> (</w:t>
      </w:r>
      <w:r w:rsidR="00C656F4" w:rsidRPr="00322E40">
        <w:rPr>
          <w:i/>
        </w:rPr>
        <w:t>See</w:t>
      </w:r>
      <w:r w:rsidR="00F907A2">
        <w:rPr>
          <w:i/>
        </w:rPr>
        <w:t>, e.g.,</w:t>
      </w:r>
      <w:r w:rsidR="00C656F4" w:rsidRPr="00322E40">
        <w:t> </w:t>
      </w:r>
      <w:proofErr w:type="spellStart"/>
      <w:r w:rsidR="00C656F4" w:rsidRPr="00322E40">
        <w:t>Cheesman</w:t>
      </w:r>
      <w:proofErr w:type="spellEnd"/>
      <w:r w:rsidR="00C656F4" w:rsidRPr="00322E40">
        <w:t xml:space="preserve">, </w:t>
      </w:r>
      <w:proofErr w:type="spellStart"/>
      <w:r w:rsidR="00C656F4" w:rsidRPr="00322E40">
        <w:t>Exh</w:t>
      </w:r>
      <w:proofErr w:type="spellEnd"/>
      <w:r w:rsidR="00C656F4" w:rsidRPr="00322E40">
        <w:t>. MCC-2r at 3.)</w:t>
      </w:r>
    </w:p>
    <w:p w:rsidR="004C7C31" w:rsidRPr="000D400B" w:rsidRDefault="004C7C31" w:rsidP="004C7C31">
      <w:pPr>
        <w:pStyle w:val="Heading5"/>
      </w:pPr>
      <w:r>
        <w:t>ii</w:t>
      </w:r>
      <w:r w:rsidRPr="000D400B">
        <w:t>.</w:t>
      </w:r>
      <w:r w:rsidRPr="000D400B">
        <w:tab/>
      </w:r>
      <w:r w:rsidRPr="007A3997">
        <w:t>Adjustment No. </w:t>
      </w:r>
      <w:r>
        <w:t>11</w:t>
      </w:r>
      <w:r w:rsidRPr="007A518C">
        <w:t>.0</w:t>
      </w:r>
      <w:r>
        <w:t>9 – </w:t>
      </w:r>
      <w:r w:rsidRPr="00083A53">
        <w:rPr>
          <w:rFonts w:eastAsia="Times New Roman"/>
        </w:rPr>
        <w:t>Incentive Pay</w:t>
      </w:r>
      <w:r>
        <w:rPr>
          <w:rFonts w:eastAsia="Times New Roman"/>
        </w:rPr>
        <w:t xml:space="preserve"> (Natural Gas)</w:t>
      </w:r>
    </w:p>
    <w:p w:rsidR="004C7C31" w:rsidRPr="00322E40" w:rsidRDefault="004C7C31" w:rsidP="004C7C31">
      <w:pPr>
        <w:pStyle w:val="ListParagraph"/>
      </w:pPr>
      <w:r w:rsidRPr="00322E40">
        <w:t xml:space="preserve">Adjustment </w:t>
      </w:r>
      <w:r w:rsidRPr="007A518C">
        <w:t>No.</w:t>
      </w:r>
      <w:r>
        <w:t> 11</w:t>
      </w:r>
      <w:r w:rsidRPr="007A518C">
        <w:t>.0</w:t>
      </w:r>
      <w:r>
        <w:t>9 – </w:t>
      </w:r>
      <w:r w:rsidRPr="00322E40">
        <w:t xml:space="preserve">Incentive Pay </w:t>
      </w:r>
      <w:r>
        <w:t>is uncontested and in</w:t>
      </w:r>
      <w:r w:rsidRPr="00322E40">
        <w:t xml:space="preserve">creases net operating income for </w:t>
      </w:r>
      <w:r>
        <w:t xml:space="preserve">natural gas </w:t>
      </w:r>
      <w:r w:rsidRPr="00322E40">
        <w:t>operations by $10</w:t>
      </w:r>
      <w:r>
        <w:t>4</w:t>
      </w:r>
      <w:r w:rsidRPr="00322E40">
        <w:t>,</w:t>
      </w:r>
      <w:r>
        <w:t>023</w:t>
      </w:r>
      <w:r w:rsidRPr="00322E40">
        <w:t>. (</w:t>
      </w:r>
      <w:r w:rsidRPr="00322E40">
        <w:rPr>
          <w:i/>
        </w:rPr>
        <w:t>See</w:t>
      </w:r>
      <w:r>
        <w:rPr>
          <w:i/>
        </w:rPr>
        <w:t xml:space="preserve">, e.g.,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3.)</w:t>
      </w:r>
    </w:p>
    <w:p w:rsidR="00083A53" w:rsidRPr="007A518C" w:rsidRDefault="003B75F9" w:rsidP="007A518C">
      <w:pPr>
        <w:pStyle w:val="Heading4"/>
      </w:pPr>
      <w:r>
        <w:t>k</w:t>
      </w:r>
      <w:r w:rsidR="007A518C" w:rsidRPr="007A518C">
        <w:t>.</w:t>
      </w:r>
      <w:r w:rsidR="007A518C" w:rsidRPr="007A518C">
        <w:tab/>
      </w:r>
      <w:r w:rsidR="007A518C" w:rsidRPr="00083A53">
        <w:rPr>
          <w:rFonts w:eastAsia="Times New Roman"/>
        </w:rPr>
        <w:t>Directors &amp; Officers Insurance</w:t>
      </w:r>
    </w:p>
    <w:p w:rsidR="004C7C31" w:rsidRPr="000D400B" w:rsidRDefault="004C7C31" w:rsidP="004C7C31">
      <w:pPr>
        <w:pStyle w:val="Heading5"/>
      </w:pPr>
      <w:r>
        <w:t>i</w:t>
      </w:r>
      <w:r w:rsidRPr="000D400B">
        <w:t>.</w:t>
      </w:r>
      <w:r w:rsidRPr="000D400B">
        <w:tab/>
      </w:r>
      <w:r w:rsidRPr="007A3997">
        <w:t>Adjustment No. </w:t>
      </w:r>
      <w:r>
        <w:t>13</w:t>
      </w:r>
      <w:r w:rsidRPr="007A518C">
        <w:t>.</w:t>
      </w:r>
      <w:r>
        <w:t>1</w:t>
      </w:r>
      <w:r w:rsidRPr="007A518C">
        <w:t>0</w:t>
      </w:r>
      <w:r>
        <w:t> – </w:t>
      </w:r>
      <w:r w:rsidRPr="00083A53">
        <w:rPr>
          <w:rFonts w:eastAsia="Times New Roman"/>
        </w:rPr>
        <w:t>Directors &amp; Officers Insurance</w:t>
      </w:r>
      <w:r>
        <w:rPr>
          <w:rFonts w:eastAsia="Times New Roman"/>
        </w:rPr>
        <w:t xml:space="preserve"> (Electric)</w:t>
      </w:r>
    </w:p>
    <w:p w:rsidR="00DB2E85" w:rsidRPr="00322E40" w:rsidRDefault="00566D6E" w:rsidP="00121EC6">
      <w:pPr>
        <w:pStyle w:val="ListParagraph"/>
      </w:pPr>
      <w:r w:rsidRPr="00322E40">
        <w:t xml:space="preserve">Adjustment </w:t>
      </w:r>
      <w:r w:rsidR="00E64A9E" w:rsidRPr="007A518C">
        <w:t>No.</w:t>
      </w:r>
      <w:r w:rsidR="00E64A9E">
        <w:t> 13</w:t>
      </w:r>
      <w:r w:rsidR="00E64A9E" w:rsidRPr="007A518C">
        <w:t>.</w:t>
      </w:r>
      <w:r w:rsidR="00E64A9E">
        <w:t>1</w:t>
      </w:r>
      <w:r w:rsidR="00E64A9E" w:rsidRPr="007A518C">
        <w:t>0</w:t>
      </w:r>
      <w:r w:rsidR="00E64A9E">
        <w:t> – </w:t>
      </w:r>
      <w:r w:rsidR="00E64A9E" w:rsidRPr="00322E40">
        <w:t xml:space="preserve">Directors &amp; Officers Insurance </w:t>
      </w:r>
      <w:r w:rsidR="00F907A2">
        <w:t>is</w:t>
      </w:r>
      <w:r w:rsidR="00DB791E">
        <w:t xml:space="preserve"> uncontested </w:t>
      </w:r>
      <w:r w:rsidR="00F907A2">
        <w:t>and</w:t>
      </w:r>
      <w:r w:rsidR="00C656F4" w:rsidRPr="00322E40">
        <w:t xml:space="preserve"> </w:t>
      </w:r>
      <w:r w:rsidR="00DB2E85" w:rsidRPr="00322E40">
        <w:t>increases net operating income for electric operations by $16,141.</w:t>
      </w:r>
      <w:r w:rsidR="00C656F4" w:rsidRPr="00322E40">
        <w:t xml:space="preserve"> (</w:t>
      </w:r>
      <w:r w:rsidR="00C656F4" w:rsidRPr="00322E40">
        <w:rPr>
          <w:i/>
        </w:rPr>
        <w:t>See</w:t>
      </w:r>
      <w:r w:rsidR="00F907A2">
        <w:rPr>
          <w:i/>
        </w:rPr>
        <w:t>, e.g.,</w:t>
      </w:r>
      <w:r w:rsidR="00C656F4" w:rsidRPr="00322E40">
        <w:t> </w:t>
      </w:r>
      <w:proofErr w:type="spellStart"/>
      <w:r w:rsidR="00C656F4" w:rsidRPr="00322E40">
        <w:t>Cheesman</w:t>
      </w:r>
      <w:proofErr w:type="spellEnd"/>
      <w:r w:rsidR="00C656F4" w:rsidRPr="00322E40">
        <w:t xml:space="preserve">, </w:t>
      </w:r>
      <w:proofErr w:type="spellStart"/>
      <w:r w:rsidR="00C656F4" w:rsidRPr="00322E40">
        <w:t>Exh</w:t>
      </w:r>
      <w:proofErr w:type="spellEnd"/>
      <w:r w:rsidR="00C656F4" w:rsidRPr="00322E40">
        <w:t>. MCC-2r at 3.)</w:t>
      </w:r>
    </w:p>
    <w:p w:rsidR="004C7C31" w:rsidRPr="000D400B" w:rsidRDefault="004C7C31" w:rsidP="004C7C31">
      <w:pPr>
        <w:pStyle w:val="Heading5"/>
      </w:pPr>
      <w:r>
        <w:t>ii</w:t>
      </w:r>
      <w:r w:rsidRPr="000D400B">
        <w:t>.</w:t>
      </w:r>
      <w:r w:rsidRPr="000D400B">
        <w:tab/>
      </w:r>
      <w:r w:rsidRPr="007A3997">
        <w:t>Adjustment No. </w:t>
      </w:r>
      <w:r>
        <w:t>11</w:t>
      </w:r>
      <w:r w:rsidRPr="007A518C">
        <w:t>.</w:t>
      </w:r>
      <w:r>
        <w:t>1</w:t>
      </w:r>
      <w:r w:rsidRPr="007A518C">
        <w:t>0</w:t>
      </w:r>
      <w:r>
        <w:t> – </w:t>
      </w:r>
      <w:r w:rsidRPr="00083A53">
        <w:rPr>
          <w:rFonts w:eastAsia="Times New Roman"/>
        </w:rPr>
        <w:t>Directors &amp; Officers Insurance</w:t>
      </w:r>
      <w:r>
        <w:rPr>
          <w:rFonts w:eastAsia="Times New Roman"/>
        </w:rPr>
        <w:t xml:space="preserve"> (Natural Gas)</w:t>
      </w:r>
    </w:p>
    <w:p w:rsidR="004C7C31" w:rsidRPr="00322E40" w:rsidRDefault="004C7C31" w:rsidP="004C7C31">
      <w:pPr>
        <w:pStyle w:val="ListParagraph"/>
      </w:pPr>
      <w:r w:rsidRPr="00322E40">
        <w:t xml:space="preserve">Adjustment </w:t>
      </w:r>
      <w:r w:rsidRPr="007A518C">
        <w:t>No.</w:t>
      </w:r>
      <w:r>
        <w:t> 11</w:t>
      </w:r>
      <w:r w:rsidRPr="007A518C">
        <w:t>.</w:t>
      </w:r>
      <w:r>
        <w:t>1</w:t>
      </w:r>
      <w:r w:rsidRPr="007A518C">
        <w:t>0</w:t>
      </w:r>
      <w:r>
        <w:t> – </w:t>
      </w:r>
      <w:r w:rsidRPr="00322E40">
        <w:t xml:space="preserve">Directors &amp; Officers Insurance </w:t>
      </w:r>
      <w:r>
        <w:t xml:space="preserve">is uncontested and </w:t>
      </w:r>
      <w:r w:rsidRPr="00322E40">
        <w:t xml:space="preserve">increases net operating income for </w:t>
      </w:r>
      <w:r>
        <w:t xml:space="preserve">natural gas </w:t>
      </w:r>
      <w:r w:rsidRPr="00322E40">
        <w:t>operations by $1</w:t>
      </w:r>
      <w:r>
        <w:t>1</w:t>
      </w:r>
      <w:r w:rsidRPr="00322E40">
        <w:t>,</w:t>
      </w:r>
      <w:r>
        <w:t>636</w:t>
      </w:r>
      <w:r w:rsidRPr="00322E40">
        <w:t>. (</w:t>
      </w:r>
      <w:r w:rsidRPr="00322E40">
        <w:rPr>
          <w:i/>
        </w:rPr>
        <w:t>See</w:t>
      </w:r>
      <w:r w:rsidRPr="00B9601B">
        <w:rPr>
          <w:i/>
        </w:rPr>
        <w:t>, e.g.,</w:t>
      </w:r>
      <w:r>
        <w:t xml:space="preserve">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3.)</w:t>
      </w:r>
    </w:p>
    <w:p w:rsidR="00083A53" w:rsidRPr="007A518C" w:rsidRDefault="003B75F9" w:rsidP="007A518C">
      <w:pPr>
        <w:pStyle w:val="Heading4"/>
      </w:pPr>
      <w:r>
        <w:lastRenderedPageBreak/>
        <w:t>l</w:t>
      </w:r>
      <w:r w:rsidR="007A518C" w:rsidRPr="007A518C">
        <w:t>.</w:t>
      </w:r>
      <w:r w:rsidR="007A518C" w:rsidRPr="007A518C">
        <w:tab/>
      </w:r>
      <w:r w:rsidR="007A518C" w:rsidRPr="00083A53">
        <w:rPr>
          <w:rFonts w:eastAsia="Times New Roman"/>
        </w:rPr>
        <w:t xml:space="preserve">Interest </w:t>
      </w:r>
      <w:r w:rsidR="007A518C">
        <w:rPr>
          <w:rFonts w:eastAsia="Times New Roman"/>
        </w:rPr>
        <w:t>o</w:t>
      </w:r>
      <w:r w:rsidR="007A518C" w:rsidRPr="00083A53">
        <w:rPr>
          <w:rFonts w:eastAsia="Times New Roman"/>
        </w:rPr>
        <w:t>n Customer Deposits</w:t>
      </w:r>
    </w:p>
    <w:p w:rsidR="004C7C31" w:rsidRPr="000D400B" w:rsidRDefault="004C7C31" w:rsidP="004C7C31">
      <w:pPr>
        <w:pStyle w:val="Heading5"/>
      </w:pPr>
      <w:r>
        <w:t>i</w:t>
      </w:r>
      <w:r w:rsidRPr="000D400B">
        <w:t>.</w:t>
      </w:r>
      <w:r w:rsidRPr="000D400B">
        <w:tab/>
      </w:r>
      <w:r w:rsidRPr="007A3997">
        <w:t>Adjustment No. </w:t>
      </w:r>
      <w:r>
        <w:t>13</w:t>
      </w:r>
      <w:r w:rsidRPr="007A518C">
        <w:t>.</w:t>
      </w:r>
      <w:r>
        <w:t>11 – </w:t>
      </w:r>
      <w:r w:rsidRPr="00083A53">
        <w:rPr>
          <w:rFonts w:eastAsia="Times New Roman"/>
        </w:rPr>
        <w:t xml:space="preserve">Interest </w:t>
      </w:r>
      <w:r>
        <w:rPr>
          <w:rFonts w:eastAsia="Times New Roman"/>
        </w:rPr>
        <w:t>o</w:t>
      </w:r>
      <w:r w:rsidRPr="00083A53">
        <w:rPr>
          <w:rFonts w:eastAsia="Times New Roman"/>
        </w:rPr>
        <w:t>n Customer Deposits</w:t>
      </w:r>
      <w:r>
        <w:rPr>
          <w:rFonts w:eastAsia="Times New Roman"/>
        </w:rPr>
        <w:t xml:space="preserve"> (Electric)</w:t>
      </w:r>
    </w:p>
    <w:p w:rsidR="00DB2E85" w:rsidRPr="00322E40" w:rsidRDefault="00566D6E" w:rsidP="00121EC6">
      <w:pPr>
        <w:pStyle w:val="ListParagraph"/>
      </w:pPr>
      <w:r w:rsidRPr="00322E40">
        <w:t xml:space="preserve">Adjustment </w:t>
      </w:r>
      <w:r w:rsidR="00E64A9E" w:rsidRPr="007A518C">
        <w:t>No.</w:t>
      </w:r>
      <w:r w:rsidR="00E64A9E">
        <w:t> 13</w:t>
      </w:r>
      <w:r w:rsidR="00E64A9E" w:rsidRPr="007A518C">
        <w:t>.</w:t>
      </w:r>
      <w:r w:rsidR="00E64A9E">
        <w:t>11 – </w:t>
      </w:r>
      <w:r w:rsidR="00E64A9E" w:rsidRPr="00322E40">
        <w:t xml:space="preserve">Interest on Customer Deposits </w:t>
      </w:r>
      <w:r w:rsidR="00F907A2">
        <w:t>is</w:t>
      </w:r>
      <w:r w:rsidR="00DB791E">
        <w:t xml:space="preserve"> uncontested </w:t>
      </w:r>
      <w:r w:rsidR="00F907A2">
        <w:t>and</w:t>
      </w:r>
      <w:r w:rsidR="00A74AC1" w:rsidRPr="00322E40">
        <w:t xml:space="preserve"> </w:t>
      </w:r>
      <w:r w:rsidR="00DB2E85" w:rsidRPr="00322E40">
        <w:t>decreases net operating income for electric operations by $176,606.</w:t>
      </w:r>
      <w:r w:rsidR="00A74AC1" w:rsidRPr="00322E40">
        <w:t xml:space="preserve"> (</w:t>
      </w:r>
      <w:r w:rsidR="00A74AC1" w:rsidRPr="00322E40">
        <w:rPr>
          <w:i/>
        </w:rPr>
        <w:t>See</w:t>
      </w:r>
      <w:r w:rsidR="00F907A2">
        <w:rPr>
          <w:i/>
        </w:rPr>
        <w:t>, e.g.,</w:t>
      </w:r>
      <w:r w:rsidR="00A74AC1" w:rsidRPr="00322E40">
        <w:t> </w:t>
      </w:r>
      <w:proofErr w:type="spellStart"/>
      <w:r w:rsidR="00A74AC1" w:rsidRPr="00322E40">
        <w:t>Cheesman</w:t>
      </w:r>
      <w:proofErr w:type="spellEnd"/>
      <w:r w:rsidR="00A74AC1" w:rsidRPr="00322E40">
        <w:t xml:space="preserve">, </w:t>
      </w:r>
      <w:proofErr w:type="spellStart"/>
      <w:r w:rsidR="00A74AC1" w:rsidRPr="00322E40">
        <w:t>Exh</w:t>
      </w:r>
      <w:proofErr w:type="spellEnd"/>
      <w:r w:rsidR="00A74AC1" w:rsidRPr="00322E40">
        <w:t>. MCC-2r at 3.)</w:t>
      </w:r>
    </w:p>
    <w:p w:rsidR="004C7C31" w:rsidRPr="000D400B" w:rsidRDefault="004C7C31" w:rsidP="004C7C31">
      <w:pPr>
        <w:pStyle w:val="Heading5"/>
      </w:pPr>
      <w:r>
        <w:t>ii</w:t>
      </w:r>
      <w:r w:rsidRPr="000D400B">
        <w:t>.</w:t>
      </w:r>
      <w:r w:rsidRPr="000D400B">
        <w:tab/>
      </w:r>
      <w:r w:rsidRPr="007A3997">
        <w:t>Adjustment No. </w:t>
      </w:r>
      <w:r>
        <w:t>11</w:t>
      </w:r>
      <w:r w:rsidRPr="007A518C">
        <w:t>.</w:t>
      </w:r>
      <w:r>
        <w:t>11 – </w:t>
      </w:r>
      <w:r w:rsidRPr="00083A53">
        <w:rPr>
          <w:rFonts w:eastAsia="Times New Roman"/>
        </w:rPr>
        <w:t xml:space="preserve">Interest </w:t>
      </w:r>
      <w:r>
        <w:rPr>
          <w:rFonts w:eastAsia="Times New Roman"/>
        </w:rPr>
        <w:t>o</w:t>
      </w:r>
      <w:r w:rsidRPr="00083A53">
        <w:rPr>
          <w:rFonts w:eastAsia="Times New Roman"/>
        </w:rPr>
        <w:t>n Customer Deposits</w:t>
      </w:r>
      <w:r>
        <w:rPr>
          <w:rFonts w:eastAsia="Times New Roman"/>
        </w:rPr>
        <w:t xml:space="preserve"> (Natural Gas)</w:t>
      </w:r>
    </w:p>
    <w:p w:rsidR="004C7C31" w:rsidRPr="00322E40" w:rsidRDefault="004C7C31" w:rsidP="004C7C31">
      <w:pPr>
        <w:pStyle w:val="ListParagraph"/>
      </w:pPr>
      <w:r w:rsidRPr="00322E40">
        <w:t xml:space="preserve">Adjustment </w:t>
      </w:r>
      <w:r w:rsidRPr="007A518C">
        <w:t>No.</w:t>
      </w:r>
      <w:r>
        <w:t> 11</w:t>
      </w:r>
      <w:r w:rsidRPr="007A518C">
        <w:t>.</w:t>
      </w:r>
      <w:r>
        <w:t>11 – </w:t>
      </w:r>
      <w:r w:rsidRPr="00322E40">
        <w:t xml:space="preserve">Interest on Customer Deposits </w:t>
      </w:r>
      <w:r>
        <w:t xml:space="preserve">is uncontested and </w:t>
      </w:r>
      <w:r w:rsidRPr="00322E40">
        <w:t xml:space="preserve">decreases net operating income for </w:t>
      </w:r>
      <w:r>
        <w:t xml:space="preserve">natural gas </w:t>
      </w:r>
      <w:r w:rsidRPr="00322E40">
        <w:t>operations by $</w:t>
      </w:r>
      <w:r>
        <w:t>50,137</w:t>
      </w:r>
      <w:r w:rsidRPr="00322E40">
        <w:t>. (</w:t>
      </w:r>
      <w:r w:rsidRPr="00B9601B">
        <w:rPr>
          <w:i/>
        </w:rPr>
        <w:t>See, e.g.,</w:t>
      </w:r>
      <w:r>
        <w:t xml:space="preserve">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3.)</w:t>
      </w:r>
    </w:p>
    <w:p w:rsidR="00083A53" w:rsidRPr="00D17B1C" w:rsidRDefault="003B75F9" w:rsidP="007A518C">
      <w:pPr>
        <w:pStyle w:val="Heading4"/>
      </w:pPr>
      <w:r>
        <w:t>m</w:t>
      </w:r>
      <w:r w:rsidR="007A518C" w:rsidRPr="00D17B1C">
        <w:t>.</w:t>
      </w:r>
      <w:r w:rsidR="007A518C" w:rsidRPr="00D17B1C">
        <w:tab/>
      </w:r>
      <w:r w:rsidR="007A518C" w:rsidRPr="00D17B1C">
        <w:rPr>
          <w:rFonts w:eastAsia="Times New Roman"/>
        </w:rPr>
        <w:t>Rate Case Expenses</w:t>
      </w:r>
    </w:p>
    <w:p w:rsidR="004C7C31" w:rsidRPr="000D400B" w:rsidRDefault="004C7C31" w:rsidP="004C7C31">
      <w:pPr>
        <w:pStyle w:val="Heading5"/>
      </w:pPr>
      <w:r>
        <w:t>i</w:t>
      </w:r>
      <w:r w:rsidRPr="000D400B">
        <w:t>.</w:t>
      </w:r>
      <w:r w:rsidRPr="000D400B">
        <w:tab/>
      </w:r>
      <w:r w:rsidRPr="007A3997">
        <w:t>Adjustment No. </w:t>
      </w:r>
      <w:r>
        <w:t>13</w:t>
      </w:r>
      <w:r w:rsidRPr="007A518C">
        <w:t>.</w:t>
      </w:r>
      <w:r w:rsidRPr="00D17B1C">
        <w:t>12 – </w:t>
      </w:r>
      <w:r w:rsidRPr="00D17B1C">
        <w:rPr>
          <w:rFonts w:eastAsia="Times New Roman"/>
        </w:rPr>
        <w:t>Rate Case Expenses</w:t>
      </w:r>
      <w:r>
        <w:rPr>
          <w:rFonts w:eastAsia="Times New Roman"/>
        </w:rPr>
        <w:t xml:space="preserve"> (Electric)</w:t>
      </w:r>
    </w:p>
    <w:p w:rsidR="002B46AC" w:rsidRPr="00322E40" w:rsidRDefault="002B46AC" w:rsidP="00121EC6">
      <w:pPr>
        <w:pStyle w:val="ListParagraph"/>
      </w:pPr>
      <w:r w:rsidRPr="00D17B1C">
        <w:t xml:space="preserve">The Settling Parties agree to use </w:t>
      </w:r>
      <w:r w:rsidRPr="00322E40">
        <w:t xml:space="preserve">Adjustment </w:t>
      </w:r>
      <w:r w:rsidRPr="00D17B1C">
        <w:t>No. 13.12 – </w:t>
      </w:r>
      <w:r w:rsidRPr="00322E40">
        <w:t>Rate Case Expenses proposed by PSE, which decreases net operating income for electric operations by $</w:t>
      </w:r>
      <w:r w:rsidR="00D17B1C" w:rsidRPr="00322E40">
        <w:t>264,905. (</w:t>
      </w:r>
      <w:r w:rsidR="00D17B1C" w:rsidRPr="00322E40">
        <w:rPr>
          <w:i/>
        </w:rPr>
        <w:t>See</w:t>
      </w:r>
      <w:r w:rsidR="00D17B1C" w:rsidRPr="00322E40">
        <w:t xml:space="preserve"> Barnard, </w:t>
      </w:r>
      <w:proofErr w:type="spellStart"/>
      <w:r w:rsidR="00D17B1C" w:rsidRPr="00322E40">
        <w:t>Exh</w:t>
      </w:r>
      <w:proofErr w:type="spellEnd"/>
      <w:r w:rsidR="00D17B1C" w:rsidRPr="00322E40">
        <w:t>. KJB-</w:t>
      </w:r>
      <w:r w:rsidR="00D17B1C" w:rsidRPr="00F75C98">
        <w:t>19</w:t>
      </w:r>
      <w:r w:rsidR="00D17B1C" w:rsidRPr="00322E40">
        <w:t xml:space="preserve"> at 3 (labeled therein as “Adjustment </w:t>
      </w:r>
      <w:r w:rsidR="00D17B1C" w:rsidRPr="00D17B1C">
        <w:t>No. 20.12 – </w:t>
      </w:r>
      <w:r w:rsidR="00D17B1C" w:rsidRPr="00322E40">
        <w:t>Rate Case Expenses</w:t>
      </w:r>
      <w:r w:rsidR="00D17B1C" w:rsidRPr="00D17B1C">
        <w:t>”)</w:t>
      </w:r>
      <w:r w:rsidR="00D17B1C" w:rsidRPr="00322E40">
        <w:t>.)</w:t>
      </w:r>
    </w:p>
    <w:p w:rsidR="004C7C31" w:rsidRPr="000D400B" w:rsidRDefault="004C7C31" w:rsidP="004C7C31">
      <w:pPr>
        <w:pStyle w:val="Heading5"/>
      </w:pPr>
      <w:r>
        <w:t>ii</w:t>
      </w:r>
      <w:r w:rsidRPr="000D400B">
        <w:t>.</w:t>
      </w:r>
      <w:r w:rsidRPr="000D400B">
        <w:tab/>
      </w:r>
      <w:r w:rsidRPr="007A3997">
        <w:t>Adjustment No. </w:t>
      </w:r>
      <w:r>
        <w:t>11</w:t>
      </w:r>
      <w:r w:rsidRPr="007A518C">
        <w:t>.</w:t>
      </w:r>
      <w:r w:rsidRPr="00D17B1C">
        <w:t>12 – </w:t>
      </w:r>
      <w:r w:rsidRPr="00D17B1C">
        <w:rPr>
          <w:rFonts w:eastAsia="Times New Roman"/>
        </w:rPr>
        <w:t>Rate Case Expenses</w:t>
      </w:r>
      <w:r>
        <w:rPr>
          <w:rFonts w:eastAsia="Times New Roman"/>
        </w:rPr>
        <w:t xml:space="preserve"> (Natural Gas)</w:t>
      </w:r>
    </w:p>
    <w:p w:rsidR="004C7C31" w:rsidRPr="002A62B7" w:rsidRDefault="004C7C31" w:rsidP="004C7C31">
      <w:pPr>
        <w:pStyle w:val="ListParagraph"/>
      </w:pPr>
      <w:r w:rsidRPr="002A62B7">
        <w:t>The Settling Parties agree to use Adjustment No. 11.12 – Rate Case Expenses proposed by PSE, which decreases net operating income for natural gas operations by $280,617. (</w:t>
      </w:r>
      <w:r w:rsidRPr="002A62B7">
        <w:rPr>
          <w:i/>
        </w:rPr>
        <w:t>See</w:t>
      </w:r>
      <w:r w:rsidRPr="002A62B7">
        <w:t xml:space="preserve"> Free, </w:t>
      </w:r>
      <w:proofErr w:type="spellStart"/>
      <w:r w:rsidRPr="002A62B7">
        <w:t>Exh</w:t>
      </w:r>
      <w:proofErr w:type="spellEnd"/>
      <w:r w:rsidRPr="002A62B7">
        <w:t>. SEF-14 at 3</w:t>
      </w:r>
      <w:r>
        <w:t xml:space="preserve"> (labeled therein as “</w:t>
      </w:r>
      <w:r w:rsidRPr="002A62B7">
        <w:t>Adjustment No. 1</w:t>
      </w:r>
      <w:r>
        <w:t>5</w:t>
      </w:r>
      <w:r w:rsidRPr="002A62B7">
        <w:t>.12 – Rate Case Expenses</w:t>
      </w:r>
      <w:r>
        <w:t>”)</w:t>
      </w:r>
      <w:r w:rsidRPr="002A62B7">
        <w:t>.)</w:t>
      </w:r>
    </w:p>
    <w:p w:rsidR="00083A53" w:rsidRPr="00F75C98" w:rsidRDefault="003B75F9" w:rsidP="007A518C">
      <w:pPr>
        <w:pStyle w:val="Heading4"/>
      </w:pPr>
      <w:r>
        <w:lastRenderedPageBreak/>
        <w:t>n</w:t>
      </w:r>
      <w:r w:rsidR="007A518C" w:rsidRPr="007A518C">
        <w:t>.</w:t>
      </w:r>
      <w:r w:rsidR="007A518C" w:rsidRPr="007A518C">
        <w:tab/>
      </w:r>
      <w:r w:rsidR="007A518C" w:rsidRPr="00F75C98">
        <w:rPr>
          <w:rFonts w:eastAsia="Times New Roman"/>
        </w:rPr>
        <w:t>Deferred Gains/Losses on Property Sales</w:t>
      </w:r>
    </w:p>
    <w:p w:rsidR="004C7C31" w:rsidRPr="000D400B" w:rsidRDefault="004C7C31" w:rsidP="004C7C31">
      <w:pPr>
        <w:pStyle w:val="Heading5"/>
      </w:pPr>
      <w:r>
        <w:t>i</w:t>
      </w:r>
      <w:r w:rsidRPr="000D400B">
        <w:t>.</w:t>
      </w:r>
      <w:r w:rsidRPr="000D400B">
        <w:tab/>
      </w:r>
      <w:r w:rsidRPr="00F75C98">
        <w:t>Adjustment No. 13.13 – </w:t>
      </w:r>
      <w:r w:rsidRPr="00F75C98">
        <w:rPr>
          <w:rFonts w:eastAsia="Times New Roman"/>
        </w:rPr>
        <w:t>Deferred Gains/Losses on Property Sales</w:t>
      </w:r>
      <w:r>
        <w:rPr>
          <w:rFonts w:eastAsia="Times New Roman"/>
        </w:rPr>
        <w:t xml:space="preserve"> (Electric)</w:t>
      </w:r>
    </w:p>
    <w:p w:rsidR="00DB2E85" w:rsidRPr="00F75C98" w:rsidRDefault="00566D6E" w:rsidP="00121EC6">
      <w:pPr>
        <w:pStyle w:val="ListParagraph"/>
      </w:pPr>
      <w:r w:rsidRPr="00F75C98">
        <w:t xml:space="preserve">Adjustment </w:t>
      </w:r>
      <w:r w:rsidR="00C14E9E" w:rsidRPr="00F75C98">
        <w:t xml:space="preserve">No. 13.13 – Deferred Gains/Losses on Property Sales </w:t>
      </w:r>
      <w:r w:rsidR="00F907A2">
        <w:t>is</w:t>
      </w:r>
      <w:r w:rsidR="00805CF1">
        <w:t xml:space="preserve"> uncontested </w:t>
      </w:r>
      <w:r w:rsidR="00F907A2">
        <w:t>and</w:t>
      </w:r>
      <w:r w:rsidR="00C656F4" w:rsidRPr="00F75C98">
        <w:t xml:space="preserve"> </w:t>
      </w:r>
      <w:r w:rsidR="00DB2E85" w:rsidRPr="00F75C98">
        <w:t>increases net operating income for electric operations by $171,200.</w:t>
      </w:r>
      <w:r w:rsidR="00C656F4" w:rsidRPr="00F75C98">
        <w:t xml:space="preserve"> (</w:t>
      </w:r>
      <w:r w:rsidR="00C656F4" w:rsidRPr="00F75C98">
        <w:rPr>
          <w:i/>
        </w:rPr>
        <w:t>See</w:t>
      </w:r>
      <w:r w:rsidR="00F907A2">
        <w:rPr>
          <w:i/>
        </w:rPr>
        <w:t>, e.g.,</w:t>
      </w:r>
      <w:r w:rsidR="00C656F4" w:rsidRPr="00F75C98">
        <w:t> </w:t>
      </w:r>
      <w:proofErr w:type="spellStart"/>
      <w:r w:rsidR="00C656F4" w:rsidRPr="00F75C98">
        <w:t>Cheesman</w:t>
      </w:r>
      <w:proofErr w:type="spellEnd"/>
      <w:r w:rsidR="00C656F4" w:rsidRPr="00F75C98">
        <w:t xml:space="preserve">, </w:t>
      </w:r>
      <w:proofErr w:type="spellStart"/>
      <w:r w:rsidR="00C656F4" w:rsidRPr="00F75C98">
        <w:t>Exh</w:t>
      </w:r>
      <w:proofErr w:type="spellEnd"/>
      <w:r w:rsidR="00C656F4" w:rsidRPr="00F75C98">
        <w:t>. MCC-2r at 3.)</w:t>
      </w:r>
    </w:p>
    <w:p w:rsidR="004C7C31" w:rsidRPr="000D400B" w:rsidRDefault="004C7C31" w:rsidP="004C7C31">
      <w:pPr>
        <w:pStyle w:val="Heading5"/>
      </w:pPr>
      <w:r>
        <w:t>ii</w:t>
      </w:r>
      <w:r w:rsidRPr="000D400B">
        <w:t>.</w:t>
      </w:r>
      <w:r w:rsidRPr="000D400B">
        <w:tab/>
      </w:r>
      <w:r w:rsidRPr="00F75C98">
        <w:t>Adjustment No. </w:t>
      </w:r>
      <w:r>
        <w:t>11</w:t>
      </w:r>
      <w:r w:rsidRPr="00F75C98">
        <w:t>.13 – </w:t>
      </w:r>
      <w:r w:rsidRPr="00F75C98">
        <w:rPr>
          <w:rFonts w:eastAsia="Times New Roman"/>
        </w:rPr>
        <w:t>Deferred Gains/Losses on Property Sales</w:t>
      </w:r>
      <w:r>
        <w:rPr>
          <w:rFonts w:eastAsia="Times New Roman"/>
        </w:rPr>
        <w:t xml:space="preserve"> (Natural Gas)</w:t>
      </w:r>
    </w:p>
    <w:p w:rsidR="004C7C31" w:rsidRPr="002A62B7" w:rsidRDefault="004C7C31" w:rsidP="004C7C31">
      <w:pPr>
        <w:pStyle w:val="ListParagraph"/>
      </w:pPr>
      <w:r w:rsidRPr="002A62B7">
        <w:t>The Settling Parties agree to use Adjustment No. 11.13 – Deferred Gains/Losses on Property Sales proposed by PSE, which decreases net operating income for natural gas operations by $105,090. (</w:t>
      </w:r>
      <w:r w:rsidRPr="002A62B7">
        <w:rPr>
          <w:i/>
        </w:rPr>
        <w:t>See</w:t>
      </w:r>
      <w:r w:rsidRPr="002A62B7">
        <w:t xml:space="preserve"> Free, </w:t>
      </w:r>
      <w:proofErr w:type="spellStart"/>
      <w:r w:rsidRPr="002A62B7">
        <w:t>Exh</w:t>
      </w:r>
      <w:proofErr w:type="spellEnd"/>
      <w:r w:rsidRPr="002A62B7">
        <w:t>. SEF-14 at 3</w:t>
      </w:r>
      <w:r>
        <w:t xml:space="preserve"> (labeled therein as “</w:t>
      </w:r>
      <w:r w:rsidRPr="002A62B7">
        <w:t>Adjustment No. 1</w:t>
      </w:r>
      <w:r>
        <w:t>5</w:t>
      </w:r>
      <w:r w:rsidRPr="002A62B7">
        <w:t>.13 – Deferred Gains/Losses on Property Sales</w:t>
      </w:r>
      <w:r>
        <w:t>”)</w:t>
      </w:r>
      <w:r w:rsidRPr="002A62B7">
        <w:t>.)</w:t>
      </w:r>
    </w:p>
    <w:p w:rsidR="007A518C" w:rsidRDefault="003B75F9" w:rsidP="007A518C">
      <w:pPr>
        <w:pStyle w:val="Heading4"/>
        <w:rPr>
          <w:rFonts w:eastAsia="Times New Roman"/>
        </w:rPr>
      </w:pPr>
      <w:r>
        <w:t>o</w:t>
      </w:r>
      <w:r w:rsidR="007A518C" w:rsidRPr="007A518C">
        <w:t>.</w:t>
      </w:r>
      <w:r w:rsidR="007A518C" w:rsidRPr="007A518C">
        <w:tab/>
      </w:r>
      <w:r w:rsidR="007A518C" w:rsidRPr="00083A53">
        <w:rPr>
          <w:rFonts w:eastAsia="Times New Roman"/>
        </w:rPr>
        <w:t>Property &amp; Liability Insurance</w:t>
      </w:r>
    </w:p>
    <w:p w:rsidR="004C7C31" w:rsidRPr="000D400B" w:rsidRDefault="004C7C31" w:rsidP="004C7C31">
      <w:pPr>
        <w:pStyle w:val="Heading5"/>
      </w:pPr>
      <w:r>
        <w:t>i</w:t>
      </w:r>
      <w:r w:rsidRPr="000D400B">
        <w:t>.</w:t>
      </w:r>
      <w:r w:rsidRPr="000D400B">
        <w:tab/>
      </w:r>
      <w:r w:rsidRPr="007A518C">
        <w:t>Adjustment No.</w:t>
      </w:r>
      <w:r>
        <w:t> 13</w:t>
      </w:r>
      <w:r w:rsidRPr="007A518C">
        <w:t>.</w:t>
      </w:r>
      <w:r>
        <w:t>14 – </w:t>
      </w:r>
      <w:r w:rsidRPr="00083A53">
        <w:rPr>
          <w:rFonts w:eastAsia="Times New Roman"/>
        </w:rPr>
        <w:t>Property &amp; Liability Insurance</w:t>
      </w:r>
      <w:r>
        <w:rPr>
          <w:rFonts w:eastAsia="Times New Roman"/>
        </w:rPr>
        <w:t xml:space="preserve"> (Electric)</w:t>
      </w:r>
    </w:p>
    <w:p w:rsidR="00C656F4" w:rsidRPr="00322E40" w:rsidRDefault="00566D6E" w:rsidP="00121EC6">
      <w:pPr>
        <w:pStyle w:val="ListParagraph"/>
      </w:pPr>
      <w:r w:rsidRPr="00322E40">
        <w:t xml:space="preserve">Adjustment </w:t>
      </w:r>
      <w:r w:rsidR="00C656F4" w:rsidRPr="007A518C">
        <w:t>No.</w:t>
      </w:r>
      <w:r w:rsidR="00C656F4">
        <w:t> 13</w:t>
      </w:r>
      <w:r w:rsidR="00C656F4" w:rsidRPr="007A518C">
        <w:t>.</w:t>
      </w:r>
      <w:r w:rsidR="00C656F4">
        <w:t>14 – </w:t>
      </w:r>
      <w:r w:rsidR="00C656F4" w:rsidRPr="00322E40">
        <w:t xml:space="preserve">Property &amp; Liability Insurance </w:t>
      </w:r>
      <w:r w:rsidR="00F907A2">
        <w:t>is</w:t>
      </w:r>
      <w:r w:rsidR="00DB791E">
        <w:t xml:space="preserve"> uncontested </w:t>
      </w:r>
      <w:r w:rsidR="00F907A2">
        <w:t>and</w:t>
      </w:r>
      <w:r w:rsidR="00C656F4" w:rsidRPr="00322E40">
        <w:t xml:space="preserve"> increases net operating income for electric operations by $66,147. (</w:t>
      </w:r>
      <w:r w:rsidR="00C656F4" w:rsidRPr="00322E40">
        <w:rPr>
          <w:i/>
        </w:rPr>
        <w:t>See</w:t>
      </w:r>
      <w:r w:rsidR="00F907A2">
        <w:rPr>
          <w:i/>
        </w:rPr>
        <w:t>, e.g.,</w:t>
      </w:r>
      <w:r w:rsidR="00C656F4" w:rsidRPr="00322E40">
        <w:t> </w:t>
      </w:r>
      <w:proofErr w:type="spellStart"/>
      <w:r w:rsidR="00C656F4" w:rsidRPr="00322E40">
        <w:t>Cheesman</w:t>
      </w:r>
      <w:proofErr w:type="spellEnd"/>
      <w:r w:rsidR="00C656F4" w:rsidRPr="00322E40">
        <w:t xml:space="preserve">, </w:t>
      </w:r>
      <w:proofErr w:type="spellStart"/>
      <w:r w:rsidR="00C656F4" w:rsidRPr="00322E40">
        <w:t>Exh</w:t>
      </w:r>
      <w:proofErr w:type="spellEnd"/>
      <w:r w:rsidR="00C656F4" w:rsidRPr="00322E40">
        <w:t>. MCC-2r at 4.)</w:t>
      </w:r>
    </w:p>
    <w:p w:rsidR="004C7C31" w:rsidRPr="000D400B" w:rsidRDefault="004C7C31" w:rsidP="004C7C31">
      <w:pPr>
        <w:pStyle w:val="Heading5"/>
      </w:pPr>
      <w:r>
        <w:t>ii</w:t>
      </w:r>
      <w:r w:rsidRPr="000D400B">
        <w:t>.</w:t>
      </w:r>
      <w:r w:rsidRPr="000D400B">
        <w:tab/>
      </w:r>
      <w:r w:rsidRPr="007A518C">
        <w:t>Adjustment No.</w:t>
      </w:r>
      <w:r>
        <w:t> 11</w:t>
      </w:r>
      <w:r w:rsidRPr="007A518C">
        <w:t>.</w:t>
      </w:r>
      <w:r>
        <w:t>14 – </w:t>
      </w:r>
      <w:r w:rsidRPr="00083A53">
        <w:rPr>
          <w:rFonts w:eastAsia="Times New Roman"/>
        </w:rPr>
        <w:t>Property &amp; Liability Insurance</w:t>
      </w:r>
      <w:r>
        <w:rPr>
          <w:rFonts w:eastAsia="Times New Roman"/>
        </w:rPr>
        <w:t xml:space="preserve"> (Natural Gas)</w:t>
      </w:r>
    </w:p>
    <w:p w:rsidR="004C7C31" w:rsidRPr="00322E40" w:rsidRDefault="004C7C31" w:rsidP="004C7C31">
      <w:pPr>
        <w:pStyle w:val="ListParagraph"/>
      </w:pPr>
      <w:r w:rsidRPr="00322E40">
        <w:t xml:space="preserve">Adjustment </w:t>
      </w:r>
      <w:r w:rsidRPr="007A518C">
        <w:t>No.</w:t>
      </w:r>
      <w:r>
        <w:t> 11</w:t>
      </w:r>
      <w:r w:rsidRPr="007A518C">
        <w:t>.</w:t>
      </w:r>
      <w:r>
        <w:t>14 – </w:t>
      </w:r>
      <w:r w:rsidRPr="00322E40">
        <w:t xml:space="preserve">Property &amp; Liability Insurance </w:t>
      </w:r>
      <w:r>
        <w:t xml:space="preserve">is uncontested and </w:t>
      </w:r>
      <w:r w:rsidRPr="00322E40">
        <w:t xml:space="preserve">increases net operating income for </w:t>
      </w:r>
      <w:r>
        <w:t xml:space="preserve">natural gas </w:t>
      </w:r>
      <w:r w:rsidRPr="00322E40">
        <w:t>operations by $</w:t>
      </w:r>
      <w:r>
        <w:t>45</w:t>
      </w:r>
      <w:r w:rsidRPr="00322E40">
        <w:t>,1</w:t>
      </w:r>
      <w:r>
        <w:t>7</w:t>
      </w:r>
      <w:r w:rsidRPr="00322E40">
        <w:t>4. (</w:t>
      </w:r>
      <w:r w:rsidRPr="00322E40">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 xml:space="preserve">r at </w:t>
      </w:r>
      <w:r>
        <w:t>3</w:t>
      </w:r>
      <w:r w:rsidRPr="00322E40">
        <w:t>.)</w:t>
      </w:r>
    </w:p>
    <w:p w:rsidR="007A518C" w:rsidRPr="009D4F97" w:rsidRDefault="003B75F9" w:rsidP="007A518C">
      <w:pPr>
        <w:pStyle w:val="Heading4"/>
      </w:pPr>
      <w:r>
        <w:rPr>
          <w:rFonts w:eastAsia="Times New Roman"/>
        </w:rPr>
        <w:lastRenderedPageBreak/>
        <w:t>p</w:t>
      </w:r>
      <w:r w:rsidR="007A518C" w:rsidRPr="009D4F97">
        <w:rPr>
          <w:rFonts w:eastAsia="Times New Roman"/>
        </w:rPr>
        <w:t>.</w:t>
      </w:r>
      <w:r w:rsidR="007A518C" w:rsidRPr="009D4F97">
        <w:rPr>
          <w:rFonts w:eastAsia="Times New Roman"/>
        </w:rPr>
        <w:tab/>
        <w:t>Pension Plan</w:t>
      </w:r>
    </w:p>
    <w:p w:rsidR="001C3B7F" w:rsidRPr="000D400B" w:rsidRDefault="001C3B7F" w:rsidP="001C3B7F">
      <w:pPr>
        <w:pStyle w:val="Heading5"/>
      </w:pPr>
      <w:r>
        <w:t>i</w:t>
      </w:r>
      <w:r w:rsidRPr="000D400B">
        <w:t>.</w:t>
      </w:r>
      <w:r w:rsidRPr="000D400B">
        <w:tab/>
      </w:r>
      <w:r w:rsidRPr="009D4F97">
        <w:t>Adjustment No. 13.15 – </w:t>
      </w:r>
      <w:r w:rsidRPr="009D4F97">
        <w:rPr>
          <w:rFonts w:eastAsia="Times New Roman"/>
        </w:rPr>
        <w:t>Pension Plan</w:t>
      </w:r>
      <w:r>
        <w:rPr>
          <w:rFonts w:eastAsia="Times New Roman"/>
        </w:rPr>
        <w:t xml:space="preserve"> (Electric)</w:t>
      </w:r>
    </w:p>
    <w:p w:rsidR="00DB2E85" w:rsidRPr="00322E40" w:rsidRDefault="00DB2E85" w:rsidP="00AF798B">
      <w:pPr>
        <w:pStyle w:val="ListParagraph"/>
      </w:pPr>
      <w:r w:rsidRPr="00322E40">
        <w:t xml:space="preserve">The Settling Parties agree </w:t>
      </w:r>
      <w:r w:rsidR="000151E4" w:rsidRPr="00322E40">
        <w:t xml:space="preserve">to </w:t>
      </w:r>
      <w:r w:rsidR="00566D6E" w:rsidRPr="009D4F97">
        <w:t xml:space="preserve">use </w:t>
      </w:r>
      <w:r w:rsidR="00566D6E" w:rsidRPr="00322E40">
        <w:t xml:space="preserve">Adjustment </w:t>
      </w:r>
      <w:r w:rsidRPr="009D4F97">
        <w:t>No. </w:t>
      </w:r>
      <w:r w:rsidR="000151E4" w:rsidRPr="009D4F97">
        <w:t>13</w:t>
      </w:r>
      <w:r w:rsidRPr="009D4F97">
        <w:t>.15 – </w:t>
      </w:r>
      <w:r w:rsidRPr="00322E40">
        <w:t>Pension Plan</w:t>
      </w:r>
      <w:r w:rsidR="00B21D55">
        <w:t xml:space="preserve"> </w:t>
      </w:r>
      <w:r w:rsidR="00F907A2">
        <w:t xml:space="preserve">proposed by </w:t>
      </w:r>
      <w:r w:rsidR="00B21D55">
        <w:t xml:space="preserve">each of </w:t>
      </w:r>
      <w:r w:rsidR="00DB791E">
        <w:t xml:space="preserve">PSE and Commission Staff, </w:t>
      </w:r>
      <w:r w:rsidR="000151E4" w:rsidRPr="00322E40">
        <w:t xml:space="preserve">which </w:t>
      </w:r>
      <w:r w:rsidR="00334924" w:rsidRPr="00322E40">
        <w:t>de</w:t>
      </w:r>
      <w:r w:rsidRPr="00322E40">
        <w:t>creases net operating income for electric operations by $</w:t>
      </w:r>
      <w:r w:rsidR="00334924" w:rsidRPr="00322E40">
        <w:t>1,184</w:t>
      </w:r>
      <w:r w:rsidRPr="00322E40">
        <w:t>,</w:t>
      </w:r>
      <w:r w:rsidR="00334924" w:rsidRPr="00322E40">
        <w:t>945</w:t>
      </w:r>
      <w:r w:rsidR="000151E4" w:rsidRPr="00322E40">
        <w:t>. (</w:t>
      </w:r>
      <w:r w:rsidR="000151E4" w:rsidRPr="00322E40">
        <w:rPr>
          <w:i/>
        </w:rPr>
        <w:t>See</w:t>
      </w:r>
      <w:r w:rsidR="00012A5D">
        <w:rPr>
          <w:i/>
        </w:rPr>
        <w:t>, e.g.,</w:t>
      </w:r>
      <w:r w:rsidR="000151E4" w:rsidRPr="00322E40">
        <w:t> </w:t>
      </w:r>
      <w:proofErr w:type="spellStart"/>
      <w:r w:rsidR="000151E4" w:rsidRPr="00322E40">
        <w:t>Cheesman</w:t>
      </w:r>
      <w:proofErr w:type="spellEnd"/>
      <w:r w:rsidR="000151E4" w:rsidRPr="00322E40">
        <w:t xml:space="preserve">, </w:t>
      </w:r>
      <w:proofErr w:type="spellStart"/>
      <w:r w:rsidR="000151E4" w:rsidRPr="00322E40">
        <w:t>Exh</w:t>
      </w:r>
      <w:proofErr w:type="spellEnd"/>
      <w:r w:rsidR="000151E4" w:rsidRPr="00322E40">
        <w:t>. MCC-2r at 4</w:t>
      </w:r>
      <w:r w:rsidR="00AF798B" w:rsidRPr="00AF798B">
        <w:t xml:space="preserve">; Barnard, </w:t>
      </w:r>
      <w:proofErr w:type="spellStart"/>
      <w:r w:rsidR="00AF798B" w:rsidRPr="00AF798B">
        <w:t>Exh</w:t>
      </w:r>
      <w:proofErr w:type="spellEnd"/>
      <w:r w:rsidR="00AF798B" w:rsidRPr="00AF798B">
        <w:t>. KJB-19 at 4 (labeled therein as “Adjustment No. 20.15 – Pension Plan”)</w:t>
      </w:r>
      <w:r w:rsidR="000151E4" w:rsidRPr="00322E40">
        <w:t>.)</w:t>
      </w:r>
    </w:p>
    <w:p w:rsidR="001C3B7F" w:rsidRPr="000D400B" w:rsidRDefault="001C3B7F" w:rsidP="001C3B7F">
      <w:pPr>
        <w:pStyle w:val="Heading5"/>
      </w:pPr>
      <w:r>
        <w:t>ii</w:t>
      </w:r>
      <w:r w:rsidRPr="000D400B">
        <w:t>.</w:t>
      </w:r>
      <w:r w:rsidRPr="000D400B">
        <w:tab/>
      </w:r>
      <w:r w:rsidRPr="009D4F97">
        <w:t>Adjustment No. </w:t>
      </w:r>
      <w:r>
        <w:t>11</w:t>
      </w:r>
      <w:r w:rsidRPr="009D4F97">
        <w:t>.15 – </w:t>
      </w:r>
      <w:r w:rsidRPr="009D4F97">
        <w:rPr>
          <w:rFonts w:eastAsia="Times New Roman"/>
        </w:rPr>
        <w:t>Pension Plan</w:t>
      </w:r>
      <w:r>
        <w:rPr>
          <w:rFonts w:eastAsia="Times New Roman"/>
        </w:rPr>
        <w:t xml:space="preserve"> (Natural Gas)</w:t>
      </w:r>
    </w:p>
    <w:p w:rsidR="001C3B7F" w:rsidRPr="00322E40" w:rsidRDefault="001C3B7F" w:rsidP="001C3B7F">
      <w:pPr>
        <w:pStyle w:val="ListParagraph"/>
      </w:pPr>
      <w:r>
        <w:t xml:space="preserve">The Settling Parties agree to use the </w:t>
      </w:r>
      <w:r w:rsidRPr="00322E40">
        <w:t xml:space="preserve">Adjustment </w:t>
      </w:r>
      <w:r w:rsidRPr="009D4F97">
        <w:t>No. </w:t>
      </w:r>
      <w:r>
        <w:t>11</w:t>
      </w:r>
      <w:r w:rsidRPr="009D4F97">
        <w:t>.15 – </w:t>
      </w:r>
      <w:r w:rsidRPr="00322E40">
        <w:t xml:space="preserve">Pension Plan </w:t>
      </w:r>
      <w:r>
        <w:t xml:space="preserve">proposed by each of PSE and Commission Staff, which </w:t>
      </w:r>
      <w:r w:rsidRPr="00322E40">
        <w:t xml:space="preserve">decreases net operating income for </w:t>
      </w:r>
      <w:r>
        <w:t xml:space="preserve">natural gas </w:t>
      </w:r>
      <w:r w:rsidRPr="00322E40">
        <w:t>operations by $</w:t>
      </w:r>
      <w:r>
        <w:t>572</w:t>
      </w:r>
      <w:r w:rsidRPr="00322E40">
        <w:t>,</w:t>
      </w:r>
      <w:r>
        <w:t>091</w:t>
      </w:r>
      <w:r w:rsidRPr="00322E40">
        <w:t>. (</w:t>
      </w:r>
      <w:r w:rsidRPr="0075512D">
        <w:rPr>
          <w:i/>
        </w:rPr>
        <w:t>See, e.g.,</w:t>
      </w:r>
      <w:r>
        <w:t xml:space="preserve"> </w:t>
      </w:r>
      <w:proofErr w:type="spellStart"/>
      <w:r w:rsidRPr="00322E40">
        <w:t>Cheesman</w:t>
      </w:r>
      <w:proofErr w:type="spellEnd"/>
      <w:r w:rsidRPr="00322E40">
        <w:t xml:space="preserve">, </w:t>
      </w:r>
      <w:proofErr w:type="spellStart"/>
      <w:r w:rsidRPr="00322E40">
        <w:t>Exh</w:t>
      </w:r>
      <w:proofErr w:type="spellEnd"/>
      <w:r w:rsidRPr="00322E40">
        <w:t>. MCC-</w:t>
      </w:r>
      <w:r w:rsidR="00D8148E">
        <w:t>7</w:t>
      </w:r>
      <w:r w:rsidRPr="00322E40">
        <w:t xml:space="preserve">r at </w:t>
      </w:r>
      <w:r w:rsidR="00D8148E">
        <w:t>3</w:t>
      </w:r>
      <w:r>
        <w:t xml:space="preserve">; Free, </w:t>
      </w:r>
      <w:proofErr w:type="spellStart"/>
      <w:r>
        <w:t>Exh</w:t>
      </w:r>
      <w:proofErr w:type="spellEnd"/>
      <w:r>
        <w:t>. SEF-14 at 3 (labeled therein as “</w:t>
      </w:r>
      <w:r w:rsidRPr="00322E40">
        <w:t xml:space="preserve">Adjustment </w:t>
      </w:r>
      <w:r w:rsidRPr="009D4F97">
        <w:t>No. </w:t>
      </w:r>
      <w:r>
        <w:t>15</w:t>
      </w:r>
      <w:r w:rsidRPr="009D4F97">
        <w:t>.15 – </w:t>
      </w:r>
      <w:r w:rsidRPr="00322E40">
        <w:t>Pension Plan</w:t>
      </w:r>
      <w:r>
        <w:t>”)</w:t>
      </w:r>
      <w:r w:rsidRPr="00322E40">
        <w:t>.)</w:t>
      </w:r>
    </w:p>
    <w:p w:rsidR="007A518C" w:rsidRDefault="003B75F9" w:rsidP="007A518C">
      <w:pPr>
        <w:pStyle w:val="Heading4"/>
        <w:rPr>
          <w:rFonts w:eastAsia="Times New Roman"/>
        </w:rPr>
      </w:pPr>
      <w:r>
        <w:rPr>
          <w:rFonts w:eastAsia="Times New Roman"/>
        </w:rPr>
        <w:t>q</w:t>
      </w:r>
      <w:r w:rsidR="007A518C">
        <w:rPr>
          <w:rFonts w:eastAsia="Times New Roman"/>
        </w:rPr>
        <w:t>.</w:t>
      </w:r>
      <w:r w:rsidR="007A518C">
        <w:rPr>
          <w:rFonts w:eastAsia="Times New Roman"/>
        </w:rPr>
        <w:tab/>
      </w:r>
      <w:r w:rsidR="007A518C" w:rsidRPr="00083A53">
        <w:rPr>
          <w:rFonts w:eastAsia="Times New Roman"/>
        </w:rPr>
        <w:t>Wage Increase</w:t>
      </w:r>
    </w:p>
    <w:p w:rsidR="001C3B7F" w:rsidRPr="000D400B" w:rsidRDefault="001C3B7F" w:rsidP="001C3B7F">
      <w:pPr>
        <w:pStyle w:val="Heading5"/>
      </w:pPr>
      <w:r>
        <w:t>i</w:t>
      </w:r>
      <w:r w:rsidRPr="000D400B">
        <w:t>.</w:t>
      </w:r>
      <w:r w:rsidRPr="000D400B">
        <w:tab/>
      </w:r>
      <w:r w:rsidRPr="007A518C">
        <w:t>Adjustment No.</w:t>
      </w:r>
      <w:r>
        <w:t> 13</w:t>
      </w:r>
      <w:r w:rsidRPr="007A518C">
        <w:t>.</w:t>
      </w:r>
      <w:r>
        <w:t>16 – </w:t>
      </w:r>
      <w:r w:rsidRPr="00083A53">
        <w:rPr>
          <w:rFonts w:eastAsia="Times New Roman"/>
        </w:rPr>
        <w:t>Wage Increase</w:t>
      </w:r>
      <w:r>
        <w:rPr>
          <w:rFonts w:eastAsia="Times New Roman"/>
        </w:rPr>
        <w:t xml:space="preserve"> (Electric)</w:t>
      </w:r>
    </w:p>
    <w:p w:rsidR="00334924" w:rsidRPr="00322E40" w:rsidRDefault="00566D6E" w:rsidP="00121EC6">
      <w:pPr>
        <w:pStyle w:val="ListParagraph"/>
      </w:pPr>
      <w:r w:rsidRPr="00322E40">
        <w:t xml:space="preserve">Adjustment </w:t>
      </w:r>
      <w:r w:rsidR="00C656F4" w:rsidRPr="007A518C">
        <w:t>No.</w:t>
      </w:r>
      <w:r w:rsidR="00C656F4">
        <w:t> 13</w:t>
      </w:r>
      <w:r w:rsidR="00C656F4" w:rsidRPr="007A518C">
        <w:t>.</w:t>
      </w:r>
      <w:r w:rsidR="00C656F4">
        <w:t>16 – </w:t>
      </w:r>
      <w:r w:rsidR="00C656F4" w:rsidRPr="00322E40">
        <w:t xml:space="preserve">Wage Increase </w:t>
      </w:r>
      <w:r w:rsidR="00012A5D">
        <w:t>is</w:t>
      </w:r>
      <w:r w:rsidR="00DB791E">
        <w:t xml:space="preserve"> uncontested </w:t>
      </w:r>
      <w:r w:rsidR="00012A5D">
        <w:t xml:space="preserve">and </w:t>
      </w:r>
      <w:r w:rsidR="00334924" w:rsidRPr="00322E40">
        <w:t>decreases net operating income for electric operations by $1,357,716.</w:t>
      </w:r>
      <w:r w:rsidR="00C656F4" w:rsidRPr="00322E40">
        <w:t xml:space="preserve"> (</w:t>
      </w:r>
      <w:r w:rsidR="00C656F4" w:rsidRPr="00322E40">
        <w:rPr>
          <w:i/>
        </w:rPr>
        <w:t>See</w:t>
      </w:r>
      <w:r w:rsidR="00012A5D">
        <w:rPr>
          <w:i/>
        </w:rPr>
        <w:t>, e.g.,</w:t>
      </w:r>
      <w:r w:rsidR="00C656F4" w:rsidRPr="00322E40">
        <w:t> </w:t>
      </w:r>
      <w:proofErr w:type="spellStart"/>
      <w:r w:rsidR="00C656F4" w:rsidRPr="00322E40">
        <w:t>Cheesman</w:t>
      </w:r>
      <w:proofErr w:type="spellEnd"/>
      <w:r w:rsidR="00C656F4" w:rsidRPr="00322E40">
        <w:t xml:space="preserve">, </w:t>
      </w:r>
      <w:proofErr w:type="spellStart"/>
      <w:r w:rsidR="00C656F4" w:rsidRPr="00322E40">
        <w:t>Exh</w:t>
      </w:r>
      <w:proofErr w:type="spellEnd"/>
      <w:r w:rsidR="00C656F4" w:rsidRPr="00322E40">
        <w:t>. MCC-2r at 4.)</w:t>
      </w:r>
    </w:p>
    <w:p w:rsidR="001C3B7F" w:rsidRPr="000D400B" w:rsidRDefault="001C3B7F" w:rsidP="001C3B7F">
      <w:pPr>
        <w:pStyle w:val="Heading5"/>
      </w:pPr>
      <w:r>
        <w:t>ii</w:t>
      </w:r>
      <w:r w:rsidRPr="000D400B">
        <w:t>.</w:t>
      </w:r>
      <w:r w:rsidRPr="000D400B">
        <w:tab/>
      </w:r>
      <w:r w:rsidRPr="007A518C">
        <w:t>Adjustment No.</w:t>
      </w:r>
      <w:r>
        <w:t> 11</w:t>
      </w:r>
      <w:r w:rsidRPr="007A518C">
        <w:t>.</w:t>
      </w:r>
      <w:r>
        <w:t>16 – </w:t>
      </w:r>
      <w:r w:rsidRPr="00083A53">
        <w:rPr>
          <w:rFonts w:eastAsia="Times New Roman"/>
        </w:rPr>
        <w:t>Wage Increase</w:t>
      </w:r>
      <w:r>
        <w:rPr>
          <w:rFonts w:eastAsia="Times New Roman"/>
        </w:rPr>
        <w:t xml:space="preserve"> (Natural Gas)</w:t>
      </w:r>
    </w:p>
    <w:p w:rsidR="001C3B7F" w:rsidRPr="00322E40" w:rsidRDefault="001C3B7F" w:rsidP="001C3B7F">
      <w:pPr>
        <w:pStyle w:val="ListParagraph"/>
      </w:pPr>
      <w:r w:rsidRPr="00322E40">
        <w:t xml:space="preserve">Adjustment </w:t>
      </w:r>
      <w:r w:rsidRPr="007A518C">
        <w:t>No.</w:t>
      </w:r>
      <w:r>
        <w:t> 11</w:t>
      </w:r>
      <w:r w:rsidRPr="007A518C">
        <w:t>.</w:t>
      </w:r>
      <w:r>
        <w:t>16 – </w:t>
      </w:r>
      <w:r w:rsidRPr="00322E40">
        <w:t xml:space="preserve">Wage Increase </w:t>
      </w:r>
      <w:r>
        <w:t xml:space="preserve">is uncontested and </w:t>
      </w:r>
      <w:r w:rsidRPr="00322E40">
        <w:t xml:space="preserve">decreases net operating income for </w:t>
      </w:r>
      <w:r>
        <w:t xml:space="preserve">natural gas </w:t>
      </w:r>
      <w:r w:rsidRPr="00322E40">
        <w:t>operations by $</w:t>
      </w:r>
      <w:r>
        <w:t>907</w:t>
      </w:r>
      <w:r w:rsidRPr="00322E40">
        <w:t>,</w:t>
      </w:r>
      <w:r>
        <w:t>409</w:t>
      </w:r>
      <w:r w:rsidRPr="00322E40">
        <w:t>. (</w:t>
      </w:r>
      <w:r w:rsidRPr="00322E40">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 xml:space="preserve">r at </w:t>
      </w:r>
      <w:r>
        <w:t>3</w:t>
      </w:r>
      <w:r w:rsidRPr="00322E40">
        <w:t>.)</w:t>
      </w:r>
    </w:p>
    <w:p w:rsidR="007A518C" w:rsidRDefault="003B75F9" w:rsidP="007A518C">
      <w:pPr>
        <w:pStyle w:val="Heading4"/>
        <w:rPr>
          <w:rFonts w:eastAsia="Times New Roman"/>
        </w:rPr>
      </w:pPr>
      <w:r>
        <w:rPr>
          <w:rFonts w:eastAsia="Times New Roman"/>
        </w:rPr>
        <w:t>r</w:t>
      </w:r>
      <w:r w:rsidR="007A518C">
        <w:rPr>
          <w:rFonts w:eastAsia="Times New Roman"/>
        </w:rPr>
        <w:t>.</w:t>
      </w:r>
      <w:r w:rsidR="007A518C">
        <w:rPr>
          <w:rFonts w:eastAsia="Times New Roman"/>
        </w:rPr>
        <w:tab/>
      </w:r>
      <w:r w:rsidR="007A518C" w:rsidRPr="00083A53">
        <w:rPr>
          <w:rFonts w:eastAsia="Times New Roman"/>
        </w:rPr>
        <w:t>Investment Plan</w:t>
      </w:r>
    </w:p>
    <w:p w:rsidR="001C3B7F" w:rsidRPr="000D400B" w:rsidRDefault="001C3B7F" w:rsidP="001C3B7F">
      <w:pPr>
        <w:pStyle w:val="Heading5"/>
      </w:pPr>
      <w:r>
        <w:t>i</w:t>
      </w:r>
      <w:r w:rsidRPr="000D400B">
        <w:t>.</w:t>
      </w:r>
      <w:r w:rsidRPr="000D400B">
        <w:tab/>
      </w:r>
      <w:r w:rsidRPr="007A518C">
        <w:t>Adjustment No.</w:t>
      </w:r>
      <w:r>
        <w:t> 13</w:t>
      </w:r>
      <w:r w:rsidRPr="007A518C">
        <w:t>.</w:t>
      </w:r>
      <w:r>
        <w:t>17 – </w:t>
      </w:r>
      <w:r w:rsidRPr="00083A53">
        <w:rPr>
          <w:rFonts w:eastAsia="Times New Roman"/>
        </w:rPr>
        <w:t>Investment Plan</w:t>
      </w:r>
      <w:r>
        <w:rPr>
          <w:rFonts w:eastAsia="Times New Roman"/>
        </w:rPr>
        <w:t xml:space="preserve"> (Electric)</w:t>
      </w:r>
    </w:p>
    <w:p w:rsidR="000151E4" w:rsidRPr="00322E40" w:rsidRDefault="00566D6E" w:rsidP="00121EC6">
      <w:pPr>
        <w:pStyle w:val="ListParagraph"/>
      </w:pPr>
      <w:r w:rsidRPr="00322E40">
        <w:t xml:space="preserve">Adjustment </w:t>
      </w:r>
      <w:r w:rsidR="000151E4" w:rsidRPr="007A518C">
        <w:t>No.</w:t>
      </w:r>
      <w:r w:rsidR="000151E4">
        <w:t> 13</w:t>
      </w:r>
      <w:r w:rsidR="000151E4" w:rsidRPr="007A518C">
        <w:t>.</w:t>
      </w:r>
      <w:r w:rsidR="000151E4">
        <w:t>17 – </w:t>
      </w:r>
      <w:r w:rsidR="000151E4" w:rsidRPr="00322E40">
        <w:t xml:space="preserve">Investment Plan </w:t>
      </w:r>
      <w:r w:rsidR="00012A5D">
        <w:t>is</w:t>
      </w:r>
      <w:r w:rsidR="00DB791E">
        <w:t xml:space="preserve"> uncontested </w:t>
      </w:r>
      <w:r w:rsidR="00012A5D">
        <w:t>and</w:t>
      </w:r>
      <w:r w:rsidR="000151E4" w:rsidRPr="00322E40">
        <w:t xml:space="preserve"> decreases net operating income for electric operations by $96,705. (</w:t>
      </w:r>
      <w:r w:rsidR="000151E4" w:rsidRPr="00322E40">
        <w:rPr>
          <w:i/>
        </w:rPr>
        <w:t>See</w:t>
      </w:r>
      <w:r w:rsidR="00012A5D">
        <w:rPr>
          <w:i/>
        </w:rPr>
        <w:t>, e.g.,</w:t>
      </w:r>
      <w:r w:rsidR="000151E4" w:rsidRPr="00322E40">
        <w:t> </w:t>
      </w:r>
      <w:proofErr w:type="spellStart"/>
      <w:r w:rsidR="000151E4" w:rsidRPr="00322E40">
        <w:t>Cheesman</w:t>
      </w:r>
      <w:proofErr w:type="spellEnd"/>
      <w:r w:rsidR="000151E4" w:rsidRPr="00322E40">
        <w:t xml:space="preserve">, </w:t>
      </w:r>
      <w:proofErr w:type="spellStart"/>
      <w:r w:rsidR="000151E4" w:rsidRPr="00322E40">
        <w:t>Exh</w:t>
      </w:r>
      <w:proofErr w:type="spellEnd"/>
      <w:r w:rsidR="000151E4" w:rsidRPr="00322E40">
        <w:t>. MCC-2r at 4.)</w:t>
      </w:r>
    </w:p>
    <w:p w:rsidR="001C3B7F" w:rsidRPr="000D400B" w:rsidRDefault="001C3B7F" w:rsidP="001C3B7F">
      <w:pPr>
        <w:pStyle w:val="Heading5"/>
      </w:pPr>
      <w:r>
        <w:lastRenderedPageBreak/>
        <w:t>ii</w:t>
      </w:r>
      <w:r w:rsidRPr="000D400B">
        <w:t>.</w:t>
      </w:r>
      <w:r w:rsidRPr="000D400B">
        <w:tab/>
      </w:r>
      <w:r w:rsidRPr="007A518C">
        <w:t>Adjustment No.</w:t>
      </w:r>
      <w:r>
        <w:t> 11</w:t>
      </w:r>
      <w:r w:rsidRPr="007A518C">
        <w:t>.</w:t>
      </w:r>
      <w:r>
        <w:t>17 – </w:t>
      </w:r>
      <w:r w:rsidRPr="00083A53">
        <w:rPr>
          <w:rFonts w:eastAsia="Times New Roman"/>
        </w:rPr>
        <w:t>Investment Plan</w:t>
      </w:r>
      <w:r>
        <w:rPr>
          <w:rFonts w:eastAsia="Times New Roman"/>
        </w:rPr>
        <w:t xml:space="preserve"> (Natural Gas)</w:t>
      </w:r>
    </w:p>
    <w:p w:rsidR="001C3B7F" w:rsidRPr="00322E40" w:rsidRDefault="001C3B7F" w:rsidP="001C3B7F">
      <w:pPr>
        <w:pStyle w:val="ListParagraph"/>
      </w:pPr>
      <w:r w:rsidRPr="00322E40">
        <w:t xml:space="preserve">Adjustment </w:t>
      </w:r>
      <w:r w:rsidRPr="007A518C">
        <w:t>No.</w:t>
      </w:r>
      <w:r>
        <w:t> 11</w:t>
      </w:r>
      <w:r w:rsidRPr="007A518C">
        <w:t>.</w:t>
      </w:r>
      <w:r>
        <w:t>17 – </w:t>
      </w:r>
      <w:r w:rsidRPr="00322E40">
        <w:t xml:space="preserve">Investment Plan </w:t>
      </w:r>
      <w:r>
        <w:t xml:space="preserve">is uncontested and </w:t>
      </w:r>
      <w:r w:rsidRPr="00322E40">
        <w:t xml:space="preserve">decreases net operating income for </w:t>
      </w:r>
      <w:r>
        <w:t xml:space="preserve">natural gas </w:t>
      </w:r>
      <w:r w:rsidRPr="00322E40">
        <w:t>operations by $</w:t>
      </w:r>
      <w:r>
        <w:t>46</w:t>
      </w:r>
      <w:r w:rsidRPr="00322E40">
        <w:t>,</w:t>
      </w:r>
      <w:r>
        <w:t>689</w:t>
      </w:r>
      <w:r w:rsidRPr="00322E40">
        <w:t>. (</w:t>
      </w:r>
      <w:r w:rsidRPr="00322E40">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 xml:space="preserve">r at </w:t>
      </w:r>
      <w:r>
        <w:t>3</w:t>
      </w:r>
      <w:r w:rsidRPr="00322E40">
        <w:t>.)</w:t>
      </w:r>
    </w:p>
    <w:p w:rsidR="007A518C" w:rsidRDefault="003B75F9" w:rsidP="007A518C">
      <w:pPr>
        <w:pStyle w:val="Heading4"/>
        <w:rPr>
          <w:rFonts w:eastAsia="Times New Roman"/>
        </w:rPr>
      </w:pPr>
      <w:r>
        <w:rPr>
          <w:rFonts w:eastAsia="Times New Roman"/>
        </w:rPr>
        <w:t>s</w:t>
      </w:r>
      <w:r w:rsidR="007A518C">
        <w:rPr>
          <w:rFonts w:eastAsia="Times New Roman"/>
        </w:rPr>
        <w:t>.</w:t>
      </w:r>
      <w:r w:rsidR="007A518C">
        <w:rPr>
          <w:rFonts w:eastAsia="Times New Roman"/>
        </w:rPr>
        <w:tab/>
      </w:r>
      <w:r w:rsidR="007A518C" w:rsidRPr="00083A53">
        <w:rPr>
          <w:rFonts w:eastAsia="Times New Roman"/>
        </w:rPr>
        <w:t>Employee Insurance</w:t>
      </w:r>
    </w:p>
    <w:p w:rsidR="001C3B7F" w:rsidRPr="000D400B" w:rsidRDefault="001C3B7F" w:rsidP="001C3B7F">
      <w:pPr>
        <w:pStyle w:val="Heading5"/>
      </w:pPr>
      <w:r>
        <w:t>i</w:t>
      </w:r>
      <w:r w:rsidRPr="000D400B">
        <w:t>.</w:t>
      </w:r>
      <w:r w:rsidRPr="000D400B">
        <w:tab/>
      </w:r>
      <w:r w:rsidRPr="007A518C">
        <w:t>Adjustment No.</w:t>
      </w:r>
      <w:r>
        <w:t> 13</w:t>
      </w:r>
      <w:r w:rsidRPr="007A518C">
        <w:t>.</w:t>
      </w:r>
      <w:r>
        <w:t>18 – </w:t>
      </w:r>
      <w:r w:rsidRPr="00083A53">
        <w:rPr>
          <w:rFonts w:eastAsia="Times New Roman"/>
        </w:rPr>
        <w:t>Employee Insurance</w:t>
      </w:r>
      <w:r>
        <w:rPr>
          <w:rFonts w:eastAsia="Times New Roman"/>
        </w:rPr>
        <w:t xml:space="preserve"> (Electric)</w:t>
      </w:r>
    </w:p>
    <w:p w:rsidR="000151E4" w:rsidRPr="00322E40" w:rsidRDefault="00566D6E" w:rsidP="00121EC6">
      <w:pPr>
        <w:pStyle w:val="ListParagraph"/>
      </w:pPr>
      <w:r w:rsidRPr="00322E40">
        <w:t xml:space="preserve">Adjustment </w:t>
      </w:r>
      <w:r w:rsidR="000151E4" w:rsidRPr="007A518C">
        <w:t>No.</w:t>
      </w:r>
      <w:r w:rsidR="000151E4">
        <w:t> 13</w:t>
      </w:r>
      <w:r w:rsidR="000151E4" w:rsidRPr="007A518C">
        <w:t>.</w:t>
      </w:r>
      <w:r w:rsidR="000151E4">
        <w:t>18 – </w:t>
      </w:r>
      <w:r w:rsidR="000151E4" w:rsidRPr="00322E40">
        <w:t xml:space="preserve">Employee Insurance </w:t>
      </w:r>
      <w:r w:rsidR="00012A5D">
        <w:t>is</w:t>
      </w:r>
      <w:r w:rsidR="00DB791E">
        <w:t xml:space="preserve"> uncontested </w:t>
      </w:r>
      <w:r w:rsidR="00012A5D">
        <w:t>and</w:t>
      </w:r>
      <w:r w:rsidR="000151E4" w:rsidRPr="00322E40">
        <w:t xml:space="preserve"> decreases net operating income for electric operations by $121,751. (</w:t>
      </w:r>
      <w:r w:rsidR="000151E4" w:rsidRPr="00322E40">
        <w:rPr>
          <w:i/>
        </w:rPr>
        <w:t>See</w:t>
      </w:r>
      <w:r w:rsidR="00012A5D">
        <w:rPr>
          <w:i/>
        </w:rPr>
        <w:t>, e.g.,</w:t>
      </w:r>
      <w:r w:rsidR="000151E4" w:rsidRPr="00322E40">
        <w:t> </w:t>
      </w:r>
      <w:proofErr w:type="spellStart"/>
      <w:r w:rsidR="000151E4" w:rsidRPr="00322E40">
        <w:t>Cheesman</w:t>
      </w:r>
      <w:proofErr w:type="spellEnd"/>
      <w:r w:rsidR="000151E4" w:rsidRPr="00322E40">
        <w:t xml:space="preserve">, </w:t>
      </w:r>
      <w:proofErr w:type="spellStart"/>
      <w:r w:rsidR="000151E4" w:rsidRPr="00322E40">
        <w:t>Exh</w:t>
      </w:r>
      <w:proofErr w:type="spellEnd"/>
      <w:r w:rsidR="000151E4" w:rsidRPr="00322E40">
        <w:t>. MCC-2r at 4.)</w:t>
      </w:r>
    </w:p>
    <w:p w:rsidR="001C3B7F" w:rsidRPr="000D400B" w:rsidRDefault="001C3B7F" w:rsidP="001C3B7F">
      <w:pPr>
        <w:pStyle w:val="Heading5"/>
      </w:pPr>
      <w:r>
        <w:t>ii</w:t>
      </w:r>
      <w:r w:rsidRPr="000D400B">
        <w:t>.</w:t>
      </w:r>
      <w:r w:rsidRPr="000D400B">
        <w:tab/>
      </w:r>
      <w:r w:rsidRPr="007A518C">
        <w:t>Adjustment No.</w:t>
      </w:r>
      <w:r>
        <w:t> 11</w:t>
      </w:r>
      <w:r w:rsidRPr="007A518C">
        <w:t>.</w:t>
      </w:r>
      <w:r>
        <w:t>18 – </w:t>
      </w:r>
      <w:r w:rsidRPr="00083A53">
        <w:rPr>
          <w:rFonts w:eastAsia="Times New Roman"/>
        </w:rPr>
        <w:t>Employee Insurance</w:t>
      </w:r>
      <w:r>
        <w:rPr>
          <w:rFonts w:eastAsia="Times New Roman"/>
        </w:rPr>
        <w:t xml:space="preserve"> (Natural Gas)</w:t>
      </w:r>
    </w:p>
    <w:p w:rsidR="001C3B7F" w:rsidRPr="00322E40" w:rsidRDefault="001C3B7F" w:rsidP="001C3B7F">
      <w:pPr>
        <w:pStyle w:val="ListParagraph"/>
      </w:pPr>
      <w:r w:rsidRPr="00322E40">
        <w:t xml:space="preserve">Adjustment </w:t>
      </w:r>
      <w:r w:rsidRPr="007A518C">
        <w:t>No.</w:t>
      </w:r>
      <w:r>
        <w:t> 11</w:t>
      </w:r>
      <w:r w:rsidRPr="007A518C">
        <w:t>.</w:t>
      </w:r>
      <w:r>
        <w:t>18 – </w:t>
      </w:r>
      <w:r w:rsidRPr="00322E40">
        <w:t xml:space="preserve">Employee Insurance </w:t>
      </w:r>
      <w:r>
        <w:t xml:space="preserve">is uncontested and </w:t>
      </w:r>
      <w:r w:rsidRPr="00322E40">
        <w:t xml:space="preserve">decreases net operating income for </w:t>
      </w:r>
      <w:r>
        <w:t xml:space="preserve">natural gas </w:t>
      </w:r>
      <w:r w:rsidRPr="00322E40">
        <w:t>operations by $</w:t>
      </w:r>
      <w:r>
        <w:t>58</w:t>
      </w:r>
      <w:r w:rsidRPr="00322E40">
        <w:t>,7</w:t>
      </w:r>
      <w:r>
        <w:t>8</w:t>
      </w:r>
      <w:r w:rsidRPr="00322E40">
        <w:t>1. (</w:t>
      </w:r>
      <w:r w:rsidRPr="00322E40">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4.)</w:t>
      </w:r>
    </w:p>
    <w:p w:rsidR="007A518C" w:rsidRDefault="003B75F9" w:rsidP="007A518C">
      <w:pPr>
        <w:pStyle w:val="Heading4"/>
        <w:rPr>
          <w:rFonts w:eastAsia="Times New Roman"/>
        </w:rPr>
      </w:pPr>
      <w:r>
        <w:rPr>
          <w:rFonts w:eastAsia="Times New Roman"/>
        </w:rPr>
        <w:t>t</w:t>
      </w:r>
      <w:r w:rsidR="007A518C" w:rsidRPr="00F546AD">
        <w:rPr>
          <w:rFonts w:eastAsia="Times New Roman"/>
        </w:rPr>
        <w:t>.</w:t>
      </w:r>
      <w:r w:rsidR="007A518C" w:rsidRPr="00F546AD">
        <w:rPr>
          <w:rFonts w:eastAsia="Times New Roman"/>
        </w:rPr>
        <w:tab/>
        <w:t>Environmental Remediation</w:t>
      </w:r>
    </w:p>
    <w:p w:rsidR="0054077C" w:rsidRPr="0054077C" w:rsidRDefault="0054077C" w:rsidP="0054077C">
      <w:pPr>
        <w:pStyle w:val="Heading5"/>
      </w:pPr>
      <w:r w:rsidRPr="0054077C">
        <w:t>i.</w:t>
      </w:r>
      <w:r w:rsidRPr="0054077C">
        <w:tab/>
        <w:t xml:space="preserve">General Provisions </w:t>
      </w:r>
      <w:r>
        <w:t>R</w:t>
      </w:r>
      <w:r w:rsidRPr="0054077C">
        <w:t>elated to Environmental Remediation</w:t>
      </w:r>
    </w:p>
    <w:p w:rsidR="00322E40" w:rsidRDefault="000D2179" w:rsidP="00121EC6">
      <w:pPr>
        <w:pStyle w:val="ListParagraph"/>
      </w:pPr>
      <w:bookmarkStart w:id="10" w:name="_Ref491943699"/>
      <w:r w:rsidRPr="00322E40">
        <w:t xml:space="preserve">Within six months of filing of this Settlement with the Commission, </w:t>
      </w:r>
      <w:r w:rsidR="006E4A6D" w:rsidRPr="00322E40">
        <w:t xml:space="preserve">PSE </w:t>
      </w:r>
      <w:r w:rsidRPr="00322E40">
        <w:t xml:space="preserve">and Commission Staff </w:t>
      </w:r>
      <w:r w:rsidR="006E4A6D" w:rsidRPr="00322E40">
        <w:t xml:space="preserve">shall </w:t>
      </w:r>
      <w:r w:rsidRPr="00322E40">
        <w:t xml:space="preserve">commence a process to determine a </w:t>
      </w:r>
      <w:r w:rsidR="002D163E">
        <w:t>methodology</w:t>
      </w:r>
      <w:r w:rsidR="002D163E" w:rsidRPr="00322E40">
        <w:t xml:space="preserve"> </w:t>
      </w:r>
      <w:r w:rsidRPr="00322E40">
        <w:t xml:space="preserve">for assigning insurance recoveries received by PSE in a manner that does not potentially compromise PSE’s litigation position associated with such insurance recoveries. PSE and Commission Staff shall provide an update regarding such process in </w:t>
      </w:r>
      <w:r w:rsidR="007E631E" w:rsidRPr="00322E40">
        <w:t>the earlier to occur of either (i) </w:t>
      </w:r>
      <w:r w:rsidRPr="00322E40">
        <w:t>PSE’s next general rate case proceeding</w:t>
      </w:r>
      <w:r w:rsidR="007E631E" w:rsidRPr="00322E40">
        <w:t xml:space="preserve"> or (ii) any </w:t>
      </w:r>
      <w:r w:rsidR="007E631E" w:rsidRPr="00660C02">
        <w:t xml:space="preserve">expedited rate filing (“ERF”) or </w:t>
      </w:r>
      <w:r w:rsidR="007E631E" w:rsidRPr="00322E40">
        <w:t>limited rate proceeding of PSE to revise transmission and distribution rates.</w:t>
      </w:r>
      <w:bookmarkEnd w:id="10"/>
    </w:p>
    <w:p w:rsidR="00427E34" w:rsidRPr="00322E40" w:rsidRDefault="00427E34" w:rsidP="00121EC6">
      <w:pPr>
        <w:pStyle w:val="ListParagraph"/>
      </w:pPr>
      <w:r w:rsidRPr="00322E40">
        <w:t xml:space="preserve">In lieu of quarterly environmental reports, PSE shall </w:t>
      </w:r>
      <w:r w:rsidR="000D2179" w:rsidRPr="00322E40">
        <w:t xml:space="preserve">submit annual </w:t>
      </w:r>
      <w:r w:rsidRPr="00322E40">
        <w:t xml:space="preserve">environmental </w:t>
      </w:r>
      <w:r w:rsidR="000D2179" w:rsidRPr="00322E40">
        <w:t xml:space="preserve">reports </w:t>
      </w:r>
      <w:r w:rsidR="0054077C">
        <w:t xml:space="preserve">no later than April 30 of the following year </w:t>
      </w:r>
      <w:r w:rsidR="000D2179" w:rsidRPr="00322E40">
        <w:t>that</w:t>
      </w:r>
      <w:r w:rsidRPr="00322E40">
        <w:t xml:space="preserve"> </w:t>
      </w:r>
      <w:r w:rsidR="000D2179" w:rsidRPr="00322E40">
        <w:t>contain</w:t>
      </w:r>
      <w:r w:rsidRPr="00322E40">
        <w:t xml:space="preserve"> the following information</w:t>
      </w:r>
      <w:r w:rsidR="000D2179" w:rsidRPr="00322E40">
        <w:t>:</w:t>
      </w:r>
    </w:p>
    <w:p w:rsidR="00427E34" w:rsidRDefault="000D2179" w:rsidP="00CC1376">
      <w:pPr>
        <w:spacing w:after="280"/>
        <w:ind w:left="2160" w:right="720" w:hanging="720"/>
        <w:rPr>
          <w:rFonts w:eastAsia="Times New Roman" w:cs="Times New Roman"/>
        </w:rPr>
      </w:pPr>
      <w:r w:rsidRPr="000D2179">
        <w:rPr>
          <w:rFonts w:eastAsia="Times New Roman" w:cs="Times New Roman"/>
        </w:rPr>
        <w:lastRenderedPageBreak/>
        <w:t>(a)</w:t>
      </w:r>
      <w:r w:rsidR="00427E34">
        <w:rPr>
          <w:rFonts w:eastAsia="Times New Roman" w:cs="Times New Roman"/>
        </w:rPr>
        <w:tab/>
      </w:r>
      <w:r w:rsidRPr="000D2179">
        <w:rPr>
          <w:rFonts w:eastAsia="Times New Roman" w:cs="Times New Roman"/>
        </w:rPr>
        <w:t xml:space="preserve">Project amounts authorized for deferral with the Commission </w:t>
      </w:r>
      <w:r w:rsidR="0054077C" w:rsidRPr="0054077C">
        <w:rPr>
          <w:rFonts w:eastAsia="Times New Roman" w:cs="Times New Roman"/>
        </w:rPr>
        <w:t xml:space="preserve">docket and </w:t>
      </w:r>
      <w:r w:rsidRPr="000D2179">
        <w:rPr>
          <w:rFonts w:eastAsia="Times New Roman" w:cs="Times New Roman"/>
        </w:rPr>
        <w:t>order</w:t>
      </w:r>
      <w:r w:rsidR="00427E34">
        <w:rPr>
          <w:rFonts w:eastAsia="Times New Roman" w:cs="Times New Roman"/>
        </w:rPr>
        <w:t xml:space="preserve"> </w:t>
      </w:r>
      <w:r w:rsidRPr="000D2179">
        <w:rPr>
          <w:rFonts w:eastAsia="Times New Roman" w:cs="Times New Roman"/>
        </w:rPr>
        <w:t>number that gives authority to PSE to do so.</w:t>
      </w:r>
    </w:p>
    <w:p w:rsidR="00427E34" w:rsidRDefault="000D2179" w:rsidP="00CC1376">
      <w:pPr>
        <w:spacing w:after="280"/>
        <w:ind w:left="2160" w:right="720" w:hanging="720"/>
        <w:rPr>
          <w:rFonts w:eastAsia="Times New Roman" w:cs="Times New Roman"/>
        </w:rPr>
      </w:pPr>
      <w:r w:rsidRPr="000D2179">
        <w:rPr>
          <w:rFonts w:eastAsia="Times New Roman" w:cs="Times New Roman"/>
        </w:rPr>
        <w:t>(b)</w:t>
      </w:r>
      <w:r w:rsidR="00427E34">
        <w:rPr>
          <w:rFonts w:eastAsia="Times New Roman" w:cs="Times New Roman"/>
        </w:rPr>
        <w:tab/>
      </w:r>
      <w:r w:rsidRPr="000D2179">
        <w:rPr>
          <w:rFonts w:eastAsia="Times New Roman" w:cs="Times New Roman"/>
        </w:rPr>
        <w:t>Beginning date of the deferral of each project.</w:t>
      </w:r>
    </w:p>
    <w:p w:rsidR="00427E34" w:rsidRDefault="000D2179" w:rsidP="00CC1376">
      <w:pPr>
        <w:spacing w:after="280"/>
        <w:ind w:left="2160" w:right="720" w:hanging="720"/>
        <w:rPr>
          <w:rFonts w:eastAsia="Times New Roman" w:cs="Times New Roman"/>
        </w:rPr>
      </w:pPr>
      <w:r w:rsidRPr="000D2179">
        <w:rPr>
          <w:rFonts w:eastAsia="Times New Roman" w:cs="Times New Roman"/>
        </w:rPr>
        <w:t>(c)</w:t>
      </w:r>
      <w:r w:rsidR="00427E34">
        <w:rPr>
          <w:rFonts w:eastAsia="Times New Roman" w:cs="Times New Roman"/>
        </w:rPr>
        <w:tab/>
      </w:r>
      <w:r w:rsidRPr="000D2179">
        <w:rPr>
          <w:rFonts w:eastAsia="Times New Roman" w:cs="Times New Roman"/>
        </w:rPr>
        <w:t>Beginning balances at the start of deferral.</w:t>
      </w:r>
    </w:p>
    <w:p w:rsidR="00427E34" w:rsidRDefault="000D2179" w:rsidP="00CC1376">
      <w:pPr>
        <w:spacing w:after="280"/>
        <w:ind w:left="2160" w:right="720" w:hanging="720"/>
        <w:rPr>
          <w:rFonts w:eastAsia="Times New Roman" w:cs="Times New Roman"/>
        </w:rPr>
      </w:pPr>
      <w:r w:rsidRPr="000D2179">
        <w:rPr>
          <w:rFonts w:eastAsia="Times New Roman" w:cs="Times New Roman"/>
        </w:rPr>
        <w:t>(d)</w:t>
      </w:r>
      <w:r w:rsidR="00427E34">
        <w:rPr>
          <w:rFonts w:eastAsia="Times New Roman" w:cs="Times New Roman"/>
        </w:rPr>
        <w:tab/>
      </w:r>
      <w:r w:rsidR="0054077C" w:rsidRPr="0054077C">
        <w:rPr>
          <w:rFonts w:eastAsia="Times New Roman" w:cs="Times New Roman"/>
        </w:rPr>
        <w:t xml:space="preserve">Monthly balances and the </w:t>
      </w:r>
      <w:r w:rsidR="0054077C">
        <w:rPr>
          <w:rFonts w:eastAsia="Times New Roman" w:cs="Times New Roman"/>
        </w:rPr>
        <w:t>y</w:t>
      </w:r>
      <w:r w:rsidR="0054077C" w:rsidRPr="000D2179">
        <w:rPr>
          <w:rFonts w:eastAsia="Times New Roman" w:cs="Times New Roman"/>
        </w:rPr>
        <w:t>ear</w:t>
      </w:r>
      <w:r w:rsidRPr="000D2179">
        <w:rPr>
          <w:rFonts w:eastAsia="Times New Roman" w:cs="Times New Roman"/>
        </w:rPr>
        <w:t>-end deferred balance for the reporting year.</w:t>
      </w:r>
    </w:p>
    <w:p w:rsidR="00427E34" w:rsidRDefault="000D2179" w:rsidP="00CC1376">
      <w:pPr>
        <w:spacing w:after="280"/>
        <w:ind w:left="2160" w:right="720" w:hanging="720"/>
        <w:rPr>
          <w:rFonts w:eastAsia="Times New Roman" w:cs="Times New Roman"/>
        </w:rPr>
      </w:pPr>
      <w:r w:rsidRPr="000D2179">
        <w:rPr>
          <w:rFonts w:eastAsia="Times New Roman" w:cs="Times New Roman"/>
        </w:rPr>
        <w:t>(e)</w:t>
      </w:r>
      <w:r w:rsidR="00427E34">
        <w:rPr>
          <w:rFonts w:eastAsia="Times New Roman" w:cs="Times New Roman"/>
        </w:rPr>
        <w:tab/>
      </w:r>
      <w:r w:rsidRPr="000D2179">
        <w:rPr>
          <w:rFonts w:eastAsia="Times New Roman" w:cs="Times New Roman"/>
        </w:rPr>
        <w:t>Location of projects and internal naming convention (e.g., Tacoma</w:t>
      </w:r>
      <w:r w:rsidR="00427E34">
        <w:rPr>
          <w:rFonts w:eastAsia="Times New Roman" w:cs="Times New Roman"/>
        </w:rPr>
        <w:t xml:space="preserve"> </w:t>
      </w:r>
      <w:r w:rsidRPr="000D2179">
        <w:rPr>
          <w:rFonts w:eastAsia="Times New Roman" w:cs="Times New Roman"/>
        </w:rPr>
        <w:t>Tar Pits and</w:t>
      </w:r>
      <w:r w:rsidR="00CC1376">
        <w:rPr>
          <w:rFonts w:eastAsia="Times New Roman" w:cs="Times New Roman"/>
        </w:rPr>
        <w:t>/</w:t>
      </w:r>
      <w:r w:rsidRPr="000D2179">
        <w:rPr>
          <w:rFonts w:eastAsia="Times New Roman" w:cs="Times New Roman"/>
        </w:rPr>
        <w:t>or Tide Flats).</w:t>
      </w:r>
    </w:p>
    <w:p w:rsidR="00427E34" w:rsidRDefault="000D2179" w:rsidP="00CC1376">
      <w:pPr>
        <w:spacing w:after="280"/>
        <w:ind w:left="2160" w:right="720" w:hanging="720"/>
        <w:rPr>
          <w:rFonts w:eastAsia="Times New Roman" w:cs="Times New Roman"/>
        </w:rPr>
      </w:pPr>
      <w:r w:rsidRPr="000D2179">
        <w:rPr>
          <w:rFonts w:eastAsia="Times New Roman" w:cs="Times New Roman"/>
        </w:rPr>
        <w:t>(f)</w:t>
      </w:r>
      <w:r w:rsidR="00427E34">
        <w:rPr>
          <w:rFonts w:eastAsia="Times New Roman" w:cs="Times New Roman"/>
        </w:rPr>
        <w:tab/>
      </w:r>
      <w:r w:rsidRPr="000D2179">
        <w:rPr>
          <w:rFonts w:eastAsia="Times New Roman" w:cs="Times New Roman"/>
        </w:rPr>
        <w:t>Total amount of third party and insurance recoveries received during</w:t>
      </w:r>
      <w:r w:rsidR="00427E34">
        <w:rPr>
          <w:rFonts w:eastAsia="Times New Roman" w:cs="Times New Roman"/>
        </w:rPr>
        <w:t xml:space="preserve"> </w:t>
      </w:r>
      <w:r w:rsidRPr="000D2179">
        <w:rPr>
          <w:rFonts w:eastAsia="Times New Roman" w:cs="Times New Roman"/>
        </w:rPr>
        <w:t xml:space="preserve">the reporting year by month. </w:t>
      </w:r>
      <w:r w:rsidR="007D204F">
        <w:rPr>
          <w:rFonts w:eastAsia="Times New Roman" w:cs="Times New Roman"/>
        </w:rPr>
        <w:t xml:space="preserve">Where possible, </w:t>
      </w:r>
      <w:r w:rsidRPr="000D2179">
        <w:rPr>
          <w:rFonts w:eastAsia="Times New Roman" w:cs="Times New Roman"/>
        </w:rPr>
        <w:t>recover</w:t>
      </w:r>
      <w:r w:rsidR="007D204F">
        <w:rPr>
          <w:rFonts w:eastAsia="Times New Roman" w:cs="Times New Roman"/>
        </w:rPr>
        <w:t>ies</w:t>
      </w:r>
      <w:r w:rsidRPr="000D2179">
        <w:rPr>
          <w:rFonts w:eastAsia="Times New Roman" w:cs="Times New Roman"/>
        </w:rPr>
        <w:t xml:space="preserve"> received by </w:t>
      </w:r>
      <w:r w:rsidR="00427E34">
        <w:rPr>
          <w:rFonts w:eastAsia="Times New Roman" w:cs="Times New Roman"/>
        </w:rPr>
        <w:t xml:space="preserve">PSE </w:t>
      </w:r>
      <w:r w:rsidR="007D204F">
        <w:rPr>
          <w:rFonts w:eastAsia="Times New Roman" w:cs="Times New Roman"/>
        </w:rPr>
        <w:t xml:space="preserve">will </w:t>
      </w:r>
      <w:r w:rsidRPr="000D2179">
        <w:rPr>
          <w:rFonts w:eastAsia="Times New Roman" w:cs="Times New Roman"/>
        </w:rPr>
        <w:t>reduce the balance of corresponding project cost</w:t>
      </w:r>
      <w:r w:rsidR="00427E34">
        <w:rPr>
          <w:rFonts w:eastAsia="Times New Roman" w:cs="Times New Roman"/>
        </w:rPr>
        <w:t xml:space="preserve"> </w:t>
      </w:r>
      <w:r w:rsidRPr="000D2179">
        <w:rPr>
          <w:rFonts w:eastAsia="Times New Roman" w:cs="Times New Roman"/>
        </w:rPr>
        <w:t xml:space="preserve">balances. If </w:t>
      </w:r>
      <w:r w:rsidR="00427E34">
        <w:rPr>
          <w:rFonts w:eastAsia="Times New Roman" w:cs="Times New Roman"/>
        </w:rPr>
        <w:t xml:space="preserve">PSE </w:t>
      </w:r>
      <w:r w:rsidRPr="000D2179">
        <w:rPr>
          <w:rFonts w:eastAsia="Times New Roman" w:cs="Times New Roman"/>
        </w:rPr>
        <w:t>receives lump sums for multiple projects,</w:t>
      </w:r>
      <w:r w:rsidR="00427E34">
        <w:rPr>
          <w:rFonts w:eastAsia="Times New Roman" w:cs="Times New Roman"/>
        </w:rPr>
        <w:t xml:space="preserve"> </w:t>
      </w:r>
      <w:r w:rsidR="00427E34" w:rsidRPr="00427E34">
        <w:rPr>
          <w:rFonts w:eastAsia="Times New Roman" w:cs="Times New Roman"/>
        </w:rPr>
        <w:t>documentation that supports all the projects that caused the claim</w:t>
      </w:r>
      <w:r w:rsidR="00427E34">
        <w:rPr>
          <w:rFonts w:eastAsia="Times New Roman" w:cs="Times New Roman"/>
        </w:rPr>
        <w:t xml:space="preserve"> </w:t>
      </w:r>
      <w:r w:rsidR="00427E34" w:rsidRPr="00427E34">
        <w:rPr>
          <w:rFonts w:eastAsia="Times New Roman" w:cs="Times New Roman"/>
        </w:rPr>
        <w:t>against third party and insurance should be included in the report.</w:t>
      </w:r>
    </w:p>
    <w:p w:rsidR="002D163E" w:rsidRPr="00427E34" w:rsidRDefault="002D163E" w:rsidP="002D163E">
      <w:pPr>
        <w:spacing w:after="280"/>
        <w:ind w:left="2160" w:right="720" w:hanging="720"/>
        <w:rPr>
          <w:rFonts w:eastAsia="Times New Roman" w:cs="Times New Roman"/>
        </w:rPr>
      </w:pPr>
      <w:r>
        <w:rPr>
          <w:rFonts w:eastAsia="Times New Roman" w:cs="Times New Roman"/>
        </w:rPr>
        <w:t>(g)</w:t>
      </w:r>
      <w:r>
        <w:rPr>
          <w:rFonts w:eastAsia="Times New Roman" w:cs="Times New Roman"/>
        </w:rPr>
        <w:tab/>
      </w:r>
      <w:r w:rsidRPr="002D163E">
        <w:rPr>
          <w:rFonts w:eastAsia="Times New Roman" w:cs="Times New Roman"/>
        </w:rPr>
        <w:t xml:space="preserve">PSE </w:t>
      </w:r>
      <w:r>
        <w:rPr>
          <w:rFonts w:eastAsia="Times New Roman" w:cs="Times New Roman"/>
        </w:rPr>
        <w:t xml:space="preserve">shall </w:t>
      </w:r>
      <w:r w:rsidRPr="002D163E">
        <w:rPr>
          <w:rFonts w:eastAsia="Times New Roman" w:cs="Times New Roman"/>
        </w:rPr>
        <w:t xml:space="preserve">record costs incurred </w:t>
      </w:r>
      <w:r>
        <w:rPr>
          <w:rFonts w:eastAsia="Times New Roman" w:cs="Times New Roman"/>
        </w:rPr>
        <w:t>for</w:t>
      </w:r>
      <w:r w:rsidRPr="002D163E">
        <w:rPr>
          <w:rFonts w:eastAsia="Times New Roman" w:cs="Times New Roman"/>
        </w:rPr>
        <w:t xml:space="preserve"> </w:t>
      </w:r>
      <w:r>
        <w:rPr>
          <w:rFonts w:eastAsia="Times New Roman" w:cs="Times New Roman"/>
        </w:rPr>
        <w:t xml:space="preserve">newly established </w:t>
      </w:r>
      <w:r w:rsidR="00C706EC">
        <w:rPr>
          <w:rFonts w:eastAsia="Times New Roman" w:cs="Times New Roman"/>
        </w:rPr>
        <w:t xml:space="preserve">electric and gas </w:t>
      </w:r>
      <w:r w:rsidRPr="002D163E">
        <w:rPr>
          <w:rFonts w:eastAsia="Times New Roman" w:cs="Times New Roman"/>
        </w:rPr>
        <w:t>remediation sites in FERC account 186.</w:t>
      </w:r>
      <w:r w:rsidR="00012A5D">
        <w:rPr>
          <w:rFonts w:eastAsia="Times New Roman" w:cs="Times New Roman"/>
        </w:rPr>
        <w:t xml:space="preserve"> </w:t>
      </w:r>
      <w:r w:rsidRPr="002D163E">
        <w:rPr>
          <w:rFonts w:eastAsia="Times New Roman" w:cs="Times New Roman"/>
        </w:rPr>
        <w:t>Balances of projects that</w:t>
      </w:r>
      <w:r w:rsidR="00C706EC">
        <w:rPr>
          <w:rFonts w:eastAsia="Times New Roman" w:cs="Times New Roman"/>
        </w:rPr>
        <w:t xml:space="preserve"> </w:t>
      </w:r>
      <w:r w:rsidRPr="002D163E">
        <w:rPr>
          <w:rFonts w:eastAsia="Times New Roman" w:cs="Times New Roman"/>
        </w:rPr>
        <w:t>have been authorized for amortization and are currently being amortized</w:t>
      </w:r>
      <w:r w:rsidR="00C706EC">
        <w:rPr>
          <w:rFonts w:eastAsia="Times New Roman" w:cs="Times New Roman"/>
        </w:rPr>
        <w:t xml:space="preserve"> </w:t>
      </w:r>
      <w:r w:rsidRPr="002D163E">
        <w:rPr>
          <w:rFonts w:eastAsia="Times New Roman" w:cs="Times New Roman"/>
        </w:rPr>
        <w:t>should be transferred to FERC account 182.3.</w:t>
      </w:r>
      <w:r w:rsidR="00012A5D">
        <w:rPr>
          <w:rFonts w:eastAsia="Times New Roman" w:cs="Times New Roman"/>
        </w:rPr>
        <w:t xml:space="preserve"> </w:t>
      </w:r>
      <w:r w:rsidRPr="002D163E">
        <w:rPr>
          <w:rFonts w:eastAsia="Times New Roman" w:cs="Times New Roman"/>
        </w:rPr>
        <w:t>All projects that are</w:t>
      </w:r>
      <w:r w:rsidR="00C706EC">
        <w:rPr>
          <w:rFonts w:eastAsia="Times New Roman" w:cs="Times New Roman"/>
        </w:rPr>
        <w:t xml:space="preserve"> newly established or are</w:t>
      </w:r>
      <w:r w:rsidRPr="002D163E">
        <w:rPr>
          <w:rFonts w:eastAsia="Times New Roman" w:cs="Times New Roman"/>
        </w:rPr>
        <w:t xml:space="preserve"> being amortized should be included in the annual</w:t>
      </w:r>
      <w:r w:rsidR="00C706EC">
        <w:rPr>
          <w:rFonts w:eastAsia="Times New Roman" w:cs="Times New Roman"/>
        </w:rPr>
        <w:t xml:space="preserve"> </w:t>
      </w:r>
      <w:r w:rsidRPr="002D163E">
        <w:rPr>
          <w:rFonts w:eastAsia="Times New Roman" w:cs="Times New Roman"/>
        </w:rPr>
        <w:t>report to the Commission, along with Commission’s order that authorized</w:t>
      </w:r>
      <w:r w:rsidR="00C706EC">
        <w:rPr>
          <w:rFonts w:eastAsia="Times New Roman" w:cs="Times New Roman"/>
        </w:rPr>
        <w:t xml:space="preserve"> </w:t>
      </w:r>
      <w:r w:rsidRPr="002D163E">
        <w:rPr>
          <w:rFonts w:eastAsia="Times New Roman" w:cs="Times New Roman"/>
        </w:rPr>
        <w:t>deferral number, Commission’s order that authorized amortization,</w:t>
      </w:r>
      <w:r w:rsidR="00C706EC">
        <w:rPr>
          <w:rFonts w:eastAsia="Times New Roman" w:cs="Times New Roman"/>
        </w:rPr>
        <w:t xml:space="preserve"> </w:t>
      </w:r>
      <w:r w:rsidRPr="002D163E">
        <w:rPr>
          <w:rFonts w:eastAsia="Times New Roman" w:cs="Times New Roman"/>
        </w:rPr>
        <w:t>beginning balances when the amortization started, year end balances, and</w:t>
      </w:r>
      <w:r w:rsidR="00C706EC">
        <w:rPr>
          <w:rFonts w:eastAsia="Times New Roman" w:cs="Times New Roman"/>
        </w:rPr>
        <w:t xml:space="preserve"> </w:t>
      </w:r>
      <w:r w:rsidRPr="002D163E">
        <w:rPr>
          <w:rFonts w:eastAsia="Times New Roman" w:cs="Times New Roman"/>
        </w:rPr>
        <w:t>amortization start and end date.</w:t>
      </w:r>
    </w:p>
    <w:p w:rsidR="00CC1376" w:rsidRDefault="00CC1376" w:rsidP="00CC1376">
      <w:pPr>
        <w:spacing w:line="480" w:lineRule="auto"/>
        <w:rPr>
          <w:rFonts w:eastAsia="Times New Roman" w:cs="Times New Roman"/>
        </w:rPr>
      </w:pPr>
      <w:r w:rsidRPr="00951558">
        <w:rPr>
          <w:rFonts w:eastAsia="Times New Roman" w:cs="Times New Roman"/>
        </w:rPr>
        <w:t xml:space="preserve">Notwithstanding the foregoing, </w:t>
      </w:r>
      <w:r w:rsidR="00951558" w:rsidRPr="00951558">
        <w:rPr>
          <w:rFonts w:eastAsia="Times New Roman" w:cs="Times New Roman"/>
        </w:rPr>
        <w:t>after the conclusion of the process for assigning insurance recoveries conducted pursuant to paragraph </w:t>
      </w:r>
      <w:r w:rsidR="00663008">
        <w:rPr>
          <w:rFonts w:eastAsia="Times New Roman" w:cs="Times New Roman"/>
        </w:rPr>
        <w:fldChar w:fldCharType="begin"/>
      </w:r>
      <w:r w:rsidR="00663008">
        <w:rPr>
          <w:rFonts w:eastAsia="Times New Roman" w:cs="Times New Roman"/>
        </w:rPr>
        <w:instrText xml:space="preserve"> REF _Ref491943699 \r \h </w:instrText>
      </w:r>
      <w:r w:rsidR="00663008">
        <w:rPr>
          <w:rFonts w:eastAsia="Times New Roman" w:cs="Times New Roman"/>
        </w:rPr>
      </w:r>
      <w:r w:rsidR="00663008">
        <w:rPr>
          <w:rFonts w:eastAsia="Times New Roman" w:cs="Times New Roman"/>
        </w:rPr>
        <w:fldChar w:fldCharType="separate"/>
      </w:r>
      <w:r w:rsidR="00831E9E">
        <w:rPr>
          <w:rFonts w:eastAsia="Times New Roman" w:cs="Times New Roman"/>
        </w:rPr>
        <w:t>54</w:t>
      </w:r>
      <w:r w:rsidR="00663008">
        <w:rPr>
          <w:rFonts w:eastAsia="Times New Roman" w:cs="Times New Roman"/>
        </w:rPr>
        <w:fldChar w:fldCharType="end"/>
      </w:r>
      <w:r w:rsidR="00951558" w:rsidRPr="00951558">
        <w:rPr>
          <w:rFonts w:eastAsia="Times New Roman" w:cs="Times New Roman"/>
        </w:rPr>
        <w:t xml:space="preserve"> of this Settlement, PSE </w:t>
      </w:r>
      <w:r w:rsidRPr="00951558">
        <w:rPr>
          <w:rFonts w:eastAsia="Times New Roman" w:cs="Times New Roman"/>
        </w:rPr>
        <w:t xml:space="preserve">shall report </w:t>
      </w:r>
      <w:r w:rsidR="00FC3371" w:rsidRPr="00951558">
        <w:rPr>
          <w:rFonts w:eastAsia="Times New Roman" w:cs="Times New Roman"/>
        </w:rPr>
        <w:t xml:space="preserve">specific recoveries </w:t>
      </w:r>
      <w:r w:rsidRPr="00951558">
        <w:rPr>
          <w:rFonts w:eastAsia="Times New Roman" w:cs="Times New Roman"/>
        </w:rPr>
        <w:t xml:space="preserve">associated with </w:t>
      </w:r>
      <w:r w:rsidR="00FC3371" w:rsidRPr="00951558">
        <w:rPr>
          <w:rFonts w:eastAsia="Times New Roman" w:cs="Times New Roman"/>
        </w:rPr>
        <w:t xml:space="preserve">specific projects </w:t>
      </w:r>
      <w:r w:rsidRPr="00951558">
        <w:rPr>
          <w:rFonts w:eastAsia="Times New Roman" w:cs="Times New Roman"/>
        </w:rPr>
        <w:t xml:space="preserve">consistent with the terms and conditions </w:t>
      </w:r>
      <w:r w:rsidR="00951558" w:rsidRPr="00951558">
        <w:rPr>
          <w:rFonts w:eastAsia="Times New Roman" w:cs="Times New Roman"/>
        </w:rPr>
        <w:t xml:space="preserve">developed in such </w:t>
      </w:r>
      <w:r w:rsidRPr="00951558">
        <w:rPr>
          <w:rFonts w:eastAsia="Times New Roman" w:cs="Times New Roman"/>
        </w:rPr>
        <w:t>process</w:t>
      </w:r>
      <w:r w:rsidR="00951558" w:rsidRPr="00951558">
        <w:rPr>
          <w:rFonts w:eastAsia="Times New Roman" w:cs="Times New Roman"/>
        </w:rPr>
        <w:t>.</w:t>
      </w:r>
    </w:p>
    <w:p w:rsidR="00E15093" w:rsidRPr="000D400B" w:rsidRDefault="0054077C" w:rsidP="00E15093">
      <w:pPr>
        <w:pStyle w:val="Heading5"/>
      </w:pPr>
      <w:r>
        <w:t>i</w:t>
      </w:r>
      <w:r w:rsidR="00E15093">
        <w:t>i</w:t>
      </w:r>
      <w:r w:rsidR="00E15093" w:rsidRPr="000D400B">
        <w:t>.</w:t>
      </w:r>
      <w:r w:rsidR="00E15093" w:rsidRPr="000D400B">
        <w:tab/>
      </w:r>
      <w:r w:rsidR="00E15093" w:rsidRPr="00F546AD">
        <w:t>Adjustment No. 13.19 – </w:t>
      </w:r>
      <w:r w:rsidR="00E15093" w:rsidRPr="00F546AD">
        <w:rPr>
          <w:rFonts w:eastAsia="Times New Roman"/>
        </w:rPr>
        <w:t>Environmental Remediation</w:t>
      </w:r>
      <w:r w:rsidR="00E15093">
        <w:rPr>
          <w:rFonts w:eastAsia="Times New Roman"/>
        </w:rPr>
        <w:t xml:space="preserve"> (Electric)</w:t>
      </w:r>
    </w:p>
    <w:p w:rsidR="00E15093" w:rsidRDefault="00E15093" w:rsidP="00E15093">
      <w:pPr>
        <w:pStyle w:val="ListParagraph"/>
      </w:pPr>
      <w:r w:rsidRPr="00F546AD">
        <w:t xml:space="preserve">The Settling Parties agree to use </w:t>
      </w:r>
      <w:r w:rsidRPr="00322E40">
        <w:t xml:space="preserve">Adjustment </w:t>
      </w:r>
      <w:r w:rsidRPr="00F546AD">
        <w:t>No. 13.19 – </w:t>
      </w:r>
      <w:r w:rsidRPr="00322E40">
        <w:t>Environmental Remediation</w:t>
      </w:r>
      <w:r w:rsidRPr="00F546AD">
        <w:t xml:space="preserve"> </w:t>
      </w:r>
      <w:r w:rsidRPr="00322E40">
        <w:t xml:space="preserve">proposed by PSE, which decreases net operating income for electric operations by </w:t>
      </w:r>
      <w:r w:rsidRPr="00322E40">
        <w:lastRenderedPageBreak/>
        <w:t>$925,460. (</w:t>
      </w:r>
      <w:r w:rsidRPr="00322E40">
        <w:rPr>
          <w:i/>
        </w:rPr>
        <w:t>See</w:t>
      </w:r>
      <w:r w:rsidRPr="00322E40">
        <w:t xml:space="preserve"> Barnard, </w:t>
      </w:r>
      <w:proofErr w:type="spellStart"/>
      <w:r w:rsidRPr="00322E40">
        <w:t>Exh</w:t>
      </w:r>
      <w:proofErr w:type="spellEnd"/>
      <w:r w:rsidRPr="00322E40">
        <w:t xml:space="preserve">. KJB-19 at 4 (labeled therein as “Adjustment </w:t>
      </w:r>
      <w:r w:rsidRPr="00F546AD">
        <w:t>No. 20.19 – </w:t>
      </w:r>
      <w:r w:rsidRPr="00322E40">
        <w:t>Environmental Remediation</w:t>
      </w:r>
      <w:r w:rsidRPr="00F546AD">
        <w:t>”)</w:t>
      </w:r>
      <w:r w:rsidRPr="00322E40">
        <w:t>.)</w:t>
      </w:r>
    </w:p>
    <w:p w:rsidR="00E15093" w:rsidRPr="000D400B" w:rsidRDefault="0054077C" w:rsidP="00E15093">
      <w:pPr>
        <w:pStyle w:val="Heading5"/>
      </w:pPr>
      <w:r>
        <w:t>i</w:t>
      </w:r>
      <w:r w:rsidR="00E15093">
        <w:t>ii</w:t>
      </w:r>
      <w:r w:rsidR="00E15093" w:rsidRPr="000D400B">
        <w:t>.</w:t>
      </w:r>
      <w:r w:rsidR="00E15093" w:rsidRPr="000D400B">
        <w:tab/>
      </w:r>
      <w:r w:rsidR="00E15093" w:rsidRPr="00F546AD">
        <w:t>Adjustment No. </w:t>
      </w:r>
      <w:r w:rsidR="00E15093">
        <w:t>11</w:t>
      </w:r>
      <w:r w:rsidR="00E15093" w:rsidRPr="00F546AD">
        <w:t>.19 – </w:t>
      </w:r>
      <w:r w:rsidR="00E15093" w:rsidRPr="00F546AD">
        <w:rPr>
          <w:rFonts w:eastAsia="Times New Roman"/>
        </w:rPr>
        <w:t>Environmental Remediation</w:t>
      </w:r>
      <w:r w:rsidR="00E15093">
        <w:rPr>
          <w:rFonts w:eastAsia="Times New Roman"/>
        </w:rPr>
        <w:t xml:space="preserve"> (Natural Gas)</w:t>
      </w:r>
    </w:p>
    <w:p w:rsidR="00E15093" w:rsidRPr="002A62B7" w:rsidRDefault="00E15093" w:rsidP="00E15093">
      <w:pPr>
        <w:pStyle w:val="ListParagraph"/>
      </w:pPr>
      <w:r w:rsidRPr="002A62B7">
        <w:t>The Settling Parties agree to use Adjustment No. 11.19 – Environmental Remediation proposed by PSE, which decreases net operating income for natural gas operations by $5,592,128. (</w:t>
      </w:r>
      <w:r w:rsidRPr="002A62B7">
        <w:rPr>
          <w:i/>
        </w:rPr>
        <w:t>See</w:t>
      </w:r>
      <w:r w:rsidRPr="002A62B7">
        <w:t xml:space="preserve"> Free, </w:t>
      </w:r>
      <w:proofErr w:type="spellStart"/>
      <w:r w:rsidRPr="002A62B7">
        <w:t>Exh</w:t>
      </w:r>
      <w:proofErr w:type="spellEnd"/>
      <w:r w:rsidRPr="002A62B7">
        <w:t>. SEF-14 at 4</w:t>
      </w:r>
      <w:r>
        <w:t xml:space="preserve"> (labeled therein as “</w:t>
      </w:r>
      <w:r w:rsidRPr="002A62B7">
        <w:t>Adjustment No. </w:t>
      </w:r>
      <w:r w:rsidR="0054077C" w:rsidRPr="002A62B7">
        <w:t>1</w:t>
      </w:r>
      <w:r w:rsidR="0054077C">
        <w:t>5</w:t>
      </w:r>
      <w:r w:rsidRPr="002A62B7">
        <w:t>.19 – Environmental Remediation</w:t>
      </w:r>
      <w:r>
        <w:t>”)</w:t>
      </w:r>
      <w:r w:rsidRPr="002A62B7">
        <w:t>.)</w:t>
      </w:r>
    </w:p>
    <w:p w:rsidR="007A518C" w:rsidRDefault="003B75F9" w:rsidP="007A518C">
      <w:pPr>
        <w:pStyle w:val="Heading4"/>
        <w:rPr>
          <w:rFonts w:eastAsia="Times New Roman"/>
        </w:rPr>
      </w:pPr>
      <w:r>
        <w:rPr>
          <w:rFonts w:eastAsia="Times New Roman"/>
        </w:rPr>
        <w:t>u</w:t>
      </w:r>
      <w:r w:rsidR="007A518C">
        <w:rPr>
          <w:rFonts w:eastAsia="Times New Roman"/>
        </w:rPr>
        <w:t>.</w:t>
      </w:r>
      <w:r w:rsidR="007A518C">
        <w:rPr>
          <w:rFonts w:eastAsia="Times New Roman"/>
        </w:rPr>
        <w:tab/>
      </w:r>
      <w:r w:rsidR="007A518C" w:rsidRPr="00083A53">
        <w:rPr>
          <w:rFonts w:eastAsia="Times New Roman"/>
        </w:rPr>
        <w:t>Payment Processing Costs</w:t>
      </w:r>
    </w:p>
    <w:p w:rsidR="00E15093" w:rsidRPr="000D400B" w:rsidRDefault="00E15093" w:rsidP="00E15093">
      <w:pPr>
        <w:pStyle w:val="Heading5"/>
      </w:pPr>
      <w:r>
        <w:t>i</w:t>
      </w:r>
      <w:r w:rsidRPr="000D400B">
        <w:t>.</w:t>
      </w:r>
      <w:r w:rsidRPr="000D400B">
        <w:tab/>
      </w:r>
      <w:r w:rsidRPr="007A518C">
        <w:t>Adjustment No.</w:t>
      </w:r>
      <w:r>
        <w:t> 13</w:t>
      </w:r>
      <w:r w:rsidRPr="007A518C">
        <w:t>.</w:t>
      </w:r>
      <w:r>
        <w:t>20 – </w:t>
      </w:r>
      <w:r w:rsidRPr="00083A53">
        <w:rPr>
          <w:rFonts w:eastAsia="Times New Roman"/>
        </w:rPr>
        <w:t>Payment Processing Costs</w:t>
      </w:r>
      <w:r>
        <w:rPr>
          <w:rFonts w:eastAsia="Times New Roman"/>
        </w:rPr>
        <w:t xml:space="preserve"> (Electric)</w:t>
      </w:r>
    </w:p>
    <w:p w:rsidR="000151E4" w:rsidRPr="00322E40" w:rsidRDefault="000151E4" w:rsidP="00121EC6">
      <w:pPr>
        <w:pStyle w:val="ListParagraph"/>
      </w:pPr>
      <w:r>
        <w:t xml:space="preserve">The Settling Parties agree to </w:t>
      </w:r>
      <w:r w:rsidR="00566D6E">
        <w:t xml:space="preserve">use </w:t>
      </w:r>
      <w:r w:rsidR="00566D6E" w:rsidRPr="00322E40">
        <w:t xml:space="preserve">Adjustment </w:t>
      </w:r>
      <w:r w:rsidRPr="007A518C">
        <w:t>No.</w:t>
      </w:r>
      <w:r>
        <w:t> 13</w:t>
      </w:r>
      <w:r w:rsidRPr="007A518C">
        <w:t>.</w:t>
      </w:r>
      <w:r>
        <w:t>20 – </w:t>
      </w:r>
      <w:r w:rsidRPr="00322E40">
        <w:t xml:space="preserve">Payment Processing Costs </w:t>
      </w:r>
      <w:r w:rsidR="00012A5D">
        <w:t>proposed by</w:t>
      </w:r>
      <w:r w:rsidR="00874F14">
        <w:t xml:space="preserve"> PSE, Public Counsel</w:t>
      </w:r>
      <w:r w:rsidR="00012A5D">
        <w:t>,</w:t>
      </w:r>
      <w:r w:rsidR="00874F14">
        <w:t xml:space="preserve"> and Commission Staff,</w:t>
      </w:r>
      <w:r w:rsidRPr="00322E40">
        <w:t xml:space="preserve"> which decreases net operating income for electric operations by $2,010,221. (</w:t>
      </w:r>
      <w:r w:rsidRPr="00322E40">
        <w:rPr>
          <w:i/>
        </w:rPr>
        <w:t>See</w:t>
      </w:r>
      <w:r w:rsidR="00012A5D">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MCC-2r at 4.)</w:t>
      </w:r>
    </w:p>
    <w:p w:rsidR="00E15093" w:rsidRPr="000D400B" w:rsidRDefault="00E15093" w:rsidP="00E15093">
      <w:pPr>
        <w:pStyle w:val="Heading5"/>
      </w:pPr>
      <w:r>
        <w:t>ii</w:t>
      </w:r>
      <w:r w:rsidRPr="000D400B">
        <w:t>.</w:t>
      </w:r>
      <w:r w:rsidRPr="000D400B">
        <w:tab/>
      </w:r>
      <w:r w:rsidRPr="007A518C">
        <w:t>Adjustment No.</w:t>
      </w:r>
      <w:r>
        <w:t> </w:t>
      </w:r>
      <w:r w:rsidR="00C342D7">
        <w:t>11</w:t>
      </w:r>
      <w:r w:rsidRPr="007A518C">
        <w:t>.</w:t>
      </w:r>
      <w:r>
        <w:t>20 – </w:t>
      </w:r>
      <w:r w:rsidRPr="00083A53">
        <w:rPr>
          <w:rFonts w:eastAsia="Times New Roman"/>
        </w:rPr>
        <w:t>Payment Processing Costs</w:t>
      </w:r>
      <w:r>
        <w:rPr>
          <w:rFonts w:eastAsia="Times New Roman"/>
        </w:rPr>
        <w:t xml:space="preserve"> (Natural Gas)</w:t>
      </w:r>
    </w:p>
    <w:p w:rsidR="00E15093" w:rsidRPr="00322E40" w:rsidRDefault="00E15093" w:rsidP="00E15093">
      <w:pPr>
        <w:pStyle w:val="ListParagraph"/>
      </w:pPr>
      <w:r w:rsidRPr="008247D6">
        <w:t xml:space="preserve">The Settling Parties agree to use </w:t>
      </w:r>
      <w:r w:rsidRPr="00322E40">
        <w:t xml:space="preserve">Adjustment </w:t>
      </w:r>
      <w:r w:rsidRPr="007A518C">
        <w:t>No.</w:t>
      </w:r>
      <w:r>
        <w:t> 11</w:t>
      </w:r>
      <w:r w:rsidRPr="007A518C">
        <w:t>.</w:t>
      </w:r>
      <w:r>
        <w:t>20 – </w:t>
      </w:r>
      <w:r w:rsidRPr="00322E40">
        <w:t xml:space="preserve">Payment Processing Costs </w:t>
      </w:r>
      <w:r>
        <w:t xml:space="preserve">proposed by PSE, Public Counsel, and Commission Staff, which </w:t>
      </w:r>
      <w:r w:rsidRPr="00322E40">
        <w:t xml:space="preserve">decreases net operating income for </w:t>
      </w:r>
      <w:r>
        <w:t xml:space="preserve">natural gas </w:t>
      </w:r>
      <w:r w:rsidRPr="00322E40">
        <w:t>operations by $</w:t>
      </w:r>
      <w:r>
        <w:t>1</w:t>
      </w:r>
      <w:r w:rsidRPr="00322E40">
        <w:t>,</w:t>
      </w:r>
      <w:r>
        <w:t>449</w:t>
      </w:r>
      <w:r w:rsidRPr="00322E40">
        <w:t>,</w:t>
      </w:r>
      <w:r>
        <w:t>117</w:t>
      </w:r>
      <w:r w:rsidRPr="00322E40">
        <w:t>. (</w:t>
      </w:r>
      <w:r w:rsidRPr="00322E40">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4.)</w:t>
      </w:r>
    </w:p>
    <w:p w:rsidR="007A518C" w:rsidRDefault="003B75F9" w:rsidP="007A518C">
      <w:pPr>
        <w:pStyle w:val="Heading4"/>
        <w:rPr>
          <w:rFonts w:eastAsia="Times New Roman"/>
        </w:rPr>
      </w:pPr>
      <w:r>
        <w:rPr>
          <w:rFonts w:eastAsia="Times New Roman"/>
        </w:rPr>
        <w:t>v</w:t>
      </w:r>
      <w:r w:rsidR="007A518C">
        <w:rPr>
          <w:rFonts w:eastAsia="Times New Roman"/>
        </w:rPr>
        <w:t>.</w:t>
      </w:r>
      <w:r w:rsidR="007A518C">
        <w:rPr>
          <w:rFonts w:eastAsia="Times New Roman"/>
        </w:rPr>
        <w:tab/>
      </w:r>
      <w:r w:rsidR="007A518C" w:rsidRPr="00083A53">
        <w:rPr>
          <w:rFonts w:eastAsia="Times New Roman"/>
        </w:rPr>
        <w:t>South King Service Center</w:t>
      </w:r>
    </w:p>
    <w:p w:rsidR="00E15093" w:rsidRPr="000D400B" w:rsidRDefault="00E15093" w:rsidP="00E15093">
      <w:pPr>
        <w:pStyle w:val="Heading5"/>
      </w:pPr>
      <w:r>
        <w:t>i</w:t>
      </w:r>
      <w:r w:rsidRPr="000D400B">
        <w:t>.</w:t>
      </w:r>
      <w:r w:rsidRPr="000D400B">
        <w:tab/>
      </w:r>
      <w:r w:rsidRPr="007A518C">
        <w:t>Adjustment No.</w:t>
      </w:r>
      <w:r>
        <w:t> 13</w:t>
      </w:r>
      <w:r w:rsidRPr="007A518C">
        <w:t>.</w:t>
      </w:r>
      <w:r>
        <w:t>21 – </w:t>
      </w:r>
      <w:r w:rsidRPr="00083A53">
        <w:rPr>
          <w:rFonts w:eastAsia="Times New Roman"/>
        </w:rPr>
        <w:t>South King Service Center</w:t>
      </w:r>
      <w:r>
        <w:rPr>
          <w:rFonts w:eastAsia="Times New Roman"/>
        </w:rPr>
        <w:t xml:space="preserve"> (Electric)</w:t>
      </w:r>
    </w:p>
    <w:p w:rsidR="00441AEF" w:rsidRPr="00322E40" w:rsidRDefault="00566D6E" w:rsidP="00121EC6">
      <w:pPr>
        <w:pStyle w:val="ListParagraph"/>
      </w:pPr>
      <w:r w:rsidRPr="00322E40">
        <w:t xml:space="preserve">Adjustment </w:t>
      </w:r>
      <w:r w:rsidR="00441AEF" w:rsidRPr="007A518C">
        <w:t>No.</w:t>
      </w:r>
      <w:r w:rsidR="00441AEF">
        <w:t> 13</w:t>
      </w:r>
      <w:r w:rsidR="00441AEF" w:rsidRPr="007A518C">
        <w:t>.</w:t>
      </w:r>
      <w:r w:rsidR="00441AEF">
        <w:t>21 – </w:t>
      </w:r>
      <w:r w:rsidR="00441AEF" w:rsidRPr="00322E40">
        <w:t xml:space="preserve">South King Service Center </w:t>
      </w:r>
      <w:r w:rsidR="00012A5D">
        <w:t>is</w:t>
      </w:r>
      <w:r w:rsidR="00DB791E">
        <w:t xml:space="preserve"> uncontested </w:t>
      </w:r>
      <w:r w:rsidR="00012A5D">
        <w:t>and</w:t>
      </w:r>
      <w:r w:rsidR="00441AEF" w:rsidRPr="00322E40">
        <w:t xml:space="preserve"> (i) increases net operating income for electric operations by $434,046 and (ii) increases rate base for electric operations by $15,915,060. (</w:t>
      </w:r>
      <w:r w:rsidR="00441AEF" w:rsidRPr="00322E40">
        <w:rPr>
          <w:i/>
        </w:rPr>
        <w:t>See</w:t>
      </w:r>
      <w:r w:rsidR="00012A5D">
        <w:rPr>
          <w:i/>
        </w:rPr>
        <w:t>, e.g.,</w:t>
      </w:r>
      <w:r w:rsidR="00441AEF" w:rsidRPr="00322E40">
        <w:t> </w:t>
      </w:r>
      <w:proofErr w:type="spellStart"/>
      <w:r w:rsidR="00441AEF" w:rsidRPr="00322E40">
        <w:t>Cheesman</w:t>
      </w:r>
      <w:proofErr w:type="spellEnd"/>
      <w:r w:rsidR="00441AEF" w:rsidRPr="00322E40">
        <w:t xml:space="preserve">, </w:t>
      </w:r>
      <w:proofErr w:type="spellStart"/>
      <w:r w:rsidR="00441AEF" w:rsidRPr="00322E40">
        <w:t>Exh</w:t>
      </w:r>
      <w:proofErr w:type="spellEnd"/>
      <w:r w:rsidR="00441AEF" w:rsidRPr="00322E40">
        <w:t>. MCC-2r at 4.)</w:t>
      </w:r>
    </w:p>
    <w:p w:rsidR="00E15093" w:rsidRDefault="00E15093" w:rsidP="00E15093">
      <w:pPr>
        <w:pStyle w:val="Heading5"/>
        <w:rPr>
          <w:rFonts w:eastAsia="Times New Roman"/>
        </w:rPr>
      </w:pPr>
      <w:r>
        <w:lastRenderedPageBreak/>
        <w:t>ii</w:t>
      </w:r>
      <w:r w:rsidRPr="000D400B">
        <w:t>.</w:t>
      </w:r>
      <w:r w:rsidRPr="000D400B">
        <w:tab/>
      </w:r>
      <w:r w:rsidRPr="007A518C">
        <w:t>Adjustment No.</w:t>
      </w:r>
      <w:r>
        <w:t> 11</w:t>
      </w:r>
      <w:r w:rsidRPr="007A518C">
        <w:t>.</w:t>
      </w:r>
      <w:r>
        <w:t>21 – </w:t>
      </w:r>
      <w:r w:rsidRPr="00083A53">
        <w:rPr>
          <w:rFonts w:eastAsia="Times New Roman"/>
        </w:rPr>
        <w:t>South King Service Center</w:t>
      </w:r>
      <w:r>
        <w:rPr>
          <w:rFonts w:eastAsia="Times New Roman"/>
        </w:rPr>
        <w:t xml:space="preserve"> (Natural Gas)</w:t>
      </w:r>
    </w:p>
    <w:p w:rsidR="00E15093" w:rsidRPr="00322E40" w:rsidRDefault="00E15093" w:rsidP="00E15093">
      <w:pPr>
        <w:pStyle w:val="ListParagraph"/>
      </w:pPr>
      <w:r w:rsidRPr="00322E40">
        <w:t xml:space="preserve">Adjustment </w:t>
      </w:r>
      <w:r w:rsidRPr="007A518C">
        <w:t>No.</w:t>
      </w:r>
      <w:r>
        <w:t> 11</w:t>
      </w:r>
      <w:r w:rsidRPr="007A518C">
        <w:t>.</w:t>
      </w:r>
      <w:r>
        <w:t>21 – </w:t>
      </w:r>
      <w:r w:rsidRPr="00322E40">
        <w:t xml:space="preserve">South King Service Center </w:t>
      </w:r>
      <w:r>
        <w:t xml:space="preserve">is uncontested and </w:t>
      </w:r>
      <w:r w:rsidRPr="00322E40">
        <w:t xml:space="preserve">(i) increases net operating income for </w:t>
      </w:r>
      <w:r>
        <w:t xml:space="preserve">natural gas </w:t>
      </w:r>
      <w:r w:rsidRPr="00322E40">
        <w:t>operations by $</w:t>
      </w:r>
      <w:r>
        <w:t>212</w:t>
      </w:r>
      <w:r w:rsidRPr="00322E40">
        <w:t>,</w:t>
      </w:r>
      <w:r>
        <w:t xml:space="preserve">048 </w:t>
      </w:r>
      <w:r w:rsidRPr="00322E40">
        <w:t xml:space="preserve">and (ii) increases rate base for </w:t>
      </w:r>
      <w:r>
        <w:t xml:space="preserve">natural gas </w:t>
      </w:r>
      <w:r w:rsidRPr="00322E40">
        <w:t>operations by $</w:t>
      </w:r>
      <w:r>
        <w:t>7</w:t>
      </w:r>
      <w:r w:rsidRPr="00322E40">
        <w:t>,</w:t>
      </w:r>
      <w:r>
        <w:t>775</w:t>
      </w:r>
      <w:r w:rsidRPr="00322E40">
        <w:t>,</w:t>
      </w:r>
      <w:r>
        <w:t>116</w:t>
      </w:r>
      <w:r w:rsidRPr="00322E40">
        <w:t>. (</w:t>
      </w:r>
      <w:r w:rsidRPr="00322E40">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 xml:space="preserve">r at </w:t>
      </w:r>
      <w:r>
        <w:t>4</w:t>
      </w:r>
      <w:r w:rsidRPr="00322E40">
        <w:t>.)</w:t>
      </w:r>
    </w:p>
    <w:p w:rsidR="00083A53" w:rsidRPr="00083A53" w:rsidRDefault="003B75F9" w:rsidP="007A518C">
      <w:pPr>
        <w:pStyle w:val="Heading4"/>
        <w:rPr>
          <w:rFonts w:eastAsia="Times New Roman"/>
        </w:rPr>
      </w:pPr>
      <w:r>
        <w:rPr>
          <w:rFonts w:eastAsia="Times New Roman"/>
        </w:rPr>
        <w:t>w</w:t>
      </w:r>
      <w:r w:rsidR="007A518C">
        <w:rPr>
          <w:rFonts w:eastAsia="Times New Roman"/>
        </w:rPr>
        <w:t>.</w:t>
      </w:r>
      <w:r w:rsidR="007A518C">
        <w:rPr>
          <w:rFonts w:eastAsia="Times New Roman"/>
        </w:rPr>
        <w:tab/>
      </w:r>
      <w:r w:rsidR="006819AE">
        <w:t xml:space="preserve">Excise Tax and WUTC </w:t>
      </w:r>
      <w:r w:rsidR="006819AE">
        <w:rPr>
          <w:rFonts w:eastAsia="Times New Roman"/>
        </w:rPr>
        <w:t>Filing Fee</w:t>
      </w:r>
    </w:p>
    <w:p w:rsidR="00E15093" w:rsidRPr="000D400B" w:rsidRDefault="00E15093" w:rsidP="00E15093">
      <w:pPr>
        <w:pStyle w:val="Heading5"/>
      </w:pPr>
      <w:r>
        <w:t>i</w:t>
      </w:r>
      <w:r w:rsidRPr="000D400B">
        <w:t>.</w:t>
      </w:r>
      <w:r w:rsidRPr="000D400B">
        <w:tab/>
      </w:r>
      <w:r w:rsidRPr="007A518C">
        <w:t>Adjustment No.</w:t>
      </w:r>
      <w:r>
        <w:t> 13</w:t>
      </w:r>
      <w:r w:rsidRPr="007A518C">
        <w:t>.</w:t>
      </w:r>
      <w:r>
        <w:t xml:space="preserve">22 – Excise Tax and WUTC </w:t>
      </w:r>
      <w:r>
        <w:rPr>
          <w:rFonts w:eastAsia="Times New Roman"/>
        </w:rPr>
        <w:t>Filing Fee (Electric)</w:t>
      </w:r>
    </w:p>
    <w:p w:rsidR="00441AEF" w:rsidRPr="00322E40" w:rsidRDefault="00566D6E" w:rsidP="00121EC6">
      <w:pPr>
        <w:pStyle w:val="ListParagraph"/>
      </w:pPr>
      <w:r w:rsidRPr="00322E40">
        <w:t xml:space="preserve">Adjustment </w:t>
      </w:r>
      <w:r w:rsidR="00441AEF" w:rsidRPr="007A518C">
        <w:t>No.</w:t>
      </w:r>
      <w:r w:rsidR="00441AEF">
        <w:t> 13</w:t>
      </w:r>
      <w:r w:rsidR="00441AEF" w:rsidRPr="007A518C">
        <w:t>.</w:t>
      </w:r>
      <w:r w:rsidR="00441AEF">
        <w:t>22 – </w:t>
      </w:r>
      <w:r w:rsidR="006819AE">
        <w:t xml:space="preserve">Excise Tax and WUTC </w:t>
      </w:r>
      <w:r w:rsidR="006819AE" w:rsidRPr="00322E40">
        <w:t xml:space="preserve">Filing Fee </w:t>
      </w:r>
      <w:r w:rsidR="00012A5D">
        <w:t>is</w:t>
      </w:r>
      <w:r w:rsidR="00DB791E">
        <w:t xml:space="preserve"> uncontested </w:t>
      </w:r>
      <w:r w:rsidR="00012A5D">
        <w:t>and</w:t>
      </w:r>
      <w:r w:rsidR="00441AEF" w:rsidRPr="00322E40">
        <w:t xml:space="preserve"> increases net operating income for electric operations by $10,262. (</w:t>
      </w:r>
      <w:r w:rsidR="00441AEF" w:rsidRPr="00322E40">
        <w:rPr>
          <w:i/>
        </w:rPr>
        <w:t>See</w:t>
      </w:r>
      <w:r w:rsidR="00012A5D">
        <w:rPr>
          <w:i/>
        </w:rPr>
        <w:t>, e.g.,</w:t>
      </w:r>
      <w:r w:rsidR="00441AEF" w:rsidRPr="00322E40">
        <w:t> </w:t>
      </w:r>
      <w:proofErr w:type="spellStart"/>
      <w:r w:rsidR="00441AEF" w:rsidRPr="00322E40">
        <w:t>Cheesman</w:t>
      </w:r>
      <w:proofErr w:type="spellEnd"/>
      <w:r w:rsidR="00441AEF" w:rsidRPr="00322E40">
        <w:t xml:space="preserve">, </w:t>
      </w:r>
      <w:proofErr w:type="spellStart"/>
      <w:r w:rsidR="00441AEF" w:rsidRPr="00322E40">
        <w:t>Exh</w:t>
      </w:r>
      <w:proofErr w:type="spellEnd"/>
      <w:r w:rsidR="00441AEF" w:rsidRPr="00322E40">
        <w:t>. MCC-2r at 4.)</w:t>
      </w:r>
    </w:p>
    <w:p w:rsidR="00E15093" w:rsidRPr="000D400B" w:rsidRDefault="00E15093" w:rsidP="00E15093">
      <w:pPr>
        <w:pStyle w:val="Heading5"/>
      </w:pPr>
      <w:r>
        <w:t>ii</w:t>
      </w:r>
      <w:r w:rsidRPr="000D400B">
        <w:t>.</w:t>
      </w:r>
      <w:r w:rsidRPr="000D400B">
        <w:tab/>
      </w:r>
      <w:r w:rsidRPr="007A518C">
        <w:t>Adjustment No.</w:t>
      </w:r>
      <w:r>
        <w:t> </w:t>
      </w:r>
      <w:r w:rsidR="00C342D7">
        <w:t>11</w:t>
      </w:r>
      <w:r w:rsidRPr="007A518C">
        <w:t>.</w:t>
      </w:r>
      <w:r>
        <w:t xml:space="preserve">22 – Excise Tax and WUTC </w:t>
      </w:r>
      <w:r>
        <w:rPr>
          <w:rFonts w:eastAsia="Times New Roman"/>
        </w:rPr>
        <w:t>Filing Fee (Natural Gas)</w:t>
      </w:r>
    </w:p>
    <w:p w:rsidR="00E15093" w:rsidRPr="00322E40" w:rsidRDefault="00E15093" w:rsidP="00E15093">
      <w:pPr>
        <w:pStyle w:val="ListParagraph"/>
      </w:pPr>
      <w:r w:rsidRPr="00322E40">
        <w:t xml:space="preserve">Adjustment </w:t>
      </w:r>
      <w:r w:rsidRPr="007A518C">
        <w:t>No.</w:t>
      </w:r>
      <w:r>
        <w:t> 11</w:t>
      </w:r>
      <w:r w:rsidRPr="007A518C">
        <w:t>.</w:t>
      </w:r>
      <w:r>
        <w:t xml:space="preserve">22 – Excise Tax and WUTC </w:t>
      </w:r>
      <w:r w:rsidRPr="00322E40">
        <w:t xml:space="preserve">Filing Fee </w:t>
      </w:r>
      <w:r>
        <w:t xml:space="preserve">is uncontested and </w:t>
      </w:r>
      <w:r w:rsidRPr="00322E40">
        <w:t xml:space="preserve">increases net operating income for </w:t>
      </w:r>
      <w:r>
        <w:t xml:space="preserve">natural gas </w:t>
      </w:r>
      <w:r w:rsidRPr="00322E40">
        <w:t>operations by $</w:t>
      </w:r>
      <w:r>
        <w:t>33</w:t>
      </w:r>
      <w:r w:rsidRPr="00322E40">
        <w:t>,</w:t>
      </w:r>
      <w:r>
        <w:t>509</w:t>
      </w:r>
      <w:r w:rsidRPr="00322E40">
        <w:t>. (</w:t>
      </w:r>
      <w:r w:rsidRPr="00322E40">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4.)</w:t>
      </w:r>
    </w:p>
    <w:p w:rsidR="00334924" w:rsidRPr="00A80CC2" w:rsidRDefault="003B75F9" w:rsidP="00334924">
      <w:pPr>
        <w:pStyle w:val="Heading4"/>
        <w:rPr>
          <w:rFonts w:eastAsia="Times New Roman"/>
        </w:rPr>
      </w:pPr>
      <w:r w:rsidRPr="00A80CC2">
        <w:rPr>
          <w:rFonts w:eastAsia="Times New Roman"/>
        </w:rPr>
        <w:t>x</w:t>
      </w:r>
      <w:r w:rsidR="00334924" w:rsidRPr="00A80CC2">
        <w:rPr>
          <w:rFonts w:eastAsia="Times New Roman"/>
        </w:rPr>
        <w:t>.</w:t>
      </w:r>
      <w:r w:rsidR="00334924" w:rsidRPr="00A80CC2">
        <w:rPr>
          <w:rFonts w:eastAsia="Times New Roman"/>
        </w:rPr>
        <w:tab/>
      </w:r>
      <w:r w:rsidR="0056272B">
        <w:t xml:space="preserve">Investor-Supplied Working Capital and Rate Base </w:t>
      </w:r>
      <w:r w:rsidR="00334924" w:rsidRPr="00A80CC2">
        <w:rPr>
          <w:rFonts w:eastAsia="Times New Roman"/>
        </w:rPr>
        <w:t>Adjustment</w:t>
      </w:r>
    </w:p>
    <w:p w:rsidR="0056272B" w:rsidRPr="000D400B" w:rsidRDefault="0056272B" w:rsidP="0056272B">
      <w:pPr>
        <w:pStyle w:val="Heading5"/>
      </w:pPr>
      <w:r>
        <w:t>i</w:t>
      </w:r>
      <w:r w:rsidRPr="000D400B">
        <w:t>.</w:t>
      </w:r>
      <w:r w:rsidRPr="000D400B">
        <w:tab/>
      </w:r>
      <w:r w:rsidRPr="00A80CC2">
        <w:t>Adjustment No. 13.23</w:t>
      </w:r>
      <w:r w:rsidR="00DD31C1">
        <w:t> </w:t>
      </w:r>
      <w:r w:rsidRPr="00A80CC2">
        <w:t>– </w:t>
      </w:r>
      <w:r w:rsidRPr="00A80CC2">
        <w:rPr>
          <w:rFonts w:eastAsia="Times New Roman"/>
        </w:rPr>
        <w:t>ISWC and RB Adjustment</w:t>
      </w:r>
      <w:r>
        <w:rPr>
          <w:rFonts w:eastAsia="Times New Roman"/>
        </w:rPr>
        <w:t xml:space="preserve"> (Electric)</w:t>
      </w:r>
    </w:p>
    <w:p w:rsidR="00194426" w:rsidRPr="00A80CC2" w:rsidRDefault="00334924" w:rsidP="00121EC6">
      <w:pPr>
        <w:pStyle w:val="ListParagraph"/>
      </w:pPr>
      <w:r w:rsidRPr="00A80CC2">
        <w:t xml:space="preserve">The Settling Parties agree </w:t>
      </w:r>
      <w:r w:rsidR="00194426" w:rsidRPr="00A80CC2">
        <w:t xml:space="preserve">to base </w:t>
      </w:r>
      <w:r w:rsidRPr="00A80CC2">
        <w:t>Adjustment No. </w:t>
      </w:r>
      <w:r w:rsidR="00441AEF" w:rsidRPr="00A80CC2">
        <w:t>13</w:t>
      </w:r>
      <w:r w:rsidRPr="00A80CC2">
        <w:t>.23</w:t>
      </w:r>
      <w:r w:rsidR="00287B69" w:rsidRPr="00A80CC2">
        <w:t> </w:t>
      </w:r>
      <w:r w:rsidRPr="00A80CC2">
        <w:t xml:space="preserve">– ISWC and RB Adjustment </w:t>
      </w:r>
      <w:r w:rsidR="00194426" w:rsidRPr="00A80CC2">
        <w:t xml:space="preserve">on Adjustment 20.23 – Working Capital proposed by PSE; </w:t>
      </w:r>
      <w:r w:rsidR="00194426" w:rsidRPr="00A80CC2">
        <w:rPr>
          <w:i/>
        </w:rPr>
        <w:t>provided</w:t>
      </w:r>
      <w:r w:rsidR="00194426" w:rsidRPr="00A80CC2">
        <w:t xml:space="preserve">, </w:t>
      </w:r>
      <w:r w:rsidR="00194426" w:rsidRPr="00A80CC2">
        <w:rPr>
          <w:i/>
        </w:rPr>
        <w:t>however</w:t>
      </w:r>
      <w:r w:rsidR="00194426" w:rsidRPr="00A80CC2">
        <w:t xml:space="preserve">, that PSE shall </w:t>
      </w:r>
      <w:r w:rsidR="00444D94" w:rsidRPr="00A80CC2">
        <w:t xml:space="preserve">include </w:t>
      </w:r>
      <w:r w:rsidR="00194426" w:rsidRPr="00A80CC2">
        <w:t>construction work in progress (</w:t>
      </w:r>
      <w:r w:rsidR="0054077C">
        <w:t>“</w:t>
      </w:r>
      <w:proofErr w:type="spellStart"/>
      <w:r w:rsidR="00194426" w:rsidRPr="00A80CC2">
        <w:t>CWIP</w:t>
      </w:r>
      <w:proofErr w:type="spellEnd"/>
      <w:r w:rsidR="0054077C">
        <w:t>”</w:t>
      </w:r>
      <w:r w:rsidR="00194426" w:rsidRPr="00A80CC2">
        <w:t xml:space="preserve">) </w:t>
      </w:r>
      <w:r w:rsidR="00444D94" w:rsidRPr="00A80CC2">
        <w:t xml:space="preserve">in the </w:t>
      </w:r>
      <w:r w:rsidR="00194426" w:rsidRPr="00A80CC2">
        <w:t xml:space="preserve">non-operating </w:t>
      </w:r>
      <w:r w:rsidR="00444D94" w:rsidRPr="00A80CC2">
        <w:t xml:space="preserve">category </w:t>
      </w:r>
      <w:r w:rsidR="00194426" w:rsidRPr="00A80CC2">
        <w:t xml:space="preserve">for purposes of </w:t>
      </w:r>
      <w:r w:rsidR="00FC3371" w:rsidRPr="00A80CC2">
        <w:t>allocating investor</w:t>
      </w:r>
      <w:r w:rsidR="00194426" w:rsidRPr="00A80CC2">
        <w:t>-</w:t>
      </w:r>
      <w:r w:rsidR="00FC3371" w:rsidRPr="00A80CC2">
        <w:t xml:space="preserve">supplied working capital </w:t>
      </w:r>
      <w:r w:rsidR="00194426" w:rsidRPr="00A80CC2">
        <w:t xml:space="preserve">among </w:t>
      </w:r>
      <w:r w:rsidR="00FC3371" w:rsidRPr="00A80CC2">
        <w:t>electric, gas, and non-utility</w:t>
      </w:r>
      <w:r w:rsidR="00194426" w:rsidRPr="00A80CC2">
        <w:t xml:space="preserve"> operations</w:t>
      </w:r>
      <w:r w:rsidR="00FC3371" w:rsidRPr="00A80CC2">
        <w:t>.</w:t>
      </w:r>
      <w:r w:rsidR="00012A5D">
        <w:t xml:space="preserve"> </w:t>
      </w:r>
      <w:r w:rsidR="00874F14">
        <w:t xml:space="preserve">The calculation of </w:t>
      </w:r>
      <w:r w:rsidR="00012A5D">
        <w:t>investor-supplied working capital</w:t>
      </w:r>
      <w:r w:rsidR="00874F14">
        <w:t xml:space="preserve"> agreed to by the </w:t>
      </w:r>
      <w:r w:rsidR="00012A5D">
        <w:t xml:space="preserve">Settling Parties </w:t>
      </w:r>
      <w:r w:rsidR="00874F14">
        <w:t>is included as Exhibit</w:t>
      </w:r>
      <w:r w:rsidR="00012A5D">
        <w:t> </w:t>
      </w:r>
      <w:r w:rsidR="00874F14">
        <w:t>C to this Settlement.</w:t>
      </w:r>
      <w:r w:rsidR="00012A5D">
        <w:t xml:space="preserve"> </w:t>
      </w:r>
      <w:r w:rsidR="00444D94" w:rsidRPr="00A80CC2">
        <w:t xml:space="preserve">The Settling Parties agree that Adjustment </w:t>
      </w:r>
      <w:r w:rsidR="00444D94" w:rsidRPr="00A80CC2">
        <w:lastRenderedPageBreak/>
        <w:t>No. 13.23</w:t>
      </w:r>
      <w:r w:rsidR="00DD31C1">
        <w:t> </w:t>
      </w:r>
      <w:r w:rsidR="00444D94" w:rsidRPr="00A80CC2">
        <w:t xml:space="preserve">– ISWC and RB Adjustment </w:t>
      </w:r>
      <w:r w:rsidR="00194426" w:rsidRPr="00A80CC2">
        <w:t>increases rate base for electric operations by $19,006,090.</w:t>
      </w:r>
    </w:p>
    <w:p w:rsidR="0056272B" w:rsidRPr="000D400B" w:rsidRDefault="0056272B" w:rsidP="0056272B">
      <w:pPr>
        <w:pStyle w:val="Heading5"/>
      </w:pPr>
      <w:r>
        <w:t>ii</w:t>
      </w:r>
      <w:r w:rsidRPr="000D400B">
        <w:t>.</w:t>
      </w:r>
      <w:r w:rsidRPr="000D400B">
        <w:tab/>
      </w:r>
      <w:r w:rsidRPr="00A80CC2">
        <w:t>Adjustment No. </w:t>
      </w:r>
      <w:r>
        <w:t>11</w:t>
      </w:r>
      <w:r w:rsidRPr="00A80CC2">
        <w:t>.23</w:t>
      </w:r>
      <w:r w:rsidR="00DD31C1">
        <w:t> </w:t>
      </w:r>
      <w:r w:rsidRPr="00A80CC2">
        <w:t>– </w:t>
      </w:r>
      <w:r w:rsidRPr="00A80CC2">
        <w:rPr>
          <w:rFonts w:eastAsia="Times New Roman"/>
        </w:rPr>
        <w:t>ISWC and RB Adjustment</w:t>
      </w:r>
      <w:r>
        <w:rPr>
          <w:rFonts w:eastAsia="Times New Roman"/>
        </w:rPr>
        <w:t xml:space="preserve"> (Natural Gas)</w:t>
      </w:r>
    </w:p>
    <w:p w:rsidR="0056272B" w:rsidRPr="002A62B7" w:rsidRDefault="0056272B" w:rsidP="0056272B">
      <w:pPr>
        <w:pStyle w:val="ListParagraph"/>
      </w:pPr>
      <w:r w:rsidRPr="002A62B7">
        <w:t xml:space="preserve">The Settling Parties agree to base Adjustment No. 11.23 – ISWC and RB Adjustment on Adjustment 15.23 – Working Capital proposed by PSE; </w:t>
      </w:r>
      <w:r w:rsidRPr="002A62B7">
        <w:rPr>
          <w:i/>
        </w:rPr>
        <w:t>provided</w:t>
      </w:r>
      <w:r w:rsidRPr="002A62B7">
        <w:t xml:space="preserve">, </w:t>
      </w:r>
      <w:r w:rsidRPr="002A62B7">
        <w:rPr>
          <w:i/>
        </w:rPr>
        <w:t>however</w:t>
      </w:r>
      <w:r w:rsidRPr="002A62B7">
        <w:t xml:space="preserve">, that PSE shall include </w:t>
      </w:r>
      <w:proofErr w:type="spellStart"/>
      <w:r w:rsidRPr="002A62B7">
        <w:t>CWIP</w:t>
      </w:r>
      <w:proofErr w:type="spellEnd"/>
      <w:r w:rsidRPr="002A62B7">
        <w:t xml:space="preserve"> in the non-operating category for purposes of allocating investor-supplied working capital among electric, gas, and non-utility operations. </w:t>
      </w:r>
      <w:r w:rsidRPr="008247D6">
        <w:t>The calculation of investor-supplied working capital agreed to by the Settling Parties is included as Exhibit</w:t>
      </w:r>
      <w:r>
        <w:t> C</w:t>
      </w:r>
      <w:r w:rsidRPr="008247D6">
        <w:t xml:space="preserve"> to this Settlement. </w:t>
      </w:r>
      <w:r w:rsidRPr="002A62B7">
        <w:t>The Settling Parties agree that Adjustment No. 11.23</w:t>
      </w:r>
      <w:r w:rsidR="00C8393B">
        <w:t> </w:t>
      </w:r>
      <w:r w:rsidRPr="002A62B7">
        <w:t>– ISWC and RB Adjustment increases rate base for natural gas operations by $</w:t>
      </w:r>
      <w:r>
        <w:t>4</w:t>
      </w:r>
      <w:r w:rsidRPr="002A62B7">
        <w:t>,</w:t>
      </w:r>
      <w:r>
        <w:t>743</w:t>
      </w:r>
      <w:r w:rsidRPr="002A62B7">
        <w:t>,</w:t>
      </w:r>
      <w:r>
        <w:t>346</w:t>
      </w:r>
      <w:r w:rsidRPr="002A62B7">
        <w:t>.</w:t>
      </w:r>
    </w:p>
    <w:p w:rsidR="00441AEF" w:rsidRPr="00582DCE" w:rsidRDefault="003B75F9" w:rsidP="00441AEF">
      <w:pPr>
        <w:pStyle w:val="Heading4"/>
        <w:rPr>
          <w:rFonts w:eastAsia="Times New Roman"/>
        </w:rPr>
      </w:pPr>
      <w:r>
        <w:rPr>
          <w:rFonts w:eastAsia="Times New Roman"/>
        </w:rPr>
        <w:t>y</w:t>
      </w:r>
      <w:r w:rsidR="00441AEF" w:rsidRPr="00582DCE">
        <w:rPr>
          <w:rFonts w:eastAsia="Times New Roman"/>
        </w:rPr>
        <w:t>.</w:t>
      </w:r>
      <w:r w:rsidR="00441AEF" w:rsidRPr="00582DCE">
        <w:rPr>
          <w:rFonts w:eastAsia="Times New Roman"/>
        </w:rPr>
        <w:tab/>
        <w:t>Legal Cost</w:t>
      </w:r>
    </w:p>
    <w:p w:rsidR="0056272B" w:rsidRPr="000D400B" w:rsidRDefault="0056272B" w:rsidP="0056272B">
      <w:pPr>
        <w:pStyle w:val="Heading5"/>
      </w:pPr>
      <w:r>
        <w:t>i</w:t>
      </w:r>
      <w:r w:rsidRPr="000D400B">
        <w:t>.</w:t>
      </w:r>
      <w:r w:rsidRPr="000D400B">
        <w:tab/>
      </w:r>
      <w:r w:rsidRPr="00582DCE">
        <w:t>Adjustment No. 13.24</w:t>
      </w:r>
      <w:r w:rsidR="00DD31C1">
        <w:t> </w:t>
      </w:r>
      <w:r w:rsidRPr="00582DCE">
        <w:t>– </w:t>
      </w:r>
      <w:r w:rsidRPr="00582DCE">
        <w:rPr>
          <w:rFonts w:eastAsia="Times New Roman"/>
        </w:rPr>
        <w:t>Legal Cost</w:t>
      </w:r>
      <w:r>
        <w:rPr>
          <w:rFonts w:eastAsia="Times New Roman"/>
        </w:rPr>
        <w:t xml:space="preserve"> (Electric)</w:t>
      </w:r>
    </w:p>
    <w:p w:rsidR="00441AEF" w:rsidRPr="00322E40" w:rsidRDefault="00441AEF" w:rsidP="00121EC6">
      <w:pPr>
        <w:pStyle w:val="ListParagraph"/>
      </w:pPr>
      <w:r w:rsidRPr="00322E40">
        <w:t xml:space="preserve">The Settling Parties agree not to make </w:t>
      </w:r>
      <w:r w:rsidRPr="00582DCE">
        <w:t>Adjustment No. 13.24</w:t>
      </w:r>
      <w:r w:rsidR="00287B69" w:rsidRPr="00582DCE">
        <w:t> </w:t>
      </w:r>
      <w:r w:rsidRPr="00582DCE">
        <w:t>– </w:t>
      </w:r>
      <w:r w:rsidRPr="00322E40">
        <w:t>Legal Cost</w:t>
      </w:r>
      <w:r w:rsidRPr="00582DCE">
        <w:t xml:space="preserve"> proposed by Commission Staff.</w:t>
      </w:r>
      <w:r w:rsidR="00582DCE">
        <w:t xml:space="preserve"> Accordingly, </w:t>
      </w:r>
      <w:r w:rsidR="00582DCE" w:rsidRPr="00582DCE">
        <w:t>Adjustment No. 13.24 – </w:t>
      </w:r>
      <w:r w:rsidR="00582DCE" w:rsidRPr="00322E40">
        <w:t>Legal Cost has no effect on either net operating income or rate base for electric operations.</w:t>
      </w:r>
    </w:p>
    <w:p w:rsidR="0056272B" w:rsidRPr="000D400B" w:rsidRDefault="0056272B" w:rsidP="0056272B">
      <w:pPr>
        <w:pStyle w:val="Heading5"/>
      </w:pPr>
      <w:r>
        <w:t>ii</w:t>
      </w:r>
      <w:r w:rsidRPr="000D400B">
        <w:t>.</w:t>
      </w:r>
      <w:r w:rsidRPr="000D400B">
        <w:tab/>
      </w:r>
      <w:r w:rsidRPr="00582DCE">
        <w:t>Adjustment No. </w:t>
      </w:r>
      <w:r>
        <w:t>11</w:t>
      </w:r>
      <w:r w:rsidRPr="00582DCE">
        <w:t>.24</w:t>
      </w:r>
      <w:r w:rsidR="00DD31C1">
        <w:t> </w:t>
      </w:r>
      <w:r w:rsidRPr="00582DCE">
        <w:t>– </w:t>
      </w:r>
      <w:r w:rsidRPr="00582DCE">
        <w:rPr>
          <w:rFonts w:eastAsia="Times New Roman"/>
        </w:rPr>
        <w:t>Legal Cost</w:t>
      </w:r>
      <w:r>
        <w:rPr>
          <w:rFonts w:eastAsia="Times New Roman"/>
        </w:rPr>
        <w:t xml:space="preserve"> (Natural Gas)</w:t>
      </w:r>
    </w:p>
    <w:p w:rsidR="0056272B" w:rsidRDefault="0056272B" w:rsidP="0056272B">
      <w:pPr>
        <w:pStyle w:val="ListParagraph"/>
      </w:pPr>
      <w:r w:rsidRPr="00582DCE">
        <w:t xml:space="preserve">The Settling Parties agree not to </w:t>
      </w:r>
      <w:r>
        <w:t xml:space="preserve">use </w:t>
      </w:r>
      <w:r w:rsidRPr="00582DCE">
        <w:t>Adjustment No. </w:t>
      </w:r>
      <w:r>
        <w:t>11</w:t>
      </w:r>
      <w:r w:rsidRPr="00582DCE">
        <w:t>.24</w:t>
      </w:r>
      <w:r w:rsidR="00575D23">
        <w:t> </w:t>
      </w:r>
      <w:r w:rsidRPr="00582DCE">
        <w:t>– Legal Cost proposed by Commission Staff.</w:t>
      </w:r>
      <w:r>
        <w:t xml:space="preserve"> Accordingly, </w:t>
      </w:r>
      <w:r w:rsidRPr="00582DCE">
        <w:t>Adjustment No.</w:t>
      </w:r>
      <w:r w:rsidR="00575D23">
        <w:t> </w:t>
      </w:r>
      <w:r>
        <w:t>11</w:t>
      </w:r>
      <w:r w:rsidRPr="00582DCE">
        <w:t>.24</w:t>
      </w:r>
      <w:r w:rsidR="00575D23">
        <w:t> </w:t>
      </w:r>
      <w:r w:rsidRPr="00582DCE">
        <w:t>– Legal Cost</w:t>
      </w:r>
      <w:r>
        <w:t xml:space="preserve"> has no effect on either net operating income or rate base for natural gas operations.</w:t>
      </w:r>
    </w:p>
    <w:p w:rsidR="00334924" w:rsidRPr="00026B33" w:rsidRDefault="003B75F9" w:rsidP="00334924">
      <w:pPr>
        <w:pStyle w:val="Heading4"/>
        <w:rPr>
          <w:rFonts w:eastAsia="Times New Roman"/>
        </w:rPr>
      </w:pPr>
      <w:r>
        <w:rPr>
          <w:rFonts w:eastAsia="Times New Roman"/>
        </w:rPr>
        <w:t>z</w:t>
      </w:r>
      <w:r w:rsidR="00334924" w:rsidRPr="00026B33">
        <w:rPr>
          <w:rFonts w:eastAsia="Times New Roman"/>
        </w:rPr>
        <w:t>.</w:t>
      </w:r>
      <w:r w:rsidR="00334924" w:rsidRPr="00026B33">
        <w:rPr>
          <w:rFonts w:eastAsia="Times New Roman"/>
        </w:rPr>
        <w:tab/>
        <w:t>Black Box Adjustment</w:t>
      </w:r>
    </w:p>
    <w:p w:rsidR="0056272B" w:rsidRPr="000D400B" w:rsidRDefault="0056272B" w:rsidP="0056272B">
      <w:pPr>
        <w:pStyle w:val="Heading5"/>
      </w:pPr>
      <w:r>
        <w:t>i</w:t>
      </w:r>
      <w:r w:rsidRPr="000D400B">
        <w:t>.</w:t>
      </w:r>
      <w:r w:rsidRPr="000D400B">
        <w:tab/>
      </w:r>
      <w:r w:rsidRPr="00026B33">
        <w:t>Adjustment No. 13.25 – </w:t>
      </w:r>
      <w:r w:rsidRPr="00026B33">
        <w:rPr>
          <w:rFonts w:eastAsia="Times New Roman"/>
        </w:rPr>
        <w:t>Black Box Adjustment</w:t>
      </w:r>
      <w:r>
        <w:rPr>
          <w:rFonts w:eastAsia="Times New Roman"/>
        </w:rPr>
        <w:t xml:space="preserve"> (Electric)</w:t>
      </w:r>
    </w:p>
    <w:p w:rsidR="00334924" w:rsidRPr="00322E40" w:rsidRDefault="00334924" w:rsidP="0054077C">
      <w:pPr>
        <w:pStyle w:val="ListParagraph"/>
      </w:pPr>
      <w:r w:rsidRPr="00322E40">
        <w:t xml:space="preserve">The Settling Parties agree </w:t>
      </w:r>
      <w:r w:rsidR="00026B33" w:rsidRPr="00322E40">
        <w:t>to Adjustment No. 13.25</w:t>
      </w:r>
      <w:r w:rsidR="00026B33" w:rsidRPr="00026B33">
        <w:t> – </w:t>
      </w:r>
      <w:r w:rsidR="00026B33" w:rsidRPr="00322E40">
        <w:t>Black Box Adjustment, which decrease</w:t>
      </w:r>
      <w:r w:rsidR="00582DCE" w:rsidRPr="00322E40">
        <w:t>s</w:t>
      </w:r>
      <w:r w:rsidR="00026B33" w:rsidRPr="00322E40">
        <w:t xml:space="preserve"> the revenue requirement </w:t>
      </w:r>
      <w:r w:rsidR="00582DCE" w:rsidRPr="00322E40">
        <w:t xml:space="preserve">for electric operations </w:t>
      </w:r>
      <w:r w:rsidR="00026B33" w:rsidRPr="00322E40">
        <w:t xml:space="preserve">by $1 million to address all </w:t>
      </w:r>
      <w:r w:rsidR="00026B33" w:rsidRPr="00322E40">
        <w:lastRenderedPageBreak/>
        <w:t xml:space="preserve">remaining </w:t>
      </w:r>
      <w:r w:rsidR="00582DCE" w:rsidRPr="00322E40">
        <w:t xml:space="preserve">electric </w:t>
      </w:r>
      <w:r w:rsidR="00026B33" w:rsidRPr="00322E40">
        <w:t xml:space="preserve">revenue requirement issues that differ from PSE’s rebuttal case filed in this proceeding on August 9, 2017. Each of the Settling Parties reserves its right to make arguments on methodologies for these and other issues in future cases without prejudice. </w:t>
      </w:r>
      <w:r w:rsidRPr="00026B33">
        <w:t>Adjustment No. </w:t>
      </w:r>
      <w:r w:rsidR="00441AEF" w:rsidRPr="00026B33">
        <w:t>13</w:t>
      </w:r>
      <w:r w:rsidRPr="00026B33">
        <w:t>.2</w:t>
      </w:r>
      <w:r w:rsidR="00441AEF" w:rsidRPr="00026B33">
        <w:t>5</w:t>
      </w:r>
      <w:r w:rsidR="00287B69" w:rsidRPr="00026B33">
        <w:t> </w:t>
      </w:r>
      <w:r w:rsidRPr="00026B33">
        <w:t>– </w:t>
      </w:r>
      <w:r w:rsidRPr="00322E40">
        <w:t>Black Box Adjustment increases net operating income for electric operations by $619,051</w:t>
      </w:r>
      <w:r w:rsidR="0054077C">
        <w:t xml:space="preserve">, which is </w:t>
      </w:r>
      <w:r w:rsidR="0054077C" w:rsidRPr="0054077C">
        <w:t xml:space="preserve">equal to </w:t>
      </w:r>
      <w:r w:rsidR="0054077C">
        <w:t>the product of (i) </w:t>
      </w:r>
      <w:r w:rsidR="0054077C" w:rsidRPr="0054077C">
        <w:t>$1,000,000</w:t>
      </w:r>
      <w:r w:rsidR="0054077C">
        <w:t>,</w:t>
      </w:r>
      <w:r w:rsidR="0054077C" w:rsidRPr="0054077C">
        <w:t xml:space="preserve"> </w:t>
      </w:r>
      <w:r w:rsidR="0054077C">
        <w:t>multiplied by (ii) </w:t>
      </w:r>
      <w:r w:rsidR="0054077C" w:rsidRPr="0054077C">
        <w:t xml:space="preserve">the electric conversion factor </w:t>
      </w:r>
      <w:r w:rsidR="0054077C">
        <w:t>of 0.952386,</w:t>
      </w:r>
      <w:r w:rsidR="00C42C99">
        <w:rPr>
          <w:rStyle w:val="FootnoteReference"/>
        </w:rPr>
        <w:footnoteReference w:id="4"/>
      </w:r>
      <w:r w:rsidR="0054077C">
        <w:t xml:space="preserve"> multiplied by (iii) </w:t>
      </w:r>
      <w:r w:rsidR="0054077C" w:rsidRPr="0054077C">
        <w:t xml:space="preserve">the </w:t>
      </w:r>
      <w:r w:rsidR="0054077C">
        <w:t>difference between (a) 100 percent, minus (</w:t>
      </w:r>
      <w:r w:rsidR="00C42C99">
        <w:t>b</w:t>
      </w:r>
      <w:r w:rsidR="0054077C">
        <w:t xml:space="preserve">) the </w:t>
      </w:r>
      <w:r w:rsidR="0054077C" w:rsidRPr="0054077C">
        <w:t>federal tax rate of 35</w:t>
      </w:r>
      <w:r w:rsidR="0054077C">
        <w:t> percent.</w:t>
      </w:r>
    </w:p>
    <w:p w:rsidR="0056272B" w:rsidRPr="000D400B" w:rsidRDefault="0056272B" w:rsidP="0056272B">
      <w:pPr>
        <w:pStyle w:val="Heading5"/>
      </w:pPr>
      <w:r>
        <w:t>ii</w:t>
      </w:r>
      <w:r w:rsidRPr="000D400B">
        <w:t>.</w:t>
      </w:r>
      <w:r w:rsidRPr="000D400B">
        <w:tab/>
      </w:r>
      <w:r w:rsidRPr="00026B33">
        <w:t>Adjustment No. </w:t>
      </w:r>
      <w:r>
        <w:t>11</w:t>
      </w:r>
      <w:r w:rsidRPr="00026B33">
        <w:t>.25 – </w:t>
      </w:r>
      <w:r w:rsidRPr="00026B33">
        <w:rPr>
          <w:rFonts w:eastAsia="Times New Roman"/>
        </w:rPr>
        <w:t>Black Box Adjustment</w:t>
      </w:r>
      <w:r>
        <w:rPr>
          <w:rFonts w:eastAsia="Times New Roman"/>
        </w:rPr>
        <w:t xml:space="preserve"> (Natural Gas)</w:t>
      </w:r>
    </w:p>
    <w:p w:rsidR="0056272B" w:rsidRPr="00322E40" w:rsidRDefault="0056272B" w:rsidP="0056272B">
      <w:pPr>
        <w:pStyle w:val="ListParagraph"/>
      </w:pPr>
      <w:r w:rsidRPr="00322E40">
        <w:t>The Settling Parties agree to Adjustment No. </w:t>
      </w:r>
      <w:r>
        <w:t>11</w:t>
      </w:r>
      <w:r w:rsidRPr="00322E40">
        <w:t>.25</w:t>
      </w:r>
      <w:r w:rsidRPr="00026B33">
        <w:t> – </w:t>
      </w:r>
      <w:r w:rsidRPr="00322E40">
        <w:t xml:space="preserve">Black Box Adjustment, which decreases the revenue requirement for </w:t>
      </w:r>
      <w:r>
        <w:t>natural gas</w:t>
      </w:r>
      <w:r w:rsidRPr="00322E40">
        <w:t xml:space="preserve"> operations by $1</w:t>
      </w:r>
      <w:r>
        <w:t>.5</w:t>
      </w:r>
      <w:r w:rsidRPr="00322E40">
        <w:t xml:space="preserve"> million to address all remaining </w:t>
      </w:r>
      <w:r>
        <w:t xml:space="preserve">natural gas </w:t>
      </w:r>
      <w:r w:rsidRPr="00322E40">
        <w:t xml:space="preserve">revenue requirement issues that differ from PSE’s rebuttal case filed in this proceeding on August 9, 2017. Each of the Settling Parties reserves its right to make arguments on methodologies for these and other issues in future cases without prejudice. </w:t>
      </w:r>
      <w:r w:rsidRPr="00026B33">
        <w:t>Adjustment No. </w:t>
      </w:r>
      <w:r>
        <w:t>11</w:t>
      </w:r>
      <w:r w:rsidRPr="00026B33">
        <w:t>.25 – </w:t>
      </w:r>
      <w:r w:rsidRPr="00322E40">
        <w:t xml:space="preserve">Black Box Adjustment increases net operating income for </w:t>
      </w:r>
      <w:r>
        <w:t xml:space="preserve">natural gas </w:t>
      </w:r>
      <w:r w:rsidRPr="00322E40">
        <w:t>operations by $</w:t>
      </w:r>
      <w:r>
        <w:t>930</w:t>
      </w:r>
      <w:r w:rsidRPr="00322E40">
        <w:t>,</w:t>
      </w:r>
      <w:r>
        <w:t>675</w:t>
      </w:r>
      <w:r w:rsidR="0054077C">
        <w:t xml:space="preserve">, which is </w:t>
      </w:r>
      <w:r w:rsidR="0054077C" w:rsidRPr="0054077C">
        <w:t xml:space="preserve">equal to </w:t>
      </w:r>
      <w:r w:rsidR="0054077C">
        <w:t>the product of (i) </w:t>
      </w:r>
      <w:r w:rsidR="0054077C" w:rsidRPr="0054077C">
        <w:t>$1,</w:t>
      </w:r>
      <w:r w:rsidR="00C42C99">
        <w:t>5</w:t>
      </w:r>
      <w:r w:rsidR="0054077C" w:rsidRPr="0054077C">
        <w:t>00,000</w:t>
      </w:r>
      <w:r w:rsidR="0054077C">
        <w:t>,</w:t>
      </w:r>
      <w:r w:rsidR="0054077C" w:rsidRPr="0054077C">
        <w:t xml:space="preserve"> </w:t>
      </w:r>
      <w:r w:rsidR="0054077C">
        <w:t>multiplied by (ii) </w:t>
      </w:r>
      <w:r w:rsidR="0054077C" w:rsidRPr="0054077C">
        <w:t xml:space="preserve">the electric conversion factor </w:t>
      </w:r>
      <w:r w:rsidR="0054077C">
        <w:t>of 0.95</w:t>
      </w:r>
      <w:r w:rsidR="00C42C99">
        <w:t>4538</w:t>
      </w:r>
      <w:r w:rsidR="0054077C">
        <w:t>,</w:t>
      </w:r>
      <w:r w:rsidR="00C42C99">
        <w:rPr>
          <w:rStyle w:val="FootnoteReference"/>
        </w:rPr>
        <w:footnoteReference w:id="5"/>
      </w:r>
      <w:r w:rsidR="0054077C">
        <w:t xml:space="preserve"> multiplied by (iii) </w:t>
      </w:r>
      <w:r w:rsidR="0054077C" w:rsidRPr="0054077C">
        <w:t xml:space="preserve">the </w:t>
      </w:r>
      <w:r w:rsidR="0054077C">
        <w:t>difference between (a) 100 percent, minus (</w:t>
      </w:r>
      <w:r w:rsidR="00C42C99">
        <w:t>b</w:t>
      </w:r>
      <w:r w:rsidR="0054077C">
        <w:t xml:space="preserve">) the </w:t>
      </w:r>
      <w:r w:rsidR="0054077C" w:rsidRPr="0054077C">
        <w:t>federal tax rate of 35</w:t>
      </w:r>
      <w:r w:rsidR="0054077C">
        <w:t> percent</w:t>
      </w:r>
      <w:r w:rsidRPr="00322E40">
        <w:t>.</w:t>
      </w:r>
    </w:p>
    <w:p w:rsidR="00EE2D01" w:rsidRDefault="00287B69" w:rsidP="00EE2D01">
      <w:pPr>
        <w:pStyle w:val="Heading3"/>
      </w:pPr>
      <w:r>
        <w:t>3</w:t>
      </w:r>
      <w:r w:rsidR="00EE2D01" w:rsidRPr="009F7F24">
        <w:t>.</w:t>
      </w:r>
      <w:r w:rsidR="00EE2D01">
        <w:tab/>
        <w:t>Electric-Only Adjustments</w:t>
      </w:r>
    </w:p>
    <w:p w:rsidR="007A518C" w:rsidRPr="007F4885" w:rsidRDefault="00C21964" w:rsidP="00C21964">
      <w:pPr>
        <w:pStyle w:val="Heading4"/>
        <w:rPr>
          <w:rFonts w:eastAsia="Times New Roman"/>
        </w:rPr>
      </w:pPr>
      <w:r w:rsidRPr="007F4885">
        <w:rPr>
          <w:rFonts w:eastAsia="Times New Roman"/>
        </w:rPr>
        <w:t>a.</w:t>
      </w:r>
      <w:r w:rsidRPr="007F4885">
        <w:rPr>
          <w:rFonts w:eastAsia="Times New Roman"/>
        </w:rPr>
        <w:tab/>
      </w:r>
      <w:r w:rsidRPr="007F4885">
        <w:t>Adjustment No. </w:t>
      </w:r>
      <w:r w:rsidR="00287B69" w:rsidRPr="007F4885">
        <w:t>14</w:t>
      </w:r>
      <w:r w:rsidRPr="007F4885">
        <w:t>.01 – </w:t>
      </w:r>
      <w:r w:rsidRPr="007F4885">
        <w:rPr>
          <w:rFonts w:eastAsia="Times New Roman"/>
        </w:rPr>
        <w:t>Power Costs</w:t>
      </w:r>
    </w:p>
    <w:p w:rsidR="00444D94" w:rsidRPr="00322E40" w:rsidRDefault="00444D94" w:rsidP="00121EC6">
      <w:pPr>
        <w:pStyle w:val="ListParagraph"/>
      </w:pPr>
      <w:r w:rsidRPr="00322E40">
        <w:t xml:space="preserve">The Settling Parties agree to base </w:t>
      </w:r>
      <w:r w:rsidRPr="00444D94">
        <w:t>Adjustment No. </w:t>
      </w:r>
      <w:r w:rsidR="00B53381">
        <w:t>14</w:t>
      </w:r>
      <w:r w:rsidRPr="00444D94">
        <w:t>.</w:t>
      </w:r>
      <w:r w:rsidR="00B53381">
        <w:t>01</w:t>
      </w:r>
      <w:r w:rsidRPr="00444D94">
        <w:t> – </w:t>
      </w:r>
      <w:r w:rsidR="00B53381" w:rsidRPr="00322E40">
        <w:t xml:space="preserve">Power Costs </w:t>
      </w:r>
      <w:r w:rsidR="00D65040">
        <w:t>as proposed by PSE in</w:t>
      </w:r>
      <w:r w:rsidRPr="00322E40">
        <w:t xml:space="preserve"> Adjustment 2</w:t>
      </w:r>
      <w:r w:rsidR="00B53381" w:rsidRPr="00322E40">
        <w:t>1</w:t>
      </w:r>
      <w:r w:rsidRPr="00322E40">
        <w:t>.</w:t>
      </w:r>
      <w:r w:rsidR="00B53381">
        <w:t>01</w:t>
      </w:r>
      <w:r w:rsidRPr="00444D94">
        <w:t>– </w:t>
      </w:r>
      <w:r w:rsidR="00B53381" w:rsidRPr="00322E40">
        <w:t xml:space="preserve">Power Costs, subject to the </w:t>
      </w:r>
      <w:r w:rsidR="004D39DF" w:rsidRPr="00322E40">
        <w:t>following modifications:</w:t>
      </w:r>
    </w:p>
    <w:p w:rsidR="004D39DF" w:rsidRDefault="004D39DF" w:rsidP="004D39DF">
      <w:pPr>
        <w:spacing w:after="280"/>
        <w:ind w:left="2160" w:right="720" w:hanging="720"/>
        <w:rPr>
          <w:rFonts w:eastAsia="Times New Roman" w:cs="Times New Roman"/>
        </w:rPr>
      </w:pPr>
      <w:r w:rsidRPr="000D2179">
        <w:rPr>
          <w:rFonts w:eastAsia="Times New Roman" w:cs="Times New Roman"/>
        </w:rPr>
        <w:t>(</w:t>
      </w:r>
      <w:r>
        <w:rPr>
          <w:rFonts w:eastAsia="Times New Roman" w:cs="Times New Roman"/>
        </w:rPr>
        <w:t>i</w:t>
      </w:r>
      <w:r w:rsidRPr="000D2179">
        <w:rPr>
          <w:rFonts w:eastAsia="Times New Roman" w:cs="Times New Roman"/>
        </w:rPr>
        <w:t>)</w:t>
      </w:r>
      <w:r>
        <w:rPr>
          <w:rFonts w:eastAsia="Times New Roman" w:cs="Times New Roman"/>
        </w:rPr>
        <w:tab/>
      </w:r>
      <w:r w:rsidR="00B53381" w:rsidRPr="00B53381">
        <w:rPr>
          <w:rFonts w:eastAsia="Times New Roman" w:cs="Times New Roman"/>
        </w:rPr>
        <w:t>PSE shall remove all costs associated with compliance with the Clean Air Rule from power costs</w:t>
      </w:r>
      <w:r>
        <w:rPr>
          <w:rFonts w:eastAsia="Times New Roman" w:cs="Times New Roman"/>
        </w:rPr>
        <w:t xml:space="preserve"> in this proceeding; </w:t>
      </w:r>
    </w:p>
    <w:p w:rsidR="004D39DF" w:rsidRDefault="004D39DF" w:rsidP="004D39DF">
      <w:pPr>
        <w:spacing w:after="280"/>
        <w:ind w:left="2160" w:right="720" w:hanging="720"/>
        <w:rPr>
          <w:rFonts w:eastAsia="Times New Roman" w:cs="Times New Roman"/>
        </w:rPr>
      </w:pPr>
      <w:r>
        <w:rPr>
          <w:rFonts w:eastAsia="Times New Roman" w:cs="Times New Roman"/>
        </w:rPr>
        <w:lastRenderedPageBreak/>
        <w:t>(ii)</w:t>
      </w:r>
      <w:r>
        <w:rPr>
          <w:rFonts w:eastAsia="Times New Roman" w:cs="Times New Roman"/>
        </w:rPr>
        <w:tab/>
      </w:r>
      <w:r w:rsidR="00B53381" w:rsidRPr="00B53381">
        <w:rPr>
          <w:rFonts w:eastAsia="Times New Roman" w:cs="Times New Roman"/>
        </w:rPr>
        <w:t xml:space="preserve">PSE shall </w:t>
      </w:r>
      <w:r w:rsidR="00B53381">
        <w:rPr>
          <w:rFonts w:eastAsia="Times New Roman" w:cs="Times New Roman"/>
        </w:rPr>
        <w:t xml:space="preserve">use the </w:t>
      </w:r>
      <w:r>
        <w:rPr>
          <w:rFonts w:eastAsia="Times New Roman" w:cs="Times New Roman"/>
        </w:rPr>
        <w:t xml:space="preserve">same </w:t>
      </w:r>
      <w:r w:rsidR="00B53381">
        <w:rPr>
          <w:rFonts w:eastAsia="Times New Roman" w:cs="Times New Roman"/>
        </w:rPr>
        <w:t xml:space="preserve">wind resource capacity factors </w:t>
      </w:r>
      <w:r>
        <w:rPr>
          <w:rFonts w:eastAsia="Times New Roman" w:cs="Times New Roman"/>
        </w:rPr>
        <w:t>used to determine power costs for purposes of establishing rates in Docket UE-111048 to determine power costs in this proceeding; and</w:t>
      </w:r>
    </w:p>
    <w:p w:rsidR="004D39DF" w:rsidRDefault="004D39DF" w:rsidP="004D39DF">
      <w:pPr>
        <w:spacing w:after="280"/>
        <w:ind w:left="2160" w:right="720" w:hanging="720"/>
        <w:rPr>
          <w:rFonts w:eastAsia="Times New Roman" w:cs="Times New Roman"/>
        </w:rPr>
      </w:pPr>
      <w:r>
        <w:rPr>
          <w:rFonts w:eastAsia="Times New Roman" w:cs="Times New Roman"/>
        </w:rPr>
        <w:t>(iii)</w:t>
      </w:r>
      <w:r w:rsidRPr="00B53381">
        <w:rPr>
          <w:rFonts w:eastAsia="Times New Roman" w:cs="Times New Roman"/>
        </w:rPr>
        <w:tab/>
        <w:t>PSE shall</w:t>
      </w:r>
      <w:r w:rsidR="00F84417">
        <w:rPr>
          <w:rFonts w:eastAsia="Times New Roman" w:cs="Times New Roman"/>
        </w:rPr>
        <w:t xml:space="preserve"> </w:t>
      </w:r>
      <w:r w:rsidR="00DB791E">
        <w:rPr>
          <w:rFonts w:eastAsia="Times New Roman" w:cs="Times New Roman"/>
        </w:rPr>
        <w:t>remove</w:t>
      </w:r>
      <w:r w:rsidRPr="00B53381">
        <w:rPr>
          <w:rFonts w:eastAsia="Times New Roman" w:cs="Times New Roman"/>
        </w:rPr>
        <w:t xml:space="preserve"> </w:t>
      </w:r>
      <w:r>
        <w:rPr>
          <w:rFonts w:eastAsia="Times New Roman" w:cs="Times New Roman"/>
        </w:rPr>
        <w:t xml:space="preserve">major maintenance adders from the AURORA dispatch model in determining </w:t>
      </w:r>
      <w:r w:rsidRPr="00B53381">
        <w:rPr>
          <w:rFonts w:eastAsia="Times New Roman" w:cs="Times New Roman"/>
        </w:rPr>
        <w:t>power costs</w:t>
      </w:r>
      <w:r>
        <w:rPr>
          <w:rFonts w:eastAsia="Times New Roman" w:cs="Times New Roman"/>
        </w:rPr>
        <w:t xml:space="preserve"> in this proceeding.</w:t>
      </w:r>
    </w:p>
    <w:p w:rsidR="00DB791E" w:rsidRDefault="00DB791E" w:rsidP="004D39DF">
      <w:pPr>
        <w:spacing w:after="280"/>
        <w:ind w:left="2160" w:right="720" w:hanging="720"/>
        <w:rPr>
          <w:rFonts w:eastAsia="Times New Roman" w:cs="Times New Roman"/>
        </w:rPr>
      </w:pPr>
      <w:r>
        <w:rPr>
          <w:rFonts w:eastAsia="Times New Roman" w:cs="Times New Roman"/>
        </w:rPr>
        <w:t>(iv)</w:t>
      </w:r>
      <w:r>
        <w:rPr>
          <w:rFonts w:eastAsia="Times New Roman" w:cs="Times New Roman"/>
        </w:rPr>
        <w:tab/>
      </w:r>
      <w:r w:rsidRPr="00B53381">
        <w:rPr>
          <w:rFonts w:eastAsia="Times New Roman" w:cs="Times New Roman"/>
        </w:rPr>
        <w:t>PSE shall</w:t>
      </w:r>
      <w:r>
        <w:rPr>
          <w:rFonts w:eastAsia="Times New Roman" w:cs="Times New Roman"/>
        </w:rPr>
        <w:t xml:space="preserve"> remove both the costs and benefits associated with the </w:t>
      </w:r>
      <w:r w:rsidR="00D8148E" w:rsidRPr="00D8148E">
        <w:rPr>
          <w:rFonts w:eastAsia="Times New Roman" w:cs="Times New Roman"/>
        </w:rPr>
        <w:t>California Independent System Operator (</w:t>
      </w:r>
      <w:r w:rsidR="00024A70">
        <w:rPr>
          <w:rFonts w:eastAsia="Times New Roman" w:cs="Times New Roman"/>
        </w:rPr>
        <w:t>“</w:t>
      </w:r>
      <w:r w:rsidR="00D8148E" w:rsidRPr="00D8148E">
        <w:rPr>
          <w:rFonts w:eastAsia="Times New Roman" w:cs="Times New Roman"/>
        </w:rPr>
        <w:t>CAISO</w:t>
      </w:r>
      <w:r w:rsidR="00024A70">
        <w:rPr>
          <w:rFonts w:eastAsia="Times New Roman" w:cs="Times New Roman"/>
        </w:rPr>
        <w:t>”</w:t>
      </w:r>
      <w:r w:rsidR="00D8148E" w:rsidRPr="00D8148E">
        <w:rPr>
          <w:rFonts w:eastAsia="Times New Roman" w:cs="Times New Roman"/>
        </w:rPr>
        <w:t>) Energy Imbalance Market (</w:t>
      </w:r>
      <w:r w:rsidR="00024A70">
        <w:rPr>
          <w:rFonts w:eastAsia="Times New Roman" w:cs="Times New Roman"/>
        </w:rPr>
        <w:t>“</w:t>
      </w:r>
      <w:r>
        <w:rPr>
          <w:rFonts w:eastAsia="Times New Roman" w:cs="Times New Roman"/>
        </w:rPr>
        <w:t>EIM</w:t>
      </w:r>
      <w:r w:rsidR="00024A70">
        <w:rPr>
          <w:rFonts w:eastAsia="Times New Roman" w:cs="Times New Roman"/>
        </w:rPr>
        <w:t>”</w:t>
      </w:r>
      <w:r w:rsidR="00D8148E">
        <w:rPr>
          <w:rFonts w:eastAsia="Times New Roman" w:cs="Times New Roman"/>
        </w:rPr>
        <w:t>)</w:t>
      </w:r>
      <w:r>
        <w:rPr>
          <w:rFonts w:eastAsia="Times New Roman" w:cs="Times New Roman"/>
        </w:rPr>
        <w:t>.</w:t>
      </w:r>
    </w:p>
    <w:p w:rsidR="00A60942" w:rsidRDefault="00A60942" w:rsidP="00A60942">
      <w:pPr>
        <w:spacing w:line="480" w:lineRule="auto"/>
        <w:rPr>
          <w:rFonts w:eastAsia="Times New Roman" w:cs="Times New Roman"/>
        </w:rPr>
      </w:pPr>
      <w:r>
        <w:rPr>
          <w:rFonts w:eastAsia="Times New Roman" w:cs="Times New Roman"/>
        </w:rPr>
        <w:t xml:space="preserve">The Settling Parties acknowledge that these modifications represent </w:t>
      </w:r>
      <w:r w:rsidRPr="00A60942">
        <w:rPr>
          <w:rFonts w:eastAsia="Times New Roman" w:cs="Times New Roman"/>
        </w:rPr>
        <w:t>a compromise for settlement purposes only</w:t>
      </w:r>
      <w:r>
        <w:rPr>
          <w:rFonts w:eastAsia="Times New Roman" w:cs="Times New Roman"/>
        </w:rPr>
        <w:t>,</w:t>
      </w:r>
      <w:r w:rsidRPr="00A60942">
        <w:rPr>
          <w:rFonts w:eastAsia="Times New Roman" w:cs="Times New Roman"/>
        </w:rPr>
        <w:t xml:space="preserve"> and </w:t>
      </w:r>
      <w:r>
        <w:rPr>
          <w:rFonts w:eastAsia="Times New Roman" w:cs="Times New Roman"/>
        </w:rPr>
        <w:t>each Settling P</w:t>
      </w:r>
      <w:r w:rsidRPr="00A60942">
        <w:rPr>
          <w:rFonts w:eastAsia="Times New Roman" w:cs="Times New Roman"/>
        </w:rPr>
        <w:t>art</w:t>
      </w:r>
      <w:r>
        <w:rPr>
          <w:rFonts w:eastAsia="Times New Roman" w:cs="Times New Roman"/>
        </w:rPr>
        <w:t>y</w:t>
      </w:r>
      <w:r w:rsidRPr="00A60942">
        <w:rPr>
          <w:rFonts w:eastAsia="Times New Roman" w:cs="Times New Roman"/>
        </w:rPr>
        <w:t xml:space="preserve"> </w:t>
      </w:r>
      <w:r>
        <w:rPr>
          <w:rFonts w:eastAsia="Times New Roman" w:cs="Times New Roman"/>
        </w:rPr>
        <w:t xml:space="preserve">expressly </w:t>
      </w:r>
      <w:r w:rsidRPr="00A60942">
        <w:rPr>
          <w:rFonts w:eastAsia="Times New Roman" w:cs="Times New Roman"/>
        </w:rPr>
        <w:t>reserve</w:t>
      </w:r>
      <w:r>
        <w:rPr>
          <w:rFonts w:eastAsia="Times New Roman" w:cs="Times New Roman"/>
        </w:rPr>
        <w:t>s</w:t>
      </w:r>
      <w:r w:rsidRPr="00A60942">
        <w:rPr>
          <w:rFonts w:eastAsia="Times New Roman" w:cs="Times New Roman"/>
        </w:rPr>
        <w:t xml:space="preserve"> the right to </w:t>
      </w:r>
      <w:r w:rsidR="00024A70">
        <w:rPr>
          <w:rFonts w:eastAsia="Times New Roman" w:cs="Times New Roman"/>
        </w:rPr>
        <w:t>advocate different positions</w:t>
      </w:r>
      <w:r>
        <w:rPr>
          <w:rFonts w:eastAsia="Times New Roman" w:cs="Times New Roman"/>
        </w:rPr>
        <w:t xml:space="preserve"> </w:t>
      </w:r>
      <w:r w:rsidRPr="00A60942">
        <w:rPr>
          <w:rFonts w:eastAsia="Times New Roman" w:cs="Times New Roman"/>
        </w:rPr>
        <w:t>in</w:t>
      </w:r>
      <w:r>
        <w:rPr>
          <w:rFonts w:eastAsia="Times New Roman" w:cs="Times New Roman"/>
        </w:rPr>
        <w:t xml:space="preserve"> subsequent proceedings</w:t>
      </w:r>
      <w:r w:rsidRPr="00A60942">
        <w:rPr>
          <w:rFonts w:eastAsia="Times New Roman" w:cs="Times New Roman"/>
        </w:rPr>
        <w:t>.</w:t>
      </w:r>
    </w:p>
    <w:p w:rsidR="00322E40" w:rsidRDefault="00A60942" w:rsidP="00121EC6">
      <w:pPr>
        <w:pStyle w:val="ListParagraph"/>
      </w:pPr>
      <w:r w:rsidRPr="00322E40">
        <w:t>T</w:t>
      </w:r>
      <w:r w:rsidR="004D39DF" w:rsidRPr="00322E40">
        <w:t xml:space="preserve">he Settling Parties support approval of a deferral mechanism </w:t>
      </w:r>
      <w:r w:rsidR="009D6815">
        <w:t xml:space="preserve">in this proceeding, </w:t>
      </w:r>
      <w:r w:rsidR="004D39DF" w:rsidRPr="00322E40">
        <w:t>by which PSE will be allowed to defer Clean Air Rule compliance costs for future recovery</w:t>
      </w:r>
      <w:r w:rsidRPr="00322E40">
        <w:t xml:space="preserve"> once Clean Air Rule compliance requirements and obligations are finally determined</w:t>
      </w:r>
      <w:r w:rsidR="004D39DF" w:rsidRPr="00322E40">
        <w:t xml:space="preserve">. </w:t>
      </w:r>
      <w:r w:rsidR="00D8148E">
        <w:t>This will depend</w:t>
      </w:r>
      <w:r w:rsidR="004D39DF" w:rsidRPr="00322E40">
        <w:t xml:space="preserve"> on (i) the timing of when Clean Air Rule compliance costs become known and measurable and (ii) the materiality of such compliance costs, the Settling Parties </w:t>
      </w:r>
      <w:r w:rsidR="009D6815">
        <w:t xml:space="preserve">that intend to take a position on this issue </w:t>
      </w:r>
      <w:r w:rsidR="004D39DF" w:rsidRPr="00322E40">
        <w:t>will work together to include prudent Clean Air Rule costs in PSE’s Power Cost Adjustment (</w:t>
      </w:r>
      <w:r w:rsidR="00A52F06">
        <w:t>“</w:t>
      </w:r>
      <w:r w:rsidR="004D39DF" w:rsidRPr="00322E40">
        <w:t>PCA</w:t>
      </w:r>
      <w:r w:rsidR="00A52F06">
        <w:t>”</w:t>
      </w:r>
      <w:r w:rsidR="004D39DF" w:rsidRPr="00322E40">
        <w:t>) baseline rate as expeditiously as possible.</w:t>
      </w:r>
    </w:p>
    <w:p w:rsidR="003E3F39" w:rsidRDefault="00A60942" w:rsidP="00024A70">
      <w:pPr>
        <w:pStyle w:val="ListParagraph"/>
      </w:pPr>
      <w:r w:rsidRPr="00322E40">
        <w:t xml:space="preserve">The Settling Parties agree that the </w:t>
      </w:r>
      <w:r w:rsidR="00FC3371" w:rsidRPr="00322E40">
        <w:t xml:space="preserve">moratorium on changes to the PCA mechanism adopted in </w:t>
      </w:r>
      <w:r w:rsidRPr="00322E40">
        <w:t xml:space="preserve">Docket </w:t>
      </w:r>
      <w:r w:rsidR="00FC3371" w:rsidRPr="00322E40">
        <w:t xml:space="preserve">UE-130617 </w:t>
      </w:r>
      <w:r w:rsidRPr="00322E40">
        <w:t xml:space="preserve">shall </w:t>
      </w:r>
      <w:r w:rsidR="00FC3371" w:rsidRPr="00322E40">
        <w:t xml:space="preserve">remain in effect. </w:t>
      </w:r>
      <w:r w:rsidRPr="00322E40">
        <w:t xml:space="preserve">For purposes of this Settlement, however, the </w:t>
      </w:r>
      <w:r w:rsidR="00FC3371" w:rsidRPr="00322E40">
        <w:t xml:space="preserve">Settling Parties agree to </w:t>
      </w:r>
      <w:r w:rsidR="00E74B20" w:rsidRPr="00322E40">
        <w:t xml:space="preserve">Commission Staff’s proposal that a line item for all costs related to the CAISO </w:t>
      </w:r>
      <w:r w:rsidR="00024A70">
        <w:t>EIM</w:t>
      </w:r>
      <w:r w:rsidR="00E74B20" w:rsidRPr="00322E40">
        <w:t xml:space="preserve"> be included as actual costs in the annual PCA filing that determines whether PSE over- or under-collected on power costs. For </w:t>
      </w:r>
      <w:r w:rsidR="00FC3371" w:rsidRPr="00322E40">
        <w:t xml:space="preserve">purposes of calculating the PCA imbalance in the PCA mechanism, </w:t>
      </w:r>
      <w:r w:rsidR="00E74B20" w:rsidRPr="00322E40">
        <w:t xml:space="preserve">the Settling Parties agree to </w:t>
      </w:r>
      <w:r w:rsidR="00FC3371" w:rsidRPr="00322E40">
        <w:t xml:space="preserve">include the amount for capital items (depreciation and return on) and labor related to </w:t>
      </w:r>
      <w:r w:rsidR="00E74B20" w:rsidRPr="00322E40">
        <w:t xml:space="preserve">the CAISO </w:t>
      </w:r>
      <w:r w:rsidR="00024A70">
        <w:t>EIM</w:t>
      </w:r>
      <w:r w:rsidR="00E74B20" w:rsidRPr="00322E40">
        <w:t xml:space="preserve"> </w:t>
      </w:r>
      <w:r w:rsidR="00FC3371" w:rsidRPr="00322E40">
        <w:t xml:space="preserve">included in </w:t>
      </w:r>
      <w:r w:rsidR="00F10BBC">
        <w:t xml:space="preserve">Exhibit D to this Settlement </w:t>
      </w:r>
      <w:r w:rsidR="00FC3371" w:rsidRPr="00322E40">
        <w:t>as a line-item in actual allowed power costs in Schedule</w:t>
      </w:r>
      <w:r w:rsidR="00E74B20" w:rsidRPr="00322E40">
        <w:t> </w:t>
      </w:r>
      <w:r w:rsidR="00FC3371" w:rsidRPr="00322E40">
        <w:t xml:space="preserve">B. PSE </w:t>
      </w:r>
      <w:r w:rsidR="00E74B20" w:rsidRPr="00322E40">
        <w:t xml:space="preserve">shall </w:t>
      </w:r>
      <w:r w:rsidR="00FC3371" w:rsidRPr="00322E40">
        <w:t xml:space="preserve">include these </w:t>
      </w:r>
      <w:r w:rsidR="00FC3371" w:rsidRPr="00322E40">
        <w:lastRenderedPageBreak/>
        <w:t>costs in Schedule B in a manner similar to the Equity Adder for the Coal Transition PPA in that they will be included in the Adjustments section (</w:t>
      </w:r>
      <w:r w:rsidR="00024A70" w:rsidRPr="00024A70">
        <w:t xml:space="preserve">currently </w:t>
      </w:r>
      <w:r w:rsidR="000301FE">
        <w:t xml:space="preserve">shown on </w:t>
      </w:r>
      <w:r w:rsidR="00FC3371" w:rsidRPr="00322E40">
        <w:t>lines</w:t>
      </w:r>
      <w:r w:rsidR="00E74B20" w:rsidRPr="00322E40">
        <w:t> </w:t>
      </w:r>
      <w:r w:rsidR="00FC3371" w:rsidRPr="00322E40">
        <w:t>52 through 57</w:t>
      </w:r>
      <w:r w:rsidR="000301FE">
        <w:t xml:space="preserve"> in PSE’s 2016 Annual PCA Compliance Filing in Docket No. UE-170334</w:t>
      </w:r>
      <w:r w:rsidR="00FC3371" w:rsidRPr="00322E40">
        <w:t>) of Schedule</w:t>
      </w:r>
      <w:r w:rsidR="00E74B20" w:rsidRPr="00322E40">
        <w:t> </w:t>
      </w:r>
      <w:r w:rsidR="00FC3371" w:rsidRPr="00322E40">
        <w:t>B. These rows adjust the variable costs associated with power costs not represented in actual expenses booked to the power cost accounts.</w:t>
      </w:r>
    </w:p>
    <w:p w:rsidR="00B53381" w:rsidRPr="008A2382" w:rsidRDefault="00B53381" w:rsidP="003E3F39">
      <w:pPr>
        <w:pStyle w:val="ListParagraph"/>
      </w:pPr>
      <w:r w:rsidRPr="008A2382">
        <w:t>The Settling Parties agree that Adjustment No. 14.01 – Power Costs increases net operating income for electric operations by $</w:t>
      </w:r>
      <w:r w:rsidR="0029238C" w:rsidRPr="00151B86">
        <w:t>1,185,175</w:t>
      </w:r>
      <w:r w:rsidR="006114AB">
        <w:t xml:space="preserve">, the calculation of which is provided as </w:t>
      </w:r>
      <w:r w:rsidR="006114AB" w:rsidRPr="008A2382">
        <w:t>Exhibit </w:t>
      </w:r>
      <w:r w:rsidR="00F10BBC">
        <w:t>E</w:t>
      </w:r>
      <w:r w:rsidR="006114AB">
        <w:t xml:space="preserve"> to this Settlement</w:t>
      </w:r>
      <w:r w:rsidRPr="008A2382">
        <w:t>.</w:t>
      </w:r>
    </w:p>
    <w:p w:rsidR="00C21964" w:rsidRDefault="00C21964" w:rsidP="00C21964">
      <w:pPr>
        <w:pStyle w:val="Heading4"/>
        <w:rPr>
          <w:rFonts w:eastAsia="Times New Roman"/>
        </w:rPr>
      </w:pPr>
      <w:r>
        <w:rPr>
          <w:rFonts w:eastAsia="Times New Roman"/>
        </w:rPr>
        <w:t>b.</w:t>
      </w:r>
      <w:r>
        <w:rPr>
          <w:rFonts w:eastAsia="Times New Roman"/>
        </w:rPr>
        <w:tab/>
      </w:r>
      <w:r w:rsidRPr="007A518C">
        <w:t>Adjustment No.</w:t>
      </w:r>
      <w:r>
        <w:t> </w:t>
      </w:r>
      <w:r w:rsidR="00287B69">
        <w:t>14</w:t>
      </w:r>
      <w:r w:rsidR="00DB2E85" w:rsidRPr="007A518C">
        <w:t>.</w:t>
      </w:r>
      <w:r>
        <w:t>02 – </w:t>
      </w:r>
      <w:r w:rsidRPr="00083A53">
        <w:rPr>
          <w:rFonts w:eastAsia="Times New Roman"/>
        </w:rPr>
        <w:t>Montana Electric Energy Tax</w:t>
      </w:r>
    </w:p>
    <w:p w:rsidR="00287B69" w:rsidRPr="00322E40" w:rsidRDefault="00F177C1" w:rsidP="00024A70">
      <w:pPr>
        <w:pStyle w:val="ListParagraph"/>
      </w:pPr>
      <w:r w:rsidRPr="00456C66">
        <w:t xml:space="preserve">No party contested the manner in which </w:t>
      </w:r>
      <w:r w:rsidR="00566D6E" w:rsidRPr="00322E40">
        <w:t xml:space="preserve">Adjustment </w:t>
      </w:r>
      <w:r w:rsidR="00287B69" w:rsidRPr="007A518C">
        <w:t>No.</w:t>
      </w:r>
      <w:r w:rsidR="00287B69">
        <w:t> 14</w:t>
      </w:r>
      <w:r w:rsidR="00287B69" w:rsidRPr="007A518C">
        <w:t>.</w:t>
      </w:r>
      <w:r w:rsidR="00287B69">
        <w:t>02 – </w:t>
      </w:r>
      <w:r w:rsidR="00287B69" w:rsidRPr="00322E40">
        <w:t xml:space="preserve">Montana Electric Energy Tax </w:t>
      </w:r>
      <w:r>
        <w:t>should be calculated</w:t>
      </w:r>
      <w:r w:rsidR="0029238C">
        <w:t xml:space="preserve">, </w:t>
      </w:r>
      <w:r>
        <w:t xml:space="preserve">but </w:t>
      </w:r>
      <w:r w:rsidR="0029238C">
        <w:t xml:space="preserve">changes to power costs </w:t>
      </w:r>
      <w:r>
        <w:t>affect</w:t>
      </w:r>
      <w:r w:rsidR="0029238C">
        <w:t xml:space="preserve"> the associated taxes.</w:t>
      </w:r>
      <w:r w:rsidR="00012A5D">
        <w:t xml:space="preserve"> </w:t>
      </w:r>
      <w:r w:rsidR="0029238C">
        <w:t xml:space="preserve">The impact of this </w:t>
      </w:r>
      <w:r w:rsidR="00287B69" w:rsidRPr="00322E40">
        <w:t>increases net operating income for electric operations by $</w:t>
      </w:r>
      <w:r w:rsidR="0029238C" w:rsidRPr="00151B86">
        <w:t>148,016</w:t>
      </w:r>
      <w:r w:rsidR="00575D23">
        <w:t>.</w:t>
      </w:r>
      <w:r w:rsidR="00024A70">
        <w:t xml:space="preserve"> Please see Exhibit E to this Settlement for the </w:t>
      </w:r>
      <w:r w:rsidR="00024A70" w:rsidRPr="00024A70">
        <w:t xml:space="preserve">calculation of </w:t>
      </w:r>
      <w:r w:rsidR="00024A70" w:rsidRPr="00322E40">
        <w:t xml:space="preserve">Adjustment </w:t>
      </w:r>
      <w:r w:rsidR="00024A70" w:rsidRPr="007A518C">
        <w:t>No.</w:t>
      </w:r>
      <w:r w:rsidR="00024A70">
        <w:t> 14</w:t>
      </w:r>
      <w:r w:rsidR="00024A70" w:rsidRPr="007A518C">
        <w:t>.</w:t>
      </w:r>
      <w:r w:rsidR="00024A70">
        <w:t>02 – </w:t>
      </w:r>
      <w:r w:rsidR="00024A70" w:rsidRPr="00322E40">
        <w:t>Montana Electric Energy Tax</w:t>
      </w:r>
      <w:r w:rsidR="00024A70" w:rsidRPr="00024A70">
        <w:t>.</w:t>
      </w:r>
    </w:p>
    <w:p w:rsidR="00C21964" w:rsidRDefault="00C21964" w:rsidP="00C21964">
      <w:pPr>
        <w:pStyle w:val="Heading4"/>
        <w:rPr>
          <w:rFonts w:eastAsia="Times New Roman"/>
        </w:rPr>
      </w:pPr>
      <w:r>
        <w:rPr>
          <w:rFonts w:eastAsia="Times New Roman"/>
        </w:rPr>
        <w:t>c.</w:t>
      </w:r>
      <w:r>
        <w:rPr>
          <w:rFonts w:eastAsia="Times New Roman"/>
        </w:rPr>
        <w:tab/>
      </w:r>
      <w:r w:rsidRPr="007A518C">
        <w:t>Adjustment No.</w:t>
      </w:r>
      <w:r>
        <w:t> </w:t>
      </w:r>
      <w:r w:rsidR="00287B69">
        <w:t>14</w:t>
      </w:r>
      <w:r w:rsidR="00DB2E85" w:rsidRPr="007A518C">
        <w:t>.</w:t>
      </w:r>
      <w:r>
        <w:t>03 – </w:t>
      </w:r>
      <w:r w:rsidRPr="00083A53">
        <w:rPr>
          <w:rFonts w:eastAsia="Times New Roman"/>
        </w:rPr>
        <w:t>Wild Horse So</w:t>
      </w:r>
      <w:r>
        <w:rPr>
          <w:rFonts w:eastAsia="Times New Roman"/>
        </w:rPr>
        <w:t>lar</w:t>
      </w:r>
    </w:p>
    <w:p w:rsidR="00287B69" w:rsidRPr="00322E40" w:rsidRDefault="00566D6E" w:rsidP="00121EC6">
      <w:pPr>
        <w:pStyle w:val="ListParagraph"/>
      </w:pPr>
      <w:r w:rsidRPr="00322E40">
        <w:t xml:space="preserve">Adjustment </w:t>
      </w:r>
      <w:r w:rsidR="00287B69" w:rsidRPr="007A518C">
        <w:t>No.</w:t>
      </w:r>
      <w:r w:rsidR="00287B69">
        <w:t> 14</w:t>
      </w:r>
      <w:r w:rsidR="00287B69" w:rsidRPr="007A518C">
        <w:t>.</w:t>
      </w:r>
      <w:r w:rsidR="00287B69">
        <w:t>03 – </w:t>
      </w:r>
      <w:r w:rsidR="00287B69" w:rsidRPr="00322E40">
        <w:t xml:space="preserve">Wild Horse Solar </w:t>
      </w:r>
      <w:r w:rsidR="00F177C1">
        <w:t>is</w:t>
      </w:r>
      <w:r w:rsidR="005F73E0">
        <w:t xml:space="preserve"> uncontested </w:t>
      </w:r>
      <w:r w:rsidR="00F177C1">
        <w:t>and</w:t>
      </w:r>
      <w:r w:rsidR="00287B69" w:rsidRPr="00322E40">
        <w:t xml:space="preserve"> </w:t>
      </w:r>
      <w:r w:rsidR="00287B69">
        <w:t>(i) </w:t>
      </w:r>
      <w:r w:rsidR="00287B69" w:rsidRPr="00322E40">
        <w:t>increases net operating income for electric operations by $137,890 and (ii) decreases rate base for electric operations by $1,969,341. (</w:t>
      </w:r>
      <w:r w:rsidR="00287B69" w:rsidRPr="00322E40">
        <w:rPr>
          <w:i/>
        </w:rPr>
        <w:t>See</w:t>
      </w:r>
      <w:r w:rsidR="00F177C1">
        <w:rPr>
          <w:i/>
        </w:rPr>
        <w:t>, e.g.,</w:t>
      </w:r>
      <w:r w:rsidR="00287B69" w:rsidRPr="00322E40">
        <w:t> </w:t>
      </w:r>
      <w:proofErr w:type="spellStart"/>
      <w:r w:rsidR="00287B69" w:rsidRPr="00322E40">
        <w:t>Cheesman</w:t>
      </w:r>
      <w:proofErr w:type="spellEnd"/>
      <w:r w:rsidR="00287B69" w:rsidRPr="00322E40">
        <w:t xml:space="preserve">, </w:t>
      </w:r>
      <w:proofErr w:type="spellStart"/>
      <w:r w:rsidR="00287B69" w:rsidRPr="00322E40">
        <w:t>Exh</w:t>
      </w:r>
      <w:proofErr w:type="spellEnd"/>
      <w:r w:rsidR="00287B69" w:rsidRPr="00322E40">
        <w:t xml:space="preserve">. MCC-2r at </w:t>
      </w:r>
      <w:r w:rsidR="006819AE" w:rsidRPr="00322E40">
        <w:t>5</w:t>
      </w:r>
      <w:r w:rsidR="00287B69" w:rsidRPr="00322E40">
        <w:t>.)</w:t>
      </w:r>
    </w:p>
    <w:p w:rsidR="00C21964" w:rsidRDefault="00C21964" w:rsidP="00C21964">
      <w:pPr>
        <w:pStyle w:val="Heading4"/>
        <w:rPr>
          <w:rFonts w:eastAsia="Times New Roman"/>
        </w:rPr>
      </w:pPr>
      <w:r>
        <w:rPr>
          <w:rFonts w:eastAsia="Times New Roman"/>
        </w:rPr>
        <w:t>d.</w:t>
      </w:r>
      <w:r>
        <w:rPr>
          <w:rFonts w:eastAsia="Times New Roman"/>
        </w:rPr>
        <w:tab/>
      </w:r>
      <w:r w:rsidRPr="007A518C">
        <w:t>Adjustment No.</w:t>
      </w:r>
      <w:r>
        <w:t> </w:t>
      </w:r>
      <w:r w:rsidR="00287B69">
        <w:t>14</w:t>
      </w:r>
      <w:r w:rsidR="00DB2E85" w:rsidRPr="007A518C">
        <w:t>.</w:t>
      </w:r>
      <w:r>
        <w:t>04 – </w:t>
      </w:r>
      <w:r w:rsidRPr="00083A53">
        <w:rPr>
          <w:rFonts w:eastAsia="Times New Roman"/>
        </w:rPr>
        <w:t>ASC</w:t>
      </w:r>
      <w:r w:rsidR="006819AE">
        <w:rPr>
          <w:rFonts w:eastAsia="Times New Roman"/>
        </w:rPr>
        <w:t> </w:t>
      </w:r>
      <w:r w:rsidRPr="00083A53">
        <w:rPr>
          <w:rFonts w:eastAsia="Times New Roman"/>
        </w:rPr>
        <w:t>815 (</w:t>
      </w:r>
      <w:r w:rsidR="006819AE">
        <w:rPr>
          <w:rFonts w:eastAsia="Times New Roman"/>
        </w:rPr>
        <w:t xml:space="preserve">Prev. </w:t>
      </w:r>
      <w:r w:rsidRPr="00083A53">
        <w:rPr>
          <w:rFonts w:eastAsia="Times New Roman"/>
        </w:rPr>
        <w:t>SFAS</w:t>
      </w:r>
      <w:r>
        <w:rPr>
          <w:rFonts w:eastAsia="Times New Roman"/>
        </w:rPr>
        <w:t> </w:t>
      </w:r>
      <w:r w:rsidRPr="00083A53">
        <w:rPr>
          <w:rFonts w:eastAsia="Times New Roman"/>
        </w:rPr>
        <w:t>133)</w:t>
      </w:r>
    </w:p>
    <w:p w:rsidR="00287B69" w:rsidRPr="00322E40" w:rsidRDefault="00566D6E" w:rsidP="00121EC6">
      <w:pPr>
        <w:pStyle w:val="ListParagraph"/>
      </w:pPr>
      <w:r w:rsidRPr="00322E40">
        <w:t xml:space="preserve">Adjustment </w:t>
      </w:r>
      <w:r w:rsidR="00287B69" w:rsidRPr="007A518C">
        <w:t>No.</w:t>
      </w:r>
      <w:r w:rsidR="00287B69">
        <w:t> </w:t>
      </w:r>
      <w:r w:rsidR="00A31457">
        <w:t>14</w:t>
      </w:r>
      <w:r w:rsidR="00A31457" w:rsidRPr="007A518C">
        <w:t>.</w:t>
      </w:r>
      <w:r w:rsidR="00A31457">
        <w:t>04 – </w:t>
      </w:r>
      <w:r w:rsidR="00A31457" w:rsidRPr="00322E40">
        <w:t xml:space="preserve">ASC 815 (Prev. SFAS 133) </w:t>
      </w:r>
      <w:r w:rsidR="00F177C1">
        <w:t>is</w:t>
      </w:r>
      <w:r w:rsidR="005F73E0">
        <w:t xml:space="preserve"> uncontested </w:t>
      </w:r>
      <w:r w:rsidR="00F177C1">
        <w:t>and</w:t>
      </w:r>
      <w:r w:rsidR="00287B69" w:rsidRPr="00322E40">
        <w:t xml:space="preserve"> </w:t>
      </w:r>
      <w:r w:rsidR="0035159D" w:rsidRPr="00322E40">
        <w:t>de</w:t>
      </w:r>
      <w:r w:rsidR="00287B69" w:rsidRPr="00322E40">
        <w:t>creases net operating income for electric operations by $</w:t>
      </w:r>
      <w:r w:rsidR="0035159D" w:rsidRPr="00322E40">
        <w:t>41</w:t>
      </w:r>
      <w:r w:rsidR="00287B69" w:rsidRPr="00322E40">
        <w:t>,</w:t>
      </w:r>
      <w:r w:rsidR="0035159D" w:rsidRPr="00322E40">
        <w:t>672,584</w:t>
      </w:r>
      <w:r w:rsidR="00287B69" w:rsidRPr="00322E40">
        <w:t>. (</w:t>
      </w:r>
      <w:r w:rsidR="00287B69" w:rsidRPr="00322E40">
        <w:rPr>
          <w:i/>
        </w:rPr>
        <w:t>See</w:t>
      </w:r>
      <w:r w:rsidR="00F177C1">
        <w:rPr>
          <w:i/>
        </w:rPr>
        <w:t>, e.g.,</w:t>
      </w:r>
      <w:r w:rsidR="00287B69" w:rsidRPr="00322E40">
        <w:t> </w:t>
      </w:r>
      <w:proofErr w:type="spellStart"/>
      <w:r w:rsidR="00287B69" w:rsidRPr="00322E40">
        <w:t>Cheesman</w:t>
      </w:r>
      <w:proofErr w:type="spellEnd"/>
      <w:r w:rsidR="00287B69" w:rsidRPr="00322E40">
        <w:t xml:space="preserve">, </w:t>
      </w:r>
      <w:proofErr w:type="spellStart"/>
      <w:r w:rsidR="00287B69" w:rsidRPr="00322E40">
        <w:t>Exh</w:t>
      </w:r>
      <w:proofErr w:type="spellEnd"/>
      <w:r w:rsidR="00287B69" w:rsidRPr="00322E40">
        <w:t xml:space="preserve">. MCC-2r at </w:t>
      </w:r>
      <w:r w:rsidR="00024A70">
        <w:t>5</w:t>
      </w:r>
      <w:r w:rsidR="00287B69" w:rsidRPr="00322E40">
        <w:t>.)</w:t>
      </w:r>
    </w:p>
    <w:p w:rsidR="00C21964" w:rsidRPr="00143D68" w:rsidRDefault="00C21964" w:rsidP="00C21964">
      <w:pPr>
        <w:pStyle w:val="Heading4"/>
        <w:rPr>
          <w:rFonts w:eastAsia="Times New Roman"/>
        </w:rPr>
      </w:pPr>
      <w:r w:rsidRPr="00143D68">
        <w:rPr>
          <w:rFonts w:eastAsia="Times New Roman"/>
        </w:rPr>
        <w:lastRenderedPageBreak/>
        <w:t>e.</w:t>
      </w:r>
      <w:r w:rsidRPr="00143D68">
        <w:rPr>
          <w:rFonts w:eastAsia="Times New Roman"/>
        </w:rPr>
        <w:tab/>
      </w:r>
      <w:r w:rsidRPr="00143D68">
        <w:t>Adjustment No. </w:t>
      </w:r>
      <w:r w:rsidR="00E57C80" w:rsidRPr="00143D68">
        <w:t>14</w:t>
      </w:r>
      <w:r w:rsidR="00DB2E85" w:rsidRPr="00143D68">
        <w:t>.</w:t>
      </w:r>
      <w:r w:rsidRPr="00143D68">
        <w:t>05 – </w:t>
      </w:r>
      <w:r w:rsidRPr="00143D68">
        <w:rPr>
          <w:rFonts w:eastAsia="Times New Roman"/>
        </w:rPr>
        <w:t>Storm Damage</w:t>
      </w:r>
    </w:p>
    <w:p w:rsidR="00322E40" w:rsidRDefault="00EB44CF" w:rsidP="00121EC6">
      <w:pPr>
        <w:pStyle w:val="ListParagraph"/>
      </w:pPr>
      <w:r w:rsidRPr="00322E40">
        <w:t xml:space="preserve">PSE shall defer the costs of any storms that occur on or after the </w:t>
      </w:r>
      <w:r w:rsidR="00236F29" w:rsidRPr="00322E40">
        <w:t>Settlement Date</w:t>
      </w:r>
      <w:r w:rsidRPr="00322E40">
        <w:t xml:space="preserve"> and on or before December 31, 2017, under the terms of the </w:t>
      </w:r>
      <w:r w:rsidRPr="00660C02">
        <w:t xml:space="preserve">storm loss deferral mechanism established in Order 6 in Dockets UE-040641 &amp; UG-040640, </w:t>
      </w:r>
      <w:r w:rsidRPr="00322E40">
        <w:rPr>
          <w:i/>
        </w:rPr>
        <w:t>et al</w:t>
      </w:r>
      <w:r w:rsidRPr="00660C02">
        <w:t>., and as revised in Order 12 in Dockets UE-072300 &amp; UG-072301 (the “</w:t>
      </w:r>
      <w:r w:rsidR="00024A70">
        <w:t>Qualifying</w:t>
      </w:r>
      <w:r w:rsidRPr="00660C02">
        <w:t xml:space="preserve"> Storm Loss Deferral Mechanism”). PSE shall </w:t>
      </w:r>
      <w:r w:rsidR="005F73E0">
        <w:t xml:space="preserve">propose </w:t>
      </w:r>
      <w:r w:rsidRPr="00660C02">
        <w:t>amortiz</w:t>
      </w:r>
      <w:r w:rsidR="005F73E0">
        <w:t>ation of</w:t>
      </w:r>
      <w:r w:rsidRPr="00660C02">
        <w:t xml:space="preserve"> any such storm costs deferred pursuant to the terms of the prior sentence for recovery in PSE’s next general </w:t>
      </w:r>
      <w:r w:rsidR="00660C02" w:rsidRPr="00660C02">
        <w:t>rate case or any ERF</w:t>
      </w:r>
      <w:r w:rsidR="007E631E">
        <w:t xml:space="preserve"> </w:t>
      </w:r>
      <w:r w:rsidR="00660C02" w:rsidRPr="00660C02">
        <w:t xml:space="preserve">or </w:t>
      </w:r>
      <w:r w:rsidR="00660C02" w:rsidRPr="00322E40">
        <w:t xml:space="preserve">limited rate proceeding to revise transmission and </w:t>
      </w:r>
      <w:r w:rsidRPr="00322E40">
        <w:t>distribution rates.</w:t>
      </w:r>
    </w:p>
    <w:p w:rsidR="00322E40" w:rsidRDefault="00E57C80" w:rsidP="00121EC6">
      <w:pPr>
        <w:pStyle w:val="ListParagraph"/>
      </w:pPr>
      <w:r w:rsidRPr="00E57C80">
        <w:t xml:space="preserve">PSE shall retain the </w:t>
      </w:r>
      <w:r w:rsidR="00024A70">
        <w:t>Qualifying</w:t>
      </w:r>
      <w:r w:rsidR="00DD7818" w:rsidRPr="00A10792">
        <w:t xml:space="preserve"> </w:t>
      </w:r>
      <w:r w:rsidR="00DD7818">
        <w:t>S</w:t>
      </w:r>
      <w:r w:rsidR="00DD7818" w:rsidRPr="00A10792">
        <w:t xml:space="preserve">torm </w:t>
      </w:r>
      <w:r w:rsidR="00DD7818">
        <w:t>L</w:t>
      </w:r>
      <w:r w:rsidR="00DD7818" w:rsidRPr="00A10792">
        <w:t xml:space="preserve">oss </w:t>
      </w:r>
      <w:r w:rsidR="00DD7818">
        <w:t>D</w:t>
      </w:r>
      <w:r w:rsidR="00DD7818" w:rsidRPr="00A10792">
        <w:t xml:space="preserve">eferral </w:t>
      </w:r>
      <w:r w:rsidR="00DD7818">
        <w:t>M</w:t>
      </w:r>
      <w:r w:rsidR="00DD7818" w:rsidRPr="00A10792">
        <w:t>echanism</w:t>
      </w:r>
      <w:r w:rsidR="00EB44CF">
        <w:t xml:space="preserve"> for any storm costs incurred on or after January 1, 2018</w:t>
      </w:r>
      <w:r w:rsidR="00DD7818">
        <w:t xml:space="preserve">, subject to the </w:t>
      </w:r>
      <w:r w:rsidR="00A10792">
        <w:t>following modifications:</w:t>
      </w:r>
      <w:r w:rsidR="00E26858">
        <w:t xml:space="preserve"> (i) the cumulative annual cost threshold for </w:t>
      </w:r>
      <w:r w:rsidR="00A52F06">
        <w:t xml:space="preserve">deferral of storms under </w:t>
      </w:r>
      <w:r w:rsidR="00E26858" w:rsidRPr="00E57C80">
        <w:t xml:space="preserve">the </w:t>
      </w:r>
      <w:r w:rsidR="00024A70">
        <w:t>Qualifying</w:t>
      </w:r>
      <w:r w:rsidR="00E26858" w:rsidRPr="00A10792">
        <w:t xml:space="preserve"> Storm Loss Deferral Mechanism</w:t>
      </w:r>
      <w:r w:rsidR="00E26858">
        <w:t xml:space="preserve"> shall be </w:t>
      </w:r>
      <w:r w:rsidR="00DD7818">
        <w:t xml:space="preserve">increased from $8 million to </w:t>
      </w:r>
      <w:r w:rsidR="00E26858">
        <w:t>$10 million</w:t>
      </w:r>
      <w:r w:rsidR="0029238C">
        <w:t>, (ii)</w:t>
      </w:r>
      <w:r w:rsidR="00F177C1">
        <w:t> </w:t>
      </w:r>
      <w:r w:rsidR="005F73E0">
        <w:t>qualifying event</w:t>
      </w:r>
      <w:r w:rsidR="0029238C">
        <w:t xml:space="preserve">s that cost less </w:t>
      </w:r>
      <w:r w:rsidR="005F73E0">
        <w:t xml:space="preserve">than $500,000 </w:t>
      </w:r>
      <w:r w:rsidR="001C41BD">
        <w:t xml:space="preserve">will not </w:t>
      </w:r>
      <w:r w:rsidR="005F73E0">
        <w:t>qualify for deferral</w:t>
      </w:r>
      <w:r w:rsidR="00F177C1">
        <w:t>, and</w:t>
      </w:r>
      <w:r w:rsidR="00E26858">
        <w:t xml:space="preserve"> (</w:t>
      </w:r>
      <w:r w:rsidR="0029238C">
        <w:t>i</w:t>
      </w:r>
      <w:r w:rsidR="00E26858">
        <w:t>ii)</w:t>
      </w:r>
      <w:r w:rsidR="00012A5D">
        <w:t> </w:t>
      </w:r>
      <w:r w:rsidR="00E26858">
        <w:t xml:space="preserve">the </w:t>
      </w:r>
      <w:r w:rsidR="00DD7818">
        <w:t>cumulative annual cost threshold</w:t>
      </w:r>
      <w:r w:rsidR="00DD7818" w:rsidRPr="00A10792">
        <w:t xml:space="preserve"> </w:t>
      </w:r>
      <w:r w:rsidR="00DD7818">
        <w:t xml:space="preserve">for the </w:t>
      </w:r>
      <w:r w:rsidR="00024A70">
        <w:t>Qualifying</w:t>
      </w:r>
      <w:r w:rsidR="00E26858" w:rsidRPr="00A10792">
        <w:t xml:space="preserve"> Storm Loss Deferral Mechanism</w:t>
      </w:r>
      <w:r w:rsidR="00E26858">
        <w:t xml:space="preserve"> shall exclude storm events with costs less than </w:t>
      </w:r>
      <w:r w:rsidR="00A231AC" w:rsidRPr="00322E40">
        <w:t>$500,000.</w:t>
      </w:r>
    </w:p>
    <w:p w:rsidR="00322E40" w:rsidRDefault="00716C19" w:rsidP="00121EC6">
      <w:pPr>
        <w:pStyle w:val="ListParagraph"/>
      </w:pPr>
      <w:r w:rsidRPr="00716C19">
        <w:t xml:space="preserve">The Settling Parties agree to a six-year </w:t>
      </w:r>
      <w:r w:rsidRPr="00322E40">
        <w:t>average of $10,656,246 million for normalized storm expense.</w:t>
      </w:r>
    </w:p>
    <w:p w:rsidR="001C41BD" w:rsidRDefault="004862EA" w:rsidP="00121EC6">
      <w:pPr>
        <w:pStyle w:val="ListParagraph"/>
      </w:pPr>
      <w:r w:rsidRPr="00322E40">
        <w:t>The Settling Parties acknowledge that PSE has an over-amortization of $12,560,038 associated with the 2010 storm</w:t>
      </w:r>
      <w:r w:rsidR="005F73E0">
        <w:t>s</w:t>
      </w:r>
      <w:r w:rsidRPr="00322E40">
        <w:t xml:space="preserve">. PSE shall use </w:t>
      </w:r>
      <w:r w:rsidR="00143D68" w:rsidRPr="00322E40">
        <w:t xml:space="preserve">the over-amortization </w:t>
      </w:r>
      <w:r w:rsidRPr="00322E40">
        <w:t xml:space="preserve">to absorb </w:t>
      </w:r>
      <w:r w:rsidR="00143D68" w:rsidRPr="00322E40">
        <w:t xml:space="preserve">the </w:t>
      </w:r>
      <w:r w:rsidRPr="00322E40">
        <w:t xml:space="preserve">remaining balance of December 2006 wind storm and </w:t>
      </w:r>
      <w:r w:rsidR="00143D68" w:rsidRPr="00322E40">
        <w:t xml:space="preserve">the remaining balance of the over-amortization </w:t>
      </w:r>
      <w:r w:rsidRPr="00322E40">
        <w:t xml:space="preserve">to reduce </w:t>
      </w:r>
      <w:r w:rsidR="00143D68" w:rsidRPr="00322E40">
        <w:t xml:space="preserve">the </w:t>
      </w:r>
      <w:r w:rsidRPr="00322E40">
        <w:t xml:space="preserve">balance of </w:t>
      </w:r>
      <w:r w:rsidR="00143D68" w:rsidRPr="00322E40">
        <w:t>the January 2012 snowstorm</w:t>
      </w:r>
      <w:r w:rsidRPr="00322E40">
        <w:t xml:space="preserve">. </w:t>
      </w:r>
      <w:r w:rsidR="00143D68" w:rsidRPr="00322E40">
        <w:t xml:space="preserve">PSE shall amortize remaining </w:t>
      </w:r>
      <w:r w:rsidRPr="00322E40">
        <w:t>storm</w:t>
      </w:r>
      <w:r w:rsidR="00143D68" w:rsidRPr="00322E40">
        <w:t xml:space="preserve"> deferrals</w:t>
      </w:r>
      <w:r w:rsidRPr="00322E40">
        <w:t>, over four years</w:t>
      </w:r>
      <w:r w:rsidR="00195A7D">
        <w:t>, once approved for recovery in rates</w:t>
      </w:r>
      <w:r w:rsidR="00143D68" w:rsidRPr="00322E40">
        <w:t xml:space="preserve">; provided, however, that PSE shall amortize the </w:t>
      </w:r>
      <w:r w:rsidRPr="00322E40">
        <w:t xml:space="preserve">January 2012 </w:t>
      </w:r>
      <w:r w:rsidR="00143D68" w:rsidRPr="00322E40">
        <w:t>snow</w:t>
      </w:r>
      <w:r w:rsidRPr="00322E40">
        <w:t>storm over six years.</w:t>
      </w:r>
    </w:p>
    <w:p w:rsidR="00024A70" w:rsidRPr="00322E40" w:rsidRDefault="00024A70" w:rsidP="00024A70">
      <w:pPr>
        <w:pStyle w:val="ListParagraph"/>
      </w:pPr>
      <w:r>
        <w:lastRenderedPageBreak/>
        <w:t xml:space="preserve">The Settling Parties agree that PSE shall </w:t>
      </w:r>
      <w:r w:rsidRPr="005F1756">
        <w:t>calculate normalized operating income</w:t>
      </w:r>
      <w:r>
        <w:t xml:space="preserve">, for purposes of PSE’s Earnings Sharing Mechanism by removing the storm normalization adjustment from </w:t>
      </w:r>
      <w:r w:rsidRPr="005F1756">
        <w:t>PSE’s annual Commission Basis Report</w:t>
      </w:r>
      <w:r>
        <w:t xml:space="preserve"> p</w:t>
      </w:r>
      <w:r w:rsidRPr="005F1756">
        <w:t>er</w:t>
      </w:r>
      <w:r>
        <w:t xml:space="preserve"> </w:t>
      </w:r>
      <w:r w:rsidRPr="005F1756">
        <w:t>WAC</w:t>
      </w:r>
      <w:r>
        <w:t> </w:t>
      </w:r>
      <w:r w:rsidRPr="005F1756">
        <w:t>480-100-257</w:t>
      </w:r>
      <w:r>
        <w:t>.</w:t>
      </w:r>
    </w:p>
    <w:p w:rsidR="001C41BD" w:rsidRPr="001C41BD" w:rsidRDefault="001C41BD" w:rsidP="00121EC6">
      <w:pPr>
        <w:pStyle w:val="ListParagraph"/>
      </w:pPr>
      <w:r w:rsidRPr="001C41BD">
        <w:t xml:space="preserve">The Settling Parties agree that Adjustment No. 14.05 – Storm Damage </w:t>
      </w:r>
      <w:r>
        <w:t>de</w:t>
      </w:r>
      <w:r w:rsidRPr="001C41BD">
        <w:t>creases net operating income for electric operations by $</w:t>
      </w:r>
      <w:r>
        <w:t>6,137,438</w:t>
      </w:r>
      <w:r w:rsidR="006114AB">
        <w:t xml:space="preserve">, the calculation of which is provided as </w:t>
      </w:r>
      <w:r w:rsidR="003E3F39">
        <w:t>Exhibit </w:t>
      </w:r>
      <w:r w:rsidR="00F10BBC">
        <w:t>F</w:t>
      </w:r>
      <w:r w:rsidR="003E3F39">
        <w:t xml:space="preserve"> to this Settlement.</w:t>
      </w:r>
    </w:p>
    <w:p w:rsidR="00C21964" w:rsidRDefault="00C21964" w:rsidP="00C21964">
      <w:pPr>
        <w:pStyle w:val="Heading4"/>
        <w:rPr>
          <w:rFonts w:eastAsia="Times New Roman"/>
        </w:rPr>
      </w:pPr>
      <w:r>
        <w:rPr>
          <w:rFonts w:eastAsia="Times New Roman"/>
        </w:rPr>
        <w:t>f.</w:t>
      </w:r>
      <w:r>
        <w:rPr>
          <w:rFonts w:eastAsia="Times New Roman"/>
        </w:rPr>
        <w:tab/>
      </w:r>
      <w:r w:rsidRPr="007A518C">
        <w:t>Adjustment No.</w:t>
      </w:r>
      <w:r>
        <w:t> </w:t>
      </w:r>
      <w:r w:rsidR="0035159D">
        <w:t>14</w:t>
      </w:r>
      <w:r w:rsidR="00DB2E85" w:rsidRPr="007A518C">
        <w:t>.</w:t>
      </w:r>
      <w:r>
        <w:t>06 – </w:t>
      </w:r>
      <w:r w:rsidRPr="00083A53">
        <w:rPr>
          <w:rFonts w:eastAsia="Times New Roman"/>
        </w:rPr>
        <w:t xml:space="preserve">Regulatory Assets </w:t>
      </w:r>
      <w:r>
        <w:rPr>
          <w:rFonts w:eastAsia="Times New Roman"/>
        </w:rPr>
        <w:t>a</w:t>
      </w:r>
      <w:r w:rsidRPr="00083A53">
        <w:rPr>
          <w:rFonts w:eastAsia="Times New Roman"/>
        </w:rPr>
        <w:t>nd Liabilities</w:t>
      </w:r>
    </w:p>
    <w:p w:rsidR="0035159D" w:rsidRPr="00322E40" w:rsidRDefault="00566D6E" w:rsidP="00121EC6">
      <w:pPr>
        <w:pStyle w:val="ListParagraph"/>
      </w:pPr>
      <w:r w:rsidRPr="00322E40">
        <w:t xml:space="preserve">Adjustment </w:t>
      </w:r>
      <w:r w:rsidR="0035159D" w:rsidRPr="007A518C">
        <w:t>No.</w:t>
      </w:r>
      <w:r w:rsidR="0035159D">
        <w:t> 14</w:t>
      </w:r>
      <w:r w:rsidR="0035159D" w:rsidRPr="007A518C">
        <w:t>.</w:t>
      </w:r>
      <w:r w:rsidR="0035159D">
        <w:t>06 – </w:t>
      </w:r>
      <w:r w:rsidR="0035159D" w:rsidRPr="00322E40">
        <w:t>Regulatory Assets and Liabilities</w:t>
      </w:r>
      <w:r w:rsidR="0035159D">
        <w:t xml:space="preserve"> </w:t>
      </w:r>
      <w:r w:rsidR="00F177C1">
        <w:t>is</w:t>
      </w:r>
      <w:r w:rsidR="005F73E0">
        <w:t xml:space="preserve"> uncontested </w:t>
      </w:r>
      <w:r w:rsidR="00F177C1">
        <w:t>and</w:t>
      </w:r>
      <w:r w:rsidR="0035159D" w:rsidRPr="00322E40">
        <w:t xml:space="preserve"> </w:t>
      </w:r>
      <w:r w:rsidR="0035159D">
        <w:t>(i) </w:t>
      </w:r>
      <w:r w:rsidR="0035159D" w:rsidRPr="00322E40">
        <w:t>increases net operating income for electric operations by $1,736,212 and (ii) decreases rate base for electric operations by $44,085,326. (</w:t>
      </w:r>
      <w:r w:rsidR="0035159D" w:rsidRPr="00322E40">
        <w:rPr>
          <w:i/>
        </w:rPr>
        <w:t>See</w:t>
      </w:r>
      <w:r w:rsidR="00F177C1">
        <w:rPr>
          <w:i/>
        </w:rPr>
        <w:t>, e.g.,</w:t>
      </w:r>
      <w:r w:rsidR="0035159D" w:rsidRPr="00322E40">
        <w:t> </w:t>
      </w:r>
      <w:proofErr w:type="spellStart"/>
      <w:r w:rsidR="0035159D" w:rsidRPr="00322E40">
        <w:t>Cheesman</w:t>
      </w:r>
      <w:proofErr w:type="spellEnd"/>
      <w:r w:rsidR="0035159D" w:rsidRPr="00322E40">
        <w:t xml:space="preserve">, </w:t>
      </w:r>
      <w:proofErr w:type="spellStart"/>
      <w:r w:rsidR="0035159D" w:rsidRPr="00322E40">
        <w:t>Exh</w:t>
      </w:r>
      <w:proofErr w:type="spellEnd"/>
      <w:r w:rsidR="0035159D" w:rsidRPr="00322E40">
        <w:t xml:space="preserve">. MCC-2r at </w:t>
      </w:r>
      <w:r w:rsidR="006819AE" w:rsidRPr="00322E40">
        <w:t>5</w:t>
      </w:r>
      <w:r w:rsidR="0035159D" w:rsidRPr="00322E40">
        <w:t>.)</w:t>
      </w:r>
    </w:p>
    <w:p w:rsidR="00C21964" w:rsidRDefault="00C21964" w:rsidP="00C21964">
      <w:pPr>
        <w:pStyle w:val="Heading4"/>
        <w:rPr>
          <w:rFonts w:eastAsia="Times New Roman"/>
        </w:rPr>
      </w:pPr>
      <w:r>
        <w:rPr>
          <w:rFonts w:eastAsia="Times New Roman"/>
        </w:rPr>
        <w:t>g.</w:t>
      </w:r>
      <w:r>
        <w:rPr>
          <w:rFonts w:eastAsia="Times New Roman"/>
        </w:rPr>
        <w:tab/>
      </w:r>
      <w:r w:rsidRPr="007A518C">
        <w:t>Adjustment No.</w:t>
      </w:r>
      <w:r>
        <w:t> </w:t>
      </w:r>
      <w:r w:rsidR="0035159D">
        <w:t>14</w:t>
      </w:r>
      <w:r w:rsidR="00DB2E85" w:rsidRPr="007A518C">
        <w:t>.</w:t>
      </w:r>
      <w:r>
        <w:t>07 – </w:t>
      </w:r>
      <w:r w:rsidRPr="00083A53">
        <w:rPr>
          <w:rFonts w:eastAsia="Times New Roman"/>
        </w:rPr>
        <w:t>Glacier Battery Storage</w:t>
      </w:r>
    </w:p>
    <w:p w:rsidR="0035159D" w:rsidRPr="00322E40" w:rsidRDefault="00566D6E" w:rsidP="00121EC6">
      <w:pPr>
        <w:pStyle w:val="ListParagraph"/>
      </w:pPr>
      <w:r w:rsidRPr="00322E40">
        <w:t xml:space="preserve">Adjustment </w:t>
      </w:r>
      <w:r w:rsidR="0035159D" w:rsidRPr="007A518C">
        <w:t>No.</w:t>
      </w:r>
      <w:r w:rsidR="0035159D">
        <w:t> 14</w:t>
      </w:r>
      <w:r w:rsidR="0035159D" w:rsidRPr="007A518C">
        <w:t>.</w:t>
      </w:r>
      <w:r w:rsidR="0035159D">
        <w:t>07 – </w:t>
      </w:r>
      <w:r w:rsidR="0035159D" w:rsidRPr="00322E40">
        <w:t xml:space="preserve">Glacier Battery Storage </w:t>
      </w:r>
      <w:r w:rsidR="00F177C1">
        <w:t>is</w:t>
      </w:r>
      <w:r w:rsidR="005F73E0">
        <w:t xml:space="preserve"> uncontested </w:t>
      </w:r>
      <w:r w:rsidR="00F177C1">
        <w:t>and</w:t>
      </w:r>
      <w:r w:rsidR="0035159D" w:rsidRPr="00322E40">
        <w:t xml:space="preserve"> </w:t>
      </w:r>
      <w:r w:rsidR="0035159D">
        <w:t>(i) </w:t>
      </w:r>
      <w:r w:rsidR="0035159D" w:rsidRPr="00322E40">
        <w:t>decreases net operating income for electric operations by $145,490 and (ii) increases rate base for electric operations by $2,842,787. (</w:t>
      </w:r>
      <w:r w:rsidR="0035159D" w:rsidRPr="00322E40">
        <w:rPr>
          <w:i/>
        </w:rPr>
        <w:t>See</w:t>
      </w:r>
      <w:r w:rsidR="00F177C1">
        <w:rPr>
          <w:i/>
        </w:rPr>
        <w:t>, e.g.,</w:t>
      </w:r>
      <w:r w:rsidR="0035159D" w:rsidRPr="00322E40">
        <w:t> </w:t>
      </w:r>
      <w:proofErr w:type="spellStart"/>
      <w:r w:rsidR="0035159D" w:rsidRPr="00322E40">
        <w:t>Cheesman</w:t>
      </w:r>
      <w:proofErr w:type="spellEnd"/>
      <w:r w:rsidR="0035159D" w:rsidRPr="00322E40">
        <w:t xml:space="preserve">, </w:t>
      </w:r>
      <w:proofErr w:type="spellStart"/>
      <w:r w:rsidR="0035159D" w:rsidRPr="00322E40">
        <w:t>Exh</w:t>
      </w:r>
      <w:proofErr w:type="spellEnd"/>
      <w:r w:rsidR="0035159D" w:rsidRPr="00322E40">
        <w:t xml:space="preserve">. MCC-2r at </w:t>
      </w:r>
      <w:r w:rsidR="006819AE" w:rsidRPr="00322E40">
        <w:t>5</w:t>
      </w:r>
      <w:r w:rsidR="0035159D" w:rsidRPr="00322E40">
        <w:t>.)</w:t>
      </w:r>
    </w:p>
    <w:p w:rsidR="00C21964" w:rsidRPr="006819AE" w:rsidRDefault="00C21964" w:rsidP="00C21964">
      <w:pPr>
        <w:pStyle w:val="Heading4"/>
        <w:rPr>
          <w:rFonts w:eastAsia="Times New Roman"/>
        </w:rPr>
      </w:pPr>
      <w:r w:rsidRPr="006819AE">
        <w:rPr>
          <w:rFonts w:eastAsia="Times New Roman"/>
        </w:rPr>
        <w:t>h.</w:t>
      </w:r>
      <w:r w:rsidRPr="006819AE">
        <w:rPr>
          <w:rFonts w:eastAsia="Times New Roman"/>
        </w:rPr>
        <w:tab/>
      </w:r>
      <w:r w:rsidRPr="006819AE">
        <w:t>Adjustment No. </w:t>
      </w:r>
      <w:r w:rsidR="006819AE" w:rsidRPr="006819AE">
        <w:t>14</w:t>
      </w:r>
      <w:r w:rsidR="00DB2E85" w:rsidRPr="006819AE">
        <w:t>.</w:t>
      </w:r>
      <w:r w:rsidRPr="006819AE">
        <w:t>08 – </w:t>
      </w:r>
      <w:r w:rsidRPr="006819AE">
        <w:rPr>
          <w:rFonts w:eastAsia="Times New Roman"/>
        </w:rPr>
        <w:t>Energy Imbalance Market</w:t>
      </w:r>
    </w:p>
    <w:p w:rsidR="006819AE" w:rsidRPr="00322E40" w:rsidRDefault="006819AE" w:rsidP="00121EC6">
      <w:pPr>
        <w:pStyle w:val="ListParagraph"/>
      </w:pPr>
      <w:r w:rsidRPr="00322E40">
        <w:t xml:space="preserve">The Settling Parties agree not to make </w:t>
      </w:r>
      <w:r w:rsidRPr="006819AE">
        <w:t>Adjustment No. 14.08 – </w:t>
      </w:r>
      <w:r w:rsidRPr="00322E40">
        <w:t>Energy Imbalance Market</w:t>
      </w:r>
      <w:r>
        <w:t xml:space="preserve"> </w:t>
      </w:r>
      <w:r w:rsidRPr="006819AE">
        <w:t>proposed by PSE</w:t>
      </w:r>
      <w:r w:rsidRPr="00582DCE">
        <w:t>.</w:t>
      </w:r>
      <w:r>
        <w:t xml:space="preserve"> Accordingly, </w:t>
      </w:r>
      <w:r w:rsidRPr="006819AE">
        <w:t>Adjustment No. 14.08 – </w:t>
      </w:r>
      <w:r w:rsidRPr="00322E40">
        <w:t>Energy Imbalance Market</w:t>
      </w:r>
      <w:r>
        <w:t xml:space="preserve"> </w:t>
      </w:r>
      <w:r w:rsidRPr="00322E40">
        <w:t>has no effect on either net operating income or rate base for electric operations.</w:t>
      </w:r>
    </w:p>
    <w:p w:rsidR="00C21964" w:rsidRDefault="00C21964" w:rsidP="00C21964">
      <w:pPr>
        <w:pStyle w:val="Heading4"/>
        <w:rPr>
          <w:rFonts w:eastAsia="Times New Roman"/>
        </w:rPr>
      </w:pPr>
      <w:r>
        <w:rPr>
          <w:rFonts w:eastAsia="Times New Roman"/>
        </w:rPr>
        <w:t>i.</w:t>
      </w:r>
      <w:r>
        <w:rPr>
          <w:rFonts w:eastAsia="Times New Roman"/>
        </w:rPr>
        <w:tab/>
      </w:r>
      <w:r w:rsidRPr="007A518C">
        <w:t>Adjustment No.</w:t>
      </w:r>
      <w:r>
        <w:t> </w:t>
      </w:r>
      <w:r w:rsidR="0035159D">
        <w:t>14</w:t>
      </w:r>
      <w:r w:rsidR="00DB2E85" w:rsidRPr="007A518C">
        <w:t>.</w:t>
      </w:r>
      <w:r>
        <w:t>09 – </w:t>
      </w:r>
      <w:r w:rsidRPr="00083A53">
        <w:rPr>
          <w:rFonts w:eastAsia="Times New Roman"/>
        </w:rPr>
        <w:t>Goldendale Capacity Upgrade</w:t>
      </w:r>
    </w:p>
    <w:p w:rsidR="0035159D" w:rsidRPr="00322E40" w:rsidRDefault="00566D6E" w:rsidP="00121EC6">
      <w:pPr>
        <w:pStyle w:val="ListParagraph"/>
      </w:pPr>
      <w:r w:rsidRPr="00322E40">
        <w:t xml:space="preserve">Adjustment </w:t>
      </w:r>
      <w:r w:rsidR="0035159D" w:rsidRPr="007A518C">
        <w:t>No.</w:t>
      </w:r>
      <w:r w:rsidR="0035159D">
        <w:t> </w:t>
      </w:r>
      <w:r w:rsidR="008E3D68">
        <w:t>14</w:t>
      </w:r>
      <w:r w:rsidR="008E3D68" w:rsidRPr="007A518C">
        <w:t>.</w:t>
      </w:r>
      <w:r w:rsidR="008E3D68">
        <w:t>09 – </w:t>
      </w:r>
      <w:r w:rsidR="008E3D68" w:rsidRPr="00322E40">
        <w:t xml:space="preserve">Goldendale Capacity Upgrade </w:t>
      </w:r>
      <w:r w:rsidR="00F177C1">
        <w:t>is</w:t>
      </w:r>
      <w:r w:rsidR="005F73E0">
        <w:t xml:space="preserve"> uncontested </w:t>
      </w:r>
      <w:r w:rsidR="00F177C1">
        <w:t>and</w:t>
      </w:r>
      <w:r w:rsidR="0035159D" w:rsidRPr="00322E40">
        <w:t xml:space="preserve"> </w:t>
      </w:r>
      <w:r w:rsidR="0035159D">
        <w:t>(i) </w:t>
      </w:r>
      <w:r w:rsidR="008E3D68" w:rsidRPr="00322E40">
        <w:t>in</w:t>
      </w:r>
      <w:r w:rsidR="0035159D" w:rsidRPr="00322E40">
        <w:t>creases net operating income for electric operations by $</w:t>
      </w:r>
      <w:r w:rsidR="008E3D68" w:rsidRPr="00322E40">
        <w:t>2</w:t>
      </w:r>
      <w:r w:rsidR="0035159D" w:rsidRPr="00322E40">
        <w:t>,</w:t>
      </w:r>
      <w:r w:rsidR="008E3D68" w:rsidRPr="00322E40">
        <w:t xml:space="preserve">156 </w:t>
      </w:r>
      <w:r w:rsidR="0035159D" w:rsidRPr="00322E40">
        <w:t>and (ii) increases rate base for electric operations by $</w:t>
      </w:r>
      <w:r w:rsidR="008E3D68" w:rsidRPr="00322E40">
        <w:t>18</w:t>
      </w:r>
      <w:r w:rsidR="0035159D" w:rsidRPr="00322E40">
        <w:t>,</w:t>
      </w:r>
      <w:r w:rsidR="008E3D68" w:rsidRPr="00322E40">
        <w:t>140</w:t>
      </w:r>
      <w:r w:rsidR="0035159D" w:rsidRPr="00322E40">
        <w:t>,</w:t>
      </w:r>
      <w:r w:rsidR="008E3D68" w:rsidRPr="00322E40">
        <w:t>954</w:t>
      </w:r>
      <w:r w:rsidR="0035159D" w:rsidRPr="00322E40">
        <w:t>. (</w:t>
      </w:r>
      <w:r w:rsidR="0035159D" w:rsidRPr="00322E40">
        <w:rPr>
          <w:i/>
        </w:rPr>
        <w:t>See</w:t>
      </w:r>
      <w:r w:rsidR="00F177C1">
        <w:rPr>
          <w:i/>
        </w:rPr>
        <w:t>, e.g.,</w:t>
      </w:r>
      <w:r w:rsidR="0035159D" w:rsidRPr="00322E40">
        <w:t> </w:t>
      </w:r>
      <w:proofErr w:type="spellStart"/>
      <w:r w:rsidR="0035159D" w:rsidRPr="00322E40">
        <w:t>Cheesman</w:t>
      </w:r>
      <w:proofErr w:type="spellEnd"/>
      <w:r w:rsidR="0035159D" w:rsidRPr="00322E40">
        <w:t xml:space="preserve">, </w:t>
      </w:r>
      <w:proofErr w:type="spellStart"/>
      <w:r w:rsidR="0035159D" w:rsidRPr="00322E40">
        <w:t>Exh</w:t>
      </w:r>
      <w:proofErr w:type="spellEnd"/>
      <w:r w:rsidR="0035159D" w:rsidRPr="00322E40">
        <w:t xml:space="preserve">. MCC-2r at </w:t>
      </w:r>
      <w:r w:rsidR="00D8148E">
        <w:t>6</w:t>
      </w:r>
      <w:r w:rsidR="0035159D" w:rsidRPr="00322E40">
        <w:t>.)</w:t>
      </w:r>
    </w:p>
    <w:p w:rsidR="00C21964" w:rsidRDefault="00C21964" w:rsidP="00C21964">
      <w:pPr>
        <w:pStyle w:val="Heading4"/>
        <w:rPr>
          <w:rFonts w:eastAsia="Times New Roman"/>
        </w:rPr>
      </w:pPr>
      <w:r>
        <w:rPr>
          <w:rFonts w:eastAsia="Times New Roman"/>
        </w:rPr>
        <w:lastRenderedPageBreak/>
        <w:t>j.</w:t>
      </w:r>
      <w:r>
        <w:rPr>
          <w:rFonts w:eastAsia="Times New Roman"/>
        </w:rPr>
        <w:tab/>
      </w:r>
      <w:r w:rsidRPr="007A518C">
        <w:t>Adjustment No.</w:t>
      </w:r>
      <w:r>
        <w:t> </w:t>
      </w:r>
      <w:r w:rsidR="008E3D68">
        <w:t>14</w:t>
      </w:r>
      <w:r w:rsidR="00DB2E85" w:rsidRPr="007A518C">
        <w:t>.</w:t>
      </w:r>
      <w:r>
        <w:t>10 – </w:t>
      </w:r>
      <w:r w:rsidRPr="00083A53">
        <w:rPr>
          <w:rFonts w:eastAsia="Times New Roman"/>
        </w:rPr>
        <w:t>Mint Farm Capacity Upgrade</w:t>
      </w:r>
    </w:p>
    <w:p w:rsidR="000930B3" w:rsidRPr="00322E40" w:rsidRDefault="00566D6E" w:rsidP="00121EC6">
      <w:pPr>
        <w:pStyle w:val="ListParagraph"/>
      </w:pPr>
      <w:r w:rsidRPr="00322E40">
        <w:t xml:space="preserve">Adjustment </w:t>
      </w:r>
      <w:r w:rsidR="000930B3" w:rsidRPr="007A518C">
        <w:t>No.</w:t>
      </w:r>
      <w:r w:rsidR="000930B3">
        <w:t> </w:t>
      </w:r>
      <w:r w:rsidR="008E3D68">
        <w:t>14</w:t>
      </w:r>
      <w:r w:rsidR="008E3D68" w:rsidRPr="007A518C">
        <w:t>.</w:t>
      </w:r>
      <w:r w:rsidR="008E3D68">
        <w:t>10 – </w:t>
      </w:r>
      <w:r w:rsidR="008E3D68" w:rsidRPr="00322E40">
        <w:t xml:space="preserve">Mint Farm Capacity Upgrade </w:t>
      </w:r>
      <w:r w:rsidR="00F177C1">
        <w:t>is</w:t>
      </w:r>
      <w:r w:rsidR="005F73E0">
        <w:t xml:space="preserve"> uncontested </w:t>
      </w:r>
      <w:r w:rsidR="00F177C1">
        <w:t>and</w:t>
      </w:r>
      <w:r w:rsidR="000930B3" w:rsidRPr="00322E40">
        <w:t xml:space="preserve"> increases rate base for electric operations by $</w:t>
      </w:r>
      <w:r w:rsidR="008E3D68" w:rsidRPr="00322E40">
        <w:t>19</w:t>
      </w:r>
      <w:r w:rsidR="000930B3" w:rsidRPr="00322E40">
        <w:t>,</w:t>
      </w:r>
      <w:r w:rsidR="008E3D68" w:rsidRPr="00322E40">
        <w:t>004</w:t>
      </w:r>
      <w:r w:rsidR="000930B3" w:rsidRPr="00322E40">
        <w:t>,</w:t>
      </w:r>
      <w:r w:rsidR="008E3D68" w:rsidRPr="00322E40">
        <w:t>590</w:t>
      </w:r>
      <w:r w:rsidR="000930B3" w:rsidRPr="00322E40">
        <w:t>. (</w:t>
      </w:r>
      <w:r w:rsidR="000930B3" w:rsidRPr="00322E40">
        <w:rPr>
          <w:i/>
        </w:rPr>
        <w:t>See</w:t>
      </w:r>
      <w:r w:rsidR="00F177C1">
        <w:rPr>
          <w:i/>
        </w:rPr>
        <w:t>, e.g.,</w:t>
      </w:r>
      <w:r w:rsidR="000930B3" w:rsidRPr="00322E40">
        <w:t> </w:t>
      </w:r>
      <w:proofErr w:type="spellStart"/>
      <w:r w:rsidR="000930B3" w:rsidRPr="00322E40">
        <w:t>Cheesman</w:t>
      </w:r>
      <w:proofErr w:type="spellEnd"/>
      <w:r w:rsidR="000930B3" w:rsidRPr="00322E40">
        <w:t xml:space="preserve">, </w:t>
      </w:r>
      <w:proofErr w:type="spellStart"/>
      <w:r w:rsidR="000930B3" w:rsidRPr="00322E40">
        <w:t>Exh</w:t>
      </w:r>
      <w:proofErr w:type="spellEnd"/>
      <w:r w:rsidR="000930B3" w:rsidRPr="00322E40">
        <w:t xml:space="preserve">. MCC-2r at </w:t>
      </w:r>
      <w:r w:rsidR="008E3D68" w:rsidRPr="00322E40">
        <w:t>6</w:t>
      </w:r>
      <w:r w:rsidR="000930B3" w:rsidRPr="00322E40">
        <w:t>.)</w:t>
      </w:r>
    </w:p>
    <w:p w:rsidR="00C21964" w:rsidRPr="00A31457" w:rsidRDefault="00C21964" w:rsidP="00C21964">
      <w:pPr>
        <w:pStyle w:val="Heading4"/>
        <w:rPr>
          <w:rFonts w:eastAsia="Times New Roman"/>
        </w:rPr>
      </w:pPr>
      <w:r w:rsidRPr="00A31457">
        <w:rPr>
          <w:rFonts w:eastAsia="Times New Roman"/>
        </w:rPr>
        <w:t>k.</w:t>
      </w:r>
      <w:r w:rsidRPr="00A31457">
        <w:rPr>
          <w:rFonts w:eastAsia="Times New Roman"/>
        </w:rPr>
        <w:tab/>
      </w:r>
      <w:r w:rsidRPr="00A31457">
        <w:t>Adjustment No. </w:t>
      </w:r>
      <w:r w:rsidR="008E3D68" w:rsidRPr="00A31457">
        <w:t>14</w:t>
      </w:r>
      <w:r w:rsidR="00DB2E85" w:rsidRPr="00A31457">
        <w:t>.</w:t>
      </w:r>
      <w:r w:rsidRPr="00A31457">
        <w:t>11 – </w:t>
      </w:r>
      <w:r w:rsidRPr="00A31457">
        <w:rPr>
          <w:rFonts w:eastAsia="Times New Roman"/>
        </w:rPr>
        <w:t>White River</w:t>
      </w:r>
    </w:p>
    <w:p w:rsidR="008E3D68" w:rsidRPr="00322E40" w:rsidRDefault="008E3D68" w:rsidP="00121EC6">
      <w:pPr>
        <w:pStyle w:val="ListParagraph"/>
      </w:pPr>
      <w:r w:rsidRPr="00A31457">
        <w:t xml:space="preserve">The Settling Parties agree to use </w:t>
      </w:r>
      <w:r w:rsidRPr="00322E40">
        <w:t xml:space="preserve">Adjustment </w:t>
      </w:r>
      <w:r w:rsidRPr="00A31457">
        <w:t>No. 14.11 – </w:t>
      </w:r>
      <w:r w:rsidRPr="00322E40">
        <w:t>White River proposed by PSE, which (i) decreases net operating income for electric operations by $3,288,310 and (ii) decreases rate base for electric operations by $4,108,724</w:t>
      </w:r>
      <w:r w:rsidR="00A31457" w:rsidRPr="00322E40">
        <w:t>. (</w:t>
      </w:r>
      <w:r w:rsidR="00A31457" w:rsidRPr="00322E40">
        <w:rPr>
          <w:i/>
        </w:rPr>
        <w:t>See</w:t>
      </w:r>
      <w:r w:rsidR="00A31457" w:rsidRPr="00322E40">
        <w:t xml:space="preserve"> Barnard, </w:t>
      </w:r>
      <w:proofErr w:type="spellStart"/>
      <w:r w:rsidR="00A31457" w:rsidRPr="00322E40">
        <w:t>Exh</w:t>
      </w:r>
      <w:proofErr w:type="spellEnd"/>
      <w:r w:rsidR="00A31457" w:rsidRPr="00322E40">
        <w:t xml:space="preserve">. KJB-19 at 6 (labeled therein as “Adjustment </w:t>
      </w:r>
      <w:r w:rsidR="00A31457" w:rsidRPr="00A31457">
        <w:t>No. 21.11 – </w:t>
      </w:r>
      <w:r w:rsidR="00A31457" w:rsidRPr="00322E40">
        <w:t>White River</w:t>
      </w:r>
      <w:r w:rsidR="00A31457" w:rsidRPr="00A31457">
        <w:t>”)</w:t>
      </w:r>
      <w:r w:rsidR="00A31457" w:rsidRPr="00322E40">
        <w:t>.)</w:t>
      </w:r>
    </w:p>
    <w:p w:rsidR="00C21964" w:rsidRPr="00A31457" w:rsidRDefault="00C21964" w:rsidP="00C21964">
      <w:pPr>
        <w:pStyle w:val="Heading4"/>
        <w:rPr>
          <w:rFonts w:eastAsia="Times New Roman"/>
        </w:rPr>
      </w:pPr>
      <w:r w:rsidRPr="00A31457">
        <w:rPr>
          <w:rFonts w:eastAsia="Times New Roman"/>
        </w:rPr>
        <w:t>l.</w:t>
      </w:r>
      <w:r w:rsidRPr="00A31457">
        <w:rPr>
          <w:rFonts w:eastAsia="Times New Roman"/>
        </w:rPr>
        <w:tab/>
      </w:r>
      <w:r w:rsidRPr="00A31457">
        <w:t>Adjustment No. </w:t>
      </w:r>
      <w:r w:rsidR="008E3D68" w:rsidRPr="00A31457">
        <w:t>14</w:t>
      </w:r>
      <w:r w:rsidR="00DB2E85" w:rsidRPr="00A31457">
        <w:t>.</w:t>
      </w:r>
      <w:r w:rsidRPr="00A31457">
        <w:t>12 – </w:t>
      </w:r>
      <w:r w:rsidR="008E3D68" w:rsidRPr="00A31457">
        <w:t xml:space="preserve">Reclass of </w:t>
      </w:r>
      <w:r w:rsidRPr="00A31457">
        <w:rPr>
          <w:rFonts w:eastAsia="Times New Roman"/>
        </w:rPr>
        <w:t xml:space="preserve">Hydro Treasury Grants </w:t>
      </w:r>
    </w:p>
    <w:p w:rsidR="008E3D68" w:rsidRPr="00322E40" w:rsidRDefault="008E3D68" w:rsidP="00121EC6">
      <w:pPr>
        <w:pStyle w:val="ListParagraph"/>
      </w:pPr>
      <w:r w:rsidRPr="00A31457">
        <w:t xml:space="preserve">The Settling Parties agree to use </w:t>
      </w:r>
      <w:r w:rsidRPr="00322E40">
        <w:t xml:space="preserve">Adjustment </w:t>
      </w:r>
      <w:r w:rsidRPr="00A31457">
        <w:t>No. </w:t>
      </w:r>
      <w:r w:rsidR="00B10CC8" w:rsidRPr="00A31457">
        <w:t xml:space="preserve">14.12 – Reclass of </w:t>
      </w:r>
      <w:r w:rsidR="00B10CC8" w:rsidRPr="00322E40">
        <w:t xml:space="preserve">Hydro Treasury Grants </w:t>
      </w:r>
      <w:r w:rsidRPr="00322E40">
        <w:t>proposed by PSE, which (i) decreases net operating income for electric operations by $</w:t>
      </w:r>
      <w:r w:rsidR="00B10CC8" w:rsidRPr="00322E40">
        <w:t>2,131,857</w:t>
      </w:r>
      <w:r w:rsidRPr="00322E40">
        <w:t xml:space="preserve"> and (ii) </w:t>
      </w:r>
      <w:r w:rsidR="00B10CC8" w:rsidRPr="00322E40">
        <w:t>in</w:t>
      </w:r>
      <w:r w:rsidRPr="00322E40">
        <w:t>creases rate base for electric operations by $</w:t>
      </w:r>
      <w:r w:rsidR="00B10CC8" w:rsidRPr="00322E40">
        <w:t>5,739,615</w:t>
      </w:r>
      <w:r w:rsidR="00A31457" w:rsidRPr="00322E40">
        <w:t>. (</w:t>
      </w:r>
      <w:r w:rsidR="00A31457" w:rsidRPr="00322E40">
        <w:rPr>
          <w:i/>
        </w:rPr>
        <w:t>See</w:t>
      </w:r>
      <w:r w:rsidR="00A31457" w:rsidRPr="00322E40">
        <w:t xml:space="preserve"> Barnard, </w:t>
      </w:r>
      <w:proofErr w:type="spellStart"/>
      <w:r w:rsidR="00A31457" w:rsidRPr="00322E40">
        <w:t>Exh</w:t>
      </w:r>
      <w:proofErr w:type="spellEnd"/>
      <w:r w:rsidR="00A31457" w:rsidRPr="00322E40">
        <w:t xml:space="preserve">. KJB-19 at 6 (labeled therein as “Adjustment </w:t>
      </w:r>
      <w:r w:rsidR="00A31457" w:rsidRPr="00A31457">
        <w:t>No. 21.12 – </w:t>
      </w:r>
      <w:r w:rsidR="00A31457" w:rsidRPr="00322E40">
        <w:t>Reclass of Hydro Treasury Grants</w:t>
      </w:r>
      <w:r w:rsidR="00A31457" w:rsidRPr="00A31457">
        <w:t>”)</w:t>
      </w:r>
      <w:r w:rsidR="00A31457" w:rsidRPr="00322E40">
        <w:t>.)</w:t>
      </w:r>
    </w:p>
    <w:p w:rsidR="00B10CC8" w:rsidRPr="0044055C" w:rsidRDefault="00B10CC8" w:rsidP="00B10CC8">
      <w:pPr>
        <w:pStyle w:val="Heading4"/>
        <w:rPr>
          <w:rFonts w:eastAsia="Times New Roman"/>
        </w:rPr>
      </w:pPr>
      <w:r w:rsidRPr="0044055C">
        <w:rPr>
          <w:rFonts w:eastAsia="Times New Roman"/>
        </w:rPr>
        <w:t>m.</w:t>
      </w:r>
      <w:r w:rsidRPr="0044055C">
        <w:rPr>
          <w:rFonts w:eastAsia="Times New Roman"/>
        </w:rPr>
        <w:tab/>
      </w:r>
      <w:r w:rsidRPr="0044055C">
        <w:t>Adjustment No. 14.13 – </w:t>
      </w:r>
      <w:r w:rsidRPr="0044055C">
        <w:rPr>
          <w:rFonts w:eastAsia="Times New Roman"/>
        </w:rPr>
        <w:t>Production Adjustment</w:t>
      </w:r>
    </w:p>
    <w:p w:rsidR="00B10CC8" w:rsidRPr="00322E40" w:rsidRDefault="00B10CC8" w:rsidP="006114AB">
      <w:pPr>
        <w:pStyle w:val="ListParagraph"/>
      </w:pPr>
      <w:r w:rsidRPr="0044055C">
        <w:t xml:space="preserve">The Settling Parties agree </w:t>
      </w:r>
      <w:r w:rsidR="00DA262F">
        <w:t xml:space="preserve">to use </w:t>
      </w:r>
      <w:r w:rsidRPr="0044055C">
        <w:t>Adjustment No. 14.13 – </w:t>
      </w:r>
      <w:r w:rsidRPr="00322E40">
        <w:t xml:space="preserve">Production Adjustment </w:t>
      </w:r>
      <w:r w:rsidR="00DA262F">
        <w:t xml:space="preserve">proposed by PSE, which uses </w:t>
      </w:r>
      <w:r w:rsidR="000301FE">
        <w:t xml:space="preserve">the variable production factor </w:t>
      </w:r>
      <w:r w:rsidR="004F0B90">
        <w:t>of 3.839</w:t>
      </w:r>
      <w:r w:rsidR="00DA262F">
        <w:t> percent</w:t>
      </w:r>
      <w:r w:rsidR="004F0B90">
        <w:t>.</w:t>
      </w:r>
      <w:r w:rsidR="00012A5D">
        <w:t xml:space="preserve"> </w:t>
      </w:r>
      <w:r w:rsidR="004F0B90">
        <w:t>The Settling Parties also agree that there should be no Fixed Production Factor used in this adjustment as a result of the agreements made in the decoupling section below.</w:t>
      </w:r>
      <w:r w:rsidR="00012A5D">
        <w:t xml:space="preserve"> </w:t>
      </w:r>
      <w:r w:rsidR="00024A70">
        <w:t>The</w:t>
      </w:r>
      <w:r w:rsidR="004F0B90">
        <w:t xml:space="preserve"> </w:t>
      </w:r>
      <w:r w:rsidR="00DA262F">
        <w:t xml:space="preserve">Settling Parties agree that </w:t>
      </w:r>
      <w:r w:rsidR="00DA262F" w:rsidRPr="0044055C">
        <w:t>Adjustment No. 14.13 – </w:t>
      </w:r>
      <w:r w:rsidR="00DA262F" w:rsidRPr="00322E40">
        <w:t>Production Adjustment</w:t>
      </w:r>
      <w:r w:rsidR="006114AB">
        <w:t xml:space="preserve"> </w:t>
      </w:r>
      <w:r w:rsidRPr="00322E40">
        <w:t>increases net operating income for electric operations by $</w:t>
      </w:r>
      <w:r w:rsidR="001C41BD" w:rsidRPr="009E0516">
        <w:t>32,769</w:t>
      </w:r>
      <w:r w:rsidR="006114AB">
        <w:t>, the calculation of which is provided as Exhibit </w:t>
      </w:r>
      <w:r w:rsidR="00F10BBC">
        <w:t>G</w:t>
      </w:r>
      <w:r w:rsidR="006114AB">
        <w:t xml:space="preserve"> to this Settlement</w:t>
      </w:r>
      <w:r w:rsidRPr="00322E40">
        <w:t>.</w:t>
      </w:r>
    </w:p>
    <w:p w:rsidR="0056272B" w:rsidRDefault="0056272B" w:rsidP="0056272B">
      <w:pPr>
        <w:pStyle w:val="Heading3"/>
      </w:pPr>
      <w:r>
        <w:lastRenderedPageBreak/>
        <w:t>4</w:t>
      </w:r>
      <w:r w:rsidRPr="009F7F24">
        <w:t>.</w:t>
      </w:r>
      <w:r>
        <w:tab/>
        <w:t>Gas-Only Adjustment</w:t>
      </w:r>
      <w:r w:rsidRPr="007F4885">
        <w:t> – </w:t>
      </w:r>
      <w:r>
        <w:t>Adjustment 7.01</w:t>
      </w:r>
      <w:r w:rsidRPr="007F4885">
        <w:t> – </w:t>
      </w:r>
      <w:r>
        <w:t>Cost Recovery Mechanism</w:t>
      </w:r>
    </w:p>
    <w:p w:rsidR="0056272B" w:rsidRDefault="0056272B" w:rsidP="0056272B">
      <w:pPr>
        <w:pStyle w:val="ListParagraph"/>
      </w:pPr>
      <w:r w:rsidRPr="00444D94">
        <w:t>Adjustment No. </w:t>
      </w:r>
      <w:r>
        <w:t>7</w:t>
      </w:r>
      <w:r w:rsidRPr="00444D94">
        <w:t>.</w:t>
      </w:r>
      <w:r>
        <w:t>01</w:t>
      </w:r>
      <w:r w:rsidRPr="00444D94">
        <w:t> – </w:t>
      </w:r>
      <w:r>
        <w:t>Cost Recovery Mechanism is uncontested and (i) de</w:t>
      </w:r>
      <w:r w:rsidRPr="00322E40">
        <w:t xml:space="preserve">creases net operating income for </w:t>
      </w:r>
      <w:r>
        <w:t xml:space="preserve">natural gas </w:t>
      </w:r>
      <w:r w:rsidRPr="00322E40">
        <w:t>operations by $</w:t>
      </w:r>
      <w:r>
        <w:t>4,003</w:t>
      </w:r>
      <w:r w:rsidRPr="00322E40">
        <w:t>,</w:t>
      </w:r>
      <w:r>
        <w:t>724 and (ii) increases rate base for natural gas operations by $19,011,708</w:t>
      </w:r>
      <w:r w:rsidRPr="00322E40">
        <w:t>. (</w:t>
      </w:r>
      <w:r w:rsidRPr="00EA34EA">
        <w:rPr>
          <w:i/>
        </w:rPr>
        <w:t>See</w:t>
      </w:r>
      <w:r>
        <w:rPr>
          <w:i/>
        </w:rPr>
        <w:t>, e.g.,</w:t>
      </w:r>
      <w:r w:rsidRPr="00322E40">
        <w:t> </w:t>
      </w:r>
      <w:proofErr w:type="spellStart"/>
      <w:r w:rsidRPr="00322E40">
        <w:t>Cheesman</w:t>
      </w:r>
      <w:proofErr w:type="spellEnd"/>
      <w:r w:rsidRPr="00322E40">
        <w:t xml:space="preserve">, </w:t>
      </w:r>
      <w:proofErr w:type="spellStart"/>
      <w:r w:rsidRPr="00322E40">
        <w:t>Exh</w:t>
      </w:r>
      <w:proofErr w:type="spellEnd"/>
      <w:r w:rsidRPr="00322E40">
        <w:t>. MCC-</w:t>
      </w:r>
      <w:r>
        <w:t>7</w:t>
      </w:r>
      <w:r w:rsidRPr="00322E40">
        <w:t>r at 4.)</w:t>
      </w:r>
    </w:p>
    <w:p w:rsidR="005B1666" w:rsidRDefault="005B1666" w:rsidP="005B1666">
      <w:pPr>
        <w:pStyle w:val="Heading3"/>
      </w:pPr>
      <w:r>
        <w:t>5</w:t>
      </w:r>
      <w:r w:rsidRPr="009F7F24">
        <w:t>.</w:t>
      </w:r>
      <w:r>
        <w:tab/>
      </w:r>
      <w:proofErr w:type="spellStart"/>
      <w:r>
        <w:t>PCA</w:t>
      </w:r>
      <w:proofErr w:type="spellEnd"/>
      <w:r>
        <w:t xml:space="preserve"> Baseline Rate </w:t>
      </w:r>
      <w:r w:rsidRPr="007F4885">
        <w:t>– </w:t>
      </w:r>
      <w:r>
        <w:t xml:space="preserve">Previously </w:t>
      </w:r>
      <w:proofErr w:type="spellStart"/>
      <w:r>
        <w:t>Exh</w:t>
      </w:r>
      <w:proofErr w:type="spellEnd"/>
      <w:r>
        <w:t xml:space="preserve">. KJB-22 </w:t>
      </w:r>
    </w:p>
    <w:p w:rsidR="005B1666" w:rsidRDefault="005B1666" w:rsidP="005B1666">
      <w:pPr>
        <w:pStyle w:val="ListParagraph"/>
      </w:pPr>
      <w:r>
        <w:t xml:space="preserve">This Settlement results in a </w:t>
      </w:r>
      <w:proofErr w:type="spellStart"/>
      <w:r w:rsidRPr="005B1666">
        <w:t>PCA</w:t>
      </w:r>
      <w:proofErr w:type="spellEnd"/>
      <w:r w:rsidRPr="005B1666">
        <w:t xml:space="preserve"> baseline rate of $32.895 per MWh </w:t>
      </w:r>
      <w:r>
        <w:t xml:space="preserve">for PSE. Please see page 1 of </w:t>
      </w:r>
      <w:r w:rsidRPr="005B1666">
        <w:t>Exhibit</w:t>
      </w:r>
      <w:r>
        <w:t> </w:t>
      </w:r>
      <w:r w:rsidRPr="005B1666">
        <w:t xml:space="preserve">H to this Settlement </w:t>
      </w:r>
      <w:r>
        <w:t xml:space="preserve">for the calculation of this </w:t>
      </w:r>
      <w:proofErr w:type="spellStart"/>
      <w:r>
        <w:t>PCA</w:t>
      </w:r>
      <w:proofErr w:type="spellEnd"/>
      <w:r>
        <w:t xml:space="preserve"> baseline rate. PSE shall use this </w:t>
      </w:r>
      <w:proofErr w:type="spellStart"/>
      <w:r w:rsidRPr="005B1666">
        <w:t>PCA</w:t>
      </w:r>
      <w:proofErr w:type="spellEnd"/>
      <w:r w:rsidRPr="005B1666">
        <w:t xml:space="preserve"> baseline rate of $32.895 per MWh for purposes of calculating the imbalance for sharing in PSE’s </w:t>
      </w:r>
      <w:proofErr w:type="spellStart"/>
      <w:r w:rsidRPr="005B1666">
        <w:t>PCA</w:t>
      </w:r>
      <w:proofErr w:type="spellEnd"/>
      <w:r w:rsidRPr="005B1666">
        <w:t xml:space="preserve"> mechanism beginning with the date rates become effective in </w:t>
      </w:r>
      <w:r>
        <w:t xml:space="preserve">this proceeding. Please also see </w:t>
      </w:r>
      <w:r w:rsidRPr="005B1666">
        <w:t>Exhibit</w:t>
      </w:r>
      <w:r>
        <w:t> </w:t>
      </w:r>
      <w:r w:rsidRPr="005B1666">
        <w:t xml:space="preserve">H </w:t>
      </w:r>
      <w:r>
        <w:t>to this Settlement for (i) </w:t>
      </w:r>
      <w:r w:rsidRPr="005B1666">
        <w:t xml:space="preserve">a calculation of the </w:t>
      </w:r>
      <w:proofErr w:type="spellStart"/>
      <w:r w:rsidRPr="005B1666">
        <w:t>PCA</w:t>
      </w:r>
      <w:proofErr w:type="spellEnd"/>
      <w:r>
        <w:t> </w:t>
      </w:r>
      <w:r w:rsidRPr="005B1666">
        <w:t xml:space="preserve">baseline rate that </w:t>
      </w:r>
      <w:r>
        <w:t xml:space="preserve">will </w:t>
      </w:r>
      <w:r w:rsidRPr="005B1666">
        <w:t xml:space="preserve">results once Microsoft takes service under a special contract </w:t>
      </w:r>
      <w:r>
        <w:t xml:space="preserve">and (ii) a </w:t>
      </w:r>
      <w:r w:rsidRPr="005B1666">
        <w:t>calculation of the impact on Schedule 95 rates that would occur in a filing to be made once Microsoft takes servi</w:t>
      </w:r>
      <w:r>
        <w:t xml:space="preserve">ce under the special contract. </w:t>
      </w:r>
      <w:r w:rsidRPr="005B1666">
        <w:t>Exhibit</w:t>
      </w:r>
      <w:r>
        <w:t> </w:t>
      </w:r>
      <w:r w:rsidRPr="005B1666">
        <w:t>H</w:t>
      </w:r>
      <w:r>
        <w:t xml:space="preserve"> to this Settlement</w:t>
      </w:r>
      <w:r w:rsidRPr="005B1666">
        <w:t xml:space="preserve"> represents updated information originally discussed in </w:t>
      </w:r>
      <w:r>
        <w:t xml:space="preserve">the Prefiled Supplemental Direct Testimony of Katherine J. Barnard, </w:t>
      </w:r>
      <w:proofErr w:type="spellStart"/>
      <w:r w:rsidRPr="005B1666">
        <w:t>Exh</w:t>
      </w:r>
      <w:proofErr w:type="spellEnd"/>
      <w:r w:rsidRPr="005B1666">
        <w:t>.</w:t>
      </w:r>
      <w:r>
        <w:t> </w:t>
      </w:r>
      <w:r w:rsidRPr="005B1666">
        <w:t>KJB-10T</w:t>
      </w:r>
      <w:r>
        <w:t>,</w:t>
      </w:r>
      <w:r w:rsidRPr="005B1666">
        <w:t xml:space="preserve"> at </w:t>
      </w:r>
      <w:r w:rsidR="00B047A4">
        <w:t>page </w:t>
      </w:r>
      <w:r w:rsidRPr="005B1666">
        <w:t>11</w:t>
      </w:r>
      <w:r w:rsidR="00B047A4">
        <w:t>, line 14, through page 13, line 23.</w:t>
      </w:r>
    </w:p>
    <w:p w:rsidR="00EE2D01" w:rsidRDefault="00EE2D01" w:rsidP="00EE2D01">
      <w:pPr>
        <w:pStyle w:val="Heading2"/>
      </w:pPr>
      <w:r>
        <w:t>C</w:t>
      </w:r>
      <w:r w:rsidRPr="009F7F24">
        <w:t>.</w:t>
      </w:r>
      <w:r>
        <w:tab/>
      </w:r>
      <w:r w:rsidRPr="009F7F24">
        <w:t>Rate Spread and Rate Design</w:t>
      </w:r>
    </w:p>
    <w:p w:rsidR="000554C3" w:rsidRDefault="000554C3" w:rsidP="000554C3">
      <w:pPr>
        <w:pStyle w:val="ListParagraph"/>
      </w:pPr>
      <w:r>
        <w:t xml:space="preserve">The Settling Parties have advocated for a variety of methodologies the Commission might use for resolving cost of service and rate spread issues in this proceeding. </w:t>
      </w:r>
      <w:r w:rsidR="00C342D7">
        <w:t>Except as otherwise set forth in this Settlement, t</w:t>
      </w:r>
      <w:r>
        <w:t>he Settling Parties have not agreed upon a</w:t>
      </w:r>
      <w:r w:rsidR="00C342D7">
        <w:t>ny</w:t>
      </w:r>
      <w:r>
        <w:t xml:space="preserve"> particular methodology, and the </w:t>
      </w:r>
      <w:r w:rsidR="00C342D7">
        <w:t xml:space="preserve">Settlement </w:t>
      </w:r>
      <w:r>
        <w:t>does not at</w:t>
      </w:r>
      <w:r w:rsidR="00C342D7">
        <w:t xml:space="preserve">tempt to resolve those issues. </w:t>
      </w:r>
      <w:r>
        <w:t xml:space="preserve">PSE, </w:t>
      </w:r>
      <w:r w:rsidR="00C342D7">
        <w:t xml:space="preserve">Commission </w:t>
      </w:r>
      <w:r>
        <w:t>Staff</w:t>
      </w:r>
      <w:r w:rsidR="00C342D7">
        <w:t>,</w:t>
      </w:r>
      <w:r>
        <w:t xml:space="preserve"> and other interested parties agree to participate in good faith in the ongoing generic proceeding to address cost of service and rate spread methodologies to be used in future cases.</w:t>
      </w:r>
    </w:p>
    <w:p w:rsidR="000554C3" w:rsidRDefault="000554C3" w:rsidP="000554C3">
      <w:pPr>
        <w:pStyle w:val="Heading3"/>
      </w:pPr>
      <w:r>
        <w:lastRenderedPageBreak/>
        <w:t>1</w:t>
      </w:r>
      <w:r w:rsidRPr="00654D65">
        <w:t>.</w:t>
      </w:r>
      <w:r w:rsidRPr="00654D65">
        <w:tab/>
      </w:r>
      <w:r w:rsidRPr="009F7F24">
        <w:t>Electric Rate Spread and Rate Design</w:t>
      </w:r>
      <w:r>
        <w:t xml:space="preserve"> </w:t>
      </w:r>
    </w:p>
    <w:p w:rsidR="000554C3" w:rsidRPr="00654D65" w:rsidRDefault="000554C3" w:rsidP="000554C3">
      <w:pPr>
        <w:pStyle w:val="Heading4"/>
      </w:pPr>
      <w:r>
        <w:t>a.</w:t>
      </w:r>
      <w:r>
        <w:tab/>
        <w:t>Electric Rate Spread</w:t>
      </w:r>
    </w:p>
    <w:p w:rsidR="00EA14F6" w:rsidRPr="00322E40" w:rsidRDefault="00EA14F6" w:rsidP="00121EC6">
      <w:pPr>
        <w:pStyle w:val="ListParagraph"/>
      </w:pPr>
      <w:r w:rsidRPr="00322E40">
        <w:t>The Settling Parties agree to change the allocation of PSE’s electric revenue deficiency for Schedules 7A, 10, 11, 12, 25, 26, 29, 31, 46, and 49 from 75 percent to 65 percent of the average rate increase.</w:t>
      </w:r>
    </w:p>
    <w:p w:rsidR="00EA14F6" w:rsidRPr="00654D65" w:rsidRDefault="00395BBB" w:rsidP="00395BBB">
      <w:pPr>
        <w:pStyle w:val="Heading4"/>
      </w:pPr>
      <w:r>
        <w:t>b</w:t>
      </w:r>
      <w:r w:rsidR="00EA14F6" w:rsidRPr="00654D65">
        <w:t>.</w:t>
      </w:r>
      <w:r w:rsidR="00EA14F6" w:rsidRPr="00654D65">
        <w:tab/>
      </w:r>
      <w:r>
        <w:t xml:space="preserve">Electric </w:t>
      </w:r>
      <w:r w:rsidR="00EA14F6">
        <w:t>Schedule 25</w:t>
      </w:r>
    </w:p>
    <w:p w:rsidR="00EA14F6" w:rsidRPr="00322E40" w:rsidRDefault="00EA14F6" w:rsidP="00121EC6">
      <w:pPr>
        <w:pStyle w:val="ListParagraph"/>
      </w:pPr>
      <w:r w:rsidRPr="00236F29">
        <w:t xml:space="preserve">The Settling Parties agree with the </w:t>
      </w:r>
      <w:r>
        <w:t xml:space="preserve">Kroger </w:t>
      </w:r>
      <w:r w:rsidRPr="00236F29">
        <w:t xml:space="preserve">proposal </w:t>
      </w:r>
      <w:r w:rsidRPr="00322E40">
        <w:t>to (i) keep the tail-block energy rate of Schedule 25 at its current level, (ii) increase the Schedule 25 basic charge as proposed by PSE, and (iii) raise demand rates (and a portion of the first block energy rates) to recover the remainder of the revenue requi</w:t>
      </w:r>
      <w:r w:rsidR="00C8393B">
        <w:t>rement spread to this schedule.</w:t>
      </w:r>
    </w:p>
    <w:p w:rsidR="00EA14F6" w:rsidRPr="00654D65" w:rsidRDefault="00395BBB" w:rsidP="00395BBB">
      <w:pPr>
        <w:pStyle w:val="Heading4"/>
      </w:pPr>
      <w:r>
        <w:t>c</w:t>
      </w:r>
      <w:r w:rsidRPr="00654D65">
        <w:t>.</w:t>
      </w:r>
      <w:r w:rsidRPr="00654D65">
        <w:tab/>
      </w:r>
      <w:r>
        <w:t xml:space="preserve">Electric </w:t>
      </w:r>
      <w:r w:rsidR="00EA14F6" w:rsidRPr="00EA14F6">
        <w:t>Schedule 40</w:t>
      </w:r>
    </w:p>
    <w:p w:rsidR="00EA14F6" w:rsidRPr="00322E40" w:rsidRDefault="00EA14F6" w:rsidP="00121EC6">
      <w:pPr>
        <w:pStyle w:val="ListParagraph"/>
      </w:pPr>
      <w:r w:rsidRPr="00236F29">
        <w:t xml:space="preserve">The Settling Parties agree with the Commission Staff proposal that </w:t>
      </w:r>
      <w:r w:rsidRPr="00322E40">
        <w:t xml:space="preserve">Schedule 40 should be discontinued over time. </w:t>
      </w:r>
      <w:r w:rsidR="00DA262F">
        <w:t>Only c</w:t>
      </w:r>
      <w:r w:rsidR="00DA262F" w:rsidRPr="00322E40">
        <w:t xml:space="preserve">ustomers on Schedule 40 as of the </w:t>
      </w:r>
      <w:r w:rsidR="00DA262F">
        <w:t xml:space="preserve">Settlement Date shall </w:t>
      </w:r>
      <w:r w:rsidR="00B70548">
        <w:t xml:space="preserve">remain on Schedule 40, and </w:t>
      </w:r>
      <w:r w:rsidRPr="00322E40">
        <w:t xml:space="preserve">Schedule 40 shall be closed to new customers. Customers on Schedule 40 as of the </w:t>
      </w:r>
      <w:r w:rsidR="00B70548">
        <w:t>Settlement Date</w:t>
      </w:r>
      <w:r w:rsidRPr="00322E40">
        <w:t xml:space="preserve"> may remain on Schedule 40 for a period no later than the effective date of the tariffs resulting from PSE’s next general rate proceeding, and PSE will work with such existing Schedule 40 customers to transition to electric service pursuant to one or more other PSE electric rate schedules.</w:t>
      </w:r>
    </w:p>
    <w:p w:rsidR="00EE2D01" w:rsidRPr="00654D65" w:rsidRDefault="00395BBB" w:rsidP="00395BBB">
      <w:pPr>
        <w:pStyle w:val="Heading4"/>
      </w:pPr>
      <w:r>
        <w:t>d</w:t>
      </w:r>
      <w:r w:rsidRPr="00654D65">
        <w:t>.</w:t>
      </w:r>
      <w:r w:rsidRPr="00654D65">
        <w:tab/>
      </w:r>
      <w:r>
        <w:t xml:space="preserve">Electric </w:t>
      </w:r>
      <w:r w:rsidR="00A231AC" w:rsidRPr="00236F29">
        <w:t>Schedules 46 and 49 Demand Charges</w:t>
      </w:r>
    </w:p>
    <w:p w:rsidR="0088640F" w:rsidRPr="00322E40" w:rsidRDefault="0088640F" w:rsidP="00121EC6">
      <w:pPr>
        <w:pStyle w:val="ListParagraph"/>
      </w:pPr>
      <w:r w:rsidRPr="0044055C">
        <w:t xml:space="preserve">The Settling Parties agree </w:t>
      </w:r>
      <w:r w:rsidR="00236F29">
        <w:t xml:space="preserve">to </w:t>
      </w:r>
      <w:r>
        <w:t xml:space="preserve">the increase of </w:t>
      </w:r>
      <w:r w:rsidRPr="00322E40">
        <w:t xml:space="preserve">48 percent to the demand charges for Schedules 46 and 49 proposed by Commission Staff. </w:t>
      </w:r>
    </w:p>
    <w:p w:rsidR="00654D65" w:rsidRPr="00FB241D" w:rsidRDefault="00395BBB" w:rsidP="00395BBB">
      <w:pPr>
        <w:pStyle w:val="Heading4"/>
      </w:pPr>
      <w:r>
        <w:t>e</w:t>
      </w:r>
      <w:r w:rsidR="00654D65" w:rsidRPr="00FB241D">
        <w:t>.</w:t>
      </w:r>
      <w:r w:rsidR="00654D65" w:rsidRPr="00FB241D">
        <w:tab/>
        <w:t>Microsoft Recalculation</w:t>
      </w:r>
    </w:p>
    <w:p w:rsidR="00F10BBC" w:rsidRPr="00322E40" w:rsidRDefault="00FB241D" w:rsidP="00F10BBC">
      <w:pPr>
        <w:pStyle w:val="ListParagraph"/>
      </w:pPr>
      <w:r w:rsidRPr="00322E40">
        <w:t xml:space="preserve">The Settling Parties agree that, when </w:t>
      </w:r>
      <w:r w:rsidR="00654D65" w:rsidRPr="00322E40">
        <w:t>Microsoft is removed from Schedule</w:t>
      </w:r>
      <w:r w:rsidRPr="00322E40">
        <w:t> </w:t>
      </w:r>
      <w:r w:rsidR="00654D65" w:rsidRPr="00322E40">
        <w:t xml:space="preserve">40, the allowed revenue per customer for other schedules will be recalculated consistent with the </w:t>
      </w:r>
      <w:r w:rsidR="00654D65" w:rsidRPr="00322E40">
        <w:lastRenderedPageBreak/>
        <w:t>contingent allowed revenue calculations illustrated in Exhibit</w:t>
      </w:r>
      <w:r w:rsidRPr="00322E40">
        <w:t> </w:t>
      </w:r>
      <w:r w:rsidR="00654D65" w:rsidRPr="00322E40">
        <w:t xml:space="preserve">JAP-43 for all customers that continue to be a part of PSE’s electric decoupling rate mechanism at </w:t>
      </w:r>
      <w:r w:rsidRPr="00322E40">
        <w:t xml:space="preserve">such </w:t>
      </w:r>
      <w:r w:rsidR="00654D65" w:rsidRPr="00322E40">
        <w:t>time.</w:t>
      </w:r>
    </w:p>
    <w:p w:rsidR="00026B33" w:rsidRPr="00654D65" w:rsidRDefault="00395BBB" w:rsidP="00395BBB">
      <w:pPr>
        <w:pStyle w:val="Heading4"/>
      </w:pPr>
      <w:r>
        <w:t>f</w:t>
      </w:r>
      <w:r w:rsidR="00654D65" w:rsidRPr="00654D65">
        <w:t>.</w:t>
      </w:r>
      <w:r w:rsidR="00654D65" w:rsidRPr="00654D65">
        <w:tab/>
      </w:r>
      <w:r w:rsidR="00654D65">
        <w:t>Ardmore Substation</w:t>
      </w:r>
    </w:p>
    <w:p w:rsidR="00CB3DC5" w:rsidRPr="00322E40" w:rsidRDefault="00654D65" w:rsidP="00121EC6">
      <w:pPr>
        <w:pStyle w:val="ListParagraph"/>
      </w:pPr>
      <w:r w:rsidRPr="00322E40">
        <w:t xml:space="preserve">The Settling Parties agree to </w:t>
      </w:r>
      <w:r w:rsidR="00CB3DC5" w:rsidRPr="00322E40">
        <w:t xml:space="preserve">a one-time revenue adjustment that removes </w:t>
      </w:r>
      <w:r w:rsidR="00FB241D" w:rsidRPr="00322E40">
        <w:t xml:space="preserve">from </w:t>
      </w:r>
      <w:r w:rsidRPr="00322E40">
        <w:t xml:space="preserve">the </w:t>
      </w:r>
      <w:r w:rsidR="0095203A">
        <w:t xml:space="preserve">applicable </w:t>
      </w:r>
      <w:r w:rsidRPr="00322E40">
        <w:t>Schedule 40 customer</w:t>
      </w:r>
      <w:r w:rsidR="0095203A">
        <w:t>s</w:t>
      </w:r>
      <w:r w:rsidRPr="00322E40">
        <w:t xml:space="preserve"> </w:t>
      </w:r>
      <w:r w:rsidR="00FB241D" w:rsidRPr="00322E40">
        <w:t xml:space="preserve">$250,000 of Ardmore Substation costs </w:t>
      </w:r>
      <w:r w:rsidRPr="00322E40">
        <w:t xml:space="preserve">and reallocates such </w:t>
      </w:r>
      <w:r w:rsidR="00FB241D" w:rsidRPr="00322E40">
        <w:t xml:space="preserve">costs </w:t>
      </w:r>
      <w:r w:rsidR="00CB3DC5" w:rsidRPr="00322E40">
        <w:t>to other schedules</w:t>
      </w:r>
      <w:r w:rsidR="00CD0B87" w:rsidRPr="00322E40">
        <w:t xml:space="preserve">. </w:t>
      </w:r>
      <w:r w:rsidR="00FB241D" w:rsidRPr="00322E40">
        <w:t>The Settling Parties acknowledge that this one-time revenue adjustment represents a compromise for settlement purposes only, and each Settling Party expressly reserves the right to address the issue of Ardmore Substation cost allocation in subsequent proceedings.</w:t>
      </w:r>
    </w:p>
    <w:p w:rsidR="00395BBB" w:rsidRDefault="00395BBB" w:rsidP="00395BBB">
      <w:pPr>
        <w:pStyle w:val="Heading3"/>
      </w:pPr>
      <w:r>
        <w:t>2</w:t>
      </w:r>
      <w:r w:rsidRPr="00654D65">
        <w:t>.</w:t>
      </w:r>
      <w:r w:rsidRPr="00654D65">
        <w:tab/>
      </w:r>
      <w:r>
        <w:t xml:space="preserve">Natural Gas </w:t>
      </w:r>
      <w:r w:rsidRPr="009F7F24">
        <w:t>Rate Spread and Rate Design</w:t>
      </w:r>
      <w:r>
        <w:t xml:space="preserve"> </w:t>
      </w:r>
    </w:p>
    <w:p w:rsidR="00395BBB" w:rsidRDefault="00395BBB" w:rsidP="00395BBB">
      <w:pPr>
        <w:pStyle w:val="ListParagraph"/>
      </w:pPr>
      <w:r>
        <w:t>The Settling Parties agree that all issues with respect to natural gas rate spread and rate design are not affected by this Settlement and are subject to litigation before the Commission.</w:t>
      </w:r>
    </w:p>
    <w:p w:rsidR="00EE2D01" w:rsidRDefault="00395BBB" w:rsidP="00EE2D01">
      <w:pPr>
        <w:pStyle w:val="Heading2"/>
      </w:pPr>
      <w:r>
        <w:t>D</w:t>
      </w:r>
      <w:r w:rsidR="00EE2D01" w:rsidRPr="009F7F24">
        <w:t>.</w:t>
      </w:r>
      <w:r w:rsidR="00EE2D01">
        <w:tab/>
      </w:r>
      <w:r w:rsidR="00EE2D01" w:rsidRPr="009F7F24">
        <w:t xml:space="preserve">Service Quality </w:t>
      </w:r>
      <w:r w:rsidR="00CB3DC5">
        <w:t>Index (SQI) No. 5</w:t>
      </w:r>
    </w:p>
    <w:p w:rsidR="00FA0421" w:rsidRPr="00FA0421" w:rsidRDefault="00CB3DC5" w:rsidP="00D8148E">
      <w:pPr>
        <w:pStyle w:val="ListParagraph"/>
      </w:pPr>
      <w:r w:rsidRPr="00FA0421">
        <w:t xml:space="preserve">PSE shall revise Service Quality Index (SQI) No. 5 </w:t>
      </w:r>
      <w:r w:rsidR="00FA0421" w:rsidRPr="00FA0421">
        <w:t>to establish an annual benchmark of 80 percent of calls answered within 60 seconds.</w:t>
      </w:r>
      <w:r w:rsidR="00D8148E" w:rsidRPr="00D8148E">
        <w:t xml:space="preserve"> The calculation will not include Integrated Voice Response System (</w:t>
      </w:r>
      <w:proofErr w:type="spellStart"/>
      <w:r w:rsidR="00D8148E" w:rsidRPr="00D8148E">
        <w:t>IVR</w:t>
      </w:r>
      <w:proofErr w:type="spellEnd"/>
      <w:r w:rsidR="00D8148E" w:rsidRPr="00D8148E">
        <w:t>) transactions.</w:t>
      </w:r>
    </w:p>
    <w:p w:rsidR="00EE2D01" w:rsidRDefault="00395BBB" w:rsidP="00EE2D01">
      <w:pPr>
        <w:pStyle w:val="Heading2"/>
      </w:pPr>
      <w:r>
        <w:t>E</w:t>
      </w:r>
      <w:r w:rsidR="00EE2D01" w:rsidRPr="009F7F24">
        <w:t>.</w:t>
      </w:r>
      <w:r w:rsidR="00EE2D01">
        <w:tab/>
      </w:r>
      <w:r w:rsidR="00EE2D01" w:rsidRPr="009F7F24">
        <w:t xml:space="preserve">Low-Income </w:t>
      </w:r>
      <w:r w:rsidR="00EE2D01">
        <w:t>Issues</w:t>
      </w:r>
    </w:p>
    <w:p w:rsidR="008A2382" w:rsidRDefault="008A2382" w:rsidP="000554C3">
      <w:pPr>
        <w:pStyle w:val="ListParagraph"/>
      </w:pPr>
      <w:r>
        <w:t xml:space="preserve">The Settling Parties agree to PSE’s proposal </w:t>
      </w:r>
      <w:r w:rsidRPr="00292C9F">
        <w:t xml:space="preserve">to increase the annual level of low-income electric assistance </w:t>
      </w:r>
      <w:r w:rsidRPr="00C07069">
        <w:t>Home Energy Lifeline Program</w:t>
      </w:r>
      <w:r>
        <w:t xml:space="preserve"> (“</w:t>
      </w:r>
      <w:r w:rsidRPr="00292C9F">
        <w:t>HELP</w:t>
      </w:r>
      <w:r>
        <w:t>”)</w:t>
      </w:r>
      <w:r w:rsidRPr="00292C9F">
        <w:t xml:space="preserve"> funding by double the corresponding overall</w:t>
      </w:r>
      <w:r>
        <w:t xml:space="preserve"> </w:t>
      </w:r>
      <w:r w:rsidRPr="00292C9F">
        <w:t xml:space="preserve">percent rate increase to the residential </w:t>
      </w:r>
      <w:r>
        <w:t xml:space="preserve">electric </w:t>
      </w:r>
      <w:r w:rsidRPr="00292C9F">
        <w:t>class that is approved by the Commission</w:t>
      </w:r>
      <w:r>
        <w:t xml:space="preserve"> </w:t>
      </w:r>
      <w:r w:rsidRPr="00292C9F">
        <w:t xml:space="preserve">in this </w:t>
      </w:r>
      <w:r>
        <w:t>proceeding</w:t>
      </w:r>
      <w:r w:rsidRPr="00292C9F">
        <w:t>.</w:t>
      </w:r>
      <w:r w:rsidR="00D8148E">
        <w:rPr>
          <w:rStyle w:val="FootnoteReference"/>
        </w:rPr>
        <w:footnoteReference w:id="6"/>
      </w:r>
      <w:r w:rsidRPr="00292C9F">
        <w:t xml:space="preserve"> The amount of th</w:t>
      </w:r>
      <w:r>
        <w:t>e</w:t>
      </w:r>
      <w:r w:rsidRPr="00292C9F">
        <w:t xml:space="preserve"> percentage increase </w:t>
      </w:r>
      <w:r>
        <w:t>to the residential electric class shall be calculated in a manner consistent with column</w:t>
      </w:r>
      <w:r w:rsidR="000554C3">
        <w:t> </w:t>
      </w:r>
      <w:r>
        <w:t>(y) of Exhibit</w:t>
      </w:r>
      <w:r w:rsidR="000554C3">
        <w:t> </w:t>
      </w:r>
      <w:r>
        <w:t>JAP-44</w:t>
      </w:r>
      <w:r w:rsidR="000554C3">
        <w:t xml:space="preserve">. </w:t>
      </w:r>
      <w:r>
        <w:t xml:space="preserve">Double this </w:t>
      </w:r>
      <w:r>
        <w:lastRenderedPageBreak/>
        <w:t xml:space="preserve">percentage shall be </w:t>
      </w:r>
      <w:r w:rsidRPr="00292C9F">
        <w:t>added to the electric</w:t>
      </w:r>
      <w:r>
        <w:t xml:space="preserve"> </w:t>
      </w:r>
      <w:r w:rsidRPr="00292C9F">
        <w:t>Schedule</w:t>
      </w:r>
      <w:r>
        <w:t> </w:t>
      </w:r>
      <w:r w:rsidRPr="00292C9F">
        <w:t>129 low income tariff filings following the conclusion of</w:t>
      </w:r>
      <w:r>
        <w:t xml:space="preserve"> this proceeding. </w:t>
      </w:r>
      <w:r w:rsidR="000554C3" w:rsidRPr="000554C3">
        <w:t xml:space="preserve">Except for the redistribution of funds pursuant to </w:t>
      </w:r>
      <w:r w:rsidR="000554C3">
        <w:t>paragraph </w:t>
      </w:r>
      <w:r w:rsidR="000554C3">
        <w:fldChar w:fldCharType="begin"/>
      </w:r>
      <w:r w:rsidR="000554C3">
        <w:instrText xml:space="preserve"> REF _Ref492390606 \r \h </w:instrText>
      </w:r>
      <w:r w:rsidR="000554C3">
        <w:fldChar w:fldCharType="separate"/>
      </w:r>
      <w:r w:rsidR="00831E9E">
        <w:t>103</w:t>
      </w:r>
      <w:r w:rsidR="000554C3">
        <w:fldChar w:fldCharType="end"/>
      </w:r>
      <w:r w:rsidR="000554C3" w:rsidRPr="000554C3">
        <w:t xml:space="preserve">, the Settling Parties agree to PSE’s proposal to maintain the annual level of low-income natural gas assistance HELP funding at the same level as the current program year </w:t>
      </w:r>
      <w:r w:rsidR="00BA00D2">
        <w:t>notwithstanding</w:t>
      </w:r>
      <w:r w:rsidR="000554C3" w:rsidRPr="000554C3">
        <w:t xml:space="preserve"> the decrease in rates for the natural gas residential class proposed in this Settlement.</w:t>
      </w:r>
    </w:p>
    <w:p w:rsidR="00322E40" w:rsidRDefault="00292C9F" w:rsidP="00121EC6">
      <w:pPr>
        <w:pStyle w:val="ListParagraph"/>
      </w:pPr>
      <w:bookmarkStart w:id="11" w:name="_Ref492390606"/>
      <w:r w:rsidRPr="00322E40">
        <w:t xml:space="preserve">The Settling Parties agree to PSE’s proposal to change Schedule 129 tariffs so that the HELP funding will be distributed to electric and natural gas customers at 80% electric and 20% gas, respectively, going forward. PSE reserves the right to revisit this allocation in future rate </w:t>
      </w:r>
      <w:r w:rsidR="00C07069" w:rsidRPr="00322E40">
        <w:t>proceedings</w:t>
      </w:r>
      <w:bookmarkEnd w:id="11"/>
      <w:r w:rsidR="00BA00D2">
        <w:t>. PSE will work with the Community Action Partnership agencies (“Agencies”) to explore ways to adjust the allocation if necessary to target and utilize funds throughout a program year so that low-income customer needs are better met.</w:t>
      </w:r>
    </w:p>
    <w:p w:rsidR="00322E40" w:rsidRDefault="00C07069" w:rsidP="00121EC6">
      <w:pPr>
        <w:pStyle w:val="ListParagraph"/>
      </w:pPr>
      <w:r w:rsidRPr="00322E40">
        <w:t xml:space="preserve">The Settling Parties agree to PSE’s proposal to </w:t>
      </w:r>
      <w:r w:rsidR="00BA00D2">
        <w:t xml:space="preserve">modify Schedule 129 for electric and natural gas service to </w:t>
      </w:r>
      <w:r w:rsidRPr="00322E40">
        <w:t xml:space="preserve">allow </w:t>
      </w:r>
      <w:r w:rsidR="00B76F65">
        <w:t>senior, disabled, and other steady-income</w:t>
      </w:r>
      <w:r w:rsidRPr="00322E40">
        <w:t xml:space="preserve"> customers to certify their </w:t>
      </w:r>
      <w:r w:rsidR="00B76F65">
        <w:t xml:space="preserve">HELP </w:t>
      </w:r>
      <w:r w:rsidRPr="00322E40">
        <w:t>eligibility for a two-year period</w:t>
      </w:r>
      <w:r w:rsidR="00B76F65">
        <w:t>.</w:t>
      </w:r>
      <w:r w:rsidRPr="00322E40">
        <w:t xml:space="preserve"> </w:t>
      </w:r>
      <w:r w:rsidR="00B76F65">
        <w:t>Such</w:t>
      </w:r>
      <w:r w:rsidRPr="00322E40">
        <w:t xml:space="preserve"> customers </w:t>
      </w:r>
      <w:r w:rsidR="00B76F65">
        <w:t xml:space="preserve">must </w:t>
      </w:r>
      <w:r w:rsidRPr="00322E40">
        <w:t xml:space="preserve">meet the existing HELP criteria and elect to certify eligibility for two years after demonstrating a steady income that meets 150% of the federal poverty level, </w:t>
      </w:r>
      <w:r w:rsidR="00B76F65">
        <w:t>established</w:t>
      </w:r>
      <w:r w:rsidRPr="00322E40">
        <w:t xml:space="preserve"> by steady-income payment documentation. </w:t>
      </w:r>
    </w:p>
    <w:p w:rsidR="00322E40" w:rsidRDefault="00CB3DC5" w:rsidP="00121EC6">
      <w:pPr>
        <w:pStyle w:val="ListParagraph"/>
      </w:pPr>
      <w:r w:rsidRPr="00322E40">
        <w:t xml:space="preserve">PSE </w:t>
      </w:r>
      <w:r w:rsidR="003B75F9" w:rsidRPr="00322E40">
        <w:t xml:space="preserve">shall </w:t>
      </w:r>
      <w:r w:rsidRPr="00322E40">
        <w:t xml:space="preserve">consult with The Energy Project and </w:t>
      </w:r>
      <w:r w:rsidR="00B76F65">
        <w:t>A</w:t>
      </w:r>
      <w:r w:rsidR="00B76F65" w:rsidRPr="00322E40">
        <w:t>gencies</w:t>
      </w:r>
      <w:r w:rsidRPr="00322E40">
        <w:t xml:space="preserve"> jointly regarding any initiatives or modifications affecting operation or administration by the agencies of bill assistance or weatherization programs.</w:t>
      </w:r>
    </w:p>
    <w:p w:rsidR="00B76F65" w:rsidRDefault="00CB3DC5" w:rsidP="00121EC6">
      <w:pPr>
        <w:pStyle w:val="ListParagraph"/>
      </w:pPr>
      <w:r w:rsidRPr="00322E40">
        <w:t xml:space="preserve">PSE </w:t>
      </w:r>
      <w:r w:rsidR="003B75F9" w:rsidRPr="00322E40">
        <w:t xml:space="preserve">shall </w:t>
      </w:r>
      <w:r w:rsidRPr="00322E40">
        <w:t>not proceed with implementation of third party scheduling of HELP/</w:t>
      </w:r>
      <w:r w:rsidR="003B75F9" w:rsidRPr="00322E40">
        <w:t>weatherization</w:t>
      </w:r>
      <w:r w:rsidRPr="00322E40">
        <w:t xml:space="preserve"> appointments until the proposal has been discussed with The Energy Project and affected agencies jointly and reviewed by the Advisory Committee.</w:t>
      </w:r>
    </w:p>
    <w:p w:rsidR="00322E40" w:rsidRDefault="00D8148E" w:rsidP="00D8148E">
      <w:pPr>
        <w:pStyle w:val="ListParagraph"/>
      </w:pPr>
      <w:r w:rsidRPr="00D8148E">
        <w:lastRenderedPageBreak/>
        <w:t xml:space="preserve">The Settling Parties agree to the establishment of an Advisory Committee for PSE bill assistance. </w:t>
      </w:r>
      <w:r w:rsidR="00CB3DC5" w:rsidRPr="00322E40">
        <w:t>The Advisory Committee shall be formed no later than January</w:t>
      </w:r>
      <w:r w:rsidR="003B75F9" w:rsidRPr="00322E40">
        <w:t> </w:t>
      </w:r>
      <w:r w:rsidR="00CB3DC5" w:rsidRPr="00322E40">
        <w:t>1, 2018, and the first meeting of the Advisory Committee shall occur no later than March</w:t>
      </w:r>
      <w:r w:rsidR="003B75F9" w:rsidRPr="00322E40">
        <w:t> </w:t>
      </w:r>
      <w:r w:rsidR="00CB3DC5" w:rsidRPr="00322E40">
        <w:t>1, 2018.</w:t>
      </w:r>
      <w:r w:rsidR="00B76F65">
        <w:t xml:space="preserve"> The Advisory Committee shall include representatives from PSE, The Energy Project, </w:t>
      </w:r>
      <w:r w:rsidR="00B76F65" w:rsidRPr="005A11F9">
        <w:t>Commission Staff</w:t>
      </w:r>
      <w:r w:rsidR="00B76F65">
        <w:t>, Public Counsel, and other interested stakeholders. The costs of the Advisory Committee will be recovered through general rates, similar to the manner in which Avista is authorized to recover such costs. The goals of the Advisory Committee are (i) to keep customers connected to their energy service; (ii) to provide assistance to more customers than are currently served; (iii) to lower the energy burden of PSE’s HELP participants; and (iv) to collect data necessary to assess program effectiveness and inform ongoing policy discussions.</w:t>
      </w:r>
    </w:p>
    <w:p w:rsidR="00D45665" w:rsidRDefault="00CB3DC5" w:rsidP="00D45665">
      <w:pPr>
        <w:pStyle w:val="ListParagraph"/>
      </w:pPr>
      <w:r w:rsidRPr="00322E40">
        <w:t xml:space="preserve">PSE </w:t>
      </w:r>
      <w:r w:rsidR="003B75F9" w:rsidRPr="00322E40">
        <w:t xml:space="preserve">shall </w:t>
      </w:r>
      <w:r w:rsidRPr="00322E40">
        <w:t>provide up to $2</w:t>
      </w:r>
      <w:r w:rsidR="003B75F9" w:rsidRPr="00322E40">
        <w:t> </w:t>
      </w:r>
      <w:r w:rsidRPr="00322E40">
        <w:t>million through June</w:t>
      </w:r>
      <w:r w:rsidR="003B75F9" w:rsidRPr="00322E40">
        <w:t> </w:t>
      </w:r>
      <w:r w:rsidRPr="00322E40">
        <w:t>30, 2019, for the purpose of covering expenses related to the delivery of the Low-Income Weatherization Program to eligible PSE customers as a one-time contribution</w:t>
      </w:r>
      <w:r w:rsidR="00B3451C">
        <w:t xml:space="preserve"> in addition to current funding</w:t>
      </w:r>
      <w:r w:rsidR="00CD0B87" w:rsidRPr="00322E40">
        <w:t xml:space="preserve">. </w:t>
      </w:r>
      <w:r w:rsidRPr="00322E40">
        <w:t>This will be recovered through Schedule 120</w:t>
      </w:r>
      <w:r w:rsidR="00CD0B87" w:rsidRPr="00322E40">
        <w:t xml:space="preserve">. </w:t>
      </w:r>
      <w:r w:rsidRPr="00322E40">
        <w:t>Eligible expenses include the installation of Department of Commerce Weatherization Manual approved cost effective energy efficiency measures, project coordination, health and safety measures, and repairs necessary for the installation of energy efficiency measures.</w:t>
      </w:r>
    </w:p>
    <w:p w:rsidR="00D45665" w:rsidRDefault="00406CDC" w:rsidP="00D45665">
      <w:pPr>
        <w:pStyle w:val="ListParagraph"/>
      </w:pPr>
      <w:r>
        <w:t>A</w:t>
      </w:r>
      <w:r w:rsidR="00D45665">
        <w:t>s part of the original decoupling mechanism, PSE agreed to increase its funding for low-income weatherization by $500,000 per year. The Settling Parties agree to PSE’s proposal to continue this higher funding level for the proposed mechanism in this proceeding.</w:t>
      </w:r>
    </w:p>
    <w:p w:rsidR="00CB3DC5" w:rsidRDefault="00CB3DC5" w:rsidP="00121EC6">
      <w:pPr>
        <w:pStyle w:val="ListParagraph"/>
      </w:pPr>
      <w:r w:rsidRPr="00322E40">
        <w:t xml:space="preserve">PSE </w:t>
      </w:r>
      <w:r w:rsidR="003B75F9" w:rsidRPr="00322E40">
        <w:t xml:space="preserve">shall </w:t>
      </w:r>
      <w:r w:rsidRPr="00322E40">
        <w:t>continue annual $100,000 shareholder contribution</w:t>
      </w:r>
      <w:r w:rsidR="003B75F9" w:rsidRPr="00322E40">
        <w:t>s</w:t>
      </w:r>
      <w:r w:rsidRPr="00322E40">
        <w:t xml:space="preserve"> to low-income weatherization, until the next </w:t>
      </w:r>
      <w:r w:rsidR="003B75F9" w:rsidRPr="00322E40">
        <w:t xml:space="preserve">general rate case, </w:t>
      </w:r>
      <w:r w:rsidRPr="00322E40">
        <w:t xml:space="preserve">consistent with the commitment </w:t>
      </w:r>
      <w:r w:rsidR="003B75F9" w:rsidRPr="00322E40">
        <w:t xml:space="preserve">that </w:t>
      </w:r>
      <w:r w:rsidRPr="00322E40">
        <w:t xml:space="preserve">PSE </w:t>
      </w:r>
      <w:r w:rsidR="003B75F9" w:rsidRPr="00322E40">
        <w:t xml:space="preserve">made </w:t>
      </w:r>
      <w:r w:rsidRPr="00322E40">
        <w:lastRenderedPageBreak/>
        <w:t>in the multi-year rate plan</w:t>
      </w:r>
      <w:r w:rsidR="003B75F9" w:rsidRPr="00322E40">
        <w:t xml:space="preserve"> approved in </w:t>
      </w:r>
      <w:r w:rsidRPr="00322E40">
        <w:t>Docket</w:t>
      </w:r>
      <w:r w:rsidR="003B75F9" w:rsidRPr="00322E40">
        <w:t> </w:t>
      </w:r>
      <w:r w:rsidRPr="00322E40">
        <w:t>UE-121697. This term does not modify any other pre-existing obligation for shareholder funding.</w:t>
      </w:r>
    </w:p>
    <w:p w:rsidR="00B3451C" w:rsidRPr="00322E40" w:rsidRDefault="00B3451C" w:rsidP="00121EC6">
      <w:pPr>
        <w:pStyle w:val="ListParagraph"/>
      </w:pPr>
      <w:r>
        <w:t xml:space="preserve">The Settling Parties agree to PSE’s proposal to modify Schedule 129 to remove Area Median Income from the HELP program Income Eligibility Criteria. On and </w:t>
      </w:r>
      <w:r w:rsidRPr="002173B8">
        <w:t>after the effective date of the tariffs resulting from this proceeding</w:t>
      </w:r>
      <w:r>
        <w:t>, income eligibility will be based on a household income not exceeding 150 percent of the federal poverty level.</w:t>
      </w:r>
    </w:p>
    <w:p w:rsidR="00EE2D01" w:rsidRDefault="008A2382" w:rsidP="00EE2D01">
      <w:pPr>
        <w:pStyle w:val="Heading2"/>
      </w:pPr>
      <w:r>
        <w:t>F</w:t>
      </w:r>
      <w:r w:rsidR="00EE2D01" w:rsidRPr="009F7F24">
        <w:t>.</w:t>
      </w:r>
      <w:r w:rsidR="00EE2D01">
        <w:tab/>
        <w:t>Prudence Issues</w:t>
      </w:r>
    </w:p>
    <w:p w:rsidR="0006476E" w:rsidRDefault="003609EF" w:rsidP="00121EC6">
      <w:pPr>
        <w:pStyle w:val="ListParagraph"/>
      </w:pPr>
      <w:r>
        <w:t xml:space="preserve">The Settling Parties agree to support a Commission determination </w:t>
      </w:r>
      <w:r w:rsidR="009D6815">
        <w:t xml:space="preserve">in this proceeding </w:t>
      </w:r>
      <w:r>
        <w:t xml:space="preserve">that </w:t>
      </w:r>
      <w:r w:rsidR="0006476E">
        <w:t xml:space="preserve">the following projects of PSE </w:t>
      </w:r>
      <w:r w:rsidR="00D23670">
        <w:t xml:space="preserve">are </w:t>
      </w:r>
      <w:r w:rsidR="0006476E">
        <w:t xml:space="preserve">prudent and </w:t>
      </w:r>
      <w:r w:rsidR="0006476E" w:rsidRPr="0006476E">
        <w:t xml:space="preserve">PSE </w:t>
      </w:r>
      <w:r w:rsidR="00D23670">
        <w:t xml:space="preserve">shall </w:t>
      </w:r>
      <w:r w:rsidR="0006476E" w:rsidRPr="0006476E">
        <w:t xml:space="preserve">fully recover costs </w:t>
      </w:r>
      <w:r w:rsidR="00D23670">
        <w:t>associated with the following projects:</w:t>
      </w:r>
    </w:p>
    <w:p w:rsidR="003C5D17" w:rsidRDefault="003609EF" w:rsidP="003609EF">
      <w:pPr>
        <w:spacing w:after="280"/>
        <w:ind w:left="2160" w:right="720" w:hanging="720"/>
        <w:rPr>
          <w:rFonts w:eastAsia="Times New Roman" w:cs="Times New Roman"/>
        </w:rPr>
      </w:pPr>
      <w:r w:rsidRPr="000D2179">
        <w:rPr>
          <w:rFonts w:eastAsia="Times New Roman" w:cs="Times New Roman"/>
        </w:rPr>
        <w:t>(</w:t>
      </w:r>
      <w:r>
        <w:rPr>
          <w:rFonts w:eastAsia="Times New Roman" w:cs="Times New Roman"/>
        </w:rPr>
        <w:t>i</w:t>
      </w:r>
      <w:r w:rsidRPr="000D2179">
        <w:rPr>
          <w:rFonts w:eastAsia="Times New Roman" w:cs="Times New Roman"/>
        </w:rPr>
        <w:t>)</w:t>
      </w:r>
      <w:r>
        <w:rPr>
          <w:rFonts w:eastAsia="Times New Roman" w:cs="Times New Roman"/>
        </w:rPr>
        <w:tab/>
        <w:t xml:space="preserve">the </w:t>
      </w:r>
      <w:r w:rsidR="003C5D17">
        <w:rPr>
          <w:rFonts w:eastAsia="Times New Roman" w:cs="Times New Roman"/>
        </w:rPr>
        <w:t xml:space="preserve">Snoqualmie Falls hydroelectric redevelopment project; </w:t>
      </w:r>
    </w:p>
    <w:p w:rsidR="003609EF" w:rsidRDefault="003C5D17" w:rsidP="003609EF">
      <w:pPr>
        <w:spacing w:after="280"/>
        <w:ind w:left="2160" w:right="720" w:hanging="720"/>
        <w:rPr>
          <w:rFonts w:eastAsia="Times New Roman" w:cs="Times New Roman"/>
        </w:rPr>
      </w:pPr>
      <w:r>
        <w:rPr>
          <w:rFonts w:eastAsia="Times New Roman" w:cs="Times New Roman"/>
        </w:rPr>
        <w:t xml:space="preserve">(ii) </w:t>
      </w:r>
      <w:r>
        <w:rPr>
          <w:rFonts w:eastAsia="Times New Roman" w:cs="Times New Roman"/>
        </w:rPr>
        <w:tab/>
        <w:t xml:space="preserve">the </w:t>
      </w:r>
      <w:r w:rsidR="003609EF">
        <w:rPr>
          <w:rFonts w:eastAsia="Times New Roman" w:cs="Times New Roman"/>
        </w:rPr>
        <w:t xml:space="preserve">acquisition of </w:t>
      </w:r>
      <w:r w:rsidR="003609EF" w:rsidRPr="003609EF">
        <w:rPr>
          <w:rFonts w:eastAsia="Times New Roman" w:cs="Times New Roman"/>
        </w:rPr>
        <w:t>the Buckley Natural Gas Distribution</w:t>
      </w:r>
      <w:r w:rsidR="003609EF">
        <w:rPr>
          <w:rFonts w:eastAsia="Times New Roman" w:cs="Times New Roman"/>
        </w:rPr>
        <w:t xml:space="preserve"> </w:t>
      </w:r>
      <w:r w:rsidR="003609EF" w:rsidRPr="003609EF">
        <w:rPr>
          <w:rFonts w:eastAsia="Times New Roman" w:cs="Times New Roman"/>
        </w:rPr>
        <w:t>System</w:t>
      </w:r>
      <w:r w:rsidR="003609EF">
        <w:rPr>
          <w:rFonts w:eastAsia="Times New Roman" w:cs="Times New Roman"/>
        </w:rPr>
        <w:t>;</w:t>
      </w:r>
    </w:p>
    <w:p w:rsidR="003609EF" w:rsidRDefault="003609EF" w:rsidP="003609EF">
      <w:pPr>
        <w:spacing w:after="280"/>
        <w:ind w:left="2160" w:right="720" w:hanging="720"/>
        <w:rPr>
          <w:rFonts w:eastAsia="Times New Roman" w:cs="Times New Roman"/>
        </w:rPr>
      </w:pPr>
      <w:r>
        <w:rPr>
          <w:rFonts w:eastAsia="Times New Roman" w:cs="Times New Roman"/>
        </w:rPr>
        <w:t>(ii</w:t>
      </w:r>
      <w:r w:rsidR="003C5D17">
        <w:rPr>
          <w:rFonts w:eastAsia="Times New Roman" w:cs="Times New Roman"/>
        </w:rPr>
        <w:t>i</w:t>
      </w:r>
      <w:r>
        <w:rPr>
          <w:rFonts w:eastAsia="Times New Roman" w:cs="Times New Roman"/>
        </w:rPr>
        <w:t>)</w:t>
      </w:r>
      <w:r>
        <w:rPr>
          <w:rFonts w:eastAsia="Times New Roman" w:cs="Times New Roman"/>
        </w:rPr>
        <w:tab/>
        <w:t xml:space="preserve">the </w:t>
      </w:r>
      <w:r w:rsidR="007E631E">
        <w:rPr>
          <w:rFonts w:eastAsia="Times New Roman" w:cs="Times New Roman"/>
        </w:rPr>
        <w:t xml:space="preserve">acquisition and development of the </w:t>
      </w:r>
      <w:r w:rsidRPr="003609EF">
        <w:rPr>
          <w:rFonts w:eastAsia="Times New Roman" w:cs="Times New Roman"/>
        </w:rPr>
        <w:t>Glacier Battery Storage System</w:t>
      </w:r>
      <w:r>
        <w:rPr>
          <w:rFonts w:eastAsia="Times New Roman" w:cs="Times New Roman"/>
        </w:rPr>
        <w:t>;</w:t>
      </w:r>
    </w:p>
    <w:p w:rsidR="007E631E" w:rsidRDefault="007E631E" w:rsidP="007E631E">
      <w:pPr>
        <w:spacing w:after="280"/>
        <w:ind w:left="2160" w:right="720" w:hanging="720"/>
        <w:rPr>
          <w:rFonts w:eastAsia="Times New Roman" w:cs="Times New Roman"/>
        </w:rPr>
      </w:pPr>
      <w:r>
        <w:rPr>
          <w:rFonts w:eastAsia="Times New Roman" w:cs="Times New Roman"/>
        </w:rPr>
        <w:t>(i</w:t>
      </w:r>
      <w:r w:rsidR="003C5D17">
        <w:rPr>
          <w:rFonts w:eastAsia="Times New Roman" w:cs="Times New Roman"/>
        </w:rPr>
        <w:t>v</w:t>
      </w:r>
      <w:r>
        <w:rPr>
          <w:rFonts w:eastAsia="Times New Roman" w:cs="Times New Roman"/>
        </w:rPr>
        <w:t>)</w:t>
      </w:r>
      <w:r>
        <w:rPr>
          <w:rFonts w:eastAsia="Times New Roman" w:cs="Times New Roman"/>
        </w:rPr>
        <w:tab/>
        <w:t>the development and construction of the Ardmore Substation;</w:t>
      </w:r>
    </w:p>
    <w:p w:rsidR="0006476E" w:rsidRDefault="003609EF" w:rsidP="007E631E">
      <w:pPr>
        <w:spacing w:after="280"/>
        <w:ind w:left="2160" w:right="720" w:hanging="720"/>
        <w:rPr>
          <w:rFonts w:eastAsia="Times New Roman" w:cs="Times New Roman"/>
        </w:rPr>
      </w:pPr>
      <w:r>
        <w:rPr>
          <w:rFonts w:eastAsia="Times New Roman" w:cs="Times New Roman"/>
        </w:rPr>
        <w:t>(</w:t>
      </w:r>
      <w:r w:rsidR="007E631E">
        <w:rPr>
          <w:rFonts w:eastAsia="Times New Roman" w:cs="Times New Roman"/>
        </w:rPr>
        <w:t>v</w:t>
      </w:r>
      <w:r>
        <w:rPr>
          <w:rFonts w:eastAsia="Times New Roman" w:cs="Times New Roman"/>
        </w:rPr>
        <w:t>)</w:t>
      </w:r>
      <w:r>
        <w:rPr>
          <w:rFonts w:eastAsia="Times New Roman" w:cs="Times New Roman"/>
        </w:rPr>
        <w:tab/>
      </w:r>
      <w:r w:rsidR="0006476E">
        <w:rPr>
          <w:rFonts w:eastAsia="Times New Roman" w:cs="Times New Roman"/>
        </w:rPr>
        <w:t xml:space="preserve">the </w:t>
      </w:r>
      <w:r w:rsidR="007E631E">
        <w:rPr>
          <w:rFonts w:eastAsia="Times New Roman" w:cs="Times New Roman"/>
        </w:rPr>
        <w:t xml:space="preserve">power purchase agreement with Public Utility District No. 1 </w:t>
      </w:r>
      <w:r w:rsidR="007E631E" w:rsidRPr="007E631E">
        <w:rPr>
          <w:rFonts w:eastAsia="Times New Roman" w:cs="Times New Roman"/>
        </w:rPr>
        <w:t>Public Utility District No.</w:t>
      </w:r>
      <w:r w:rsidR="007E631E">
        <w:rPr>
          <w:rFonts w:eastAsia="Times New Roman" w:cs="Times New Roman"/>
        </w:rPr>
        <w:t> </w:t>
      </w:r>
      <w:r w:rsidR="007E631E" w:rsidRPr="007E631E">
        <w:rPr>
          <w:rFonts w:eastAsia="Times New Roman" w:cs="Times New Roman"/>
        </w:rPr>
        <w:t>1 of</w:t>
      </w:r>
      <w:r w:rsidR="007E631E">
        <w:rPr>
          <w:rFonts w:eastAsia="Times New Roman" w:cs="Times New Roman"/>
        </w:rPr>
        <w:t xml:space="preserve"> </w:t>
      </w:r>
      <w:r w:rsidR="007E631E" w:rsidRPr="007E631E">
        <w:rPr>
          <w:rFonts w:eastAsia="Times New Roman" w:cs="Times New Roman"/>
        </w:rPr>
        <w:t xml:space="preserve">Douglas County, Washington </w:t>
      </w:r>
      <w:r w:rsidR="0006476E" w:rsidRPr="0006476E">
        <w:rPr>
          <w:rFonts w:eastAsia="Times New Roman" w:cs="Times New Roman"/>
        </w:rPr>
        <w:t>to purchase power from the Wells</w:t>
      </w:r>
      <w:r w:rsidR="0006476E">
        <w:rPr>
          <w:rFonts w:eastAsia="Times New Roman" w:cs="Times New Roman"/>
        </w:rPr>
        <w:t xml:space="preserve"> </w:t>
      </w:r>
      <w:r w:rsidR="0006476E" w:rsidRPr="0006476E">
        <w:rPr>
          <w:rFonts w:eastAsia="Times New Roman" w:cs="Times New Roman"/>
        </w:rPr>
        <w:t>Hydroelectric Project</w:t>
      </w:r>
      <w:r w:rsidR="0006476E">
        <w:rPr>
          <w:rFonts w:eastAsia="Times New Roman" w:cs="Times New Roman"/>
        </w:rPr>
        <w:t>;</w:t>
      </w:r>
    </w:p>
    <w:p w:rsidR="00B91410" w:rsidRDefault="00B91410" w:rsidP="00C07069">
      <w:pPr>
        <w:spacing w:after="280"/>
        <w:ind w:left="2160" w:right="720" w:hanging="720"/>
        <w:rPr>
          <w:rFonts w:eastAsia="Times New Roman" w:cs="Times New Roman"/>
        </w:rPr>
      </w:pPr>
      <w:r>
        <w:rPr>
          <w:rFonts w:eastAsia="Times New Roman" w:cs="Times New Roman"/>
        </w:rPr>
        <w:t>(</w:t>
      </w:r>
      <w:r w:rsidR="007C419A">
        <w:rPr>
          <w:rFonts w:eastAsia="Times New Roman" w:cs="Times New Roman"/>
        </w:rPr>
        <w:t>v</w:t>
      </w:r>
      <w:r w:rsidR="003C5D17">
        <w:rPr>
          <w:rFonts w:eastAsia="Times New Roman" w:cs="Times New Roman"/>
        </w:rPr>
        <w:t>i</w:t>
      </w:r>
      <w:r>
        <w:rPr>
          <w:rFonts w:eastAsia="Times New Roman" w:cs="Times New Roman"/>
        </w:rPr>
        <w:t>)</w:t>
      </w:r>
      <w:r>
        <w:rPr>
          <w:rFonts w:eastAsia="Times New Roman" w:cs="Times New Roman"/>
        </w:rPr>
        <w:tab/>
        <w:t xml:space="preserve">the acquisition of </w:t>
      </w:r>
      <w:r w:rsidRPr="00B91410">
        <w:rPr>
          <w:rFonts w:eastAsia="Times New Roman" w:cs="Times New Roman"/>
        </w:rPr>
        <w:t>transmission</w:t>
      </w:r>
      <w:r>
        <w:rPr>
          <w:rFonts w:eastAsia="Times New Roman" w:cs="Times New Roman"/>
        </w:rPr>
        <w:t xml:space="preserve"> </w:t>
      </w:r>
      <w:r w:rsidRPr="00B91410">
        <w:rPr>
          <w:rFonts w:eastAsia="Times New Roman" w:cs="Times New Roman"/>
        </w:rPr>
        <w:t xml:space="preserve">capacity from </w:t>
      </w:r>
      <w:r>
        <w:rPr>
          <w:rFonts w:eastAsia="Times New Roman" w:cs="Times New Roman"/>
        </w:rPr>
        <w:t xml:space="preserve">Bonneville Power Administration </w:t>
      </w:r>
      <w:r w:rsidR="007C419A">
        <w:rPr>
          <w:rFonts w:eastAsia="Times New Roman" w:cs="Times New Roman"/>
        </w:rPr>
        <w:t xml:space="preserve">for </w:t>
      </w:r>
      <w:r w:rsidRPr="00B91410">
        <w:rPr>
          <w:rFonts w:eastAsia="Times New Roman" w:cs="Times New Roman"/>
        </w:rPr>
        <w:t>the</w:t>
      </w:r>
      <w:r>
        <w:rPr>
          <w:rFonts w:eastAsia="Times New Roman" w:cs="Times New Roman"/>
        </w:rPr>
        <w:t xml:space="preserve"> </w:t>
      </w:r>
      <w:r w:rsidR="00C07069">
        <w:rPr>
          <w:rFonts w:eastAsia="Times New Roman" w:cs="Times New Roman"/>
        </w:rPr>
        <w:t xml:space="preserve">(a) the </w:t>
      </w:r>
      <w:r w:rsidRPr="00B91410">
        <w:rPr>
          <w:rFonts w:eastAsia="Times New Roman" w:cs="Times New Roman"/>
        </w:rPr>
        <w:t>Goldendale Generation Facility</w:t>
      </w:r>
      <w:r w:rsidR="00C07069">
        <w:rPr>
          <w:rFonts w:eastAsia="Times New Roman" w:cs="Times New Roman"/>
        </w:rPr>
        <w:t xml:space="preserve"> (38 </w:t>
      </w:r>
      <w:r w:rsidR="00C07069" w:rsidRPr="00B91410">
        <w:rPr>
          <w:rFonts w:eastAsia="Times New Roman" w:cs="Times New Roman"/>
        </w:rPr>
        <w:t>MW</w:t>
      </w:r>
      <w:r w:rsidR="00C07069">
        <w:rPr>
          <w:rFonts w:eastAsia="Times New Roman" w:cs="Times New Roman"/>
        </w:rPr>
        <w:t>) and (b) </w:t>
      </w:r>
      <w:r>
        <w:rPr>
          <w:rFonts w:eastAsia="Times New Roman" w:cs="Times New Roman"/>
        </w:rPr>
        <w:t>the Mint Farm Generation Facility</w:t>
      </w:r>
      <w:r w:rsidR="00C07069">
        <w:rPr>
          <w:rFonts w:eastAsia="Times New Roman" w:cs="Times New Roman"/>
        </w:rPr>
        <w:t xml:space="preserve"> (</w:t>
      </w:r>
      <w:r w:rsidR="00C07069" w:rsidRPr="00B91410">
        <w:rPr>
          <w:rFonts w:eastAsia="Times New Roman" w:cs="Times New Roman"/>
        </w:rPr>
        <w:t>15</w:t>
      </w:r>
      <w:r w:rsidR="00C07069">
        <w:rPr>
          <w:rFonts w:eastAsia="Times New Roman" w:cs="Times New Roman"/>
        </w:rPr>
        <w:t> </w:t>
      </w:r>
      <w:r w:rsidR="00C07069" w:rsidRPr="00B91410">
        <w:rPr>
          <w:rFonts w:eastAsia="Times New Roman" w:cs="Times New Roman"/>
        </w:rPr>
        <w:t>MW</w:t>
      </w:r>
      <w:r w:rsidR="00C07069">
        <w:rPr>
          <w:rFonts w:eastAsia="Times New Roman" w:cs="Times New Roman"/>
        </w:rPr>
        <w:t>)</w:t>
      </w:r>
      <w:r w:rsidR="007C419A">
        <w:rPr>
          <w:rFonts w:eastAsia="Times New Roman" w:cs="Times New Roman"/>
        </w:rPr>
        <w:t>;</w:t>
      </w:r>
      <w:r w:rsidR="007E631E">
        <w:rPr>
          <w:rFonts w:eastAsia="Times New Roman" w:cs="Times New Roman"/>
        </w:rPr>
        <w:t xml:space="preserve"> and</w:t>
      </w:r>
    </w:p>
    <w:p w:rsidR="00D8148E" w:rsidRDefault="007C419A" w:rsidP="007C419A">
      <w:pPr>
        <w:spacing w:after="280"/>
        <w:ind w:left="2160" w:right="720" w:hanging="720"/>
        <w:rPr>
          <w:rFonts w:eastAsia="Times New Roman" w:cs="Times New Roman"/>
        </w:rPr>
      </w:pPr>
      <w:r>
        <w:rPr>
          <w:rFonts w:eastAsia="Times New Roman" w:cs="Times New Roman"/>
        </w:rPr>
        <w:t>(v</w:t>
      </w:r>
      <w:r w:rsidR="007E631E">
        <w:rPr>
          <w:rFonts w:eastAsia="Times New Roman" w:cs="Times New Roman"/>
        </w:rPr>
        <w:t>i</w:t>
      </w:r>
      <w:r w:rsidR="003C5D17">
        <w:rPr>
          <w:rFonts w:eastAsia="Times New Roman" w:cs="Times New Roman"/>
        </w:rPr>
        <w:t>i</w:t>
      </w:r>
      <w:r>
        <w:rPr>
          <w:rFonts w:eastAsia="Times New Roman" w:cs="Times New Roman"/>
        </w:rPr>
        <w:t>)</w:t>
      </w:r>
      <w:r>
        <w:rPr>
          <w:rFonts w:eastAsia="Times New Roman" w:cs="Times New Roman"/>
        </w:rPr>
        <w:tab/>
        <w:t>the renewal of agreement</w:t>
      </w:r>
      <w:r w:rsidR="00C07069">
        <w:rPr>
          <w:rFonts w:eastAsia="Times New Roman" w:cs="Times New Roman"/>
        </w:rPr>
        <w:t>s</w:t>
      </w:r>
      <w:r>
        <w:rPr>
          <w:rFonts w:eastAsia="Times New Roman" w:cs="Times New Roman"/>
        </w:rPr>
        <w:t xml:space="preserve"> </w:t>
      </w:r>
      <w:r w:rsidR="00C07069">
        <w:rPr>
          <w:rFonts w:eastAsia="Times New Roman" w:cs="Times New Roman"/>
        </w:rPr>
        <w:t xml:space="preserve">for </w:t>
      </w:r>
      <w:r w:rsidRPr="00B91410">
        <w:rPr>
          <w:rFonts w:eastAsia="Times New Roman" w:cs="Times New Roman"/>
        </w:rPr>
        <w:t>transmission</w:t>
      </w:r>
      <w:r>
        <w:rPr>
          <w:rFonts w:eastAsia="Times New Roman" w:cs="Times New Roman"/>
        </w:rPr>
        <w:t xml:space="preserve"> capacity from Bonneville Power Administration </w:t>
      </w:r>
      <w:r w:rsidR="007E631E">
        <w:rPr>
          <w:rFonts w:eastAsia="Times New Roman" w:cs="Times New Roman"/>
        </w:rPr>
        <w:t>associated with (a) </w:t>
      </w:r>
      <w:r>
        <w:rPr>
          <w:rFonts w:eastAsia="Times New Roman" w:cs="Times New Roman"/>
        </w:rPr>
        <w:t xml:space="preserve">the </w:t>
      </w:r>
      <w:r w:rsidRPr="007C419A">
        <w:rPr>
          <w:rFonts w:eastAsia="Times New Roman" w:cs="Times New Roman"/>
        </w:rPr>
        <w:t>Coal</w:t>
      </w:r>
      <w:r>
        <w:rPr>
          <w:rFonts w:eastAsia="Times New Roman" w:cs="Times New Roman"/>
        </w:rPr>
        <w:t xml:space="preserve"> </w:t>
      </w:r>
      <w:r w:rsidRPr="007C419A">
        <w:rPr>
          <w:rFonts w:eastAsia="Times New Roman" w:cs="Times New Roman"/>
        </w:rPr>
        <w:t xml:space="preserve">Transition </w:t>
      </w:r>
      <w:r>
        <w:rPr>
          <w:rFonts w:eastAsia="Times New Roman" w:cs="Times New Roman"/>
        </w:rPr>
        <w:t>Power Purchase Agreement</w:t>
      </w:r>
      <w:r w:rsidR="007E631E">
        <w:rPr>
          <w:rFonts w:eastAsia="Times New Roman" w:cs="Times New Roman"/>
        </w:rPr>
        <w:t xml:space="preserve"> (</w:t>
      </w:r>
      <w:r w:rsidR="00C07069">
        <w:rPr>
          <w:rFonts w:eastAsia="Times New Roman" w:cs="Times New Roman"/>
        </w:rPr>
        <w:t>100 MW</w:t>
      </w:r>
      <w:r w:rsidR="007E631E">
        <w:rPr>
          <w:rFonts w:eastAsia="Times New Roman" w:cs="Times New Roman"/>
        </w:rPr>
        <w:t>), (b) </w:t>
      </w:r>
      <w:r>
        <w:rPr>
          <w:rFonts w:eastAsia="Times New Roman" w:cs="Times New Roman"/>
        </w:rPr>
        <w:t>the Mint Farm Generation Facility</w:t>
      </w:r>
      <w:r w:rsidR="007E631E">
        <w:rPr>
          <w:rFonts w:eastAsia="Times New Roman" w:cs="Times New Roman"/>
        </w:rPr>
        <w:t xml:space="preserve"> (20 MW), and (c) p</w:t>
      </w:r>
      <w:r w:rsidR="007E631E" w:rsidRPr="007C419A">
        <w:rPr>
          <w:rFonts w:eastAsia="Times New Roman" w:cs="Times New Roman"/>
        </w:rPr>
        <w:t>urchases from Garrison, Montana</w:t>
      </w:r>
      <w:r w:rsidR="007E631E">
        <w:rPr>
          <w:rFonts w:eastAsia="Times New Roman" w:cs="Times New Roman"/>
        </w:rPr>
        <w:t xml:space="preserve"> (</w:t>
      </w:r>
      <w:r>
        <w:rPr>
          <w:rFonts w:eastAsia="Times New Roman" w:cs="Times New Roman"/>
        </w:rPr>
        <w:t>94 MW</w:t>
      </w:r>
      <w:r w:rsidR="007E631E">
        <w:rPr>
          <w:rFonts w:eastAsia="Times New Roman" w:cs="Times New Roman"/>
        </w:rPr>
        <w:t>)</w:t>
      </w:r>
      <w:r w:rsidR="00D8148E">
        <w:rPr>
          <w:rFonts w:eastAsia="Times New Roman" w:cs="Times New Roman"/>
        </w:rPr>
        <w:t>; and</w:t>
      </w:r>
    </w:p>
    <w:p w:rsidR="007C419A" w:rsidRDefault="00D8148E" w:rsidP="007C419A">
      <w:pPr>
        <w:spacing w:after="280"/>
        <w:ind w:left="2160" w:right="720" w:hanging="720"/>
        <w:rPr>
          <w:rFonts w:eastAsia="Times New Roman" w:cs="Times New Roman"/>
        </w:rPr>
      </w:pPr>
      <w:r w:rsidRPr="00D8148E">
        <w:rPr>
          <w:rFonts w:eastAsia="Times New Roman" w:cs="Times New Roman"/>
        </w:rPr>
        <w:t>(viii)</w:t>
      </w:r>
      <w:r w:rsidRPr="00D8148E">
        <w:rPr>
          <w:rFonts w:eastAsia="Times New Roman" w:cs="Times New Roman"/>
        </w:rPr>
        <w:tab/>
        <w:t>the total amount of actual costs accumulated and deferred until September</w:t>
      </w:r>
      <w:r>
        <w:rPr>
          <w:rFonts w:eastAsia="Times New Roman" w:cs="Times New Roman"/>
        </w:rPr>
        <w:t> </w:t>
      </w:r>
      <w:r w:rsidRPr="00D8148E">
        <w:rPr>
          <w:rFonts w:eastAsia="Times New Roman" w:cs="Times New Roman"/>
        </w:rPr>
        <w:t>30, 2016</w:t>
      </w:r>
      <w:r>
        <w:rPr>
          <w:rFonts w:eastAsia="Times New Roman" w:cs="Times New Roman"/>
        </w:rPr>
        <w:t>,</w:t>
      </w:r>
      <w:r w:rsidRPr="00D8148E">
        <w:rPr>
          <w:rFonts w:eastAsia="Times New Roman" w:cs="Times New Roman"/>
        </w:rPr>
        <w:t xml:space="preserve"> associated with </w:t>
      </w:r>
      <w:r>
        <w:rPr>
          <w:rFonts w:eastAsia="Times New Roman" w:cs="Times New Roman"/>
        </w:rPr>
        <w:t xml:space="preserve">PSE’s </w:t>
      </w:r>
      <w:r w:rsidRPr="00D8148E">
        <w:rPr>
          <w:rFonts w:eastAsia="Times New Roman" w:cs="Times New Roman"/>
        </w:rPr>
        <w:t xml:space="preserve">electric and </w:t>
      </w:r>
      <w:r>
        <w:rPr>
          <w:rFonts w:eastAsia="Times New Roman" w:cs="Times New Roman"/>
        </w:rPr>
        <w:t xml:space="preserve">natural </w:t>
      </w:r>
      <w:r w:rsidRPr="00D8148E">
        <w:rPr>
          <w:rFonts w:eastAsia="Times New Roman" w:cs="Times New Roman"/>
        </w:rPr>
        <w:t>gas Environmental Remediation program</w:t>
      </w:r>
      <w:r w:rsidR="007E631E">
        <w:rPr>
          <w:rFonts w:eastAsia="Times New Roman" w:cs="Times New Roman"/>
        </w:rPr>
        <w:t>.</w:t>
      </w:r>
    </w:p>
    <w:p w:rsidR="00EE2D01" w:rsidRDefault="008A2382" w:rsidP="00EE2D01">
      <w:pPr>
        <w:pStyle w:val="Heading2"/>
      </w:pPr>
      <w:r>
        <w:lastRenderedPageBreak/>
        <w:t>G</w:t>
      </w:r>
      <w:r w:rsidR="00EE2D01" w:rsidRPr="009F7F24">
        <w:t>.</w:t>
      </w:r>
      <w:r w:rsidR="00EE2D01">
        <w:tab/>
      </w:r>
      <w:r w:rsidR="00EE2D01" w:rsidRPr="009F7F24">
        <w:t>Decoupling</w:t>
      </w:r>
    </w:p>
    <w:p w:rsidR="00322E40" w:rsidRDefault="009814DF" w:rsidP="00121EC6">
      <w:pPr>
        <w:pStyle w:val="ListParagraph"/>
      </w:pPr>
      <w:r>
        <w:t xml:space="preserve">The Settling Parties agree to Commission Staff’s proposal to </w:t>
      </w:r>
      <w:r w:rsidRPr="009814DF">
        <w:t>set the total Allowed Revenue for fixed</w:t>
      </w:r>
      <w:r>
        <w:t xml:space="preserve"> </w:t>
      </w:r>
      <w:r w:rsidRPr="009814DF">
        <w:t>production costs recovery per decoupled group at the level the Commission</w:t>
      </w:r>
      <w:r>
        <w:t xml:space="preserve"> </w:t>
      </w:r>
      <w:r w:rsidRPr="009814DF">
        <w:t xml:space="preserve">authorizes in this general rate </w:t>
      </w:r>
      <w:r>
        <w:t>proceeding</w:t>
      </w:r>
      <w:r w:rsidRPr="009814DF">
        <w:t>.</w:t>
      </w:r>
    </w:p>
    <w:p w:rsidR="009814DF" w:rsidRPr="00322E40" w:rsidRDefault="009814DF" w:rsidP="00121EC6">
      <w:pPr>
        <w:pStyle w:val="ListParagraph"/>
      </w:pPr>
      <w:r w:rsidRPr="00322E40">
        <w:t xml:space="preserve">The Settling Parties agree that all other issues with </w:t>
      </w:r>
      <w:r w:rsidR="00292C9F" w:rsidRPr="00322E40">
        <w:t>respect to PSE’s revenue decoupling mechanism are not affected by this Settlement and are subject to litigation before the Commission.</w:t>
      </w:r>
      <w:r w:rsidR="00012A5D">
        <w:t xml:space="preserve"> </w:t>
      </w:r>
      <w:r w:rsidR="005F753E">
        <w:t>This includes all other issues regarding the Earnings Sharing Mechanism not otherwise addressed in this Settlement.</w:t>
      </w:r>
    </w:p>
    <w:p w:rsidR="00EE2D01" w:rsidRDefault="008A2382" w:rsidP="00EE2D01">
      <w:pPr>
        <w:pStyle w:val="Heading2"/>
      </w:pPr>
      <w:r>
        <w:t>H</w:t>
      </w:r>
      <w:r w:rsidR="00EE2D01" w:rsidRPr="009F7F24">
        <w:t>.</w:t>
      </w:r>
      <w:r w:rsidR="00EE2D01">
        <w:tab/>
      </w:r>
      <w:r w:rsidR="002173B8">
        <w:t xml:space="preserve">ERF </w:t>
      </w:r>
      <w:r w:rsidR="00031E2C">
        <w:t>Issues</w:t>
      </w:r>
    </w:p>
    <w:p w:rsidR="00031E2C" w:rsidRDefault="00031E2C" w:rsidP="00121EC6">
      <w:pPr>
        <w:pStyle w:val="ListParagraph"/>
      </w:pPr>
      <w:r w:rsidRPr="002173B8">
        <w:t>PSE may file one ERF</w:t>
      </w:r>
      <w:r w:rsidR="007E631E" w:rsidRPr="002173B8">
        <w:t xml:space="preserve"> </w:t>
      </w:r>
      <w:r w:rsidRPr="002173B8">
        <w:t>within one year after the effective date of the tariffs resulting from this proceeding</w:t>
      </w:r>
      <w:r w:rsidR="008C17DC" w:rsidRPr="002173B8">
        <w:t xml:space="preserve"> that is consistent with the process and procedures used by the Commission in Dockets UE-130137 &amp; UG-130138</w:t>
      </w:r>
      <w:r w:rsidR="002173B8" w:rsidRPr="002173B8">
        <w:t xml:space="preserve"> and </w:t>
      </w:r>
      <w:r w:rsidR="00394F98">
        <w:t>the parameters identified in Exhibit I to this Settlement</w:t>
      </w:r>
      <w:r w:rsidR="002173B8" w:rsidRPr="002173B8">
        <w:t xml:space="preserve">. </w:t>
      </w:r>
      <w:r w:rsidR="00CB3DC5" w:rsidRPr="002173B8">
        <w:t>The Settling Parties will support</w:t>
      </w:r>
      <w:r w:rsidR="009D6815">
        <w:t>, or not oppose,</w:t>
      </w:r>
      <w:r w:rsidR="00CB3DC5" w:rsidRPr="002173B8">
        <w:t xml:space="preserve"> a schedule for such ERF that would allow rates to take effect within 120 calendar days after filing.</w:t>
      </w:r>
      <w:r w:rsidR="002173B8" w:rsidRPr="002173B8">
        <w:t xml:space="preserve"> Any subsequent ERF or limited rate proceeding filed by PSE shall be </w:t>
      </w:r>
      <w:r w:rsidRPr="002173B8">
        <w:t>consistent with Commission guidance provided by rule or policy</w:t>
      </w:r>
      <w:r w:rsidR="002173B8" w:rsidRPr="002173B8">
        <w:t xml:space="preserve"> statement in Docket A-130355</w:t>
      </w:r>
      <w:r w:rsidRPr="002173B8">
        <w:t xml:space="preserve">. </w:t>
      </w:r>
    </w:p>
    <w:p w:rsidR="00031E2C" w:rsidRDefault="008A2382" w:rsidP="00031E2C">
      <w:pPr>
        <w:pStyle w:val="Heading2"/>
      </w:pPr>
      <w:r>
        <w:t>I</w:t>
      </w:r>
      <w:r w:rsidR="00031E2C" w:rsidRPr="009F7F24">
        <w:t>.</w:t>
      </w:r>
      <w:r w:rsidR="00031E2C">
        <w:tab/>
        <w:t xml:space="preserve">Colstrip </w:t>
      </w:r>
      <w:r>
        <w:t xml:space="preserve">Plant and </w:t>
      </w:r>
      <w:r w:rsidR="00031E2C">
        <w:t>Transmission System Issues</w:t>
      </w:r>
    </w:p>
    <w:p w:rsidR="001D0E83" w:rsidRDefault="001D0E83" w:rsidP="001D0E83">
      <w:pPr>
        <w:pStyle w:val="Heading3"/>
      </w:pPr>
      <w:r w:rsidRPr="001D0E83">
        <w:t>1.</w:t>
      </w:r>
      <w:r w:rsidRPr="001D0E83">
        <w:tab/>
        <w:t xml:space="preserve">Retirement Account Established Pursuant to </w:t>
      </w:r>
      <w:r>
        <w:t xml:space="preserve">Chapter </w:t>
      </w:r>
      <w:r w:rsidRPr="001D0E83">
        <w:t>80.84 RCW</w:t>
      </w:r>
    </w:p>
    <w:p w:rsidR="00B7646C" w:rsidRDefault="001D0E83" w:rsidP="0089030B">
      <w:pPr>
        <w:pStyle w:val="ListParagraph"/>
      </w:pPr>
      <w:r w:rsidRPr="00B7646C">
        <w:t xml:space="preserve">PSE shall </w:t>
      </w:r>
      <w:r w:rsidR="00B7646C" w:rsidRPr="00B7646C">
        <w:t xml:space="preserve">place </w:t>
      </w:r>
      <w:r w:rsidR="0089030B">
        <w:t>$</w:t>
      </w:r>
      <w:r w:rsidR="0089030B" w:rsidRPr="0089030B">
        <w:t>95</w:t>
      </w:r>
      <w:r w:rsidR="0089030B">
        <w:t> </w:t>
      </w:r>
      <w:r w:rsidR="0089030B" w:rsidRPr="0089030B">
        <w:t xml:space="preserve">million in </w:t>
      </w:r>
      <w:r w:rsidR="00B7646C" w:rsidRPr="00B7646C">
        <w:t xml:space="preserve">hydro-related Treasury Grants into a retirement account established pursuant to RCW 80.04.350 to </w:t>
      </w:r>
      <w:r w:rsidR="00817CB6">
        <w:t xml:space="preserve">fund and recover prudently incurred </w:t>
      </w:r>
      <w:r w:rsidR="00B7646C" w:rsidRPr="00B7646C">
        <w:t xml:space="preserve">decommissioning and remediation costs </w:t>
      </w:r>
      <w:r w:rsidR="00817CB6" w:rsidRPr="00817CB6">
        <w:t xml:space="preserve">for </w:t>
      </w:r>
      <w:r w:rsidR="00B7646C" w:rsidRPr="00B7646C">
        <w:t>Colstrip Units 1 and 2</w:t>
      </w:r>
      <w:r w:rsidR="00817CB6" w:rsidRPr="00817CB6">
        <w:t xml:space="preserve"> </w:t>
      </w:r>
      <w:r w:rsidR="00817CB6">
        <w:t>c</w:t>
      </w:r>
      <w:r w:rsidR="00817CB6" w:rsidRPr="00B7646C">
        <w:t>onsistent with Chapter 80.84 RCW</w:t>
      </w:r>
      <w:r w:rsidR="00817CB6">
        <w:t>.</w:t>
      </w:r>
    </w:p>
    <w:p w:rsidR="00B7646C" w:rsidRDefault="00B7646C" w:rsidP="00B7646C">
      <w:pPr>
        <w:pStyle w:val="Heading3"/>
      </w:pPr>
      <w:r>
        <w:lastRenderedPageBreak/>
        <w:t>2</w:t>
      </w:r>
      <w:r w:rsidRPr="001D0E83">
        <w:t>.</w:t>
      </w:r>
      <w:r w:rsidRPr="001D0E83">
        <w:tab/>
        <w:t xml:space="preserve">Account </w:t>
      </w:r>
      <w:r>
        <w:t xml:space="preserve">Not </w:t>
      </w:r>
      <w:r w:rsidRPr="001D0E83">
        <w:t xml:space="preserve">Established Pursuant to </w:t>
      </w:r>
      <w:r>
        <w:t xml:space="preserve">Chapter </w:t>
      </w:r>
      <w:r w:rsidRPr="001D0E83">
        <w:t>80.84 RCW</w:t>
      </w:r>
    </w:p>
    <w:p w:rsidR="001D0E83" w:rsidRPr="00817CB6" w:rsidRDefault="001D0E83" w:rsidP="00121EC6">
      <w:pPr>
        <w:pStyle w:val="ListParagraph"/>
      </w:pPr>
      <w:bookmarkStart w:id="12" w:name="_Ref491943724"/>
      <w:r w:rsidRPr="00E57C80">
        <w:t xml:space="preserve">PSE shall place </w:t>
      </w:r>
      <w:r w:rsidR="00B7646C" w:rsidRPr="00E57C80">
        <w:t xml:space="preserve">PTCs </w:t>
      </w:r>
      <w:r w:rsidR="00C24383" w:rsidRPr="00E57C80">
        <w:t xml:space="preserve">as they are monetized </w:t>
      </w:r>
      <w:r w:rsidRPr="00E57C80">
        <w:t>in a second, more flexible account</w:t>
      </w:r>
      <w:r w:rsidR="00B7646C" w:rsidRPr="00E57C80">
        <w:t xml:space="preserve"> </w:t>
      </w:r>
      <w:r w:rsidRPr="00E57C80">
        <w:t xml:space="preserve">not </w:t>
      </w:r>
      <w:r w:rsidR="00B7646C" w:rsidRPr="00E57C80">
        <w:t>established pursuant to Chapter 80.84 RCW.</w:t>
      </w:r>
      <w:r w:rsidR="00817CB6" w:rsidRPr="00E57C80">
        <w:t xml:space="preserve"> PSE shall use </w:t>
      </w:r>
      <w:r w:rsidR="007830BC" w:rsidRPr="00E57C80">
        <w:t>the monetized PTC</w:t>
      </w:r>
      <w:r w:rsidR="00E57C80">
        <w:t>s</w:t>
      </w:r>
      <w:r w:rsidR="007830BC" w:rsidRPr="00E57C80">
        <w:t xml:space="preserve"> in the </w:t>
      </w:r>
      <w:r w:rsidR="00817CB6" w:rsidRPr="00E57C80">
        <w:t xml:space="preserve">second account </w:t>
      </w:r>
      <w:r w:rsidR="007830BC" w:rsidRPr="00E57C80">
        <w:t xml:space="preserve">in accordance with the following priority for use: </w:t>
      </w:r>
      <w:r w:rsidR="00817CB6" w:rsidRPr="00E57C80">
        <w:t>(i) </w:t>
      </w:r>
      <w:r w:rsidR="007830BC" w:rsidRPr="00E57C80">
        <w:t xml:space="preserve">to </w:t>
      </w:r>
      <w:r w:rsidR="00817CB6" w:rsidRPr="00E57C80">
        <w:t xml:space="preserve">fund </w:t>
      </w:r>
      <w:r w:rsidRPr="00E57C80">
        <w:t>community transition planning funds of $5</w:t>
      </w:r>
      <w:r w:rsidR="00817CB6" w:rsidRPr="00E57C80">
        <w:t> </w:t>
      </w:r>
      <w:r w:rsidRPr="00E57C80">
        <w:t xml:space="preserve">million, as identified in </w:t>
      </w:r>
      <w:r w:rsidR="00817CB6" w:rsidRPr="00E57C80">
        <w:t>paragraph</w:t>
      </w:r>
      <w:r w:rsidR="00D07734">
        <w:t> </w:t>
      </w:r>
      <w:r w:rsidR="004060F6">
        <w:fldChar w:fldCharType="begin"/>
      </w:r>
      <w:r w:rsidR="004060F6">
        <w:instrText xml:space="preserve"> REF _Ref491943714 \r \h </w:instrText>
      </w:r>
      <w:r w:rsidR="004060F6">
        <w:fldChar w:fldCharType="separate"/>
      </w:r>
      <w:r w:rsidR="00831E9E">
        <w:t>118</w:t>
      </w:r>
      <w:r w:rsidR="004060F6">
        <w:fldChar w:fldCharType="end"/>
      </w:r>
      <w:r w:rsidR="00817CB6" w:rsidRPr="00E57C80">
        <w:t>; (ii) </w:t>
      </w:r>
      <w:r w:rsidR="007830BC" w:rsidRPr="00E57C80">
        <w:t xml:space="preserve">to </w:t>
      </w:r>
      <w:r w:rsidR="00817CB6" w:rsidRPr="00E57C80">
        <w:t xml:space="preserve">recover </w:t>
      </w:r>
      <w:r w:rsidRPr="00E57C80">
        <w:t xml:space="preserve">unrecovered plant balances </w:t>
      </w:r>
      <w:r w:rsidR="00817CB6" w:rsidRPr="00E57C80">
        <w:t>for Colstrip Units 1 through 4; and (iii) </w:t>
      </w:r>
      <w:r w:rsidR="007830BC" w:rsidRPr="00E57C80">
        <w:t xml:space="preserve">to </w:t>
      </w:r>
      <w:r w:rsidR="00C24383" w:rsidRPr="00E57C80">
        <w:t xml:space="preserve">fund and recover </w:t>
      </w:r>
      <w:r w:rsidRPr="00E57C80">
        <w:t>prudent</w:t>
      </w:r>
      <w:r w:rsidR="00C24383" w:rsidRPr="00E57C80">
        <w:t>ly incurred</w:t>
      </w:r>
      <w:r w:rsidRPr="00E57C80">
        <w:t xml:space="preserve"> decommissioning and remediation costs for Colstrip Units</w:t>
      </w:r>
      <w:r w:rsidR="00C24383" w:rsidRPr="00E57C80">
        <w:t> </w:t>
      </w:r>
      <w:r w:rsidRPr="00E57C80">
        <w:t>1</w:t>
      </w:r>
      <w:r w:rsidR="00817CB6" w:rsidRPr="00E57C80">
        <w:t xml:space="preserve"> through </w:t>
      </w:r>
      <w:r w:rsidRPr="00E57C80">
        <w:t xml:space="preserve">4. The account shall be consistent with the discussion of the account set forth in the Prefiled Rebuttal Testimony of </w:t>
      </w:r>
      <w:r w:rsidR="00E57C80">
        <w:t>Ms. </w:t>
      </w:r>
      <w:r w:rsidRPr="00E57C80">
        <w:t>Katherine</w:t>
      </w:r>
      <w:r w:rsidR="00E57C80">
        <w:t> </w:t>
      </w:r>
      <w:r w:rsidRPr="00E57C80">
        <w:t xml:space="preserve">J. Barnard, </w:t>
      </w:r>
      <w:proofErr w:type="spellStart"/>
      <w:r w:rsidRPr="00E57C80">
        <w:t>Exh</w:t>
      </w:r>
      <w:proofErr w:type="spellEnd"/>
      <w:r w:rsidRPr="00E57C80">
        <w:t>.</w:t>
      </w:r>
      <w:r w:rsidR="00851640">
        <w:t> </w:t>
      </w:r>
      <w:r w:rsidRPr="00E57C80">
        <w:t>KJB-17T</w:t>
      </w:r>
      <w:r w:rsidR="00E57C80">
        <w:t>.</w:t>
      </w:r>
      <w:bookmarkEnd w:id="12"/>
    </w:p>
    <w:p w:rsidR="001D0E83" w:rsidRDefault="004605D6" w:rsidP="001D0E83">
      <w:pPr>
        <w:pStyle w:val="Heading3"/>
      </w:pPr>
      <w:r>
        <w:t>3</w:t>
      </w:r>
      <w:r w:rsidR="001D0E83" w:rsidRPr="001D0E83">
        <w:t>.</w:t>
      </w:r>
      <w:r w:rsidR="001D0E83" w:rsidRPr="001D0E83">
        <w:tab/>
        <w:t>Community Transi</w:t>
      </w:r>
      <w:r w:rsidR="001D0E83">
        <w:t>tion Planning Process &amp; Funding</w:t>
      </w:r>
    </w:p>
    <w:p w:rsidR="001D0E83" w:rsidRPr="002173B8" w:rsidRDefault="001D0E83" w:rsidP="00121EC6">
      <w:pPr>
        <w:pStyle w:val="ListParagraph"/>
      </w:pPr>
      <w:bookmarkStart w:id="13" w:name="_Ref491943714"/>
      <w:r w:rsidRPr="002173B8">
        <w:t xml:space="preserve">PSE </w:t>
      </w:r>
      <w:r w:rsidR="004605D6" w:rsidRPr="002173B8">
        <w:t xml:space="preserve">shall </w:t>
      </w:r>
      <w:r w:rsidRPr="002173B8">
        <w:t>engage in a process with stakeholders to develop a community transition plan, including a funding mechanism</w:t>
      </w:r>
      <w:r w:rsidR="004605D6" w:rsidRPr="002173B8">
        <w:t>,</w:t>
      </w:r>
      <w:r w:rsidRPr="002173B8">
        <w:t xml:space="preserve"> to address the transitioning of PSE’s interest in the </w:t>
      </w:r>
      <w:r w:rsidR="004605D6" w:rsidRPr="002173B8">
        <w:t>community of Colstrip, Montana</w:t>
      </w:r>
      <w:r w:rsidRPr="002173B8">
        <w:t xml:space="preserve">. PSE </w:t>
      </w:r>
      <w:r w:rsidR="004605D6" w:rsidRPr="002173B8">
        <w:t xml:space="preserve">shall </w:t>
      </w:r>
      <w:r w:rsidR="002173B8" w:rsidRPr="002173B8">
        <w:t>contribute the following amounts to the community transition plan: (i) $5 </w:t>
      </w:r>
      <w:r w:rsidR="00AF6555">
        <w:t>million</w:t>
      </w:r>
      <w:r w:rsidR="00AF6555" w:rsidRPr="002173B8">
        <w:t xml:space="preserve"> </w:t>
      </w:r>
      <w:r w:rsidR="002173B8" w:rsidRPr="002173B8">
        <w:t>of shareholder dollars and (ii) $5 </w:t>
      </w:r>
      <w:r w:rsidR="00AF6555">
        <w:t>million</w:t>
      </w:r>
      <w:r w:rsidR="00AF6555" w:rsidRPr="002173B8">
        <w:t xml:space="preserve"> </w:t>
      </w:r>
      <w:r w:rsidR="002173B8" w:rsidRPr="002173B8">
        <w:t xml:space="preserve">of monetized PTCs. PSE shall place the </w:t>
      </w:r>
      <w:r w:rsidRPr="002173B8">
        <w:t>$5</w:t>
      </w:r>
      <w:r w:rsidR="004605D6" w:rsidRPr="002173B8">
        <w:t> </w:t>
      </w:r>
      <w:r w:rsidRPr="002173B8">
        <w:t xml:space="preserve">million </w:t>
      </w:r>
      <w:r w:rsidR="002D70BD" w:rsidRPr="002173B8">
        <w:t xml:space="preserve">of </w:t>
      </w:r>
      <w:r w:rsidRPr="002173B8">
        <w:t xml:space="preserve">shareholder dollars in </w:t>
      </w:r>
      <w:r w:rsidR="004605D6" w:rsidRPr="002173B8">
        <w:t xml:space="preserve">an </w:t>
      </w:r>
      <w:r w:rsidRPr="002173B8">
        <w:t xml:space="preserve">escrow </w:t>
      </w:r>
      <w:r w:rsidR="004605D6" w:rsidRPr="002173B8">
        <w:t xml:space="preserve">account </w:t>
      </w:r>
      <w:r w:rsidR="00AF6555">
        <w:t xml:space="preserve">(the “Escrow Account”) </w:t>
      </w:r>
      <w:r w:rsidRPr="002173B8">
        <w:t>by the end of calendar year 2018</w:t>
      </w:r>
      <w:r w:rsidR="002173B8" w:rsidRPr="002173B8">
        <w:t xml:space="preserve">. </w:t>
      </w:r>
      <w:r w:rsidR="004605D6" w:rsidRPr="002173B8">
        <w:t xml:space="preserve">PSE shall place </w:t>
      </w:r>
      <w:r w:rsidRPr="002173B8">
        <w:t>$5</w:t>
      </w:r>
      <w:r w:rsidR="004605D6" w:rsidRPr="002173B8">
        <w:t> </w:t>
      </w:r>
      <w:r w:rsidR="00AF6555">
        <w:t>million</w:t>
      </w:r>
      <w:r w:rsidR="00AF6555" w:rsidRPr="002173B8">
        <w:t xml:space="preserve"> </w:t>
      </w:r>
      <w:r w:rsidRPr="002173B8">
        <w:t>of monetized PTCs</w:t>
      </w:r>
      <w:r w:rsidR="00AF6555">
        <w:t>, when available,</w:t>
      </w:r>
      <w:r w:rsidR="002173B8" w:rsidRPr="002173B8">
        <w:t xml:space="preserve"> </w:t>
      </w:r>
      <w:r w:rsidR="002D70BD" w:rsidRPr="002173B8">
        <w:t xml:space="preserve">from </w:t>
      </w:r>
      <w:r w:rsidR="004605D6" w:rsidRPr="002173B8">
        <w:t>the account established pursuant to paragraph </w:t>
      </w:r>
      <w:r w:rsidR="004060F6">
        <w:rPr>
          <w:highlight w:val="yellow"/>
        </w:rPr>
        <w:fldChar w:fldCharType="begin"/>
      </w:r>
      <w:r w:rsidR="004060F6">
        <w:instrText xml:space="preserve"> REF _Ref491943724 \r \h </w:instrText>
      </w:r>
      <w:r w:rsidR="004060F6">
        <w:rPr>
          <w:highlight w:val="yellow"/>
        </w:rPr>
      </w:r>
      <w:r w:rsidR="004060F6">
        <w:rPr>
          <w:highlight w:val="yellow"/>
        </w:rPr>
        <w:fldChar w:fldCharType="separate"/>
      </w:r>
      <w:r w:rsidR="00831E9E">
        <w:t>117</w:t>
      </w:r>
      <w:r w:rsidR="004060F6">
        <w:rPr>
          <w:highlight w:val="yellow"/>
        </w:rPr>
        <w:fldChar w:fldCharType="end"/>
      </w:r>
      <w:r w:rsidR="004605D6" w:rsidRPr="002173B8">
        <w:t xml:space="preserve"> </w:t>
      </w:r>
      <w:r w:rsidRPr="002173B8">
        <w:t xml:space="preserve">in the </w:t>
      </w:r>
      <w:r w:rsidR="00AF6555">
        <w:t>Escrow Account</w:t>
      </w:r>
      <w:r w:rsidR="002D70BD" w:rsidRPr="002173B8">
        <w:t>.</w:t>
      </w:r>
      <w:r w:rsidR="002173B8" w:rsidRPr="002173B8">
        <w:t xml:space="preserve"> All such funds shall remain in </w:t>
      </w:r>
      <w:r w:rsidR="00AF6555">
        <w:t xml:space="preserve">the Escrow Account </w:t>
      </w:r>
      <w:r w:rsidR="002173B8" w:rsidRPr="002173B8">
        <w:t xml:space="preserve">until such time that there is a </w:t>
      </w:r>
      <w:r w:rsidR="002D70BD" w:rsidRPr="002173B8">
        <w:t>community transition plan, including a funding mechanism, in place</w:t>
      </w:r>
      <w:r w:rsidRPr="002173B8">
        <w:t>.</w:t>
      </w:r>
      <w:bookmarkEnd w:id="13"/>
    </w:p>
    <w:p w:rsidR="002D70BD" w:rsidRDefault="002D70BD" w:rsidP="002D70BD">
      <w:pPr>
        <w:pStyle w:val="Heading3"/>
      </w:pPr>
      <w:r>
        <w:t>4</w:t>
      </w:r>
      <w:r w:rsidRPr="001D0E83">
        <w:t>.</w:t>
      </w:r>
      <w:r w:rsidRPr="001D0E83">
        <w:tab/>
      </w:r>
      <w:r>
        <w:t>Colstrip Reporting Requirements</w:t>
      </w:r>
    </w:p>
    <w:p w:rsidR="001D0E83" w:rsidRPr="006C234F" w:rsidRDefault="001D0E83" w:rsidP="00121EC6">
      <w:pPr>
        <w:pStyle w:val="ListParagraph"/>
      </w:pPr>
      <w:r w:rsidRPr="006C234F">
        <w:t xml:space="preserve">Beginning in 2018, on or before December 1 of each year, PSE </w:t>
      </w:r>
      <w:r w:rsidR="002D70BD" w:rsidRPr="006C234F">
        <w:t>shall</w:t>
      </w:r>
      <w:r w:rsidRPr="006C234F">
        <w:t xml:space="preserve"> provide the </w:t>
      </w:r>
      <w:r w:rsidR="002D70BD" w:rsidRPr="006C234F">
        <w:t xml:space="preserve">Commission </w:t>
      </w:r>
      <w:r w:rsidRPr="006C234F">
        <w:t>an annual report containing the following:</w:t>
      </w:r>
    </w:p>
    <w:p w:rsidR="002D70BD" w:rsidRPr="006C234F" w:rsidRDefault="002D70BD" w:rsidP="002D70BD">
      <w:pPr>
        <w:spacing w:after="280"/>
        <w:ind w:left="2160" w:right="720" w:hanging="720"/>
        <w:rPr>
          <w:rFonts w:eastAsia="Times New Roman" w:cs="Times New Roman"/>
        </w:rPr>
      </w:pPr>
      <w:r w:rsidRPr="006C234F">
        <w:rPr>
          <w:rFonts w:eastAsia="Times New Roman" w:cs="Times New Roman"/>
        </w:rPr>
        <w:t>(i)</w:t>
      </w:r>
      <w:r w:rsidRPr="006C234F">
        <w:rPr>
          <w:rFonts w:eastAsia="Times New Roman" w:cs="Times New Roman"/>
        </w:rPr>
        <w:tab/>
        <w:t>t</w:t>
      </w:r>
      <w:r w:rsidR="001D0E83" w:rsidRPr="006C234F">
        <w:rPr>
          <w:rFonts w:eastAsia="Times New Roman" w:cs="Times New Roman"/>
        </w:rPr>
        <w:t>he most recent estimate of the actual retirement date for Colstrip Units</w:t>
      </w:r>
      <w:r w:rsidRPr="006C234F">
        <w:rPr>
          <w:rFonts w:eastAsia="Times New Roman" w:cs="Times New Roman"/>
        </w:rPr>
        <w:t> </w:t>
      </w:r>
      <w:r w:rsidR="001D0E83" w:rsidRPr="006C234F">
        <w:rPr>
          <w:rFonts w:eastAsia="Times New Roman" w:cs="Times New Roman"/>
        </w:rPr>
        <w:t>1</w:t>
      </w:r>
      <w:r w:rsidRPr="006C234F">
        <w:rPr>
          <w:rFonts w:eastAsia="Times New Roman" w:cs="Times New Roman"/>
        </w:rPr>
        <w:t> </w:t>
      </w:r>
      <w:r w:rsidR="001D0E83" w:rsidRPr="006C234F">
        <w:rPr>
          <w:rFonts w:eastAsia="Times New Roman" w:cs="Times New Roman"/>
        </w:rPr>
        <w:t>and 2 and Colstrip Units</w:t>
      </w:r>
      <w:r w:rsidRPr="006C234F">
        <w:rPr>
          <w:rFonts w:eastAsia="Times New Roman" w:cs="Times New Roman"/>
        </w:rPr>
        <w:t> </w:t>
      </w:r>
      <w:r w:rsidR="001D0E83" w:rsidRPr="006C234F">
        <w:rPr>
          <w:rFonts w:eastAsia="Times New Roman" w:cs="Times New Roman"/>
        </w:rPr>
        <w:t>3</w:t>
      </w:r>
      <w:r w:rsidRPr="006C234F">
        <w:rPr>
          <w:rFonts w:eastAsia="Times New Roman" w:cs="Times New Roman"/>
        </w:rPr>
        <w:t> </w:t>
      </w:r>
      <w:r w:rsidR="001D0E83" w:rsidRPr="006C234F">
        <w:rPr>
          <w:rFonts w:eastAsia="Times New Roman" w:cs="Times New Roman"/>
        </w:rPr>
        <w:t>and/or 4;</w:t>
      </w:r>
    </w:p>
    <w:p w:rsidR="002D70BD" w:rsidRPr="006C234F" w:rsidRDefault="002D70BD" w:rsidP="002D70BD">
      <w:pPr>
        <w:spacing w:after="280"/>
        <w:ind w:left="2160" w:right="720" w:hanging="720"/>
        <w:rPr>
          <w:rFonts w:eastAsia="Times New Roman" w:cs="Times New Roman"/>
        </w:rPr>
      </w:pPr>
      <w:r w:rsidRPr="006C234F">
        <w:rPr>
          <w:rFonts w:eastAsia="Times New Roman" w:cs="Times New Roman"/>
        </w:rPr>
        <w:lastRenderedPageBreak/>
        <w:t>(ii)</w:t>
      </w:r>
      <w:r w:rsidRPr="006C234F">
        <w:rPr>
          <w:rFonts w:eastAsia="Times New Roman" w:cs="Times New Roman"/>
        </w:rPr>
        <w:tab/>
      </w:r>
      <w:r w:rsidR="001D0E83" w:rsidRPr="006C234F">
        <w:rPr>
          <w:rFonts w:eastAsia="Times New Roman" w:cs="Times New Roman"/>
        </w:rPr>
        <w:t>In the event of an estimated retirement date earlier than July</w:t>
      </w:r>
      <w:r w:rsidRPr="006C234F">
        <w:rPr>
          <w:rFonts w:eastAsia="Times New Roman" w:cs="Times New Roman"/>
        </w:rPr>
        <w:t> </w:t>
      </w:r>
      <w:r w:rsidR="001D0E83" w:rsidRPr="006C234F">
        <w:rPr>
          <w:rFonts w:eastAsia="Times New Roman" w:cs="Times New Roman"/>
        </w:rPr>
        <w:t>1, 2022</w:t>
      </w:r>
      <w:r w:rsidRPr="006C234F">
        <w:rPr>
          <w:rFonts w:eastAsia="Times New Roman" w:cs="Times New Roman"/>
        </w:rPr>
        <w:t>,</w:t>
      </w:r>
      <w:r w:rsidR="001D0E83" w:rsidRPr="006C234F">
        <w:rPr>
          <w:rFonts w:eastAsia="Times New Roman" w:cs="Times New Roman"/>
        </w:rPr>
        <w:t xml:space="preserve"> for Colstrip Units</w:t>
      </w:r>
      <w:r w:rsidRPr="006C234F">
        <w:rPr>
          <w:rFonts w:eastAsia="Times New Roman" w:cs="Times New Roman"/>
        </w:rPr>
        <w:t> </w:t>
      </w:r>
      <w:r w:rsidR="001D0E83" w:rsidRPr="006C234F">
        <w:rPr>
          <w:rFonts w:eastAsia="Times New Roman" w:cs="Times New Roman"/>
        </w:rPr>
        <w:t>1</w:t>
      </w:r>
      <w:r w:rsidRPr="006C234F">
        <w:rPr>
          <w:rFonts w:eastAsia="Times New Roman" w:cs="Times New Roman"/>
        </w:rPr>
        <w:t> </w:t>
      </w:r>
      <w:r w:rsidR="001D0E83" w:rsidRPr="006C234F">
        <w:rPr>
          <w:rFonts w:eastAsia="Times New Roman" w:cs="Times New Roman"/>
        </w:rPr>
        <w:t>and 2, and upon the determination by PSE of an estimated retirement date for Colstrip Units</w:t>
      </w:r>
      <w:r w:rsidR="006C234F">
        <w:rPr>
          <w:rFonts w:eastAsia="Times New Roman" w:cs="Times New Roman"/>
        </w:rPr>
        <w:t> </w:t>
      </w:r>
      <w:r w:rsidR="001D0E83" w:rsidRPr="006C234F">
        <w:rPr>
          <w:rFonts w:eastAsia="Times New Roman" w:cs="Times New Roman"/>
        </w:rPr>
        <w:t>3</w:t>
      </w:r>
      <w:r w:rsidR="006C234F">
        <w:rPr>
          <w:rFonts w:eastAsia="Times New Roman" w:cs="Times New Roman"/>
        </w:rPr>
        <w:t> </w:t>
      </w:r>
      <w:r w:rsidR="001D0E83" w:rsidRPr="006C234F">
        <w:rPr>
          <w:rFonts w:eastAsia="Times New Roman" w:cs="Times New Roman"/>
        </w:rPr>
        <w:t>and/or 4, a discussion and evaluation of consequences to customers arising from th</w:t>
      </w:r>
      <w:r w:rsidRPr="006C234F">
        <w:rPr>
          <w:rFonts w:eastAsia="Times New Roman" w:cs="Times New Roman"/>
        </w:rPr>
        <w:t>ose estimated retirement dates;</w:t>
      </w:r>
    </w:p>
    <w:p w:rsidR="006C234F" w:rsidRPr="006C234F" w:rsidRDefault="002D70BD" w:rsidP="006C234F">
      <w:pPr>
        <w:spacing w:after="280"/>
        <w:ind w:left="2160" w:right="720" w:hanging="720"/>
        <w:rPr>
          <w:rFonts w:eastAsia="Times New Roman" w:cs="Times New Roman"/>
        </w:rPr>
      </w:pPr>
      <w:r w:rsidRPr="006C234F">
        <w:rPr>
          <w:rFonts w:eastAsia="Times New Roman" w:cs="Times New Roman"/>
        </w:rPr>
        <w:t>(iii)</w:t>
      </w:r>
      <w:r w:rsidR="001D0E83" w:rsidRPr="006C234F">
        <w:rPr>
          <w:rFonts w:eastAsia="Times New Roman" w:cs="Times New Roman"/>
        </w:rPr>
        <w:tab/>
      </w:r>
      <w:r w:rsidRPr="006C234F">
        <w:rPr>
          <w:rFonts w:eastAsia="Times New Roman" w:cs="Times New Roman"/>
        </w:rPr>
        <w:t>d</w:t>
      </w:r>
      <w:r w:rsidR="001D0E83" w:rsidRPr="006C234F">
        <w:rPr>
          <w:rFonts w:eastAsia="Times New Roman" w:cs="Times New Roman"/>
        </w:rPr>
        <w:t>ecommissioning and remediation expenditures associated with Colstrip units since the time of the last report and updated estimates of future costs;</w:t>
      </w:r>
    </w:p>
    <w:p w:rsidR="006C234F" w:rsidRDefault="006C234F" w:rsidP="006C234F">
      <w:pPr>
        <w:spacing w:after="280"/>
        <w:ind w:left="2160" w:right="720" w:hanging="720"/>
        <w:rPr>
          <w:rFonts w:eastAsia="Times New Roman" w:cs="Times New Roman"/>
        </w:rPr>
      </w:pPr>
      <w:r w:rsidRPr="006C234F">
        <w:rPr>
          <w:rFonts w:eastAsia="Times New Roman" w:cs="Times New Roman"/>
        </w:rPr>
        <w:t>(iv)</w:t>
      </w:r>
      <w:r w:rsidRPr="006C234F">
        <w:rPr>
          <w:rFonts w:eastAsia="Times New Roman" w:cs="Times New Roman"/>
        </w:rPr>
        <w:tab/>
        <w:t>a</w:t>
      </w:r>
      <w:r w:rsidR="001D0E83" w:rsidRPr="006C234F">
        <w:rPr>
          <w:rFonts w:eastAsia="Times New Roman" w:cs="Times New Roman"/>
        </w:rPr>
        <w:t xml:space="preserve">n evaluation of the sufficiency of the </w:t>
      </w:r>
      <w:r w:rsidRPr="006C234F">
        <w:t>retirement account established pursuant to Chapter</w:t>
      </w:r>
      <w:r>
        <w:t> </w:t>
      </w:r>
      <w:r w:rsidRPr="006C234F">
        <w:rPr>
          <w:rFonts w:eastAsia="Times New Roman" w:cs="Times New Roman"/>
        </w:rPr>
        <w:t>80.84</w:t>
      </w:r>
      <w:r w:rsidRPr="006C234F">
        <w:t xml:space="preserve"> </w:t>
      </w:r>
      <w:r w:rsidRPr="006C234F">
        <w:rPr>
          <w:rFonts w:eastAsia="Times New Roman" w:cs="Times New Roman"/>
        </w:rPr>
        <w:t xml:space="preserve">RCW to fund and recover </w:t>
      </w:r>
      <w:r w:rsidR="001D0E83" w:rsidRPr="006C234F">
        <w:rPr>
          <w:rFonts w:eastAsia="Times New Roman" w:cs="Times New Roman"/>
        </w:rPr>
        <w:t>decommissioning and remediation activities</w:t>
      </w:r>
      <w:r w:rsidRPr="006C234F">
        <w:rPr>
          <w:rFonts w:eastAsia="Times New Roman" w:cs="Times New Roman"/>
        </w:rPr>
        <w:t xml:space="preserve"> for Colstrip Units 1 and 2;</w:t>
      </w:r>
    </w:p>
    <w:p w:rsidR="006C234F" w:rsidRPr="006C234F" w:rsidRDefault="006C234F" w:rsidP="006C234F">
      <w:pPr>
        <w:spacing w:after="280"/>
        <w:ind w:left="2160" w:right="720" w:hanging="720"/>
        <w:rPr>
          <w:rFonts w:eastAsia="Times New Roman" w:cs="Times New Roman"/>
        </w:rPr>
      </w:pPr>
      <w:r w:rsidRPr="006C234F">
        <w:rPr>
          <w:rFonts w:eastAsia="Times New Roman" w:cs="Times New Roman"/>
        </w:rPr>
        <w:t>(v)</w:t>
      </w:r>
      <w:r w:rsidRPr="006C234F">
        <w:rPr>
          <w:rFonts w:eastAsia="Times New Roman" w:cs="Times New Roman"/>
        </w:rPr>
        <w:tab/>
        <w:t>a</w:t>
      </w:r>
      <w:r w:rsidR="001D0E83" w:rsidRPr="006C234F">
        <w:rPr>
          <w:rFonts w:eastAsia="Times New Roman" w:cs="Times New Roman"/>
        </w:rPr>
        <w:t>n evaluation of the sufficiency of existing depreciation rates for Colstrip Units</w:t>
      </w:r>
      <w:r w:rsidRPr="006C234F">
        <w:rPr>
          <w:rFonts w:eastAsia="Times New Roman" w:cs="Times New Roman"/>
        </w:rPr>
        <w:t> </w:t>
      </w:r>
      <w:r w:rsidR="001D0E83" w:rsidRPr="006C234F">
        <w:rPr>
          <w:rFonts w:eastAsia="Times New Roman" w:cs="Times New Roman"/>
        </w:rPr>
        <w:t>3</w:t>
      </w:r>
      <w:r w:rsidRPr="006C234F">
        <w:rPr>
          <w:rFonts w:eastAsia="Times New Roman" w:cs="Times New Roman"/>
        </w:rPr>
        <w:t> </w:t>
      </w:r>
      <w:r w:rsidR="001D0E83" w:rsidRPr="006C234F">
        <w:rPr>
          <w:rFonts w:eastAsia="Times New Roman" w:cs="Times New Roman"/>
        </w:rPr>
        <w:t>and 4 to cover decommissioning and remediation costs for those units</w:t>
      </w:r>
      <w:r w:rsidRPr="006C234F">
        <w:rPr>
          <w:rFonts w:eastAsia="Times New Roman" w:cs="Times New Roman"/>
        </w:rPr>
        <w:t>; and</w:t>
      </w:r>
    </w:p>
    <w:p w:rsidR="001D0E83" w:rsidRPr="006C234F" w:rsidRDefault="006C234F" w:rsidP="006C234F">
      <w:pPr>
        <w:spacing w:after="280"/>
        <w:ind w:left="2160" w:right="720" w:hanging="720"/>
        <w:rPr>
          <w:rFonts w:eastAsia="Times New Roman" w:cs="Times New Roman"/>
        </w:rPr>
      </w:pPr>
      <w:r w:rsidRPr="006C234F">
        <w:rPr>
          <w:rFonts w:eastAsia="Times New Roman" w:cs="Times New Roman"/>
        </w:rPr>
        <w:t>(vi)</w:t>
      </w:r>
      <w:r w:rsidR="001D0E83" w:rsidRPr="006C234F">
        <w:rPr>
          <w:rFonts w:eastAsia="Times New Roman" w:cs="Times New Roman"/>
        </w:rPr>
        <w:tab/>
      </w:r>
      <w:r w:rsidRPr="006C234F">
        <w:rPr>
          <w:rFonts w:eastAsia="Times New Roman" w:cs="Times New Roman"/>
        </w:rPr>
        <w:t>f</w:t>
      </w:r>
      <w:r w:rsidR="001D0E83" w:rsidRPr="006C234F">
        <w:rPr>
          <w:rFonts w:eastAsia="Times New Roman" w:cs="Times New Roman"/>
        </w:rPr>
        <w:t>or years in which PSE issues an I</w:t>
      </w:r>
      <w:r w:rsidRPr="006C234F">
        <w:rPr>
          <w:rFonts w:eastAsia="Times New Roman" w:cs="Times New Roman"/>
        </w:rPr>
        <w:t>ntegrated Resource Plan</w:t>
      </w:r>
      <w:r w:rsidR="001D0E83" w:rsidRPr="006C234F">
        <w:rPr>
          <w:rFonts w:eastAsia="Times New Roman" w:cs="Times New Roman"/>
        </w:rPr>
        <w:t>, updated replacement power costs.</w:t>
      </w:r>
    </w:p>
    <w:p w:rsidR="001D0E83" w:rsidRDefault="002D70BD" w:rsidP="001D0E83">
      <w:pPr>
        <w:pStyle w:val="Heading3"/>
      </w:pPr>
      <w:r>
        <w:t>5</w:t>
      </w:r>
      <w:r w:rsidR="001D0E83">
        <w:t>.</w:t>
      </w:r>
      <w:r w:rsidR="001D0E83">
        <w:tab/>
        <w:t>Colstrip Transmission System Operational Study</w:t>
      </w:r>
    </w:p>
    <w:p w:rsidR="001D0E83" w:rsidRPr="00031E2C" w:rsidRDefault="001D0E83" w:rsidP="00121EC6">
      <w:pPr>
        <w:pStyle w:val="ListParagraph"/>
      </w:pPr>
      <w:r w:rsidRPr="00031E2C">
        <w:t xml:space="preserve">PSE is working with </w:t>
      </w:r>
      <w:proofErr w:type="spellStart"/>
      <w:r w:rsidRPr="00031E2C">
        <w:t>NorthWestern</w:t>
      </w:r>
      <w:proofErr w:type="spellEnd"/>
      <w:r w:rsidRPr="00031E2C">
        <w:t xml:space="preserve"> Energy and the other Colstrip Transmission System owners on the design and staffing of an operational study of transfer capability of the Colstrip Transmission System after Colstrip Units</w:t>
      </w:r>
      <w:r>
        <w:t xml:space="preserve"> 1 and 2 retire. </w:t>
      </w:r>
      <w:r w:rsidRPr="00031E2C">
        <w:t>PSE agrees to work in good faith with the other Colstrip Transmission System owners to have this study completed by June</w:t>
      </w:r>
      <w:r>
        <w:t> </w:t>
      </w:r>
      <w:r w:rsidRPr="00031E2C">
        <w:t>30, 2018. Upon completion of the study, study results will be submitted to the Commission and interested stakeholders, subject to the consent of the other Colstrip Transmission System owners and subject to disclosure restrictions, such as restrictions on disclosure of Critical Energy Infrastructure Information and non-public transmission information.</w:t>
      </w:r>
    </w:p>
    <w:p w:rsidR="001D0E83" w:rsidRDefault="002D70BD" w:rsidP="001D0E83">
      <w:pPr>
        <w:pStyle w:val="Heading3"/>
      </w:pPr>
      <w:r>
        <w:t>6</w:t>
      </w:r>
      <w:r w:rsidR="001D0E83">
        <w:t>.</w:t>
      </w:r>
      <w:r w:rsidR="001D0E83">
        <w:tab/>
        <w:t>Colstrip Transmission System Workshop</w:t>
      </w:r>
    </w:p>
    <w:p w:rsidR="001D0E83" w:rsidRDefault="001D0E83" w:rsidP="00121EC6">
      <w:pPr>
        <w:pStyle w:val="ListParagraph"/>
      </w:pPr>
      <w:r w:rsidRPr="00031E2C">
        <w:t xml:space="preserve">The </w:t>
      </w:r>
      <w:r>
        <w:t xml:space="preserve">Settling </w:t>
      </w:r>
      <w:r w:rsidRPr="00031E2C">
        <w:t xml:space="preserve">Parties recommend that the Commission convene one or more workshops, to commence in the first quarter of 2018, to discuss the use of the Colstrip </w:t>
      </w:r>
      <w:r w:rsidRPr="00031E2C">
        <w:lastRenderedPageBreak/>
        <w:t>Transmission System following closure of Colstrip Units</w:t>
      </w:r>
      <w:r>
        <w:t> </w:t>
      </w:r>
      <w:r w:rsidRPr="00031E2C">
        <w:t>1</w:t>
      </w:r>
      <w:r>
        <w:t> </w:t>
      </w:r>
      <w:r w:rsidRPr="00031E2C">
        <w:t>and 2, including use by new generation.</w:t>
      </w:r>
      <w:r>
        <w:t xml:space="preserve"> </w:t>
      </w:r>
      <w:r w:rsidRPr="00031E2C">
        <w:t>Commission Staff, the Colstrip Transmission System owners, Path</w:t>
      </w:r>
      <w:r>
        <w:t> </w:t>
      </w:r>
      <w:r w:rsidRPr="00031E2C">
        <w:t>8 operators, and interested stakeholders will be inv</w:t>
      </w:r>
      <w:r>
        <w:t xml:space="preserve">ited to attend the workshop(s) </w:t>
      </w:r>
      <w:r w:rsidRPr="00031E2C">
        <w:t>and to participate in the development of a “Scoping Document” that is intended to (i)</w:t>
      </w:r>
      <w:r>
        <w:t> </w:t>
      </w:r>
      <w:r w:rsidRPr="00031E2C">
        <w:t>identify any known policy or contractual barriers and the technical questions surrounding the use of the Colstrip Transmission System following closure of Colstrip Units</w:t>
      </w:r>
      <w:r>
        <w:t> </w:t>
      </w:r>
      <w:r w:rsidRPr="00031E2C">
        <w:t>1</w:t>
      </w:r>
      <w:r>
        <w:t> </w:t>
      </w:r>
      <w:r w:rsidRPr="00031E2C">
        <w:t>and 2, (ii)</w:t>
      </w:r>
      <w:r>
        <w:t> </w:t>
      </w:r>
      <w:r w:rsidRPr="00031E2C">
        <w:t>identify methods, forums, and possible timelines for addressing barriers and technical questions, and (iii)</w:t>
      </w:r>
      <w:r>
        <w:t> </w:t>
      </w:r>
      <w:r w:rsidRPr="00031E2C">
        <w:t>provide information regarding, and promote an understanding of, the applicable processes and procedures, studies, and timelines for addressing these questions, including but not limited to those specified in the Open Access Transmission Tariffs of the Colstrip Transmission System owners for requesting and procuring interconnection to and transmission on the</w:t>
      </w:r>
      <w:r>
        <w:t xml:space="preserve"> Colstrip Transmission System. </w:t>
      </w:r>
      <w:r w:rsidRPr="00031E2C">
        <w:t>The Scoping Document should identify the necessary engineering studies, data, and costs associated with completing the studies, and any other barri</w:t>
      </w:r>
      <w:r>
        <w:t xml:space="preserve">ers to completing the studies. </w:t>
      </w:r>
      <w:r w:rsidRPr="00031E2C">
        <w:t>It is anticipated that PSE will be the primary author of the Scoping Document with input from Commission Staff, the Colstrip Transmission System owners, Path 8 operators, and interested stakeholders. Compliance with the settlement terms does not necessarily include the completion of any additional transmission engineering studies themselves, though the Scoping Document may identify studies that can be completed in the near-term.</w:t>
      </w:r>
    </w:p>
    <w:p w:rsidR="00DA096D" w:rsidRDefault="002D70BD" w:rsidP="00DA096D">
      <w:pPr>
        <w:pStyle w:val="Heading3"/>
      </w:pPr>
      <w:r>
        <w:t>7</w:t>
      </w:r>
      <w:r w:rsidR="00DA096D">
        <w:t>.</w:t>
      </w:r>
      <w:r w:rsidR="00DA096D">
        <w:tab/>
        <w:t>No Release</w:t>
      </w:r>
    </w:p>
    <w:p w:rsidR="00DA096D" w:rsidRDefault="00DA096D" w:rsidP="00121EC6">
      <w:pPr>
        <w:pStyle w:val="ListParagraph"/>
      </w:pPr>
      <w:r w:rsidRPr="00DA096D">
        <w:t xml:space="preserve">Nothing in this Settlement shall be construed to operate as a settlement, release or waiver of any and all of PSE’s liabilities for decommissioning and remediation in the State of Montana under Montana or federal law regarding any or all of Colstrip Units 1 through 4. </w:t>
      </w:r>
      <w:r w:rsidRPr="00DA096D">
        <w:lastRenderedPageBreak/>
        <w:t>Nothing in this Settlement shall be construed to operate as expanding or contracting the powers of the State of Montana with respect to any or all of Colstrip Units 1 through 4.</w:t>
      </w:r>
    </w:p>
    <w:p w:rsidR="00D8148E" w:rsidRDefault="00D8148E" w:rsidP="00D8148E">
      <w:pPr>
        <w:pStyle w:val="Heading2"/>
      </w:pPr>
      <w:r>
        <w:t>J</w:t>
      </w:r>
      <w:r w:rsidRPr="009F7F24">
        <w:t>.</w:t>
      </w:r>
      <w:r>
        <w:tab/>
      </w:r>
      <w:r w:rsidR="002C3EFC">
        <w:t>Water Heater Rental Program</w:t>
      </w:r>
    </w:p>
    <w:p w:rsidR="00D8148E" w:rsidRPr="00DA096D" w:rsidRDefault="002C3EFC" w:rsidP="00121EC6">
      <w:pPr>
        <w:pStyle w:val="ListParagraph"/>
      </w:pPr>
      <w:r>
        <w:t>PSE will participate in a collaborative with Commission Staff and other interested stakeholders to discuss the future of the water heater rental programs in PSE’s natural gas Schedules 71, 72, and 74.</w:t>
      </w:r>
    </w:p>
    <w:p w:rsidR="00292C9F" w:rsidRDefault="00D8148E" w:rsidP="00292C9F">
      <w:pPr>
        <w:pStyle w:val="Heading2"/>
      </w:pPr>
      <w:r>
        <w:t>K</w:t>
      </w:r>
      <w:r w:rsidR="00292C9F" w:rsidRPr="009F7F24">
        <w:t>.</w:t>
      </w:r>
      <w:r w:rsidR="00292C9F">
        <w:tab/>
        <w:t>Electric Cost Recovery Mechanism</w:t>
      </w:r>
    </w:p>
    <w:p w:rsidR="00292C9F" w:rsidRDefault="00292C9F" w:rsidP="00121EC6">
      <w:pPr>
        <w:pStyle w:val="ListParagraph"/>
      </w:pPr>
      <w:r>
        <w:t>The Settling Parties agree that all issues with respect to PSE’s proposed Electric Cost Recovery Mechanism are not affected by this Settlement and are subject to litigation before the Commission.</w:t>
      </w:r>
    </w:p>
    <w:p w:rsidR="009F7F24" w:rsidRPr="009F7F24" w:rsidRDefault="009F7F24" w:rsidP="00EE2D01">
      <w:pPr>
        <w:pStyle w:val="Heading1"/>
      </w:pPr>
      <w:r w:rsidRPr="009F7F24">
        <w:t>IV.</w:t>
      </w:r>
      <w:r w:rsidR="00EE2D01">
        <w:tab/>
      </w:r>
      <w:r w:rsidRPr="009F7F24">
        <w:t>GENERAL PROVISIONS</w:t>
      </w:r>
    </w:p>
    <w:p w:rsidR="00EE2D01" w:rsidRDefault="009F7F24" w:rsidP="00121EC6">
      <w:pPr>
        <w:pStyle w:val="ListParagraph"/>
      </w:pPr>
      <w:r w:rsidRPr="00EE2D01">
        <w:rPr>
          <w:u w:val="single"/>
        </w:rPr>
        <w:t>Entire Agreement</w:t>
      </w:r>
      <w:r w:rsidRPr="009F7F24">
        <w:t>. This Settlement is the product of negotiations and</w:t>
      </w:r>
      <w:r w:rsidR="00EE2D01">
        <w:t xml:space="preserve"> </w:t>
      </w:r>
      <w:r w:rsidRPr="009F7F24">
        <w:t>compromise amongst the Settling Parties and constitutes the entire agreement of the Settling</w:t>
      </w:r>
      <w:r w:rsidR="00EE2D01">
        <w:t xml:space="preserve"> </w:t>
      </w:r>
      <w:r w:rsidRPr="009F7F24">
        <w:t>Parties. Accordingly, the Settling Parties recommend that the Commission adopt and approve the</w:t>
      </w:r>
      <w:r w:rsidR="00EE2D01">
        <w:t xml:space="preserve"> </w:t>
      </w:r>
      <w:r w:rsidRPr="009F7F24">
        <w:t>Settlement in its entirety as a full resolution of contested issues in this docket. This Settlement</w:t>
      </w:r>
      <w:r w:rsidR="00EE2D01">
        <w:t xml:space="preserve"> </w:t>
      </w:r>
      <w:r w:rsidRPr="009F7F24">
        <w:t>will not be construed against any Settling Party on the basis that it was the drafter of any or all</w:t>
      </w:r>
      <w:r w:rsidR="00EE2D01">
        <w:t xml:space="preserve"> </w:t>
      </w:r>
      <w:r w:rsidRPr="009F7F24">
        <w:t>portions of this Settlement. This Settlement supersedes any and all prior oral and written</w:t>
      </w:r>
      <w:r w:rsidR="00EE2D01">
        <w:t xml:space="preserve"> </w:t>
      </w:r>
      <w:r w:rsidRPr="009F7F24">
        <w:t>understandings and agreements on such matters that previously existed or occurred in this</w:t>
      </w:r>
      <w:r w:rsidR="00EE2D01">
        <w:t xml:space="preserve"> </w:t>
      </w:r>
      <w:r w:rsidRPr="009F7F24">
        <w:t>proceeding, and no such prior understanding or agreement or related representations will be</w:t>
      </w:r>
      <w:r w:rsidR="00EE2D01">
        <w:t xml:space="preserve"> </w:t>
      </w:r>
      <w:r w:rsidRPr="009F7F24">
        <w:t>relied upon by the Settling Parties to interpret this Settlement or for any other reason.</w:t>
      </w:r>
    </w:p>
    <w:p w:rsidR="00322E40" w:rsidRDefault="009F7F24" w:rsidP="009D6815">
      <w:pPr>
        <w:pStyle w:val="ListParagraph"/>
      </w:pPr>
      <w:r w:rsidRPr="00EE2D01">
        <w:rPr>
          <w:u w:val="single"/>
        </w:rPr>
        <w:t>Confidentiality of Negotiations</w:t>
      </w:r>
      <w:r w:rsidRPr="009F7F24">
        <w:t>. The Settling Parties agree that this Settlement</w:t>
      </w:r>
      <w:r w:rsidR="00EE2D01">
        <w:t xml:space="preserve"> </w:t>
      </w:r>
      <w:r w:rsidRPr="009F7F24">
        <w:t>represents a compromise in the Settling Parties’ positions. As such, conduct, statements and</w:t>
      </w:r>
      <w:r w:rsidR="00EE2D01">
        <w:t xml:space="preserve"> </w:t>
      </w:r>
      <w:r w:rsidRPr="009F7F24">
        <w:t>documents disclosed during the negotiation of this Settlement are not admissible in this or any</w:t>
      </w:r>
      <w:r w:rsidR="00EE2D01">
        <w:t xml:space="preserve"> </w:t>
      </w:r>
      <w:r w:rsidRPr="009F7F24">
        <w:lastRenderedPageBreak/>
        <w:t>other proceeding and will remain confidential.</w:t>
      </w:r>
      <w:r w:rsidR="009D6815" w:rsidRPr="009D6815">
        <w:t xml:space="preserve"> </w:t>
      </w:r>
      <w:r w:rsidR="009D6815">
        <w:t xml:space="preserve">Notwithstanding the foregoing, the </w:t>
      </w:r>
      <w:r w:rsidR="009D6815" w:rsidRPr="009D6815">
        <w:t>Settlement itself and its terms do not fall within the scope of this confidentiality provision, and each Settling Party is free to publicly disclose the basis for its own support of the Settlement.</w:t>
      </w:r>
    </w:p>
    <w:p w:rsidR="00322E40" w:rsidRDefault="009F7F24" w:rsidP="009D6815">
      <w:pPr>
        <w:pStyle w:val="ListParagraph"/>
      </w:pPr>
      <w:r w:rsidRPr="00322E40">
        <w:rPr>
          <w:u w:val="single"/>
        </w:rPr>
        <w:t>Precedential Effect of Settlement</w:t>
      </w:r>
      <w:r w:rsidRPr="00322E40">
        <w:t>. The Settling Parties enter into this Settlement</w:t>
      </w:r>
      <w:r w:rsidR="00EE2D01" w:rsidRPr="00322E40">
        <w:t xml:space="preserve"> </w:t>
      </w:r>
      <w:r w:rsidRPr="00322E40">
        <w:t>to avoid further expense, uncertainty, inconvenience and delay. The Settling Parties agree that</w:t>
      </w:r>
      <w:r w:rsidR="00EE2D01" w:rsidRPr="00322E40">
        <w:t xml:space="preserve"> </w:t>
      </w:r>
      <w:r w:rsidRPr="00322E40">
        <w:t>this Settlement Agreement does not serve to bind the Commission when it</w:t>
      </w:r>
      <w:r w:rsidR="00EE2D01" w:rsidRPr="00322E40">
        <w:t xml:space="preserve"> </w:t>
      </w:r>
      <w:r w:rsidRPr="00322E40">
        <w:t>considers any other matter not specifically resolved by this</w:t>
      </w:r>
      <w:r w:rsidR="00EE2D01" w:rsidRPr="00322E40">
        <w:t xml:space="preserve"> </w:t>
      </w:r>
      <w:r w:rsidRPr="00322E40">
        <w:t xml:space="preserve">Settlement in future proceedings. </w:t>
      </w:r>
      <w:r w:rsidR="002C3EFC">
        <w:t>N</w:t>
      </w:r>
      <w:r w:rsidR="009D6815" w:rsidRPr="009D6815">
        <w:t xml:space="preserve">othing in this Settlement compels any Settling Party to affirmatively intervene </w:t>
      </w:r>
      <w:r w:rsidR="009D6815">
        <w:t xml:space="preserve">or participate </w:t>
      </w:r>
      <w:r w:rsidR="009D6815" w:rsidRPr="009D6815">
        <w:t>in a future proceeding.</w:t>
      </w:r>
    </w:p>
    <w:p w:rsidR="00322E40" w:rsidRDefault="009F7F24" w:rsidP="00121EC6">
      <w:pPr>
        <w:pStyle w:val="ListParagraph"/>
      </w:pPr>
      <w:bookmarkStart w:id="14" w:name="_Ref491943738"/>
      <w:r w:rsidRPr="00322E40">
        <w:rPr>
          <w:u w:val="single"/>
        </w:rPr>
        <w:t>Positions Not Conceded</w:t>
      </w:r>
      <w:r w:rsidRPr="00322E40">
        <w:t>. In reaching this Settlement, the Settling Parties agree</w:t>
      </w:r>
      <w:r w:rsidR="00EE2D01" w:rsidRPr="00322E40">
        <w:t xml:space="preserve"> </w:t>
      </w:r>
      <w:r w:rsidRPr="00322E40">
        <w:t>that no Settling Party concedes any particular argument advanced by that Settling Party or</w:t>
      </w:r>
      <w:r w:rsidR="00EE2D01" w:rsidRPr="00322E40">
        <w:t xml:space="preserve"> </w:t>
      </w:r>
      <w:r w:rsidRPr="00322E40">
        <w:t>accedes to any particular argument made by any other Settling Party. Nothing in this Settlement</w:t>
      </w:r>
      <w:r w:rsidR="00EE2D01" w:rsidRPr="00322E40">
        <w:t xml:space="preserve"> </w:t>
      </w:r>
      <w:r w:rsidRPr="00322E40">
        <w:t>(or any testimony, presentation or briefing supporting this Settlement) shall be asserted or</w:t>
      </w:r>
      <w:r w:rsidR="00EE2D01" w:rsidRPr="00322E40">
        <w:t xml:space="preserve"> </w:t>
      </w:r>
      <w:r w:rsidRPr="00322E40">
        <w:t>deemed to mean that a Settling Party agreed with or adopted another Settling Party’s legal or</w:t>
      </w:r>
      <w:r w:rsidR="00EE2D01" w:rsidRPr="00322E40">
        <w:t xml:space="preserve"> </w:t>
      </w:r>
      <w:r w:rsidRPr="00322E40">
        <w:t>factual assertions in this proceeding. The limitations in this paragraph</w:t>
      </w:r>
      <w:r w:rsidR="00D07734" w:rsidRPr="00322E40">
        <w:t> </w:t>
      </w:r>
      <w:r w:rsidR="004060F6">
        <w:fldChar w:fldCharType="begin"/>
      </w:r>
      <w:r w:rsidR="004060F6">
        <w:instrText xml:space="preserve"> REF _Ref491943738 \r \h </w:instrText>
      </w:r>
      <w:r w:rsidR="004060F6">
        <w:fldChar w:fldCharType="separate"/>
      </w:r>
      <w:r w:rsidR="00831E9E">
        <w:t>128</w:t>
      </w:r>
      <w:r w:rsidR="004060F6">
        <w:fldChar w:fldCharType="end"/>
      </w:r>
      <w:r w:rsidRPr="00322E40">
        <w:t xml:space="preserve"> will not apply to any</w:t>
      </w:r>
      <w:r w:rsidR="00EE2D01" w:rsidRPr="00322E40">
        <w:t xml:space="preserve"> </w:t>
      </w:r>
      <w:r w:rsidRPr="00322E40">
        <w:t>proceeding to enforce the terms of this Settlement or any Commission</w:t>
      </w:r>
      <w:r w:rsidR="00EE2D01" w:rsidRPr="00322E40">
        <w:t xml:space="preserve"> </w:t>
      </w:r>
      <w:r w:rsidRPr="00322E40">
        <w:t>order adopting this Settlement in full.</w:t>
      </w:r>
      <w:bookmarkEnd w:id="14"/>
    </w:p>
    <w:p w:rsidR="00322E40" w:rsidRDefault="009F7F24" w:rsidP="00121EC6">
      <w:pPr>
        <w:pStyle w:val="ListParagraph"/>
      </w:pPr>
      <w:r w:rsidRPr="00322E40">
        <w:rPr>
          <w:u w:val="single"/>
        </w:rPr>
        <w:t>Manner of Execution</w:t>
      </w:r>
      <w:r w:rsidRPr="00322E40">
        <w:t>. This Settlement is executed when all Settling Parties sign</w:t>
      </w:r>
      <w:r w:rsidR="00EE2D01" w:rsidRPr="00322E40">
        <w:t xml:space="preserve"> </w:t>
      </w:r>
      <w:r w:rsidRPr="00322E40">
        <w:t>the Settlement. A designated and authorized representative may sign the Settlement on a Settling</w:t>
      </w:r>
      <w:r w:rsidR="00EE2D01" w:rsidRPr="00322E40">
        <w:t xml:space="preserve"> </w:t>
      </w:r>
      <w:r w:rsidRPr="00322E40">
        <w:t>Party’s behalf. The Settling Parties may execute this Settlement in counterparts. If the Settlement</w:t>
      </w:r>
      <w:r w:rsidR="00EE2D01" w:rsidRPr="00322E40">
        <w:t xml:space="preserve"> </w:t>
      </w:r>
      <w:r w:rsidRPr="00322E40">
        <w:t>is executed in counterparts, all counterparts shall constitute one agreement. A Settlement signed</w:t>
      </w:r>
      <w:r w:rsidR="00EE2D01" w:rsidRPr="00322E40">
        <w:t xml:space="preserve"> </w:t>
      </w:r>
      <w:r w:rsidRPr="00322E40">
        <w:t>in counterpart and sent by facsimile or emailed as a pdf is as effective as an original document. A</w:t>
      </w:r>
      <w:r w:rsidR="00EE2D01" w:rsidRPr="00322E40">
        <w:t xml:space="preserve"> </w:t>
      </w:r>
      <w:r w:rsidRPr="00322E40">
        <w:t>faxed or emailed signature page containing the signature of a Settling Party is acceptable as an</w:t>
      </w:r>
      <w:r w:rsidR="00EE2D01" w:rsidRPr="00322E40">
        <w:t xml:space="preserve"> </w:t>
      </w:r>
      <w:r w:rsidRPr="00322E40">
        <w:t>original signature page signed by that Settling Party. Each Settling Party shall indicate the date of</w:t>
      </w:r>
      <w:r w:rsidR="00EE2D01" w:rsidRPr="00322E40">
        <w:t xml:space="preserve"> </w:t>
      </w:r>
      <w:r w:rsidRPr="00322E40">
        <w:lastRenderedPageBreak/>
        <w:t>its signature on the signature page. The date of execution of the Settlement will be the latest date</w:t>
      </w:r>
      <w:r w:rsidR="00EE2D01" w:rsidRPr="00322E40">
        <w:t xml:space="preserve"> </w:t>
      </w:r>
      <w:r w:rsidRPr="00322E40">
        <w:t>indicated on the signature page(s).</w:t>
      </w:r>
    </w:p>
    <w:p w:rsidR="00322E40" w:rsidRDefault="009F7F24" w:rsidP="00121EC6">
      <w:pPr>
        <w:pStyle w:val="ListParagraph"/>
      </w:pPr>
      <w:r w:rsidRPr="00322E40">
        <w:rPr>
          <w:u w:val="single"/>
        </w:rPr>
        <w:t>Approval Process and Support of Settlement</w:t>
      </w:r>
      <w:r w:rsidRPr="00322E40">
        <w:t>. Each Settling Party agrees to</w:t>
      </w:r>
      <w:r w:rsidR="00EE2D01" w:rsidRPr="00322E40">
        <w:t xml:space="preserve"> </w:t>
      </w:r>
      <w:r w:rsidRPr="00322E40">
        <w:t xml:space="preserve">support </w:t>
      </w:r>
      <w:r w:rsidR="0013147C">
        <w:t xml:space="preserve">in this proceeding </w:t>
      </w:r>
      <w:r w:rsidRPr="00322E40">
        <w:t>the terms and conditions of this Settlement as a full and final resolution of all contested</w:t>
      </w:r>
      <w:r w:rsidR="00EE2D01" w:rsidRPr="00322E40">
        <w:t xml:space="preserve"> </w:t>
      </w:r>
      <w:r w:rsidRPr="00322E40">
        <w:t xml:space="preserve">issues between them in the above-captioned docket. Each Settling Party agrees to support </w:t>
      </w:r>
      <w:r w:rsidR="0013147C">
        <w:t xml:space="preserve">or not to oppose </w:t>
      </w:r>
      <w:r w:rsidRPr="00322E40">
        <w:t>the</w:t>
      </w:r>
      <w:r w:rsidR="00EE2D01" w:rsidRPr="00322E40">
        <w:t xml:space="preserve"> </w:t>
      </w:r>
      <w:r w:rsidRPr="00322E40">
        <w:t>Settlement during the course of whatever proceedings and procedures the Commission</w:t>
      </w:r>
      <w:r w:rsidR="00EE2D01" w:rsidRPr="00322E40">
        <w:t xml:space="preserve"> </w:t>
      </w:r>
      <w:r w:rsidRPr="00322E40">
        <w:t>determines are appropriate for approval of the Settlement.</w:t>
      </w:r>
    </w:p>
    <w:p w:rsidR="00322E40" w:rsidRDefault="009F7F24" w:rsidP="00121EC6">
      <w:pPr>
        <w:pStyle w:val="ListParagraph"/>
      </w:pPr>
      <w:r w:rsidRPr="00322E40">
        <w:rPr>
          <w:u w:val="single"/>
        </w:rPr>
        <w:t>Commission Approval with Conditions</w:t>
      </w:r>
      <w:r w:rsidRPr="00322E40">
        <w:t>. In the event the Commission approves</w:t>
      </w:r>
      <w:r w:rsidR="00EE2D01" w:rsidRPr="00322E40">
        <w:t xml:space="preserve"> </w:t>
      </w:r>
      <w:r w:rsidRPr="00322E40">
        <w:t>this Settlement, but with conditions not proposed in this Settlement, the provisions of WAC 480-07-550(2)(b) will apply. The Settling Parties will have ten (10) business days to seek</w:t>
      </w:r>
      <w:r w:rsidR="00EE2D01" w:rsidRPr="00322E40">
        <w:t xml:space="preserve"> </w:t>
      </w:r>
      <w:r w:rsidRPr="00322E40">
        <w:t>reconsideration and/or file a letter with the Commission accepting or rejecting each such</w:t>
      </w:r>
      <w:r w:rsidR="00EE2D01" w:rsidRPr="00322E40">
        <w:t xml:space="preserve"> </w:t>
      </w:r>
      <w:r w:rsidRPr="00322E40">
        <w:t>condition. If, in such a timely filed letter, a Settling Party rejects a condition, this Settlement is</w:t>
      </w:r>
      <w:r w:rsidR="00EE2D01" w:rsidRPr="00322E40">
        <w:t xml:space="preserve"> </w:t>
      </w:r>
      <w:r w:rsidRPr="00322E40">
        <w:t>deemed rejected and void and the Settling Parties will jointly and promptly request the</w:t>
      </w:r>
      <w:r w:rsidR="00EE2D01" w:rsidRPr="00322E40">
        <w:t xml:space="preserve"> </w:t>
      </w:r>
      <w:r w:rsidRPr="00322E40">
        <w:t>Commission convene a prehearing conference to address procedural matters, including a</w:t>
      </w:r>
      <w:r w:rsidR="00EE2D01" w:rsidRPr="00322E40">
        <w:t xml:space="preserve"> </w:t>
      </w:r>
      <w:r w:rsidRPr="00322E40">
        <w:t>procedural schedule for resolution of the case at the earliest possible date.</w:t>
      </w:r>
    </w:p>
    <w:p w:rsidR="00E701AF" w:rsidRDefault="009F7F24" w:rsidP="00E701AF">
      <w:pPr>
        <w:pStyle w:val="ListParagraph"/>
      </w:pPr>
      <w:r w:rsidRPr="00322E40">
        <w:rPr>
          <w:u w:val="single"/>
        </w:rPr>
        <w:t>Commission Rejection</w:t>
      </w:r>
      <w:r w:rsidRPr="00322E40">
        <w:t>. In the event the Commission rejects this Settlement, the</w:t>
      </w:r>
      <w:r w:rsidR="00EE2D01" w:rsidRPr="00322E40">
        <w:t xml:space="preserve"> </w:t>
      </w:r>
      <w:r w:rsidRPr="00322E40">
        <w:t>provisions of WAC 480-07-550(2)(a) will apply. In that event, the Settling Parties agree to</w:t>
      </w:r>
      <w:r w:rsidR="00EE2D01" w:rsidRPr="00322E40">
        <w:t xml:space="preserve"> </w:t>
      </w:r>
      <w:r w:rsidRPr="00322E40">
        <w:t>jointly and promptly request the Commission convene a prehearing conference to address</w:t>
      </w:r>
      <w:r w:rsidR="00EE2D01" w:rsidRPr="00322E40">
        <w:t xml:space="preserve"> </w:t>
      </w:r>
      <w:r w:rsidRPr="00322E40">
        <w:t>procedural matters, including a procedural schedule for resolution of the case at the earliest</w:t>
      </w:r>
      <w:r w:rsidR="00EE2D01" w:rsidRPr="00322E40">
        <w:t xml:space="preserve"> </w:t>
      </w:r>
      <w:r w:rsidRPr="00322E40">
        <w:t>possible date.</w:t>
      </w:r>
    </w:p>
    <w:p w:rsidR="005F7186" w:rsidRPr="00E701AF" w:rsidRDefault="005F7186" w:rsidP="00E701AF">
      <w:pPr>
        <w:pStyle w:val="ListParagraph"/>
        <w:numPr>
          <w:ilvl w:val="0"/>
          <w:numId w:val="0"/>
        </w:numPr>
        <w:spacing w:before="480"/>
        <w:contextualSpacing w:val="0"/>
        <w:jc w:val="center"/>
      </w:pPr>
      <w:r w:rsidRPr="00E701AF">
        <w:t>[Remainder of Page Intentionally Left Blank. Signature Page to Follow]</w:t>
      </w:r>
      <w:r w:rsidRPr="00E701AF">
        <w:br w:type="page"/>
      </w:r>
    </w:p>
    <w:p w:rsidR="00660C02" w:rsidRDefault="009F7F24" w:rsidP="003B75F9">
      <w:pPr>
        <w:spacing w:line="480" w:lineRule="auto"/>
        <w:ind w:firstLine="720"/>
        <w:rPr>
          <w:rFonts w:eastAsia="Times New Roman" w:cs="Times New Roman"/>
        </w:rPr>
      </w:pPr>
      <w:r w:rsidRPr="009F7F24">
        <w:rPr>
          <w:rFonts w:eastAsia="Times New Roman" w:cs="Times New Roman"/>
        </w:rPr>
        <w:lastRenderedPageBreak/>
        <w:t xml:space="preserve">Dated this </w:t>
      </w:r>
      <w:r w:rsidR="00920173">
        <w:rPr>
          <w:rFonts w:eastAsia="Times New Roman" w:cs="Times New Roman"/>
        </w:rPr>
        <w:t>15th</w:t>
      </w:r>
      <w:r w:rsidRPr="009F7F24">
        <w:rPr>
          <w:rFonts w:eastAsia="Times New Roman" w:cs="Times New Roman"/>
        </w:rPr>
        <w:t xml:space="preserve"> day of </w:t>
      </w:r>
      <w:r w:rsidR="00EE2D01">
        <w:rPr>
          <w:rFonts w:eastAsia="Times New Roman" w:cs="Times New Roman"/>
        </w:rPr>
        <w:t>September</w:t>
      </w:r>
      <w:r w:rsidRPr="009F7F24">
        <w:rPr>
          <w:rFonts w:eastAsia="Times New Roman" w:cs="Times New Roman"/>
        </w:rPr>
        <w:t>,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9F72FE" w:rsidTr="00A079A9">
        <w:tc>
          <w:tcPr>
            <w:tcW w:w="4788" w:type="dxa"/>
          </w:tcPr>
          <w:p w:rsidR="009F72FE" w:rsidRPr="000968BB" w:rsidRDefault="00440B11" w:rsidP="009F72FE">
            <w:pPr>
              <w:keepNext/>
              <w:keepLines/>
              <w:jc w:val="both"/>
              <w:rPr>
                <w:b/>
              </w:rPr>
            </w:pPr>
            <w:r>
              <w:rPr>
                <w:b/>
              </w:rPr>
              <w:t>PUGET SOUND ENERGY</w:t>
            </w:r>
          </w:p>
        </w:tc>
        <w:tc>
          <w:tcPr>
            <w:tcW w:w="4788" w:type="dxa"/>
          </w:tcPr>
          <w:p w:rsidR="009F72FE" w:rsidRPr="004F6CC3" w:rsidRDefault="009F72FE" w:rsidP="009F72FE">
            <w:pPr>
              <w:keepNext/>
              <w:keepLines/>
              <w:jc w:val="both"/>
              <w:rPr>
                <w:b/>
              </w:rPr>
            </w:pPr>
            <w:r w:rsidRPr="004F6CC3">
              <w:rPr>
                <w:b/>
              </w:rPr>
              <w:t>ROBERT W. FERGUSON</w:t>
            </w:r>
          </w:p>
          <w:p w:rsidR="009F72FE" w:rsidRPr="00DB651B" w:rsidRDefault="009F72FE" w:rsidP="009F72FE">
            <w:pPr>
              <w:keepNext/>
              <w:keepLines/>
              <w:jc w:val="both"/>
              <w:rPr>
                <w:b/>
              </w:rPr>
            </w:pPr>
            <w:r w:rsidRPr="004F6CC3">
              <w:rPr>
                <w:b/>
              </w:rPr>
              <w:t>Attorney General</w:t>
            </w:r>
          </w:p>
        </w:tc>
      </w:tr>
      <w:tr w:rsidR="009F72FE" w:rsidTr="00A079A9">
        <w:tc>
          <w:tcPr>
            <w:tcW w:w="4788" w:type="dxa"/>
          </w:tcPr>
          <w:p w:rsidR="009F72FE" w:rsidRDefault="009F72FE" w:rsidP="005F7186">
            <w:pPr>
              <w:keepLines/>
              <w:tabs>
                <w:tab w:val="right" w:pos="3762"/>
                <w:tab w:val="right" w:pos="8640"/>
              </w:tabs>
              <w:spacing w:before="480"/>
              <w:ind w:left="72"/>
              <w:jc w:val="both"/>
              <w:rPr>
                <w:u w:val="single"/>
              </w:rPr>
            </w:pPr>
            <w:r>
              <w:t xml:space="preserve">By: </w:t>
            </w:r>
            <w:r w:rsidRPr="00952D11">
              <w:rPr>
                <w:u w:val="single"/>
              </w:rPr>
              <w:tab/>
            </w:r>
          </w:p>
          <w:p w:rsidR="00A336B8" w:rsidRDefault="00440B11" w:rsidP="005F7186">
            <w:pPr>
              <w:keepLines/>
              <w:ind w:left="522"/>
              <w:jc w:val="both"/>
            </w:pPr>
            <w:r>
              <w:t>KEN JOHNSON</w:t>
            </w:r>
          </w:p>
          <w:p w:rsidR="009F72FE" w:rsidRPr="00A336B8" w:rsidRDefault="00440B11" w:rsidP="00920173">
            <w:pPr>
              <w:keepLines/>
              <w:ind w:left="522"/>
              <w:jc w:val="both"/>
            </w:pPr>
            <w:r>
              <w:t>Director, State Regulatory Affairs</w:t>
            </w:r>
          </w:p>
        </w:tc>
        <w:tc>
          <w:tcPr>
            <w:tcW w:w="4788" w:type="dxa"/>
          </w:tcPr>
          <w:p w:rsidR="009F72FE" w:rsidRDefault="009F72FE" w:rsidP="005F7186">
            <w:pPr>
              <w:keepLines/>
              <w:tabs>
                <w:tab w:val="right" w:pos="3762"/>
                <w:tab w:val="right" w:pos="8640"/>
              </w:tabs>
              <w:spacing w:before="480"/>
              <w:ind w:left="72"/>
              <w:jc w:val="both"/>
              <w:rPr>
                <w:u w:val="single"/>
              </w:rPr>
            </w:pPr>
            <w:r>
              <w:t xml:space="preserve">By: </w:t>
            </w:r>
            <w:r w:rsidRPr="00952D11">
              <w:rPr>
                <w:u w:val="single"/>
              </w:rPr>
              <w:tab/>
            </w:r>
          </w:p>
          <w:p w:rsidR="00A336B8" w:rsidRDefault="00A079A9" w:rsidP="005F7186">
            <w:pPr>
              <w:keepLines/>
              <w:ind w:left="522"/>
              <w:jc w:val="both"/>
            </w:pPr>
            <w:r>
              <w:t>BRETT P. SHEARER</w:t>
            </w:r>
          </w:p>
          <w:p w:rsidR="00A336B8" w:rsidRDefault="00A336B8" w:rsidP="005F7186">
            <w:pPr>
              <w:keepLines/>
              <w:ind w:left="522"/>
              <w:jc w:val="both"/>
            </w:pPr>
            <w:r>
              <w:t>Assistant Attorney General</w:t>
            </w:r>
          </w:p>
          <w:p w:rsidR="009F72FE" w:rsidRDefault="00A079A9" w:rsidP="005F7186">
            <w:pPr>
              <w:keepLines/>
              <w:ind w:left="522"/>
              <w:jc w:val="both"/>
            </w:pPr>
            <w:r>
              <w:t>SALLY BROWN</w:t>
            </w:r>
          </w:p>
          <w:p w:rsidR="009F72FE" w:rsidRDefault="009F72FE" w:rsidP="005F7186">
            <w:pPr>
              <w:keepLines/>
              <w:ind w:left="522"/>
              <w:jc w:val="both"/>
            </w:pPr>
            <w:r>
              <w:t>Senior Assistant Attorney General</w:t>
            </w:r>
          </w:p>
          <w:p w:rsidR="00A336B8" w:rsidRDefault="00A079A9" w:rsidP="005F7186">
            <w:pPr>
              <w:keepLines/>
              <w:ind w:left="522"/>
              <w:jc w:val="both"/>
            </w:pPr>
            <w:r>
              <w:t>JENNIFER CAMERON-RULKOWSKI</w:t>
            </w:r>
          </w:p>
          <w:p w:rsidR="00A336B8" w:rsidRDefault="00A336B8" w:rsidP="005F7186">
            <w:pPr>
              <w:keepLines/>
              <w:ind w:left="522"/>
              <w:jc w:val="both"/>
            </w:pPr>
            <w:r>
              <w:t>Assistant Attorney General</w:t>
            </w:r>
            <w:r>
              <w:cr/>
            </w:r>
            <w:r w:rsidR="00A079A9">
              <w:t>CHRISTOPHER M. CASEY</w:t>
            </w:r>
          </w:p>
          <w:p w:rsidR="00A336B8" w:rsidRDefault="00A336B8" w:rsidP="005F7186">
            <w:pPr>
              <w:keepLines/>
              <w:ind w:left="522"/>
              <w:jc w:val="both"/>
            </w:pPr>
            <w:r>
              <w:t>Assistant Attorney General</w:t>
            </w:r>
          </w:p>
          <w:p w:rsidR="00A336B8" w:rsidRDefault="00A336B8" w:rsidP="005F7186">
            <w:pPr>
              <w:keepLines/>
              <w:ind w:left="522"/>
              <w:jc w:val="both"/>
            </w:pPr>
            <w:r>
              <w:t>ANDREW J. O’CONNELL</w:t>
            </w:r>
          </w:p>
          <w:p w:rsidR="009F72FE" w:rsidRDefault="00A336B8" w:rsidP="005F7186">
            <w:pPr>
              <w:keepLines/>
              <w:ind w:left="522"/>
              <w:jc w:val="both"/>
            </w:pPr>
            <w:r>
              <w:t>Assistant Attorney General</w:t>
            </w:r>
            <w:r>
              <w:cr/>
            </w:r>
            <w:r w:rsidR="009F72FE">
              <w:t>JEFF ROBERSON</w:t>
            </w:r>
          </w:p>
          <w:p w:rsidR="009F72FE" w:rsidRDefault="009F72FE" w:rsidP="005F7186">
            <w:pPr>
              <w:keepLines/>
              <w:ind w:left="522"/>
              <w:jc w:val="both"/>
            </w:pPr>
            <w:r>
              <w:t>Assistant Attorney General</w:t>
            </w:r>
          </w:p>
          <w:p w:rsidR="009F72FE" w:rsidRPr="00A336B8" w:rsidRDefault="009F72FE" w:rsidP="005F7186">
            <w:pPr>
              <w:keepLines/>
              <w:spacing w:before="240" w:after="480"/>
              <w:ind w:left="72"/>
            </w:pPr>
            <w:r>
              <w:t>Attorneys for Washington Utilities and</w:t>
            </w:r>
            <w:r>
              <w:br/>
              <w:t>Transportation Commission Staff</w:t>
            </w:r>
          </w:p>
        </w:tc>
      </w:tr>
      <w:tr w:rsidR="00A336B8" w:rsidTr="00E26174">
        <w:tc>
          <w:tcPr>
            <w:tcW w:w="4788" w:type="dxa"/>
          </w:tcPr>
          <w:p w:rsidR="00A336B8" w:rsidRPr="000968BB" w:rsidRDefault="00A079A9" w:rsidP="005F7186">
            <w:pPr>
              <w:keepNext/>
              <w:keepLines/>
              <w:jc w:val="both"/>
              <w:rPr>
                <w:b/>
              </w:rPr>
            </w:pPr>
            <w:r>
              <w:rPr>
                <w:b/>
              </w:rPr>
              <w:t>DAVISON VAN CLEVE, P.C.</w:t>
            </w:r>
          </w:p>
        </w:tc>
        <w:tc>
          <w:tcPr>
            <w:tcW w:w="4788" w:type="dxa"/>
          </w:tcPr>
          <w:p w:rsidR="00A336B8" w:rsidRPr="004F6CC3" w:rsidRDefault="00A079A9" w:rsidP="005F7186">
            <w:pPr>
              <w:keepNext/>
              <w:keepLines/>
              <w:jc w:val="both"/>
              <w:rPr>
                <w:b/>
              </w:rPr>
            </w:pPr>
            <w:r>
              <w:rPr>
                <w:b/>
              </w:rPr>
              <w:t>SIMON J. FFITCH</w:t>
            </w:r>
          </w:p>
          <w:p w:rsidR="00A336B8" w:rsidRPr="00DB651B" w:rsidRDefault="00A079A9" w:rsidP="005F7186">
            <w:pPr>
              <w:keepNext/>
              <w:keepLines/>
              <w:jc w:val="both"/>
              <w:rPr>
                <w:b/>
              </w:rPr>
            </w:pPr>
            <w:r>
              <w:rPr>
                <w:b/>
              </w:rPr>
              <w:t>Attorney at Law</w:t>
            </w:r>
          </w:p>
        </w:tc>
      </w:tr>
      <w:tr w:rsidR="00A079A9" w:rsidTr="00E26174">
        <w:tc>
          <w:tcPr>
            <w:tcW w:w="4788" w:type="dxa"/>
          </w:tcPr>
          <w:p w:rsidR="00A079A9" w:rsidRDefault="00A079A9" w:rsidP="005F7186">
            <w:pPr>
              <w:keepNext/>
              <w:keepLines/>
              <w:tabs>
                <w:tab w:val="right" w:pos="3762"/>
                <w:tab w:val="right" w:pos="8640"/>
              </w:tabs>
              <w:spacing w:before="480"/>
              <w:ind w:left="72"/>
              <w:jc w:val="both"/>
              <w:rPr>
                <w:u w:val="single"/>
              </w:rPr>
            </w:pPr>
            <w:r>
              <w:t xml:space="preserve">By: </w:t>
            </w:r>
            <w:r w:rsidRPr="00952D11">
              <w:rPr>
                <w:u w:val="single"/>
              </w:rPr>
              <w:tab/>
            </w:r>
          </w:p>
          <w:p w:rsidR="00A079A9" w:rsidRDefault="00A079A9" w:rsidP="005F7186">
            <w:pPr>
              <w:keepNext/>
              <w:keepLines/>
              <w:ind w:left="522"/>
              <w:jc w:val="both"/>
            </w:pPr>
            <w:r>
              <w:t xml:space="preserve">TYLER </w:t>
            </w:r>
            <w:r w:rsidR="009D6815">
              <w:t>C</w:t>
            </w:r>
            <w:r>
              <w:t>. PEPPLE</w:t>
            </w:r>
          </w:p>
          <w:p w:rsidR="00A079A9" w:rsidRDefault="00A079A9" w:rsidP="005F7186">
            <w:pPr>
              <w:keepNext/>
              <w:keepLines/>
              <w:ind w:left="522"/>
              <w:jc w:val="both"/>
            </w:pPr>
            <w:r w:rsidRPr="00A079A9">
              <w:t>PATRICK J. OSHIE</w:t>
            </w:r>
          </w:p>
          <w:p w:rsidR="00A079A9" w:rsidRPr="00A336B8" w:rsidRDefault="00A079A9" w:rsidP="005F7186">
            <w:pPr>
              <w:keepNext/>
              <w:keepLines/>
              <w:spacing w:before="240" w:after="600"/>
              <w:ind w:left="72"/>
            </w:pPr>
            <w:r>
              <w:t>Attorneys for Industrial Customers of Northwest Utilities</w:t>
            </w:r>
          </w:p>
        </w:tc>
        <w:tc>
          <w:tcPr>
            <w:tcW w:w="4788" w:type="dxa"/>
          </w:tcPr>
          <w:p w:rsidR="00A079A9" w:rsidRDefault="00A079A9" w:rsidP="005F7186">
            <w:pPr>
              <w:keepNext/>
              <w:keepLines/>
              <w:tabs>
                <w:tab w:val="right" w:pos="3762"/>
                <w:tab w:val="right" w:pos="8640"/>
              </w:tabs>
              <w:spacing w:before="480"/>
              <w:ind w:left="72"/>
              <w:jc w:val="both"/>
              <w:rPr>
                <w:u w:val="single"/>
              </w:rPr>
            </w:pPr>
            <w:r>
              <w:t xml:space="preserve">By: </w:t>
            </w:r>
            <w:r w:rsidRPr="00952D11">
              <w:rPr>
                <w:u w:val="single"/>
              </w:rPr>
              <w:tab/>
            </w:r>
          </w:p>
          <w:p w:rsidR="00A079A9" w:rsidRDefault="00A079A9" w:rsidP="005F7186">
            <w:pPr>
              <w:keepNext/>
              <w:keepLines/>
              <w:ind w:left="522"/>
              <w:jc w:val="both"/>
            </w:pPr>
            <w:r>
              <w:t>SIMON J. FFITCH</w:t>
            </w:r>
          </w:p>
          <w:p w:rsidR="00A079A9" w:rsidRPr="00A336B8" w:rsidRDefault="00A079A9" w:rsidP="005F7186">
            <w:pPr>
              <w:keepNext/>
              <w:keepLines/>
              <w:spacing w:before="480" w:after="600"/>
              <w:ind w:left="72"/>
            </w:pPr>
            <w:r>
              <w:t>Attorney for The Energy Project</w:t>
            </w:r>
          </w:p>
        </w:tc>
      </w:tr>
      <w:tr w:rsidR="00A079A9" w:rsidTr="00E26174">
        <w:tc>
          <w:tcPr>
            <w:tcW w:w="4788" w:type="dxa"/>
          </w:tcPr>
          <w:p w:rsidR="00A079A9" w:rsidRPr="000968BB" w:rsidRDefault="00536BD8" w:rsidP="005F7186">
            <w:pPr>
              <w:keepNext/>
              <w:keepLines/>
              <w:jc w:val="both"/>
              <w:rPr>
                <w:b/>
              </w:rPr>
            </w:pPr>
            <w:r>
              <w:rPr>
                <w:b/>
              </w:rPr>
              <w:t>FEDERAL EXECUTIVE AGENCIES</w:t>
            </w:r>
          </w:p>
        </w:tc>
        <w:tc>
          <w:tcPr>
            <w:tcW w:w="4788" w:type="dxa"/>
          </w:tcPr>
          <w:p w:rsidR="00A079A9" w:rsidRPr="00DB651B" w:rsidRDefault="00536BD8" w:rsidP="005F7186">
            <w:pPr>
              <w:keepNext/>
              <w:keepLines/>
              <w:jc w:val="both"/>
              <w:rPr>
                <w:b/>
              </w:rPr>
            </w:pPr>
            <w:r>
              <w:rPr>
                <w:b/>
              </w:rPr>
              <w:t>SIERRA CLUB</w:t>
            </w:r>
          </w:p>
        </w:tc>
      </w:tr>
      <w:tr w:rsidR="00536BD8" w:rsidTr="00E26174">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5F7186">
            <w:pPr>
              <w:keepNext/>
              <w:keepLines/>
              <w:ind w:left="522"/>
              <w:jc w:val="both"/>
            </w:pPr>
            <w:r w:rsidRPr="00536BD8">
              <w:t>RITA M. LIOTTA</w:t>
            </w:r>
          </w:p>
          <w:p w:rsidR="00E26174" w:rsidRPr="00A336B8" w:rsidRDefault="00536BD8" w:rsidP="005F7186">
            <w:pPr>
              <w:keepNext/>
              <w:keepLines/>
              <w:spacing w:before="240" w:after="600"/>
              <w:ind w:left="72"/>
            </w:pPr>
            <w:r>
              <w:t>Attorney for Federal Executive Agencies</w:t>
            </w:r>
          </w:p>
        </w:tc>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5F7186">
            <w:pPr>
              <w:keepNext/>
              <w:keepLines/>
              <w:ind w:left="522"/>
              <w:jc w:val="both"/>
            </w:pPr>
            <w:r>
              <w:t>TRAVIS RITCHIE</w:t>
            </w:r>
          </w:p>
          <w:p w:rsidR="00536BD8" w:rsidRPr="00A336B8" w:rsidRDefault="00536BD8" w:rsidP="005F7186">
            <w:pPr>
              <w:keepNext/>
              <w:keepLines/>
              <w:spacing w:before="240" w:after="600"/>
              <w:ind w:left="72"/>
            </w:pPr>
            <w:r>
              <w:t>Attorney for Sierra Club</w:t>
            </w:r>
          </w:p>
        </w:tc>
      </w:tr>
    </w:tbl>
    <w:p w:rsidR="005F7186" w:rsidRDefault="005F71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A079A9" w:rsidTr="00E26174">
        <w:tc>
          <w:tcPr>
            <w:tcW w:w="4788" w:type="dxa"/>
          </w:tcPr>
          <w:p w:rsidR="00A079A9" w:rsidRPr="00536BD8" w:rsidRDefault="00536BD8" w:rsidP="005F7186">
            <w:pPr>
              <w:keepLines/>
              <w:rPr>
                <w:rFonts w:eastAsia="Times New Roman" w:cs="Times New Roman"/>
                <w:b/>
              </w:rPr>
            </w:pPr>
            <w:r w:rsidRPr="00536BD8">
              <w:rPr>
                <w:rFonts w:eastAsia="Times New Roman" w:cs="Times New Roman"/>
                <w:b/>
              </w:rPr>
              <w:lastRenderedPageBreak/>
              <w:t>ORRICK, HERRINGTON &amp;</w:t>
            </w:r>
            <w:r>
              <w:rPr>
                <w:rFonts w:eastAsia="Times New Roman" w:cs="Times New Roman"/>
                <w:b/>
              </w:rPr>
              <w:br/>
            </w:r>
            <w:r w:rsidRPr="00536BD8">
              <w:rPr>
                <w:rFonts w:eastAsia="Times New Roman" w:cs="Times New Roman"/>
                <w:b/>
              </w:rPr>
              <w:t>SUTCLIFFE</w:t>
            </w:r>
          </w:p>
        </w:tc>
        <w:tc>
          <w:tcPr>
            <w:tcW w:w="4788" w:type="dxa"/>
          </w:tcPr>
          <w:p w:rsidR="00A079A9" w:rsidRPr="00536BD8" w:rsidRDefault="00536BD8" w:rsidP="005F7186">
            <w:pPr>
              <w:keepLines/>
              <w:rPr>
                <w:rFonts w:eastAsia="Times New Roman" w:cs="Times New Roman"/>
                <w:b/>
              </w:rPr>
            </w:pPr>
            <w:r w:rsidRPr="00536BD8">
              <w:rPr>
                <w:rFonts w:eastAsia="Times New Roman" w:cs="Times New Roman"/>
                <w:b/>
              </w:rPr>
              <w:t>EARTHJUSTICE</w:t>
            </w:r>
          </w:p>
        </w:tc>
      </w:tr>
      <w:tr w:rsidR="00536BD8" w:rsidTr="00E26174">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5F7186">
            <w:pPr>
              <w:keepNext/>
              <w:keepLines/>
              <w:ind w:left="522"/>
              <w:jc w:val="both"/>
            </w:pPr>
            <w:r w:rsidRPr="00536BD8">
              <w:t>ROBERT M. MCKENNA</w:t>
            </w:r>
          </w:p>
          <w:p w:rsidR="00536BD8" w:rsidRDefault="00536BD8" w:rsidP="005F7186">
            <w:pPr>
              <w:keepNext/>
              <w:keepLines/>
              <w:ind w:left="522"/>
              <w:jc w:val="both"/>
            </w:pPr>
            <w:r w:rsidRPr="00536BD8">
              <w:t>BRIAN MORAN</w:t>
            </w:r>
          </w:p>
          <w:p w:rsidR="00536BD8" w:rsidRPr="00A336B8" w:rsidRDefault="00536BD8" w:rsidP="005F7186">
            <w:pPr>
              <w:keepNext/>
              <w:keepLines/>
              <w:spacing w:before="240" w:after="600"/>
              <w:ind w:left="72"/>
            </w:pPr>
            <w:r>
              <w:t>Attorneys for the State of Montana</w:t>
            </w:r>
          </w:p>
        </w:tc>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5F7186">
            <w:pPr>
              <w:keepNext/>
              <w:keepLines/>
              <w:ind w:left="522"/>
              <w:jc w:val="both"/>
            </w:pPr>
            <w:r w:rsidRPr="00536BD8">
              <w:t>AMANDA W. GOODI</w:t>
            </w:r>
            <w:r>
              <w:t>N</w:t>
            </w:r>
          </w:p>
          <w:p w:rsidR="00536BD8" w:rsidRDefault="00536BD8" w:rsidP="005F7186">
            <w:pPr>
              <w:keepNext/>
              <w:keepLines/>
              <w:ind w:left="522"/>
              <w:jc w:val="both"/>
            </w:pPr>
            <w:r w:rsidRPr="00536BD8">
              <w:t>KRISTEN L. BOYLES</w:t>
            </w:r>
          </w:p>
          <w:p w:rsidR="00536BD8" w:rsidRPr="00A336B8" w:rsidRDefault="00536BD8" w:rsidP="005F7186">
            <w:pPr>
              <w:keepNext/>
              <w:keepLines/>
              <w:spacing w:before="240" w:after="600"/>
              <w:ind w:left="72"/>
            </w:pPr>
            <w:r>
              <w:t>Attorneys for NW Energy Coalition, Renewable Northwest, and Natural Resources Defense Council</w:t>
            </w:r>
          </w:p>
        </w:tc>
      </w:tr>
      <w:tr w:rsidR="00536BD8" w:rsidTr="00E26174">
        <w:tc>
          <w:tcPr>
            <w:tcW w:w="4788" w:type="dxa"/>
          </w:tcPr>
          <w:p w:rsidR="00536BD8" w:rsidRPr="00536BD8" w:rsidRDefault="00536BD8" w:rsidP="00033DD3">
            <w:pPr>
              <w:rPr>
                <w:rFonts w:eastAsia="Times New Roman" w:cs="Times New Roman"/>
                <w:b/>
              </w:rPr>
            </w:pPr>
            <w:r w:rsidRPr="00536BD8">
              <w:rPr>
                <w:rFonts w:eastAsia="Times New Roman" w:cs="Times New Roman"/>
                <w:b/>
              </w:rPr>
              <w:t>CABLE HUSTON LLP</w:t>
            </w:r>
          </w:p>
        </w:tc>
        <w:tc>
          <w:tcPr>
            <w:tcW w:w="4788" w:type="dxa"/>
          </w:tcPr>
          <w:p w:rsidR="00536BD8" w:rsidRPr="00536BD8" w:rsidRDefault="00E26174" w:rsidP="00033DD3">
            <w:pPr>
              <w:rPr>
                <w:rFonts w:eastAsia="Times New Roman" w:cs="Times New Roman"/>
                <w:b/>
              </w:rPr>
            </w:pPr>
            <w:r>
              <w:rPr>
                <w:rFonts w:eastAsia="Times New Roman" w:cs="Times New Roman"/>
                <w:b/>
              </w:rPr>
              <w:t>BOEHM, KURTZ &amp; LOWRY</w:t>
            </w:r>
          </w:p>
        </w:tc>
      </w:tr>
      <w:tr w:rsidR="00536BD8" w:rsidTr="00E26174">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E26174" w:rsidP="005F7186">
            <w:pPr>
              <w:keepNext/>
              <w:keepLines/>
              <w:ind w:left="522"/>
              <w:jc w:val="both"/>
            </w:pPr>
            <w:r>
              <w:t>CHAD M. STOKES</w:t>
            </w:r>
          </w:p>
          <w:p w:rsidR="00536BD8" w:rsidRDefault="00E26174" w:rsidP="005F7186">
            <w:pPr>
              <w:keepNext/>
              <w:keepLines/>
              <w:ind w:left="522"/>
              <w:jc w:val="both"/>
            </w:pPr>
            <w:r>
              <w:t>TOMMY A. BROOKS</w:t>
            </w:r>
          </w:p>
          <w:p w:rsidR="00536BD8" w:rsidRPr="00A336B8" w:rsidRDefault="00536BD8" w:rsidP="005F7186">
            <w:pPr>
              <w:keepNext/>
              <w:keepLines/>
              <w:spacing w:before="240" w:after="600"/>
              <w:ind w:left="72"/>
            </w:pPr>
            <w:r>
              <w:t xml:space="preserve">Attorneys for </w:t>
            </w:r>
            <w:r w:rsidR="00E26174">
              <w:t>Northwest Industrial Gas Users</w:t>
            </w:r>
          </w:p>
        </w:tc>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E26174" w:rsidP="005F7186">
            <w:pPr>
              <w:keepNext/>
              <w:keepLines/>
              <w:ind w:left="522"/>
              <w:jc w:val="both"/>
            </w:pPr>
            <w:r>
              <w:t>KURT J. BOEHM</w:t>
            </w:r>
          </w:p>
          <w:p w:rsidR="00536BD8" w:rsidRDefault="00E26174" w:rsidP="005F7186">
            <w:pPr>
              <w:keepNext/>
              <w:keepLines/>
              <w:ind w:left="522"/>
              <w:jc w:val="both"/>
            </w:pPr>
            <w:r>
              <w:t>JODY KYLER COHN</w:t>
            </w:r>
          </w:p>
          <w:p w:rsidR="00E26174" w:rsidRPr="00A336B8" w:rsidRDefault="00536BD8" w:rsidP="005F7186">
            <w:pPr>
              <w:keepNext/>
              <w:keepLines/>
              <w:spacing w:before="240" w:after="600"/>
              <w:ind w:left="72"/>
            </w:pPr>
            <w:r>
              <w:t xml:space="preserve">Attorneys for </w:t>
            </w:r>
            <w:r w:rsidR="00E26174">
              <w:t>The Kroger Co.</w:t>
            </w:r>
          </w:p>
        </w:tc>
      </w:tr>
    </w:tbl>
    <w:p w:rsidR="004060F6" w:rsidRPr="005F7186" w:rsidRDefault="004060F6" w:rsidP="005F7186"/>
    <w:sectPr w:rsidR="004060F6" w:rsidRPr="005F7186" w:rsidSect="004060F6">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8C" w:rsidRPr="002E20DC" w:rsidRDefault="0037578C" w:rsidP="00AE5A8A">
      <w:r w:rsidRPr="002E20DC">
        <w:separator/>
      </w:r>
    </w:p>
  </w:endnote>
  <w:endnote w:type="continuationSeparator" w:id="0">
    <w:p w:rsidR="0037578C" w:rsidRPr="002E20DC" w:rsidRDefault="0037578C"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7C" w:rsidRDefault="0013147C" w:rsidP="00E701AF">
    <w:pPr>
      <w:pStyle w:val="Footer"/>
      <w:tabs>
        <w:tab w:val="clear" w:pos="4680"/>
      </w:tabs>
      <w:spacing w:before="240"/>
    </w:pPr>
    <w:r>
      <w:t>Multiparty Settlement</w:t>
    </w:r>
    <w:r w:rsidRPr="005F7186">
      <w:t xml:space="preserve"> </w:t>
    </w:r>
    <w:r>
      <w:tab/>
      <w:t xml:space="preserve">Page </w:t>
    </w:r>
    <w:r w:rsidRPr="00D23670">
      <w:fldChar w:fldCharType="begin"/>
    </w:r>
    <w:r w:rsidRPr="00D23670">
      <w:instrText xml:space="preserve"> PAGE  \* Arabic  \* MERGEFORMAT </w:instrText>
    </w:r>
    <w:r w:rsidRPr="00D23670">
      <w:fldChar w:fldCharType="separate"/>
    </w:r>
    <w:r w:rsidR="00DE0DA6">
      <w:rPr>
        <w:noProof/>
      </w:rPr>
      <w:t>2</w:t>
    </w:r>
    <w:r w:rsidRPr="00D23670">
      <w:fldChar w:fldCharType="end"/>
    </w:r>
    <w:r w:rsidRPr="00D23670">
      <w:t xml:space="preserve"> of </w:t>
    </w:r>
    <w:r>
      <w:t>3</w:t>
    </w:r>
    <w:r w:rsidR="002D745B">
      <w:t>9</w:t>
    </w:r>
  </w:p>
  <w:p w:rsidR="0013147C" w:rsidRPr="00D23670" w:rsidRDefault="0013147C" w:rsidP="00D23670">
    <w:pPr>
      <w:pStyle w:val="Footer"/>
    </w:pPr>
    <w:r>
      <w:t>Stipulation and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7C" w:rsidRPr="00D23670" w:rsidRDefault="0013147C" w:rsidP="00575D23">
    <w:pPr>
      <w:pStyle w:val="Footer"/>
      <w:tabs>
        <w:tab w:val="clear" w:pos="4680"/>
      </w:tabs>
    </w:pPr>
    <w:r>
      <w:t>Multiparty Settlement</w:t>
    </w:r>
    <w:r>
      <w:tab/>
      <w:t xml:space="preserve">Page </w:t>
    </w:r>
    <w:r w:rsidRPr="00D23670">
      <w:fldChar w:fldCharType="begin"/>
    </w:r>
    <w:r w:rsidRPr="00D23670">
      <w:instrText xml:space="preserve"> PAGE  \* Arabic  \* MERGEFORMAT </w:instrText>
    </w:r>
    <w:r w:rsidRPr="00D23670">
      <w:fldChar w:fldCharType="separate"/>
    </w:r>
    <w:r w:rsidR="00DE0DA6">
      <w:rPr>
        <w:noProof/>
      </w:rPr>
      <w:t>1</w:t>
    </w:r>
    <w:r w:rsidRPr="00D23670">
      <w:fldChar w:fldCharType="end"/>
    </w:r>
    <w:r>
      <w:t xml:space="preserve"> of 3</w:t>
    </w:r>
    <w:r w:rsidR="002D745B">
      <w:t>9</w:t>
    </w:r>
  </w:p>
  <w:p w:rsidR="0013147C" w:rsidRPr="00575D23" w:rsidRDefault="0013147C" w:rsidP="00575D23">
    <w:pPr>
      <w:pStyle w:val="Footer"/>
    </w:pPr>
    <w:r>
      <w:t>Stipulation and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8C" w:rsidRPr="002E20DC" w:rsidRDefault="0037578C" w:rsidP="00AE5A8A">
      <w:r w:rsidRPr="002E20DC">
        <w:separator/>
      </w:r>
    </w:p>
  </w:footnote>
  <w:footnote w:type="continuationSeparator" w:id="0">
    <w:p w:rsidR="0037578C" w:rsidRPr="002E20DC" w:rsidRDefault="0037578C" w:rsidP="00AE5A8A">
      <w:r w:rsidRPr="002E20DC">
        <w:continuationSeparator/>
      </w:r>
    </w:p>
  </w:footnote>
  <w:footnote w:id="1">
    <w:p w:rsidR="0013147C" w:rsidRDefault="0013147C" w:rsidP="00FE1E75">
      <w:pPr>
        <w:pStyle w:val="FootnoteText"/>
        <w:ind w:left="360" w:hanging="360"/>
      </w:pPr>
      <w:r>
        <w:rPr>
          <w:rStyle w:val="FootnoteReference"/>
        </w:rPr>
        <w:footnoteRef/>
      </w:r>
      <w:r>
        <w:tab/>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0F0C7A">
        <w:rPr>
          <w:i/>
        </w:rPr>
        <w:t>See</w:t>
      </w:r>
      <w:r>
        <w:t> RCW 34.05.455.</w:t>
      </w:r>
    </w:p>
  </w:footnote>
  <w:footnote w:id="2">
    <w:p w:rsidR="00AF798B" w:rsidRDefault="00AF798B" w:rsidP="00AF798B">
      <w:pPr>
        <w:pStyle w:val="FootnoteText"/>
        <w:ind w:left="360" w:hanging="360"/>
      </w:pPr>
      <w:r>
        <w:rPr>
          <w:rStyle w:val="FootnoteReference"/>
        </w:rPr>
        <w:footnoteRef/>
      </w:r>
      <w:r>
        <w:tab/>
      </w:r>
      <w:r w:rsidRPr="00AF798B">
        <w:t xml:space="preserve">Adjustment No. 13.05 – Tax Benefit of Pro Forma Interest </w:t>
      </w:r>
      <w:r>
        <w:t>is equal to the product of (i) electric rate base of $5,166,534,272, multiplied by (ii) the weighted average cost of debt of 2.99%, multiplied by (ii) the federal tax rate of 35 percent.</w:t>
      </w:r>
    </w:p>
  </w:footnote>
  <w:footnote w:id="3">
    <w:p w:rsidR="00AF798B" w:rsidRDefault="00AF798B" w:rsidP="00AF798B">
      <w:pPr>
        <w:pStyle w:val="FootnoteText"/>
        <w:ind w:left="360" w:hanging="360"/>
      </w:pPr>
      <w:r>
        <w:rPr>
          <w:rStyle w:val="FootnoteReference"/>
        </w:rPr>
        <w:footnoteRef/>
      </w:r>
      <w:r>
        <w:tab/>
      </w:r>
      <w:r w:rsidRPr="00AF798B">
        <w:t xml:space="preserve">Adjustment No. </w:t>
      </w:r>
      <w:r>
        <w:t>11</w:t>
      </w:r>
      <w:r w:rsidRPr="00AF798B">
        <w:t xml:space="preserve">.05 – Tax Benefit of Pro Forma Interest </w:t>
      </w:r>
      <w:r>
        <w:t>is equal to the product of (i) natural gas rate base of $1,765,436,979, multiplied by (ii) the weighted average cost of debt of 2.99%, multiplied by (ii) the federal tax rate of 35 percent.</w:t>
      </w:r>
    </w:p>
  </w:footnote>
  <w:footnote w:id="4">
    <w:p w:rsidR="00C42C99" w:rsidRDefault="00C42C99" w:rsidP="00C42C99">
      <w:pPr>
        <w:pStyle w:val="FootnoteText"/>
        <w:ind w:left="360" w:hanging="360"/>
      </w:pPr>
      <w:r>
        <w:rPr>
          <w:rStyle w:val="FootnoteReference"/>
        </w:rPr>
        <w:footnoteRef/>
      </w:r>
      <w:r>
        <w:tab/>
      </w:r>
      <w:r w:rsidRPr="007926D9">
        <w:rPr>
          <w:i/>
        </w:rPr>
        <w:t>See, e.g.,</w:t>
      </w:r>
      <w:r>
        <w:t xml:space="preserve"> </w:t>
      </w:r>
      <w:proofErr w:type="spellStart"/>
      <w:r>
        <w:t>Cheesman</w:t>
      </w:r>
      <w:proofErr w:type="spellEnd"/>
      <w:r>
        <w:t xml:space="preserve">, </w:t>
      </w:r>
      <w:proofErr w:type="spellStart"/>
      <w:r>
        <w:t>Exh</w:t>
      </w:r>
      <w:proofErr w:type="spellEnd"/>
      <w:r>
        <w:t>. MCC-3r at 3.</w:t>
      </w:r>
    </w:p>
  </w:footnote>
  <w:footnote w:id="5">
    <w:p w:rsidR="00C42C99" w:rsidRDefault="00C42C99" w:rsidP="00C42C99">
      <w:pPr>
        <w:pStyle w:val="FootnoteText"/>
        <w:ind w:left="360" w:hanging="360"/>
      </w:pPr>
      <w:r>
        <w:rPr>
          <w:rStyle w:val="FootnoteReference"/>
        </w:rPr>
        <w:footnoteRef/>
      </w:r>
      <w:r>
        <w:tab/>
      </w:r>
      <w:r w:rsidRPr="007926D9">
        <w:rPr>
          <w:i/>
        </w:rPr>
        <w:t>See, e.g.,</w:t>
      </w:r>
      <w:r>
        <w:t xml:space="preserve"> </w:t>
      </w:r>
      <w:proofErr w:type="spellStart"/>
      <w:r>
        <w:t>Cheesman</w:t>
      </w:r>
      <w:proofErr w:type="spellEnd"/>
      <w:r>
        <w:t xml:space="preserve">, </w:t>
      </w:r>
      <w:proofErr w:type="spellStart"/>
      <w:r>
        <w:t>Exh</w:t>
      </w:r>
      <w:proofErr w:type="spellEnd"/>
      <w:r>
        <w:t>. MCC-8r at 3.</w:t>
      </w:r>
    </w:p>
  </w:footnote>
  <w:footnote w:id="6">
    <w:p w:rsidR="00D8148E" w:rsidRDefault="00D8148E" w:rsidP="00D8148E">
      <w:pPr>
        <w:pStyle w:val="FootnoteText"/>
        <w:ind w:left="360" w:hanging="360"/>
      </w:pPr>
      <w:r>
        <w:rPr>
          <w:rStyle w:val="FootnoteReference"/>
        </w:rPr>
        <w:footnoteRef/>
      </w:r>
      <w:r>
        <w:tab/>
        <w:t>The base funding for HELP of $21,200,000 was approved in Dockets UE-121697/UG-121705. Approved additions were made to this level of HELP funding on October 1, 2013;</w:t>
      </w:r>
      <w:r w:rsidRPr="00B826F5">
        <w:t xml:space="preserve"> </w:t>
      </w:r>
      <w:r>
        <w:t>October 1, 2014;</w:t>
      </w:r>
      <w:r w:rsidRPr="00B826F5">
        <w:t xml:space="preserve"> </w:t>
      </w:r>
      <w:r>
        <w:t>October 1, 2015;</w:t>
      </w:r>
      <w:r w:rsidRPr="00B826F5">
        <w:t xml:space="preserve"> </w:t>
      </w:r>
      <w:r>
        <w:t xml:space="preserve">and October 1, 2016. Thus, the total funding level approved for HELP is currently $23,502,979.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B44EE8"/>
    <w:lvl w:ilvl="0">
      <w:start w:val="1"/>
      <w:numFmt w:val="decimal"/>
      <w:lvlText w:val="%1."/>
      <w:lvlJc w:val="left"/>
      <w:pPr>
        <w:tabs>
          <w:tab w:val="num" w:pos="1800"/>
        </w:tabs>
        <w:ind w:left="1800" w:hanging="360"/>
      </w:pPr>
    </w:lvl>
  </w:abstractNum>
  <w:abstractNum w:abstractNumId="1">
    <w:nsid w:val="FFFFFF7D"/>
    <w:multiLevelType w:val="singleLevel"/>
    <w:tmpl w:val="05C0FD28"/>
    <w:lvl w:ilvl="0">
      <w:start w:val="1"/>
      <w:numFmt w:val="decimal"/>
      <w:lvlText w:val="%1."/>
      <w:lvlJc w:val="left"/>
      <w:pPr>
        <w:tabs>
          <w:tab w:val="num" w:pos="1440"/>
        </w:tabs>
        <w:ind w:left="1440" w:hanging="360"/>
      </w:pPr>
    </w:lvl>
  </w:abstractNum>
  <w:abstractNum w:abstractNumId="2">
    <w:nsid w:val="FFFFFF7E"/>
    <w:multiLevelType w:val="singleLevel"/>
    <w:tmpl w:val="CB0053FA"/>
    <w:lvl w:ilvl="0">
      <w:start w:val="1"/>
      <w:numFmt w:val="decimal"/>
      <w:lvlText w:val="%1."/>
      <w:lvlJc w:val="left"/>
      <w:pPr>
        <w:tabs>
          <w:tab w:val="num" w:pos="1080"/>
        </w:tabs>
        <w:ind w:left="1080" w:hanging="360"/>
      </w:pPr>
    </w:lvl>
  </w:abstractNum>
  <w:abstractNum w:abstractNumId="3">
    <w:nsid w:val="FFFFFF7F"/>
    <w:multiLevelType w:val="singleLevel"/>
    <w:tmpl w:val="FFC250F2"/>
    <w:lvl w:ilvl="0">
      <w:start w:val="1"/>
      <w:numFmt w:val="decimal"/>
      <w:lvlText w:val="%1."/>
      <w:lvlJc w:val="left"/>
      <w:pPr>
        <w:tabs>
          <w:tab w:val="num" w:pos="720"/>
        </w:tabs>
        <w:ind w:left="720" w:hanging="360"/>
      </w:pPr>
    </w:lvl>
  </w:abstractNum>
  <w:abstractNum w:abstractNumId="4">
    <w:nsid w:val="FFFFFF80"/>
    <w:multiLevelType w:val="singleLevel"/>
    <w:tmpl w:val="E1200F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B2F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3A61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988F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61B34"/>
    <w:lvl w:ilvl="0">
      <w:start w:val="1"/>
      <w:numFmt w:val="decimal"/>
      <w:lvlText w:val="%1."/>
      <w:lvlJc w:val="left"/>
      <w:pPr>
        <w:tabs>
          <w:tab w:val="num" w:pos="360"/>
        </w:tabs>
        <w:ind w:left="360" w:hanging="360"/>
      </w:pPr>
    </w:lvl>
  </w:abstractNum>
  <w:abstractNum w:abstractNumId="9">
    <w:nsid w:val="FFFFFF89"/>
    <w:multiLevelType w:val="singleLevel"/>
    <w:tmpl w:val="8CD8C7B2"/>
    <w:lvl w:ilvl="0">
      <w:start w:val="1"/>
      <w:numFmt w:val="bullet"/>
      <w:lvlText w:val=""/>
      <w:lvlJc w:val="left"/>
      <w:pPr>
        <w:tabs>
          <w:tab w:val="num" w:pos="360"/>
        </w:tabs>
        <w:ind w:left="360" w:hanging="360"/>
      </w:pPr>
      <w:rPr>
        <w:rFonts w:ascii="Symbol" w:hAnsi="Symbol" w:hint="default"/>
      </w:rPr>
    </w:lvl>
  </w:abstractNum>
  <w:abstractNum w:abstractNumId="10">
    <w:nsid w:val="1B302B45"/>
    <w:multiLevelType w:val="hybridMultilevel"/>
    <w:tmpl w:val="715EC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E12058"/>
    <w:multiLevelType w:val="hybridMultilevel"/>
    <w:tmpl w:val="C554BBA0"/>
    <w:lvl w:ilvl="0" w:tplc="8E38673E">
      <w:start w:val="1"/>
      <w:numFmt w:val="decimal"/>
      <w:pStyle w:val="ListParagraph"/>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lvlOverride w:ilvl="0">
      <w:startOverride w:val="1"/>
    </w:lvlOverride>
  </w:num>
  <w:num w:numId="14">
    <w:abstractNumId w:val="1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ler C. Pepple">
    <w15:presenceInfo w15:providerId="AD" w15:userId="S-1-5-21-1364278461-772529801-1134363619-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FD"/>
    <w:rsid w:val="00004F02"/>
    <w:rsid w:val="00012A5D"/>
    <w:rsid w:val="000151E4"/>
    <w:rsid w:val="00024A70"/>
    <w:rsid w:val="00026B33"/>
    <w:rsid w:val="000301FE"/>
    <w:rsid w:val="00031E2C"/>
    <w:rsid w:val="00033DD3"/>
    <w:rsid w:val="0005257E"/>
    <w:rsid w:val="000554C3"/>
    <w:rsid w:val="0006476E"/>
    <w:rsid w:val="00083A53"/>
    <w:rsid w:val="000930B3"/>
    <w:rsid w:val="000A2A84"/>
    <w:rsid w:val="000C31EE"/>
    <w:rsid w:val="000D0393"/>
    <w:rsid w:val="000D2179"/>
    <w:rsid w:val="000D400B"/>
    <w:rsid w:val="000F0C7A"/>
    <w:rsid w:val="00121EC6"/>
    <w:rsid w:val="0012237F"/>
    <w:rsid w:val="0013147C"/>
    <w:rsid w:val="00143D68"/>
    <w:rsid w:val="00147A0E"/>
    <w:rsid w:val="00151B86"/>
    <w:rsid w:val="00162156"/>
    <w:rsid w:val="00175CBF"/>
    <w:rsid w:val="00176AA6"/>
    <w:rsid w:val="00194426"/>
    <w:rsid w:val="00195A7D"/>
    <w:rsid w:val="001B51B7"/>
    <w:rsid w:val="001C3B7F"/>
    <w:rsid w:val="001C41BD"/>
    <w:rsid w:val="001D0E83"/>
    <w:rsid w:val="001D1366"/>
    <w:rsid w:val="002173B8"/>
    <w:rsid w:val="00236F29"/>
    <w:rsid w:val="0024434C"/>
    <w:rsid w:val="0026096F"/>
    <w:rsid w:val="00280FCF"/>
    <w:rsid w:val="0028695C"/>
    <w:rsid w:val="00287368"/>
    <w:rsid w:val="00287B69"/>
    <w:rsid w:val="0029238C"/>
    <w:rsid w:val="00292C9F"/>
    <w:rsid w:val="002B46AC"/>
    <w:rsid w:val="002C0DBA"/>
    <w:rsid w:val="002C2288"/>
    <w:rsid w:val="002C3EFC"/>
    <w:rsid w:val="002D163E"/>
    <w:rsid w:val="002D4589"/>
    <w:rsid w:val="002D70BD"/>
    <w:rsid w:val="002D745B"/>
    <w:rsid w:val="002E0CFF"/>
    <w:rsid w:val="002E20DC"/>
    <w:rsid w:val="002F78DA"/>
    <w:rsid w:val="00301856"/>
    <w:rsid w:val="00322E40"/>
    <w:rsid w:val="00334924"/>
    <w:rsid w:val="0035159D"/>
    <w:rsid w:val="0035450B"/>
    <w:rsid w:val="0035470B"/>
    <w:rsid w:val="00355B96"/>
    <w:rsid w:val="003609EF"/>
    <w:rsid w:val="0037578C"/>
    <w:rsid w:val="00381F4C"/>
    <w:rsid w:val="00381FA4"/>
    <w:rsid w:val="00383F2B"/>
    <w:rsid w:val="003939A8"/>
    <w:rsid w:val="00394F98"/>
    <w:rsid w:val="00395BBB"/>
    <w:rsid w:val="003B75F9"/>
    <w:rsid w:val="003C1CB6"/>
    <w:rsid w:val="003C5D17"/>
    <w:rsid w:val="003D5F7B"/>
    <w:rsid w:val="003D666C"/>
    <w:rsid w:val="003E2CB7"/>
    <w:rsid w:val="003E3F39"/>
    <w:rsid w:val="003F38B6"/>
    <w:rsid w:val="003F5928"/>
    <w:rsid w:val="004060F6"/>
    <w:rsid w:val="00406CDC"/>
    <w:rsid w:val="0041510C"/>
    <w:rsid w:val="00427E34"/>
    <w:rsid w:val="0044055C"/>
    <w:rsid w:val="00440B11"/>
    <w:rsid w:val="00441AEF"/>
    <w:rsid w:val="00444D94"/>
    <w:rsid w:val="00456C66"/>
    <w:rsid w:val="004605D6"/>
    <w:rsid w:val="0046460A"/>
    <w:rsid w:val="00464986"/>
    <w:rsid w:val="00480A66"/>
    <w:rsid w:val="004862EA"/>
    <w:rsid w:val="00490591"/>
    <w:rsid w:val="004A307C"/>
    <w:rsid w:val="004B4D51"/>
    <w:rsid w:val="004C7C31"/>
    <w:rsid w:val="004D39DF"/>
    <w:rsid w:val="004E2527"/>
    <w:rsid w:val="004F0B90"/>
    <w:rsid w:val="004F66B4"/>
    <w:rsid w:val="00536BD8"/>
    <w:rsid w:val="0054077C"/>
    <w:rsid w:val="0055011C"/>
    <w:rsid w:val="0056272B"/>
    <w:rsid w:val="00566D6E"/>
    <w:rsid w:val="00575D23"/>
    <w:rsid w:val="00582DCE"/>
    <w:rsid w:val="00583855"/>
    <w:rsid w:val="00590172"/>
    <w:rsid w:val="00596506"/>
    <w:rsid w:val="005A11F9"/>
    <w:rsid w:val="005A5418"/>
    <w:rsid w:val="005B1666"/>
    <w:rsid w:val="005D46B9"/>
    <w:rsid w:val="005F1756"/>
    <w:rsid w:val="005F3A35"/>
    <w:rsid w:val="005F6D7A"/>
    <w:rsid w:val="005F7186"/>
    <w:rsid w:val="005F73E0"/>
    <w:rsid w:val="005F753E"/>
    <w:rsid w:val="006114AB"/>
    <w:rsid w:val="006117A8"/>
    <w:rsid w:val="00654D65"/>
    <w:rsid w:val="00660C02"/>
    <w:rsid w:val="00663008"/>
    <w:rsid w:val="006819AE"/>
    <w:rsid w:val="00682665"/>
    <w:rsid w:val="006830B0"/>
    <w:rsid w:val="00697493"/>
    <w:rsid w:val="006C234F"/>
    <w:rsid w:val="006E4A6D"/>
    <w:rsid w:val="00713A07"/>
    <w:rsid w:val="0071688C"/>
    <w:rsid w:val="00716C19"/>
    <w:rsid w:val="00720B15"/>
    <w:rsid w:val="00722760"/>
    <w:rsid w:val="00730CD2"/>
    <w:rsid w:val="00734954"/>
    <w:rsid w:val="007830BC"/>
    <w:rsid w:val="00797F56"/>
    <w:rsid w:val="007A3997"/>
    <w:rsid w:val="007A518C"/>
    <w:rsid w:val="007A5B8F"/>
    <w:rsid w:val="007B21EF"/>
    <w:rsid w:val="007B2878"/>
    <w:rsid w:val="007C419A"/>
    <w:rsid w:val="007D204F"/>
    <w:rsid w:val="007E4D12"/>
    <w:rsid w:val="007E631E"/>
    <w:rsid w:val="007F4885"/>
    <w:rsid w:val="00805CF1"/>
    <w:rsid w:val="00814B54"/>
    <w:rsid w:val="00817CB6"/>
    <w:rsid w:val="00826CB0"/>
    <w:rsid w:val="00831E9E"/>
    <w:rsid w:val="008372F6"/>
    <w:rsid w:val="00851640"/>
    <w:rsid w:val="008536C2"/>
    <w:rsid w:val="00874F14"/>
    <w:rsid w:val="0088640F"/>
    <w:rsid w:val="0089030B"/>
    <w:rsid w:val="00897601"/>
    <w:rsid w:val="008A2382"/>
    <w:rsid w:val="008C17DC"/>
    <w:rsid w:val="008C4FCB"/>
    <w:rsid w:val="008E3D68"/>
    <w:rsid w:val="00920173"/>
    <w:rsid w:val="00936621"/>
    <w:rsid w:val="00951558"/>
    <w:rsid w:val="0095203A"/>
    <w:rsid w:val="009651B2"/>
    <w:rsid w:val="00966ADD"/>
    <w:rsid w:val="009814DF"/>
    <w:rsid w:val="009845FA"/>
    <w:rsid w:val="009B66D0"/>
    <w:rsid w:val="009D4F97"/>
    <w:rsid w:val="009D6815"/>
    <w:rsid w:val="009D6D77"/>
    <w:rsid w:val="009D7424"/>
    <w:rsid w:val="009E0516"/>
    <w:rsid w:val="009E2AE8"/>
    <w:rsid w:val="009E342B"/>
    <w:rsid w:val="009F72FE"/>
    <w:rsid w:val="009F7F24"/>
    <w:rsid w:val="00A079A9"/>
    <w:rsid w:val="00A10792"/>
    <w:rsid w:val="00A231AC"/>
    <w:rsid w:val="00A31457"/>
    <w:rsid w:val="00A336B8"/>
    <w:rsid w:val="00A4149F"/>
    <w:rsid w:val="00A52F06"/>
    <w:rsid w:val="00A60942"/>
    <w:rsid w:val="00A74AC1"/>
    <w:rsid w:val="00A80CC2"/>
    <w:rsid w:val="00A84298"/>
    <w:rsid w:val="00A954D6"/>
    <w:rsid w:val="00A9773B"/>
    <w:rsid w:val="00AC75C7"/>
    <w:rsid w:val="00AD4751"/>
    <w:rsid w:val="00AE5A8A"/>
    <w:rsid w:val="00AF49EA"/>
    <w:rsid w:val="00AF5030"/>
    <w:rsid w:val="00AF6555"/>
    <w:rsid w:val="00AF798B"/>
    <w:rsid w:val="00B047A4"/>
    <w:rsid w:val="00B05CDB"/>
    <w:rsid w:val="00B10CC8"/>
    <w:rsid w:val="00B21D55"/>
    <w:rsid w:val="00B32CA5"/>
    <w:rsid w:val="00B3451C"/>
    <w:rsid w:val="00B351E6"/>
    <w:rsid w:val="00B53381"/>
    <w:rsid w:val="00B5461B"/>
    <w:rsid w:val="00B70548"/>
    <w:rsid w:val="00B7646C"/>
    <w:rsid w:val="00B76F65"/>
    <w:rsid w:val="00B9137D"/>
    <w:rsid w:val="00B91410"/>
    <w:rsid w:val="00B92FB6"/>
    <w:rsid w:val="00B95D7A"/>
    <w:rsid w:val="00B9695B"/>
    <w:rsid w:val="00BA00D2"/>
    <w:rsid w:val="00BA7A48"/>
    <w:rsid w:val="00BB574B"/>
    <w:rsid w:val="00BF74BC"/>
    <w:rsid w:val="00C07069"/>
    <w:rsid w:val="00C14E9E"/>
    <w:rsid w:val="00C21964"/>
    <w:rsid w:val="00C24383"/>
    <w:rsid w:val="00C30002"/>
    <w:rsid w:val="00C31004"/>
    <w:rsid w:val="00C342D7"/>
    <w:rsid w:val="00C35440"/>
    <w:rsid w:val="00C42C99"/>
    <w:rsid w:val="00C656F4"/>
    <w:rsid w:val="00C679F0"/>
    <w:rsid w:val="00C706EC"/>
    <w:rsid w:val="00C776E8"/>
    <w:rsid w:val="00C8393B"/>
    <w:rsid w:val="00C94C68"/>
    <w:rsid w:val="00CB3320"/>
    <w:rsid w:val="00CB3DC5"/>
    <w:rsid w:val="00CC1376"/>
    <w:rsid w:val="00CD0B87"/>
    <w:rsid w:val="00D07734"/>
    <w:rsid w:val="00D17B1C"/>
    <w:rsid w:val="00D219F8"/>
    <w:rsid w:val="00D23670"/>
    <w:rsid w:val="00D30242"/>
    <w:rsid w:val="00D45665"/>
    <w:rsid w:val="00D56579"/>
    <w:rsid w:val="00D65040"/>
    <w:rsid w:val="00D72CF2"/>
    <w:rsid w:val="00D8148E"/>
    <w:rsid w:val="00D86330"/>
    <w:rsid w:val="00D87954"/>
    <w:rsid w:val="00DA096D"/>
    <w:rsid w:val="00DA262F"/>
    <w:rsid w:val="00DA75FF"/>
    <w:rsid w:val="00DB2E85"/>
    <w:rsid w:val="00DB791E"/>
    <w:rsid w:val="00DD31C1"/>
    <w:rsid w:val="00DD7818"/>
    <w:rsid w:val="00DE0DA6"/>
    <w:rsid w:val="00DE76B3"/>
    <w:rsid w:val="00DF15C2"/>
    <w:rsid w:val="00E104AF"/>
    <w:rsid w:val="00E15093"/>
    <w:rsid w:val="00E23D37"/>
    <w:rsid w:val="00E26174"/>
    <w:rsid w:val="00E26858"/>
    <w:rsid w:val="00E2771E"/>
    <w:rsid w:val="00E44480"/>
    <w:rsid w:val="00E56E5D"/>
    <w:rsid w:val="00E57C80"/>
    <w:rsid w:val="00E6188B"/>
    <w:rsid w:val="00E6340C"/>
    <w:rsid w:val="00E64A9E"/>
    <w:rsid w:val="00E701AF"/>
    <w:rsid w:val="00E734F6"/>
    <w:rsid w:val="00E74B20"/>
    <w:rsid w:val="00E929C0"/>
    <w:rsid w:val="00EA14F6"/>
    <w:rsid w:val="00EB44CF"/>
    <w:rsid w:val="00ED329B"/>
    <w:rsid w:val="00EE0213"/>
    <w:rsid w:val="00EE2D01"/>
    <w:rsid w:val="00F10BBC"/>
    <w:rsid w:val="00F12D1E"/>
    <w:rsid w:val="00F151BA"/>
    <w:rsid w:val="00F177C1"/>
    <w:rsid w:val="00F2507F"/>
    <w:rsid w:val="00F5160A"/>
    <w:rsid w:val="00F518E5"/>
    <w:rsid w:val="00F546AD"/>
    <w:rsid w:val="00F56090"/>
    <w:rsid w:val="00F56B50"/>
    <w:rsid w:val="00F608FC"/>
    <w:rsid w:val="00F61E83"/>
    <w:rsid w:val="00F679FD"/>
    <w:rsid w:val="00F75C98"/>
    <w:rsid w:val="00F84417"/>
    <w:rsid w:val="00F907A2"/>
    <w:rsid w:val="00FA0421"/>
    <w:rsid w:val="00FB136F"/>
    <w:rsid w:val="00FB241D"/>
    <w:rsid w:val="00FC3371"/>
    <w:rsid w:val="00FC3EE4"/>
    <w:rsid w:val="00FC40CD"/>
    <w:rsid w:val="00FD2628"/>
    <w:rsid w:val="00FE1E75"/>
    <w:rsid w:val="00FF4A15"/>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semiHidden="0" w:uiPriority="40" w:unhideWhenUsed="0"/>
    <w:lsdException w:name="Strong" w:semiHidden="0" w:unhideWhenUsed="0"/>
    <w:lsdException w:name="Emphasis" w:semiHidden="0" w:unhideWhenUsed="0"/>
    <w:lsdException w:name="Table Grid" w:uiPriority="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lsdException w:name="Quote" w:semiHidden="0" w:uiPriority="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EE2D01"/>
    <w:pPr>
      <w:keepNext/>
      <w:keepLines/>
      <w:spacing w:after="280"/>
      <w:jc w:val="center"/>
      <w:outlineLvl w:val="0"/>
    </w:pPr>
    <w:rPr>
      <w:rFonts w:eastAsia="Times New Roman" w:cs="Times New Roman"/>
      <w:b/>
      <w:bCs/>
    </w:rPr>
  </w:style>
  <w:style w:type="paragraph" w:styleId="Heading2">
    <w:name w:val="heading 2"/>
    <w:basedOn w:val="Normal"/>
    <w:next w:val="Normal"/>
    <w:link w:val="Heading2Char"/>
    <w:uiPriority w:val="99"/>
    <w:rsid w:val="00EE2D01"/>
    <w:pPr>
      <w:keepNext/>
      <w:keepLines/>
      <w:spacing w:after="240"/>
      <w:ind w:left="720" w:hanging="720"/>
      <w:outlineLvl w:val="1"/>
    </w:pPr>
    <w:rPr>
      <w:rFonts w:eastAsia="Times New Roman" w:cs="Times New Roman"/>
      <w:b/>
      <w:bCs/>
    </w:rPr>
  </w:style>
  <w:style w:type="paragraph" w:styleId="Heading3">
    <w:name w:val="heading 3"/>
    <w:basedOn w:val="Normal"/>
    <w:next w:val="Normal"/>
    <w:link w:val="Heading3Char"/>
    <w:uiPriority w:val="99"/>
    <w:rsid w:val="00EE2D01"/>
    <w:pPr>
      <w:keepNext/>
      <w:keepLines/>
      <w:spacing w:after="240"/>
      <w:ind w:left="1440" w:hanging="720"/>
      <w:outlineLvl w:val="2"/>
    </w:pPr>
    <w:rPr>
      <w:rFonts w:eastAsia="Times New Roman" w:cs="Times New Roman"/>
      <w:b/>
      <w:bCs/>
    </w:rPr>
  </w:style>
  <w:style w:type="paragraph" w:styleId="Heading4">
    <w:name w:val="heading 4"/>
    <w:basedOn w:val="Normal"/>
    <w:next w:val="Normal"/>
    <w:link w:val="Heading4Char"/>
    <w:uiPriority w:val="99"/>
    <w:rsid w:val="007A518C"/>
    <w:pPr>
      <w:keepNext/>
      <w:keepLines/>
      <w:spacing w:after="240"/>
      <w:ind w:left="2160" w:hanging="720"/>
      <w:outlineLvl w:val="3"/>
    </w:pPr>
    <w:rPr>
      <w:rFonts w:eastAsiaTheme="majorEastAsia" w:cs="Times New Roman"/>
      <w:b/>
      <w:bCs/>
      <w:iCs/>
    </w:rPr>
  </w:style>
  <w:style w:type="paragraph" w:styleId="Heading5">
    <w:name w:val="heading 5"/>
    <w:basedOn w:val="Normal"/>
    <w:next w:val="Normal"/>
    <w:link w:val="Heading5Char"/>
    <w:uiPriority w:val="99"/>
    <w:rsid w:val="000D400B"/>
    <w:pPr>
      <w:keepNext/>
      <w:keepLines/>
      <w:spacing w:after="280"/>
      <w:ind w:left="2880" w:hanging="720"/>
      <w:outlineLvl w:val="4"/>
    </w:pPr>
    <w:rPr>
      <w:rFonts w:eastAsiaTheme="majorEastAsia" w:cs="Times New Roman"/>
      <w:b/>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line="240" w:lineRule="atLeast"/>
      <w:ind w:right="720"/>
    </w:pPr>
    <w:rPr>
      <w:bCs w:val="0"/>
      <w:i/>
      <w:caps/>
      <w:szCs w:val="20"/>
      <w:lang w:eastAsia="zh-CN"/>
    </w:rPr>
  </w:style>
  <w:style w:type="character" w:customStyle="1" w:styleId="Heading2Char">
    <w:name w:val="Heading 2 Char"/>
    <w:basedOn w:val="DefaultParagraphFont"/>
    <w:link w:val="Heading2"/>
    <w:uiPriority w:val="99"/>
    <w:rsid w:val="00EE2D01"/>
    <w:rPr>
      <w:rFonts w:eastAsia="Times New Roman" w:cs="Times New Roman"/>
      <w:b/>
      <w:bCs/>
    </w:rPr>
  </w:style>
  <w:style w:type="paragraph" w:customStyle="1" w:styleId="ResH2">
    <w:name w:val="Res H2"/>
    <w:basedOn w:val="Heading3"/>
    <w:uiPriority w:val="34"/>
    <w:rsid w:val="00AF5030"/>
    <w:pPr>
      <w:spacing w:line="240" w:lineRule="atLeast"/>
      <w:ind w:right="720"/>
    </w:pPr>
    <w:rPr>
      <w:bCs w:val="0"/>
      <w:szCs w:val="20"/>
      <w:u w:val="single"/>
      <w:lang w:eastAsia="zh-CN"/>
    </w:rPr>
  </w:style>
  <w:style w:type="character" w:customStyle="1" w:styleId="Heading3Char">
    <w:name w:val="Heading 3 Char"/>
    <w:basedOn w:val="DefaultParagraphFont"/>
    <w:link w:val="Heading3"/>
    <w:uiPriority w:val="99"/>
    <w:rsid w:val="00EE2D01"/>
    <w:rPr>
      <w:rFonts w:eastAsia="Times New Roman" w:cs="Times New Roman"/>
      <w:b/>
      <w:bCs/>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rsid w:val="00EE2D01"/>
    <w:rPr>
      <w:rFonts w:eastAsia="Times New Roman" w:cs="Times New Roman"/>
      <w:b/>
      <w:bCs/>
    </w:rPr>
  </w:style>
  <w:style w:type="character" w:customStyle="1" w:styleId="Heading4Char">
    <w:name w:val="Heading 4 Char"/>
    <w:basedOn w:val="DefaultParagraphFont"/>
    <w:link w:val="Heading4"/>
    <w:uiPriority w:val="99"/>
    <w:rsid w:val="007A518C"/>
    <w:rPr>
      <w:rFonts w:eastAsiaTheme="majorEastAsia" w:cs="Times New Roman"/>
      <w:b/>
      <w:bCs/>
      <w:iCs/>
    </w:rPr>
  </w:style>
  <w:style w:type="character" w:customStyle="1" w:styleId="Heading5Char">
    <w:name w:val="Heading 5 Char"/>
    <w:basedOn w:val="DefaultParagraphFont"/>
    <w:link w:val="Heading5"/>
    <w:uiPriority w:val="99"/>
    <w:rsid w:val="000D400B"/>
    <w:rPr>
      <w:rFonts w:eastAsiaTheme="majorEastAsia" w:cs="Times New Roman"/>
      <w:b/>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121EC6"/>
    <w:pPr>
      <w:numPr>
        <w:numId w:val="12"/>
      </w:numPr>
      <w:spacing w:line="480" w:lineRule="auto"/>
      <w:ind w:left="0" w:firstLine="720"/>
      <w:contextualSpacing/>
    </w:pPr>
    <w:rPr>
      <w:rFonts w:eastAsia="Times New Roman" w:cs="Times New Roman"/>
    </w:r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table" w:styleId="TableGrid">
    <w:name w:val="Table Grid"/>
    <w:basedOn w:val="TableNormal"/>
    <w:rsid w:val="009F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0C7A"/>
    <w:rPr>
      <w:sz w:val="20"/>
      <w:szCs w:val="20"/>
    </w:rPr>
  </w:style>
  <w:style w:type="character" w:customStyle="1" w:styleId="FootnoteTextChar">
    <w:name w:val="Footnote Text Char"/>
    <w:basedOn w:val="DefaultParagraphFont"/>
    <w:link w:val="FootnoteText"/>
    <w:uiPriority w:val="99"/>
    <w:semiHidden/>
    <w:rsid w:val="000F0C7A"/>
    <w:rPr>
      <w:sz w:val="20"/>
      <w:szCs w:val="20"/>
    </w:rPr>
  </w:style>
  <w:style w:type="character" w:styleId="FootnoteReference">
    <w:name w:val="footnote reference"/>
    <w:basedOn w:val="DefaultParagraphFont"/>
    <w:uiPriority w:val="99"/>
    <w:semiHidden/>
    <w:unhideWhenUsed/>
    <w:rsid w:val="000F0C7A"/>
    <w:rPr>
      <w:vertAlign w:val="superscript"/>
    </w:rPr>
  </w:style>
  <w:style w:type="paragraph" w:customStyle="1" w:styleId="righthalf">
    <w:name w:val="right half"/>
    <w:basedOn w:val="Normal"/>
    <w:rsid w:val="008536C2"/>
    <w:pPr>
      <w:keepLines/>
      <w:tabs>
        <w:tab w:val="left" w:pos="4860"/>
        <w:tab w:val="right" w:pos="9090"/>
      </w:tabs>
      <w:spacing w:before="480" w:line="240" w:lineRule="atLeast"/>
      <w:ind w:left="4320" w:right="187"/>
    </w:pPr>
    <w:rPr>
      <w:rFonts w:eastAsia="Times New Roman" w:cs="Times New Roman"/>
      <w:szCs w:val="20"/>
    </w:rPr>
  </w:style>
  <w:style w:type="paragraph" w:styleId="BalloonText">
    <w:name w:val="Balloon Text"/>
    <w:basedOn w:val="Normal"/>
    <w:link w:val="BalloonTextChar"/>
    <w:uiPriority w:val="99"/>
    <w:semiHidden/>
    <w:unhideWhenUsed/>
    <w:rsid w:val="00F84417"/>
    <w:rPr>
      <w:rFonts w:ascii="Tahoma" w:hAnsi="Tahoma" w:cs="Tahoma"/>
      <w:sz w:val="16"/>
      <w:szCs w:val="16"/>
    </w:rPr>
  </w:style>
  <w:style w:type="character" w:customStyle="1" w:styleId="BalloonTextChar">
    <w:name w:val="Balloon Text Char"/>
    <w:basedOn w:val="DefaultParagraphFont"/>
    <w:link w:val="BalloonText"/>
    <w:uiPriority w:val="99"/>
    <w:semiHidden/>
    <w:rsid w:val="00F84417"/>
    <w:rPr>
      <w:rFonts w:ascii="Tahoma" w:hAnsi="Tahoma" w:cs="Tahoma"/>
      <w:sz w:val="16"/>
      <w:szCs w:val="16"/>
    </w:rPr>
  </w:style>
  <w:style w:type="character" w:styleId="CommentReference">
    <w:name w:val="annotation reference"/>
    <w:basedOn w:val="DefaultParagraphFont"/>
    <w:uiPriority w:val="99"/>
    <w:semiHidden/>
    <w:unhideWhenUsed/>
    <w:rsid w:val="00F84417"/>
    <w:rPr>
      <w:sz w:val="16"/>
      <w:szCs w:val="16"/>
    </w:rPr>
  </w:style>
  <w:style w:type="paragraph" w:styleId="CommentText">
    <w:name w:val="annotation text"/>
    <w:basedOn w:val="Normal"/>
    <w:link w:val="CommentTextChar"/>
    <w:uiPriority w:val="99"/>
    <w:semiHidden/>
    <w:unhideWhenUsed/>
    <w:rsid w:val="00F84417"/>
    <w:rPr>
      <w:sz w:val="20"/>
      <w:szCs w:val="20"/>
    </w:rPr>
  </w:style>
  <w:style w:type="character" w:customStyle="1" w:styleId="CommentTextChar">
    <w:name w:val="Comment Text Char"/>
    <w:basedOn w:val="DefaultParagraphFont"/>
    <w:link w:val="CommentText"/>
    <w:uiPriority w:val="99"/>
    <w:semiHidden/>
    <w:rsid w:val="00F84417"/>
    <w:rPr>
      <w:sz w:val="20"/>
      <w:szCs w:val="20"/>
    </w:rPr>
  </w:style>
  <w:style w:type="paragraph" w:styleId="CommentSubject">
    <w:name w:val="annotation subject"/>
    <w:basedOn w:val="CommentText"/>
    <w:next w:val="CommentText"/>
    <w:link w:val="CommentSubjectChar"/>
    <w:uiPriority w:val="99"/>
    <w:semiHidden/>
    <w:unhideWhenUsed/>
    <w:rsid w:val="00F84417"/>
    <w:rPr>
      <w:b/>
      <w:bCs/>
    </w:rPr>
  </w:style>
  <w:style w:type="character" w:customStyle="1" w:styleId="CommentSubjectChar">
    <w:name w:val="Comment Subject Char"/>
    <w:basedOn w:val="CommentTextChar"/>
    <w:link w:val="CommentSubject"/>
    <w:uiPriority w:val="99"/>
    <w:semiHidden/>
    <w:rsid w:val="00F84417"/>
    <w:rPr>
      <w:b/>
      <w:bCs/>
      <w:sz w:val="20"/>
      <w:szCs w:val="20"/>
    </w:rPr>
  </w:style>
  <w:style w:type="paragraph" w:styleId="Revision">
    <w:name w:val="Revision"/>
    <w:hidden/>
    <w:uiPriority w:val="99"/>
    <w:semiHidden/>
    <w:rsid w:val="00121EC6"/>
  </w:style>
  <w:style w:type="paragraph" w:styleId="PlainText">
    <w:name w:val="Plain Text"/>
    <w:basedOn w:val="Normal"/>
    <w:link w:val="PlainTextChar"/>
    <w:uiPriority w:val="99"/>
    <w:semiHidden/>
    <w:unhideWhenUsed/>
    <w:rsid w:val="000554C3"/>
    <w:rPr>
      <w:rFonts w:ascii="Arial" w:hAnsi="Arial"/>
      <w:sz w:val="20"/>
      <w:szCs w:val="21"/>
    </w:rPr>
  </w:style>
  <w:style w:type="character" w:customStyle="1" w:styleId="PlainTextChar">
    <w:name w:val="Plain Text Char"/>
    <w:basedOn w:val="DefaultParagraphFont"/>
    <w:link w:val="PlainText"/>
    <w:uiPriority w:val="99"/>
    <w:semiHidden/>
    <w:rsid w:val="000554C3"/>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semiHidden="0" w:uiPriority="40" w:unhideWhenUsed="0"/>
    <w:lsdException w:name="Strong" w:semiHidden="0" w:unhideWhenUsed="0"/>
    <w:lsdException w:name="Emphasis" w:semiHidden="0" w:unhideWhenUsed="0"/>
    <w:lsdException w:name="Table Grid" w:uiPriority="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lsdException w:name="Quote" w:semiHidden="0" w:uiPriority="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EE2D01"/>
    <w:pPr>
      <w:keepNext/>
      <w:keepLines/>
      <w:spacing w:after="280"/>
      <w:jc w:val="center"/>
      <w:outlineLvl w:val="0"/>
    </w:pPr>
    <w:rPr>
      <w:rFonts w:eastAsia="Times New Roman" w:cs="Times New Roman"/>
      <w:b/>
      <w:bCs/>
    </w:rPr>
  </w:style>
  <w:style w:type="paragraph" w:styleId="Heading2">
    <w:name w:val="heading 2"/>
    <w:basedOn w:val="Normal"/>
    <w:next w:val="Normal"/>
    <w:link w:val="Heading2Char"/>
    <w:uiPriority w:val="99"/>
    <w:rsid w:val="00EE2D01"/>
    <w:pPr>
      <w:keepNext/>
      <w:keepLines/>
      <w:spacing w:after="240"/>
      <w:ind w:left="720" w:hanging="720"/>
      <w:outlineLvl w:val="1"/>
    </w:pPr>
    <w:rPr>
      <w:rFonts w:eastAsia="Times New Roman" w:cs="Times New Roman"/>
      <w:b/>
      <w:bCs/>
    </w:rPr>
  </w:style>
  <w:style w:type="paragraph" w:styleId="Heading3">
    <w:name w:val="heading 3"/>
    <w:basedOn w:val="Normal"/>
    <w:next w:val="Normal"/>
    <w:link w:val="Heading3Char"/>
    <w:uiPriority w:val="99"/>
    <w:rsid w:val="00EE2D01"/>
    <w:pPr>
      <w:keepNext/>
      <w:keepLines/>
      <w:spacing w:after="240"/>
      <w:ind w:left="1440" w:hanging="720"/>
      <w:outlineLvl w:val="2"/>
    </w:pPr>
    <w:rPr>
      <w:rFonts w:eastAsia="Times New Roman" w:cs="Times New Roman"/>
      <w:b/>
      <w:bCs/>
    </w:rPr>
  </w:style>
  <w:style w:type="paragraph" w:styleId="Heading4">
    <w:name w:val="heading 4"/>
    <w:basedOn w:val="Normal"/>
    <w:next w:val="Normal"/>
    <w:link w:val="Heading4Char"/>
    <w:uiPriority w:val="99"/>
    <w:rsid w:val="007A518C"/>
    <w:pPr>
      <w:keepNext/>
      <w:keepLines/>
      <w:spacing w:after="240"/>
      <w:ind w:left="2160" w:hanging="720"/>
      <w:outlineLvl w:val="3"/>
    </w:pPr>
    <w:rPr>
      <w:rFonts w:eastAsiaTheme="majorEastAsia" w:cs="Times New Roman"/>
      <w:b/>
      <w:bCs/>
      <w:iCs/>
    </w:rPr>
  </w:style>
  <w:style w:type="paragraph" w:styleId="Heading5">
    <w:name w:val="heading 5"/>
    <w:basedOn w:val="Normal"/>
    <w:next w:val="Normal"/>
    <w:link w:val="Heading5Char"/>
    <w:uiPriority w:val="99"/>
    <w:rsid w:val="000D400B"/>
    <w:pPr>
      <w:keepNext/>
      <w:keepLines/>
      <w:spacing w:after="280"/>
      <w:ind w:left="2880" w:hanging="720"/>
      <w:outlineLvl w:val="4"/>
    </w:pPr>
    <w:rPr>
      <w:rFonts w:eastAsiaTheme="majorEastAsia" w:cs="Times New Roman"/>
      <w:b/>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line="240" w:lineRule="atLeast"/>
      <w:ind w:right="720"/>
    </w:pPr>
    <w:rPr>
      <w:bCs w:val="0"/>
      <w:i/>
      <w:caps/>
      <w:szCs w:val="20"/>
      <w:lang w:eastAsia="zh-CN"/>
    </w:rPr>
  </w:style>
  <w:style w:type="character" w:customStyle="1" w:styleId="Heading2Char">
    <w:name w:val="Heading 2 Char"/>
    <w:basedOn w:val="DefaultParagraphFont"/>
    <w:link w:val="Heading2"/>
    <w:uiPriority w:val="99"/>
    <w:rsid w:val="00EE2D01"/>
    <w:rPr>
      <w:rFonts w:eastAsia="Times New Roman" w:cs="Times New Roman"/>
      <w:b/>
      <w:bCs/>
    </w:rPr>
  </w:style>
  <w:style w:type="paragraph" w:customStyle="1" w:styleId="ResH2">
    <w:name w:val="Res H2"/>
    <w:basedOn w:val="Heading3"/>
    <w:uiPriority w:val="34"/>
    <w:rsid w:val="00AF5030"/>
    <w:pPr>
      <w:spacing w:line="240" w:lineRule="atLeast"/>
      <w:ind w:right="720"/>
    </w:pPr>
    <w:rPr>
      <w:bCs w:val="0"/>
      <w:szCs w:val="20"/>
      <w:u w:val="single"/>
      <w:lang w:eastAsia="zh-CN"/>
    </w:rPr>
  </w:style>
  <w:style w:type="character" w:customStyle="1" w:styleId="Heading3Char">
    <w:name w:val="Heading 3 Char"/>
    <w:basedOn w:val="DefaultParagraphFont"/>
    <w:link w:val="Heading3"/>
    <w:uiPriority w:val="99"/>
    <w:rsid w:val="00EE2D01"/>
    <w:rPr>
      <w:rFonts w:eastAsia="Times New Roman" w:cs="Times New Roman"/>
      <w:b/>
      <w:bCs/>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rsid w:val="00EE2D01"/>
    <w:rPr>
      <w:rFonts w:eastAsia="Times New Roman" w:cs="Times New Roman"/>
      <w:b/>
      <w:bCs/>
    </w:rPr>
  </w:style>
  <w:style w:type="character" w:customStyle="1" w:styleId="Heading4Char">
    <w:name w:val="Heading 4 Char"/>
    <w:basedOn w:val="DefaultParagraphFont"/>
    <w:link w:val="Heading4"/>
    <w:uiPriority w:val="99"/>
    <w:rsid w:val="007A518C"/>
    <w:rPr>
      <w:rFonts w:eastAsiaTheme="majorEastAsia" w:cs="Times New Roman"/>
      <w:b/>
      <w:bCs/>
      <w:iCs/>
    </w:rPr>
  </w:style>
  <w:style w:type="character" w:customStyle="1" w:styleId="Heading5Char">
    <w:name w:val="Heading 5 Char"/>
    <w:basedOn w:val="DefaultParagraphFont"/>
    <w:link w:val="Heading5"/>
    <w:uiPriority w:val="99"/>
    <w:rsid w:val="000D400B"/>
    <w:rPr>
      <w:rFonts w:eastAsiaTheme="majorEastAsia" w:cs="Times New Roman"/>
      <w:b/>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121EC6"/>
    <w:pPr>
      <w:numPr>
        <w:numId w:val="12"/>
      </w:numPr>
      <w:spacing w:line="480" w:lineRule="auto"/>
      <w:ind w:left="0" w:firstLine="720"/>
      <w:contextualSpacing/>
    </w:pPr>
    <w:rPr>
      <w:rFonts w:eastAsia="Times New Roman" w:cs="Times New Roman"/>
    </w:r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table" w:styleId="TableGrid">
    <w:name w:val="Table Grid"/>
    <w:basedOn w:val="TableNormal"/>
    <w:rsid w:val="009F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0C7A"/>
    <w:rPr>
      <w:sz w:val="20"/>
      <w:szCs w:val="20"/>
    </w:rPr>
  </w:style>
  <w:style w:type="character" w:customStyle="1" w:styleId="FootnoteTextChar">
    <w:name w:val="Footnote Text Char"/>
    <w:basedOn w:val="DefaultParagraphFont"/>
    <w:link w:val="FootnoteText"/>
    <w:uiPriority w:val="99"/>
    <w:semiHidden/>
    <w:rsid w:val="000F0C7A"/>
    <w:rPr>
      <w:sz w:val="20"/>
      <w:szCs w:val="20"/>
    </w:rPr>
  </w:style>
  <w:style w:type="character" w:styleId="FootnoteReference">
    <w:name w:val="footnote reference"/>
    <w:basedOn w:val="DefaultParagraphFont"/>
    <w:uiPriority w:val="99"/>
    <w:semiHidden/>
    <w:unhideWhenUsed/>
    <w:rsid w:val="000F0C7A"/>
    <w:rPr>
      <w:vertAlign w:val="superscript"/>
    </w:rPr>
  </w:style>
  <w:style w:type="paragraph" w:customStyle="1" w:styleId="righthalf">
    <w:name w:val="right half"/>
    <w:basedOn w:val="Normal"/>
    <w:rsid w:val="008536C2"/>
    <w:pPr>
      <w:keepLines/>
      <w:tabs>
        <w:tab w:val="left" w:pos="4860"/>
        <w:tab w:val="right" w:pos="9090"/>
      </w:tabs>
      <w:spacing w:before="480" w:line="240" w:lineRule="atLeast"/>
      <w:ind w:left="4320" w:right="187"/>
    </w:pPr>
    <w:rPr>
      <w:rFonts w:eastAsia="Times New Roman" w:cs="Times New Roman"/>
      <w:szCs w:val="20"/>
    </w:rPr>
  </w:style>
  <w:style w:type="paragraph" w:styleId="BalloonText">
    <w:name w:val="Balloon Text"/>
    <w:basedOn w:val="Normal"/>
    <w:link w:val="BalloonTextChar"/>
    <w:uiPriority w:val="99"/>
    <w:semiHidden/>
    <w:unhideWhenUsed/>
    <w:rsid w:val="00F84417"/>
    <w:rPr>
      <w:rFonts w:ascii="Tahoma" w:hAnsi="Tahoma" w:cs="Tahoma"/>
      <w:sz w:val="16"/>
      <w:szCs w:val="16"/>
    </w:rPr>
  </w:style>
  <w:style w:type="character" w:customStyle="1" w:styleId="BalloonTextChar">
    <w:name w:val="Balloon Text Char"/>
    <w:basedOn w:val="DefaultParagraphFont"/>
    <w:link w:val="BalloonText"/>
    <w:uiPriority w:val="99"/>
    <w:semiHidden/>
    <w:rsid w:val="00F84417"/>
    <w:rPr>
      <w:rFonts w:ascii="Tahoma" w:hAnsi="Tahoma" w:cs="Tahoma"/>
      <w:sz w:val="16"/>
      <w:szCs w:val="16"/>
    </w:rPr>
  </w:style>
  <w:style w:type="character" w:styleId="CommentReference">
    <w:name w:val="annotation reference"/>
    <w:basedOn w:val="DefaultParagraphFont"/>
    <w:uiPriority w:val="99"/>
    <w:semiHidden/>
    <w:unhideWhenUsed/>
    <w:rsid w:val="00F84417"/>
    <w:rPr>
      <w:sz w:val="16"/>
      <w:szCs w:val="16"/>
    </w:rPr>
  </w:style>
  <w:style w:type="paragraph" w:styleId="CommentText">
    <w:name w:val="annotation text"/>
    <w:basedOn w:val="Normal"/>
    <w:link w:val="CommentTextChar"/>
    <w:uiPriority w:val="99"/>
    <w:semiHidden/>
    <w:unhideWhenUsed/>
    <w:rsid w:val="00F84417"/>
    <w:rPr>
      <w:sz w:val="20"/>
      <w:szCs w:val="20"/>
    </w:rPr>
  </w:style>
  <w:style w:type="character" w:customStyle="1" w:styleId="CommentTextChar">
    <w:name w:val="Comment Text Char"/>
    <w:basedOn w:val="DefaultParagraphFont"/>
    <w:link w:val="CommentText"/>
    <w:uiPriority w:val="99"/>
    <w:semiHidden/>
    <w:rsid w:val="00F84417"/>
    <w:rPr>
      <w:sz w:val="20"/>
      <w:szCs w:val="20"/>
    </w:rPr>
  </w:style>
  <w:style w:type="paragraph" w:styleId="CommentSubject">
    <w:name w:val="annotation subject"/>
    <w:basedOn w:val="CommentText"/>
    <w:next w:val="CommentText"/>
    <w:link w:val="CommentSubjectChar"/>
    <w:uiPriority w:val="99"/>
    <w:semiHidden/>
    <w:unhideWhenUsed/>
    <w:rsid w:val="00F84417"/>
    <w:rPr>
      <w:b/>
      <w:bCs/>
    </w:rPr>
  </w:style>
  <w:style w:type="character" w:customStyle="1" w:styleId="CommentSubjectChar">
    <w:name w:val="Comment Subject Char"/>
    <w:basedOn w:val="CommentTextChar"/>
    <w:link w:val="CommentSubject"/>
    <w:uiPriority w:val="99"/>
    <w:semiHidden/>
    <w:rsid w:val="00F84417"/>
    <w:rPr>
      <w:b/>
      <w:bCs/>
      <w:sz w:val="20"/>
      <w:szCs w:val="20"/>
    </w:rPr>
  </w:style>
  <w:style w:type="paragraph" w:styleId="Revision">
    <w:name w:val="Revision"/>
    <w:hidden/>
    <w:uiPriority w:val="99"/>
    <w:semiHidden/>
    <w:rsid w:val="00121EC6"/>
  </w:style>
  <w:style w:type="paragraph" w:styleId="PlainText">
    <w:name w:val="Plain Text"/>
    <w:basedOn w:val="Normal"/>
    <w:link w:val="PlainTextChar"/>
    <w:uiPriority w:val="99"/>
    <w:semiHidden/>
    <w:unhideWhenUsed/>
    <w:rsid w:val="000554C3"/>
    <w:rPr>
      <w:rFonts w:ascii="Arial" w:hAnsi="Arial"/>
      <w:sz w:val="20"/>
      <w:szCs w:val="21"/>
    </w:rPr>
  </w:style>
  <w:style w:type="character" w:customStyle="1" w:styleId="PlainTextChar">
    <w:name w:val="Plain Text Char"/>
    <w:basedOn w:val="DefaultParagraphFont"/>
    <w:link w:val="PlainText"/>
    <w:uiPriority w:val="99"/>
    <w:semiHidden/>
    <w:rsid w:val="000554C3"/>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84">
      <w:bodyDiv w:val="1"/>
      <w:marLeft w:val="0"/>
      <w:marRight w:val="0"/>
      <w:marTop w:val="0"/>
      <w:marBottom w:val="0"/>
      <w:divBdr>
        <w:top w:val="none" w:sz="0" w:space="0" w:color="auto"/>
        <w:left w:val="none" w:sz="0" w:space="0" w:color="auto"/>
        <w:bottom w:val="none" w:sz="0" w:space="0" w:color="auto"/>
        <w:right w:val="none" w:sz="0" w:space="0" w:color="auto"/>
      </w:divBdr>
    </w:div>
    <w:div w:id="410279352">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748581039">
      <w:bodyDiv w:val="1"/>
      <w:marLeft w:val="0"/>
      <w:marRight w:val="0"/>
      <w:marTop w:val="0"/>
      <w:marBottom w:val="0"/>
      <w:divBdr>
        <w:top w:val="none" w:sz="0" w:space="0" w:color="auto"/>
        <w:left w:val="none" w:sz="0" w:space="0" w:color="auto"/>
        <w:bottom w:val="none" w:sz="0" w:space="0" w:color="auto"/>
        <w:right w:val="none" w:sz="0" w:space="0" w:color="auto"/>
      </w:divBdr>
      <w:divsChild>
        <w:div w:id="1050808953">
          <w:marLeft w:val="0"/>
          <w:marRight w:val="0"/>
          <w:marTop w:val="0"/>
          <w:marBottom w:val="0"/>
          <w:divBdr>
            <w:top w:val="none" w:sz="0" w:space="0" w:color="auto"/>
            <w:left w:val="none" w:sz="0" w:space="0" w:color="auto"/>
            <w:bottom w:val="none" w:sz="0" w:space="0" w:color="auto"/>
            <w:right w:val="none" w:sz="0" w:space="0" w:color="auto"/>
          </w:divBdr>
        </w:div>
      </w:divsChild>
    </w:div>
    <w:div w:id="796486678">
      <w:bodyDiv w:val="1"/>
      <w:marLeft w:val="0"/>
      <w:marRight w:val="0"/>
      <w:marTop w:val="0"/>
      <w:marBottom w:val="0"/>
      <w:divBdr>
        <w:top w:val="none" w:sz="0" w:space="0" w:color="auto"/>
        <w:left w:val="none" w:sz="0" w:space="0" w:color="auto"/>
        <w:bottom w:val="none" w:sz="0" w:space="0" w:color="auto"/>
        <w:right w:val="none" w:sz="0" w:space="0" w:color="auto"/>
      </w:divBdr>
    </w:div>
    <w:div w:id="797139361">
      <w:bodyDiv w:val="1"/>
      <w:marLeft w:val="0"/>
      <w:marRight w:val="0"/>
      <w:marTop w:val="0"/>
      <w:marBottom w:val="0"/>
      <w:divBdr>
        <w:top w:val="none" w:sz="0" w:space="0" w:color="auto"/>
        <w:left w:val="none" w:sz="0" w:space="0" w:color="auto"/>
        <w:bottom w:val="none" w:sz="0" w:space="0" w:color="auto"/>
        <w:right w:val="none" w:sz="0" w:space="0" w:color="auto"/>
      </w:divBdr>
    </w:div>
    <w:div w:id="911234507">
      <w:bodyDiv w:val="1"/>
      <w:marLeft w:val="0"/>
      <w:marRight w:val="0"/>
      <w:marTop w:val="0"/>
      <w:marBottom w:val="0"/>
      <w:divBdr>
        <w:top w:val="none" w:sz="0" w:space="0" w:color="auto"/>
        <w:left w:val="none" w:sz="0" w:space="0" w:color="auto"/>
        <w:bottom w:val="none" w:sz="0" w:space="0" w:color="auto"/>
        <w:right w:val="none" w:sz="0" w:space="0" w:color="auto"/>
      </w:divBdr>
    </w:div>
    <w:div w:id="980378926">
      <w:bodyDiv w:val="1"/>
      <w:marLeft w:val="0"/>
      <w:marRight w:val="0"/>
      <w:marTop w:val="0"/>
      <w:marBottom w:val="0"/>
      <w:divBdr>
        <w:top w:val="none" w:sz="0" w:space="0" w:color="auto"/>
        <w:left w:val="none" w:sz="0" w:space="0" w:color="auto"/>
        <w:bottom w:val="none" w:sz="0" w:space="0" w:color="auto"/>
        <w:right w:val="none" w:sz="0" w:space="0" w:color="auto"/>
      </w:divBdr>
    </w:div>
    <w:div w:id="1010449011">
      <w:bodyDiv w:val="1"/>
      <w:marLeft w:val="0"/>
      <w:marRight w:val="0"/>
      <w:marTop w:val="0"/>
      <w:marBottom w:val="0"/>
      <w:divBdr>
        <w:top w:val="none" w:sz="0" w:space="0" w:color="auto"/>
        <w:left w:val="none" w:sz="0" w:space="0" w:color="auto"/>
        <w:bottom w:val="none" w:sz="0" w:space="0" w:color="auto"/>
        <w:right w:val="none" w:sz="0" w:space="0" w:color="auto"/>
      </w:divBdr>
    </w:div>
    <w:div w:id="1060786326">
      <w:bodyDiv w:val="1"/>
      <w:marLeft w:val="0"/>
      <w:marRight w:val="0"/>
      <w:marTop w:val="0"/>
      <w:marBottom w:val="0"/>
      <w:divBdr>
        <w:top w:val="none" w:sz="0" w:space="0" w:color="auto"/>
        <w:left w:val="none" w:sz="0" w:space="0" w:color="auto"/>
        <w:bottom w:val="none" w:sz="0" w:space="0" w:color="auto"/>
        <w:right w:val="none" w:sz="0" w:space="0" w:color="auto"/>
      </w:divBdr>
    </w:div>
    <w:div w:id="1116220357">
      <w:bodyDiv w:val="1"/>
      <w:marLeft w:val="0"/>
      <w:marRight w:val="0"/>
      <w:marTop w:val="0"/>
      <w:marBottom w:val="0"/>
      <w:divBdr>
        <w:top w:val="none" w:sz="0" w:space="0" w:color="auto"/>
        <w:left w:val="none" w:sz="0" w:space="0" w:color="auto"/>
        <w:bottom w:val="none" w:sz="0" w:space="0" w:color="auto"/>
        <w:right w:val="none" w:sz="0" w:space="0" w:color="auto"/>
      </w:divBdr>
    </w:div>
    <w:div w:id="1225677810">
      <w:bodyDiv w:val="1"/>
      <w:marLeft w:val="0"/>
      <w:marRight w:val="0"/>
      <w:marTop w:val="0"/>
      <w:marBottom w:val="0"/>
      <w:divBdr>
        <w:top w:val="none" w:sz="0" w:space="0" w:color="auto"/>
        <w:left w:val="none" w:sz="0" w:space="0" w:color="auto"/>
        <w:bottom w:val="none" w:sz="0" w:space="0" w:color="auto"/>
        <w:right w:val="none" w:sz="0" w:space="0" w:color="auto"/>
      </w:divBdr>
      <w:divsChild>
        <w:div w:id="1868250915">
          <w:marLeft w:val="0"/>
          <w:marRight w:val="0"/>
          <w:marTop w:val="0"/>
          <w:marBottom w:val="0"/>
          <w:divBdr>
            <w:top w:val="none" w:sz="0" w:space="0" w:color="auto"/>
            <w:left w:val="none" w:sz="0" w:space="0" w:color="auto"/>
            <w:bottom w:val="none" w:sz="0" w:space="0" w:color="auto"/>
            <w:right w:val="none" w:sz="0" w:space="0" w:color="auto"/>
          </w:divBdr>
        </w:div>
      </w:divsChild>
    </w:div>
    <w:div w:id="1449810684">
      <w:bodyDiv w:val="1"/>
      <w:marLeft w:val="0"/>
      <w:marRight w:val="0"/>
      <w:marTop w:val="0"/>
      <w:marBottom w:val="0"/>
      <w:divBdr>
        <w:top w:val="none" w:sz="0" w:space="0" w:color="auto"/>
        <w:left w:val="none" w:sz="0" w:space="0" w:color="auto"/>
        <w:bottom w:val="none" w:sz="0" w:space="0" w:color="auto"/>
        <w:right w:val="none" w:sz="0" w:space="0" w:color="auto"/>
      </w:divBdr>
    </w:div>
    <w:div w:id="1465390727">
      <w:bodyDiv w:val="1"/>
      <w:marLeft w:val="0"/>
      <w:marRight w:val="0"/>
      <w:marTop w:val="0"/>
      <w:marBottom w:val="0"/>
      <w:divBdr>
        <w:top w:val="none" w:sz="0" w:space="0" w:color="auto"/>
        <w:left w:val="none" w:sz="0" w:space="0" w:color="auto"/>
        <w:bottom w:val="none" w:sz="0" w:space="0" w:color="auto"/>
        <w:right w:val="none" w:sz="0" w:space="0" w:color="auto"/>
      </w:divBdr>
    </w:div>
    <w:div w:id="1479304562">
      <w:bodyDiv w:val="1"/>
      <w:marLeft w:val="0"/>
      <w:marRight w:val="0"/>
      <w:marTop w:val="0"/>
      <w:marBottom w:val="0"/>
      <w:divBdr>
        <w:top w:val="none" w:sz="0" w:space="0" w:color="auto"/>
        <w:left w:val="none" w:sz="0" w:space="0" w:color="auto"/>
        <w:bottom w:val="none" w:sz="0" w:space="0" w:color="auto"/>
        <w:right w:val="none" w:sz="0" w:space="0" w:color="auto"/>
      </w:divBdr>
    </w:div>
    <w:div w:id="1489127957">
      <w:bodyDiv w:val="1"/>
      <w:marLeft w:val="0"/>
      <w:marRight w:val="0"/>
      <w:marTop w:val="0"/>
      <w:marBottom w:val="0"/>
      <w:divBdr>
        <w:top w:val="none" w:sz="0" w:space="0" w:color="auto"/>
        <w:left w:val="none" w:sz="0" w:space="0" w:color="auto"/>
        <w:bottom w:val="none" w:sz="0" w:space="0" w:color="auto"/>
        <w:right w:val="none" w:sz="0" w:space="0" w:color="auto"/>
      </w:divBdr>
    </w:div>
    <w:div w:id="1615096330">
      <w:bodyDiv w:val="1"/>
      <w:marLeft w:val="0"/>
      <w:marRight w:val="0"/>
      <w:marTop w:val="0"/>
      <w:marBottom w:val="0"/>
      <w:divBdr>
        <w:top w:val="none" w:sz="0" w:space="0" w:color="auto"/>
        <w:left w:val="none" w:sz="0" w:space="0" w:color="auto"/>
        <w:bottom w:val="none" w:sz="0" w:space="0" w:color="auto"/>
        <w:right w:val="none" w:sz="0" w:space="0" w:color="auto"/>
      </w:divBdr>
    </w:div>
    <w:div w:id="1714768354">
      <w:bodyDiv w:val="1"/>
      <w:marLeft w:val="0"/>
      <w:marRight w:val="0"/>
      <w:marTop w:val="0"/>
      <w:marBottom w:val="0"/>
      <w:divBdr>
        <w:top w:val="none" w:sz="0" w:space="0" w:color="auto"/>
        <w:left w:val="none" w:sz="0" w:space="0" w:color="auto"/>
        <w:bottom w:val="none" w:sz="0" w:space="0" w:color="auto"/>
        <w:right w:val="none" w:sz="0" w:space="0" w:color="auto"/>
      </w:divBdr>
      <w:divsChild>
        <w:div w:id="66926972">
          <w:marLeft w:val="0"/>
          <w:marRight w:val="0"/>
          <w:marTop w:val="0"/>
          <w:marBottom w:val="0"/>
          <w:divBdr>
            <w:top w:val="none" w:sz="0" w:space="0" w:color="auto"/>
            <w:left w:val="none" w:sz="0" w:space="0" w:color="auto"/>
            <w:bottom w:val="none" w:sz="0" w:space="0" w:color="auto"/>
            <w:right w:val="none" w:sz="0" w:space="0" w:color="auto"/>
          </w:divBdr>
        </w:div>
      </w:divsChild>
    </w:div>
    <w:div w:id="1768117481">
      <w:bodyDiv w:val="1"/>
      <w:marLeft w:val="0"/>
      <w:marRight w:val="0"/>
      <w:marTop w:val="0"/>
      <w:marBottom w:val="0"/>
      <w:divBdr>
        <w:top w:val="none" w:sz="0" w:space="0" w:color="auto"/>
        <w:left w:val="none" w:sz="0" w:space="0" w:color="auto"/>
        <w:bottom w:val="none" w:sz="0" w:space="0" w:color="auto"/>
        <w:right w:val="none" w:sz="0" w:space="0" w:color="auto"/>
      </w:divBdr>
    </w:div>
    <w:div w:id="1896623010">
      <w:bodyDiv w:val="1"/>
      <w:marLeft w:val="0"/>
      <w:marRight w:val="0"/>
      <w:marTop w:val="0"/>
      <w:marBottom w:val="0"/>
      <w:divBdr>
        <w:top w:val="none" w:sz="0" w:space="0" w:color="auto"/>
        <w:left w:val="none" w:sz="0" w:space="0" w:color="auto"/>
        <w:bottom w:val="none" w:sz="0" w:space="0" w:color="auto"/>
        <w:right w:val="none" w:sz="0" w:space="0" w:color="auto"/>
      </w:divBdr>
    </w:div>
    <w:div w:id="1915772679">
      <w:bodyDiv w:val="1"/>
      <w:marLeft w:val="0"/>
      <w:marRight w:val="0"/>
      <w:marTop w:val="0"/>
      <w:marBottom w:val="0"/>
      <w:divBdr>
        <w:top w:val="none" w:sz="0" w:space="0" w:color="auto"/>
        <w:left w:val="none" w:sz="0" w:space="0" w:color="auto"/>
        <w:bottom w:val="none" w:sz="0" w:space="0" w:color="auto"/>
        <w:right w:val="none" w:sz="0" w:space="0" w:color="auto"/>
      </w:divBdr>
    </w:div>
    <w:div w:id="1917982347">
      <w:bodyDiv w:val="1"/>
      <w:marLeft w:val="0"/>
      <w:marRight w:val="0"/>
      <w:marTop w:val="0"/>
      <w:marBottom w:val="0"/>
      <w:divBdr>
        <w:top w:val="none" w:sz="0" w:space="0" w:color="auto"/>
        <w:left w:val="none" w:sz="0" w:space="0" w:color="auto"/>
        <w:bottom w:val="none" w:sz="0" w:space="0" w:color="auto"/>
        <w:right w:val="none" w:sz="0" w:space="0" w:color="auto"/>
      </w:divBdr>
    </w:div>
    <w:div w:id="1939942480">
      <w:bodyDiv w:val="1"/>
      <w:marLeft w:val="0"/>
      <w:marRight w:val="0"/>
      <w:marTop w:val="0"/>
      <w:marBottom w:val="0"/>
      <w:divBdr>
        <w:top w:val="none" w:sz="0" w:space="0" w:color="auto"/>
        <w:left w:val="none" w:sz="0" w:space="0" w:color="auto"/>
        <w:bottom w:val="none" w:sz="0" w:space="0" w:color="auto"/>
        <w:right w:val="none" w:sz="0" w:space="0" w:color="auto"/>
      </w:divBdr>
      <w:divsChild>
        <w:div w:id="955403171">
          <w:marLeft w:val="0"/>
          <w:marRight w:val="0"/>
          <w:marTop w:val="240"/>
          <w:marBottom w:val="0"/>
          <w:divBdr>
            <w:top w:val="none" w:sz="0" w:space="0" w:color="auto"/>
            <w:left w:val="none" w:sz="0" w:space="0" w:color="auto"/>
            <w:bottom w:val="none" w:sz="0" w:space="0" w:color="auto"/>
            <w:right w:val="none" w:sz="0" w:space="0" w:color="auto"/>
          </w:divBdr>
          <w:divsChild>
            <w:div w:id="2124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D9EF4F4-1FF3-4564-9C3E-AC450115CE30}">
  <ds:schemaRefs>
    <ds:schemaRef ds:uri="http://schemas.openxmlformats.org/officeDocument/2006/bibliography"/>
  </ds:schemaRefs>
</ds:datastoreItem>
</file>

<file path=customXml/itemProps2.xml><?xml version="1.0" encoding="utf-8"?>
<ds:datastoreItem xmlns:ds="http://schemas.openxmlformats.org/officeDocument/2006/customXml" ds:itemID="{1B19C02F-D7DB-4554-9FF0-AE8B43183E54}"/>
</file>

<file path=customXml/itemProps3.xml><?xml version="1.0" encoding="utf-8"?>
<ds:datastoreItem xmlns:ds="http://schemas.openxmlformats.org/officeDocument/2006/customXml" ds:itemID="{561FE362-0A17-4A02-94D8-F187D851A35C}"/>
</file>

<file path=customXml/itemProps4.xml><?xml version="1.0" encoding="utf-8"?>
<ds:datastoreItem xmlns:ds="http://schemas.openxmlformats.org/officeDocument/2006/customXml" ds:itemID="{60773CFC-8147-49D0-803F-89655E2A5998}"/>
</file>

<file path=customXml/itemProps5.xml><?xml version="1.0" encoding="utf-8"?>
<ds:datastoreItem xmlns:ds="http://schemas.openxmlformats.org/officeDocument/2006/customXml" ds:itemID="{6AD56F1D-E4B7-4A1B-AEAB-EA3C71420FBB}"/>
</file>

<file path=docProps/app.xml><?xml version="1.0" encoding="utf-8"?>
<Properties xmlns="http://schemas.openxmlformats.org/officeDocument/2006/extended-properties" xmlns:vt="http://schemas.openxmlformats.org/officeDocument/2006/docPropsVTypes">
  <Template>PerkinsBlank.dotx</Template>
  <TotalTime>4</TotalTime>
  <Pages>39</Pages>
  <Words>9233</Words>
  <Characters>52630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61740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No Name</cp:lastModifiedBy>
  <cp:revision>8</cp:revision>
  <cp:lastPrinted>2017-09-15T06:20:00Z</cp:lastPrinted>
  <dcterms:created xsi:type="dcterms:W3CDTF">2017-09-13T23:23:00Z</dcterms:created>
  <dcterms:modified xsi:type="dcterms:W3CDTF">2017-09-15T18:45:00Z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