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39331E" w:rsidP="0039331E">
      <w:pPr>
        <w:pStyle w:val="BodyText"/>
        <w:spacing w:line="240" w:lineRule="auto"/>
        <w:jc w:val="center"/>
        <w:rPr>
          <w:b/>
          <w:bCs/>
          <w:sz w:val="25"/>
          <w:szCs w:val="25"/>
        </w:rPr>
      </w:pPr>
      <w:r w:rsidRPr="00BD1EB2">
        <w:rPr>
          <w:b/>
          <w:bCs/>
          <w:sz w:val="25"/>
          <w:szCs w:val="25"/>
        </w:rPr>
        <w:t>BEFORE THE WASHINGTON</w:t>
      </w:r>
      <w:r>
        <w:rPr>
          <w:b/>
          <w:bCs/>
          <w:sz w:val="25"/>
          <w:szCs w:val="25"/>
        </w:rPr>
        <w:t xml:space="preserve"> STATE</w:t>
      </w:r>
      <w:r>
        <w:rPr>
          <w:b/>
          <w:bCs/>
          <w:sz w:val="25"/>
          <w:szCs w:val="25"/>
        </w:rPr>
        <w:br/>
      </w:r>
      <w:r w:rsidRPr="00BD1EB2">
        <w:rPr>
          <w:b/>
          <w:bCs/>
          <w:sz w:val="25"/>
          <w:szCs w:val="25"/>
        </w:rPr>
        <w:t>UTILITIES AND TRANSPORTATION COMMISSION</w:t>
      </w:r>
    </w:p>
    <w:tbl>
      <w:tblPr>
        <w:tblW w:w="8928" w:type="dxa"/>
        <w:tblLook w:val="0000"/>
      </w:tblPr>
      <w:tblGrid>
        <w:gridCol w:w="4248"/>
        <w:gridCol w:w="360"/>
        <w:gridCol w:w="4320"/>
      </w:tblGrid>
      <w:tr w:rsidTr="00DE2076">
        <w:tblPrEx>
          <w:tblW w:w="8928" w:type="dxa"/>
          <w:tblLook w:val="0000"/>
        </w:tblPrEx>
        <w:tc>
          <w:tcPr>
            <w:tcW w:w="4248" w:type="dxa"/>
          </w:tcPr>
          <w:p w:rsidR="0039331E" w:rsidRPr="00B80696" w:rsidP="00DE2076">
            <w:pPr>
              <w:tabs>
                <w:tab w:val="left" w:pos="2160"/>
              </w:tabs>
              <w:rPr>
                <w:bCs/>
                <w:sz w:val="25"/>
                <w:szCs w:val="25"/>
              </w:rPr>
            </w:pPr>
            <w:r w:rsidRPr="00B80696">
              <w:rPr>
                <w:bCs/>
                <w:sz w:val="25"/>
                <w:szCs w:val="25"/>
              </w:rPr>
              <w:t>WASHINGTON UTILITIES AND TRANSPORTATION COMMISSION,</w:t>
            </w:r>
          </w:p>
          <w:p w:rsidR="0039331E" w:rsidRPr="00B80696" w:rsidP="00DE2076">
            <w:pPr>
              <w:tabs>
                <w:tab w:val="left" w:pos="2160"/>
              </w:tabs>
              <w:rPr>
                <w:bCs/>
                <w:sz w:val="25"/>
                <w:szCs w:val="25"/>
              </w:rPr>
            </w:pPr>
          </w:p>
          <w:p w:rsidR="0039331E" w:rsidRPr="00B80696" w:rsidP="00DE2076">
            <w:pPr>
              <w:tabs>
                <w:tab w:val="left" w:pos="2160"/>
              </w:tabs>
              <w:rPr>
                <w:bCs/>
                <w:sz w:val="25"/>
                <w:szCs w:val="25"/>
              </w:rPr>
            </w:pPr>
            <w:r w:rsidRPr="00B80696">
              <w:rPr>
                <w:bCs/>
                <w:sz w:val="25"/>
                <w:szCs w:val="25"/>
              </w:rPr>
              <w:tab/>
              <w:t>Complainant,</w:t>
            </w:r>
          </w:p>
          <w:p w:rsidR="0039331E" w:rsidRPr="00B80696" w:rsidP="00DE2076">
            <w:pPr>
              <w:tabs>
                <w:tab w:val="left" w:pos="2160"/>
              </w:tabs>
              <w:rPr>
                <w:bCs/>
                <w:sz w:val="25"/>
                <w:szCs w:val="25"/>
              </w:rPr>
            </w:pPr>
          </w:p>
          <w:p w:rsidR="0039331E" w:rsidRPr="00B80696" w:rsidP="00DE2076">
            <w:pPr>
              <w:tabs>
                <w:tab w:val="left" w:pos="2160"/>
              </w:tabs>
              <w:rPr>
                <w:bCs/>
                <w:sz w:val="25"/>
                <w:szCs w:val="25"/>
              </w:rPr>
            </w:pPr>
            <w:r w:rsidRPr="00B80696">
              <w:rPr>
                <w:bCs/>
                <w:sz w:val="25"/>
                <w:szCs w:val="25"/>
              </w:rPr>
              <w:t>v.</w:t>
            </w:r>
          </w:p>
          <w:p w:rsidR="0039331E" w:rsidRPr="00B80696" w:rsidP="00DE2076">
            <w:pPr>
              <w:tabs>
                <w:tab w:val="left" w:pos="2160"/>
              </w:tabs>
              <w:rPr>
                <w:bCs/>
                <w:sz w:val="25"/>
                <w:szCs w:val="25"/>
              </w:rPr>
            </w:pPr>
          </w:p>
          <w:p w:rsidR="0039331E" w:rsidRPr="00B80696" w:rsidP="00DE2076">
            <w:pPr>
              <w:tabs>
                <w:tab w:val="left" w:pos="2160"/>
              </w:tabs>
              <w:rPr>
                <w:bCs/>
                <w:sz w:val="25"/>
                <w:szCs w:val="25"/>
              </w:rPr>
            </w:pPr>
            <w:r>
              <w:rPr>
                <w:bCs/>
                <w:sz w:val="25"/>
                <w:szCs w:val="25"/>
              </w:rPr>
              <w:t>WASTE CONTROL, INC., G-101</w:t>
            </w:r>
            <w:r w:rsidRPr="00B80696">
              <w:rPr>
                <w:bCs/>
                <w:sz w:val="25"/>
                <w:szCs w:val="25"/>
              </w:rPr>
              <w:t>,</w:t>
            </w:r>
          </w:p>
          <w:p w:rsidR="0039331E" w:rsidRPr="00B80696" w:rsidP="00DE2076">
            <w:pPr>
              <w:tabs>
                <w:tab w:val="left" w:pos="2160"/>
              </w:tabs>
              <w:rPr>
                <w:bCs/>
                <w:sz w:val="25"/>
                <w:szCs w:val="25"/>
              </w:rPr>
            </w:pPr>
          </w:p>
          <w:p w:rsidR="0039331E" w:rsidRPr="000503FF" w:rsidP="00DE2076">
            <w:pPr>
              <w:tabs>
                <w:tab w:val="left" w:pos="2160"/>
              </w:tabs>
              <w:rPr>
                <w:bCs/>
                <w:sz w:val="25"/>
                <w:szCs w:val="25"/>
              </w:rPr>
            </w:pPr>
            <w:r w:rsidRPr="00B80696">
              <w:rPr>
                <w:bCs/>
                <w:sz w:val="25"/>
                <w:szCs w:val="25"/>
              </w:rPr>
              <w:tab/>
              <w:t>Respondent.</w:t>
            </w:r>
          </w:p>
        </w:tc>
        <w:tc>
          <w:tcPr>
            <w:tcW w:w="360" w:type="dxa"/>
          </w:tcPr>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p>
        </w:tc>
        <w:tc>
          <w:tcPr>
            <w:tcW w:w="4320" w:type="dxa"/>
          </w:tcPr>
          <w:p w:rsidR="0039331E" w:rsidP="00DE2076">
            <w:pPr>
              <w:rPr>
                <w:sz w:val="25"/>
                <w:szCs w:val="25"/>
              </w:rPr>
            </w:pPr>
            <w:r w:rsidRPr="00BD1EB2">
              <w:rPr>
                <w:sz w:val="25"/>
                <w:szCs w:val="25"/>
              </w:rPr>
              <w:t xml:space="preserve">DOCKET </w:t>
            </w:r>
            <w:r>
              <w:rPr>
                <w:sz w:val="25"/>
                <w:szCs w:val="25"/>
              </w:rPr>
              <w:t>TG-</w:t>
            </w:r>
            <w:r w:rsidR="00606B13">
              <w:rPr>
                <w:sz w:val="25"/>
                <w:szCs w:val="25"/>
              </w:rPr>
              <w:t>140560</w:t>
            </w:r>
          </w:p>
          <w:p w:rsidR="0039331E" w:rsidRPr="00BD1EB2" w:rsidP="00DE2076">
            <w:pPr>
              <w:rPr>
                <w:sz w:val="25"/>
                <w:szCs w:val="25"/>
              </w:rPr>
            </w:pPr>
          </w:p>
          <w:p w:rsidR="0039331E" w:rsidRPr="00BD1EB2" w:rsidP="00DE2076">
            <w:pPr>
              <w:pStyle w:val="Header"/>
              <w:tabs>
                <w:tab w:val="clear" w:pos="4320"/>
                <w:tab w:val="clear" w:pos="8640"/>
              </w:tabs>
              <w:rPr>
                <w:sz w:val="25"/>
                <w:szCs w:val="25"/>
              </w:rPr>
            </w:pPr>
          </w:p>
        </w:tc>
      </w:tr>
    </w:tbl>
    <w:p w:rsidR="0039331E" w:rsidP="0039331E">
      <w:pPr>
        <w:spacing w:line="288" w:lineRule="auto"/>
        <w:rPr>
          <w:sz w:val="25"/>
          <w:szCs w:val="25"/>
        </w:rPr>
      </w:pPr>
    </w:p>
    <w:p w:rsidR="0039331E" w:rsidRPr="00BD1EB2" w:rsidP="0039331E">
      <w:pPr>
        <w:spacing w:line="288" w:lineRule="auto"/>
        <w:rPr>
          <w:sz w:val="25"/>
          <w:szCs w:val="25"/>
        </w:rPr>
      </w:pPr>
    </w:p>
    <w:p w:rsidR="0039331E" w:rsidRPr="00162CA3" w:rsidP="0039331E">
      <w:pPr>
        <w:pStyle w:val="Judge"/>
        <w:jc w:val="center"/>
        <w:rPr>
          <w:b/>
        </w:rPr>
      </w:pPr>
      <w:r>
        <w:rPr>
          <w:b/>
        </w:rPr>
        <w:t>SUPPLEMENTAL</w:t>
      </w:r>
      <w:r w:rsidRPr="00162CA3">
        <w:rPr>
          <w:b/>
        </w:rPr>
        <w:t xml:space="preserve"> TESTIMONY</w:t>
      </w:r>
      <w:r w:rsidR="00B2795D">
        <w:rPr>
          <w:b/>
        </w:rPr>
        <w:t xml:space="preserve"> </w:t>
      </w:r>
    </w:p>
    <w:p w:rsidR="0039331E" w:rsidRPr="00162CA3" w:rsidP="0039331E">
      <w:pPr>
        <w:pStyle w:val="Judge"/>
        <w:jc w:val="center"/>
        <w:rPr>
          <w:b/>
        </w:rPr>
      </w:pPr>
    </w:p>
    <w:p w:rsidR="0039331E" w:rsidRPr="00162CA3" w:rsidP="0039331E">
      <w:pPr>
        <w:pStyle w:val="Judge"/>
        <w:jc w:val="center"/>
        <w:rPr>
          <w:b/>
        </w:rPr>
      </w:pPr>
      <w:r>
        <w:rPr>
          <w:b/>
        </w:rPr>
        <w:t>OF</w:t>
      </w:r>
      <w:r w:rsidR="003743CE">
        <w:rPr>
          <w:b/>
        </w:rPr>
        <w:t xml:space="preserve"> JOE WILLIS</w:t>
      </w:r>
      <w:r w:rsidR="00B2795D">
        <w:rPr>
          <w:b/>
        </w:rPr>
        <w:t xml:space="preserve"> </w:t>
      </w:r>
    </w:p>
    <w:p w:rsidR="0039331E" w:rsidRPr="00162CA3" w:rsidP="0039331E">
      <w:pPr>
        <w:pStyle w:val="Judge"/>
        <w:jc w:val="center"/>
        <w:rPr>
          <w:b/>
        </w:rPr>
      </w:pPr>
    </w:p>
    <w:p w:rsidR="0039331E" w:rsidP="0039331E">
      <w:pPr>
        <w:pStyle w:val="Judge"/>
        <w:jc w:val="center"/>
        <w:rPr>
          <w:b/>
          <w:bCs/>
          <w:color w:val="000000"/>
        </w:rPr>
      </w:pPr>
      <w:r>
        <w:rPr>
          <w:b/>
          <w:bCs/>
          <w:color w:val="000000"/>
        </w:rPr>
        <w:t>IN “PAPER-ONLY” PHASE OF GENERAL RATE CASE</w:t>
      </w:r>
    </w:p>
    <w:p w:rsidR="00926B2B" w:rsidP="0039331E">
      <w:pPr>
        <w:pStyle w:val="Judge"/>
        <w:jc w:val="center"/>
        <w:rPr>
          <w:b/>
          <w:bCs/>
          <w:color w:val="000000"/>
        </w:rPr>
      </w:pPr>
    </w:p>
    <w:p w:rsidR="00926B2B" w:rsidP="0039331E">
      <w:pPr>
        <w:pStyle w:val="Judge"/>
        <w:jc w:val="center"/>
        <w:rPr>
          <w:b/>
          <w:bCs/>
          <w:color w:val="000000"/>
        </w:rPr>
      </w:pPr>
      <w:r>
        <w:rPr>
          <w:b/>
          <w:bCs/>
          <w:color w:val="000000"/>
        </w:rPr>
        <w:t>FOR WASTE CONTROL, INC</w:t>
      </w:r>
      <w:r w:rsidR="00DF0A03">
        <w:rPr>
          <w:b/>
          <w:bCs/>
          <w:color w:val="000000"/>
        </w:rPr>
        <w:t>.</w:t>
      </w:r>
    </w:p>
    <w:p w:rsidR="00926B2B" w:rsidP="0039331E">
      <w:pPr>
        <w:pStyle w:val="Judge"/>
        <w:jc w:val="center"/>
        <w:rPr>
          <w:b/>
          <w:bCs/>
          <w:color w:val="000000"/>
        </w:rPr>
      </w:pPr>
    </w:p>
    <w:p w:rsidR="00926B2B" w:rsidP="0039331E">
      <w:pPr>
        <w:pStyle w:val="Judge"/>
        <w:jc w:val="center"/>
        <w:rPr>
          <w:b/>
          <w:bCs/>
          <w:color w:val="000000"/>
        </w:rPr>
      </w:pPr>
      <w:r>
        <w:rPr>
          <w:b/>
          <w:bCs/>
          <w:color w:val="000000"/>
        </w:rPr>
        <w:t>DOCKET NO. TG-140560</w:t>
      </w:r>
    </w:p>
    <w:p w:rsidR="00926B2B" w:rsidP="0039331E">
      <w:pPr>
        <w:pStyle w:val="Judge"/>
        <w:jc w:val="center"/>
        <w:rPr>
          <w:b/>
          <w:bCs/>
          <w:color w:val="000000"/>
        </w:rPr>
      </w:pPr>
    </w:p>
    <w:p w:rsidR="00606B13" w:rsidP="0039331E">
      <w:pPr>
        <w:pStyle w:val="Judge"/>
        <w:jc w:val="center"/>
        <w:rPr>
          <w:b/>
        </w:rPr>
      </w:pPr>
    </w:p>
    <w:p w:rsidR="0039331E" w:rsidP="0039331E">
      <w:pPr>
        <w:pStyle w:val="Judge"/>
        <w:jc w:val="center"/>
      </w:pPr>
      <w:r>
        <w:rPr>
          <w:b/>
        </w:rPr>
        <w:t xml:space="preserve"> </w:t>
      </w:r>
      <w:r w:rsidR="000E4564">
        <w:rPr>
          <w:b/>
        </w:rPr>
        <w:t>NOVEMBER</w:t>
      </w:r>
      <w:r w:rsidR="00606B13">
        <w:rPr>
          <w:b/>
        </w:rPr>
        <w:t xml:space="preserve"> </w:t>
      </w:r>
      <w:r w:rsidR="00C7737F">
        <w:rPr>
          <w:b/>
        </w:rPr>
        <w:t>7</w:t>
      </w:r>
      <w:bookmarkStart w:id="0" w:name="_GoBack"/>
      <w:bookmarkEnd w:id="0"/>
      <w:r>
        <w:rPr>
          <w:b/>
        </w:rPr>
        <w:t>, 2014</w:t>
      </w:r>
    </w:p>
    <w:p w:rsidR="0039331E" w:rsidP="0039331E">
      <w:pPr>
        <w:pStyle w:val="Judge"/>
        <w:jc w:val="center"/>
      </w:pPr>
    </w:p>
    <w:p w:rsidR="0039331E" w:rsidP="0039331E">
      <w:pPr>
        <w:pStyle w:val="Judge"/>
        <w:jc w:val="center"/>
      </w:pPr>
    </w:p>
    <w:p w:rsidR="0039331E" w:rsidP="0039331E">
      <w:pPr>
        <w:pStyle w:val="Judge"/>
        <w:jc w:val="center"/>
      </w:pPr>
    </w:p>
    <w:p w:rsidR="0039331E" w:rsidP="0039331E">
      <w:pPr>
        <w:pStyle w:val="Judge"/>
        <w:jc w:val="center"/>
        <w:sectPr w:rsidSect="00411A2E">
          <w:headerReference w:type="even" r:id="rId4"/>
          <w:headerReference w:type="default" r:id="rId5"/>
          <w:footerReference w:type="even" r:id="rId6"/>
          <w:footerReference w:type="default" r:id="rId7"/>
          <w:headerReference w:type="first" r:id="rId8"/>
          <w:footerReference w:type="first" r:id="rId9"/>
          <w:pgSz w:w="12240" w:h="15840" w:code="1"/>
          <w:pgMar w:top="1440" w:right="1512" w:bottom="1440" w:left="1541" w:header="720" w:footer="1008" w:gutter="0"/>
          <w:paperSrc w:first="262" w:other="262"/>
          <w:cols w:space="720"/>
          <w:titlePg/>
          <w:docGrid w:linePitch="360"/>
        </w:sectPr>
      </w:pPr>
    </w:p>
    <w:p w:rsidR="008A6709" w:rsidRPr="008A6709" w:rsidP="008A6709">
      <w:pPr>
        <w:pStyle w:val="Heading1"/>
      </w:pPr>
      <w:r w:rsidRPr="008A6709">
        <w:t>IDENTIFICATION OF WITNESS</w:t>
      </w:r>
    </w:p>
    <w:p w:rsidR="008A6709" w:rsidP="00027F2F">
      <w:pPr>
        <w:pStyle w:val="QUESTION"/>
        <w:spacing w:after="240"/>
      </w:pPr>
      <w:r>
        <w:t>Q.</w:t>
      </w:r>
      <w:r>
        <w:tab/>
        <w:t>WOULD YOU PLEASE STATE YOUR NAME AND PROVIDE YOUR BUSINESS ADDRESS FOR THE RECORD?</w:t>
      </w:r>
    </w:p>
    <w:p w:rsidR="0075677C" w:rsidP="0075677C">
      <w:pPr>
        <w:pStyle w:val="Judge"/>
        <w:spacing w:line="480" w:lineRule="exact"/>
        <w:ind w:left="720" w:hanging="720"/>
        <w:jc w:val="left"/>
      </w:pPr>
      <w:r>
        <w:t>A.</w:t>
      </w:r>
      <w:r>
        <w:tab/>
        <w:t xml:space="preserve">Yes. </w:t>
      </w:r>
      <w:r>
        <w:t xml:space="preserve">My name is Joseph Willis.  My business address is </w:t>
      </w:r>
      <w:r w:rsidRPr="00AD1E77">
        <w:t>1150 3rd Av</w:t>
      </w:r>
      <w:r>
        <w:t>enue</w:t>
      </w:r>
      <w:r w:rsidRPr="00AD1E77">
        <w:t xml:space="preserve">, Longview, </w:t>
      </w:r>
      <w:r>
        <w:t xml:space="preserve">Washington, </w:t>
      </w:r>
      <w:r w:rsidRPr="00AD1E77">
        <w:t>98632</w:t>
      </w:r>
      <w:r>
        <w:t>.  I am president of Waste Control, Inc. and officer and shareholder of various commonly owned affiliate sister companies of Waste Control, Inc.  I previously testified in the original TG-131794 matter marked as Exhibit JW-1T in this proceeding</w:t>
      </w:r>
      <w:r w:rsidR="000E4564">
        <w:t xml:space="preserve"> and briefly in rebuttal in this docket which testimony was marked as Exhibit JW-4T on August 20, 2014</w:t>
      </w:r>
      <w:r>
        <w:t>.</w:t>
      </w:r>
    </w:p>
    <w:p w:rsidR="008A6709" w:rsidP="008A6709">
      <w:pPr>
        <w:pStyle w:val="QUESTION"/>
      </w:pPr>
      <w:r>
        <w:t>q.</w:t>
      </w:r>
      <w:r>
        <w:tab/>
        <w:t>are</w:t>
      </w:r>
      <w:r>
        <w:t xml:space="preserve"> YOUR BACKGROUND, RELEVANT EXPERIENCE AND PURPOSE in submitting testimony in this record STILL THE SAME as that </w:t>
      </w:r>
      <w:r w:rsidR="004F7FCD">
        <w:t>YOU SUBMITTED UNDER EXHIBIT JW-1</w:t>
      </w:r>
      <w:r>
        <w:t xml:space="preserve">T </w:t>
      </w:r>
      <w:r w:rsidR="00550083">
        <w:t xml:space="preserve">on </w:t>
      </w:r>
      <w:r w:rsidR="008905A8">
        <w:t>April 4</w:t>
      </w:r>
      <w:r w:rsidRPr="00CA748B" w:rsidR="00550083">
        <w:t>, 2014</w:t>
      </w:r>
      <w:r w:rsidR="004F7FCD">
        <w:t xml:space="preserve"> </w:t>
      </w:r>
      <w:r w:rsidR="00550083">
        <w:t xml:space="preserve">and </w:t>
      </w:r>
      <w:r w:rsidR="004F7FCD">
        <w:t>JW</w:t>
      </w:r>
      <w:r w:rsidR="00CA748B">
        <w:t>-</w:t>
      </w:r>
      <w:r w:rsidR="004F7FCD">
        <w:t xml:space="preserve">6T </w:t>
      </w:r>
      <w:r>
        <w:t>august 20, 2014?</w:t>
      </w:r>
    </w:p>
    <w:p w:rsidR="008A6709" w:rsidP="008A6709">
      <w:pPr>
        <w:pStyle w:val="Answer"/>
      </w:pPr>
      <w:r>
        <w:t>A.</w:t>
      </w:r>
      <w:r>
        <w:tab/>
        <w:t>Yes it is.</w:t>
      </w:r>
    </w:p>
    <w:p w:rsidR="002A2DA0" w:rsidRPr="008A6709" w:rsidP="008A6709">
      <w:pPr>
        <w:pStyle w:val="Heading1"/>
      </w:pPr>
      <w:r w:rsidRPr="008A6709">
        <w:t>p</w:t>
      </w:r>
      <w:r w:rsidRPr="008A6709" w:rsidR="000B63F7">
        <w:t>URPOSE OF TESTIMONY</w:t>
      </w:r>
    </w:p>
    <w:p w:rsidR="0039331E" w:rsidP="00733611">
      <w:pPr>
        <w:pStyle w:val="QUESTION"/>
      </w:pPr>
      <w:r w:rsidRPr="00A54D68">
        <w:t>Q.</w:t>
      </w:r>
      <w:r w:rsidRPr="00A54D68">
        <w:tab/>
      </w:r>
      <w:r w:rsidR="00176E48">
        <w:t>at this juncture at the “paper-only” stage of this now year-long proceeding, what additional comments did you w</w:t>
      </w:r>
      <w:r w:rsidR="0082111D">
        <w:t>ish</w:t>
      </w:r>
      <w:r w:rsidR="00176E48">
        <w:t xml:space="preserve"> to make on the remaining contested accounting issues now before the commission?</w:t>
      </w:r>
    </w:p>
    <w:p w:rsidR="007D1103" w:rsidP="00176E48">
      <w:pPr>
        <w:pStyle w:val="Answer"/>
      </w:pPr>
      <w:r>
        <w:t>A.</w:t>
      </w:r>
      <w:r>
        <w:tab/>
      </w:r>
      <w:r w:rsidR="00176E48">
        <w:t>As President and Co-Owner of WCI, I wanted t</w:t>
      </w:r>
      <w:r>
        <w:t>he</w:t>
      </w:r>
      <w:r w:rsidR="00176E48">
        <w:t xml:space="preserve"> Commission to understand the</w:t>
      </w:r>
      <w:r>
        <w:t xml:space="preserve"> import and</w:t>
      </w:r>
      <w:r w:rsidR="00176E48">
        <w:t xml:space="preserve"> gravity </w:t>
      </w:r>
      <w:r w:rsidR="004F7FCD">
        <w:t xml:space="preserve">by </w:t>
      </w:r>
      <w:r w:rsidR="00176E48">
        <w:t>which I view the decision it will make, particularly on the affiliate land rent issue.</w:t>
      </w:r>
    </w:p>
    <w:p w:rsidR="007D1103" w:rsidRPr="007D1103" w:rsidP="001C717C">
      <w:pPr>
        <w:pStyle w:val="QUESTION"/>
        <w:keepNext/>
      </w:pPr>
      <w:r>
        <w:t>q.</w:t>
      </w:r>
      <w:r>
        <w:tab/>
        <w:t xml:space="preserve">what specifically do you view as so pertinent </w:t>
      </w:r>
      <w:r w:rsidR="000E4564">
        <w:t>o</w:t>
      </w:r>
      <w:r>
        <w:t>n that</w:t>
      </w:r>
      <w:r w:rsidR="000E4564">
        <w:t xml:space="preserve"> issue</w:t>
      </w:r>
      <w:r>
        <w:t>?</w:t>
      </w:r>
    </w:p>
    <w:p w:rsidR="00176E48" w:rsidRPr="00176E48" w:rsidP="00176E48">
      <w:pPr>
        <w:pStyle w:val="Answer"/>
      </w:pPr>
      <w:r>
        <w:t>A.</w:t>
      </w:r>
      <w:r>
        <w:tab/>
      </w:r>
      <w:r>
        <w:t>In 2009, during the last general rate case for WCI, the Staff initially attempted to “commingle” or otherwise combine both WCI and all its affiliates capital str</w:t>
      </w:r>
      <w:r w:rsidR="008905A8">
        <w:t>uctures for the purposes of deriv</w:t>
      </w:r>
      <w:r>
        <w:t xml:space="preserve">ing a revenue requirement under </w:t>
      </w:r>
      <w:r w:rsidRPr="001B7279">
        <w:t>Lurito</w:t>
      </w:r>
      <w:r w:rsidRPr="001B7279">
        <w:t>-Gallagher</w:t>
      </w:r>
      <w:r>
        <w:t>.</w:t>
      </w:r>
      <w:r w:rsidR="009B2A84">
        <w:t xml:space="preserve">  This effort occurred against the completed backdrop of some extensive financing the affiliated </w:t>
      </w:r>
      <w:r w:rsidR="009B2A84">
        <w:t>companies had</w:t>
      </w:r>
      <w:r w:rsidR="000E4564">
        <w:t xml:space="preserve"> recently</w:t>
      </w:r>
      <w:r w:rsidR="009B2A84">
        <w:t xml:space="preserve"> entered into in order to secure lower interest rates and issuance of a bond</w:t>
      </w:r>
      <w:r w:rsidR="00DD71DD">
        <w:t>.  U</w:t>
      </w:r>
      <w:r w:rsidR="009B2A84">
        <w:t>nder the terms of the financing arrangement</w:t>
      </w:r>
      <w:r w:rsidR="0015624F">
        <w:t>,</w:t>
      </w:r>
      <w:r w:rsidR="009B2A84">
        <w:t xml:space="preserve"> the bond had to be issued in the name of a single entity obligor </w:t>
      </w:r>
      <w:r w:rsidR="00C840C4">
        <w:t xml:space="preserve">which </w:t>
      </w:r>
      <w:r w:rsidR="0015624F">
        <w:t xml:space="preserve">in turn </w:t>
      </w:r>
      <w:r w:rsidR="009B2A84">
        <w:t xml:space="preserve">was issued to Heirborne Investments.  That Company loaned the bonded obligation amount to all the affiliated sister companies in order to procure the items authorized under the </w:t>
      </w:r>
      <w:r w:rsidR="00DD71DD">
        <w:t xml:space="preserve">bond agreement.  </w:t>
      </w:r>
      <w:r w:rsidR="00C840C4">
        <w:t xml:space="preserve">The </w:t>
      </w:r>
      <w:r w:rsidR="00DD71DD">
        <w:t xml:space="preserve">financing arrangement </w:t>
      </w:r>
      <w:r w:rsidR="009B2A84">
        <w:t>was in no way</w:t>
      </w:r>
      <w:r w:rsidR="000E4564">
        <w:t xml:space="preserve"> designed or</w:t>
      </w:r>
      <w:r w:rsidR="009B2A84">
        <w:t xml:space="preserve"> intended to disturb the relationship of the Companies to each other</w:t>
      </w:r>
      <w:r w:rsidR="0015624F">
        <w:t xml:space="preserve">.  </w:t>
      </w:r>
      <w:r w:rsidR="009B2A84">
        <w:t xml:space="preserve"> </w:t>
      </w:r>
      <w:r w:rsidR="0015624F">
        <w:t>R</w:t>
      </w:r>
      <w:r w:rsidR="009B2A84">
        <w:t>ather</w:t>
      </w:r>
      <w:r w:rsidR="00DD71DD">
        <w:t>,</w:t>
      </w:r>
      <w:r w:rsidR="009B2A84">
        <w:t xml:space="preserve"> it was intended as a prudent business approach for minimizing </w:t>
      </w:r>
      <w:r w:rsidR="00C840C4">
        <w:t xml:space="preserve">the </w:t>
      </w:r>
      <w:r w:rsidR="009B2A84">
        <w:t xml:space="preserve">costs of debt and lending </w:t>
      </w:r>
      <w:r w:rsidR="00DD71DD">
        <w:softHyphen/>
      </w:r>
      <w:r w:rsidR="00DD71DD">
        <w:softHyphen/>
      </w:r>
      <w:r w:rsidR="00DD71DD">
        <w:softHyphen/>
      </w:r>
      <w:r w:rsidR="00DD71DD">
        <w:softHyphen/>
      </w:r>
      <w:r w:rsidR="00DD71DD">
        <w:softHyphen/>
      </w:r>
      <w:r w:rsidR="00DD71DD">
        <w:softHyphen/>
      </w:r>
      <w:r w:rsidR="00DD71DD">
        <w:softHyphen/>
      </w:r>
      <w:r w:rsidR="00DD71DD">
        <w:softHyphen/>
        <w:t xml:space="preserve">arrangements.  However, the Commission Staff apparently seized </w:t>
      </w:r>
      <w:r w:rsidR="00C840C4">
        <w:t xml:space="preserve">upon </w:t>
      </w:r>
      <w:r w:rsidR="00DD71DD">
        <w:t>this unrelated reality to attempt to combine the capital structures of all affiliated entities</w:t>
      </w:r>
      <w:r w:rsidR="00FD3354">
        <w:t xml:space="preserve"> for establishing rates for WCI in the 2009 case.</w:t>
      </w:r>
    </w:p>
    <w:p w:rsidR="00694BA3" w:rsidP="00176E48">
      <w:pPr>
        <w:pStyle w:val="QUESTION"/>
      </w:pPr>
      <w:r w:rsidRPr="00A54D68">
        <w:t>Q.</w:t>
      </w:r>
      <w:r w:rsidRPr="00A54D68">
        <w:tab/>
      </w:r>
      <w:r w:rsidR="00176E48">
        <w:t>what was the company’s response?</w:t>
      </w:r>
    </w:p>
    <w:p w:rsidR="00176E48" w:rsidRPr="00176E48" w:rsidP="00176E48">
      <w:pPr>
        <w:pStyle w:val="Answer"/>
      </w:pPr>
      <w:r>
        <w:t>A.</w:t>
      </w:r>
      <w:r>
        <w:tab/>
        <w:t xml:space="preserve">We strongly objected, pointing to the Commission’s original </w:t>
      </w:r>
      <w:r w:rsidRPr="007D1103" w:rsidR="007D1103">
        <w:rPr>
          <w:i/>
        </w:rPr>
        <w:t>Lurito</w:t>
      </w:r>
      <w:r>
        <w:t xml:space="preserve"> decision in 198</w:t>
      </w:r>
      <w:r w:rsidR="00FD3354">
        <w:t>8</w:t>
      </w:r>
      <w:r>
        <w:t xml:space="preserve"> and its refinement of the principles and data entry points in the 1991 </w:t>
      </w:r>
      <w:r w:rsidRPr="007D1103">
        <w:rPr>
          <w:i/>
        </w:rPr>
        <w:t xml:space="preserve">Sno-King </w:t>
      </w:r>
      <w:r>
        <w:t>case</w:t>
      </w:r>
      <w:r w:rsidR="003502C0">
        <w:t xml:space="preserve"> and contested the ability of Staff to extend </w:t>
      </w:r>
      <w:r w:rsidRPr="007D1103" w:rsidR="007D1103">
        <w:rPr>
          <w:i/>
        </w:rPr>
        <w:t>Lurito</w:t>
      </w:r>
      <w:r w:rsidR="003502C0">
        <w:t xml:space="preserve"> in the manner it sought in </w:t>
      </w:r>
      <w:r w:rsidR="000E4564">
        <w:t xml:space="preserve">protracted </w:t>
      </w:r>
      <w:r w:rsidR="003502C0">
        <w:t>negotiations with us during the rate case audit in fall, 2009.</w:t>
      </w:r>
    </w:p>
    <w:p w:rsidR="00694BA3" w:rsidP="001C717C">
      <w:pPr>
        <w:pStyle w:val="QUESTION"/>
        <w:keepNext/>
      </w:pPr>
      <w:r>
        <w:t>Q.</w:t>
      </w:r>
      <w:r>
        <w:tab/>
      </w:r>
      <w:r w:rsidR="003502C0">
        <w:t>what was the result of that challenge?</w:t>
      </w:r>
    </w:p>
    <w:p w:rsidR="00694BA3" w:rsidP="00694BA3">
      <w:pPr>
        <w:pStyle w:val="Answer"/>
      </w:pPr>
      <w:r>
        <w:t>A.</w:t>
      </w:r>
      <w:r>
        <w:tab/>
      </w:r>
      <w:r w:rsidR="003502C0">
        <w:t>Well, after a number of</w:t>
      </w:r>
      <w:r w:rsidR="000E4564">
        <w:t xml:space="preserve"> sessions</w:t>
      </w:r>
      <w:r w:rsidR="003502C0">
        <w:t xml:space="preserve">, including a face-to-face meeting with Staff and counsel we </w:t>
      </w:r>
      <w:r w:rsidR="008905A8">
        <w:t>had then</w:t>
      </w:r>
      <w:r w:rsidR="008E690F">
        <w:t xml:space="preserve"> </w:t>
      </w:r>
      <w:r w:rsidR="003502C0">
        <w:t>retained, the Staff summarily dropped that effort.  A “Top-of-the-File” memo, att</w:t>
      </w:r>
      <w:r w:rsidR="00FA3F3C">
        <w:t>ached here as Exhibit__JW-9</w:t>
      </w:r>
      <w:r w:rsidR="001B7279">
        <w:t>, which we</w:t>
      </w:r>
      <w:r w:rsidR="003502C0">
        <w:t xml:space="preserve"> obtained in discovery in February, 2014 in the associated TG-131794 case</w:t>
      </w:r>
      <w:r w:rsidR="000E4564">
        <w:t>,</w:t>
      </w:r>
      <w:r w:rsidR="003502C0">
        <w:t xml:space="preserve"> briefly alludes to that disputed premise</w:t>
      </w:r>
      <w:r w:rsidR="0015624F">
        <w:t>.</w:t>
      </w:r>
      <w:r w:rsidR="003502C0">
        <w:t xml:space="preserve"> </w:t>
      </w:r>
      <w:r w:rsidR="0015624F">
        <w:t xml:space="preserve"> From our sense </w:t>
      </w:r>
      <w:r w:rsidR="00FD5DAB">
        <w:t xml:space="preserve">of </w:t>
      </w:r>
      <w:r w:rsidR="0015624F">
        <w:t xml:space="preserve">that </w:t>
      </w:r>
      <w:r w:rsidR="000E4564">
        <w:t xml:space="preserve">2009 </w:t>
      </w:r>
      <w:r w:rsidR="0015624F">
        <w:t>meeting, we believe the Staff position was</w:t>
      </w:r>
      <w:r w:rsidR="00FD3354">
        <w:t xml:space="preserve"> subsequently</w:t>
      </w:r>
      <w:r w:rsidR="0015624F">
        <w:t xml:space="preserve"> tested higher up the ranks and was ultimately rejected </w:t>
      </w:r>
      <w:r w:rsidR="000E4564">
        <w:t xml:space="preserve">on recommendations of </w:t>
      </w:r>
      <w:r w:rsidR="0015624F">
        <w:t>Anne Solwick</w:t>
      </w:r>
      <w:r w:rsidR="00FD5DAB">
        <w:t>,</w:t>
      </w:r>
      <w:r w:rsidR="0015624F">
        <w:t xml:space="preserve"> </w:t>
      </w:r>
      <w:r w:rsidR="00FD5DAB">
        <w:t>then head of Regulatory Services</w:t>
      </w:r>
      <w:r w:rsidR="0015624F">
        <w:t xml:space="preserve">.  Thereafter, the </w:t>
      </w:r>
      <w:r w:rsidR="003502C0">
        <w:t xml:space="preserve">Company and the Staff </w:t>
      </w:r>
      <w:r w:rsidR="008905A8">
        <w:t xml:space="preserve">soon </w:t>
      </w:r>
      <w:r w:rsidR="003502C0">
        <w:t xml:space="preserve">reached settlement in that </w:t>
      </w:r>
      <w:r w:rsidR="008905A8">
        <w:t xml:space="preserve">2009 </w:t>
      </w:r>
      <w:r w:rsidR="003502C0">
        <w:t>proceeding.</w:t>
      </w:r>
    </w:p>
    <w:p w:rsidR="001E3887" w:rsidP="001E3887">
      <w:pPr>
        <w:pStyle w:val="QUESTION"/>
      </w:pPr>
      <w:r>
        <w:t>q.</w:t>
      </w:r>
      <w:r>
        <w:tab/>
      </w:r>
      <w:r w:rsidR="003502C0">
        <w:t>and how does that earlier staff challenge relate to circumstances at present in the still-controverted land rent adjustment</w:t>
      </w:r>
      <w:r w:rsidR="000E4564">
        <w:t xml:space="preserve"> in this case</w:t>
      </w:r>
      <w:r w:rsidR="003502C0">
        <w:t>?</w:t>
      </w:r>
    </w:p>
    <w:p w:rsidR="001E3887" w:rsidP="001E3887">
      <w:pPr>
        <w:pStyle w:val="Answer"/>
      </w:pPr>
      <w:r>
        <w:t xml:space="preserve">A. </w:t>
      </w:r>
      <w:r>
        <w:tab/>
      </w:r>
      <w:r w:rsidR="0015624F">
        <w:t xml:space="preserve">In the present case, Staff is </w:t>
      </w:r>
      <w:r w:rsidR="00FD5DAB">
        <w:t xml:space="preserve">appropriately </w:t>
      </w:r>
      <w:r w:rsidR="0015624F">
        <w:t>maintaining separated capital structures for Lurito-Ga</w:t>
      </w:r>
      <w:r w:rsidR="00FD5DAB">
        <w:t>llagher rate</w:t>
      </w:r>
      <w:r w:rsidR="0015624F">
        <w:t>making purposes</w:t>
      </w:r>
      <w:r w:rsidR="003502C0">
        <w:t>.</w:t>
      </w:r>
      <w:r w:rsidR="0015624F">
        <w:t xml:space="preserve">  On land rents</w:t>
      </w:r>
      <w:r w:rsidR="00FD5DAB">
        <w:t xml:space="preserve"> however</w:t>
      </w:r>
      <w:r w:rsidR="0082111D">
        <w:t xml:space="preserve">, Staff has taken a new and </w:t>
      </w:r>
      <w:r w:rsidR="00FD5DAB">
        <w:t xml:space="preserve">different </w:t>
      </w:r>
      <w:r w:rsidR="0015624F">
        <w:t>approach.  Here</w:t>
      </w:r>
      <w:r w:rsidR="00FD5DAB">
        <w:t>,</w:t>
      </w:r>
      <w:r w:rsidR="0015624F">
        <w:t xml:space="preserve"> Staff is advocating commingling the capital structure</w:t>
      </w:r>
      <w:r w:rsidR="001500BB">
        <w:t>s of the affiliate landlords</w:t>
      </w:r>
      <w:r w:rsidR="0015624F">
        <w:t xml:space="preserve"> for calculating the </w:t>
      </w:r>
      <w:r w:rsidR="001500BB">
        <w:t xml:space="preserve">overall </w:t>
      </w:r>
      <w:r w:rsidR="0015624F">
        <w:t>rate of return</w:t>
      </w:r>
      <w:r w:rsidR="00FD5DAB">
        <w:t xml:space="preserve"> </w:t>
      </w:r>
      <w:r w:rsidR="000E4564">
        <w:t xml:space="preserve">factors </w:t>
      </w:r>
      <w:r w:rsidR="001500BB">
        <w:t>on the leased properties</w:t>
      </w:r>
      <w:r w:rsidR="0015624F">
        <w:t>.  The Commis</w:t>
      </w:r>
      <w:r w:rsidR="00FD5DAB">
        <w:t>s</w:t>
      </w:r>
      <w:r w:rsidR="0015624F">
        <w:t xml:space="preserve">ion has previously authorized separate capital structures for ratemaking purposes as discussed above.  </w:t>
      </w:r>
      <w:r w:rsidR="00FD5DAB">
        <w:t xml:space="preserve">The </w:t>
      </w:r>
      <w:r w:rsidR="0015624F">
        <w:t xml:space="preserve">Staff </w:t>
      </w:r>
      <w:r w:rsidR="00FD5DAB">
        <w:t xml:space="preserve">should, though, not </w:t>
      </w:r>
      <w:r w:rsidR="00FD3354">
        <w:t xml:space="preserve">be </w:t>
      </w:r>
      <w:r w:rsidR="00006693">
        <w:t>authorized</w:t>
      </w:r>
      <w:r w:rsidR="00FD3354">
        <w:t xml:space="preserve"> to </w:t>
      </w:r>
      <w:r w:rsidR="0015624F">
        <w:t xml:space="preserve">pick and choose whatever </w:t>
      </w:r>
      <w:r w:rsidR="00263C9C">
        <w:t xml:space="preserve">rate of return </w:t>
      </w:r>
      <w:r w:rsidR="000E4564">
        <w:t xml:space="preserve">method </w:t>
      </w:r>
      <w:r w:rsidR="00263C9C">
        <w:t xml:space="preserve">it </w:t>
      </w:r>
      <w:r w:rsidR="00FD3354">
        <w:t xml:space="preserve">elects </w:t>
      </w:r>
      <w:r w:rsidR="0015624F">
        <w:t>in order to derive a lower rate of return</w:t>
      </w:r>
      <w:r w:rsidR="00FD3354">
        <w:t xml:space="preserve"> </w:t>
      </w:r>
      <w:r w:rsidR="00263C9C">
        <w:t>on land rents</w:t>
      </w:r>
      <w:r w:rsidR="00006693">
        <w:t xml:space="preserve"> for the regulated company</w:t>
      </w:r>
      <w:r w:rsidR="00263C9C">
        <w:t>.</w:t>
      </w:r>
    </w:p>
    <w:p w:rsidR="001E3887" w:rsidP="001E3887">
      <w:pPr>
        <w:pStyle w:val="QUESTION"/>
      </w:pPr>
      <w:r>
        <w:t>q.</w:t>
      </w:r>
      <w:r>
        <w:tab/>
      </w:r>
      <w:r w:rsidR="003502C0">
        <w:t xml:space="preserve">in this situation do you see parallels with the previous staff </w:t>
      </w:r>
      <w:r w:rsidR="000E4564">
        <w:t>Position in the 2009 general rate case?</w:t>
      </w:r>
    </w:p>
    <w:p w:rsidR="001E3887" w:rsidP="001E3887">
      <w:pPr>
        <w:pStyle w:val="Answer"/>
      </w:pPr>
      <w:r>
        <w:t>A</w:t>
      </w:r>
      <w:r w:rsidR="00EE7660">
        <w:t>.</w:t>
      </w:r>
      <w:r w:rsidR="00EE7660">
        <w:tab/>
      </w:r>
      <w:r w:rsidR="00AD21E6">
        <w:t>Absolutely.  In setting allowable rents on commonly</w:t>
      </w:r>
      <w:r w:rsidR="008E690F">
        <w:t>-</w:t>
      </w:r>
      <w:r w:rsidR="00AD21E6">
        <w:t>shared buildings</w:t>
      </w:r>
      <w:r w:rsidR="008E690F">
        <w:t>,</w:t>
      </w:r>
      <w:r w:rsidR="00AD21E6">
        <w:t xml:space="preserve"> the current auditor has utilized the debt/equity capital structures of Heirborne and Heirborne II which subsumes the balance sheet</w:t>
      </w:r>
      <w:r w:rsidR="001B7279">
        <w:t>s of nonregulated property-</w:t>
      </w:r>
      <w:r w:rsidR="00AD21E6">
        <w:t xml:space="preserve">holding entities with significant </w:t>
      </w:r>
      <w:r w:rsidR="000E4564">
        <w:t xml:space="preserve">outstanding </w:t>
      </w:r>
      <w:r w:rsidR="00AD21E6">
        <w:t>debt</w:t>
      </w:r>
      <w:r w:rsidR="008E690F">
        <w:t>,</w:t>
      </w:r>
      <w:r w:rsidR="00AD21E6">
        <w:t xml:space="preserve"> </w:t>
      </w:r>
      <w:r w:rsidR="001B7279">
        <w:t xml:space="preserve">particularly </w:t>
      </w:r>
      <w:r w:rsidR="00AD21E6">
        <w:t>owing to the large capital project of a modern transfer facility construction funded by a bond offering incurred by HB I in 2006.</w:t>
      </w:r>
    </w:p>
    <w:p w:rsidR="00AD21E6" w:rsidP="001C717C">
      <w:pPr>
        <w:pStyle w:val="QUESTION"/>
        <w:keepNext/>
      </w:pPr>
      <w:r>
        <w:t>q.</w:t>
      </w:r>
      <w:r>
        <w:tab/>
        <w:t>in abbreviated form, what is the company’s position about establishing affiliated rents based on capital structures of nonregulated affiliates?</w:t>
      </w:r>
    </w:p>
    <w:p w:rsidR="00AD21E6" w:rsidP="00AD21E6">
      <w:pPr>
        <w:pStyle w:val="Answer"/>
      </w:pPr>
      <w:r>
        <w:t>A.</w:t>
      </w:r>
      <w:r>
        <w:tab/>
        <w:t xml:space="preserve">If the Staff will not </w:t>
      </w:r>
      <w:r w:rsidR="000E4564">
        <w:t xml:space="preserve">focus on </w:t>
      </w:r>
      <w:r>
        <w:t>the capital structure of the re</w:t>
      </w:r>
      <w:r w:rsidR="003828D0">
        <w:t xml:space="preserve">gulated entity </w:t>
      </w:r>
      <w:r w:rsidR="000E4564">
        <w:t xml:space="preserve">itself </w:t>
      </w:r>
      <w:r w:rsidR="003828D0">
        <w:t xml:space="preserve">in determining what is a fair and reasonable </w:t>
      </w:r>
      <w:r w:rsidR="00661FAA">
        <w:t>rent to recover in rates, the Staff and the Commiss</w:t>
      </w:r>
      <w:r w:rsidR="001B7279">
        <w:t>ion ought to be governed in their</w:t>
      </w:r>
      <w:r w:rsidR="00661FAA">
        <w:t xml:space="preserve"> determination by the capital structure of each individual property asset shared/occupied by the regulated com</w:t>
      </w:r>
      <w:r w:rsidR="001B7279">
        <w:t>pany.  In other words, an asset-</w:t>
      </w:r>
      <w:r w:rsidR="00661FAA">
        <w:t xml:space="preserve">specific perspective where rents are incrementally established based on the actual </w:t>
      </w:r>
      <w:r w:rsidR="00661FAA">
        <w:t xml:space="preserve">capital structure of the property parcel in question and then those calculations </w:t>
      </w:r>
      <w:r w:rsidR="000E4564">
        <w:t xml:space="preserve">would be </w:t>
      </w:r>
      <w:r w:rsidR="00661FAA">
        <w:t>cumulated to produce an overall allowed rent for WCI to pay its nonregulated</w:t>
      </w:r>
      <w:r w:rsidR="008905A8">
        <w:t xml:space="preserve"> landlord</w:t>
      </w:r>
      <w:r w:rsidR="00661FAA">
        <w:t xml:space="preserve"> affiliate(s) in rates.</w:t>
      </w:r>
    </w:p>
    <w:p w:rsidR="00661FAA" w:rsidP="00661FAA">
      <w:pPr>
        <w:pStyle w:val="QUESTION"/>
      </w:pPr>
      <w:r>
        <w:t>q.</w:t>
      </w:r>
      <w:r>
        <w:tab/>
        <w:t>why do you have co</w:t>
      </w:r>
      <w:r w:rsidR="001B7279">
        <w:t xml:space="preserve">ncerns if this </w:t>
      </w:r>
      <w:r w:rsidR="008E690F">
        <w:t xml:space="preserve">aggregated capital structure </w:t>
      </w:r>
      <w:r w:rsidR="001B7279">
        <w:t xml:space="preserve">approach is not rejected </w:t>
      </w:r>
      <w:r>
        <w:t>by the commission here?</w:t>
      </w:r>
    </w:p>
    <w:p w:rsidR="00661FAA" w:rsidP="00661FAA">
      <w:pPr>
        <w:pStyle w:val="Answer"/>
      </w:pPr>
      <w:r>
        <w:t>A.</w:t>
      </w:r>
      <w:r>
        <w:tab/>
        <w:t xml:space="preserve">Since </w:t>
      </w:r>
      <w:r w:rsidR="008E690F">
        <w:t xml:space="preserve">our experience in </w:t>
      </w:r>
      <w:r>
        <w:t xml:space="preserve">2009, we have been </w:t>
      </w:r>
      <w:r w:rsidR="008E690F">
        <w:t xml:space="preserve">wary of any </w:t>
      </w:r>
      <w:r>
        <w:t xml:space="preserve">“trial balloon”/untested theories deriving affiliate rents </w:t>
      </w:r>
      <w:r w:rsidR="006D7B17">
        <w:t xml:space="preserve">that </w:t>
      </w:r>
      <w:r w:rsidR="001500BB">
        <w:t xml:space="preserve">might </w:t>
      </w:r>
      <w:r>
        <w:t xml:space="preserve">be employed by Staff in determining rents for the various properties occupied and utilized by WCI.  WCI, since its inception decades ago, has never acted as a </w:t>
      </w:r>
      <w:r w:rsidR="001B7279">
        <w:t>L</w:t>
      </w:r>
      <w:r>
        <w:t xml:space="preserve">andlord nor has it viewed investments in real estate </w:t>
      </w:r>
      <w:r w:rsidR="008905A8">
        <w:t xml:space="preserve">as </w:t>
      </w:r>
      <w:r w:rsidR="001500BB">
        <w:t xml:space="preserve">a </w:t>
      </w:r>
      <w:r w:rsidR="008905A8">
        <w:t>necessar</w:t>
      </w:r>
      <w:r>
        <w:t>y or logical use of its regulated resources due to the risk</w:t>
      </w:r>
      <w:r w:rsidR="001500BB">
        <w:t>s</w:t>
      </w:r>
      <w:r>
        <w:t xml:space="preserve"> inherent in owning commercial </w:t>
      </w:r>
      <w:r w:rsidR="001B7279">
        <w:t>and/</w:t>
      </w:r>
      <w:r>
        <w:t>or industrial properties.  Additionally</w:t>
      </w:r>
      <w:r w:rsidR="001B7279">
        <w:t xml:space="preserve">, </w:t>
      </w:r>
      <w:r>
        <w:t xml:space="preserve"> if the Commission is going to impute </w:t>
      </w:r>
      <w:r w:rsidR="0082111D">
        <w:t xml:space="preserve">returns on </w:t>
      </w:r>
      <w:r>
        <w:t>capital structures for al</w:t>
      </w:r>
      <w:r w:rsidR="001B7279">
        <w:t>l</w:t>
      </w:r>
      <w:r>
        <w:t xml:space="preserve"> real estate occupied by privately-held companies</w:t>
      </w:r>
      <w:r w:rsidR="001B7279">
        <w:t>,</w:t>
      </w:r>
      <w:r>
        <w:t xml:space="preserve"> it needs to say so formally in advance, not years after the Company and its affiliates have negotiated, </w:t>
      </w:r>
      <w:r w:rsidR="000E4564">
        <w:t>acquired</w:t>
      </w:r>
      <w:r w:rsidR="0082111D">
        <w:t xml:space="preserve"> </w:t>
      </w:r>
      <w:r w:rsidR="001B7279">
        <w:t>and managed</w:t>
      </w:r>
      <w:r>
        <w:t xml:space="preserve"> a host of commercial and industrial properties and incurred</w:t>
      </w:r>
      <w:r w:rsidR="008E690F">
        <w:t xml:space="preserve"> substantial</w:t>
      </w:r>
      <w:r>
        <w:t xml:space="preserve"> debt to</w:t>
      </w:r>
      <w:r w:rsidR="0082111D">
        <w:t xml:space="preserve"> purchase</w:t>
      </w:r>
      <w:r>
        <w:t>, maintain and improv</w:t>
      </w:r>
      <w:r w:rsidR="001B7279">
        <w:t xml:space="preserve">e those properties without any suggestion </w:t>
      </w:r>
      <w:r>
        <w:t xml:space="preserve">that those transactions </w:t>
      </w:r>
      <w:r w:rsidR="0082111D">
        <w:t xml:space="preserve">would </w:t>
      </w:r>
      <w:r>
        <w:t xml:space="preserve">directly impact the allowance of </w:t>
      </w:r>
      <w:r w:rsidR="008E690F">
        <w:t xml:space="preserve">reasonable </w:t>
      </w:r>
      <w:r>
        <w:t>rent</w:t>
      </w:r>
      <w:r w:rsidR="001500BB">
        <w:t>s</w:t>
      </w:r>
      <w:r>
        <w:t xml:space="preserve"> paid by the regulated company for its use/occupancy of those properties.</w:t>
      </w:r>
    </w:p>
    <w:p w:rsidR="001B7279" w:rsidP="001B7279">
      <w:pPr>
        <w:pStyle w:val="QUESTION"/>
      </w:pPr>
      <w:r>
        <w:t>q.</w:t>
      </w:r>
      <w:r>
        <w:tab/>
        <w:t>what would the effect be in you</w:t>
      </w:r>
      <w:r w:rsidR="00550083">
        <w:t>r</w:t>
      </w:r>
      <w:r>
        <w:t xml:space="preserve"> view if the commission were to ratify the staff’s current position on affiliate rents?</w:t>
      </w:r>
    </w:p>
    <w:p w:rsidR="0039331E" w:rsidP="00C92F6C">
      <w:pPr>
        <w:pStyle w:val="Answer"/>
      </w:pPr>
      <w:r>
        <w:t>A.</w:t>
      </w:r>
      <w:r>
        <w:tab/>
        <w:t xml:space="preserve">It would be </w:t>
      </w:r>
      <w:r w:rsidR="008E690F">
        <w:t xml:space="preserve">extremely </w:t>
      </w:r>
      <w:r>
        <w:t xml:space="preserve">damaging </w:t>
      </w:r>
      <w:r w:rsidR="008905A8">
        <w:t xml:space="preserve">to us </w:t>
      </w:r>
      <w:r>
        <w:t xml:space="preserve">since we have never received any formal guidance </w:t>
      </w:r>
      <w:r w:rsidR="00550083">
        <w:t xml:space="preserve">or </w:t>
      </w:r>
      <w:r w:rsidR="008E690F">
        <w:t xml:space="preserve">admonition </w:t>
      </w:r>
      <w:r>
        <w:t xml:space="preserve">from the Commission </w:t>
      </w:r>
      <w:r w:rsidR="00550083">
        <w:t xml:space="preserve">by rule, order or </w:t>
      </w:r>
      <w:r w:rsidR="008E690F">
        <w:t xml:space="preserve">informal or formal </w:t>
      </w:r>
      <w:r w:rsidR="00550083">
        <w:t xml:space="preserve">policy </w:t>
      </w:r>
      <w:r w:rsidR="008E690F">
        <w:t xml:space="preserve">statement </w:t>
      </w:r>
      <w:r>
        <w:t xml:space="preserve">that total company capital structures would be combined for the purpose of establishing allowable rents to </w:t>
      </w:r>
      <w:r w:rsidR="00E867CE">
        <w:t>WCI</w:t>
      </w:r>
      <w:r w:rsidR="001500BB">
        <w:t xml:space="preserve"> or </w:t>
      </w:r>
      <w:r w:rsidR="008E690F">
        <w:t xml:space="preserve">regulated solid waste collection </w:t>
      </w:r>
      <w:r w:rsidR="008E690F">
        <w:t>companies</w:t>
      </w:r>
      <w:r w:rsidR="001500BB">
        <w:t xml:space="preserve"> in general</w:t>
      </w:r>
      <w:r>
        <w:t xml:space="preserve"> under the affiliated interest statute.  This </w:t>
      </w:r>
      <w:r w:rsidR="00550083">
        <w:t xml:space="preserve">Staff </w:t>
      </w:r>
      <w:r>
        <w:t>after-the-fact application would significantly upset established management approaches to acquiring</w:t>
      </w:r>
      <w:r w:rsidR="00E867CE">
        <w:t xml:space="preserve">, operating and paying for commercial properties utilized by WCI and would retroactively impact </w:t>
      </w:r>
      <w:r w:rsidR="008E690F">
        <w:t xml:space="preserve">individual </w:t>
      </w:r>
      <w:r w:rsidR="00E867CE">
        <w:t>decisions made years ago by management</w:t>
      </w:r>
      <w:r w:rsidR="00550083">
        <w:t>,</w:t>
      </w:r>
      <w:r w:rsidR="00E867CE">
        <w:t xml:space="preserve"> lenders and </w:t>
      </w:r>
      <w:r w:rsidR="008E690F">
        <w:t xml:space="preserve">the </w:t>
      </w:r>
      <w:r w:rsidR="00E867CE">
        <w:t xml:space="preserve">WEDFA agency to </w:t>
      </w:r>
      <w:r w:rsidR="00550083">
        <w:t xml:space="preserve">secure financing for </w:t>
      </w:r>
      <w:r w:rsidR="00E867CE">
        <w:t xml:space="preserve">a significant bond offering for WCR’s transfer station </w:t>
      </w:r>
      <w:r w:rsidR="00550083">
        <w:t xml:space="preserve">as well as for </w:t>
      </w:r>
      <w:r w:rsidR="00E867CE">
        <w:t xml:space="preserve">the assignment </w:t>
      </w:r>
      <w:r w:rsidR="00550083">
        <w:t xml:space="preserve">and evaluation </w:t>
      </w:r>
      <w:r w:rsidR="00E867CE">
        <w:t>of risks to real estate holding/management entities affiliated with WCI.</w:t>
      </w:r>
      <w:r w:rsidR="004F7FCD">
        <w:t xml:space="preserve">  It would also be a crucial factor in determining the formation of company entities and broadly impact income tax planning related to the structuring of entities ow</w:t>
      </w:r>
      <w:r w:rsidR="00D24CB9">
        <w:t>n</w:t>
      </w:r>
      <w:r w:rsidR="004F7FCD">
        <w:t>ing real property</w:t>
      </w:r>
      <w:r w:rsidR="008905A8">
        <w:t xml:space="preserve"> as our corporate attorney generally alluded to in the </w:t>
      </w:r>
      <w:r w:rsidR="000E4564">
        <w:t xml:space="preserve">exhibit </w:t>
      </w:r>
      <w:r w:rsidR="001500BB">
        <w:t xml:space="preserve">previously </w:t>
      </w:r>
      <w:r w:rsidR="008905A8">
        <w:t>sponsored by me in Exhibit JW-6T</w:t>
      </w:r>
      <w:r w:rsidR="004F7FCD">
        <w:t>.</w:t>
      </w:r>
    </w:p>
    <w:p w:rsidR="00120C4D" w:rsidP="001C717C">
      <w:pPr>
        <w:pStyle w:val="QUESTION"/>
        <w:keepNext/>
      </w:pPr>
      <w:r>
        <w:t>q.</w:t>
      </w:r>
      <w:r>
        <w:tab/>
        <w:t xml:space="preserve">does this conclude your supplemental testimony on </w:t>
      </w:r>
      <w:r w:rsidR="00006693">
        <w:t xml:space="preserve">LAND RENT ISSUES AND </w:t>
      </w:r>
      <w:r w:rsidR="000E4564">
        <w:t xml:space="preserve">implications of </w:t>
      </w:r>
      <w:r w:rsidR="00006693">
        <w:t>THE SIGNIFICANCE OF THIS ISSUE FOR WASTE CONTROL</w:t>
      </w:r>
      <w:r>
        <w:t>?</w:t>
      </w:r>
    </w:p>
    <w:p w:rsidR="00120C4D" w:rsidRPr="00603BDC" w:rsidP="00120C4D">
      <w:pPr>
        <w:pStyle w:val="Answer"/>
      </w:pPr>
      <w:r>
        <w:t>A.</w:t>
      </w:r>
      <w:r>
        <w:tab/>
        <w:t>Yes it does.</w:t>
      </w:r>
    </w:p>
    <w:p w:rsidR="00655D93" w:rsidP="00655D93">
      <w:pPr>
        <w:pStyle w:val="Answer"/>
      </w:pPr>
    </w:p>
    <w:p w:rsidR="00655D93" w:rsidP="00655D93">
      <w:pPr>
        <w:pStyle w:val="Heading1"/>
        <w:rPr>
          <w:b w:val="0"/>
        </w:rPr>
      </w:pPr>
      <w:r w:rsidRPr="0051374E">
        <w:t>DECLARATION</w:t>
      </w:r>
    </w:p>
    <w:p w:rsidR="00655D93" w:rsidRPr="0051374E" w:rsidP="00655D93">
      <w:pPr>
        <w:pStyle w:val="BodyText2"/>
      </w:pPr>
      <w:r>
        <w:t>I hereby swear and affirm under penalty of perjury of the laws of the State of Washington that the foregoing Supplemental Testimony of Joe Willis is true and correct to the best of my knowledge and belief.</w:t>
      </w:r>
    </w:p>
    <w:p w:rsidR="00655D93" w:rsidP="00655D93">
      <w:pPr>
        <w:pStyle w:val="QUESTION"/>
      </w:pPr>
    </w:p>
    <w:p w:rsidR="00655D93" w:rsidP="00655D93">
      <w:pPr>
        <w:pStyle w:val="TextAfterQuote"/>
      </w:pPr>
      <w:r w:rsidRPr="0051374E">
        <w:t xml:space="preserve">Signed at </w:t>
      </w:r>
      <w:r>
        <w:t>_______________</w:t>
      </w:r>
      <w:r w:rsidRPr="0051374E">
        <w:t xml:space="preserve">, Washington, this ___ day of </w:t>
      </w:r>
      <w:r w:rsidR="00F420A5">
        <w:t>November</w:t>
      </w:r>
      <w:r w:rsidRPr="0051374E">
        <w:t>, 20</w:t>
      </w:r>
      <w:r>
        <w:t>14</w:t>
      </w:r>
      <w:r w:rsidRPr="0051374E">
        <w:t>.</w:t>
      </w:r>
    </w:p>
    <w:p w:rsidR="00655D93" w:rsidRPr="0051374E" w:rsidP="00655D93">
      <w:pPr>
        <w:pStyle w:val="BodyText2"/>
      </w:pPr>
    </w:p>
    <w:p w:rsidR="00655D93" w:rsidRPr="00880FDA" w:rsidP="00655D93">
      <w:pPr>
        <w:pStyle w:val="TextAfterQuote"/>
        <w:ind w:left="5760"/>
      </w:pPr>
      <w:r>
        <w:t>____________________________Joe Willis</w:t>
      </w:r>
    </w:p>
    <w:p w:rsidR="00655D93" w:rsidRPr="00655D93" w:rsidP="00655D93">
      <w:pPr>
        <w:pStyle w:val="QUESTION"/>
      </w:pPr>
    </w:p>
    <w:sectPr w:rsidSect="00411A2E">
      <w:headerReference w:type="default" r:id="rId10"/>
      <w:footerReference w:type="default" r:id="rId11"/>
      <w:pgSz w:w="12240" w:h="15840" w:code="1"/>
      <w:pgMar w:top="1440" w:right="1512" w:bottom="1440" w:left="1541" w:header="720" w:footer="1008" w:gutter="0"/>
      <w:paperSrc w:first="262" w:other="262"/>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6C8" w:rsidRPr="00886AF0" w:rsidP="001E56C8">
    <w:pPr>
      <w:pStyle w:val="Footer"/>
      <w:jc w:val="right"/>
    </w:pPr>
    <w:r w:rsidRPr="00886AF0">
      <w:t>REBUTTAL TESTIMONY OF LAYNE DEMAS</w:t>
    </w:r>
    <w:r w:rsidRPr="00886AF0">
      <w:tab/>
    </w:r>
    <w:r w:rsidRPr="00886AF0">
      <w:tab/>
      <w:t>Exhibit No. LD-1T</w:t>
    </w:r>
  </w:p>
  <w:p w:rsidR="001E56C8" w:rsidP="001E56C8">
    <w:pPr>
      <w:pStyle w:val="Footer"/>
    </w:pPr>
    <w:r>
      <w:rPr>
        <w:sz w:val="16"/>
      </w:rPr>
      <w:tab/>
    </w:r>
    <w:r>
      <w:rPr>
        <w:sz w:val="16"/>
      </w:rPr>
      <w:tab/>
    </w:r>
    <w:r>
      <w:t xml:space="preserve">Page </w:t>
    </w:r>
    <w:r w:rsidRPr="00BE0158">
      <w:fldChar w:fldCharType="begin"/>
    </w:r>
    <w:r w:rsidRPr="00BE0158">
      <w:instrText xml:space="preserve"> PAGE  \* Arabic  \* MERGEFORMAT </w:instrText>
    </w:r>
    <w:r w:rsidRPr="00BE0158">
      <w:fldChar w:fldCharType="separate"/>
    </w:r>
    <w:r w:rsidR="000555C7">
      <w:rPr>
        <w:noProof/>
      </w:rPr>
      <w:t>5</w:t>
    </w:r>
    <w:r w:rsidRPr="00BE0158">
      <w:fldChar w:fldCharType="end"/>
    </w:r>
  </w:p>
  <w:p w:rsidR="001E56C8" w:rsidP="008478E5">
    <w:pPr>
      <w:pStyle w:val="Footer"/>
      <w:spacing w:line="160" w:lineRule="exact"/>
      <w:rPr>
        <w:sz w:val="16"/>
        <w:szCs w:val="18"/>
      </w:rPr>
    </w:pPr>
  </w:p>
  <w:p w:rsidR="001E56C8" w:rsidP="008478E5">
    <w:pPr>
      <w:pStyle w:val="Footer"/>
      <w:spacing w:line="160" w:lineRule="exact"/>
      <w:rPr>
        <w:sz w:val="16"/>
        <w:szCs w:val="18"/>
      </w:rPr>
    </w:pPr>
  </w:p>
  <w:p w:rsidR="0039331E" w:rsidP="008478E5">
    <w:pPr>
      <w:pStyle w:val="Footer"/>
      <w:spacing w:line="160" w:lineRule="exact"/>
      <w:rPr>
        <w:sz w:val="18"/>
        <w:szCs w:val="18"/>
      </w:rPr>
    </w:pPr>
    <w:r>
      <w:rPr>
        <w:sz w:val="16"/>
        <w:szCs w:val="18"/>
      </w:rPr>
      <w:fldChar w:fldCharType="begin"/>
    </w:r>
    <w:r>
      <w:rPr>
        <w:sz w:val="16"/>
        <w:szCs w:val="18"/>
      </w:rPr>
      <w:instrText xml:space="preserve"> </w:instrText>
    </w:r>
    <w:r w:rsidRPr="008478E5">
      <w:rPr>
        <w:sz w:val="16"/>
        <w:szCs w:val="18"/>
      </w:rPr>
      <w:instrText>IF "</w:instrText>
    </w:r>
    <w:r w:rsidRPr="008478E5">
      <w:rPr>
        <w:sz w:val="16"/>
        <w:szCs w:val="18"/>
      </w:rPr>
      <w:instrText>1</w:instrText>
    </w:r>
    <w:r w:rsidRPr="008478E5">
      <w:rPr>
        <w:sz w:val="16"/>
        <w:szCs w:val="18"/>
      </w:rPr>
      <w:instrText>" = "1" "</w:instrText>
    </w:r>
    <w:r w:rsidRPr="008478E5">
      <w:rPr>
        <w:sz w:val="16"/>
        <w:szCs w:val="18"/>
      </w:rPr>
      <w:fldChar w:fldCharType="begin"/>
    </w:r>
    <w:r w:rsidRPr="008478E5">
      <w:rPr>
        <w:sz w:val="16"/>
        <w:szCs w:val="18"/>
      </w:rPr>
      <w:instrText xml:space="preserve"> DOCPROPERTY "SWDocID" </w:instrText>
    </w:r>
    <w:r w:rsidRPr="008478E5">
      <w:rPr>
        <w:sz w:val="16"/>
        <w:szCs w:val="18"/>
      </w:rPr>
      <w:fldChar w:fldCharType="separate"/>
    </w:r>
    <w:r w:rsidR="00BA6E74">
      <w:rPr>
        <w:sz w:val="16"/>
        <w:szCs w:val="18"/>
      </w:rPr>
      <w:instrText xml:space="preserve"> 5166895.1</w:instrText>
    </w:r>
    <w:r w:rsidRPr="008478E5">
      <w:rPr>
        <w:sz w:val="16"/>
        <w:szCs w:val="18"/>
      </w:rPr>
      <w:fldChar w:fldCharType="end"/>
    </w:r>
    <w:r w:rsidRPr="008478E5">
      <w:rPr>
        <w:sz w:val="16"/>
        <w:szCs w:val="18"/>
      </w:rPr>
      <w:instrText>" ""</w:instrText>
    </w:r>
    <w:r>
      <w:rPr>
        <w:sz w:val="16"/>
        <w:szCs w:val="18"/>
      </w:rPr>
      <w:instrText xml:space="preserve"> </w:instrText>
    </w:r>
    <w:r>
      <w:rPr>
        <w:sz w:val="16"/>
        <w:szCs w:val="18"/>
      </w:rPr>
      <w:fldChar w:fldCharType="separate"/>
    </w:r>
    <w:r w:rsidR="00BA6E74">
      <w:rPr>
        <w:noProof/>
        <w:sz w:val="16"/>
        <w:szCs w:val="18"/>
      </w:rPr>
      <w:t xml:space="preserve"> 5166895.1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2B9">
    <w:pPr>
      <w:pStyle w:val="Footer"/>
    </w:pPr>
  </w:p>
  <w:p w:rsidR="0068752D" w:rsidP="005E42B9">
    <w:pPr>
      <w:pStyle w:val="Footer"/>
    </w:pPr>
    <w:r>
      <w:rPr>
        <w:sz w:val="16"/>
      </w:rPr>
      <w:fldChar w:fldCharType="begin"/>
    </w:r>
    <w:r>
      <w:rPr>
        <w:sz w:val="16"/>
      </w:rPr>
      <w:instrText xml:space="preserve"> </w:instrText>
    </w:r>
    <w:r w:rsidRPr="005E42B9">
      <w:rPr>
        <w:sz w:val="16"/>
      </w:rPr>
      <w:instrText>IF "</w:instrText>
    </w:r>
    <w:r w:rsidRPr="005E42B9">
      <w:rPr>
        <w:sz w:val="16"/>
      </w:rPr>
      <w:instrText>1</w:instrText>
    </w:r>
    <w:r w:rsidRPr="005E42B9">
      <w:rPr>
        <w:sz w:val="16"/>
      </w:rPr>
      <w:instrText>" = "1" "</w:instrText>
    </w:r>
    <w:r w:rsidRPr="005E42B9">
      <w:rPr>
        <w:sz w:val="16"/>
      </w:rPr>
      <w:fldChar w:fldCharType="begin"/>
    </w:r>
    <w:r w:rsidRPr="005E42B9">
      <w:rPr>
        <w:sz w:val="16"/>
      </w:rPr>
      <w:instrText xml:space="preserve"> DOCPROPERTY "SWDocID" </w:instrText>
    </w:r>
    <w:r w:rsidRPr="005E42B9">
      <w:rPr>
        <w:sz w:val="16"/>
      </w:rPr>
      <w:fldChar w:fldCharType="separate"/>
    </w:r>
    <w:r w:rsidR="00BA6E74">
      <w:rPr>
        <w:sz w:val="16"/>
      </w:rPr>
      <w:instrText xml:space="preserve"> 5166895.1</w:instrText>
    </w:r>
    <w:r w:rsidRPr="005E42B9">
      <w:rPr>
        <w:sz w:val="16"/>
      </w:rPr>
      <w:fldChar w:fldCharType="end"/>
    </w:r>
    <w:r w:rsidRPr="005E42B9">
      <w:rPr>
        <w:sz w:val="16"/>
      </w:rPr>
      <w:instrText>" ""</w:instrText>
    </w:r>
    <w:r>
      <w:rPr>
        <w:sz w:val="16"/>
      </w:rPr>
      <w:instrText xml:space="preserve"> </w:instrText>
    </w:r>
    <w:r>
      <w:rPr>
        <w:sz w:val="16"/>
      </w:rPr>
      <w:fldChar w:fldCharType="separate"/>
    </w:r>
    <w:r w:rsidR="00BA6E74">
      <w:rPr>
        <w:noProof/>
        <w:sz w:val="16"/>
      </w:rPr>
      <w:t xml:space="preserve"> 5166895.1</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6C8" w:rsidRPr="00886AF0" w:rsidP="001E56C8">
    <w:pPr>
      <w:pStyle w:val="Footer"/>
    </w:pPr>
    <w:r>
      <w:t>SUPPLEMENTAL</w:t>
    </w:r>
    <w:r w:rsidRPr="00886AF0">
      <w:t xml:space="preserve"> TESTIMONY OF </w:t>
    </w:r>
    <w:r>
      <w:t>JOE WILLIS</w:t>
    </w:r>
    <w:r w:rsidRPr="00886AF0">
      <w:tab/>
    </w:r>
    <w:r w:rsidRPr="00886AF0">
      <w:tab/>
    </w:r>
    <w:r>
      <w:tab/>
    </w:r>
    <w:r>
      <w:tab/>
    </w:r>
    <w:r>
      <w:tab/>
    </w:r>
    <w:r w:rsidRPr="00886AF0">
      <w:t xml:space="preserve">Exhibit No. </w:t>
    </w:r>
    <w:r>
      <w:t>JW</w:t>
    </w:r>
    <w:r w:rsidRPr="00886AF0">
      <w:t>-</w:t>
    </w:r>
    <w:r>
      <w:t>8</w:t>
    </w:r>
    <w:r w:rsidRPr="00886AF0">
      <w:t>T</w:t>
    </w:r>
  </w:p>
  <w:p w:rsidR="001E56C8" w:rsidP="001E56C8">
    <w:pPr>
      <w:pStyle w:val="Foote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t xml:space="preserve">Page </w:t>
    </w:r>
    <w:r w:rsidRPr="00BE0158">
      <w:fldChar w:fldCharType="begin"/>
    </w:r>
    <w:r w:rsidRPr="00BE0158">
      <w:instrText xml:space="preserve"> PAGE  \* Arabic  \* MERGEFORMAT </w:instrText>
    </w:r>
    <w:r w:rsidRPr="00BE0158">
      <w:fldChar w:fldCharType="separate"/>
    </w:r>
    <w:r w:rsidR="00BA6E74">
      <w:rPr>
        <w:noProof/>
      </w:rPr>
      <w:t>4</w:t>
    </w:r>
    <w:r w:rsidRPr="00BE0158">
      <w:fldChar w:fldCharType="end"/>
    </w:r>
  </w:p>
  <w:p w:rsidR="001E56C8" w:rsidP="008478E5">
    <w:pPr>
      <w:pStyle w:val="Footer"/>
      <w:spacing w:line="160" w:lineRule="exact"/>
      <w:rPr>
        <w:sz w:val="16"/>
        <w:szCs w:val="18"/>
      </w:rPr>
    </w:pPr>
  </w:p>
  <w:p w:rsidR="001E56C8" w:rsidP="008478E5">
    <w:pPr>
      <w:pStyle w:val="Footer"/>
      <w:spacing w:line="160" w:lineRule="exact"/>
      <w:rPr>
        <w:sz w:val="16"/>
        <w:szCs w:val="18"/>
      </w:rPr>
    </w:pPr>
  </w:p>
  <w:p w:rsidR="001E56C8" w:rsidP="008478E5">
    <w:pPr>
      <w:pStyle w:val="Footer"/>
      <w:spacing w:line="160" w:lineRule="exact"/>
      <w:rPr>
        <w:sz w:val="18"/>
        <w:szCs w:val="18"/>
      </w:rPr>
    </w:pPr>
    <w:r>
      <w:rPr>
        <w:sz w:val="16"/>
        <w:szCs w:val="18"/>
      </w:rPr>
      <w:fldChar w:fldCharType="begin"/>
    </w:r>
    <w:r>
      <w:rPr>
        <w:sz w:val="16"/>
        <w:szCs w:val="18"/>
      </w:rPr>
      <w:instrText xml:space="preserve"> </w:instrText>
    </w:r>
    <w:r w:rsidRPr="008478E5">
      <w:rPr>
        <w:sz w:val="16"/>
        <w:szCs w:val="18"/>
      </w:rPr>
      <w:instrText>IF "</w:instrText>
    </w:r>
    <w:r w:rsidRPr="008478E5">
      <w:rPr>
        <w:sz w:val="16"/>
        <w:szCs w:val="18"/>
      </w:rPr>
      <w:instrText>1</w:instrText>
    </w:r>
    <w:r w:rsidRPr="008478E5">
      <w:rPr>
        <w:sz w:val="16"/>
        <w:szCs w:val="18"/>
      </w:rPr>
      <w:instrText>" = "1" "</w:instrText>
    </w:r>
    <w:r w:rsidRPr="008478E5">
      <w:rPr>
        <w:sz w:val="16"/>
        <w:szCs w:val="18"/>
      </w:rPr>
      <w:fldChar w:fldCharType="begin"/>
    </w:r>
    <w:r w:rsidRPr="008478E5">
      <w:rPr>
        <w:sz w:val="16"/>
        <w:szCs w:val="18"/>
      </w:rPr>
      <w:instrText xml:space="preserve"> DOCPROPERTY "SWDocID" </w:instrText>
    </w:r>
    <w:r w:rsidRPr="008478E5">
      <w:rPr>
        <w:sz w:val="16"/>
        <w:szCs w:val="18"/>
      </w:rPr>
      <w:fldChar w:fldCharType="separate"/>
    </w:r>
    <w:r w:rsidR="00BA6E74">
      <w:rPr>
        <w:sz w:val="16"/>
        <w:szCs w:val="18"/>
      </w:rPr>
      <w:instrText xml:space="preserve"> 5166895.1</w:instrText>
    </w:r>
    <w:r w:rsidRPr="008478E5">
      <w:rPr>
        <w:sz w:val="16"/>
        <w:szCs w:val="18"/>
      </w:rPr>
      <w:fldChar w:fldCharType="end"/>
    </w:r>
    <w:r w:rsidRPr="008478E5">
      <w:rPr>
        <w:sz w:val="16"/>
        <w:szCs w:val="18"/>
      </w:rPr>
      <w:instrText>" ""</w:instrText>
    </w:r>
    <w:r>
      <w:rPr>
        <w:sz w:val="16"/>
        <w:szCs w:val="18"/>
      </w:rPr>
      <w:instrText xml:space="preserve"> </w:instrText>
    </w:r>
    <w:r>
      <w:rPr>
        <w:sz w:val="16"/>
        <w:szCs w:val="18"/>
      </w:rPr>
      <w:fldChar w:fldCharType="separate"/>
    </w:r>
    <w:r w:rsidR="00BA6E74">
      <w:rPr>
        <w:noProof/>
        <w:sz w:val="16"/>
        <w:szCs w:val="18"/>
      </w:rPr>
      <w:t xml:space="preserve"> 5166895.1</w:t>
    </w:r>
    <w:r>
      <w:rPr>
        <w:sz w:val="16"/>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A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795D" w:rsidP="00B2795D">
    <w:pPr>
      <w:pStyle w:val="Header"/>
      <w:jc w:val="right"/>
      <w:rPr>
        <w:sz w:val="20"/>
      </w:rPr>
    </w:pPr>
    <w:r>
      <w:rPr>
        <w:sz w:val="20"/>
      </w:rPr>
      <w:t>Exhibit No. ___ (JW-8T)</w:t>
    </w:r>
  </w:p>
  <w:p w:rsidR="00B2795D" w:rsidRPr="00FB1779" w:rsidP="00B2795D">
    <w:pPr>
      <w:pStyle w:val="Header"/>
      <w:jc w:val="right"/>
      <w:rPr>
        <w:sz w:val="20"/>
      </w:rPr>
    </w:pPr>
    <w:r>
      <w:rPr>
        <w:noProof/>
        <w:sz w:val="20"/>
      </w:rPr>
      <w:pict>
        <v:shapetype id="_x0000_t202" coordsize="21600,21600" o:spt="202" path="m,l,21600r21600,l21600,xe">
          <v:stroke joinstyle="miter"/>
          <v:path gradientshapeok="t" o:connecttype="rect"/>
        </v:shapetype>
        <v:shape id="LineNumbers" o:spid="_x0000_s2049" type="#_x0000_t202" style="height:597.6pt;margin-left:-50.4pt;margin-top:0;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width:36pt;z-index:251659264" o:allowincell="f" stroked="f">
          <v:textbox inset="0,0,0,0">
            <w:txbxContent>
              <w:p w:rsidR="00B2795D" w:rsidP="00B2795D">
                <w:pPr>
                  <w:spacing w:line="480" w:lineRule="exact"/>
                  <w:jc w:val="right"/>
                </w:pPr>
                <w:r>
                  <w:t>1</w:t>
                </w:r>
              </w:p>
              <w:p w:rsidR="00B2795D" w:rsidP="00B2795D">
                <w:pPr>
                  <w:spacing w:line="480" w:lineRule="exact"/>
                  <w:jc w:val="right"/>
                </w:pPr>
                <w:r>
                  <w:t>2</w:t>
                </w:r>
              </w:p>
              <w:p w:rsidR="00B2795D" w:rsidP="00B2795D">
                <w:pPr>
                  <w:spacing w:line="480" w:lineRule="exact"/>
                  <w:jc w:val="right"/>
                </w:pPr>
                <w:r>
                  <w:t>3</w:t>
                </w:r>
              </w:p>
              <w:p w:rsidR="00B2795D" w:rsidP="00B2795D">
                <w:pPr>
                  <w:spacing w:line="480" w:lineRule="exact"/>
                  <w:jc w:val="right"/>
                </w:pPr>
                <w:r>
                  <w:t>4</w:t>
                </w:r>
              </w:p>
              <w:p w:rsidR="00B2795D" w:rsidP="00B2795D">
                <w:pPr>
                  <w:spacing w:line="480" w:lineRule="exact"/>
                  <w:jc w:val="right"/>
                </w:pPr>
                <w:r>
                  <w:t>5</w:t>
                </w:r>
              </w:p>
              <w:p w:rsidR="00B2795D" w:rsidP="00B2795D">
                <w:pPr>
                  <w:spacing w:line="480" w:lineRule="exact"/>
                  <w:jc w:val="right"/>
                </w:pPr>
                <w:r>
                  <w:t>6</w:t>
                </w:r>
              </w:p>
              <w:p w:rsidR="00B2795D" w:rsidP="00B2795D">
                <w:pPr>
                  <w:spacing w:line="480" w:lineRule="exact"/>
                  <w:jc w:val="right"/>
                </w:pPr>
                <w:r>
                  <w:t>7</w:t>
                </w:r>
              </w:p>
              <w:p w:rsidR="00B2795D" w:rsidP="00B2795D">
                <w:pPr>
                  <w:spacing w:line="480" w:lineRule="exact"/>
                  <w:jc w:val="right"/>
                </w:pPr>
                <w:r>
                  <w:t>8</w:t>
                </w:r>
              </w:p>
              <w:p w:rsidR="00B2795D" w:rsidP="00B2795D">
                <w:pPr>
                  <w:spacing w:line="480" w:lineRule="exact"/>
                  <w:jc w:val="right"/>
                </w:pPr>
                <w:r>
                  <w:t>9</w:t>
                </w:r>
              </w:p>
              <w:p w:rsidR="00B2795D" w:rsidP="00B2795D">
                <w:pPr>
                  <w:spacing w:line="480" w:lineRule="exact"/>
                  <w:jc w:val="right"/>
                </w:pPr>
                <w:r>
                  <w:t>10</w:t>
                </w:r>
              </w:p>
              <w:p w:rsidR="00B2795D" w:rsidP="00B2795D">
                <w:pPr>
                  <w:spacing w:line="480" w:lineRule="exact"/>
                  <w:jc w:val="right"/>
                </w:pPr>
                <w:r>
                  <w:t>11</w:t>
                </w:r>
              </w:p>
              <w:p w:rsidR="00B2795D" w:rsidP="00B2795D">
                <w:pPr>
                  <w:spacing w:line="480" w:lineRule="exact"/>
                  <w:jc w:val="right"/>
                </w:pPr>
                <w:r>
                  <w:t>12</w:t>
                </w:r>
              </w:p>
              <w:p w:rsidR="00B2795D" w:rsidP="00B2795D">
                <w:pPr>
                  <w:spacing w:line="480" w:lineRule="exact"/>
                  <w:jc w:val="right"/>
                </w:pPr>
                <w:r>
                  <w:t>13</w:t>
                </w:r>
              </w:p>
              <w:p w:rsidR="00B2795D" w:rsidP="00B2795D">
                <w:pPr>
                  <w:spacing w:line="480" w:lineRule="exact"/>
                  <w:jc w:val="right"/>
                </w:pPr>
                <w:r>
                  <w:t>14</w:t>
                </w:r>
              </w:p>
              <w:p w:rsidR="00B2795D" w:rsidP="00B2795D">
                <w:pPr>
                  <w:spacing w:line="480" w:lineRule="exact"/>
                  <w:jc w:val="right"/>
                </w:pPr>
                <w:r>
                  <w:t>15</w:t>
                </w:r>
              </w:p>
              <w:p w:rsidR="00B2795D" w:rsidP="00B2795D">
                <w:pPr>
                  <w:spacing w:line="480" w:lineRule="exact"/>
                  <w:jc w:val="right"/>
                </w:pPr>
                <w:r>
                  <w:t>16</w:t>
                </w:r>
              </w:p>
              <w:p w:rsidR="00B2795D" w:rsidP="00B2795D">
                <w:pPr>
                  <w:spacing w:line="480" w:lineRule="exact"/>
                  <w:jc w:val="right"/>
                </w:pPr>
                <w:r>
                  <w:t>17</w:t>
                </w:r>
              </w:p>
              <w:p w:rsidR="00B2795D" w:rsidP="00B2795D">
                <w:pPr>
                  <w:spacing w:line="480" w:lineRule="exact"/>
                  <w:jc w:val="right"/>
                </w:pPr>
                <w:r>
                  <w:t>18</w:t>
                </w:r>
              </w:p>
              <w:p w:rsidR="00B2795D" w:rsidP="00B2795D">
                <w:pPr>
                  <w:spacing w:line="480" w:lineRule="exact"/>
                  <w:jc w:val="right"/>
                </w:pPr>
                <w:r>
                  <w:t>19</w:t>
                </w:r>
              </w:p>
              <w:p w:rsidR="00B2795D" w:rsidP="00B2795D">
                <w:pPr>
                  <w:spacing w:line="480" w:lineRule="exact"/>
                  <w:jc w:val="right"/>
                </w:pPr>
                <w:r>
                  <w:t>20</w:t>
                </w:r>
              </w:p>
              <w:p w:rsidR="00B2795D" w:rsidP="00B2795D">
                <w:pPr>
                  <w:spacing w:line="480" w:lineRule="exact"/>
                  <w:jc w:val="right"/>
                </w:pPr>
                <w:r>
                  <w:t>21</w:t>
                </w:r>
              </w:p>
              <w:p w:rsidR="00B2795D" w:rsidP="00B2795D">
                <w:pPr>
                  <w:spacing w:line="480" w:lineRule="exact"/>
                  <w:jc w:val="right"/>
                </w:pPr>
                <w:r>
                  <w:t>22</w:t>
                </w:r>
              </w:p>
              <w:p w:rsidR="00B2795D" w:rsidP="00B2795D">
                <w:pPr>
                  <w:spacing w:line="480" w:lineRule="exact"/>
                  <w:jc w:val="right"/>
                </w:pPr>
                <w:r>
                  <w:t>23</w:t>
                </w:r>
              </w:p>
              <w:p w:rsidR="00B2795D" w:rsidP="00B2795D">
                <w:pPr>
                  <w:spacing w:line="480" w:lineRule="exact"/>
                  <w:jc w:val="right"/>
                </w:pPr>
                <w:r>
                  <w:t>24</w:t>
                </w:r>
              </w:p>
              <w:p w:rsidR="00B2795D" w:rsidP="00B2795D">
                <w:pPr>
                  <w:spacing w:line="480" w:lineRule="exact"/>
                  <w:jc w:val="right"/>
                </w:pPr>
                <w:r>
                  <w:t>25</w:t>
                </w:r>
              </w:p>
              <w:p w:rsidR="00B2795D" w:rsidP="00B2795D">
                <w:pPr>
                  <w:spacing w:line="480" w:lineRule="atLeast"/>
                  <w:jc w:val="right"/>
                </w:pPr>
              </w:p>
            </w:txbxContent>
          </v:textbox>
          <w10:wrap anchorx="margin" anchory="margin"/>
        </v:shape>
      </w:pict>
    </w:r>
    <w:r w:rsidRPr="00FB1779">
      <w:rPr>
        <w:sz w:val="20"/>
      </w:rPr>
      <w:t>D</w:t>
    </w:r>
    <w:r>
      <w:rPr>
        <w:sz w:val="20"/>
      </w:rPr>
      <w:t>ocket No. TG-140560</w:t>
    </w:r>
  </w:p>
  <w:p w:rsidR="00B2795D" w:rsidRPr="00FB1779" w:rsidP="00B2795D">
    <w:pPr>
      <w:pStyle w:val="Header"/>
      <w:jc w:val="right"/>
      <w:rPr>
        <w:sz w:val="20"/>
      </w:rPr>
    </w:pPr>
    <w:r>
      <w:rPr>
        <w:sz w:val="20"/>
      </w:rPr>
      <w:t>Witness Joe Willis</w:t>
    </w:r>
  </w:p>
  <w:p w:rsidR="00B279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1779" w:rsidRPr="00FB1779" w:rsidP="004750D8">
    <w:pPr>
      <w:pStyle w:val="Header"/>
      <w:jc w:val="right"/>
      <w:rPr>
        <w:sz w:val="20"/>
      </w:rPr>
    </w:pPr>
    <w:r>
      <w:rPr>
        <w:noProof/>
        <w:sz w:val="20"/>
      </w:rPr>
      <w:pict>
        <v:shapetype id="_x0000_t202" coordsize="21600,21600" o:spt="202" path="m,l,21600r21600,l21600,xe">
          <v:stroke joinstyle="miter"/>
          <v:path gradientshapeok="t" o:connecttype="rect"/>
        </v:shapetype>
        <v:shape id="_x0000_s2050" type="#_x0000_t202" style="height:597.6pt;margin-left:-50.4pt;margin-top:0;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width:36pt;z-index:251658240" o:allowincell="f" stroked="f">
          <v:textbox inset="0,0,0,0">
            <w:txbxContent>
              <w:p w:rsidR="00FB1779">
                <w:pPr>
                  <w:spacing w:line="480" w:lineRule="exact"/>
                  <w:jc w:val="right"/>
                </w:pPr>
                <w:r>
                  <w:t>1</w:t>
                </w:r>
              </w:p>
              <w:p w:rsidR="00FB1779">
                <w:pPr>
                  <w:spacing w:line="480" w:lineRule="exact"/>
                  <w:jc w:val="right"/>
                </w:pPr>
                <w:r>
                  <w:t>2</w:t>
                </w:r>
              </w:p>
              <w:p w:rsidR="00FB1779">
                <w:pPr>
                  <w:spacing w:line="480" w:lineRule="exact"/>
                  <w:jc w:val="right"/>
                </w:pPr>
                <w:r>
                  <w:t>3</w:t>
                </w:r>
              </w:p>
              <w:p w:rsidR="00FB1779">
                <w:pPr>
                  <w:spacing w:line="480" w:lineRule="exact"/>
                  <w:jc w:val="right"/>
                </w:pPr>
                <w:r>
                  <w:t>4</w:t>
                </w:r>
              </w:p>
              <w:p w:rsidR="00FB1779">
                <w:pPr>
                  <w:spacing w:line="480" w:lineRule="exact"/>
                  <w:jc w:val="right"/>
                </w:pPr>
                <w:r>
                  <w:t>5</w:t>
                </w:r>
              </w:p>
              <w:p w:rsidR="00FB1779">
                <w:pPr>
                  <w:spacing w:line="480" w:lineRule="exact"/>
                  <w:jc w:val="right"/>
                </w:pPr>
                <w:r>
                  <w:t>6</w:t>
                </w:r>
              </w:p>
              <w:p w:rsidR="00FB1779">
                <w:pPr>
                  <w:spacing w:line="480" w:lineRule="exact"/>
                  <w:jc w:val="right"/>
                </w:pPr>
                <w:r>
                  <w:t>7</w:t>
                </w:r>
              </w:p>
              <w:p w:rsidR="00FB1779">
                <w:pPr>
                  <w:spacing w:line="480" w:lineRule="exact"/>
                  <w:jc w:val="right"/>
                </w:pPr>
                <w:r>
                  <w:t>8</w:t>
                </w:r>
              </w:p>
              <w:p w:rsidR="00FB1779">
                <w:pPr>
                  <w:spacing w:line="480" w:lineRule="exact"/>
                  <w:jc w:val="right"/>
                </w:pPr>
                <w:r>
                  <w:t>9</w:t>
                </w:r>
              </w:p>
              <w:p w:rsidR="00FB1779">
                <w:pPr>
                  <w:spacing w:line="480" w:lineRule="exact"/>
                  <w:jc w:val="right"/>
                </w:pPr>
                <w:r>
                  <w:t>10</w:t>
                </w:r>
              </w:p>
              <w:p w:rsidR="00FB1779">
                <w:pPr>
                  <w:spacing w:line="480" w:lineRule="exact"/>
                  <w:jc w:val="right"/>
                </w:pPr>
                <w:r>
                  <w:t>11</w:t>
                </w:r>
              </w:p>
              <w:p w:rsidR="00FB1779">
                <w:pPr>
                  <w:spacing w:line="480" w:lineRule="exact"/>
                  <w:jc w:val="right"/>
                </w:pPr>
                <w:r>
                  <w:t>12</w:t>
                </w:r>
              </w:p>
              <w:p w:rsidR="00FB1779">
                <w:pPr>
                  <w:spacing w:line="480" w:lineRule="exact"/>
                  <w:jc w:val="right"/>
                </w:pPr>
                <w:r>
                  <w:t>13</w:t>
                </w:r>
              </w:p>
              <w:p w:rsidR="00FB1779">
                <w:pPr>
                  <w:spacing w:line="480" w:lineRule="exact"/>
                  <w:jc w:val="right"/>
                </w:pPr>
                <w:r>
                  <w:t>14</w:t>
                </w:r>
              </w:p>
              <w:p w:rsidR="00FB1779">
                <w:pPr>
                  <w:spacing w:line="480" w:lineRule="exact"/>
                  <w:jc w:val="right"/>
                </w:pPr>
                <w:r>
                  <w:t>15</w:t>
                </w:r>
              </w:p>
              <w:p w:rsidR="00FB1779">
                <w:pPr>
                  <w:spacing w:line="480" w:lineRule="exact"/>
                  <w:jc w:val="right"/>
                </w:pPr>
                <w:r>
                  <w:t>16</w:t>
                </w:r>
              </w:p>
              <w:p w:rsidR="00FB1779">
                <w:pPr>
                  <w:spacing w:line="480" w:lineRule="exact"/>
                  <w:jc w:val="right"/>
                </w:pPr>
                <w:r>
                  <w:t>17</w:t>
                </w:r>
              </w:p>
              <w:p w:rsidR="00FB1779">
                <w:pPr>
                  <w:spacing w:line="480" w:lineRule="exact"/>
                  <w:jc w:val="right"/>
                </w:pPr>
                <w:r>
                  <w:t>18</w:t>
                </w:r>
              </w:p>
              <w:p w:rsidR="00FB1779">
                <w:pPr>
                  <w:spacing w:line="480" w:lineRule="exact"/>
                  <w:jc w:val="right"/>
                </w:pPr>
                <w:r>
                  <w:t>19</w:t>
                </w:r>
              </w:p>
              <w:p w:rsidR="00FB1779">
                <w:pPr>
                  <w:spacing w:line="480" w:lineRule="exact"/>
                  <w:jc w:val="right"/>
                </w:pPr>
                <w:r>
                  <w:t>20</w:t>
                </w:r>
              </w:p>
              <w:p w:rsidR="00FB1779">
                <w:pPr>
                  <w:spacing w:line="480" w:lineRule="exact"/>
                  <w:jc w:val="right"/>
                </w:pPr>
                <w:r>
                  <w:t>21</w:t>
                </w:r>
              </w:p>
              <w:p w:rsidR="00FB1779">
                <w:pPr>
                  <w:spacing w:line="480" w:lineRule="exact"/>
                  <w:jc w:val="right"/>
                </w:pPr>
                <w:r>
                  <w:t>22</w:t>
                </w:r>
              </w:p>
              <w:p w:rsidR="00FB1779">
                <w:pPr>
                  <w:spacing w:line="480" w:lineRule="exact"/>
                  <w:jc w:val="right"/>
                </w:pPr>
                <w:r>
                  <w:t>23</w:t>
                </w:r>
              </w:p>
              <w:p w:rsidR="00FB1779">
                <w:pPr>
                  <w:spacing w:line="480" w:lineRule="exact"/>
                  <w:jc w:val="right"/>
                </w:pPr>
                <w:r>
                  <w:t>24</w:t>
                </w:r>
              </w:p>
              <w:p w:rsidR="00FB1779">
                <w:pPr>
                  <w:spacing w:line="480" w:lineRule="exact"/>
                  <w:jc w:val="right"/>
                </w:pPr>
                <w:r>
                  <w:t>25</w:t>
                </w:r>
              </w:p>
              <w:p w:rsidR="00FB1779">
                <w:pPr>
                  <w:spacing w:line="480" w:lineRule="atLeast"/>
                  <w:jc w:val="right"/>
                </w:pPr>
              </w:p>
            </w:txbxContent>
          </v:textbo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7765641"/>
    <w:multiLevelType w:val="multilevel"/>
    <w:tmpl w:val="CF964788"/>
    <w:lvl w:ilvl="0">
      <w:start w:val="1"/>
      <w:numFmt w:val="upperRoman"/>
      <w:pStyle w:val="Heading1"/>
      <w:suff w:val="nothing"/>
      <w:lvlText w:val="%1.  "/>
      <w:lvlJc w:val="left"/>
      <w:pPr>
        <w:ind w:left="0" w:firstLine="0"/>
      </w:pPr>
      <w:rPr>
        <w:rFonts w:ascii="Times New Roman" w:hAnsi="Times New Roman" w:cs="Times New Roman"/>
        <w:b/>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3">
    <w:nsid w:val="76043820"/>
    <w:multiLevelType w:val="hybridMultilevel"/>
    <w:tmpl w:val="BA1448B8"/>
    <w:lvl w:ilvl="0">
      <w:start w:val="1"/>
      <w:numFmt w:val="upperRoman"/>
      <w:pStyle w:val="headingtitle"/>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4"/>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defaultTabStop w:val="720"/>
  <w:characterSpacingControl w:val="doNotCompress"/>
  <w:doNotEmbedSmartTags/>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foot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aliases w:val="Heading 1a"/>
    <w:basedOn w:val="Normal"/>
    <w:next w:val="BodyText2"/>
    <w:link w:val="Heading1Char"/>
    <w:qFormat/>
    <w:rsid w:val="008A6709"/>
    <w:pPr>
      <w:keepNext/>
      <w:keepLines/>
      <w:widowControl w:val="0"/>
      <w:numPr>
        <w:numId w:val="14"/>
      </w:numPr>
      <w:spacing w:after="240"/>
      <w:jc w:val="center"/>
      <w:outlineLvl w:val="0"/>
    </w:pPr>
    <w:rPr>
      <w:b/>
      <w:bCs/>
      <w:caps/>
      <w:kern w:val="28"/>
      <w:szCs w:val="32"/>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link w:val="Heading3Char"/>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link w:val="JudgeChar"/>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 w:type="character" w:customStyle="1" w:styleId="FooterChar">
    <w:name w:val="Footer Char"/>
    <w:basedOn w:val="DefaultParagraphFont"/>
    <w:link w:val="Footer"/>
    <w:uiPriority w:val="99"/>
    <w:rsid w:val="001E56C8"/>
  </w:style>
  <w:style w:type="paragraph" w:styleId="TOCHeading">
    <w:name w:val="TOC Heading"/>
    <w:basedOn w:val="Heading1"/>
    <w:next w:val="Normal"/>
    <w:uiPriority w:val="39"/>
    <w:semiHidden/>
    <w:unhideWhenUsed/>
    <w:qFormat/>
    <w:rsid w:val="000D523E"/>
    <w:pPr>
      <w:widowControl/>
      <w:numPr>
        <w:numId w:val="0"/>
      </w:numPr>
      <w:spacing w:before="480" w:after="0" w:line="276" w:lineRule="auto"/>
      <w:jc w:val="left"/>
      <w:outlineLvl w:val="9"/>
    </w:pPr>
    <w:rPr>
      <w:rFonts w:asciiTheme="majorHAnsi" w:eastAsiaTheme="majorEastAsia" w:hAnsiTheme="majorHAnsi" w:cstheme="majorBidi"/>
      <w:b w:val="0"/>
      <w:caps w:val="0"/>
      <w:color w:val="365F91" w:themeColor="accent1" w:themeShade="BF"/>
      <w:kern w:val="0"/>
      <w:sz w:val="28"/>
      <w:szCs w:val="28"/>
      <w:lang w:eastAsia="ja-JP"/>
    </w:rPr>
  </w:style>
  <w:style w:type="paragraph" w:customStyle="1" w:styleId="QUESTION">
    <w:name w:val="QUESTION"/>
    <w:basedOn w:val="Judge"/>
    <w:next w:val="Answer"/>
    <w:link w:val="QUESTIONChar"/>
    <w:qFormat/>
    <w:rsid w:val="00694BA3"/>
    <w:pPr>
      <w:spacing w:line="240" w:lineRule="auto"/>
      <w:ind w:left="720" w:hanging="720"/>
      <w:jc w:val="left"/>
    </w:pPr>
    <w:rPr>
      <w:b/>
      <w:caps/>
    </w:rPr>
  </w:style>
  <w:style w:type="paragraph" w:customStyle="1" w:styleId="Answer">
    <w:name w:val="Answer"/>
    <w:basedOn w:val="Judge"/>
    <w:next w:val="QUESTION"/>
    <w:link w:val="AnswerChar"/>
    <w:qFormat/>
    <w:rsid w:val="00694BA3"/>
    <w:pPr>
      <w:spacing w:before="240" w:after="240" w:line="480" w:lineRule="exact"/>
      <w:ind w:left="720" w:hanging="720"/>
      <w:jc w:val="left"/>
    </w:pPr>
  </w:style>
  <w:style w:type="character" w:customStyle="1" w:styleId="JudgeChar">
    <w:name w:val="Judge Char"/>
    <w:basedOn w:val="DefaultParagraphFont"/>
    <w:link w:val="Judge"/>
    <w:semiHidden/>
    <w:rsid w:val="00733611"/>
    <w:rPr>
      <w:sz w:val="24"/>
      <w:szCs w:val="24"/>
    </w:rPr>
  </w:style>
  <w:style w:type="character" w:customStyle="1" w:styleId="QUESTIONChar">
    <w:name w:val="QUESTION Char"/>
    <w:basedOn w:val="JudgeChar"/>
    <w:link w:val="QUESTION"/>
    <w:rsid w:val="00694BA3"/>
    <w:rPr>
      <w:b/>
      <w:caps/>
      <w:sz w:val="24"/>
      <w:szCs w:val="24"/>
    </w:rPr>
  </w:style>
  <w:style w:type="character" w:customStyle="1" w:styleId="AnswerChar">
    <w:name w:val="Answer Char"/>
    <w:basedOn w:val="JudgeChar"/>
    <w:link w:val="Answer"/>
    <w:rsid w:val="00694BA3"/>
    <w:rPr>
      <w:sz w:val="24"/>
      <w:szCs w:val="24"/>
    </w:rPr>
  </w:style>
  <w:style w:type="paragraph" w:customStyle="1" w:styleId="headingtitle">
    <w:name w:val="heading title"/>
    <w:basedOn w:val="Heading3"/>
    <w:next w:val="QUESTION"/>
    <w:link w:val="headingtitleChar"/>
    <w:qFormat/>
    <w:rsid w:val="002A2DA0"/>
    <w:pPr>
      <w:numPr>
        <w:ilvl w:val="0"/>
        <w:numId w:val="15"/>
      </w:numPr>
      <w:jc w:val="center"/>
    </w:pPr>
    <w:rPr>
      <w:b/>
      <w:caps/>
      <w:u w:val="none"/>
    </w:rPr>
  </w:style>
  <w:style w:type="character" w:customStyle="1" w:styleId="Heading3Char">
    <w:name w:val="Heading 3 Char"/>
    <w:basedOn w:val="DefaultParagraphFont"/>
    <w:link w:val="Heading3"/>
    <w:rsid w:val="002A2DA0"/>
    <w:rPr>
      <w:bCs/>
      <w:sz w:val="24"/>
      <w:szCs w:val="26"/>
      <w:u w:val="single"/>
    </w:rPr>
  </w:style>
  <w:style w:type="character" w:customStyle="1" w:styleId="headingtitleChar">
    <w:name w:val="heading title Char"/>
    <w:basedOn w:val="Heading3Char"/>
    <w:link w:val="headingtitle"/>
    <w:rsid w:val="002A2DA0"/>
    <w:rPr>
      <w:b/>
      <w:bCs/>
      <w:caps/>
      <w:sz w:val="24"/>
      <w:szCs w:val="26"/>
      <w:u w:val="single"/>
    </w:rPr>
  </w:style>
  <w:style w:type="character" w:customStyle="1" w:styleId="Heading1Char">
    <w:name w:val="Heading 1 Char"/>
    <w:aliases w:val="Heading 1a Char"/>
    <w:basedOn w:val="DefaultParagraphFont"/>
    <w:link w:val="Heading1"/>
    <w:rsid w:val="00655D93"/>
    <w:rPr>
      <w:b/>
      <w:bCs/>
      <w:caps/>
      <w:kern w:val="28"/>
      <w:sz w:val="24"/>
      <w:szCs w:val="32"/>
    </w:rPr>
  </w:style>
  <w:style w:type="character" w:customStyle="1" w:styleId="BodyText2Char">
    <w:name w:val="Body Text 2 Char"/>
    <w:basedOn w:val="DefaultParagraphFont"/>
    <w:link w:val="BodyText2"/>
    <w:rsid w:val="00655D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webSettings" Target="webSettings.xml"/><Relationship Id="rId16" Type="http://schemas.openxmlformats.org/officeDocument/2006/relationships/customXml" Target="../customXml/item2.xml"/><Relationship Id="rId1" Type="http://schemas.openxmlformats.org/officeDocument/2006/relationships/settings" Target="settings.xml"/><Relationship Id="rId11" Type="http://schemas.openxmlformats.org/officeDocument/2006/relationships/footer" Target="footer4.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1.xml"/><Relationship Id="rId10" Type="http://schemas.openxmlformats.org/officeDocument/2006/relationships/header" Target="header4.xml"/><Relationship Id="rId14" Type="http://schemas.openxmlformats.org/officeDocument/2006/relationships/styles" Target="styles.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2014-11-07T08:00:00+00:00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59077E-B184-4A9A-B23A-F96A5A51D41F}"/>
</file>

<file path=customXml/itemProps2.xml><?xml version="1.0" encoding="utf-8"?>
<ds:datastoreItem xmlns:ds="http://schemas.openxmlformats.org/officeDocument/2006/customXml" ds:itemID="{EF7F2E0E-A3EE-470C-9F2F-9484C79F90FC}"/>
</file>

<file path=customXml/itemProps3.xml><?xml version="1.0" encoding="utf-8"?>
<ds:datastoreItem xmlns:ds="http://schemas.openxmlformats.org/officeDocument/2006/customXml" ds:itemID="{801C0ECF-CE31-4AB7-84F4-82A21B16FAD8}"/>
</file>

<file path=customXml/itemProps4.xml><?xml version="1.0" encoding="utf-8"?>
<ds:datastoreItem xmlns:ds="http://schemas.openxmlformats.org/officeDocument/2006/customXml" ds:itemID="{24263C61-CFA8-4260-B8B9-4C788258B4B7}"/>
</file>

<file path=docProps/app.xml><?xml version="1.0" encoding="utf-8"?>
<Properties xmlns="http://schemas.openxmlformats.org/officeDocument/2006/extended-properties" xmlns:vt="http://schemas.openxmlformats.org/officeDocument/2006/docPropsVTypes">
  <Template>wkg-wa sup.dotx</Template>
  <TotalTime>0</TotalTime>
  <Pages>6</Pages>
  <Words>1399</Words>
  <Characters>7527</Characters>
  <Application>Microsoft Office Word</Application>
  <DocSecurity>0</DocSecurity>
  <Lines>175</Lines>
  <Paragraphs>62</Paragraphs>
  <ScaleCrop>false</ScaleCrop>
  <HeadingPairs>
    <vt:vector size="2" baseType="variant">
      <vt:variant>
        <vt:lpstr>Title</vt:lpstr>
      </vt:variant>
      <vt:variant>
        <vt:i4>1</vt:i4>
      </vt:variant>
    </vt:vector>
  </HeadingPairs>
  <TitlesOfParts>
    <vt:vector size="1" baseType="lpstr">
      <vt:lpstr>The Honorable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2014-11-07T22:52:28Z</dcterms:created>
  <dcterms:modified xsi:type="dcterms:W3CDTF">2014-11-07T22:52:28Z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5166895.1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