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8FA" w:rsidRDefault="00DE48FA" w:rsidP="00DE48FA">
      <w:pPr>
        <w:pStyle w:val="Heading1"/>
        <w:spacing w:after="0"/>
      </w:pPr>
      <w:r>
        <w:t>BEFORE THE</w:t>
      </w:r>
    </w:p>
    <w:p w:rsidR="00DE48FA" w:rsidRPr="00522074" w:rsidRDefault="00DE48FA" w:rsidP="00DE48FA"/>
    <w:p w:rsidR="00DE48FA" w:rsidRDefault="00DE48FA" w:rsidP="00DE48FA">
      <w:pPr>
        <w:pStyle w:val="Heading1"/>
        <w:spacing w:after="0" w:line="480" w:lineRule="auto"/>
      </w:pPr>
      <w:smartTag w:uri="urn:schemas-microsoft-com:office:smarttags" w:element="place">
        <w:smartTag w:uri="urn:schemas-microsoft-com:office:smarttags" w:element="State">
          <w:r>
            <w:t>WASHINGTON</w:t>
          </w:r>
        </w:smartTag>
      </w:smartTag>
      <w:r>
        <w:t xml:space="preserve"> UTILITIES AND TRANSPORTATION COMMISSION</w:t>
      </w:r>
    </w:p>
    <w:tbl>
      <w:tblPr>
        <w:tblW w:w="8648" w:type="dxa"/>
        <w:tblLayout w:type="fixed"/>
        <w:tblCellMar>
          <w:left w:w="0" w:type="dxa"/>
          <w:right w:w="0" w:type="dxa"/>
        </w:tblCellMar>
        <w:tblLook w:val="0000"/>
      </w:tblPr>
      <w:tblGrid>
        <w:gridCol w:w="4328"/>
        <w:gridCol w:w="276"/>
        <w:gridCol w:w="4044"/>
      </w:tblGrid>
      <w:tr w:rsidR="00DE48FA" w:rsidTr="000A2220">
        <w:tc>
          <w:tcPr>
            <w:tcW w:w="4328" w:type="dxa"/>
            <w:tcBorders>
              <w:bottom w:val="single" w:sz="4" w:space="0" w:color="auto"/>
            </w:tcBorders>
          </w:tcPr>
          <w:p w:rsidR="00DE48FA" w:rsidRDefault="00DE48FA" w:rsidP="000A2220">
            <w:pPr>
              <w:tabs>
                <w:tab w:val="left" w:pos="2160"/>
              </w:tabs>
              <w:rPr>
                <w:bCs/>
              </w:rPr>
            </w:pPr>
            <w:smartTag w:uri="urn:schemas-microsoft-com:office:smarttags" w:element="place">
              <w:smartTag w:uri="urn:schemas-microsoft-com:office:smarttags" w:element="State">
                <w:r>
                  <w:rPr>
                    <w:bCs/>
                  </w:rPr>
                  <w:t>WASHINGTON</w:t>
                </w:r>
              </w:smartTag>
            </w:smartTag>
            <w:r>
              <w:rPr>
                <w:bCs/>
              </w:rPr>
              <w:t xml:space="preserve"> UTILITIES AND TRANSPORTATION COMMISSION,</w:t>
            </w:r>
          </w:p>
          <w:p w:rsidR="00DE48FA" w:rsidRDefault="00DE48FA" w:rsidP="000A2220">
            <w:pPr>
              <w:tabs>
                <w:tab w:val="left" w:pos="2160"/>
              </w:tabs>
              <w:rPr>
                <w:bCs/>
              </w:rPr>
            </w:pPr>
          </w:p>
          <w:p w:rsidR="00DE48FA" w:rsidRDefault="00DE48FA" w:rsidP="000A2220">
            <w:pPr>
              <w:tabs>
                <w:tab w:val="left" w:pos="2160"/>
              </w:tabs>
              <w:rPr>
                <w:bCs/>
              </w:rPr>
            </w:pPr>
            <w:r>
              <w:rPr>
                <w:bCs/>
              </w:rPr>
              <w:tab/>
              <w:t>Complainant,</w:t>
            </w:r>
          </w:p>
          <w:p w:rsidR="00DE48FA" w:rsidRDefault="00DE48FA" w:rsidP="000A2220">
            <w:pPr>
              <w:tabs>
                <w:tab w:val="left" w:pos="2160"/>
              </w:tabs>
              <w:rPr>
                <w:bCs/>
              </w:rPr>
            </w:pPr>
          </w:p>
          <w:p w:rsidR="00DE48FA" w:rsidRDefault="00DE48FA" w:rsidP="000A2220">
            <w:pPr>
              <w:ind w:firstLine="720"/>
              <w:rPr>
                <w:bCs/>
              </w:rPr>
            </w:pPr>
            <w:r>
              <w:rPr>
                <w:bCs/>
              </w:rPr>
              <w:t>v.</w:t>
            </w:r>
          </w:p>
          <w:p w:rsidR="00DE48FA" w:rsidRDefault="00DE48FA" w:rsidP="000A2220">
            <w:pPr>
              <w:rPr>
                <w:bCs/>
              </w:rPr>
            </w:pPr>
          </w:p>
          <w:p w:rsidR="00DE48FA" w:rsidRDefault="00DE48FA" w:rsidP="000A2220">
            <w:pPr>
              <w:tabs>
                <w:tab w:val="left" w:pos="2160"/>
              </w:tabs>
              <w:rPr>
                <w:bCs/>
              </w:rPr>
            </w:pPr>
            <w:r w:rsidRPr="001A5EFC">
              <w:rPr>
                <w:bCs/>
              </w:rPr>
              <w:t xml:space="preserve">PACIFICORP D/B/A PACIFIC POWER &amp; LIGHT COMPANY, </w:t>
            </w:r>
          </w:p>
          <w:p w:rsidR="00DE48FA" w:rsidRDefault="00DE48FA" w:rsidP="000A2220">
            <w:pPr>
              <w:tabs>
                <w:tab w:val="left" w:pos="2160"/>
              </w:tabs>
              <w:rPr>
                <w:bCs/>
              </w:rPr>
            </w:pPr>
          </w:p>
          <w:p w:rsidR="00DE48FA" w:rsidRDefault="00DE48FA" w:rsidP="000A2220">
            <w:pPr>
              <w:pStyle w:val="Footer"/>
              <w:tabs>
                <w:tab w:val="left" w:pos="2168"/>
              </w:tabs>
            </w:pPr>
            <w:r>
              <w:rPr>
                <w:bCs/>
              </w:rPr>
              <w:tab/>
              <w:t>Respondent.</w:t>
            </w:r>
          </w:p>
        </w:tc>
        <w:tc>
          <w:tcPr>
            <w:tcW w:w="276" w:type="dxa"/>
          </w:tcPr>
          <w:p w:rsidR="00DE48FA" w:rsidRDefault="00DE48FA" w:rsidP="000A2220">
            <w:pPr>
              <w:pStyle w:val="BodyText2"/>
            </w:pPr>
            <w:r>
              <w:t>)</w:t>
            </w:r>
          </w:p>
          <w:p w:rsidR="00DE48FA" w:rsidRDefault="00DE48FA" w:rsidP="000A2220">
            <w:pPr>
              <w:pStyle w:val="BodyText2"/>
            </w:pPr>
            <w:r>
              <w:t>)</w:t>
            </w:r>
          </w:p>
          <w:p w:rsidR="00DE48FA" w:rsidRDefault="00DE48FA" w:rsidP="000A2220">
            <w:pPr>
              <w:pStyle w:val="BodyText2"/>
            </w:pPr>
            <w:r>
              <w:t>)</w:t>
            </w:r>
          </w:p>
          <w:p w:rsidR="00DE48FA" w:rsidRDefault="00DE48FA" w:rsidP="000A2220">
            <w:pPr>
              <w:pStyle w:val="BodyText2"/>
            </w:pPr>
            <w:r>
              <w:t>)</w:t>
            </w:r>
          </w:p>
          <w:p w:rsidR="00DE48FA" w:rsidRDefault="00DE48FA" w:rsidP="000A2220">
            <w:pPr>
              <w:pStyle w:val="BodyText2"/>
            </w:pPr>
            <w:r>
              <w:t>)</w:t>
            </w:r>
          </w:p>
          <w:p w:rsidR="00DE48FA" w:rsidRDefault="00DE48FA" w:rsidP="000A2220">
            <w:pPr>
              <w:pStyle w:val="BodyText2"/>
            </w:pPr>
            <w:r>
              <w:t>)</w:t>
            </w:r>
          </w:p>
          <w:p w:rsidR="00DE48FA" w:rsidRDefault="00DE48FA" w:rsidP="000A2220">
            <w:pPr>
              <w:pStyle w:val="BodyText2"/>
            </w:pPr>
            <w:r>
              <w:t>)</w:t>
            </w:r>
          </w:p>
          <w:p w:rsidR="00DE48FA" w:rsidRDefault="00DE48FA" w:rsidP="000A2220">
            <w:pPr>
              <w:pStyle w:val="BodyText2"/>
            </w:pPr>
            <w:r>
              <w:t>)</w:t>
            </w:r>
          </w:p>
          <w:p w:rsidR="00DE48FA" w:rsidRDefault="00DE48FA" w:rsidP="000A2220">
            <w:pPr>
              <w:pStyle w:val="BodyText2"/>
            </w:pPr>
            <w:r>
              <w:t>)</w:t>
            </w:r>
          </w:p>
          <w:p w:rsidR="00DE48FA" w:rsidRDefault="00DE48FA" w:rsidP="000A2220">
            <w:pPr>
              <w:pStyle w:val="BodyText2"/>
            </w:pPr>
            <w:r>
              <w:t>)</w:t>
            </w:r>
          </w:p>
          <w:p w:rsidR="00DE48FA" w:rsidRDefault="00DE48FA" w:rsidP="000A2220">
            <w:pPr>
              <w:pStyle w:val="BodyText2"/>
            </w:pPr>
            <w:r>
              <w:t>)</w:t>
            </w:r>
          </w:p>
        </w:tc>
        <w:tc>
          <w:tcPr>
            <w:tcW w:w="4044" w:type="dxa"/>
          </w:tcPr>
          <w:p w:rsidR="00DE48FA" w:rsidRDefault="00DE48FA" w:rsidP="000A2220">
            <w:pPr>
              <w:pStyle w:val="SingleSpacing"/>
              <w:spacing w:line="240" w:lineRule="auto"/>
            </w:pPr>
            <w:bookmarkStart w:id="0" w:name="CaseNumber"/>
            <w:bookmarkEnd w:id="0"/>
            <w:r>
              <w:t>DOCKET NO. UE-111190</w:t>
            </w:r>
          </w:p>
          <w:p w:rsidR="00DE48FA" w:rsidRDefault="00DE48FA" w:rsidP="000A2220">
            <w:pPr>
              <w:pStyle w:val="SingleSpacing"/>
              <w:spacing w:line="240" w:lineRule="auto"/>
            </w:pPr>
          </w:p>
          <w:p w:rsidR="00DE48FA" w:rsidRDefault="00DE48FA" w:rsidP="000A2220">
            <w:pPr>
              <w:pStyle w:val="BodyText2"/>
            </w:pPr>
          </w:p>
          <w:p w:rsidR="00DE48FA" w:rsidRDefault="00DE48FA" w:rsidP="000A2220">
            <w:pPr>
              <w:pStyle w:val="BodyText2"/>
            </w:pPr>
          </w:p>
          <w:p w:rsidR="00DE48FA" w:rsidRDefault="00DE48FA" w:rsidP="000A2220">
            <w:pPr>
              <w:pStyle w:val="BodyText2"/>
            </w:pPr>
            <w:r>
              <w:t xml:space="preserve">MOTION TO ADMIT SUPPLEMENTAL EXHIBIT OF INDUSTRIAL CUSTOMERS OF NORTHWEST UTILITIES </w:t>
            </w:r>
          </w:p>
          <w:p w:rsidR="00DE48FA" w:rsidRDefault="00DE48FA" w:rsidP="000A2220">
            <w:pPr>
              <w:pStyle w:val="BodyText2"/>
            </w:pPr>
          </w:p>
        </w:tc>
      </w:tr>
    </w:tbl>
    <w:p w:rsidR="00DE48FA" w:rsidRDefault="00DE48FA" w:rsidP="00DE48FA">
      <w:pPr>
        <w:tabs>
          <w:tab w:val="left" w:pos="945"/>
        </w:tabs>
        <w:spacing w:line="480" w:lineRule="auto"/>
      </w:pPr>
    </w:p>
    <w:p w:rsidR="00DE48FA" w:rsidRDefault="00DE48FA" w:rsidP="00DE48FA">
      <w:pPr>
        <w:pStyle w:val="WUTCParagraph"/>
      </w:pPr>
      <w:r>
        <w:tab/>
        <w:t>Pursuant to WAC § 480-07-510, the Industrial Customers of Northwest Utilities (“ICNU”) hereby moves the Washington Utilities and Transportation Commission (“WUTC” or “Commission”) for permission to file a new exhibit, labeled Exhibit No. __ (DWS-6).  To comply with the requirements in the Prehearing Conference Order regarding the stating of a party’s position, ICNU filed certain exhibits, including Exhibit No. __ (DWS-3).  PacifiCorp has informed ICNU that it believes that ICNU’s testimony and exhibits do not provide sufficie</w:t>
      </w:r>
      <w:r w:rsidR="003525AC">
        <w:t xml:space="preserve">nt detailed information and do </w:t>
      </w:r>
      <w:r>
        <w:t xml:space="preserve">not fully comply with the requirements in the Prehearing Conference Order.  To avoid controversy and facilitate the ability of all the parties and the Commission to fully review ICNU’s proposals, ICNU has agreed to file a new exhibit, which </w:t>
      </w:r>
      <w:r w:rsidR="009C5CC6">
        <w:t>has been</w:t>
      </w:r>
      <w:r>
        <w:t xml:space="preserve"> pre</w:t>
      </w:r>
      <w:r w:rsidR="009C5CC6">
        <w:t>-</w:t>
      </w:r>
      <w:r>
        <w:t xml:space="preserve">marked as ICNU Exhibit No. __ (DWS-6).  </w:t>
      </w:r>
      <w:r w:rsidR="00606905">
        <w:t xml:space="preserve">PacifiCorp’s legal counsel has reviewed Exhibit No.__(DWS-6) and agrees it </w:t>
      </w:r>
      <w:r w:rsidR="00C461AE">
        <w:t>appears to comply</w:t>
      </w:r>
      <w:r w:rsidR="00606905">
        <w:t xml:space="preserve"> with the requirements of the prehearing conference order, accordingly PacifiCorp does not object to this Motion.  </w:t>
      </w:r>
      <w:r>
        <w:t xml:space="preserve">Therefore, ICNU respectfully requests that the Commission allow ICNU to pre-file the new Exhibit No. __ (DWS-6).  </w:t>
      </w:r>
      <w:r>
        <w:br w:type="page"/>
      </w:r>
    </w:p>
    <w:p w:rsidR="00DE48FA" w:rsidRDefault="00DE48FA" w:rsidP="001E1CCC">
      <w:pPr>
        <w:keepNext/>
        <w:spacing w:line="480" w:lineRule="auto"/>
        <w:ind w:left="720" w:firstLine="720"/>
      </w:pPr>
      <w:r>
        <w:lastRenderedPageBreak/>
        <w:t>Da</w:t>
      </w:r>
      <w:r w:rsidR="00274322">
        <w:t>ted in Portland, Oregon, this 13</w:t>
      </w:r>
      <w:r>
        <w:t>th day of January, 2012.</w:t>
      </w:r>
    </w:p>
    <w:p w:rsidR="00DE48FA" w:rsidRDefault="00DE48FA" w:rsidP="00DE48FA">
      <w:pPr>
        <w:keepNext/>
        <w:spacing w:line="480" w:lineRule="auto"/>
        <w:ind w:left="2880" w:firstLine="720"/>
      </w:pPr>
      <w:r>
        <w:t>Respectfully submitted,</w:t>
      </w:r>
    </w:p>
    <w:p w:rsidR="00DE48FA" w:rsidRDefault="00DE48FA" w:rsidP="00DE48FA">
      <w:pPr>
        <w:keepNext/>
        <w:spacing w:line="480" w:lineRule="auto"/>
        <w:ind w:firstLine="3600"/>
      </w:pPr>
      <w:r>
        <w:t>DAVISON VAN CLEVE, P.C.</w:t>
      </w:r>
    </w:p>
    <w:p w:rsidR="00DE48FA" w:rsidRDefault="00DE48FA" w:rsidP="00DE48FA">
      <w:pPr>
        <w:keepNext/>
        <w:ind w:firstLine="3600"/>
      </w:pPr>
    </w:p>
    <w:p w:rsidR="00DE48FA" w:rsidRPr="00200EE5" w:rsidRDefault="00DE48FA" w:rsidP="00DE48FA">
      <w:pPr>
        <w:keepNext/>
        <w:ind w:firstLine="3600"/>
        <w:rPr>
          <w:u w:val="single"/>
        </w:rPr>
      </w:pPr>
      <w:r>
        <w:rPr>
          <w:i/>
          <w:u w:val="single"/>
        </w:rPr>
        <w:t xml:space="preserve">/s/ </w:t>
      </w:r>
      <w:r w:rsidR="00E34CC1">
        <w:rPr>
          <w:i/>
          <w:u w:val="single"/>
        </w:rPr>
        <w:t>Melinda J. Davison</w:t>
      </w:r>
    </w:p>
    <w:p w:rsidR="00DE48FA" w:rsidRDefault="00DE48FA" w:rsidP="00DE48FA">
      <w:pPr>
        <w:keepNext/>
        <w:ind w:firstLine="3600"/>
      </w:pPr>
      <w:r>
        <w:t>Melinda J. Davison</w:t>
      </w:r>
    </w:p>
    <w:p w:rsidR="00DE48FA" w:rsidRDefault="00DE48FA" w:rsidP="00DE48FA">
      <w:pPr>
        <w:keepNext/>
        <w:ind w:firstLine="3600"/>
      </w:pPr>
      <w:r>
        <w:t>Irion A. Sanger</w:t>
      </w:r>
    </w:p>
    <w:p w:rsidR="00DE48FA" w:rsidRDefault="00DE48FA" w:rsidP="00DE48FA">
      <w:pPr>
        <w:keepNext/>
        <w:ind w:firstLine="3600"/>
      </w:pPr>
      <w:r>
        <w:t xml:space="preserve">333 S.W. Taylor, </w:t>
      </w:r>
      <w:smartTag w:uri="urn:schemas-microsoft-com:office:smarttags" w:element="address">
        <w:smartTag w:uri="urn:schemas-microsoft-com:office:smarttags" w:element="Street">
          <w:r>
            <w:t>Suite</w:t>
          </w:r>
        </w:smartTag>
        <w:r>
          <w:t xml:space="preserve"> 400</w:t>
        </w:r>
      </w:smartTag>
    </w:p>
    <w:p w:rsidR="00DE48FA" w:rsidRDefault="00DE48FA" w:rsidP="00DE48FA">
      <w:pPr>
        <w:keepNext/>
        <w:ind w:firstLine="3600"/>
      </w:pP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r>
          <w:t xml:space="preserve"> </w:t>
        </w:r>
        <w:smartTag w:uri="urn:schemas-microsoft-com:office:smarttags" w:element="PostalCode">
          <w:r>
            <w:t>97204</w:t>
          </w:r>
        </w:smartTag>
      </w:smartTag>
    </w:p>
    <w:p w:rsidR="00DE48FA" w:rsidRDefault="00DE48FA" w:rsidP="00DE48FA">
      <w:pPr>
        <w:keepNext/>
        <w:ind w:firstLine="3600"/>
      </w:pPr>
      <w:r>
        <w:t>(503) 241-7242 telephone</w:t>
      </w:r>
    </w:p>
    <w:p w:rsidR="00DE48FA" w:rsidRDefault="00DE48FA" w:rsidP="00DE48FA">
      <w:pPr>
        <w:keepNext/>
        <w:ind w:firstLine="3600"/>
      </w:pPr>
      <w:r>
        <w:t>(503) 241-8160 facsimile</w:t>
      </w:r>
    </w:p>
    <w:p w:rsidR="00DE48FA" w:rsidRDefault="00DE48FA" w:rsidP="00DE48FA">
      <w:pPr>
        <w:ind w:left="2912" w:firstLine="688"/>
      </w:pPr>
      <w:r>
        <w:t>mjd</w:t>
      </w:r>
      <w:r w:rsidRPr="002E1995">
        <w:t>@dvclaw.com</w:t>
      </w:r>
    </w:p>
    <w:p w:rsidR="00DE48FA" w:rsidRDefault="00DE48FA" w:rsidP="00DE48FA">
      <w:pPr>
        <w:ind w:left="2912" w:firstLine="688"/>
      </w:pPr>
      <w:r>
        <w:t>ias@dvclaw.com</w:t>
      </w:r>
    </w:p>
    <w:p w:rsidR="00DE48FA" w:rsidRDefault="00DE48FA" w:rsidP="00DE48FA">
      <w:pPr>
        <w:ind w:left="3600"/>
      </w:pPr>
      <w:r>
        <w:t xml:space="preserve">Of Attorneys for Industrial Customers </w:t>
      </w:r>
    </w:p>
    <w:p w:rsidR="00DE48FA" w:rsidRDefault="00DE48FA" w:rsidP="00DE48FA">
      <w:pPr>
        <w:ind w:left="3600"/>
      </w:pPr>
      <w:r>
        <w:t>of Northwest Utilities</w:t>
      </w:r>
    </w:p>
    <w:p w:rsidR="00380754" w:rsidRPr="00DE48FA" w:rsidRDefault="00C461AE" w:rsidP="00DE48FA">
      <w:pPr>
        <w:ind w:firstLine="720"/>
      </w:pPr>
    </w:p>
    <w:sectPr w:rsidR="00380754" w:rsidRPr="00DE48FA" w:rsidSect="00553ECD">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8FA" w:rsidRDefault="00DE48FA" w:rsidP="00DE48FA">
      <w:r>
        <w:separator/>
      </w:r>
    </w:p>
  </w:endnote>
  <w:endnote w:type="continuationSeparator" w:id="0">
    <w:p w:rsidR="00DE48FA" w:rsidRDefault="00DE48FA" w:rsidP="00DE48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EngraversGothic BT">
    <w:altName w:val="Arial"/>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049" w:rsidRDefault="00310049" w:rsidP="00310049">
    <w:pPr>
      <w:pStyle w:val="Footer"/>
    </w:pPr>
    <w:r>
      <w:t xml:space="preserve">PAGE </w:t>
    </w:r>
    <w:fldSimple w:instr=" PAGE ">
      <w:r w:rsidR="00C461AE">
        <w:rPr>
          <w:noProof/>
        </w:rPr>
        <w:t>1</w:t>
      </w:r>
    </w:fldSimple>
    <w:r>
      <w:t xml:space="preserve"> – MOTION TO ADMIT SUPPLEMENTAL EXHIBIT OF ICNU</w:t>
    </w:r>
  </w:p>
  <w:p w:rsidR="00310049" w:rsidRPr="001761F6" w:rsidRDefault="00310049" w:rsidP="00310049">
    <w:pPr>
      <w:pStyle w:val="Footer"/>
      <w:rPr>
        <w:rStyle w:val="PageNumber"/>
        <w:sz w:val="16"/>
        <w:szCs w:val="16"/>
      </w:rPr>
    </w:pPr>
  </w:p>
  <w:p w:rsidR="00310049" w:rsidRPr="000835C7" w:rsidRDefault="00310049" w:rsidP="00310049">
    <w:pPr>
      <w:jc w:val="center"/>
      <w:rPr>
        <w:rFonts w:ascii="EngraversGothic BT" w:hAnsi="EngraversGothic BT"/>
        <w:sz w:val="15"/>
        <w:szCs w:val="15"/>
      </w:rPr>
    </w:pPr>
    <w:r w:rsidRPr="000835C7">
      <w:rPr>
        <w:rFonts w:ascii="EngraversGothic BT" w:hAnsi="EngraversGothic BT"/>
        <w:sz w:val="15"/>
        <w:szCs w:val="15"/>
      </w:rPr>
      <w:t>DAVISON VAN CLEVE, P.C.</w:t>
    </w:r>
  </w:p>
  <w:p w:rsidR="00310049" w:rsidRPr="000835C7" w:rsidRDefault="00310049" w:rsidP="00310049">
    <w:pPr>
      <w:tabs>
        <w:tab w:val="center" w:pos="4680"/>
      </w:tabs>
      <w:jc w:val="center"/>
      <w:rPr>
        <w:rFonts w:ascii="EngraversGothic BT" w:hAnsi="EngraversGothic BT"/>
        <w:sz w:val="15"/>
        <w:szCs w:val="15"/>
      </w:rPr>
    </w:pPr>
    <w:r w:rsidRPr="000835C7">
      <w:rPr>
        <w:rFonts w:ascii="EngraversGothic BT" w:hAnsi="EngraversGothic BT"/>
        <w:sz w:val="15"/>
        <w:szCs w:val="15"/>
      </w:rPr>
      <w:t xml:space="preserve">333 S.W. Taylor, </w:t>
    </w:r>
    <w:smartTag w:uri="urn:schemas-microsoft-com:office:smarttags" w:element="address">
      <w:smartTag w:uri="urn:schemas-microsoft-com:office:smarttags" w:element="Street">
        <w:r w:rsidRPr="000835C7">
          <w:rPr>
            <w:rFonts w:ascii="EngraversGothic BT" w:hAnsi="EngraversGothic BT"/>
            <w:sz w:val="15"/>
            <w:szCs w:val="15"/>
          </w:rPr>
          <w:t>Suite</w:t>
        </w:r>
      </w:smartTag>
      <w:r w:rsidRPr="000835C7">
        <w:rPr>
          <w:rFonts w:ascii="EngraversGothic BT" w:hAnsi="EngraversGothic BT"/>
          <w:sz w:val="15"/>
          <w:szCs w:val="15"/>
        </w:rPr>
        <w:t xml:space="preserve"> 400</w:t>
      </w:r>
    </w:smartTag>
  </w:p>
  <w:p w:rsidR="00310049" w:rsidRPr="000835C7" w:rsidRDefault="00310049" w:rsidP="00310049">
    <w:pPr>
      <w:tabs>
        <w:tab w:val="center" w:pos="4680"/>
      </w:tabs>
      <w:jc w:val="center"/>
      <w:rPr>
        <w:rFonts w:ascii="EngraversGothic BT" w:hAnsi="EngraversGothic BT"/>
        <w:sz w:val="15"/>
        <w:szCs w:val="15"/>
      </w:rPr>
    </w:pPr>
    <w:smartTag w:uri="urn:schemas-microsoft-com:office:smarttags" w:element="place">
      <w:smartTag w:uri="urn:schemas-microsoft-com:office:smarttags" w:element="City">
        <w:r w:rsidRPr="000835C7">
          <w:rPr>
            <w:rFonts w:ascii="EngraversGothic BT" w:hAnsi="EngraversGothic BT"/>
            <w:sz w:val="15"/>
            <w:szCs w:val="15"/>
          </w:rPr>
          <w:t>Portland</w:t>
        </w:r>
      </w:smartTag>
      <w:r w:rsidRPr="000835C7">
        <w:rPr>
          <w:rFonts w:ascii="EngraversGothic BT" w:hAnsi="EngraversGothic BT"/>
          <w:sz w:val="15"/>
          <w:szCs w:val="15"/>
        </w:rPr>
        <w:t xml:space="preserve">, </w:t>
      </w:r>
      <w:smartTag w:uri="urn:schemas-microsoft-com:office:smarttags" w:element="State">
        <w:r w:rsidRPr="000835C7">
          <w:rPr>
            <w:rFonts w:ascii="EngraversGothic BT" w:hAnsi="EngraversGothic BT"/>
            <w:sz w:val="15"/>
            <w:szCs w:val="15"/>
          </w:rPr>
          <w:t>OR</w:t>
        </w:r>
      </w:smartTag>
      <w:r w:rsidRPr="000835C7">
        <w:rPr>
          <w:rFonts w:ascii="EngraversGothic BT" w:hAnsi="EngraversGothic BT"/>
          <w:sz w:val="15"/>
          <w:szCs w:val="15"/>
        </w:rPr>
        <w:t xml:space="preserve"> </w:t>
      </w:r>
      <w:smartTag w:uri="urn:schemas-microsoft-com:office:smarttags" w:element="PostalCode">
        <w:r w:rsidRPr="000835C7">
          <w:rPr>
            <w:rFonts w:ascii="EngraversGothic BT" w:hAnsi="EngraversGothic BT"/>
            <w:sz w:val="15"/>
            <w:szCs w:val="15"/>
          </w:rPr>
          <w:t>97204</w:t>
        </w:r>
      </w:smartTag>
    </w:smartTag>
  </w:p>
  <w:p w:rsidR="00310049" w:rsidRPr="000835C7" w:rsidRDefault="00310049" w:rsidP="00310049">
    <w:pPr>
      <w:tabs>
        <w:tab w:val="center" w:pos="4680"/>
      </w:tabs>
      <w:jc w:val="center"/>
      <w:rPr>
        <w:rFonts w:ascii="EngraversGothic BT" w:hAnsi="EngraversGothic BT"/>
        <w:sz w:val="15"/>
        <w:szCs w:val="15"/>
      </w:rPr>
    </w:pPr>
    <w:r w:rsidRPr="000835C7">
      <w:rPr>
        <w:rFonts w:ascii="EngraversGothic BT" w:hAnsi="EngraversGothic BT"/>
        <w:sz w:val="15"/>
        <w:szCs w:val="15"/>
      </w:rPr>
      <w:t>Telephone:  (503) 241-7242</w:t>
    </w:r>
  </w:p>
  <w:p w:rsidR="00310049" w:rsidRDefault="003100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8FA" w:rsidRDefault="00DE48FA" w:rsidP="00DE48FA">
      <w:r>
        <w:separator/>
      </w:r>
    </w:p>
  </w:footnote>
  <w:footnote w:type="continuationSeparator" w:id="0">
    <w:p w:rsidR="00DE48FA" w:rsidRDefault="00DE48FA" w:rsidP="00DE48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D82605E"/>
    <w:lvl w:ilvl="0">
      <w:start w:val="1"/>
      <w:numFmt w:val="decimal"/>
      <w:lvlText w:val="%1."/>
      <w:lvlJc w:val="left"/>
      <w:pPr>
        <w:tabs>
          <w:tab w:val="num" w:pos="1800"/>
        </w:tabs>
        <w:ind w:left="1800" w:hanging="360"/>
      </w:pPr>
    </w:lvl>
  </w:abstractNum>
  <w:abstractNum w:abstractNumId="1">
    <w:nsid w:val="FFFFFF7D"/>
    <w:multiLevelType w:val="singleLevel"/>
    <w:tmpl w:val="9B2A24A6"/>
    <w:lvl w:ilvl="0">
      <w:start w:val="1"/>
      <w:numFmt w:val="decimal"/>
      <w:lvlText w:val="%1."/>
      <w:lvlJc w:val="left"/>
      <w:pPr>
        <w:tabs>
          <w:tab w:val="num" w:pos="1440"/>
        </w:tabs>
        <w:ind w:left="1440" w:hanging="360"/>
      </w:pPr>
    </w:lvl>
  </w:abstractNum>
  <w:abstractNum w:abstractNumId="2">
    <w:nsid w:val="FFFFFF7E"/>
    <w:multiLevelType w:val="singleLevel"/>
    <w:tmpl w:val="6F129432"/>
    <w:lvl w:ilvl="0">
      <w:start w:val="1"/>
      <w:numFmt w:val="decimal"/>
      <w:lvlText w:val="%1."/>
      <w:lvlJc w:val="left"/>
      <w:pPr>
        <w:tabs>
          <w:tab w:val="num" w:pos="1080"/>
        </w:tabs>
        <w:ind w:left="1080" w:hanging="360"/>
      </w:pPr>
    </w:lvl>
  </w:abstractNum>
  <w:abstractNum w:abstractNumId="3">
    <w:nsid w:val="FFFFFF7F"/>
    <w:multiLevelType w:val="singleLevel"/>
    <w:tmpl w:val="16F6469A"/>
    <w:lvl w:ilvl="0">
      <w:start w:val="1"/>
      <w:numFmt w:val="decimal"/>
      <w:lvlText w:val="%1."/>
      <w:lvlJc w:val="left"/>
      <w:pPr>
        <w:tabs>
          <w:tab w:val="num" w:pos="720"/>
        </w:tabs>
        <w:ind w:left="720" w:hanging="360"/>
      </w:pPr>
    </w:lvl>
  </w:abstractNum>
  <w:abstractNum w:abstractNumId="4">
    <w:nsid w:val="FFFFFF80"/>
    <w:multiLevelType w:val="singleLevel"/>
    <w:tmpl w:val="3EE68E0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99A803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57200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003B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EB88792"/>
    <w:lvl w:ilvl="0">
      <w:start w:val="1"/>
      <w:numFmt w:val="decimal"/>
      <w:lvlText w:val="%1."/>
      <w:lvlJc w:val="left"/>
      <w:pPr>
        <w:tabs>
          <w:tab w:val="num" w:pos="360"/>
        </w:tabs>
        <w:ind w:left="360" w:hanging="360"/>
      </w:pPr>
    </w:lvl>
  </w:abstractNum>
  <w:abstractNum w:abstractNumId="9">
    <w:nsid w:val="FFFFFF89"/>
    <w:multiLevelType w:val="singleLevel"/>
    <w:tmpl w:val="6FF81A58"/>
    <w:lvl w:ilvl="0">
      <w:start w:val="1"/>
      <w:numFmt w:val="bullet"/>
      <w:lvlText w:val=""/>
      <w:lvlJc w:val="left"/>
      <w:pPr>
        <w:tabs>
          <w:tab w:val="num" w:pos="360"/>
        </w:tabs>
        <w:ind w:left="360" w:hanging="360"/>
      </w:pPr>
      <w:rPr>
        <w:rFonts w:ascii="Symbol" w:hAnsi="Symbol" w:hint="default"/>
      </w:rPr>
    </w:lvl>
  </w:abstractNum>
  <w:abstractNum w:abstractNumId="10">
    <w:nsid w:val="68931D5B"/>
    <w:multiLevelType w:val="hybridMultilevel"/>
    <w:tmpl w:val="49549A7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4"/>
  <w:stylePaneSortMethod w:val="0000"/>
  <w:defaultTabStop w:val="720"/>
  <w:characterSpacingControl w:val="doNotCompress"/>
  <w:footnotePr>
    <w:footnote w:id="-1"/>
    <w:footnote w:id="0"/>
  </w:footnotePr>
  <w:endnotePr>
    <w:endnote w:id="-1"/>
    <w:endnote w:id="0"/>
  </w:endnotePr>
  <w:compat/>
  <w:rsids>
    <w:rsidRoot w:val="00786C6C"/>
    <w:rsid w:val="00070936"/>
    <w:rsid w:val="001E1CCC"/>
    <w:rsid w:val="00274322"/>
    <w:rsid w:val="002A0DD8"/>
    <w:rsid w:val="00310049"/>
    <w:rsid w:val="003525AC"/>
    <w:rsid w:val="00553ECD"/>
    <w:rsid w:val="00581D69"/>
    <w:rsid w:val="00606905"/>
    <w:rsid w:val="00786C6C"/>
    <w:rsid w:val="007E61F3"/>
    <w:rsid w:val="00827B19"/>
    <w:rsid w:val="009C5CC6"/>
    <w:rsid w:val="00C461AE"/>
    <w:rsid w:val="00DE48FA"/>
    <w:rsid w:val="00E15482"/>
    <w:rsid w:val="00E34CC1"/>
    <w:rsid w:val="00ED3785"/>
    <w:rsid w:val="00EE3E5E"/>
    <w:rsid w:val="00F82A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8FA"/>
    <w:pPr>
      <w:spacing w:after="0"/>
    </w:pPr>
    <w:rPr>
      <w:rFonts w:eastAsia="Times New Roman" w:cs="Times New Roman"/>
      <w:color w:val="000000"/>
      <w:szCs w:val="20"/>
    </w:rPr>
  </w:style>
  <w:style w:type="paragraph" w:styleId="Heading1">
    <w:name w:val="heading 1"/>
    <w:basedOn w:val="Normal"/>
    <w:next w:val="Normal"/>
    <w:link w:val="Heading1Char"/>
    <w:qFormat/>
    <w:rsid w:val="00DE48FA"/>
    <w:pPr>
      <w:keepNext/>
      <w:spacing w:after="240"/>
      <w:jc w:val="center"/>
      <w:outlineLvl w:val="0"/>
    </w:pPr>
    <w:rPr>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UTCParagraph">
    <w:name w:val="WUTC Paragraph"/>
    <w:basedOn w:val="Normal"/>
    <w:rsid w:val="00786C6C"/>
    <w:pPr>
      <w:numPr>
        <w:numId w:val="1"/>
      </w:numPr>
      <w:tabs>
        <w:tab w:val="clear" w:pos="0"/>
        <w:tab w:val="left" w:pos="1440"/>
      </w:tabs>
      <w:spacing w:line="480" w:lineRule="auto"/>
    </w:pPr>
    <w:rPr>
      <w:color w:val="auto"/>
      <w:szCs w:val="24"/>
    </w:rPr>
  </w:style>
  <w:style w:type="paragraph" w:styleId="Header">
    <w:name w:val="header"/>
    <w:basedOn w:val="Normal"/>
    <w:link w:val="HeaderChar"/>
    <w:uiPriority w:val="99"/>
    <w:semiHidden/>
    <w:unhideWhenUsed/>
    <w:rsid w:val="00DE48FA"/>
    <w:pPr>
      <w:tabs>
        <w:tab w:val="center" w:pos="4680"/>
        <w:tab w:val="right" w:pos="9360"/>
      </w:tabs>
    </w:pPr>
  </w:style>
  <w:style w:type="character" w:customStyle="1" w:styleId="HeaderChar">
    <w:name w:val="Header Char"/>
    <w:basedOn w:val="DefaultParagraphFont"/>
    <w:link w:val="Header"/>
    <w:uiPriority w:val="99"/>
    <w:semiHidden/>
    <w:rsid w:val="00DE48FA"/>
    <w:rPr>
      <w:rFonts w:eastAsia="Times New Roman" w:cs="Times New Roman"/>
      <w:color w:val="000000"/>
      <w:szCs w:val="20"/>
    </w:rPr>
  </w:style>
  <w:style w:type="paragraph" w:styleId="Footer">
    <w:name w:val="footer"/>
    <w:basedOn w:val="Normal"/>
    <w:link w:val="FooterChar"/>
    <w:unhideWhenUsed/>
    <w:rsid w:val="00DE48FA"/>
    <w:pPr>
      <w:tabs>
        <w:tab w:val="center" w:pos="4680"/>
        <w:tab w:val="right" w:pos="9360"/>
      </w:tabs>
    </w:pPr>
  </w:style>
  <w:style w:type="character" w:customStyle="1" w:styleId="FooterChar">
    <w:name w:val="Footer Char"/>
    <w:basedOn w:val="DefaultParagraphFont"/>
    <w:link w:val="Footer"/>
    <w:uiPriority w:val="99"/>
    <w:semiHidden/>
    <w:rsid w:val="00DE48FA"/>
    <w:rPr>
      <w:rFonts w:eastAsia="Times New Roman" w:cs="Times New Roman"/>
      <w:color w:val="000000"/>
      <w:szCs w:val="20"/>
    </w:rPr>
  </w:style>
  <w:style w:type="character" w:customStyle="1" w:styleId="Heading1Char">
    <w:name w:val="Heading 1 Char"/>
    <w:basedOn w:val="DefaultParagraphFont"/>
    <w:link w:val="Heading1"/>
    <w:rsid w:val="00DE48FA"/>
    <w:rPr>
      <w:rFonts w:eastAsia="Times New Roman" w:cs="Times New Roman"/>
      <w:b/>
      <w:szCs w:val="20"/>
    </w:rPr>
  </w:style>
  <w:style w:type="paragraph" w:customStyle="1" w:styleId="SingleSpacing">
    <w:name w:val="Single Spacing"/>
    <w:basedOn w:val="Normal"/>
    <w:rsid w:val="00DE48FA"/>
    <w:pPr>
      <w:spacing w:line="254" w:lineRule="exact"/>
    </w:pPr>
    <w:rPr>
      <w:color w:val="auto"/>
    </w:rPr>
  </w:style>
  <w:style w:type="paragraph" w:styleId="BodyText2">
    <w:name w:val="Body Text 2"/>
    <w:basedOn w:val="Normal"/>
    <w:link w:val="BodyText2Char"/>
    <w:rsid w:val="00DE48FA"/>
    <w:rPr>
      <w:color w:val="auto"/>
    </w:rPr>
  </w:style>
  <w:style w:type="character" w:customStyle="1" w:styleId="BodyText2Char">
    <w:name w:val="Body Text 2 Char"/>
    <w:basedOn w:val="DefaultParagraphFont"/>
    <w:link w:val="BodyText2"/>
    <w:rsid w:val="00DE48FA"/>
    <w:rPr>
      <w:rFonts w:eastAsia="Times New Roman" w:cs="Times New Roman"/>
      <w:szCs w:val="20"/>
    </w:rPr>
  </w:style>
  <w:style w:type="character" w:styleId="PageNumber">
    <w:name w:val="page number"/>
    <w:basedOn w:val="DefaultParagraphFont"/>
    <w:rsid w:val="003100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7CE28074734D4792DBD415A4708DE0" ma:contentTypeVersion="143" ma:contentTypeDescription="" ma:contentTypeScope="" ma:versionID="a3dd2b48c08cc92b7c987e6cb8a261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2011-07-01T07:00:00+00:00</OpenedDate>
    <Date1 xmlns="dc463f71-b30c-4ab2-9473-d307f9d35888">2012-01-13T08:00:00+00:00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111190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29B1B66-2A09-4C48-86BB-DC7079D28AED}"/>
</file>

<file path=customXml/itemProps2.xml><?xml version="1.0" encoding="utf-8"?>
<ds:datastoreItem xmlns:ds="http://schemas.openxmlformats.org/officeDocument/2006/customXml" ds:itemID="{4791E8E2-7C6C-493A-B455-F725BA2F2887}"/>
</file>

<file path=customXml/itemProps3.xml><?xml version="1.0" encoding="utf-8"?>
<ds:datastoreItem xmlns:ds="http://schemas.openxmlformats.org/officeDocument/2006/customXml" ds:itemID="{AFD8E449-41EC-4C1F-BC04-D25C66442264}"/>
</file>

<file path=customXml/itemProps4.xml><?xml version="1.0" encoding="utf-8"?>
<ds:datastoreItem xmlns:ds="http://schemas.openxmlformats.org/officeDocument/2006/customXml" ds:itemID="{6B4AAD5B-710E-4800-B3CE-A37DD7872F1D}"/>
</file>

<file path=docProps/app.xml><?xml version="1.0" encoding="utf-8"?>
<Properties xmlns="http://schemas.openxmlformats.org/officeDocument/2006/extended-properties" xmlns:vt="http://schemas.openxmlformats.org/officeDocument/2006/docPropsVTypes">
  <Template>Normal</Template>
  <TotalTime>11</TotalTime>
  <Pages>2</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Irion A. Sanger</dc:creator>
  <cp:lastModifiedBy>jes</cp:lastModifiedBy>
  <cp:revision>10</cp:revision>
  <cp:lastPrinted>2012-01-13T21:32:00Z</cp:lastPrinted>
  <dcterms:created xsi:type="dcterms:W3CDTF">2012-01-12T18:42:00Z</dcterms:created>
  <dcterms:modified xsi:type="dcterms:W3CDTF">2012-01-13T21:34:00Z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0x0101006E56B4D1795A2E4DB2F0B01679ED314A00D17CE28074734D4792DBD415A4708DE0</vt:lpwstr>
  </property>
  <property fmtid="{D5CDD505-2E9C-101B-9397-08002B2CF9AE}" pid="3" name="_docset_NoMedatataSyncRequired">
    <vt:lpwstr>False</vt:lpwstr>
  </property>
</Properties>
</file>