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39331E" w:rsidP="0039331E">
      <w:pPr>
        <w:pStyle w:val="BodyText"/>
        <w:spacing w:line="240" w:lineRule="auto"/>
        <w:jc w:val="center"/>
        <w:rPr>
          <w:b/>
          <w:bCs/>
          <w:sz w:val="25"/>
          <w:szCs w:val="25"/>
        </w:rPr>
      </w:pPr>
      <w:bookmarkStart w:id="0" w:name="_GoBack"/>
      <w:bookmarkEnd w:id="0"/>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tblPr>
      <w:tblGrid>
        <w:gridCol w:w="4248"/>
        <w:gridCol w:w="360"/>
        <w:gridCol w:w="4320"/>
      </w:tblGrid>
      <w:tr w:rsidTr="00DE2076">
        <w:tblPrEx>
          <w:tblW w:w="8928" w:type="dxa"/>
          <w:tblLook w:val="0000"/>
        </w:tblPrEx>
        <w:tc>
          <w:tcPr>
            <w:tcW w:w="4248" w:type="dxa"/>
          </w:tcPr>
          <w:p w:rsidR="0039331E" w:rsidRPr="00B80696" w:rsidP="00DE2076">
            <w:pPr>
              <w:tabs>
                <w:tab w:val="left" w:pos="2160"/>
              </w:tabs>
              <w:rPr>
                <w:bCs/>
                <w:sz w:val="25"/>
                <w:szCs w:val="25"/>
              </w:rPr>
            </w:pPr>
            <w:r w:rsidRPr="00B80696">
              <w:rPr>
                <w:bCs/>
                <w:sz w:val="25"/>
                <w:szCs w:val="25"/>
              </w:rPr>
              <w:t>WASHINGTON UTILITIES AND TRANSPORTATION COMMISSION,</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sidRPr="00B80696">
              <w:rPr>
                <w:bCs/>
                <w:sz w:val="25"/>
                <w:szCs w:val="25"/>
              </w:rPr>
              <w:tab/>
              <w:t>Complainant,</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sidRPr="00B80696">
              <w:rPr>
                <w:bCs/>
                <w:sz w:val="25"/>
                <w:szCs w:val="25"/>
              </w:rPr>
              <w:t>v.</w:t>
            </w:r>
          </w:p>
          <w:p w:rsidR="0039331E" w:rsidRPr="00B80696" w:rsidP="00DE2076">
            <w:pPr>
              <w:tabs>
                <w:tab w:val="left" w:pos="2160"/>
              </w:tabs>
              <w:rPr>
                <w:bCs/>
                <w:sz w:val="25"/>
                <w:szCs w:val="25"/>
              </w:rPr>
            </w:pPr>
          </w:p>
          <w:p w:rsidR="0039331E" w:rsidRPr="00B80696"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P="00DE2076">
            <w:pPr>
              <w:tabs>
                <w:tab w:val="left" w:pos="2160"/>
              </w:tabs>
              <w:rPr>
                <w:bCs/>
                <w:sz w:val="25"/>
                <w:szCs w:val="25"/>
              </w:rPr>
            </w:pPr>
          </w:p>
          <w:p w:rsidR="0039331E" w:rsidRPr="000503FF" w:rsidP="00DE2076">
            <w:pPr>
              <w:tabs>
                <w:tab w:val="left" w:pos="2160"/>
              </w:tabs>
              <w:rPr>
                <w:bCs/>
                <w:sz w:val="25"/>
                <w:szCs w:val="25"/>
              </w:rPr>
            </w:pPr>
            <w:r w:rsidRPr="00B80696">
              <w:rPr>
                <w:bCs/>
                <w:sz w:val="25"/>
                <w:szCs w:val="25"/>
              </w:rPr>
              <w:tab/>
              <w:t>Respondent.</w:t>
            </w:r>
          </w:p>
        </w:tc>
        <w:tc>
          <w:tcPr>
            <w:tcW w:w="360" w:type="dxa"/>
          </w:tcPr>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r w:rsidRPr="00BD1EB2">
              <w:rPr>
                <w:sz w:val="25"/>
                <w:szCs w:val="25"/>
              </w:rPr>
              <w:t>)</w:t>
            </w:r>
          </w:p>
          <w:p w:rsidR="0039331E" w:rsidRPr="00BD1EB2" w:rsidP="00DE2076">
            <w:pPr>
              <w:rPr>
                <w:sz w:val="25"/>
                <w:szCs w:val="25"/>
              </w:rPr>
            </w:pPr>
          </w:p>
        </w:tc>
        <w:tc>
          <w:tcPr>
            <w:tcW w:w="4320" w:type="dxa"/>
          </w:tcPr>
          <w:p w:rsidR="0039331E" w:rsidP="00DE2076">
            <w:pPr>
              <w:rPr>
                <w:sz w:val="25"/>
                <w:szCs w:val="25"/>
              </w:rPr>
            </w:pPr>
            <w:r w:rsidRPr="00BD1EB2">
              <w:rPr>
                <w:sz w:val="25"/>
                <w:szCs w:val="25"/>
              </w:rPr>
              <w:t xml:space="preserve">DOCKET </w:t>
            </w:r>
            <w:r>
              <w:rPr>
                <w:sz w:val="25"/>
                <w:szCs w:val="25"/>
              </w:rPr>
              <w:t>TG-140560</w:t>
            </w:r>
          </w:p>
          <w:p w:rsidR="0039331E" w:rsidRPr="00BD1EB2" w:rsidP="00DE2076">
            <w:pPr>
              <w:rPr>
                <w:sz w:val="25"/>
                <w:szCs w:val="25"/>
              </w:rPr>
            </w:pPr>
          </w:p>
          <w:p w:rsidR="0039331E" w:rsidRPr="00BD1EB2" w:rsidP="00DE2076">
            <w:pPr>
              <w:pStyle w:val="Header"/>
              <w:tabs>
                <w:tab w:val="clear" w:pos="4320"/>
                <w:tab w:val="clear" w:pos="8640"/>
              </w:tabs>
              <w:rPr>
                <w:sz w:val="25"/>
                <w:szCs w:val="25"/>
              </w:rPr>
            </w:pPr>
          </w:p>
        </w:tc>
      </w:tr>
    </w:tbl>
    <w:p w:rsidR="0039331E" w:rsidP="0039331E">
      <w:pPr>
        <w:spacing w:line="288" w:lineRule="auto"/>
        <w:rPr>
          <w:sz w:val="25"/>
          <w:szCs w:val="25"/>
        </w:rPr>
      </w:pPr>
    </w:p>
    <w:p w:rsidR="00FD174A" w:rsidP="0039331E">
      <w:pPr>
        <w:pStyle w:val="Judge"/>
        <w:jc w:val="center"/>
        <w:rPr>
          <w:b/>
        </w:rPr>
      </w:pPr>
    </w:p>
    <w:p w:rsidR="00FD174A" w:rsidP="0039331E">
      <w:pPr>
        <w:pStyle w:val="Judge"/>
        <w:jc w:val="center"/>
        <w:rPr>
          <w:b/>
        </w:rPr>
      </w:pPr>
    </w:p>
    <w:p w:rsidR="00FD174A" w:rsidP="0039331E">
      <w:pPr>
        <w:pStyle w:val="Judge"/>
        <w:jc w:val="center"/>
        <w:rPr>
          <w:b/>
        </w:rPr>
      </w:pPr>
    </w:p>
    <w:p w:rsidR="0039331E" w:rsidRPr="00162CA3" w:rsidP="0039331E">
      <w:pPr>
        <w:pStyle w:val="Judge"/>
        <w:jc w:val="center"/>
        <w:rPr>
          <w:b/>
        </w:rPr>
      </w:pPr>
      <w:r>
        <w:rPr>
          <w:b/>
        </w:rPr>
        <w:t>SUPPLEMENTAL</w:t>
      </w:r>
      <w:r w:rsidRPr="00162CA3">
        <w:rPr>
          <w:b/>
        </w:rPr>
        <w:t xml:space="preserve"> TESTIMONY</w:t>
      </w:r>
    </w:p>
    <w:p w:rsidR="0039331E" w:rsidRPr="00162CA3" w:rsidP="0039331E">
      <w:pPr>
        <w:pStyle w:val="Judge"/>
        <w:jc w:val="center"/>
        <w:rPr>
          <w:b/>
        </w:rPr>
      </w:pPr>
    </w:p>
    <w:p w:rsidR="0039331E" w:rsidRPr="00162CA3" w:rsidP="0039331E">
      <w:pPr>
        <w:pStyle w:val="Judge"/>
        <w:jc w:val="center"/>
        <w:rPr>
          <w:b/>
        </w:rPr>
      </w:pPr>
      <w:r>
        <w:rPr>
          <w:b/>
        </w:rPr>
        <w:t>OF LAYNE DEMAS</w:t>
      </w:r>
    </w:p>
    <w:p w:rsidR="0039331E" w:rsidRPr="00162CA3" w:rsidP="0039331E">
      <w:pPr>
        <w:pStyle w:val="Judge"/>
        <w:jc w:val="center"/>
        <w:rPr>
          <w:b/>
        </w:rPr>
      </w:pPr>
    </w:p>
    <w:p w:rsidR="0039331E" w:rsidP="0039331E">
      <w:pPr>
        <w:pStyle w:val="Judge"/>
        <w:jc w:val="center"/>
        <w:rPr>
          <w:b/>
          <w:bCs/>
          <w:color w:val="000000"/>
        </w:rPr>
      </w:pPr>
      <w:r>
        <w:rPr>
          <w:b/>
          <w:bCs/>
          <w:color w:val="000000"/>
        </w:rPr>
        <w:t>IN “PAPER-ONLY” PHASE OF GENERAL RATE CASE</w:t>
      </w:r>
    </w:p>
    <w:p w:rsidR="00926B2B" w:rsidP="0039331E">
      <w:pPr>
        <w:pStyle w:val="Judge"/>
        <w:jc w:val="center"/>
        <w:rPr>
          <w:b/>
          <w:bCs/>
          <w:color w:val="000000"/>
        </w:rPr>
      </w:pPr>
    </w:p>
    <w:p w:rsidR="00926B2B" w:rsidP="0039331E">
      <w:pPr>
        <w:pStyle w:val="Judge"/>
        <w:jc w:val="center"/>
        <w:rPr>
          <w:b/>
          <w:bCs/>
          <w:color w:val="000000"/>
        </w:rPr>
      </w:pPr>
      <w:r>
        <w:rPr>
          <w:b/>
          <w:bCs/>
          <w:color w:val="000000"/>
        </w:rPr>
        <w:t>FOR WASTE CONTROL, INC.</w:t>
      </w:r>
    </w:p>
    <w:p w:rsidR="00926B2B" w:rsidP="0039331E">
      <w:pPr>
        <w:pStyle w:val="Judge"/>
        <w:jc w:val="center"/>
        <w:rPr>
          <w:b/>
          <w:bCs/>
          <w:color w:val="000000"/>
        </w:rPr>
      </w:pPr>
    </w:p>
    <w:p w:rsidR="00926B2B" w:rsidP="0039331E">
      <w:pPr>
        <w:pStyle w:val="Judge"/>
        <w:jc w:val="center"/>
        <w:rPr>
          <w:b/>
          <w:bCs/>
          <w:color w:val="000000"/>
        </w:rPr>
      </w:pPr>
      <w:r>
        <w:rPr>
          <w:b/>
          <w:bCs/>
          <w:color w:val="000000"/>
        </w:rPr>
        <w:t>DOCKET NO. TG-140560</w:t>
      </w:r>
    </w:p>
    <w:p w:rsidR="00926B2B" w:rsidP="0039331E">
      <w:pPr>
        <w:pStyle w:val="Judge"/>
        <w:jc w:val="center"/>
        <w:rPr>
          <w:b/>
          <w:bCs/>
          <w:color w:val="000000"/>
        </w:rPr>
      </w:pPr>
    </w:p>
    <w:p w:rsidR="00606B13" w:rsidP="0039331E">
      <w:pPr>
        <w:pStyle w:val="Judge"/>
        <w:jc w:val="center"/>
        <w:rPr>
          <w:b/>
        </w:rPr>
      </w:pPr>
    </w:p>
    <w:p w:rsidR="0039331E" w:rsidRPr="009228F0" w:rsidP="00E9133C">
      <w:pPr>
        <w:pStyle w:val="TextAfterTitle"/>
        <w:jc w:val="center"/>
        <w:rPr>
          <w:b/>
        </w:rPr>
      </w:pPr>
      <w:r w:rsidRPr="009228F0">
        <w:rPr>
          <w:b/>
        </w:rPr>
        <w:t>NOVEMBER</w:t>
      </w:r>
      <w:r w:rsidRPr="009228F0" w:rsidR="00E9133C">
        <w:rPr>
          <w:b/>
        </w:rPr>
        <w:t xml:space="preserve"> </w:t>
      </w:r>
      <w:r w:rsidR="005E606E">
        <w:rPr>
          <w:b/>
        </w:rPr>
        <w:t>7</w:t>
      </w:r>
      <w:r w:rsidRPr="009228F0" w:rsidR="007353DA">
        <w:rPr>
          <w:b/>
        </w:rPr>
        <w:t>, 2014</w:t>
      </w:r>
    </w:p>
    <w:p w:rsidR="0039331E" w:rsidP="0039331E">
      <w:pPr>
        <w:pStyle w:val="Judge"/>
        <w:jc w:val="center"/>
      </w:pPr>
    </w:p>
    <w:p w:rsidR="0039331E" w:rsidP="0039331E">
      <w:pPr>
        <w:pStyle w:val="Judge"/>
        <w:jc w:val="center"/>
      </w:pPr>
    </w:p>
    <w:p w:rsidR="0039331E" w:rsidP="0039331E">
      <w:pPr>
        <w:pStyle w:val="Judge"/>
        <w:jc w:val="center"/>
      </w:pPr>
    </w:p>
    <w:p w:rsidR="0039331E" w:rsidRPr="009D1CD3" w:rsidP="0039331E">
      <w:pPr>
        <w:pStyle w:val="Judge"/>
        <w:jc w:val="center"/>
        <w:sectPr w:rsidSect="00C728A0">
          <w:headerReference w:type="even" r:id="rId5"/>
          <w:headerReference w:type="default" r:id="rId6"/>
          <w:footerReference w:type="even" r:id="rId7"/>
          <w:footerReference w:type="default" r:id="rId8"/>
          <w:headerReference w:type="first" r:id="rId9"/>
          <w:footerReference w:type="first" r:id="rId10"/>
          <w:pgSz w:w="12240" w:h="15840" w:code="1"/>
          <w:pgMar w:top="1440" w:right="1512" w:bottom="1440" w:left="1541" w:header="720" w:footer="1008" w:gutter="0"/>
          <w:paperSrc w:first="262" w:other="262"/>
          <w:cols w:space="720"/>
          <w:titlePg/>
          <w:docGrid w:linePitch="360"/>
        </w:sectPr>
      </w:pPr>
    </w:p>
    <w:p w:rsidR="0039331E" w:rsidP="002A2DA0">
      <w:pPr>
        <w:pStyle w:val="headingtitle"/>
      </w:pPr>
      <w:r w:rsidRPr="002A2DA0">
        <w:t>IDENTIFICATION OF WITNESS</w:t>
      </w:r>
    </w:p>
    <w:p w:rsidR="002A2DA0" w:rsidP="002A2DA0">
      <w:pPr>
        <w:pStyle w:val="QUESTION"/>
      </w:pPr>
      <w:r>
        <w:t>Q.</w:t>
      </w:r>
      <w:r>
        <w:tab/>
        <w:t>WOULD YOU PLEASE STATE YOUR NAME AND PROVIDE YOUR BUSINESS ADDRESS FOR THE RECORD?</w:t>
      </w:r>
    </w:p>
    <w:p w:rsidR="002A2DA0" w:rsidP="002A2DA0">
      <w:pPr>
        <w:pStyle w:val="Answer"/>
      </w:pPr>
      <w:r>
        <w:t>A.</w:t>
      </w:r>
      <w:r>
        <w:tab/>
        <w:t>Yes. My name is Layne Demas.  My business address is 3715 N. Proctor, Tacoma, WA 98407.</w:t>
      </w:r>
    </w:p>
    <w:p w:rsidR="002A2DA0" w:rsidP="002A2DA0">
      <w:pPr>
        <w:pStyle w:val="QUESTION"/>
      </w:pPr>
      <w:r>
        <w:t>q.</w:t>
      </w:r>
      <w:r>
        <w:tab/>
        <w:t>IS YOUR BACKGROUND, RELEVANT EXPERIENCE AND PURPOSE in submitting testimony in this record STILL THE SAME as that YOU SUBMITTED UNDER EXHIBIT LD-1T on august 20, 2014?</w:t>
      </w:r>
    </w:p>
    <w:p w:rsidR="002A2DA0" w:rsidP="002A2DA0">
      <w:pPr>
        <w:pStyle w:val="Answer"/>
      </w:pPr>
      <w:r>
        <w:t>A.</w:t>
      </w:r>
      <w:r>
        <w:tab/>
        <w:t>Yes it is.</w:t>
      </w:r>
    </w:p>
    <w:p w:rsidR="002A2DA0" w:rsidP="002A2DA0">
      <w:pPr>
        <w:pStyle w:val="headingtitle"/>
      </w:pPr>
      <w:r>
        <w:t>purpose of testimony</w:t>
      </w:r>
    </w:p>
    <w:p w:rsidR="002A2DA0" w:rsidRPr="002A2DA0" w:rsidP="002A2DA0">
      <w:pPr>
        <w:pStyle w:val="QUESTION"/>
      </w:pPr>
    </w:p>
    <w:p w:rsidR="002A2DA0" w:rsidP="002A2DA0">
      <w:pPr>
        <w:pStyle w:val="QUESTION"/>
      </w:pPr>
      <w:r>
        <w:t>q.</w:t>
      </w:r>
      <w:r>
        <w:tab/>
        <w:t>what is your purpose now in providing supplemental testimony in this record?</w:t>
      </w:r>
    </w:p>
    <w:p w:rsidR="002A2DA0" w:rsidP="002A2DA0">
      <w:pPr>
        <w:pStyle w:val="Answer"/>
      </w:pPr>
      <w:r>
        <w:t>A.</w:t>
      </w:r>
      <w:r w:rsidR="00AC50EB">
        <w:tab/>
        <w:t xml:space="preserve">To address discrete issues on one </w:t>
      </w:r>
      <w:r>
        <w:t>of the remaining contested adjustments in this matter that have not been resolved by the proposed partial settlement in this proceeding.</w:t>
      </w:r>
    </w:p>
    <w:p w:rsidR="002A2DA0" w:rsidRPr="002A2DA0" w:rsidP="002A2DA0">
      <w:pPr>
        <w:pStyle w:val="headingtitle"/>
      </w:pPr>
      <w:r w:rsidRPr="002A2DA0">
        <w:t>UTILITY COST ADJUSTMENT R-6D/COMPANY WITNESS VIEW</w:t>
      </w:r>
      <w:r>
        <w:t>s</w:t>
      </w:r>
    </w:p>
    <w:p w:rsidR="002A2DA0" w:rsidRPr="002A2DA0" w:rsidP="002A2DA0">
      <w:pPr>
        <w:pStyle w:val="QUESTION"/>
      </w:pPr>
    </w:p>
    <w:p w:rsidR="0039331E" w:rsidP="00733611">
      <w:pPr>
        <w:pStyle w:val="QUESTION"/>
      </w:pPr>
      <w:r w:rsidRPr="00A54D68">
        <w:t>Q.</w:t>
      </w:r>
      <w:r w:rsidRPr="00A54D68">
        <w:tab/>
      </w:r>
      <w:r>
        <w:t>DO YOU HAVE ADDITIONAL VIEWS ON THE STAFF’S TREATMENT OF UTILITY COSTS IN ITS ADJUSTMENT, R-6D, FOLLOWING PROPOSED RESOLUTION OF NUMEROUS OTHER CONTESTED ADJUSTMENTS?</w:t>
      </w:r>
    </w:p>
    <w:p w:rsidR="00825D39" w:rsidP="00825D39">
      <w:pPr>
        <w:pStyle w:val="Judge"/>
        <w:spacing w:line="240" w:lineRule="auto"/>
        <w:ind w:left="720" w:hanging="720"/>
        <w:jc w:val="left"/>
      </w:pPr>
    </w:p>
    <w:p w:rsidR="0039331E" w:rsidP="00733611">
      <w:pPr>
        <w:pStyle w:val="Answer"/>
      </w:pPr>
      <w:r>
        <w:t>A.</w:t>
      </w:r>
      <w:r>
        <w:tab/>
        <w:t xml:space="preserve">Yes.  My rebuttal testimony was and is directed to the land rents issue primarily, but it also obviously touched upon the attempted Kalama operations’ separation by the Staff.  The latter is now presumably resolved and the former issue is still strongly contested </w:t>
      </w:r>
      <w:r w:rsidR="00A45B16">
        <w:t xml:space="preserve">and </w:t>
      </w:r>
      <w:r w:rsidR="00AC50EB">
        <w:t xml:space="preserve">on </w:t>
      </w:r>
      <w:r>
        <w:t>which I have nothing further new to add to my previous testimony at Exhibit LD-1T, pp. 3-6, which I incorporate by reference</w:t>
      </w:r>
      <w:r w:rsidR="00AC50EB">
        <w:t>,</w:t>
      </w:r>
      <w:r>
        <w:t xml:space="preserve"> here.</w:t>
      </w:r>
    </w:p>
    <w:p w:rsidR="00694BA3" w:rsidP="00694BA3">
      <w:pPr>
        <w:pStyle w:val="QUESTION"/>
      </w:pPr>
      <w:r w:rsidRPr="00A54D68">
        <w:t>Q.</w:t>
      </w:r>
      <w:r w:rsidRPr="00A54D68">
        <w:tab/>
      </w:r>
      <w:r>
        <w:t>WHAT ABOUT UTILITY COSTS AND THE STAFF’S THREE-FACTOR ALLOCATION THEY PROPOSE IN THEIR CASE?  WHY DO YOU NOT AGREE WITH THAT APPROACH for utility expense allocation?</w:t>
      </w:r>
    </w:p>
    <w:p w:rsidR="00694BA3" w:rsidRPr="00694BA3" w:rsidP="00694BA3">
      <w:pPr>
        <w:pStyle w:val="QUESTION"/>
      </w:pPr>
    </w:p>
    <w:p w:rsidR="00694BA3" w:rsidP="00694BA3">
      <w:pPr>
        <w:pStyle w:val="Answer"/>
      </w:pPr>
      <w:r>
        <w:t>A.</w:t>
      </w:r>
      <w:r>
        <w:tab/>
        <w:t>My original rebuttal testimony on allocators critiquing the Staff approach beginning at LD-1T, p. 7 is all still pertinent to the attempted allocation of utility expenses by the Staff amongst various shared WCI and affiliate facilities.  Revenue and fixed asset net book values allocators are wrong for the reasons addressed there.  The number of employees as an allocator again does have value for certain fixed general and administrative (“G&amp;A”) overhead expenses, but is very inexact as an allocator criterion for variable expenses such as utility consumption costs.</w:t>
      </w:r>
    </w:p>
    <w:p w:rsidR="00694BA3" w:rsidP="00694BA3">
      <w:pPr>
        <w:pStyle w:val="QUESTION"/>
      </w:pPr>
      <w:r>
        <w:t>Q.</w:t>
      </w:r>
      <w:r>
        <w:tab/>
        <w:t>what flaws do you continue to observe in the staff’s recommended rendition of utility cost allocation here?</w:t>
      </w:r>
    </w:p>
    <w:p w:rsidR="00694BA3" w:rsidP="00694BA3">
      <w:pPr>
        <w:pStyle w:val="Answer"/>
      </w:pPr>
      <w:r>
        <w:t>A.</w:t>
      </w:r>
      <w:r>
        <w:tab/>
        <w:t>A number.  Even putting aside my dispute with their choice of allocators, I find several inconsistencies in their calculation method to attribute utility costs to WCI.  For instance, the Staff includes all the revenues, employees and net book asset values of all WCI and affiliate shared facilities, including 100% of Waste Control Recycling (“WCR”) in determining each Company’s allocator factor for its respective share of utility expense from the actual allocation formula, but then excludes from the actual utility allocation calculation most of the utility costs separately paid by WCR on its own.  This is an inconsistent approach.</w:t>
      </w:r>
    </w:p>
    <w:p w:rsidR="001E3887" w:rsidP="001E3887">
      <w:pPr>
        <w:pStyle w:val="QUESTION"/>
      </w:pPr>
      <w:r>
        <w:t>q.</w:t>
      </w:r>
      <w:r>
        <w:tab/>
        <w:t>how would you make this more consistent?</w:t>
      </w:r>
    </w:p>
    <w:p w:rsidR="001E3887" w:rsidP="001E3887">
      <w:pPr>
        <w:pStyle w:val="Answer"/>
      </w:pPr>
      <w:r>
        <w:t xml:space="preserve">A. </w:t>
      </w:r>
      <w:r>
        <w:tab/>
        <w:t xml:space="preserve">The Staff would need to remove/carve out revenue, employees and assets related to WCR’s independent operations in unshared facilities/physical plant which has not been attempted despite general provision to Staff of those costs.  WCR’s appropriate share of </w:t>
      </w:r>
      <w:r>
        <w:t>those costs has thus never been analyzed, let alone demonstrated by Staff’s utility expense allocator proposal.</w:t>
      </w:r>
    </w:p>
    <w:p w:rsidR="001E3887" w:rsidP="001E3887">
      <w:pPr>
        <w:pStyle w:val="QUESTION"/>
      </w:pPr>
      <w:r>
        <w:t>q.</w:t>
      </w:r>
      <w:r>
        <w:tab/>
        <w:t>what other factors would you allude to in improving the CONSISTENCY of the allocator factors used by staff to arrive at a supportable utility COST adjustment?</w:t>
      </w:r>
    </w:p>
    <w:p w:rsidR="001E3887" w:rsidRPr="001E3887" w:rsidP="001E3887">
      <w:pPr>
        <w:pStyle w:val="Answer"/>
      </w:pPr>
      <w:r>
        <w:t>A.</w:t>
      </w:r>
      <w:r>
        <w:tab/>
        <w:t xml:space="preserve">As I described at lines 9 and 10 of p. 7 of my rebuttal testimony, WCI and its affiliates have very different customer bases and operations and this creates obvious problems in allocating shared utility expenses when one assumes the businesses use of the buildings, and hence, consumption of utility expenses, are identical.  One such example would be generation of customer invoices.  Since Waste Control Equipment (“WCE”) issues a single invoice per municipal customer, it obviously consumes far less electricity in generating bills and applying and remitting payments than WCI, which has hundreds of individual customers.  Clearly, by that example, there would be no comparison in allocating utility expenses to generate and manage accounts receivable and payables for WCI versus WCE.  This is just one example of the over-simplification and </w:t>
      </w:r>
      <w:r w:rsidR="00A6680F">
        <w:t>under</w:t>
      </w:r>
      <w:r>
        <w:t>statement of utility expenses to the nonregulated affiliates wrought by Staff’s broad-brush “Three-Factor Allocators” for utility expenses.</w:t>
      </w:r>
    </w:p>
    <w:p w:rsidR="00EE3C94" w:rsidP="004C2F9B">
      <w:pPr>
        <w:pStyle w:val="QUESTION"/>
      </w:pPr>
      <w:r>
        <w:t>Q.</w:t>
      </w:r>
      <w:r>
        <w:tab/>
      </w:r>
      <w:r w:rsidR="00531F5F">
        <w:t xml:space="preserve">would the company </w:t>
      </w:r>
      <w:r w:rsidR="00A6680F">
        <w:t xml:space="preserve">however, </w:t>
      </w:r>
      <w:r w:rsidR="00531F5F">
        <w:t>accept the staff “three-factor allocation” methodology for utility costs to resolve the adjustment now</w:t>
      </w:r>
      <w:r w:rsidRPr="0014767C">
        <w:t>?</w:t>
      </w:r>
    </w:p>
    <w:p w:rsidR="00D829AB" w:rsidP="00553C25">
      <w:pPr>
        <w:pStyle w:val="Answer"/>
      </w:pPr>
      <w:r>
        <w:t>A.</w:t>
      </w:r>
      <w:r>
        <w:tab/>
        <w:t xml:space="preserve">Yes, </w:t>
      </w:r>
      <w:r w:rsidR="00531F5F">
        <w:t xml:space="preserve">but only </w:t>
      </w:r>
      <w:r w:rsidR="00F424FC">
        <w:t xml:space="preserve">on </w:t>
      </w:r>
      <w:r>
        <w:t xml:space="preserve">the condition that all </w:t>
      </w:r>
      <w:r w:rsidR="0043659A">
        <w:t xml:space="preserve">WCR </w:t>
      </w:r>
      <w:r>
        <w:t xml:space="preserve">utility expenses </w:t>
      </w:r>
      <w:r w:rsidR="00F424FC">
        <w:t xml:space="preserve">be </w:t>
      </w:r>
      <w:r>
        <w:t>included in the allocation process.</w:t>
      </w:r>
    </w:p>
    <w:p w:rsidR="004C2F9B" w:rsidP="00553C25">
      <w:pPr>
        <w:pStyle w:val="QUESTION"/>
      </w:pPr>
    </w:p>
    <w:p w:rsidR="004C2F9B" w:rsidP="00553C25">
      <w:pPr>
        <w:pStyle w:val="QUESTION"/>
      </w:pPr>
    </w:p>
    <w:p w:rsidR="00D829AB" w:rsidP="00FD174A">
      <w:pPr>
        <w:pStyle w:val="QUESTION"/>
        <w:keepNext/>
      </w:pPr>
      <w:r>
        <w:t>Q.</w:t>
      </w:r>
      <w:r>
        <w:tab/>
        <w:t>WHY IS THAT?</w:t>
      </w:r>
    </w:p>
    <w:p w:rsidR="004C2F9B" w:rsidRPr="008A359F" w:rsidP="00C45244">
      <w:pPr>
        <w:pStyle w:val="Answer"/>
      </w:pPr>
      <w:r>
        <w:t>A.</w:t>
      </w:r>
      <w:r>
        <w:tab/>
      </w:r>
      <w:r>
        <w:t xml:space="preserve">As the Company has </w:t>
      </w:r>
      <w:r w:rsidR="00F424FC">
        <w:t>observed</w:t>
      </w:r>
      <w:r>
        <w:t xml:space="preserve">, WCR (Waste Control Recycling) has some of its own independent operations and locations wholly apart physically and operationally from WCI. In any attempt to allocate total company utility costs, it would be inappropriate to exclude from the aggregate amount of Waste Control total company utility costs those separate facility utility costs, which is what the Staff has done in its accounting adjustment rendition </w:t>
      </w:r>
      <w:r w:rsidR="00F424FC">
        <w:t xml:space="preserve">for </w:t>
      </w:r>
      <w:r>
        <w:t>utility cost allocations.  In other words, in its “three-factor allocation” formula, the Staff has applied its percentage factor to a reduced aggregate utility expense figure which excludes those facilities operated by Waste Control Recycling</w:t>
      </w:r>
      <w:r w:rsidR="00F424FC">
        <w:t>,</w:t>
      </w:r>
      <w:r>
        <w:t xml:space="preserve"> exclusively.  Obviously, any allocated formula must instead include an accurate aggregate denominator of total </w:t>
      </w:r>
      <w:r w:rsidR="00A6680F">
        <w:t xml:space="preserve">utility </w:t>
      </w:r>
      <w:r>
        <w:t>costs in order to appropriately arrive</w:t>
      </w:r>
      <w:r w:rsidRPr="008A359F">
        <w:t xml:space="preserve"> </w:t>
      </w:r>
      <w:r w:rsidR="002D0022">
        <w:t xml:space="preserve">at an allocated </w:t>
      </w:r>
      <w:r>
        <w:t>percentage of costs incurred by the regulated company.  Under the Staff's current approach</w:t>
      </w:r>
      <w:r w:rsidRPr="008A359F">
        <w:t xml:space="preserve"> </w:t>
      </w:r>
      <w:r w:rsidR="00F424FC">
        <w:t xml:space="preserve">to </w:t>
      </w:r>
      <w:r>
        <w:t>utility cost allocation by numbers of employees, revenue and net investment</w:t>
      </w:r>
      <w:r w:rsidR="00CC5284">
        <w:t xml:space="preserve"> (Exhibit MC-7)</w:t>
      </w:r>
      <w:r>
        <w:t>, you would similarly need to artificially reduce employee numbers, revenue and net investment amounts if you were going to exclude the cost of utilities consumed exclusively by WCR</w:t>
      </w:r>
      <w:r w:rsidR="00C45244">
        <w:t xml:space="preserve"> to be consistent</w:t>
      </w:r>
      <w:r>
        <w:t xml:space="preserve">.  </w:t>
      </w:r>
      <w:r w:rsidR="00A6680F">
        <w:t>As noted, t</w:t>
      </w:r>
      <w:r>
        <w:t xml:space="preserve">he result of the current Staff formula application is to seriously </w:t>
      </w:r>
      <w:r w:rsidR="00A62DC3">
        <w:t xml:space="preserve">overallocate </w:t>
      </w:r>
      <w:r>
        <w:t xml:space="preserve">the aggregate utility expense and percentage allocated to WCR by ignoring </w:t>
      </w:r>
      <w:r w:rsidR="00A62DC3">
        <w:t xml:space="preserve">utility </w:t>
      </w:r>
      <w:r>
        <w:t>costs incurred exclusively by it</w:t>
      </w:r>
      <w:r w:rsidR="00A62DC3">
        <w:t xml:space="preserve"> yet including 100% of its operations in the allocating formula</w:t>
      </w:r>
      <w:r>
        <w:t xml:space="preserve">.  This, of course, then skews the utility expense allocation factor </w:t>
      </w:r>
      <w:r w:rsidR="00A62DC3">
        <w:t xml:space="preserve">lower </w:t>
      </w:r>
      <w:r>
        <w:t xml:space="preserve">for WCI and WCE and results in an inaccurate </w:t>
      </w:r>
      <w:r w:rsidR="00A6680F">
        <w:t>conclusion</w:t>
      </w:r>
      <w:r w:rsidR="004F68D8">
        <w:t>,</w:t>
      </w:r>
      <w:r w:rsidR="00A6680F">
        <w:t xml:space="preserve"> </w:t>
      </w:r>
      <w:r>
        <w:t>even under the Staff’s own three-allocator formula application.</w:t>
      </w:r>
    </w:p>
    <w:p w:rsidR="00CC0B62" w:rsidRPr="00C57D61" w:rsidP="002B37FD">
      <w:pPr>
        <w:pStyle w:val="QUESTION"/>
      </w:pPr>
      <w:r>
        <w:t xml:space="preserve">  </w:t>
      </w:r>
      <w:r w:rsidRPr="00C57D61">
        <w:t>Q.</w:t>
      </w:r>
      <w:r w:rsidRPr="00C57D61">
        <w:tab/>
      </w:r>
      <w:r w:rsidR="00F424FC">
        <w:t>do you have some illustrations of these points?</w:t>
      </w:r>
      <w:r w:rsidRPr="00C57D61">
        <w:t xml:space="preserve">  </w:t>
      </w:r>
    </w:p>
    <w:p w:rsidR="00CC0B62" w:rsidP="00553C25">
      <w:pPr>
        <w:pStyle w:val="Answer"/>
      </w:pPr>
      <w:r>
        <w:t>A.</w:t>
      </w:r>
      <w:r>
        <w:tab/>
      </w:r>
      <w:r w:rsidR="00A6680F">
        <w:t xml:space="preserve">Yes.  </w:t>
      </w:r>
      <w:r w:rsidR="00CC5284">
        <w:t>Below is a listing of al</w:t>
      </w:r>
      <w:r w:rsidR="00CE0FA0">
        <w:t>l</w:t>
      </w:r>
      <w:r w:rsidR="00CC5284">
        <w:t xml:space="preserve"> WCI and WCR properties by location and the current</w:t>
      </w:r>
      <w:r w:rsidR="00F424FC">
        <w:t xml:space="preserve"> </w:t>
      </w:r>
      <w:r w:rsidR="0043692A">
        <w:t xml:space="preserve">utility expense allocations </w:t>
      </w:r>
      <w:r w:rsidR="00A6680F">
        <w:t xml:space="preserve">proposed </w:t>
      </w:r>
      <w:r w:rsidR="0043692A">
        <w:t>by Company and by Staff:</w:t>
      </w:r>
    </w:p>
    <w:tbl>
      <w:tblPr>
        <w:tblStyle w:val="TableGrid"/>
        <w:tblpPr w:leftFromText="180" w:rightFromText="180" w:vertAnchor="text" w:horzAnchor="margin" w:tblpXSpec="center" w:tblpY="454"/>
        <w:tblW w:w="0" w:type="auto"/>
        <w:tblCellMar>
          <w:left w:w="115" w:type="dxa"/>
          <w:right w:w="115" w:type="dxa"/>
        </w:tblCellMar>
        <w:tblLook w:val="04A0"/>
      </w:tblPr>
      <w:tblGrid>
        <w:gridCol w:w="3805"/>
        <w:gridCol w:w="2250"/>
        <w:gridCol w:w="2070"/>
      </w:tblGrid>
      <w:tr w:rsidTr="00CC5284">
        <w:tblPrEx>
          <w:tblW w:w="0" w:type="auto"/>
          <w:tblCellMar>
            <w:left w:w="115" w:type="dxa"/>
            <w:right w:w="115" w:type="dxa"/>
          </w:tblCellMar>
          <w:tblLook w:val="04A0"/>
        </w:tblPrEx>
        <w:trPr>
          <w:cantSplit/>
          <w:trHeight w:val="720"/>
        </w:trPr>
        <w:tc>
          <w:tcPr>
            <w:tcW w:w="8125" w:type="dxa"/>
            <w:gridSpan w:val="3"/>
            <w:tcBorders>
              <w:top w:val="nil"/>
              <w:left w:val="nil"/>
              <w:bottom w:val="single" w:sz="4" w:space="0" w:color="auto"/>
              <w:right w:val="nil"/>
            </w:tcBorders>
          </w:tcPr>
          <w:p w:rsidR="0043692A" w:rsidRPr="0043692A" w:rsidP="00CC5284">
            <w:pPr>
              <w:pStyle w:val="Judge"/>
              <w:spacing w:line="240" w:lineRule="auto"/>
              <w:jc w:val="center"/>
              <w:rPr>
                <w:b/>
                <w:bCs/>
                <w:color w:val="000000"/>
                <w:u w:val="single"/>
              </w:rPr>
            </w:pPr>
            <w:r w:rsidRPr="0043692A">
              <w:rPr>
                <w:b/>
                <w:bCs/>
                <w:color w:val="000000"/>
                <w:u w:val="single"/>
              </w:rPr>
              <w:t xml:space="preserve">Table 1  </w:t>
            </w:r>
          </w:p>
          <w:p w:rsidR="00553C25" w:rsidRPr="0043692A" w:rsidP="00CC5284">
            <w:pPr>
              <w:pStyle w:val="Judge"/>
              <w:spacing w:line="240" w:lineRule="auto"/>
              <w:jc w:val="center"/>
            </w:pPr>
            <w:r w:rsidRPr="0043692A">
              <w:rPr>
                <w:b/>
                <w:bCs/>
                <w:color w:val="000000"/>
              </w:rPr>
              <w:t>Compilation of Test Year Utility Expenses by Location</w:t>
            </w:r>
          </w:p>
        </w:tc>
      </w:tr>
      <w:tr w:rsidTr="00C3607B">
        <w:tblPrEx>
          <w:tblW w:w="0" w:type="auto"/>
          <w:tblCellMar>
            <w:left w:w="115" w:type="dxa"/>
            <w:right w:w="115" w:type="dxa"/>
          </w:tblCellMar>
          <w:tblLook w:val="04A0"/>
        </w:tblPrEx>
        <w:trPr>
          <w:cantSplit/>
          <w:trHeight w:val="677"/>
        </w:trPr>
        <w:tc>
          <w:tcPr>
            <w:tcW w:w="3805" w:type="dxa"/>
            <w:tcBorders>
              <w:top w:val="single" w:sz="4" w:space="0" w:color="auto"/>
            </w:tcBorders>
          </w:tcPr>
          <w:p w:rsidR="00553C25" w:rsidRPr="00CC5284" w:rsidP="00CC5284">
            <w:pPr>
              <w:pStyle w:val="Judge"/>
              <w:spacing w:line="240" w:lineRule="auto"/>
              <w:jc w:val="left"/>
              <w:rPr>
                <w:b/>
                <w:bCs/>
                <w:color w:val="000000"/>
              </w:rPr>
            </w:pPr>
            <w:r w:rsidRPr="00CC5284">
              <w:rPr>
                <w:b/>
                <w:bCs/>
                <w:color w:val="000000"/>
              </w:rPr>
              <w:t>Property Description and Company</w:t>
            </w:r>
            <w:r w:rsidR="00A6680F">
              <w:rPr>
                <w:b/>
                <w:bCs/>
                <w:color w:val="000000"/>
              </w:rPr>
              <w:t xml:space="preserve"> Occupant</w:t>
            </w:r>
          </w:p>
        </w:tc>
        <w:tc>
          <w:tcPr>
            <w:tcW w:w="2250" w:type="dxa"/>
            <w:tcBorders>
              <w:top w:val="single" w:sz="4" w:space="0" w:color="auto"/>
            </w:tcBorders>
          </w:tcPr>
          <w:p w:rsidR="00553C25" w:rsidRPr="0043692A" w:rsidP="0043692A">
            <w:pPr>
              <w:pStyle w:val="Judge"/>
              <w:spacing w:line="240" w:lineRule="auto"/>
              <w:jc w:val="left"/>
              <w:rPr>
                <w:b/>
              </w:rPr>
            </w:pPr>
            <w:r w:rsidRPr="0043692A">
              <w:rPr>
                <w:b/>
              </w:rPr>
              <w:t>Company Annual Utility Expense</w:t>
            </w:r>
          </w:p>
        </w:tc>
        <w:tc>
          <w:tcPr>
            <w:tcW w:w="2070" w:type="dxa"/>
            <w:tcBorders>
              <w:top w:val="single" w:sz="4" w:space="0" w:color="auto"/>
            </w:tcBorders>
          </w:tcPr>
          <w:p w:rsidR="00553C25" w:rsidRPr="00CC5284" w:rsidP="00CC5284">
            <w:pPr>
              <w:pStyle w:val="Judge"/>
              <w:spacing w:line="240" w:lineRule="auto"/>
              <w:jc w:val="left"/>
            </w:pPr>
            <w:r w:rsidRPr="00CC5284">
              <w:rPr>
                <w:b/>
                <w:bCs/>
                <w:color w:val="000000"/>
              </w:rPr>
              <w:t xml:space="preserve">Amounts </w:t>
            </w:r>
            <w:r w:rsidRPr="00CC5284">
              <w:rPr>
                <w:b/>
                <w:bCs/>
                <w:color w:val="000000"/>
              </w:rPr>
              <w:t>Allowed by Staff</w:t>
            </w:r>
          </w:p>
        </w:tc>
      </w:tr>
      <w:tr w:rsidTr="00C3607B">
        <w:tblPrEx>
          <w:tblW w:w="0" w:type="auto"/>
          <w:tblCellMar>
            <w:left w:w="115" w:type="dxa"/>
            <w:right w:w="115" w:type="dxa"/>
          </w:tblCellMar>
          <w:tblLook w:val="04A0"/>
        </w:tblPrEx>
        <w:tc>
          <w:tcPr>
            <w:tcW w:w="3805" w:type="dxa"/>
          </w:tcPr>
          <w:p w:rsidR="00553C25" w:rsidRPr="00CC5284" w:rsidP="00553C25">
            <w:pPr>
              <w:pStyle w:val="Judge"/>
              <w:spacing w:line="480" w:lineRule="exact"/>
              <w:jc w:val="left"/>
              <w:rPr>
                <w:b/>
                <w:bCs/>
                <w:color w:val="000000"/>
              </w:rPr>
            </w:pPr>
            <w:r w:rsidRPr="00CC5284">
              <w:rPr>
                <w:b/>
                <w:bCs/>
                <w:color w:val="000000"/>
              </w:rPr>
              <w:t>WCI</w:t>
            </w:r>
          </w:p>
        </w:tc>
        <w:tc>
          <w:tcPr>
            <w:tcW w:w="2250" w:type="dxa"/>
          </w:tcPr>
          <w:p w:rsidR="00553C25" w:rsidRPr="00EE3C94" w:rsidP="00553C25">
            <w:pPr>
              <w:pStyle w:val="Judge"/>
              <w:spacing w:line="480" w:lineRule="exact"/>
              <w:jc w:val="left"/>
            </w:pPr>
          </w:p>
        </w:tc>
        <w:tc>
          <w:tcPr>
            <w:tcW w:w="2070" w:type="dxa"/>
          </w:tcPr>
          <w:p w:rsidR="00553C25" w:rsidP="00553C25">
            <w:pPr>
              <w:pStyle w:val="Judge"/>
              <w:spacing w:line="480" w:lineRule="exact"/>
              <w:jc w:val="left"/>
            </w:pPr>
          </w:p>
        </w:tc>
      </w:tr>
      <w:tr w:rsidTr="00C3607B">
        <w:tblPrEx>
          <w:tblW w:w="0" w:type="auto"/>
          <w:tblCellMar>
            <w:left w:w="115" w:type="dxa"/>
            <w:right w:w="115" w:type="dxa"/>
          </w:tblCellMar>
          <w:tblLook w:val="04A0"/>
        </w:tblPrEx>
        <w:tc>
          <w:tcPr>
            <w:tcW w:w="3805" w:type="dxa"/>
          </w:tcPr>
          <w:p w:rsidR="00553C25" w:rsidRPr="0043692A" w:rsidP="00553C25">
            <w:pPr>
              <w:pStyle w:val="Judge"/>
              <w:spacing w:line="480" w:lineRule="exact"/>
              <w:jc w:val="left"/>
            </w:pPr>
            <w:r w:rsidRPr="0043692A">
              <w:rPr>
                <w:b/>
                <w:bCs/>
                <w:color w:val="000000"/>
              </w:rPr>
              <w:t>950 3rd Ave Longview 98632</w:t>
            </w:r>
          </w:p>
        </w:tc>
        <w:tc>
          <w:tcPr>
            <w:tcW w:w="2250" w:type="dxa"/>
          </w:tcPr>
          <w:p w:rsidR="00553C25" w:rsidRPr="0043692A" w:rsidP="00C3607B">
            <w:pPr>
              <w:pStyle w:val="Judge"/>
              <w:spacing w:line="480" w:lineRule="exact"/>
            </w:pPr>
            <w:r w:rsidRPr="0043692A">
              <w:t>$  1,365.69</w:t>
            </w:r>
          </w:p>
        </w:tc>
        <w:tc>
          <w:tcPr>
            <w:tcW w:w="2070" w:type="dxa"/>
          </w:tcPr>
          <w:p w:rsidR="00553C25" w:rsidRPr="0043692A" w:rsidP="00C3607B">
            <w:pPr>
              <w:pStyle w:val="Judge"/>
              <w:spacing w:line="480" w:lineRule="exact"/>
            </w:pPr>
            <w:r w:rsidRPr="0043692A">
              <w:t>$ 1,365.69</w:t>
            </w:r>
          </w:p>
        </w:tc>
      </w:tr>
      <w:tr w:rsidTr="00C3607B">
        <w:tblPrEx>
          <w:tblW w:w="0" w:type="auto"/>
          <w:tblCellMar>
            <w:left w:w="115" w:type="dxa"/>
            <w:right w:w="115" w:type="dxa"/>
          </w:tblCellMar>
          <w:tblLook w:val="04A0"/>
        </w:tblPrEx>
        <w:trPr>
          <w:trHeight w:val="530"/>
        </w:trPr>
        <w:tc>
          <w:tcPr>
            <w:tcW w:w="3805" w:type="dxa"/>
          </w:tcPr>
          <w:p w:rsidR="00553C25" w:rsidRPr="0043692A" w:rsidP="00553C25">
            <w:pPr>
              <w:rPr>
                <w:b/>
                <w:bCs/>
                <w:color w:val="000000"/>
                <w:szCs w:val="24"/>
              </w:rPr>
            </w:pPr>
            <w:r w:rsidRPr="0043692A">
              <w:rPr>
                <w:b/>
                <w:bCs/>
                <w:color w:val="000000"/>
                <w:szCs w:val="24"/>
              </w:rPr>
              <w:t>1150 3rd Ave Longview 98632</w:t>
            </w:r>
          </w:p>
          <w:p w:rsidR="00553C25" w:rsidRPr="0043692A" w:rsidP="0043692A">
            <w:pPr>
              <w:rPr>
                <w:bCs/>
                <w:color w:val="000000"/>
                <w:sz w:val="20"/>
              </w:rPr>
            </w:pPr>
            <w:r w:rsidRPr="0043692A">
              <w:rPr>
                <w:bCs/>
                <w:color w:val="000000"/>
                <w:sz w:val="20"/>
              </w:rPr>
              <w:t>(Wash Bay/TS Booths/Office Parking Lot)</w:t>
            </w:r>
          </w:p>
        </w:tc>
        <w:tc>
          <w:tcPr>
            <w:tcW w:w="2250" w:type="dxa"/>
          </w:tcPr>
          <w:p w:rsidR="00553C25" w:rsidRPr="0043692A" w:rsidP="00C3607B">
            <w:pPr>
              <w:jc w:val="right"/>
              <w:rPr>
                <w:bCs/>
                <w:color w:val="000000"/>
                <w:szCs w:val="24"/>
              </w:rPr>
            </w:pPr>
            <w:r w:rsidRPr="0043692A">
              <w:rPr>
                <w:bCs/>
                <w:color w:val="000000"/>
                <w:szCs w:val="24"/>
              </w:rPr>
              <w:t xml:space="preserve">  10,483.24</w:t>
            </w:r>
          </w:p>
          <w:p w:rsidR="00553C25" w:rsidRPr="0043692A" w:rsidP="00C3607B">
            <w:pPr>
              <w:jc w:val="right"/>
              <w:rPr>
                <w:bCs/>
                <w:color w:val="000000"/>
                <w:szCs w:val="24"/>
              </w:rPr>
            </w:pPr>
          </w:p>
          <w:p w:rsidR="00553C25" w:rsidRPr="0043692A" w:rsidP="00C3607B">
            <w:pPr>
              <w:jc w:val="right"/>
              <w:rPr>
                <w:bCs/>
                <w:color w:val="000000"/>
                <w:szCs w:val="24"/>
              </w:rPr>
            </w:pPr>
          </w:p>
        </w:tc>
        <w:tc>
          <w:tcPr>
            <w:tcW w:w="2070" w:type="dxa"/>
          </w:tcPr>
          <w:p w:rsidR="00553C25" w:rsidRPr="0043692A" w:rsidP="00C3607B">
            <w:pPr>
              <w:jc w:val="right"/>
              <w:rPr>
                <w:bCs/>
                <w:color w:val="000000"/>
                <w:szCs w:val="24"/>
              </w:rPr>
            </w:pPr>
            <w:r w:rsidRPr="0043692A">
              <w:rPr>
                <w:bCs/>
                <w:color w:val="000000"/>
                <w:szCs w:val="24"/>
              </w:rPr>
              <w:t xml:space="preserve"> 10,483.24</w:t>
            </w:r>
          </w:p>
          <w:p w:rsidR="00553C25" w:rsidRPr="0043692A" w:rsidP="00C3607B">
            <w:pPr>
              <w:jc w:val="right"/>
              <w:rPr>
                <w:bCs/>
                <w:color w:val="000000"/>
                <w:szCs w:val="24"/>
              </w:rPr>
            </w:pPr>
          </w:p>
          <w:p w:rsidR="00553C25" w:rsidRPr="0043692A" w:rsidP="00C3607B">
            <w:pPr>
              <w:jc w:val="right"/>
              <w:rPr>
                <w:bCs/>
                <w:color w:val="000000"/>
                <w:szCs w:val="24"/>
              </w:rPr>
            </w:pPr>
          </w:p>
        </w:tc>
      </w:tr>
      <w:tr w:rsidTr="00C3607B">
        <w:tblPrEx>
          <w:tblW w:w="0" w:type="auto"/>
          <w:tblCellMar>
            <w:left w:w="115" w:type="dxa"/>
            <w:right w:w="115" w:type="dxa"/>
          </w:tblCellMar>
          <w:tblLook w:val="04A0"/>
        </w:tblPrEx>
        <w:trPr>
          <w:trHeight w:val="521"/>
        </w:trPr>
        <w:tc>
          <w:tcPr>
            <w:tcW w:w="3805" w:type="dxa"/>
          </w:tcPr>
          <w:p w:rsidR="00553C25" w:rsidRPr="0043692A" w:rsidP="00553C25">
            <w:pPr>
              <w:rPr>
                <w:b/>
                <w:bCs/>
                <w:color w:val="000000"/>
                <w:szCs w:val="24"/>
              </w:rPr>
            </w:pPr>
            <w:r w:rsidRPr="0043692A">
              <w:rPr>
                <w:b/>
                <w:bCs/>
                <w:color w:val="000000"/>
                <w:szCs w:val="24"/>
              </w:rPr>
              <w:t xml:space="preserve">1150 3rd Ave Longview 98632 </w:t>
            </w:r>
          </w:p>
          <w:p w:rsidR="00553C25" w:rsidRPr="0043692A" w:rsidP="00553C25">
            <w:pPr>
              <w:rPr>
                <w:bCs/>
                <w:color w:val="000000"/>
                <w:sz w:val="20"/>
              </w:rPr>
            </w:pPr>
            <w:r w:rsidRPr="0043692A">
              <w:rPr>
                <w:bCs/>
                <w:color w:val="000000"/>
                <w:sz w:val="20"/>
              </w:rPr>
              <w:t>(Main Office Building &amp; Shop)</w:t>
            </w:r>
          </w:p>
        </w:tc>
        <w:tc>
          <w:tcPr>
            <w:tcW w:w="2250" w:type="dxa"/>
          </w:tcPr>
          <w:p w:rsidR="00553C25" w:rsidRPr="0043692A" w:rsidP="00C3607B">
            <w:pPr>
              <w:pStyle w:val="Judge"/>
              <w:spacing w:line="480" w:lineRule="exact"/>
            </w:pPr>
            <w:r w:rsidRPr="0043692A">
              <w:t xml:space="preserve">  20,067.54</w:t>
            </w:r>
          </w:p>
        </w:tc>
        <w:tc>
          <w:tcPr>
            <w:tcW w:w="2070" w:type="dxa"/>
          </w:tcPr>
          <w:p w:rsidR="00553C25" w:rsidRPr="0043692A" w:rsidP="00C3607B">
            <w:pPr>
              <w:pStyle w:val="Judge"/>
              <w:spacing w:line="480" w:lineRule="exact"/>
            </w:pPr>
            <w:r w:rsidRPr="0043692A">
              <w:t xml:space="preserve"> 20,067.54</w:t>
            </w:r>
          </w:p>
        </w:tc>
      </w:tr>
      <w:tr w:rsidTr="00C3607B">
        <w:tblPrEx>
          <w:tblW w:w="0" w:type="auto"/>
          <w:tblCellMar>
            <w:left w:w="115" w:type="dxa"/>
            <w:right w:w="115" w:type="dxa"/>
          </w:tblCellMar>
          <w:tblLook w:val="04A0"/>
        </w:tblPrEx>
        <w:tc>
          <w:tcPr>
            <w:tcW w:w="3805" w:type="dxa"/>
          </w:tcPr>
          <w:p w:rsidR="00553C25" w:rsidRPr="0043692A" w:rsidP="00553C25">
            <w:pPr>
              <w:pStyle w:val="Judge"/>
              <w:spacing w:line="480" w:lineRule="exact"/>
              <w:jc w:val="left"/>
            </w:pPr>
            <w:r w:rsidRPr="0043692A">
              <w:rPr>
                <w:b/>
                <w:bCs/>
                <w:color w:val="000000"/>
              </w:rPr>
              <w:t>1152 River RD Longview 98632</w:t>
            </w:r>
          </w:p>
        </w:tc>
        <w:tc>
          <w:tcPr>
            <w:tcW w:w="2250" w:type="dxa"/>
          </w:tcPr>
          <w:p w:rsidR="00553C25" w:rsidRPr="0043692A" w:rsidP="00C3607B">
            <w:pPr>
              <w:pStyle w:val="Judge"/>
              <w:spacing w:line="480" w:lineRule="exact"/>
            </w:pPr>
            <w:r w:rsidRPr="0043692A">
              <w:t xml:space="preserve">  27,906.60</w:t>
            </w:r>
          </w:p>
        </w:tc>
        <w:tc>
          <w:tcPr>
            <w:tcW w:w="2070" w:type="dxa"/>
          </w:tcPr>
          <w:p w:rsidR="00553C25" w:rsidRPr="0043692A" w:rsidP="00C3607B">
            <w:pPr>
              <w:pStyle w:val="Judge"/>
              <w:spacing w:line="480" w:lineRule="exact"/>
            </w:pPr>
            <w:r w:rsidRPr="0043692A">
              <w:t xml:space="preserve"> 27,906.60</w:t>
            </w:r>
          </w:p>
        </w:tc>
      </w:tr>
      <w:tr w:rsidTr="00C3607B">
        <w:tblPrEx>
          <w:tblW w:w="0" w:type="auto"/>
          <w:tblCellMar>
            <w:left w:w="115" w:type="dxa"/>
            <w:right w:w="115" w:type="dxa"/>
          </w:tblCellMar>
          <w:tblLook w:val="04A0"/>
        </w:tblPrEx>
        <w:tc>
          <w:tcPr>
            <w:tcW w:w="3805" w:type="dxa"/>
          </w:tcPr>
          <w:p w:rsidR="00553C25" w:rsidRPr="0043692A" w:rsidP="00553C25">
            <w:pPr>
              <w:pStyle w:val="Judge"/>
              <w:spacing w:line="480" w:lineRule="exact"/>
              <w:jc w:val="left"/>
            </w:pPr>
            <w:r w:rsidRPr="0043692A">
              <w:rPr>
                <w:b/>
                <w:bCs/>
                <w:color w:val="000000"/>
              </w:rPr>
              <w:t>WCR</w:t>
            </w:r>
          </w:p>
        </w:tc>
        <w:tc>
          <w:tcPr>
            <w:tcW w:w="2250" w:type="dxa"/>
          </w:tcPr>
          <w:p w:rsidR="00553C25" w:rsidRPr="0043692A" w:rsidP="00C3607B">
            <w:pPr>
              <w:pStyle w:val="Judge"/>
              <w:spacing w:line="480" w:lineRule="exact"/>
            </w:pPr>
          </w:p>
        </w:tc>
        <w:tc>
          <w:tcPr>
            <w:tcW w:w="2070" w:type="dxa"/>
          </w:tcPr>
          <w:p w:rsidR="00553C25" w:rsidRPr="0043692A" w:rsidP="00C3607B">
            <w:pPr>
              <w:pStyle w:val="Judge"/>
              <w:spacing w:line="480" w:lineRule="exact"/>
            </w:pPr>
          </w:p>
        </w:tc>
      </w:tr>
      <w:tr w:rsidTr="00C3607B">
        <w:tblPrEx>
          <w:tblW w:w="0" w:type="auto"/>
          <w:tblCellMar>
            <w:left w:w="115" w:type="dxa"/>
            <w:right w:w="115" w:type="dxa"/>
          </w:tblCellMar>
          <w:tblLook w:val="04A0"/>
        </w:tblPrEx>
        <w:tc>
          <w:tcPr>
            <w:tcW w:w="3805" w:type="dxa"/>
          </w:tcPr>
          <w:p w:rsidR="00553C25" w:rsidRPr="0043692A" w:rsidP="00553C25">
            <w:pPr>
              <w:pStyle w:val="Judge"/>
              <w:spacing w:line="480" w:lineRule="exact"/>
              <w:jc w:val="left"/>
            </w:pPr>
            <w:r w:rsidRPr="0043692A">
              <w:rPr>
                <w:b/>
                <w:bCs/>
                <w:color w:val="000000"/>
              </w:rPr>
              <w:t>1152 River Rd</w:t>
            </w:r>
          </w:p>
        </w:tc>
        <w:tc>
          <w:tcPr>
            <w:tcW w:w="2250" w:type="dxa"/>
          </w:tcPr>
          <w:p w:rsidR="00553C25" w:rsidRPr="0043692A" w:rsidP="00C3607B">
            <w:pPr>
              <w:pStyle w:val="Judge"/>
              <w:spacing w:line="480" w:lineRule="exact"/>
            </w:pPr>
            <w:r w:rsidRPr="0043692A">
              <w:t xml:space="preserve">  20,156.02</w:t>
            </w:r>
          </w:p>
        </w:tc>
        <w:tc>
          <w:tcPr>
            <w:tcW w:w="2070" w:type="dxa"/>
          </w:tcPr>
          <w:p w:rsidR="00553C25"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1154 River Rd</w:t>
            </w:r>
          </w:p>
        </w:tc>
        <w:tc>
          <w:tcPr>
            <w:tcW w:w="2250" w:type="dxa"/>
          </w:tcPr>
          <w:p w:rsidR="00C3607B" w:rsidRPr="0043692A" w:rsidP="00C3607B">
            <w:pPr>
              <w:pStyle w:val="Judge"/>
              <w:spacing w:line="480" w:lineRule="exact"/>
            </w:pPr>
            <w:r w:rsidRPr="0043692A">
              <w:t xml:space="preserve">  29,161.01</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1154 River Rd</w:t>
            </w:r>
          </w:p>
        </w:tc>
        <w:tc>
          <w:tcPr>
            <w:tcW w:w="2250" w:type="dxa"/>
          </w:tcPr>
          <w:p w:rsidR="00C3607B" w:rsidRPr="0043692A" w:rsidP="00C3607B">
            <w:pPr>
              <w:pStyle w:val="Judge"/>
              <w:spacing w:line="480" w:lineRule="exact"/>
            </w:pPr>
            <w:r w:rsidRPr="0043692A">
              <w:t xml:space="preserve">         48.40</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1133 3rd Ave</w:t>
            </w:r>
          </w:p>
          <w:p w:rsidR="00C3607B" w:rsidRPr="0043692A" w:rsidP="00C3607B">
            <w:pPr>
              <w:rPr>
                <w:b/>
                <w:bCs/>
                <w:color w:val="000000"/>
                <w:szCs w:val="24"/>
              </w:rPr>
            </w:pPr>
          </w:p>
        </w:tc>
        <w:tc>
          <w:tcPr>
            <w:tcW w:w="2250" w:type="dxa"/>
          </w:tcPr>
          <w:p w:rsidR="00C3607B" w:rsidRPr="0043692A" w:rsidP="00C3607B">
            <w:pPr>
              <w:pStyle w:val="Judge"/>
              <w:spacing w:line="480" w:lineRule="exact"/>
            </w:pPr>
            <w:r w:rsidRPr="0043692A">
              <w:t xml:space="preserve">       127.94</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1135 3rd Ave</w:t>
            </w:r>
          </w:p>
          <w:p w:rsidR="00C3607B" w:rsidRPr="0043692A" w:rsidP="00C3607B">
            <w:pPr>
              <w:rPr>
                <w:b/>
                <w:bCs/>
                <w:color w:val="000000"/>
                <w:szCs w:val="24"/>
              </w:rPr>
            </w:pPr>
          </w:p>
        </w:tc>
        <w:tc>
          <w:tcPr>
            <w:tcW w:w="2250" w:type="dxa"/>
          </w:tcPr>
          <w:p w:rsidR="00C3607B" w:rsidRPr="0043692A" w:rsidP="00C3607B">
            <w:pPr>
              <w:pStyle w:val="Judge"/>
              <w:spacing w:line="480" w:lineRule="exact"/>
            </w:pPr>
            <w:r w:rsidRPr="0043692A">
              <w:t xml:space="preserve">         83.29</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1157 3rd Ave</w:t>
            </w:r>
          </w:p>
          <w:p w:rsidR="00C3607B" w:rsidRPr="0043692A" w:rsidP="00C3607B">
            <w:pPr>
              <w:rPr>
                <w:b/>
                <w:bCs/>
                <w:color w:val="000000"/>
                <w:szCs w:val="24"/>
              </w:rPr>
            </w:pPr>
          </w:p>
        </w:tc>
        <w:tc>
          <w:tcPr>
            <w:tcW w:w="2250" w:type="dxa"/>
          </w:tcPr>
          <w:p w:rsidR="00C3607B" w:rsidRPr="0043692A" w:rsidP="00C3607B">
            <w:pPr>
              <w:pStyle w:val="Judge"/>
              <w:spacing w:line="480" w:lineRule="exact"/>
            </w:pPr>
            <w:r w:rsidRPr="0043692A">
              <w:t xml:space="preserve">       890.38</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1145 3rd Ave #A</w:t>
            </w:r>
          </w:p>
          <w:p w:rsidR="00C3607B" w:rsidRPr="0043692A" w:rsidP="00C3607B">
            <w:pPr>
              <w:rPr>
                <w:b/>
                <w:bCs/>
                <w:color w:val="000000"/>
                <w:szCs w:val="24"/>
              </w:rPr>
            </w:pPr>
          </w:p>
        </w:tc>
        <w:tc>
          <w:tcPr>
            <w:tcW w:w="2250" w:type="dxa"/>
          </w:tcPr>
          <w:p w:rsidR="00C3607B" w:rsidRPr="0043692A" w:rsidP="00C3607B">
            <w:pPr>
              <w:pStyle w:val="Judge"/>
              <w:spacing w:line="480" w:lineRule="exact"/>
            </w:pPr>
            <w:r w:rsidRPr="0043692A">
              <w:t xml:space="preserve">        246.34</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553C25" w:rsidRPr="0043692A" w:rsidP="00553C25">
            <w:pPr>
              <w:rPr>
                <w:b/>
                <w:bCs/>
                <w:color w:val="000000"/>
                <w:szCs w:val="24"/>
              </w:rPr>
            </w:pPr>
            <w:r w:rsidRPr="0043692A">
              <w:rPr>
                <w:b/>
                <w:bCs/>
                <w:color w:val="000000"/>
                <w:szCs w:val="24"/>
              </w:rPr>
              <w:t>1150 3rd Ave</w:t>
            </w:r>
          </w:p>
          <w:p w:rsidR="00553C25" w:rsidRPr="0043692A" w:rsidP="00553C25">
            <w:pPr>
              <w:rPr>
                <w:b/>
                <w:bCs/>
                <w:color w:val="000000"/>
                <w:szCs w:val="24"/>
              </w:rPr>
            </w:pPr>
          </w:p>
        </w:tc>
        <w:tc>
          <w:tcPr>
            <w:tcW w:w="2250" w:type="dxa"/>
          </w:tcPr>
          <w:p w:rsidR="00553C25" w:rsidRPr="0043692A" w:rsidP="00C3607B">
            <w:pPr>
              <w:pStyle w:val="Judge"/>
              <w:spacing w:line="480" w:lineRule="exact"/>
            </w:pPr>
            <w:r w:rsidRPr="0043692A">
              <w:t xml:space="preserve">      6,201.70</w:t>
            </w:r>
          </w:p>
        </w:tc>
        <w:tc>
          <w:tcPr>
            <w:tcW w:w="2070" w:type="dxa"/>
          </w:tcPr>
          <w:p w:rsidR="00553C25" w:rsidRPr="0043692A" w:rsidP="00C3607B">
            <w:pPr>
              <w:pStyle w:val="Judge"/>
              <w:spacing w:line="480" w:lineRule="exact"/>
            </w:pPr>
            <w:r w:rsidRPr="0043692A">
              <w:t xml:space="preserve">  6,201.70</w:t>
            </w:r>
          </w:p>
        </w:tc>
      </w:tr>
      <w:tr w:rsidTr="00C3607B">
        <w:tblPrEx>
          <w:tblW w:w="0" w:type="auto"/>
          <w:tblCellMar>
            <w:left w:w="115" w:type="dxa"/>
            <w:right w:w="115" w:type="dxa"/>
          </w:tblCellMar>
          <w:tblLook w:val="04A0"/>
        </w:tblPrEx>
        <w:tc>
          <w:tcPr>
            <w:tcW w:w="3805" w:type="dxa"/>
          </w:tcPr>
          <w:p w:rsidR="00C3607B" w:rsidRPr="0043692A" w:rsidP="00C3607B">
            <w:pPr>
              <w:rPr>
                <w:b/>
                <w:bCs/>
                <w:color w:val="000000"/>
                <w:szCs w:val="24"/>
              </w:rPr>
            </w:pPr>
            <w:r w:rsidRPr="0043692A">
              <w:rPr>
                <w:b/>
                <w:bCs/>
                <w:color w:val="000000"/>
                <w:szCs w:val="24"/>
              </w:rPr>
              <w:t>1152 3rd Ave</w:t>
            </w:r>
          </w:p>
          <w:p w:rsidR="00C3607B" w:rsidRPr="0043692A" w:rsidP="00C3607B">
            <w:pPr>
              <w:rPr>
                <w:b/>
                <w:bCs/>
                <w:color w:val="000000"/>
                <w:szCs w:val="24"/>
              </w:rPr>
            </w:pPr>
          </w:p>
        </w:tc>
        <w:tc>
          <w:tcPr>
            <w:tcW w:w="2250" w:type="dxa"/>
          </w:tcPr>
          <w:p w:rsidR="00C3607B" w:rsidRPr="0043692A" w:rsidP="00C3607B">
            <w:pPr>
              <w:pStyle w:val="Judge"/>
              <w:spacing w:line="480" w:lineRule="exact"/>
            </w:pPr>
            <w:r w:rsidRPr="0043692A">
              <w:t xml:space="preserve">      1,848.58</w:t>
            </w:r>
          </w:p>
        </w:tc>
        <w:tc>
          <w:tcPr>
            <w:tcW w:w="2070" w:type="dxa"/>
          </w:tcPr>
          <w:p w:rsidR="00C3607B" w:rsidRPr="0043692A" w:rsidP="00C3607B">
            <w:pPr>
              <w:pStyle w:val="Judge"/>
              <w:spacing w:line="480" w:lineRule="exact"/>
            </w:pPr>
            <w:r w:rsidRPr="0043692A">
              <w:t>0</w:t>
            </w:r>
          </w:p>
        </w:tc>
      </w:tr>
      <w:tr w:rsidTr="00C3607B">
        <w:tblPrEx>
          <w:tblW w:w="0" w:type="auto"/>
          <w:tblCellMar>
            <w:left w:w="115" w:type="dxa"/>
            <w:right w:w="115" w:type="dxa"/>
          </w:tblCellMar>
          <w:tblLook w:val="04A0"/>
        </w:tblPrEx>
        <w:tc>
          <w:tcPr>
            <w:tcW w:w="3805" w:type="dxa"/>
          </w:tcPr>
          <w:p w:rsidR="00553C25" w:rsidRPr="0043692A" w:rsidP="00553C25">
            <w:pPr>
              <w:pStyle w:val="Judge"/>
              <w:spacing w:line="480" w:lineRule="exact"/>
              <w:jc w:val="left"/>
              <w:rPr>
                <w:b/>
                <w:bCs/>
                <w:color w:val="000000"/>
              </w:rPr>
            </w:pPr>
            <w:r w:rsidRPr="0043692A">
              <w:rPr>
                <w:b/>
                <w:bCs/>
                <w:color w:val="000000"/>
              </w:rPr>
              <w:t xml:space="preserve">Total </w:t>
            </w:r>
          </w:p>
        </w:tc>
        <w:tc>
          <w:tcPr>
            <w:tcW w:w="2250" w:type="dxa"/>
          </w:tcPr>
          <w:p w:rsidR="00553C25" w:rsidRPr="0043692A" w:rsidP="00C3607B">
            <w:pPr>
              <w:pStyle w:val="Judge"/>
              <w:spacing w:line="480" w:lineRule="exact"/>
              <w:rPr>
                <w:b/>
                <w:vertAlign w:val="superscript"/>
              </w:rPr>
            </w:pPr>
            <w:r w:rsidRPr="0043692A">
              <w:rPr>
                <w:b/>
              </w:rPr>
              <w:t>$118,586.73</w:t>
            </w:r>
          </w:p>
        </w:tc>
        <w:tc>
          <w:tcPr>
            <w:tcW w:w="2070" w:type="dxa"/>
          </w:tcPr>
          <w:p w:rsidR="00553C25" w:rsidRPr="0043692A" w:rsidP="00C3607B">
            <w:pPr>
              <w:pStyle w:val="Judge"/>
              <w:spacing w:line="480" w:lineRule="exact"/>
              <w:rPr>
                <w:b/>
                <w:vertAlign w:val="superscript"/>
              </w:rPr>
            </w:pPr>
            <w:r w:rsidRPr="0043692A">
              <w:rPr>
                <w:b/>
              </w:rPr>
              <w:t>$66,024.77</w:t>
            </w:r>
          </w:p>
        </w:tc>
      </w:tr>
    </w:tbl>
    <w:p w:rsidR="005074CA" w:rsidP="00553C25">
      <w:pPr>
        <w:pStyle w:val="Answer"/>
      </w:pPr>
      <w:r>
        <w:br w:type="page"/>
      </w:r>
    </w:p>
    <w:p w:rsidR="00553C25" w:rsidP="00553C25">
      <w:pPr>
        <w:pStyle w:val="Answer"/>
      </w:pPr>
    </w:p>
    <w:p w:rsidR="008725F5" w:rsidP="008725F5">
      <w:pPr>
        <w:pStyle w:val="QUESTION"/>
      </w:pPr>
      <w:r w:rsidRPr="00553C25">
        <w:t>Q.</w:t>
      </w:r>
      <w:r w:rsidRPr="00553C25">
        <w:tab/>
        <w:t xml:space="preserve">WHAT IS THE RESULT OF </w:t>
      </w:r>
      <w:r>
        <w:t xml:space="preserve">utilizing </w:t>
      </w:r>
      <w:r w:rsidRPr="00553C25">
        <w:t>ALL WCR UTILITY EXPENSES SUBJE</w:t>
      </w:r>
      <w:r>
        <w:t>cT TO ALLOCATION</w:t>
      </w:r>
      <w:r w:rsidRPr="00553C25">
        <w:t>?</w:t>
      </w:r>
    </w:p>
    <w:p w:rsidR="008725F5" w:rsidRPr="004264B3" w:rsidP="008725F5"/>
    <w:p w:rsidR="00D966B0" w:rsidP="008725F5">
      <w:pPr>
        <w:pStyle w:val="Style1a"/>
        <w:spacing w:line="480" w:lineRule="auto"/>
      </w:pPr>
      <w:r>
        <w:t>A.</w:t>
      </w:r>
      <w:r>
        <w:tab/>
        <w:t>Applying all three Staff allocation criteria (</w:t>
      </w:r>
      <w:r w:rsidRPr="000F798E">
        <w:t>total Company revenues, employees and fixed assets</w:t>
      </w:r>
      <w:r>
        <w:t xml:space="preserve">), to </w:t>
      </w:r>
      <w:r w:rsidRPr="004264B3">
        <w:rPr>
          <w:i/>
        </w:rPr>
        <w:t>all</w:t>
      </w:r>
      <w:r>
        <w:t xml:space="preserve"> total Company utility expense consumed, the “three-factor” yields a 53.2% allocation to WCR.  Yet, because Staff only applies the three-factor allocation to </w:t>
      </w:r>
      <w:r>
        <w:rPr>
          <w:i/>
        </w:rPr>
        <w:t>shared</w:t>
      </w:r>
      <w:r>
        <w:t xml:space="preserve"> utility expenses, WCR ends up with 73.9% of all Company utilities allocated under the Staff rendition which is neither fair nor reasonable and significantly over-allocates actual utility costs to WCR.  Again, the Company position is that if Staff insists on using the three-factor allocation formula which it </w:t>
      </w:r>
      <w:r w:rsidR="00AC50EB">
        <w:t xml:space="preserve">can </w:t>
      </w:r>
      <w:r>
        <w:t>accept for the purpose of compromise</w:t>
      </w:r>
      <w:r>
        <w:rPr>
          <w:rStyle w:val="FootnoteReference"/>
        </w:rPr>
        <w:footnoteReference w:id="2"/>
      </w:r>
      <w:r>
        <w:t xml:space="preserve">, that 23.4%-derived Staff allocator for utility costs must be applied to the  $118,586.73 cumulative cost total rather than Staff’s aggregate utility expense of $66,024.77.  </w:t>
      </w:r>
      <w:r>
        <w:t xml:space="preserve">The brief table below </w:t>
      </w:r>
      <w:r w:rsidR="004F68D8">
        <w:t xml:space="preserve">briefly </w:t>
      </w:r>
      <w:r>
        <w:t>summarizes the results of that computation:</w:t>
      </w:r>
    </w:p>
    <w:p w:rsidR="00D966B0" w:rsidP="00D966B0">
      <w:pPr>
        <w:pStyle w:val="Style1a"/>
        <w:jc w:val="center"/>
        <w:rPr>
          <w:b/>
        </w:rPr>
      </w:pPr>
      <w:r>
        <w:rPr>
          <w:b/>
        </w:rPr>
        <w:t xml:space="preserve">Table 2.  </w:t>
      </w:r>
    </w:p>
    <w:p w:rsidR="00D966B0" w:rsidP="00D966B0">
      <w:pPr>
        <w:pStyle w:val="Style1a"/>
        <w:jc w:val="center"/>
        <w:rPr>
          <w:b/>
        </w:rPr>
      </w:pPr>
      <w:r>
        <w:rPr>
          <w:b/>
        </w:rPr>
        <w:t>Summary of Proposed Results and Comparison with Staff Position</w:t>
      </w:r>
    </w:p>
    <w:p w:rsidR="00D966B0" w:rsidRPr="00D966B0" w:rsidP="00D966B0">
      <w:pPr>
        <w:pStyle w:val="Style1a"/>
        <w:jc w:val="center"/>
        <w:rPr>
          <w:b/>
          <w:sz w:val="16"/>
          <w:szCs w:val="16"/>
        </w:rPr>
      </w:pPr>
    </w:p>
    <w:tbl>
      <w:tblPr>
        <w:tblStyle w:val="TableGrid"/>
        <w:tblpPr w:leftFromText="180" w:rightFromText="180" w:vertAnchor="text" w:tblpY="1"/>
        <w:tblOverlap w:val="never"/>
        <w:tblW w:w="8208" w:type="dxa"/>
        <w:tblInd w:w="720" w:type="dxa"/>
        <w:tblLook w:val="04A0"/>
      </w:tblPr>
      <w:tblGrid>
        <w:gridCol w:w="2358"/>
        <w:gridCol w:w="1800"/>
        <w:gridCol w:w="1530"/>
        <w:gridCol w:w="2520"/>
      </w:tblGrid>
      <w:tr w:rsidTr="00A8331D">
        <w:tblPrEx>
          <w:tblW w:w="8208" w:type="dxa"/>
          <w:tblInd w:w="720" w:type="dxa"/>
          <w:tblLook w:val="04A0"/>
        </w:tblPrEx>
        <w:tc>
          <w:tcPr>
            <w:tcW w:w="2358" w:type="dxa"/>
          </w:tcPr>
          <w:p w:rsidR="00D966B0" w:rsidP="00A8331D">
            <w:pPr>
              <w:pStyle w:val="Judge"/>
              <w:spacing w:line="480" w:lineRule="exact"/>
              <w:jc w:val="left"/>
            </w:pPr>
          </w:p>
        </w:tc>
        <w:tc>
          <w:tcPr>
            <w:tcW w:w="1800" w:type="dxa"/>
          </w:tcPr>
          <w:p w:rsidR="00D966B0" w:rsidRPr="00D966B0" w:rsidP="00A8331D">
            <w:pPr>
              <w:rPr>
                <w:b/>
              </w:rPr>
            </w:pPr>
            <w:r w:rsidRPr="00D966B0">
              <w:rPr>
                <w:b/>
              </w:rPr>
              <w:t>Utility Expense</w:t>
            </w:r>
          </w:p>
        </w:tc>
        <w:tc>
          <w:tcPr>
            <w:tcW w:w="1530" w:type="dxa"/>
          </w:tcPr>
          <w:p w:rsidR="00D966B0" w:rsidRPr="00D966B0" w:rsidP="00D966B0">
            <w:pPr>
              <w:pStyle w:val="Judge"/>
              <w:spacing w:line="240" w:lineRule="auto"/>
              <w:jc w:val="left"/>
              <w:rPr>
                <w:b/>
              </w:rPr>
            </w:pPr>
            <w:r w:rsidRPr="00D966B0">
              <w:rPr>
                <w:b/>
              </w:rPr>
              <w:t>Allocation</w:t>
            </w:r>
          </w:p>
          <w:p w:rsidR="00D966B0" w:rsidRPr="00D966B0" w:rsidP="00D966B0">
            <w:pPr>
              <w:pStyle w:val="Judge"/>
              <w:spacing w:after="100" w:afterAutospacing="1" w:line="240" w:lineRule="auto"/>
              <w:jc w:val="left"/>
              <w:rPr>
                <w:b/>
              </w:rPr>
            </w:pPr>
            <w:r w:rsidRPr="00D966B0">
              <w:rPr>
                <w:b/>
              </w:rPr>
              <w:t>Factor</w:t>
            </w:r>
          </w:p>
        </w:tc>
        <w:tc>
          <w:tcPr>
            <w:tcW w:w="2520" w:type="dxa"/>
          </w:tcPr>
          <w:p w:rsidR="00D966B0" w:rsidRPr="00D966B0" w:rsidP="00D966B0">
            <w:pPr>
              <w:pStyle w:val="Judge"/>
              <w:spacing w:line="240" w:lineRule="auto"/>
              <w:jc w:val="left"/>
              <w:rPr>
                <w:b/>
              </w:rPr>
            </w:pPr>
            <w:r w:rsidRPr="00D966B0">
              <w:rPr>
                <w:b/>
              </w:rPr>
              <w:t>Allowed Utility       Expense</w:t>
            </w:r>
          </w:p>
        </w:tc>
      </w:tr>
      <w:tr w:rsidTr="00A8331D">
        <w:tblPrEx>
          <w:tblW w:w="8208" w:type="dxa"/>
          <w:tblInd w:w="720" w:type="dxa"/>
          <w:tblLook w:val="04A0"/>
        </w:tblPrEx>
        <w:tc>
          <w:tcPr>
            <w:tcW w:w="2358" w:type="dxa"/>
          </w:tcPr>
          <w:p w:rsidR="00D966B0" w:rsidRPr="00D966B0" w:rsidP="00A8331D">
            <w:pPr>
              <w:pStyle w:val="Judge"/>
              <w:spacing w:line="480" w:lineRule="exact"/>
              <w:jc w:val="left"/>
              <w:rPr>
                <w:b/>
              </w:rPr>
            </w:pPr>
            <w:r w:rsidRPr="00D966B0">
              <w:rPr>
                <w:b/>
              </w:rPr>
              <w:t>Company Position</w:t>
            </w:r>
          </w:p>
        </w:tc>
        <w:tc>
          <w:tcPr>
            <w:tcW w:w="1800" w:type="dxa"/>
          </w:tcPr>
          <w:p w:rsidR="00D966B0" w:rsidRPr="00B04376" w:rsidP="00A8331D">
            <w:pPr>
              <w:jc w:val="right"/>
              <w:rPr>
                <w:vertAlign w:val="superscript"/>
              </w:rPr>
            </w:pPr>
            <w:r w:rsidRPr="0068486C">
              <w:t>$118,586.73</w:t>
            </w:r>
          </w:p>
        </w:tc>
        <w:tc>
          <w:tcPr>
            <w:tcW w:w="1530" w:type="dxa"/>
          </w:tcPr>
          <w:p w:rsidR="00D966B0" w:rsidRPr="00BA3525" w:rsidP="00A8331D">
            <w:pPr>
              <w:pStyle w:val="Judge"/>
              <w:spacing w:line="480" w:lineRule="exact"/>
              <w:jc w:val="center"/>
              <w:rPr>
                <w:vertAlign w:val="superscript"/>
              </w:rPr>
            </w:pPr>
            <w:r>
              <w:t>23.4%</w:t>
            </w:r>
          </w:p>
        </w:tc>
        <w:tc>
          <w:tcPr>
            <w:tcW w:w="2520" w:type="dxa"/>
          </w:tcPr>
          <w:p w:rsidR="00D966B0" w:rsidP="00A8331D">
            <w:pPr>
              <w:pStyle w:val="Judge"/>
              <w:spacing w:line="480" w:lineRule="exact"/>
            </w:pPr>
            <w:r>
              <w:t>$27,749.29</w:t>
            </w:r>
          </w:p>
        </w:tc>
      </w:tr>
      <w:tr w:rsidTr="00A8331D">
        <w:tblPrEx>
          <w:tblW w:w="8208" w:type="dxa"/>
          <w:tblInd w:w="720" w:type="dxa"/>
          <w:tblLook w:val="04A0"/>
        </w:tblPrEx>
        <w:trPr>
          <w:trHeight w:val="404"/>
        </w:trPr>
        <w:tc>
          <w:tcPr>
            <w:tcW w:w="2358" w:type="dxa"/>
          </w:tcPr>
          <w:p w:rsidR="00D966B0" w:rsidRPr="00D966B0" w:rsidP="00A8331D">
            <w:pPr>
              <w:pStyle w:val="Judge"/>
              <w:spacing w:line="480" w:lineRule="exact"/>
              <w:jc w:val="left"/>
              <w:rPr>
                <w:b/>
              </w:rPr>
            </w:pPr>
            <w:r w:rsidRPr="00D966B0">
              <w:rPr>
                <w:b/>
              </w:rPr>
              <w:t>Staff Position</w:t>
            </w:r>
          </w:p>
        </w:tc>
        <w:tc>
          <w:tcPr>
            <w:tcW w:w="1800" w:type="dxa"/>
          </w:tcPr>
          <w:p w:rsidR="00D966B0" w:rsidRPr="00B04376" w:rsidP="00A8331D">
            <w:pPr>
              <w:pStyle w:val="Judge"/>
              <w:spacing w:line="480" w:lineRule="exact"/>
              <w:rPr>
                <w:vertAlign w:val="superscript"/>
              </w:rPr>
            </w:pPr>
            <w:r w:rsidRPr="0068486C">
              <w:t>$66,024.77</w:t>
            </w:r>
          </w:p>
        </w:tc>
        <w:tc>
          <w:tcPr>
            <w:tcW w:w="1530" w:type="dxa"/>
          </w:tcPr>
          <w:p w:rsidR="00D966B0" w:rsidRPr="00C26E7A" w:rsidP="00A8331D">
            <w:pPr>
              <w:pStyle w:val="Judge"/>
              <w:spacing w:line="480" w:lineRule="exact"/>
              <w:jc w:val="center"/>
              <w:rPr>
                <w:vertAlign w:val="superscript"/>
              </w:rPr>
            </w:pPr>
            <w:r>
              <w:t>23.4%</w:t>
            </w:r>
          </w:p>
        </w:tc>
        <w:tc>
          <w:tcPr>
            <w:tcW w:w="2520" w:type="dxa"/>
          </w:tcPr>
          <w:p w:rsidR="00D966B0" w:rsidP="00A8331D">
            <w:pPr>
              <w:pStyle w:val="Judge"/>
              <w:spacing w:line="480" w:lineRule="exact"/>
            </w:pPr>
            <w:r>
              <w:t>$15,424.04</w:t>
            </w:r>
          </w:p>
        </w:tc>
      </w:tr>
      <w:tr w:rsidTr="00A8331D">
        <w:tblPrEx>
          <w:tblW w:w="8208" w:type="dxa"/>
          <w:tblInd w:w="720" w:type="dxa"/>
          <w:tblLook w:val="04A0"/>
        </w:tblPrEx>
        <w:trPr>
          <w:trHeight w:val="404"/>
        </w:trPr>
        <w:tc>
          <w:tcPr>
            <w:tcW w:w="2358" w:type="dxa"/>
          </w:tcPr>
          <w:p w:rsidR="00D966B0" w:rsidRPr="00D966B0" w:rsidP="00A8331D">
            <w:pPr>
              <w:pStyle w:val="Judge"/>
              <w:spacing w:line="480" w:lineRule="exact"/>
              <w:jc w:val="left"/>
              <w:rPr>
                <w:b/>
              </w:rPr>
            </w:pPr>
            <w:r w:rsidRPr="00D966B0">
              <w:rPr>
                <w:b/>
              </w:rPr>
              <w:t>Difference</w:t>
            </w:r>
          </w:p>
        </w:tc>
        <w:tc>
          <w:tcPr>
            <w:tcW w:w="1800" w:type="dxa"/>
          </w:tcPr>
          <w:p w:rsidR="00D966B0" w:rsidRPr="0068486C" w:rsidP="00A8331D">
            <w:pPr>
              <w:pStyle w:val="Judge"/>
              <w:spacing w:line="480" w:lineRule="exact"/>
            </w:pPr>
          </w:p>
        </w:tc>
        <w:tc>
          <w:tcPr>
            <w:tcW w:w="1530" w:type="dxa"/>
          </w:tcPr>
          <w:p w:rsidR="00D966B0" w:rsidP="00A8331D">
            <w:pPr>
              <w:pStyle w:val="Judge"/>
              <w:spacing w:line="480" w:lineRule="exact"/>
              <w:jc w:val="center"/>
            </w:pPr>
          </w:p>
        </w:tc>
        <w:tc>
          <w:tcPr>
            <w:tcW w:w="2520" w:type="dxa"/>
          </w:tcPr>
          <w:p w:rsidR="00D966B0" w:rsidRPr="00D966B0" w:rsidP="00A8331D">
            <w:pPr>
              <w:pStyle w:val="Judge"/>
              <w:spacing w:line="480" w:lineRule="exact"/>
              <w:rPr>
                <w:b/>
              </w:rPr>
            </w:pPr>
            <w:r w:rsidRPr="00D966B0">
              <w:rPr>
                <w:b/>
              </w:rPr>
              <w:t>$12,325.25</w:t>
            </w:r>
          </w:p>
        </w:tc>
      </w:tr>
    </w:tbl>
    <w:p w:rsidR="008725F5" w:rsidRPr="004264B3" w:rsidP="008725F5">
      <w:pPr>
        <w:pStyle w:val="Style1a"/>
        <w:spacing w:line="480" w:lineRule="auto"/>
      </w:pPr>
      <w:r>
        <w:t xml:space="preserve">  </w:t>
      </w:r>
    </w:p>
    <w:p w:rsidR="00A62DC3" w:rsidRPr="00A62DC3" w:rsidP="00A62DC3">
      <w:pPr>
        <w:pStyle w:val="BodyText2"/>
      </w:pPr>
    </w:p>
    <w:p w:rsidR="00471E2A" w:rsidP="00603BDC">
      <w:pPr>
        <w:pStyle w:val="QUESTION"/>
      </w:pPr>
      <w:r>
        <w:t>q.</w:t>
      </w:r>
      <w:r>
        <w:tab/>
        <w:t>does this conclude your supplemental testimony on the appropriate allocation of utility costs under the staff’s proposed “three-factor allocation” theory?</w:t>
      </w:r>
    </w:p>
    <w:p w:rsidR="00603BDC" w:rsidP="00603BDC">
      <w:pPr>
        <w:pStyle w:val="Answer"/>
      </w:pPr>
      <w:r>
        <w:t>A.</w:t>
      </w:r>
      <w:r>
        <w:tab/>
        <w:t>Yes it does.</w:t>
      </w:r>
    </w:p>
    <w:p w:rsidR="0051374E" w:rsidP="0051374E">
      <w:pPr>
        <w:pStyle w:val="QUESTION"/>
      </w:pPr>
    </w:p>
    <w:p w:rsidR="001129D4" w:rsidP="0051374E">
      <w:pPr>
        <w:pStyle w:val="Heading1"/>
        <w:rPr>
          <w:b/>
        </w:rPr>
      </w:pPr>
    </w:p>
    <w:p w:rsidR="001129D4" w:rsidP="0051374E">
      <w:pPr>
        <w:pStyle w:val="Heading1"/>
        <w:rPr>
          <w:b/>
        </w:rPr>
      </w:pPr>
    </w:p>
    <w:p w:rsidR="001129D4" w:rsidP="0051374E">
      <w:pPr>
        <w:pStyle w:val="Heading1"/>
        <w:rPr>
          <w:b/>
        </w:rPr>
      </w:pPr>
    </w:p>
    <w:p w:rsidR="0051374E" w:rsidP="006A70A8">
      <w:pPr>
        <w:pStyle w:val="headingtitle"/>
        <w:rPr>
          <w:b w:val="0"/>
        </w:rPr>
      </w:pPr>
      <w:r w:rsidRPr="0051374E">
        <w:t>DECLARATION</w:t>
      </w:r>
    </w:p>
    <w:p w:rsidR="0051374E" w:rsidRPr="0051374E" w:rsidP="0051374E">
      <w:pPr>
        <w:pStyle w:val="BodyText2"/>
      </w:pPr>
      <w:r>
        <w:t xml:space="preserve">I hereby swear and affirm under penalty of perjury of the laws of the State of Washington that the foregoing Supplemental Testimony of Layne C. Demas is true and correct to the best of my </w:t>
      </w:r>
      <w:r w:rsidR="00E9133C">
        <w:t xml:space="preserve">knowledge and </w:t>
      </w:r>
      <w:r>
        <w:t>belief.</w:t>
      </w:r>
    </w:p>
    <w:p w:rsidR="0051374E" w:rsidP="0051374E">
      <w:pPr>
        <w:pStyle w:val="QUESTION"/>
      </w:pPr>
    </w:p>
    <w:p w:rsidR="0051374E" w:rsidP="0051374E">
      <w:pPr>
        <w:pStyle w:val="TextAfterQuote"/>
      </w:pPr>
      <w:r w:rsidRPr="0051374E">
        <w:t xml:space="preserve">Signed at </w:t>
      </w:r>
      <w:r>
        <w:t>_______________</w:t>
      </w:r>
      <w:r w:rsidR="005A223D">
        <w:t>, Washington, this ___ day of November</w:t>
      </w:r>
      <w:r w:rsidRPr="0051374E">
        <w:t>, 20</w:t>
      </w:r>
      <w:r>
        <w:t>14</w:t>
      </w:r>
      <w:r w:rsidRPr="0051374E">
        <w:t>.</w:t>
      </w:r>
    </w:p>
    <w:p w:rsidR="0051374E" w:rsidRPr="0051374E" w:rsidP="0051374E">
      <w:pPr>
        <w:pStyle w:val="BodyText2"/>
      </w:pPr>
    </w:p>
    <w:p w:rsidR="001129D4" w:rsidP="00E9133C">
      <w:pPr>
        <w:pStyle w:val="TextAfterQuote"/>
        <w:ind w:left="5760"/>
      </w:pPr>
      <w:r>
        <w:t>____________________________</w:t>
      </w:r>
    </w:p>
    <w:p w:rsidR="0051374E" w:rsidRPr="001129D4" w:rsidP="00E9133C">
      <w:pPr>
        <w:pStyle w:val="QUESTION"/>
        <w:ind w:left="6480"/>
        <w:rPr>
          <w:b w:val="0"/>
        </w:rPr>
      </w:pPr>
      <w:r w:rsidRPr="001129D4">
        <w:rPr>
          <w:b w:val="0"/>
          <w:caps w:val="0"/>
        </w:rPr>
        <w:t>Layne C. Demas</w:t>
      </w:r>
    </w:p>
    <w:sectPr w:rsidSect="00C728A0">
      <w:headerReference w:type="default" r:id="rId11"/>
      <w:footerReference w:type="default" r:id="rId12"/>
      <w:pgSz w:w="12240" w:h="15840" w:code="1"/>
      <w:pgMar w:top="1440" w:right="1512" w:bottom="1440" w:left="1541" w:header="720" w:footer="1008" w:gutter="0"/>
      <w:paperSrc w:first="262" w:other="262"/>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6C8" w:rsidRPr="00886AF0" w:rsidP="001E56C8">
    <w:pPr>
      <w:pStyle w:val="Footer"/>
      <w:jc w:val="right"/>
    </w:pPr>
    <w:r w:rsidRPr="00886AF0">
      <w:t>REBUTTAL TESTIMONY OF LAYNE DEMAS</w:t>
    </w:r>
    <w:r w:rsidRPr="00886AF0">
      <w:tab/>
    </w:r>
    <w:r w:rsidRPr="00886AF0">
      <w:tab/>
      <w:t>Exhibit No. LD-1T</w:t>
    </w:r>
  </w:p>
  <w:p w:rsidR="001E56C8" w:rsidP="001E56C8">
    <w:pPr>
      <w:pStyle w:val="Footer"/>
    </w:pPr>
    <w:r>
      <w:rPr>
        <w:sz w:val="16"/>
      </w:rPr>
      <w:tab/>
    </w:r>
    <w:r>
      <w:rPr>
        <w:sz w:val="16"/>
      </w:rPr>
      <w:tab/>
    </w:r>
    <w:r>
      <w:t xml:space="preserve">Page </w:t>
    </w:r>
    <w:r w:rsidRPr="00BE0158">
      <w:fldChar w:fldCharType="begin"/>
    </w:r>
    <w:r w:rsidRPr="00BE0158">
      <w:instrText xml:space="preserve"> PAGE  \* Arabic  \* MERGEFORMAT </w:instrText>
    </w:r>
    <w:r w:rsidRPr="00BE0158">
      <w:fldChar w:fldCharType="separate"/>
    </w:r>
    <w:r w:rsidR="006460EF">
      <w:rPr>
        <w:noProof/>
      </w:rPr>
      <w:t>1</w:t>
    </w:r>
    <w:r w:rsidRPr="00BE0158">
      <w:fldChar w:fldCharType="end"/>
    </w:r>
  </w:p>
  <w:p w:rsidR="001E56C8" w:rsidP="008478E5">
    <w:pPr>
      <w:pStyle w:val="Footer"/>
      <w:spacing w:line="160" w:lineRule="exact"/>
      <w:rPr>
        <w:sz w:val="16"/>
        <w:szCs w:val="18"/>
      </w:rPr>
    </w:pPr>
  </w:p>
  <w:p w:rsidR="001E56C8" w:rsidP="008478E5">
    <w:pPr>
      <w:pStyle w:val="Footer"/>
      <w:spacing w:line="160" w:lineRule="exact"/>
      <w:rPr>
        <w:sz w:val="16"/>
        <w:szCs w:val="18"/>
      </w:rPr>
    </w:pPr>
  </w:p>
  <w:p w:rsidR="00287EC8" w:rsidP="008478E5">
    <w:pPr>
      <w:pStyle w:val="Footer"/>
      <w:spacing w:line="160" w:lineRule="exact"/>
      <w:rPr>
        <w:sz w:val="16"/>
        <w:szCs w:val="18"/>
      </w:rPr>
    </w:pPr>
    <w:r>
      <w:rPr>
        <w:sz w:val="16"/>
        <w:szCs w:val="18"/>
      </w:rPr>
      <w:fldChar w:fldCharType="begin"/>
    </w:r>
    <w:r>
      <w:rPr>
        <w:sz w:val="16"/>
        <w:szCs w:val="18"/>
      </w:rPr>
      <w:instrText xml:space="preserve"> </w:instrText>
    </w:r>
    <w:r w:rsidRPr="008478E5">
      <w:rPr>
        <w:sz w:val="16"/>
        <w:szCs w:val="18"/>
      </w:rPr>
      <w:instrText>IF "1" = "1" "</w:instrText>
    </w:r>
    <w:r w:rsidRPr="008478E5">
      <w:rPr>
        <w:sz w:val="16"/>
        <w:szCs w:val="18"/>
      </w:rPr>
      <w:fldChar w:fldCharType="begin"/>
    </w:r>
    <w:r w:rsidRPr="008478E5">
      <w:rPr>
        <w:sz w:val="16"/>
        <w:szCs w:val="18"/>
      </w:rPr>
      <w:instrText xml:space="preserve"> DOCPROPERTY "SWDocID" </w:instrText>
    </w:r>
    <w:r w:rsidRPr="008478E5">
      <w:rPr>
        <w:sz w:val="16"/>
        <w:szCs w:val="18"/>
      </w:rPr>
      <w:fldChar w:fldCharType="separate"/>
    </w:r>
    <w:r w:rsidR="00FD4D0A">
      <w:rPr>
        <w:sz w:val="16"/>
        <w:szCs w:val="18"/>
      </w:rPr>
      <w:instrText xml:space="preserve"> 5148777.1</w:instrText>
    </w:r>
    <w:r w:rsidRPr="008478E5">
      <w:rPr>
        <w:sz w:val="16"/>
        <w:szCs w:val="18"/>
      </w:rPr>
      <w:fldChar w:fldCharType="end"/>
    </w:r>
    <w:r w:rsidRPr="008478E5">
      <w:rPr>
        <w:sz w:val="16"/>
        <w:szCs w:val="18"/>
      </w:rPr>
      <w:instrText>" ""</w:instrText>
    </w:r>
    <w:r>
      <w:rPr>
        <w:sz w:val="16"/>
        <w:szCs w:val="18"/>
      </w:rPr>
      <w:instrText xml:space="preserve"> </w:instrText>
    </w:r>
    <w:r>
      <w:rPr>
        <w:sz w:val="16"/>
        <w:szCs w:val="18"/>
      </w:rPr>
      <w:fldChar w:fldCharType="separate"/>
    </w:r>
    <w:r w:rsidR="00FD4D0A">
      <w:rPr>
        <w:noProof/>
        <w:sz w:val="16"/>
        <w:szCs w:val="18"/>
      </w:rPr>
      <w:t xml:space="preserve"> 5148777.1</w:t>
    </w:r>
    <w:r>
      <w:rPr>
        <w:sz w:val="16"/>
        <w:szCs w:val="18"/>
      </w:rPr>
      <w:fldChar w:fldCharType="end"/>
    </w:r>
  </w:p>
  <w:p w:rsidR="0039331E" w:rsidP="00287EC8">
    <w:pPr>
      <w:pStyle w:val="Footer"/>
      <w:spacing w:line="160" w:lineRule="exact"/>
      <w:rPr>
        <w:sz w:val="18"/>
        <w:szCs w:val="18"/>
      </w:rPr>
    </w:pPr>
    <w:r>
      <w:rPr>
        <w:sz w:val="16"/>
        <w:szCs w:val="18"/>
      </w:rPr>
      <w:fldChar w:fldCharType="begin"/>
    </w:r>
    <w:r>
      <w:rPr>
        <w:sz w:val="16"/>
        <w:szCs w:val="18"/>
      </w:rPr>
      <w:instrText xml:space="preserve"> </w:instrText>
    </w:r>
    <w:r w:rsidRPr="00287EC8">
      <w:rPr>
        <w:sz w:val="16"/>
        <w:szCs w:val="18"/>
      </w:rPr>
      <w:instrText>IF "</w:instrText>
    </w:r>
    <w:r w:rsidRPr="00287EC8">
      <w:rPr>
        <w:sz w:val="16"/>
        <w:szCs w:val="18"/>
      </w:rPr>
      <w:instrText>1</w:instrText>
    </w:r>
    <w:r w:rsidRPr="00287EC8">
      <w:rPr>
        <w:sz w:val="16"/>
        <w:szCs w:val="18"/>
      </w:rPr>
      <w:instrText>" = "1" "</w:instrText>
    </w:r>
    <w:r w:rsidRPr="00287EC8">
      <w:rPr>
        <w:sz w:val="16"/>
        <w:szCs w:val="18"/>
      </w:rPr>
      <w:fldChar w:fldCharType="begin"/>
    </w:r>
    <w:r w:rsidRPr="00287EC8">
      <w:rPr>
        <w:sz w:val="16"/>
        <w:szCs w:val="18"/>
      </w:rPr>
      <w:instrText xml:space="preserve"> DOCPROPERTY "SWDocID" </w:instrText>
    </w:r>
    <w:r w:rsidRPr="00287EC8">
      <w:rPr>
        <w:sz w:val="16"/>
        <w:szCs w:val="18"/>
      </w:rPr>
      <w:fldChar w:fldCharType="separate"/>
    </w:r>
    <w:r w:rsidR="00D126FB">
      <w:rPr>
        <w:sz w:val="16"/>
        <w:szCs w:val="18"/>
      </w:rPr>
      <w:instrText xml:space="preserve"> 5148777.1</w:instrText>
    </w:r>
    <w:r w:rsidRPr="00287EC8">
      <w:rPr>
        <w:sz w:val="16"/>
        <w:szCs w:val="18"/>
      </w:rPr>
      <w:fldChar w:fldCharType="end"/>
    </w:r>
    <w:r w:rsidRPr="00287EC8">
      <w:rPr>
        <w:sz w:val="16"/>
        <w:szCs w:val="18"/>
      </w:rPr>
      <w:instrText>" ""</w:instrText>
    </w:r>
    <w:r>
      <w:rPr>
        <w:sz w:val="16"/>
        <w:szCs w:val="18"/>
      </w:rPr>
      <w:instrText xml:space="preserve"> </w:instrText>
    </w:r>
    <w:r>
      <w:rPr>
        <w:sz w:val="16"/>
        <w:szCs w:val="18"/>
      </w:rPr>
      <w:fldChar w:fldCharType="separate"/>
    </w:r>
    <w:r w:rsidR="00D126FB">
      <w:rPr>
        <w:noProof/>
        <w:sz w:val="16"/>
        <w:szCs w:val="18"/>
      </w:rPr>
      <w:t xml:space="preserve"> 5148777.1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74A" w:rsidRPr="00FB1779" w:rsidP="00FD174A">
    <w:pPr>
      <w:pStyle w:val="Header"/>
      <w:rPr>
        <w:sz w:val="20"/>
      </w:rPr>
    </w:pPr>
    <w:r>
      <w:tab/>
      <w:t xml:space="preserve">       </w:t>
    </w:r>
    <w:r>
      <w:tab/>
      <w:t xml:space="preserve"> </w:t>
    </w:r>
  </w:p>
  <w:p w:rsidR="0068752D" w:rsidP="00287EC8">
    <w:pPr>
      <w:pStyle w:val="Footer"/>
    </w:pPr>
    <w:r>
      <w:rPr>
        <w:sz w:val="16"/>
      </w:rPr>
      <w:fldChar w:fldCharType="begin"/>
    </w:r>
    <w:r>
      <w:rPr>
        <w:sz w:val="16"/>
      </w:rPr>
      <w:instrText xml:space="preserve"> </w:instrText>
    </w:r>
    <w:r w:rsidRPr="00287EC8">
      <w:rPr>
        <w:sz w:val="16"/>
      </w:rPr>
      <w:instrText>IF "</w:instrText>
    </w:r>
    <w:r w:rsidRPr="00287EC8">
      <w:rPr>
        <w:sz w:val="16"/>
      </w:rPr>
      <w:instrText>1</w:instrText>
    </w:r>
    <w:r w:rsidRPr="00287EC8">
      <w:rPr>
        <w:sz w:val="16"/>
      </w:rPr>
      <w:instrText>" = "1" "</w:instrText>
    </w:r>
    <w:r w:rsidRPr="00287EC8">
      <w:rPr>
        <w:sz w:val="16"/>
      </w:rPr>
      <w:fldChar w:fldCharType="begin"/>
    </w:r>
    <w:r w:rsidRPr="00287EC8">
      <w:rPr>
        <w:sz w:val="16"/>
      </w:rPr>
      <w:instrText xml:space="preserve"> DOCPROPERTY "SWDocID" </w:instrText>
    </w:r>
    <w:r w:rsidRPr="00287EC8">
      <w:rPr>
        <w:sz w:val="16"/>
      </w:rPr>
      <w:fldChar w:fldCharType="separate"/>
    </w:r>
    <w:r w:rsidR="00D126FB">
      <w:rPr>
        <w:sz w:val="16"/>
      </w:rPr>
      <w:instrText xml:space="preserve"> 5148777.1</w:instrText>
    </w:r>
    <w:r w:rsidRPr="00287EC8">
      <w:rPr>
        <w:sz w:val="16"/>
      </w:rPr>
      <w:fldChar w:fldCharType="end"/>
    </w:r>
    <w:r w:rsidRPr="00287EC8">
      <w:rPr>
        <w:sz w:val="16"/>
      </w:rPr>
      <w:instrText>" ""</w:instrText>
    </w:r>
    <w:r>
      <w:rPr>
        <w:sz w:val="16"/>
      </w:rPr>
      <w:instrText xml:space="preserve"> </w:instrText>
    </w:r>
    <w:r>
      <w:rPr>
        <w:sz w:val="16"/>
      </w:rPr>
      <w:fldChar w:fldCharType="separate"/>
    </w:r>
    <w:r w:rsidR="00D126FB">
      <w:rPr>
        <w:noProof/>
        <w:sz w:val="16"/>
      </w:rPr>
      <w:t xml:space="preserve"> 5148777.1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38D" w:rsidP="001E56C8">
    <w:pPr>
      <w:pStyle w:val="Footer"/>
    </w:pPr>
  </w:p>
  <w:p w:rsidR="001E56C8" w:rsidRPr="00886AF0" w:rsidP="001E56C8">
    <w:pPr>
      <w:pStyle w:val="Footer"/>
    </w:pPr>
    <w:r>
      <w:t>SUPPLEMENTAL</w:t>
    </w:r>
    <w:r w:rsidRPr="00886AF0">
      <w:t xml:space="preserve"> TESTIMONY OF LAYNE DEMAS</w:t>
    </w:r>
    <w:r w:rsidRPr="00886AF0">
      <w:tab/>
    </w:r>
    <w:r w:rsidRPr="00886AF0">
      <w:tab/>
    </w:r>
    <w:r>
      <w:tab/>
    </w:r>
    <w:r>
      <w:tab/>
    </w:r>
    <w:r w:rsidR="00FD174A">
      <w:t xml:space="preserve">    </w:t>
    </w:r>
    <w:r w:rsidR="002D0022">
      <w:t>Exhibit No.</w:t>
    </w:r>
    <w:r w:rsidR="00FD174A">
      <w:t xml:space="preserve"> </w:t>
    </w:r>
    <w:r w:rsidR="002D0022">
      <w:t xml:space="preserve"> </w:t>
    </w:r>
    <w:r w:rsidR="00FD174A">
      <w:t xml:space="preserve">   </w:t>
    </w:r>
    <w:r w:rsidR="002D0022">
      <w:t>LD-2</w:t>
    </w:r>
    <w:r w:rsidRPr="00886AF0">
      <w:t>T</w:t>
    </w:r>
  </w:p>
  <w:p w:rsidR="001E56C8" w:rsidP="00FD174A">
    <w:pPr>
      <w:pStyle w:val="Footer"/>
      <w:jc w:val="right"/>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t xml:space="preserve">Page </w:t>
    </w:r>
    <w:r w:rsidR="005074CA">
      <w:fldChar w:fldCharType="begin"/>
    </w:r>
    <w:r w:rsidR="005074CA">
      <w:instrText xml:space="preserve"> PAGE  \* Arabic  \* MERGEFORMAT </w:instrText>
    </w:r>
    <w:r w:rsidR="005074CA">
      <w:fldChar w:fldCharType="separate"/>
    </w:r>
    <w:r w:rsidR="00D126FB">
      <w:rPr>
        <w:noProof/>
      </w:rPr>
      <w:t>1</w:t>
    </w:r>
    <w:r w:rsidR="005074CA">
      <w:fldChar w:fldCharType="end"/>
    </w:r>
  </w:p>
  <w:p w:rsidR="001E56C8" w:rsidP="008478E5">
    <w:pPr>
      <w:pStyle w:val="Footer"/>
      <w:spacing w:line="160" w:lineRule="exact"/>
      <w:rPr>
        <w:sz w:val="16"/>
        <w:szCs w:val="18"/>
      </w:rPr>
    </w:pPr>
  </w:p>
  <w:p w:rsidR="001E56C8" w:rsidP="00287EC8">
    <w:pPr>
      <w:pStyle w:val="Footer"/>
      <w:spacing w:line="160" w:lineRule="exact"/>
      <w:rPr>
        <w:sz w:val="18"/>
        <w:szCs w:val="18"/>
      </w:rPr>
    </w:pPr>
    <w:r>
      <w:rPr>
        <w:sz w:val="16"/>
        <w:szCs w:val="18"/>
      </w:rPr>
      <w:fldChar w:fldCharType="begin"/>
    </w:r>
    <w:r>
      <w:rPr>
        <w:sz w:val="16"/>
        <w:szCs w:val="18"/>
      </w:rPr>
      <w:instrText xml:space="preserve"> </w:instrText>
    </w:r>
    <w:r w:rsidRPr="00287EC8">
      <w:rPr>
        <w:sz w:val="16"/>
        <w:szCs w:val="18"/>
      </w:rPr>
      <w:instrText>IF "</w:instrText>
    </w:r>
    <w:r w:rsidRPr="00287EC8">
      <w:rPr>
        <w:sz w:val="16"/>
        <w:szCs w:val="18"/>
      </w:rPr>
      <w:instrText>1</w:instrText>
    </w:r>
    <w:r w:rsidRPr="00287EC8">
      <w:rPr>
        <w:sz w:val="16"/>
        <w:szCs w:val="18"/>
      </w:rPr>
      <w:instrText>" = "1" "</w:instrText>
    </w:r>
    <w:r w:rsidRPr="00287EC8">
      <w:rPr>
        <w:sz w:val="16"/>
        <w:szCs w:val="18"/>
      </w:rPr>
      <w:fldChar w:fldCharType="begin"/>
    </w:r>
    <w:r w:rsidRPr="00287EC8">
      <w:rPr>
        <w:sz w:val="16"/>
        <w:szCs w:val="18"/>
      </w:rPr>
      <w:instrText xml:space="preserve"> DOCPROPERTY "SWDocID" </w:instrText>
    </w:r>
    <w:r w:rsidRPr="00287EC8">
      <w:rPr>
        <w:sz w:val="16"/>
        <w:szCs w:val="18"/>
      </w:rPr>
      <w:fldChar w:fldCharType="separate"/>
    </w:r>
    <w:r w:rsidR="00D126FB">
      <w:rPr>
        <w:sz w:val="16"/>
        <w:szCs w:val="18"/>
      </w:rPr>
      <w:instrText xml:space="preserve"> 5148777.1</w:instrText>
    </w:r>
    <w:r w:rsidRPr="00287EC8">
      <w:rPr>
        <w:sz w:val="16"/>
        <w:szCs w:val="18"/>
      </w:rPr>
      <w:fldChar w:fldCharType="end"/>
    </w:r>
    <w:r w:rsidRPr="00287EC8">
      <w:rPr>
        <w:sz w:val="16"/>
        <w:szCs w:val="18"/>
      </w:rPr>
      <w:instrText>" ""</w:instrText>
    </w:r>
    <w:r>
      <w:rPr>
        <w:sz w:val="16"/>
        <w:szCs w:val="18"/>
      </w:rPr>
      <w:instrText xml:space="preserve"> </w:instrText>
    </w:r>
    <w:r>
      <w:rPr>
        <w:sz w:val="16"/>
        <w:szCs w:val="18"/>
      </w:rPr>
      <w:fldChar w:fldCharType="separate"/>
    </w:r>
    <w:r w:rsidR="00D126FB">
      <w:rPr>
        <w:noProof/>
        <w:sz w:val="16"/>
        <w:szCs w:val="18"/>
      </w:rPr>
      <w:t xml:space="preserve"> 5148777.1</w:t>
    </w:r>
    <w:r>
      <w:rP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4224">
      <w:pPr>
        <w:spacing w:line="240" w:lineRule="auto"/>
      </w:pPr>
      <w:r>
        <w:separator/>
      </w:r>
    </w:p>
  </w:footnote>
  <w:footnote w:type="continuationSeparator" w:id="1">
    <w:p w:rsidR="00A54224">
      <w:pPr>
        <w:spacing w:line="240" w:lineRule="auto"/>
      </w:pPr>
      <w:r>
        <w:continuationSeparator/>
      </w:r>
    </w:p>
  </w:footnote>
  <w:footnote w:id="2">
    <w:p w:rsidR="00206869">
      <w:pPr>
        <w:pStyle w:val="FootnoteText"/>
      </w:pPr>
      <w:r>
        <w:rPr>
          <w:rStyle w:val="FootnoteReference"/>
        </w:rPr>
        <w:footnoteRef/>
      </w:r>
      <w:r>
        <w:t xml:space="preserve"> The Company acknowledges here that its higher percentage allocation factor would not result in a material difference if the aggregate utility expense total it contends is accurate were</w:t>
      </w:r>
      <w:r w:rsidR="004F68D8">
        <w:t xml:space="preserve"> to be</w:t>
      </w:r>
      <w:r>
        <w:t xml:space="preserve">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74A" w:rsidRPr="00FB1779" w:rsidP="00FD174A">
    <w:pPr>
      <w:pStyle w:val="Header"/>
      <w:jc w:val="right"/>
      <w:rPr>
        <w:sz w:val="20"/>
      </w:rPr>
    </w:pPr>
    <w:r w:rsidRPr="00FB1779">
      <w:rPr>
        <w:sz w:val="20"/>
      </w:rPr>
      <w:t>D</w:t>
    </w:r>
    <w:r>
      <w:rPr>
        <w:sz w:val="20"/>
      </w:rPr>
      <w:t>ocket No. TG-140560</w:t>
    </w:r>
  </w:p>
  <w:p w:rsidR="00FD174A" w:rsidRPr="00FB1779" w:rsidP="00FD174A">
    <w:pPr>
      <w:pStyle w:val="Header"/>
      <w:jc w:val="right"/>
      <w:rPr>
        <w:sz w:val="20"/>
      </w:rPr>
    </w:pPr>
    <w:r>
      <w:rPr>
        <w:sz w:val="20"/>
      </w:rPr>
      <w:t>Exhibit No. ___ (LD-2T)</w:t>
    </w:r>
  </w:p>
  <w:p w:rsidR="008A4A05" w:rsidP="00FD174A">
    <w:pPr>
      <w:pStyle w:val="Header"/>
      <w:jc w:val="right"/>
      <w:rPr>
        <w:sz w:val="20"/>
      </w:rPr>
    </w:pPr>
    <w:r>
      <w:rPr>
        <w:sz w:val="20"/>
      </w:rPr>
      <w:t>Witness Layne Demas</w:t>
    </w:r>
  </w:p>
  <w:p w:rsidR="00FD174A" w:rsidRPr="00FD174A" w:rsidP="00FD174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779" w:rsidP="00FD174A">
    <w:pPr>
      <w:pStyle w:val="Header"/>
      <w:jc w:val="right"/>
      <w:rPr>
        <w:sz w:val="20"/>
      </w:rPr>
    </w:pPr>
    <w:r>
      <w:rPr>
        <w:noProof/>
        <w:sz w:val="20"/>
      </w:rPr>
      <w:pict>
        <v:shapetype id="_x0000_t202" coordsize="21600,21600" o:spt="202" path="m,l,21600r21600,l21600,xe">
          <v:stroke joinstyle="miter"/>
          <v:path gradientshapeok="t" o:connecttype="rect"/>
        </v:shapetype>
        <v:shape id="LineNumbers" o:spid="_x0000_s2049"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8240" o:allowincell="f" stroked="f">
          <v:textbox inset="0,0,0,0">
            <w:txbxContent>
              <w:p w:rsidR="00FB1779">
                <w:pPr>
                  <w:spacing w:line="480" w:lineRule="exact"/>
                  <w:jc w:val="right"/>
                </w:pPr>
                <w:r>
                  <w:t>1</w:t>
                </w:r>
              </w:p>
              <w:p w:rsidR="00FB1779">
                <w:pPr>
                  <w:spacing w:line="480" w:lineRule="exact"/>
                  <w:jc w:val="right"/>
                </w:pPr>
                <w:r>
                  <w:t>2</w:t>
                </w:r>
              </w:p>
              <w:p w:rsidR="00FB1779">
                <w:pPr>
                  <w:spacing w:line="480" w:lineRule="exact"/>
                  <w:jc w:val="right"/>
                </w:pPr>
                <w:r>
                  <w:t>3</w:t>
                </w:r>
              </w:p>
              <w:p w:rsidR="00FB1779">
                <w:pPr>
                  <w:spacing w:line="480" w:lineRule="exact"/>
                  <w:jc w:val="right"/>
                </w:pPr>
                <w:r>
                  <w:t>4</w:t>
                </w:r>
              </w:p>
              <w:p w:rsidR="00FB1779">
                <w:pPr>
                  <w:spacing w:line="480" w:lineRule="exact"/>
                  <w:jc w:val="right"/>
                </w:pPr>
                <w:r>
                  <w:t>5</w:t>
                </w:r>
              </w:p>
              <w:p w:rsidR="00FB1779">
                <w:pPr>
                  <w:spacing w:line="480" w:lineRule="exact"/>
                  <w:jc w:val="right"/>
                </w:pPr>
                <w:r>
                  <w:t>6</w:t>
                </w:r>
              </w:p>
              <w:p w:rsidR="00FB1779">
                <w:pPr>
                  <w:spacing w:line="480" w:lineRule="exact"/>
                  <w:jc w:val="right"/>
                </w:pPr>
                <w:r>
                  <w:t>7</w:t>
                </w:r>
              </w:p>
              <w:p w:rsidR="00FB1779">
                <w:pPr>
                  <w:spacing w:line="480" w:lineRule="exact"/>
                  <w:jc w:val="right"/>
                </w:pPr>
                <w:r>
                  <w:t>8</w:t>
                </w:r>
              </w:p>
              <w:p w:rsidR="00FB1779">
                <w:pPr>
                  <w:spacing w:line="480" w:lineRule="exact"/>
                  <w:jc w:val="right"/>
                </w:pPr>
                <w:r>
                  <w:t>9</w:t>
                </w:r>
              </w:p>
              <w:p w:rsidR="00FB1779">
                <w:pPr>
                  <w:spacing w:line="480" w:lineRule="exact"/>
                  <w:jc w:val="right"/>
                </w:pPr>
                <w:r>
                  <w:t>10</w:t>
                </w:r>
              </w:p>
              <w:p w:rsidR="00FB1779">
                <w:pPr>
                  <w:spacing w:line="480" w:lineRule="exact"/>
                  <w:jc w:val="right"/>
                </w:pPr>
                <w:r>
                  <w:t>11</w:t>
                </w:r>
              </w:p>
              <w:p w:rsidR="00FB1779">
                <w:pPr>
                  <w:spacing w:line="480" w:lineRule="exact"/>
                  <w:jc w:val="right"/>
                </w:pPr>
                <w:r>
                  <w:t>12</w:t>
                </w:r>
              </w:p>
              <w:p w:rsidR="00FB1779">
                <w:pPr>
                  <w:spacing w:line="480" w:lineRule="exact"/>
                  <w:jc w:val="right"/>
                </w:pPr>
                <w:r>
                  <w:t>13</w:t>
                </w:r>
              </w:p>
              <w:p w:rsidR="00FB1779">
                <w:pPr>
                  <w:spacing w:line="480" w:lineRule="exact"/>
                  <w:jc w:val="right"/>
                </w:pPr>
                <w:r>
                  <w:t>14</w:t>
                </w:r>
              </w:p>
              <w:p w:rsidR="00FB1779">
                <w:pPr>
                  <w:spacing w:line="480" w:lineRule="exact"/>
                  <w:jc w:val="right"/>
                </w:pPr>
                <w:r>
                  <w:t>15</w:t>
                </w:r>
              </w:p>
              <w:p w:rsidR="00FB1779">
                <w:pPr>
                  <w:spacing w:line="480" w:lineRule="exact"/>
                  <w:jc w:val="right"/>
                </w:pPr>
                <w:r>
                  <w:t>16</w:t>
                </w:r>
              </w:p>
              <w:p w:rsidR="00FB1779">
                <w:pPr>
                  <w:spacing w:line="480" w:lineRule="exact"/>
                  <w:jc w:val="right"/>
                </w:pPr>
                <w:r>
                  <w:t>17</w:t>
                </w:r>
              </w:p>
              <w:p w:rsidR="00FB1779">
                <w:pPr>
                  <w:spacing w:line="480" w:lineRule="exact"/>
                  <w:jc w:val="right"/>
                </w:pPr>
                <w:r>
                  <w:t>18</w:t>
                </w:r>
              </w:p>
              <w:p w:rsidR="00FB1779">
                <w:pPr>
                  <w:spacing w:line="480" w:lineRule="exact"/>
                  <w:jc w:val="right"/>
                </w:pPr>
                <w:r>
                  <w:t>19</w:t>
                </w:r>
              </w:p>
              <w:p w:rsidR="00FB1779">
                <w:pPr>
                  <w:spacing w:line="480" w:lineRule="exact"/>
                  <w:jc w:val="right"/>
                </w:pPr>
                <w:r>
                  <w:t>20</w:t>
                </w:r>
              </w:p>
              <w:p w:rsidR="00FB1779">
                <w:pPr>
                  <w:spacing w:line="480" w:lineRule="exact"/>
                  <w:jc w:val="right"/>
                </w:pPr>
                <w:r>
                  <w:t>21</w:t>
                </w:r>
              </w:p>
              <w:p w:rsidR="00FB1779">
                <w:pPr>
                  <w:spacing w:line="480" w:lineRule="exact"/>
                  <w:jc w:val="right"/>
                </w:pPr>
                <w:r>
                  <w:t>22</w:t>
                </w:r>
              </w:p>
              <w:p w:rsidR="00FB1779">
                <w:pPr>
                  <w:spacing w:line="480" w:lineRule="exact"/>
                  <w:jc w:val="right"/>
                </w:pPr>
                <w:r>
                  <w:t>23</w:t>
                </w:r>
              </w:p>
              <w:p w:rsidR="00FB1779">
                <w:pPr>
                  <w:spacing w:line="480" w:lineRule="exact"/>
                  <w:jc w:val="right"/>
                </w:pPr>
                <w:r>
                  <w:t>24</w:t>
                </w:r>
              </w:p>
              <w:p w:rsidR="00FB1779">
                <w:pPr>
                  <w:spacing w:line="480" w:lineRule="exact"/>
                  <w:jc w:val="right"/>
                </w:pPr>
                <w:r>
                  <w:t>25</w:t>
                </w:r>
              </w:p>
              <w:p w:rsidR="00FB1779">
                <w:pPr>
                  <w:spacing w:line="480" w:lineRule="atLeast"/>
                  <w:jc w:val="right"/>
                </w:pP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F674363"/>
    <w:multiLevelType w:val="hybridMultilevel"/>
    <w:tmpl w:val="0422E0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7765641"/>
    <w:multiLevelType w:val="multilevel"/>
    <w:tmpl w:val="176612FC"/>
    <w:lvl w:ilvl="0">
      <w:start w:val="1"/>
      <w:numFmt w:val="none"/>
      <w:pStyle w:val="Heading1"/>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decimal"/>
      <w:suff w:val="nothing"/>
      <w:lvlText w:val="%2.  "/>
      <w:lvlJc w:val="left"/>
      <w:pPr>
        <w:tabs>
          <w:tab w:val="num" w:pos="0"/>
        </w:tabs>
        <w:ind w:left="72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Jc w:val="left"/>
      <w:pPr>
        <w:tabs>
          <w:tab w:val="num" w:pos="0"/>
        </w:tabs>
        <w:ind w:left="144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Jc w:val="left"/>
      <w:pPr>
        <w:tabs>
          <w:tab w:val="num" w:pos="0"/>
        </w:tabs>
        <w:ind w:left="216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Jc w:val="left"/>
      <w:pPr>
        <w:tabs>
          <w:tab w:val="num" w:pos="0"/>
        </w:tabs>
        <w:ind w:left="288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Jc w:val="left"/>
      <w:pPr>
        <w:tabs>
          <w:tab w:val="num" w:pos="0"/>
        </w:tabs>
        <w:ind w:left="360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Jc w:val="left"/>
      <w:pPr>
        <w:tabs>
          <w:tab w:val="num" w:pos="0"/>
        </w:tabs>
        <w:ind w:left="432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Jc w:val="left"/>
      <w:pPr>
        <w:tabs>
          <w:tab w:val="num" w:pos="0"/>
        </w:tabs>
        <w:ind w:left="504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Jc w:val="left"/>
      <w:pPr>
        <w:tabs>
          <w:tab w:val="num" w:pos="0"/>
        </w:tabs>
        <w:ind w:left="5760" w:hanging="720"/>
      </w:pPr>
      <w:rPr>
        <w:rFonts w:ascii="9999999" w:hAnsi="9999999"/>
        <w:b w:val="0"/>
        <w:i w:val="0"/>
        <w:caps w:val="0"/>
        <w:strike w:val="0"/>
        <w:dstrike w:val="0"/>
        <w:outline w:val="0"/>
        <w:shadow w:val="0"/>
        <w:emboss w:val="0"/>
        <w:imprint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455B08C3"/>
    <w:multiLevelType w:val="hybridMultilevel"/>
    <w:tmpl w:val="9B8CF09A"/>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3128FA"/>
    <w:multiLevelType w:val="hybridMultilevel"/>
    <w:tmpl w:val="70AC06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043820"/>
    <w:multiLevelType w:val="hybridMultilevel"/>
    <w:tmpl w:val="C5EA2382"/>
    <w:lvl w:ilvl="0">
      <w:start w:val="1"/>
      <w:numFmt w:val="upperRoman"/>
      <w:pStyle w:val="headingtitle"/>
      <w:lvlText w:val="%1."/>
      <w:lvlJc w:val="righ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6"/>
  </w:num>
  <w:num w:numId="16">
    <w:abstractNumId w:val="14"/>
  </w:num>
  <w:num w:numId="17">
    <w:abstractNumId w:val="1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doNotEmbedSmartTags/>
  <w:footnotePr>
    <w:footnote w:id="0"/>
    <w:footnote w:id="1"/>
  </w:foot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footer" w:uiPriority="99"/>
    <w:lsdException w:name="Title" w:qFormat="1"/>
    <w:lsdException w:name="Body Text" w:qFormat="1"/>
    <w:lsdException w:name="Body Text 2"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553C25"/>
    <w:pPr>
      <w:keepNext/>
      <w:keepLines/>
      <w:widowControl w:val="0"/>
      <w:numPr>
        <w:numId w:val="14"/>
      </w:numPr>
      <w:tabs>
        <w:tab w:val="clear" w:pos="0"/>
      </w:tabs>
      <w:spacing w:after="240"/>
      <w:jc w:val="center"/>
      <w:outlineLvl w:val="0"/>
    </w:pPr>
    <w:rPr>
      <w:bCs/>
      <w:caps/>
      <w:kern w:val="28"/>
      <w:szCs w:val="32"/>
      <w:u w:val="single"/>
    </w:rPr>
  </w:style>
  <w:style w:type="paragraph" w:styleId="Heading2">
    <w:name w:val="heading 2"/>
    <w:basedOn w:val="Normal"/>
    <w:next w:val="BodyText2"/>
    <w:qFormat/>
    <w:rsid w:val="002A410C"/>
    <w:pPr>
      <w:keepNext/>
      <w:keepLines/>
      <w:widowControl w:val="0"/>
      <w:numPr>
        <w:numId w:val="16"/>
      </w:numPr>
      <w:tabs>
        <w:tab w:val="left" w:pos="720"/>
      </w:tabs>
      <w:spacing w:after="240"/>
      <w:ind w:left="360"/>
      <w:outlineLvl w:val="1"/>
    </w:pPr>
    <w:rPr>
      <w:b/>
      <w:bCs/>
      <w:iCs/>
      <w:szCs w:val="28"/>
    </w:rPr>
  </w:style>
  <w:style w:type="paragraph" w:styleId="Heading3">
    <w:name w:val="heading 3"/>
    <w:basedOn w:val="Normal"/>
    <w:next w:val="BodyText2"/>
    <w:link w:val="Heading3Char"/>
    <w:qFormat/>
    <w:rsid w:val="00553C25"/>
    <w:pPr>
      <w:keepNext/>
      <w:keepLines/>
      <w:widowControl w:val="0"/>
      <w:numPr>
        <w:ilvl w:val="2"/>
        <w:numId w:val="14"/>
      </w:numPr>
      <w:tabs>
        <w:tab w:val="clear" w:pos="0"/>
      </w:tabs>
      <w:spacing w:after="240"/>
      <w:outlineLvl w:val="2"/>
    </w:pPr>
    <w:rPr>
      <w:bCs/>
      <w:szCs w:val="26"/>
      <w:u w:val="single"/>
    </w:rPr>
  </w:style>
  <w:style w:type="paragraph" w:styleId="Heading4">
    <w:name w:val="heading 4"/>
    <w:basedOn w:val="Normal"/>
    <w:next w:val="BodyText2"/>
    <w:rsid w:val="00553C25"/>
    <w:pPr>
      <w:keepNext/>
      <w:keepLines/>
      <w:widowControl w:val="0"/>
      <w:numPr>
        <w:ilvl w:val="3"/>
        <w:numId w:val="14"/>
      </w:numPr>
      <w:tabs>
        <w:tab w:val="clear" w:pos="0"/>
      </w:tabs>
      <w:spacing w:after="240"/>
      <w:outlineLvl w:val="3"/>
    </w:pPr>
    <w:rPr>
      <w:bCs/>
      <w:szCs w:val="28"/>
      <w:u w:val="single"/>
    </w:rPr>
  </w:style>
  <w:style w:type="paragraph" w:styleId="Heading5">
    <w:name w:val="heading 5"/>
    <w:basedOn w:val="Normal"/>
    <w:next w:val="BodyText2"/>
    <w:rsid w:val="00553C25"/>
    <w:pPr>
      <w:keepNext/>
      <w:keepLines/>
      <w:widowControl w:val="0"/>
      <w:numPr>
        <w:ilvl w:val="4"/>
        <w:numId w:val="14"/>
      </w:numPr>
      <w:tabs>
        <w:tab w:val="clear" w:pos="0"/>
      </w:tabs>
      <w:spacing w:after="240"/>
      <w:outlineLvl w:val="4"/>
    </w:pPr>
    <w:rPr>
      <w:bCs/>
      <w:iCs/>
      <w:szCs w:val="26"/>
      <w:u w:val="single"/>
    </w:rPr>
  </w:style>
  <w:style w:type="paragraph" w:styleId="Heading6">
    <w:name w:val="heading 6"/>
    <w:basedOn w:val="Normal"/>
    <w:next w:val="BodyText2"/>
    <w:rsid w:val="00553C25"/>
    <w:pPr>
      <w:keepNext/>
      <w:keepLines/>
      <w:widowControl w:val="0"/>
      <w:numPr>
        <w:ilvl w:val="5"/>
        <w:numId w:val="14"/>
      </w:numPr>
      <w:tabs>
        <w:tab w:val="clear" w:pos="0"/>
      </w:tabs>
      <w:spacing w:after="240"/>
      <w:outlineLvl w:val="5"/>
    </w:pPr>
    <w:rPr>
      <w:bCs/>
      <w:szCs w:val="22"/>
      <w:u w:val="single"/>
    </w:rPr>
  </w:style>
  <w:style w:type="paragraph" w:styleId="Heading7">
    <w:name w:val="heading 7"/>
    <w:basedOn w:val="Normal"/>
    <w:next w:val="BodyText2"/>
    <w:rsid w:val="00553C25"/>
    <w:pPr>
      <w:keepNext/>
      <w:keepLines/>
      <w:widowControl w:val="0"/>
      <w:numPr>
        <w:ilvl w:val="6"/>
        <w:numId w:val="14"/>
      </w:numPr>
      <w:tabs>
        <w:tab w:val="clear" w:pos="0"/>
      </w:tabs>
      <w:spacing w:after="240"/>
      <w:outlineLvl w:val="6"/>
    </w:pPr>
    <w:rPr>
      <w:u w:val="single"/>
    </w:rPr>
  </w:style>
  <w:style w:type="paragraph" w:styleId="Heading8">
    <w:name w:val="heading 8"/>
    <w:basedOn w:val="Normal"/>
    <w:next w:val="BodyText2"/>
    <w:rsid w:val="00553C25"/>
    <w:pPr>
      <w:keepNext/>
      <w:keepLines/>
      <w:widowControl w:val="0"/>
      <w:numPr>
        <w:ilvl w:val="7"/>
        <w:numId w:val="14"/>
      </w:numPr>
      <w:tabs>
        <w:tab w:val="clear" w:pos="0"/>
      </w:tabs>
      <w:spacing w:after="240"/>
      <w:outlineLvl w:val="7"/>
    </w:pPr>
    <w:rPr>
      <w:iCs/>
      <w:u w:val="single"/>
    </w:rPr>
  </w:style>
  <w:style w:type="paragraph" w:styleId="Heading9">
    <w:name w:val="heading 9"/>
    <w:basedOn w:val="Normal"/>
    <w:next w:val="BodyText2"/>
    <w:rsid w:val="00553C25"/>
    <w:pPr>
      <w:keepNext/>
      <w:keepLines/>
      <w:widowControl w:val="0"/>
      <w:numPr>
        <w:ilvl w:val="8"/>
        <w:numId w:val="14"/>
      </w:numPr>
      <w:tabs>
        <w:tab w:val="clear" w:pos="0"/>
      </w:tabs>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link w:val="JudgeChar"/>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 w:type="character" w:customStyle="1" w:styleId="FooterChar">
    <w:name w:val="Footer Char"/>
    <w:basedOn w:val="DefaultParagraphFont"/>
    <w:link w:val="Footer"/>
    <w:uiPriority w:val="99"/>
    <w:rsid w:val="001E56C8"/>
  </w:style>
  <w:style w:type="paragraph" w:styleId="TOCHeading">
    <w:name w:val="TOC Heading"/>
    <w:basedOn w:val="Heading1"/>
    <w:next w:val="Normal"/>
    <w:uiPriority w:val="39"/>
    <w:semiHidden/>
    <w:unhideWhenUsed/>
    <w:qFormat/>
    <w:rsid w:val="000D523E"/>
    <w:pPr>
      <w:widowControl/>
      <w:numPr>
        <w:numId w:val="0"/>
      </w:numPr>
      <w:spacing w:before="480" w:after="0" w:line="276" w:lineRule="auto"/>
      <w:jc w:val="left"/>
      <w:outlineLvl w:val="9"/>
    </w:pPr>
    <w:rPr>
      <w:rFonts w:asciiTheme="majorHAnsi" w:eastAsiaTheme="majorEastAsia" w:hAnsiTheme="majorHAnsi" w:cstheme="majorBidi"/>
      <w:b/>
      <w:caps w:val="0"/>
      <w:color w:val="365F91" w:themeColor="accent1" w:themeShade="BF"/>
      <w:kern w:val="0"/>
      <w:sz w:val="28"/>
      <w:szCs w:val="28"/>
      <w:u w:val="none"/>
      <w:lang w:eastAsia="ja-JP"/>
    </w:rPr>
  </w:style>
  <w:style w:type="paragraph" w:customStyle="1" w:styleId="QUESTION">
    <w:name w:val="QUESTION"/>
    <w:basedOn w:val="Judge"/>
    <w:next w:val="Answer"/>
    <w:link w:val="QUESTIONChar"/>
    <w:qFormat/>
    <w:rsid w:val="00694BA3"/>
    <w:pPr>
      <w:spacing w:line="240" w:lineRule="auto"/>
      <w:ind w:left="720" w:hanging="720"/>
      <w:jc w:val="left"/>
    </w:pPr>
    <w:rPr>
      <w:b/>
      <w:caps/>
    </w:rPr>
  </w:style>
  <w:style w:type="paragraph" w:customStyle="1" w:styleId="Answer">
    <w:name w:val="Answer"/>
    <w:basedOn w:val="Judge"/>
    <w:next w:val="QUESTION"/>
    <w:link w:val="AnswerChar"/>
    <w:qFormat/>
    <w:rsid w:val="00694BA3"/>
    <w:pPr>
      <w:spacing w:before="240" w:after="240" w:line="480" w:lineRule="exact"/>
      <w:ind w:left="720" w:hanging="720"/>
      <w:jc w:val="left"/>
    </w:pPr>
  </w:style>
  <w:style w:type="character" w:customStyle="1" w:styleId="JudgeChar">
    <w:name w:val="Judge Char"/>
    <w:basedOn w:val="DefaultParagraphFont"/>
    <w:link w:val="Judge"/>
    <w:semiHidden/>
    <w:rsid w:val="00733611"/>
    <w:rPr>
      <w:sz w:val="24"/>
      <w:szCs w:val="24"/>
    </w:rPr>
  </w:style>
  <w:style w:type="character" w:customStyle="1" w:styleId="QUESTIONChar">
    <w:name w:val="QUESTION Char"/>
    <w:basedOn w:val="JudgeChar"/>
    <w:link w:val="QUESTION"/>
    <w:rsid w:val="00694BA3"/>
    <w:rPr>
      <w:b/>
      <w:caps/>
      <w:sz w:val="24"/>
      <w:szCs w:val="24"/>
    </w:rPr>
  </w:style>
  <w:style w:type="character" w:customStyle="1" w:styleId="AnswerChar">
    <w:name w:val="Answer Char"/>
    <w:basedOn w:val="JudgeChar"/>
    <w:link w:val="Answer"/>
    <w:rsid w:val="00694BA3"/>
    <w:rPr>
      <w:sz w:val="24"/>
      <w:szCs w:val="24"/>
    </w:rPr>
  </w:style>
  <w:style w:type="paragraph" w:customStyle="1" w:styleId="headingtitle">
    <w:name w:val="heading title"/>
    <w:basedOn w:val="Heading3"/>
    <w:next w:val="QUESTION"/>
    <w:link w:val="headingtitleChar"/>
    <w:qFormat/>
    <w:rsid w:val="002A2DA0"/>
    <w:pPr>
      <w:numPr>
        <w:ilvl w:val="0"/>
        <w:numId w:val="15"/>
      </w:numPr>
      <w:jc w:val="center"/>
    </w:pPr>
    <w:rPr>
      <w:b/>
      <w:caps/>
      <w:u w:val="none"/>
    </w:rPr>
  </w:style>
  <w:style w:type="character" w:customStyle="1" w:styleId="Heading3Char">
    <w:name w:val="Heading 3 Char"/>
    <w:basedOn w:val="DefaultParagraphFont"/>
    <w:link w:val="Heading3"/>
    <w:rsid w:val="00553C25"/>
    <w:rPr>
      <w:bCs/>
      <w:sz w:val="24"/>
      <w:szCs w:val="26"/>
      <w:u w:val="single"/>
    </w:rPr>
  </w:style>
  <w:style w:type="character" w:customStyle="1" w:styleId="headingtitleChar">
    <w:name w:val="heading title Char"/>
    <w:basedOn w:val="Heading3Char"/>
    <w:link w:val="headingtitle"/>
    <w:rsid w:val="002A2DA0"/>
    <w:rPr>
      <w:b/>
      <w:bCs/>
      <w:caps/>
      <w:sz w:val="24"/>
      <w:szCs w:val="26"/>
      <w:u w:val="single"/>
    </w:rPr>
  </w:style>
  <w:style w:type="paragraph" w:customStyle="1" w:styleId="headinga">
    <w:name w:val="heading a"/>
    <w:basedOn w:val="Judge"/>
    <w:link w:val="headingaChar"/>
    <w:qFormat/>
    <w:rsid w:val="00A62D76"/>
    <w:pPr>
      <w:spacing w:line="480" w:lineRule="exact"/>
      <w:ind w:left="720" w:hanging="720"/>
      <w:jc w:val="left"/>
    </w:pPr>
  </w:style>
  <w:style w:type="character" w:customStyle="1" w:styleId="headingaChar">
    <w:name w:val="heading a Char"/>
    <w:basedOn w:val="JudgeChar"/>
    <w:link w:val="headinga"/>
    <w:rsid w:val="00A62D76"/>
    <w:rPr>
      <w:sz w:val="24"/>
      <w:szCs w:val="24"/>
    </w:rPr>
  </w:style>
  <w:style w:type="paragraph" w:styleId="EndnoteText">
    <w:name w:val="endnote text"/>
    <w:basedOn w:val="Normal"/>
    <w:link w:val="EndnoteTextChar"/>
    <w:rsid w:val="002D0022"/>
    <w:pPr>
      <w:spacing w:line="240" w:lineRule="auto"/>
    </w:pPr>
    <w:rPr>
      <w:sz w:val="20"/>
    </w:rPr>
  </w:style>
  <w:style w:type="character" w:customStyle="1" w:styleId="EndnoteTextChar">
    <w:name w:val="Endnote Text Char"/>
    <w:basedOn w:val="DefaultParagraphFont"/>
    <w:link w:val="EndnoteText"/>
    <w:rsid w:val="002D0022"/>
  </w:style>
  <w:style w:type="character" w:styleId="EndnoteReference">
    <w:name w:val="endnote reference"/>
    <w:basedOn w:val="DefaultParagraphFont"/>
    <w:rsid w:val="002D0022"/>
    <w:rPr>
      <w:vertAlign w:val="superscript"/>
    </w:rPr>
  </w:style>
  <w:style w:type="paragraph" w:customStyle="1" w:styleId="Style1a">
    <w:name w:val="Style1a"/>
    <w:basedOn w:val="Normal"/>
    <w:link w:val="Style1aChar"/>
    <w:qFormat/>
    <w:rsid w:val="008725F5"/>
    <w:pPr>
      <w:spacing w:line="240" w:lineRule="auto"/>
      <w:ind w:left="720" w:hanging="720"/>
    </w:pPr>
    <w:rPr>
      <w:szCs w:val="24"/>
    </w:rPr>
  </w:style>
  <w:style w:type="character" w:customStyle="1" w:styleId="Style1aChar">
    <w:name w:val="Style1a Char"/>
    <w:basedOn w:val="DefaultParagraphFont"/>
    <w:link w:val="Style1a"/>
    <w:rsid w:val="008725F5"/>
    <w:rPr>
      <w:sz w:val="24"/>
      <w:szCs w:val="24"/>
    </w:rPr>
  </w:style>
  <w:style w:type="character" w:customStyle="1" w:styleId="PlainTextChar">
    <w:name w:val="Plain Text Char"/>
    <w:basedOn w:val="DefaultParagraphFont"/>
    <w:link w:val="PlainText"/>
    <w:uiPriority w:val="99"/>
    <w:semiHidden/>
    <w:rsid w:val="0051374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9" Type="http://schemas.openxmlformats.org/officeDocument/2006/relationships/customXml" Target="../customXml/item4.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2014-11-07T08:00:00+00:00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8A6971-B56C-498B-A637-463AD340E8C5}"/>
</file>

<file path=customXml/itemProps2.xml><?xml version="1.0" encoding="utf-8"?>
<ds:datastoreItem xmlns:ds="http://schemas.openxmlformats.org/officeDocument/2006/customXml" ds:itemID="{D3E36FDC-EF74-4253-9DE4-BFD7049C9E07}"/>
</file>

<file path=customXml/itemProps3.xml><?xml version="1.0" encoding="utf-8"?>
<ds:datastoreItem xmlns:ds="http://schemas.openxmlformats.org/officeDocument/2006/customXml" ds:itemID="{99B7C1C0-55B3-4F66-B0FB-F0B9BFCE59EC}"/>
</file>

<file path=customXml/itemProps4.xml><?xml version="1.0" encoding="utf-8"?>
<ds:datastoreItem xmlns:ds="http://schemas.openxmlformats.org/officeDocument/2006/customXml" ds:itemID="{0D2B8637-2006-4DE6-ABDE-D20C3ED5A0EE}"/>
</file>

<file path=docProps/app.xml><?xml version="1.0" encoding="utf-8"?>
<Properties xmlns="http://schemas.openxmlformats.org/officeDocument/2006/extended-properties" xmlns:vt="http://schemas.openxmlformats.org/officeDocument/2006/docPropsVTypes">
  <Template>Normal.dotm</Template>
  <TotalTime>0</TotalTime>
  <Pages>8</Pages>
  <Words>1462</Words>
  <Characters>7974</Characters>
  <Application>Microsoft Office Word</Application>
  <DocSecurity>0</DocSecurity>
  <Lines>274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2014-11-07T22:52:28Z</dcterms:created>
  <dcterms:modified xsi:type="dcterms:W3CDTF">2014-11-07T22:52:28Z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5148777.1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