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theme/theme1.xml" ContentType="application/vnd.openxmlformats-officedocument.theme+xml"/>
  <Override PartName="/word/theme/themeOverride2.xml" ContentType="application/vnd.openxmlformats-officedocument.themeOverride+xml"/>
  <Override PartName="/word/charts/chart2.xml" ContentType="application/vnd.openxmlformats-officedocument.drawingml.chart+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EB20" w14:textId="77777777" w:rsidR="00017F39" w:rsidRPr="00FD4EF8" w:rsidRDefault="0064538F" w:rsidP="00D76529">
      <w:pPr>
        <w:rPr>
          <w:i/>
          <w:sz w:val="24"/>
          <w:szCs w:val="24"/>
        </w:rPr>
      </w:pPr>
      <w:bookmarkStart w:id="0" w:name="_GoBack"/>
      <w:bookmarkEnd w:id="0"/>
      <w:r w:rsidRPr="00FD4EF8">
        <w:rPr>
          <w:noProof/>
          <w:sz w:val="24"/>
          <w:szCs w:val="24"/>
        </w:rPr>
        <w:drawing>
          <wp:anchor distT="0" distB="0" distL="114300" distR="114300" simplePos="0" relativeHeight="251657728" behindDoc="0" locked="0" layoutInCell="1" allowOverlap="1" wp14:anchorId="1035EC7C" wp14:editId="1035EC7D">
            <wp:simplePos x="0" y="0"/>
            <wp:positionH relativeFrom="column">
              <wp:posOffset>15240</wp:posOffset>
            </wp:positionH>
            <wp:positionV relativeFrom="paragraph">
              <wp:posOffset>-423545</wp:posOffset>
            </wp:positionV>
            <wp:extent cx="2705100" cy="1028700"/>
            <wp:effectExtent l="0" t="0" r="0" b="0"/>
            <wp:wrapNone/>
            <wp:docPr id="6"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pic:spPr>
                </pic:pic>
              </a:graphicData>
            </a:graphic>
            <wp14:sizeRelH relativeFrom="page">
              <wp14:pctWidth>0</wp14:pctWidth>
            </wp14:sizeRelH>
            <wp14:sizeRelV relativeFrom="page">
              <wp14:pctHeight>0</wp14:pctHeight>
            </wp14:sizeRelV>
          </wp:anchor>
        </w:drawing>
      </w:r>
    </w:p>
    <w:p w14:paraId="1035EB21" w14:textId="77777777" w:rsidR="00017F39" w:rsidRPr="00FD4EF8" w:rsidRDefault="00017F39" w:rsidP="00D76529">
      <w:pPr>
        <w:rPr>
          <w:i/>
          <w:sz w:val="24"/>
          <w:szCs w:val="24"/>
        </w:rPr>
      </w:pPr>
    </w:p>
    <w:p w14:paraId="1035EB22" w14:textId="77777777" w:rsidR="00017F39" w:rsidRPr="00FD4EF8" w:rsidRDefault="00017F39" w:rsidP="00D76529">
      <w:pPr>
        <w:rPr>
          <w:i/>
          <w:sz w:val="24"/>
          <w:szCs w:val="24"/>
        </w:rPr>
      </w:pPr>
    </w:p>
    <w:p w14:paraId="1035EB23" w14:textId="77777777" w:rsidR="00B06C0E" w:rsidRPr="00FD4EF8" w:rsidRDefault="00B06C0E" w:rsidP="00D76529">
      <w:pPr>
        <w:rPr>
          <w:sz w:val="24"/>
          <w:szCs w:val="24"/>
        </w:rPr>
      </w:pPr>
    </w:p>
    <w:p w14:paraId="1035EB24" w14:textId="77777777" w:rsidR="00FD4EF8" w:rsidRDefault="00FD4EF8">
      <w:pPr>
        <w:pStyle w:val="Heading1"/>
        <w:rPr>
          <w:szCs w:val="24"/>
        </w:rPr>
      </w:pPr>
    </w:p>
    <w:p w14:paraId="1035EB25" w14:textId="77777777" w:rsidR="00FD4EF8" w:rsidRDefault="00FD4EF8">
      <w:pPr>
        <w:pStyle w:val="Heading1"/>
        <w:rPr>
          <w:szCs w:val="24"/>
        </w:rPr>
      </w:pPr>
    </w:p>
    <w:p w14:paraId="1035EB26" w14:textId="77777777" w:rsidR="00017F39" w:rsidRPr="00FD4EF8" w:rsidRDefault="0002170D">
      <w:pPr>
        <w:pStyle w:val="Heading1"/>
        <w:rPr>
          <w:b/>
          <w:szCs w:val="24"/>
        </w:rPr>
      </w:pPr>
      <w:r w:rsidRPr="00FD4EF8">
        <w:rPr>
          <w:szCs w:val="24"/>
        </w:rPr>
        <w:t>November</w:t>
      </w:r>
      <w:r w:rsidR="005E7E93" w:rsidRPr="00FD4EF8">
        <w:rPr>
          <w:szCs w:val="24"/>
        </w:rPr>
        <w:t xml:space="preserve"> </w:t>
      </w:r>
      <w:r w:rsidR="003D5C88" w:rsidRPr="00FD4EF8">
        <w:rPr>
          <w:szCs w:val="24"/>
        </w:rPr>
        <w:t>6</w:t>
      </w:r>
      <w:r w:rsidR="00017F39" w:rsidRPr="00FD4EF8">
        <w:rPr>
          <w:szCs w:val="24"/>
        </w:rPr>
        <w:t>, 201</w:t>
      </w:r>
      <w:r w:rsidR="006350E8" w:rsidRPr="00FD4EF8">
        <w:rPr>
          <w:szCs w:val="24"/>
        </w:rPr>
        <w:t>5</w:t>
      </w:r>
    </w:p>
    <w:p w14:paraId="1035EB27" w14:textId="77777777" w:rsidR="00017F39" w:rsidRPr="00FD4EF8" w:rsidRDefault="00017F39" w:rsidP="00D76529">
      <w:pPr>
        <w:rPr>
          <w:sz w:val="24"/>
          <w:szCs w:val="24"/>
        </w:rPr>
      </w:pPr>
    </w:p>
    <w:p w14:paraId="1035EB28" w14:textId="77777777" w:rsidR="00017F39" w:rsidRPr="00FD4EF8" w:rsidRDefault="00017F39">
      <w:pPr>
        <w:rPr>
          <w:sz w:val="24"/>
          <w:szCs w:val="24"/>
        </w:rPr>
      </w:pPr>
    </w:p>
    <w:p w14:paraId="1035EB29" w14:textId="77777777" w:rsidR="00BB1BB2" w:rsidRPr="00FD4EF8" w:rsidRDefault="00BB1BB2">
      <w:pPr>
        <w:rPr>
          <w:sz w:val="24"/>
          <w:szCs w:val="24"/>
        </w:rPr>
      </w:pPr>
    </w:p>
    <w:p w14:paraId="1035EB2A" w14:textId="77777777" w:rsidR="00103255" w:rsidRPr="00FD4EF8" w:rsidRDefault="00103255" w:rsidP="00103255">
      <w:pPr>
        <w:rPr>
          <w:sz w:val="24"/>
          <w:szCs w:val="24"/>
        </w:rPr>
      </w:pPr>
      <w:r w:rsidRPr="00FD4EF8">
        <w:rPr>
          <w:sz w:val="24"/>
          <w:szCs w:val="24"/>
        </w:rPr>
        <w:t xml:space="preserve">Mr. Steven V. King </w:t>
      </w:r>
    </w:p>
    <w:p w14:paraId="1035EB2B" w14:textId="77777777" w:rsidR="00103255" w:rsidRPr="00FD4EF8" w:rsidRDefault="00103255" w:rsidP="00103255">
      <w:pPr>
        <w:rPr>
          <w:sz w:val="24"/>
          <w:szCs w:val="24"/>
        </w:rPr>
      </w:pPr>
      <w:r w:rsidRPr="00FD4EF8">
        <w:rPr>
          <w:sz w:val="24"/>
          <w:szCs w:val="24"/>
        </w:rPr>
        <w:t xml:space="preserve">Executive Director and Secretary </w:t>
      </w:r>
    </w:p>
    <w:p w14:paraId="1035EB2C" w14:textId="77777777" w:rsidR="00103255" w:rsidRPr="00FD4EF8" w:rsidRDefault="00103255" w:rsidP="00103255">
      <w:pPr>
        <w:rPr>
          <w:sz w:val="24"/>
          <w:szCs w:val="24"/>
        </w:rPr>
      </w:pPr>
      <w:r w:rsidRPr="00FD4EF8">
        <w:rPr>
          <w:sz w:val="24"/>
          <w:szCs w:val="24"/>
        </w:rPr>
        <w:t xml:space="preserve">Washington Utilities and Transportation Commission </w:t>
      </w:r>
    </w:p>
    <w:p w14:paraId="1035EB2D" w14:textId="77777777" w:rsidR="00103255" w:rsidRPr="00FD4EF8" w:rsidRDefault="00103255" w:rsidP="00103255">
      <w:pPr>
        <w:rPr>
          <w:sz w:val="24"/>
          <w:szCs w:val="24"/>
        </w:rPr>
      </w:pPr>
      <w:r w:rsidRPr="00FD4EF8">
        <w:rPr>
          <w:sz w:val="24"/>
          <w:szCs w:val="24"/>
        </w:rPr>
        <w:t>P.O. Box 47250</w:t>
      </w:r>
    </w:p>
    <w:p w14:paraId="1035EB2E" w14:textId="77777777" w:rsidR="00017F39" w:rsidRPr="00FD4EF8" w:rsidRDefault="00103255" w:rsidP="00103255">
      <w:pPr>
        <w:rPr>
          <w:sz w:val="24"/>
          <w:szCs w:val="24"/>
        </w:rPr>
      </w:pPr>
      <w:r w:rsidRPr="00FD4EF8">
        <w:rPr>
          <w:sz w:val="24"/>
          <w:szCs w:val="24"/>
        </w:rPr>
        <w:t>Olympia, Washington 98504-7250</w:t>
      </w:r>
    </w:p>
    <w:p w14:paraId="1035EB2F" w14:textId="77777777" w:rsidR="00103255" w:rsidRPr="00FD4EF8" w:rsidRDefault="00103255" w:rsidP="00103255">
      <w:pPr>
        <w:rPr>
          <w:sz w:val="24"/>
          <w:szCs w:val="24"/>
        </w:rPr>
      </w:pPr>
    </w:p>
    <w:p w14:paraId="1035EB30" w14:textId="77777777" w:rsidR="0033248B" w:rsidRPr="00FD4EF8" w:rsidRDefault="00017F39" w:rsidP="00A80A02">
      <w:pPr>
        <w:rPr>
          <w:sz w:val="24"/>
          <w:szCs w:val="24"/>
          <w:u w:val="single"/>
        </w:rPr>
      </w:pPr>
      <w:r w:rsidRPr="00FD4EF8">
        <w:rPr>
          <w:b/>
          <w:sz w:val="24"/>
          <w:szCs w:val="24"/>
        </w:rPr>
        <w:t>RE:</w:t>
      </w:r>
      <w:r w:rsidRPr="00FD4EF8">
        <w:rPr>
          <w:sz w:val="24"/>
          <w:szCs w:val="24"/>
        </w:rPr>
        <w:t xml:space="preserve"> </w:t>
      </w:r>
      <w:r w:rsidRPr="00FD4EF8">
        <w:rPr>
          <w:sz w:val="24"/>
          <w:szCs w:val="24"/>
        </w:rPr>
        <w:tab/>
      </w:r>
      <w:r w:rsidR="0033248B" w:rsidRPr="00FD4EF8">
        <w:rPr>
          <w:sz w:val="24"/>
          <w:szCs w:val="24"/>
        </w:rPr>
        <w:t>Docket No. UG-151872 (</w:t>
      </w:r>
      <w:r w:rsidRPr="00FD4EF8">
        <w:rPr>
          <w:sz w:val="24"/>
          <w:szCs w:val="24"/>
        </w:rPr>
        <w:t>Advice No. 201</w:t>
      </w:r>
      <w:r w:rsidR="006350E8" w:rsidRPr="00FD4EF8">
        <w:rPr>
          <w:sz w:val="24"/>
          <w:szCs w:val="24"/>
        </w:rPr>
        <w:t>5</w:t>
      </w:r>
      <w:r w:rsidRPr="00FD4EF8">
        <w:rPr>
          <w:sz w:val="24"/>
          <w:szCs w:val="24"/>
        </w:rPr>
        <w:t>-</w:t>
      </w:r>
      <w:r w:rsidR="001C73BF" w:rsidRPr="00FD4EF8">
        <w:rPr>
          <w:sz w:val="24"/>
          <w:szCs w:val="24"/>
        </w:rPr>
        <w:t>24</w:t>
      </w:r>
      <w:r w:rsidR="0033248B" w:rsidRPr="00FD4EF8">
        <w:rPr>
          <w:sz w:val="24"/>
          <w:szCs w:val="24"/>
        </w:rPr>
        <w:t xml:space="preserve">) – </w:t>
      </w:r>
      <w:r w:rsidR="0033248B" w:rsidRPr="00FD4EF8">
        <w:rPr>
          <w:b/>
          <w:sz w:val="24"/>
          <w:szCs w:val="24"/>
          <w:u w:val="single"/>
        </w:rPr>
        <w:t>Do Not Redocket</w:t>
      </w:r>
    </w:p>
    <w:p w14:paraId="1035EB31" w14:textId="77777777" w:rsidR="00017F39" w:rsidRPr="00FD4EF8" w:rsidRDefault="0033248B" w:rsidP="0033248B">
      <w:pPr>
        <w:ind w:firstLine="720"/>
        <w:rPr>
          <w:sz w:val="24"/>
          <w:szCs w:val="24"/>
        </w:rPr>
      </w:pPr>
      <w:r w:rsidRPr="00FD4EF8">
        <w:rPr>
          <w:sz w:val="24"/>
          <w:szCs w:val="24"/>
        </w:rPr>
        <w:t xml:space="preserve">Substitute </w:t>
      </w:r>
      <w:r w:rsidR="00017F39" w:rsidRPr="00FD4EF8">
        <w:rPr>
          <w:sz w:val="24"/>
          <w:szCs w:val="24"/>
        </w:rPr>
        <w:t>Tariff Filing – Filed Electronically</w:t>
      </w:r>
    </w:p>
    <w:p w14:paraId="1035EB32" w14:textId="77777777" w:rsidR="00017F39" w:rsidRPr="00FD4EF8" w:rsidRDefault="00017F39">
      <w:pPr>
        <w:rPr>
          <w:sz w:val="24"/>
          <w:szCs w:val="24"/>
        </w:rPr>
      </w:pPr>
      <w:r w:rsidRPr="00FD4EF8">
        <w:rPr>
          <w:sz w:val="24"/>
          <w:szCs w:val="24"/>
        </w:rPr>
        <w:tab/>
      </w:r>
    </w:p>
    <w:p w14:paraId="1035EB33" w14:textId="77777777" w:rsidR="00017F39" w:rsidRPr="00FD4EF8" w:rsidRDefault="00017F39">
      <w:pPr>
        <w:rPr>
          <w:sz w:val="24"/>
          <w:szCs w:val="24"/>
        </w:rPr>
      </w:pPr>
      <w:r w:rsidRPr="00FD4EF8">
        <w:rPr>
          <w:sz w:val="24"/>
          <w:szCs w:val="24"/>
        </w:rPr>
        <w:t xml:space="preserve">Dear Mr. </w:t>
      </w:r>
      <w:r w:rsidR="00103255" w:rsidRPr="00FD4EF8">
        <w:rPr>
          <w:sz w:val="24"/>
          <w:szCs w:val="24"/>
        </w:rPr>
        <w:t>King</w:t>
      </w:r>
      <w:r w:rsidRPr="00FD4EF8">
        <w:rPr>
          <w:sz w:val="24"/>
          <w:szCs w:val="24"/>
        </w:rPr>
        <w:t>:</w:t>
      </w:r>
    </w:p>
    <w:p w14:paraId="1035EB34" w14:textId="77777777" w:rsidR="00017F39" w:rsidRPr="00FD4EF8" w:rsidRDefault="00017F39">
      <w:pPr>
        <w:rPr>
          <w:sz w:val="24"/>
          <w:szCs w:val="24"/>
        </w:rPr>
      </w:pPr>
    </w:p>
    <w:p w14:paraId="1035EB35" w14:textId="77777777" w:rsidR="00A30F76" w:rsidRPr="00FD4EF8" w:rsidRDefault="008D6398" w:rsidP="00A30F76">
      <w:pPr>
        <w:keepNext/>
        <w:tabs>
          <w:tab w:val="left" w:pos="0"/>
        </w:tabs>
        <w:ind w:right="-29"/>
        <w:rPr>
          <w:snapToGrid w:val="0"/>
          <w:sz w:val="24"/>
          <w:szCs w:val="24"/>
        </w:rPr>
      </w:pPr>
      <w:r>
        <w:rPr>
          <w:sz w:val="24"/>
          <w:szCs w:val="24"/>
        </w:rPr>
        <w:t>Puget Sound Energy</w:t>
      </w:r>
      <w:r w:rsidR="00A30F76" w:rsidRPr="00FD4EF8">
        <w:rPr>
          <w:sz w:val="24"/>
          <w:szCs w:val="24"/>
        </w:rPr>
        <w:t xml:space="preserve"> </w:t>
      </w:r>
      <w:r w:rsidR="00712297">
        <w:rPr>
          <w:sz w:val="24"/>
          <w:szCs w:val="24"/>
        </w:rPr>
        <w:t xml:space="preserve">also known as </w:t>
      </w:r>
      <w:r w:rsidR="00712297" w:rsidRPr="00712297">
        <w:rPr>
          <w:sz w:val="24"/>
          <w:szCs w:val="24"/>
        </w:rPr>
        <w:t>Puget Sound Energy</w:t>
      </w:r>
      <w:r w:rsidR="00712297">
        <w:rPr>
          <w:sz w:val="24"/>
          <w:szCs w:val="24"/>
        </w:rPr>
        <w:t xml:space="preserve">, Inc. </w:t>
      </w:r>
      <w:r w:rsidR="00A30F76" w:rsidRPr="00FD4EF8">
        <w:rPr>
          <w:sz w:val="24"/>
          <w:szCs w:val="24"/>
        </w:rPr>
        <w:t xml:space="preserve">(“PSE”) hereby submits in connection with Docket No. UG-151872, the following substitute attachment to replace the attachment accompanying PSE’s filing on September 18, 2015, under PSE’s Advice No. 2015-24.  This substitute filing is pursuant to RCW 80.28.060 and Chapter 480-80 WAC and includes the following portion of </w:t>
      </w:r>
      <w:r w:rsidR="00681C92" w:rsidRPr="00FD4EF8">
        <w:rPr>
          <w:sz w:val="24"/>
          <w:szCs w:val="24"/>
        </w:rPr>
        <w:t>PSE</w:t>
      </w:r>
      <w:r w:rsidR="00A30F76" w:rsidRPr="00FD4EF8">
        <w:rPr>
          <w:sz w:val="24"/>
          <w:szCs w:val="24"/>
        </w:rPr>
        <w:t>’s WN U-2, Tariff for natural gas service</w:t>
      </w:r>
      <w:r w:rsidR="00A30F76" w:rsidRPr="00FD4EF8">
        <w:rPr>
          <w:snapToGrid w:val="0"/>
          <w:sz w:val="24"/>
          <w:szCs w:val="24"/>
        </w:rPr>
        <w:t xml:space="preserve">:  </w:t>
      </w:r>
    </w:p>
    <w:p w14:paraId="1035EB36" w14:textId="77777777" w:rsidR="00A30F76" w:rsidRPr="00FD4EF8" w:rsidRDefault="00A30F76" w:rsidP="00A30F76">
      <w:pPr>
        <w:keepNext/>
        <w:tabs>
          <w:tab w:val="left" w:pos="0"/>
        </w:tabs>
        <w:ind w:right="-29"/>
        <w:rPr>
          <w:snapToGrid w:val="0"/>
          <w:sz w:val="24"/>
          <w:szCs w:val="24"/>
        </w:rPr>
      </w:pPr>
    </w:p>
    <w:p w14:paraId="1035EB37" w14:textId="77777777" w:rsidR="00A30F76" w:rsidRPr="00FD4EF8" w:rsidRDefault="00A30F76" w:rsidP="00A30F76">
      <w:pPr>
        <w:pStyle w:val="BodyText"/>
        <w:tabs>
          <w:tab w:val="left" w:pos="2340"/>
        </w:tabs>
        <w:ind w:right="-90"/>
        <w:jc w:val="center"/>
        <w:rPr>
          <w:snapToGrid w:val="0"/>
          <w:szCs w:val="24"/>
        </w:rPr>
      </w:pPr>
      <w:bookmarkStart w:id="1" w:name="OLE_LINK1"/>
      <w:r w:rsidRPr="00FD4EF8">
        <w:rPr>
          <w:snapToGrid w:val="0"/>
          <w:szCs w:val="24"/>
        </w:rPr>
        <w:t>Attachment “A” to Natural Gas Schedule No. 75: Equipment Lease Service</w:t>
      </w:r>
    </w:p>
    <w:bookmarkEnd w:id="1"/>
    <w:p w14:paraId="1035EB38" w14:textId="77777777" w:rsidR="00A30F76" w:rsidRPr="00FD4EF8" w:rsidRDefault="00A30F76" w:rsidP="00A30F76">
      <w:pPr>
        <w:rPr>
          <w:snapToGrid w:val="0"/>
          <w:sz w:val="24"/>
          <w:szCs w:val="24"/>
        </w:rPr>
      </w:pPr>
    </w:p>
    <w:p w14:paraId="1035EB39" w14:textId="77777777" w:rsidR="003D5C88" w:rsidRPr="00FD4EF8" w:rsidRDefault="00A30F76" w:rsidP="003D5C88">
      <w:pPr>
        <w:rPr>
          <w:b/>
          <w:snapToGrid w:val="0"/>
          <w:sz w:val="24"/>
          <w:szCs w:val="24"/>
        </w:rPr>
      </w:pPr>
      <w:r w:rsidRPr="00FD4EF8">
        <w:rPr>
          <w:sz w:val="24"/>
          <w:szCs w:val="24"/>
        </w:rPr>
        <w:t xml:space="preserve">The purpose of this substitute tariff filing is to include a field in the Equipment Lease Agreement </w:t>
      </w:r>
      <w:r w:rsidR="0064538F" w:rsidRPr="00FD4EF8">
        <w:rPr>
          <w:sz w:val="24"/>
          <w:szCs w:val="24"/>
        </w:rPr>
        <w:t xml:space="preserve">(the “Agreement”) </w:t>
      </w:r>
      <w:r w:rsidRPr="00FD4EF8">
        <w:rPr>
          <w:sz w:val="24"/>
          <w:szCs w:val="24"/>
        </w:rPr>
        <w:t>for the total amount paid in monthly charges at the end of the lease term as well as revise a term for clarity.  These revisions are made at the request of the WUTC Staff.</w:t>
      </w:r>
      <w:r w:rsidR="003D5C88" w:rsidRPr="00FD4EF8">
        <w:rPr>
          <w:sz w:val="24"/>
          <w:szCs w:val="24"/>
        </w:rPr>
        <w:t xml:space="preserve">  Additionally, PSE would like to provide record of</w:t>
      </w:r>
      <w:r w:rsidR="00712297">
        <w:rPr>
          <w:sz w:val="24"/>
          <w:szCs w:val="24"/>
        </w:rPr>
        <w:t xml:space="preserve">, 1) </w:t>
      </w:r>
      <w:r w:rsidR="003D5C88" w:rsidRPr="00FD4EF8">
        <w:rPr>
          <w:sz w:val="24"/>
          <w:szCs w:val="24"/>
        </w:rPr>
        <w:t>how this service will strategically focus on the non-participant sector of the market</w:t>
      </w:r>
      <w:r w:rsidR="00712297">
        <w:rPr>
          <w:sz w:val="24"/>
          <w:szCs w:val="24"/>
        </w:rPr>
        <w:t>, 2) the q</w:t>
      </w:r>
      <w:r w:rsidR="003D5C88" w:rsidRPr="00FD4EF8">
        <w:rPr>
          <w:sz w:val="24"/>
          <w:szCs w:val="24"/>
        </w:rPr>
        <w:t xml:space="preserve">uantifiable benefits </w:t>
      </w:r>
      <w:r w:rsidR="00972379" w:rsidRPr="00FD4EF8">
        <w:rPr>
          <w:sz w:val="24"/>
          <w:szCs w:val="24"/>
        </w:rPr>
        <w:t xml:space="preserve">that </w:t>
      </w:r>
      <w:r w:rsidR="00712297">
        <w:rPr>
          <w:sz w:val="24"/>
          <w:szCs w:val="24"/>
        </w:rPr>
        <w:t xml:space="preserve">support that this regulated service is in </w:t>
      </w:r>
      <w:r w:rsidR="00972379" w:rsidRPr="00FD4EF8">
        <w:rPr>
          <w:sz w:val="24"/>
          <w:szCs w:val="24"/>
        </w:rPr>
        <w:t xml:space="preserve">the </w:t>
      </w:r>
      <w:r w:rsidR="003D5C88" w:rsidRPr="00FD4EF8">
        <w:rPr>
          <w:sz w:val="24"/>
          <w:szCs w:val="24"/>
        </w:rPr>
        <w:t>public interest</w:t>
      </w:r>
      <w:r w:rsidR="00712297">
        <w:rPr>
          <w:sz w:val="24"/>
          <w:szCs w:val="24"/>
        </w:rPr>
        <w:t>, 3) how PSE will rely on the expertise of service partners, 4) why this proposal is consistent with previous Commission decisions and existing PSE leasing services, and 5) PSE’s commitment to reporting leasing program achievements</w:t>
      </w:r>
      <w:r w:rsidR="003D5C88" w:rsidRPr="00FD4EF8">
        <w:rPr>
          <w:sz w:val="24"/>
          <w:szCs w:val="24"/>
        </w:rPr>
        <w:t>.</w:t>
      </w:r>
    </w:p>
    <w:p w14:paraId="1035EB3A" w14:textId="77777777" w:rsidR="00C36D2E" w:rsidRPr="00FD4EF8" w:rsidRDefault="00C36D2E" w:rsidP="00A30F76">
      <w:pPr>
        <w:rPr>
          <w:sz w:val="24"/>
          <w:szCs w:val="24"/>
        </w:rPr>
      </w:pPr>
    </w:p>
    <w:p w14:paraId="1035EB3B" w14:textId="77777777" w:rsidR="00C36D2E" w:rsidRPr="00FD4EF8" w:rsidRDefault="00C36D2E" w:rsidP="00C36D2E">
      <w:pPr>
        <w:rPr>
          <w:b/>
          <w:snapToGrid w:val="0"/>
          <w:sz w:val="24"/>
          <w:szCs w:val="24"/>
        </w:rPr>
      </w:pPr>
      <w:r w:rsidRPr="00FD4EF8">
        <w:rPr>
          <w:b/>
          <w:snapToGrid w:val="0"/>
          <w:sz w:val="24"/>
          <w:szCs w:val="24"/>
        </w:rPr>
        <w:t xml:space="preserve">Clarify Total Lease Payment </w:t>
      </w:r>
      <w:r w:rsidR="00FD4EF8" w:rsidRPr="00FD4EF8">
        <w:rPr>
          <w:b/>
          <w:snapToGrid w:val="0"/>
          <w:sz w:val="24"/>
          <w:szCs w:val="24"/>
        </w:rPr>
        <w:t>over</w:t>
      </w:r>
      <w:r w:rsidRPr="00FD4EF8">
        <w:rPr>
          <w:b/>
          <w:snapToGrid w:val="0"/>
          <w:sz w:val="24"/>
          <w:szCs w:val="24"/>
        </w:rPr>
        <w:t xml:space="preserve"> the Lease Term</w:t>
      </w:r>
    </w:p>
    <w:p w14:paraId="1035EB3C" w14:textId="77777777" w:rsidR="00A30F76" w:rsidRPr="00FD4EF8" w:rsidRDefault="00C36D2E" w:rsidP="00C36D2E">
      <w:pPr>
        <w:rPr>
          <w:sz w:val="24"/>
          <w:szCs w:val="24"/>
        </w:rPr>
      </w:pPr>
      <w:r w:rsidRPr="00FD4EF8">
        <w:rPr>
          <w:sz w:val="24"/>
          <w:szCs w:val="24"/>
        </w:rPr>
        <w:t xml:space="preserve">After </w:t>
      </w:r>
      <w:r w:rsidR="0064538F" w:rsidRPr="00FD4EF8">
        <w:rPr>
          <w:sz w:val="24"/>
          <w:szCs w:val="24"/>
        </w:rPr>
        <w:t>discussions</w:t>
      </w:r>
      <w:r w:rsidRPr="00FD4EF8">
        <w:rPr>
          <w:sz w:val="24"/>
          <w:szCs w:val="24"/>
        </w:rPr>
        <w:t xml:space="preserve"> with the WUTC Staff and other interested parties</w:t>
      </w:r>
      <w:r w:rsidR="00972379" w:rsidRPr="00FD4EF8">
        <w:rPr>
          <w:sz w:val="24"/>
          <w:szCs w:val="24"/>
        </w:rPr>
        <w:t>,</w:t>
      </w:r>
      <w:r w:rsidRPr="00FD4EF8">
        <w:rPr>
          <w:sz w:val="24"/>
          <w:szCs w:val="24"/>
        </w:rPr>
        <w:t xml:space="preserve"> PSE </w:t>
      </w:r>
      <w:r w:rsidR="004E2A47" w:rsidRPr="00FD4EF8">
        <w:rPr>
          <w:sz w:val="24"/>
          <w:szCs w:val="24"/>
        </w:rPr>
        <w:t>proposed</w:t>
      </w:r>
      <w:r w:rsidRPr="00FD4EF8">
        <w:rPr>
          <w:sz w:val="24"/>
          <w:szCs w:val="24"/>
        </w:rPr>
        <w:t xml:space="preserve"> including information </w:t>
      </w:r>
      <w:r w:rsidR="004E2A47" w:rsidRPr="00FD4EF8">
        <w:rPr>
          <w:sz w:val="24"/>
          <w:szCs w:val="24"/>
        </w:rPr>
        <w:t xml:space="preserve">in the </w:t>
      </w:r>
      <w:r w:rsidR="0064538F" w:rsidRPr="00FD4EF8">
        <w:rPr>
          <w:sz w:val="24"/>
          <w:szCs w:val="24"/>
        </w:rPr>
        <w:t>A</w:t>
      </w:r>
      <w:r w:rsidR="004E2A47" w:rsidRPr="00FD4EF8">
        <w:rPr>
          <w:sz w:val="24"/>
          <w:szCs w:val="24"/>
        </w:rPr>
        <w:t xml:space="preserve">greement that provides a way </w:t>
      </w:r>
      <w:r w:rsidRPr="00FD4EF8">
        <w:rPr>
          <w:sz w:val="24"/>
          <w:szCs w:val="24"/>
        </w:rPr>
        <w:t>for customer</w:t>
      </w:r>
      <w:r w:rsidR="00A56374" w:rsidRPr="00FD4EF8">
        <w:rPr>
          <w:sz w:val="24"/>
          <w:szCs w:val="24"/>
        </w:rPr>
        <w:t>s</w:t>
      </w:r>
      <w:r w:rsidRPr="00FD4EF8">
        <w:rPr>
          <w:sz w:val="24"/>
          <w:szCs w:val="24"/>
        </w:rPr>
        <w:t xml:space="preserve"> to compare </w:t>
      </w:r>
      <w:r w:rsidR="005A2952" w:rsidRPr="00FD4EF8">
        <w:rPr>
          <w:sz w:val="24"/>
          <w:szCs w:val="24"/>
        </w:rPr>
        <w:t xml:space="preserve">the lease service to </w:t>
      </w:r>
      <w:r w:rsidRPr="00FD4EF8">
        <w:rPr>
          <w:sz w:val="24"/>
          <w:szCs w:val="24"/>
        </w:rPr>
        <w:t>other options.</w:t>
      </w:r>
      <w:r w:rsidR="004E2A47" w:rsidRPr="00FD4EF8">
        <w:rPr>
          <w:sz w:val="24"/>
          <w:szCs w:val="24"/>
        </w:rPr>
        <w:t xml:space="preserve"> </w:t>
      </w:r>
      <w:r w:rsidRPr="00FD4EF8">
        <w:rPr>
          <w:sz w:val="24"/>
          <w:szCs w:val="24"/>
        </w:rPr>
        <w:t>The</w:t>
      </w:r>
      <w:r w:rsidR="004E2A47" w:rsidRPr="00FD4EF8">
        <w:rPr>
          <w:sz w:val="24"/>
          <w:szCs w:val="24"/>
        </w:rPr>
        <w:t xml:space="preserve"> updated</w:t>
      </w:r>
      <w:r w:rsidRPr="00FD4EF8">
        <w:rPr>
          <w:sz w:val="24"/>
          <w:szCs w:val="24"/>
        </w:rPr>
        <w:t xml:space="preserve"> </w:t>
      </w:r>
      <w:r w:rsidR="004E2A47" w:rsidRPr="00FD4EF8">
        <w:rPr>
          <w:sz w:val="24"/>
          <w:szCs w:val="24"/>
        </w:rPr>
        <w:t xml:space="preserve">“Attachment “A” – Equipment Lease Agreement” contains the following revisions, 1) addition of a field for the </w:t>
      </w:r>
      <w:r w:rsidR="00C006B9">
        <w:rPr>
          <w:sz w:val="24"/>
          <w:szCs w:val="24"/>
        </w:rPr>
        <w:t>“</w:t>
      </w:r>
      <w:r w:rsidR="004E2A47" w:rsidRPr="00FD4EF8">
        <w:rPr>
          <w:sz w:val="24"/>
          <w:szCs w:val="24"/>
        </w:rPr>
        <w:t>Total Lease Payment over Lease Term</w:t>
      </w:r>
      <w:r w:rsidR="00C006B9">
        <w:rPr>
          <w:sz w:val="24"/>
          <w:szCs w:val="24"/>
        </w:rPr>
        <w:t>”</w:t>
      </w:r>
      <w:r w:rsidR="004E2A47" w:rsidRPr="00FD4EF8">
        <w:rPr>
          <w:sz w:val="24"/>
          <w:szCs w:val="24"/>
        </w:rPr>
        <w:t xml:space="preserve">, and 2) replacement of the term “PSE Equipment Number” </w:t>
      </w:r>
      <w:r w:rsidR="00FD4EF8">
        <w:rPr>
          <w:sz w:val="24"/>
          <w:szCs w:val="24"/>
        </w:rPr>
        <w:t>with</w:t>
      </w:r>
      <w:r w:rsidR="004E2A47" w:rsidRPr="00FD4EF8">
        <w:rPr>
          <w:sz w:val="24"/>
          <w:szCs w:val="24"/>
        </w:rPr>
        <w:t xml:space="preserve"> “PSE </w:t>
      </w:r>
      <w:r w:rsidR="006327AF" w:rsidRPr="00FD4EF8">
        <w:rPr>
          <w:sz w:val="24"/>
          <w:szCs w:val="24"/>
        </w:rPr>
        <w:t>Lease</w:t>
      </w:r>
      <w:r w:rsidR="004E2A47" w:rsidRPr="00FD4EF8">
        <w:rPr>
          <w:sz w:val="24"/>
          <w:szCs w:val="24"/>
        </w:rPr>
        <w:t xml:space="preserve"> Number”.</w:t>
      </w:r>
      <w:r w:rsidR="00A30F76" w:rsidRPr="00FD4EF8">
        <w:rPr>
          <w:sz w:val="24"/>
          <w:szCs w:val="24"/>
        </w:rPr>
        <w:t xml:space="preserve"> </w:t>
      </w:r>
    </w:p>
    <w:p w14:paraId="1035EB3D" w14:textId="77777777" w:rsidR="004E2A47" w:rsidRPr="00FD4EF8" w:rsidRDefault="004E2A47" w:rsidP="00F23B86">
      <w:pPr>
        <w:rPr>
          <w:snapToGrid w:val="0"/>
          <w:sz w:val="24"/>
          <w:szCs w:val="24"/>
        </w:rPr>
      </w:pPr>
    </w:p>
    <w:p w14:paraId="1035EB3E" w14:textId="77777777" w:rsidR="00FA2274" w:rsidRDefault="00FA2274" w:rsidP="00C55948">
      <w:pPr>
        <w:pStyle w:val="ListParagraph"/>
        <w:keepNext/>
        <w:numPr>
          <w:ilvl w:val="0"/>
          <w:numId w:val="17"/>
        </w:numPr>
        <w:rPr>
          <w:rFonts w:ascii="Times New Roman" w:hAnsi="Times New Roman" w:cs="Times New Roman"/>
          <w:b/>
          <w:snapToGrid w:val="0"/>
          <w:sz w:val="24"/>
          <w:szCs w:val="24"/>
        </w:rPr>
      </w:pPr>
      <w:r w:rsidRPr="002874F0">
        <w:rPr>
          <w:rFonts w:ascii="Times New Roman" w:hAnsi="Times New Roman" w:cs="Times New Roman"/>
          <w:b/>
          <w:snapToGrid w:val="0"/>
          <w:sz w:val="24"/>
          <w:szCs w:val="24"/>
        </w:rPr>
        <w:lastRenderedPageBreak/>
        <w:t xml:space="preserve">There is </w:t>
      </w:r>
      <w:r w:rsidR="00FD4EF8" w:rsidRPr="002874F0">
        <w:rPr>
          <w:rFonts w:ascii="Times New Roman" w:hAnsi="Times New Roman" w:cs="Times New Roman"/>
          <w:b/>
          <w:snapToGrid w:val="0"/>
          <w:sz w:val="24"/>
          <w:szCs w:val="24"/>
        </w:rPr>
        <w:t>a</w:t>
      </w:r>
      <w:r w:rsidRPr="002874F0">
        <w:rPr>
          <w:rFonts w:ascii="Times New Roman" w:hAnsi="Times New Roman" w:cs="Times New Roman"/>
          <w:b/>
          <w:snapToGrid w:val="0"/>
          <w:sz w:val="24"/>
          <w:szCs w:val="24"/>
        </w:rPr>
        <w:t>n Unmet Opportunity in the Market to Increase System-Wide</w:t>
      </w:r>
      <w:r w:rsidRPr="00FD4EF8">
        <w:rPr>
          <w:rFonts w:ascii="Times New Roman" w:hAnsi="Times New Roman" w:cs="Times New Roman"/>
          <w:b/>
          <w:snapToGrid w:val="0"/>
          <w:sz w:val="24"/>
          <w:szCs w:val="24"/>
        </w:rPr>
        <w:t xml:space="preserve"> Energy Efficiency</w:t>
      </w:r>
    </w:p>
    <w:p w14:paraId="1035EB3F" w14:textId="77777777" w:rsidR="00C55948" w:rsidRPr="00FD4EF8" w:rsidRDefault="00C55948" w:rsidP="00C55948">
      <w:pPr>
        <w:pStyle w:val="ListParagraph"/>
        <w:keepNext/>
        <w:ind w:left="1080"/>
        <w:rPr>
          <w:rFonts w:ascii="Times New Roman" w:hAnsi="Times New Roman" w:cs="Times New Roman"/>
          <w:b/>
          <w:snapToGrid w:val="0"/>
          <w:sz w:val="24"/>
          <w:szCs w:val="24"/>
        </w:rPr>
      </w:pPr>
    </w:p>
    <w:p w14:paraId="1035EB40" w14:textId="77777777" w:rsidR="00824BFA" w:rsidRPr="00FD4EF8" w:rsidRDefault="00D47601" w:rsidP="00824BFA">
      <w:pPr>
        <w:pStyle w:val="ListParagraph"/>
        <w:numPr>
          <w:ilvl w:val="1"/>
          <w:numId w:val="17"/>
        </w:numPr>
        <w:rPr>
          <w:rFonts w:ascii="Times New Roman" w:hAnsi="Times New Roman" w:cs="Times New Roman"/>
          <w:snapToGrid w:val="0"/>
          <w:sz w:val="24"/>
          <w:szCs w:val="24"/>
        </w:rPr>
      </w:pPr>
      <w:r w:rsidRPr="002874F0">
        <w:rPr>
          <w:rFonts w:ascii="Times New Roman" w:hAnsi="Times New Roman" w:cs="Times New Roman"/>
          <w:b/>
          <w:snapToGrid w:val="0"/>
          <w:sz w:val="24"/>
          <w:szCs w:val="24"/>
        </w:rPr>
        <w:t>Non-Participant Sector of</w:t>
      </w:r>
      <w:r w:rsidR="00AD74CD" w:rsidRPr="002874F0">
        <w:rPr>
          <w:rFonts w:ascii="Times New Roman" w:hAnsi="Times New Roman" w:cs="Times New Roman"/>
          <w:b/>
          <w:snapToGrid w:val="0"/>
          <w:sz w:val="24"/>
          <w:szCs w:val="24"/>
        </w:rPr>
        <w:t xml:space="preserve"> the </w:t>
      </w:r>
      <w:r w:rsidRPr="002874F0">
        <w:rPr>
          <w:rFonts w:ascii="Times New Roman" w:hAnsi="Times New Roman" w:cs="Times New Roman"/>
          <w:b/>
          <w:snapToGrid w:val="0"/>
          <w:sz w:val="24"/>
          <w:szCs w:val="24"/>
        </w:rPr>
        <w:t xml:space="preserve">Market </w:t>
      </w:r>
      <w:r w:rsidR="00AD74CD" w:rsidRPr="002874F0">
        <w:rPr>
          <w:rFonts w:ascii="Times New Roman" w:hAnsi="Times New Roman" w:cs="Times New Roman"/>
          <w:b/>
          <w:snapToGrid w:val="0"/>
          <w:sz w:val="24"/>
          <w:szCs w:val="24"/>
        </w:rPr>
        <w:t>w</w:t>
      </w:r>
      <w:r w:rsidRPr="002874F0">
        <w:rPr>
          <w:rFonts w:ascii="Times New Roman" w:hAnsi="Times New Roman" w:cs="Times New Roman"/>
          <w:b/>
          <w:snapToGrid w:val="0"/>
          <w:sz w:val="24"/>
          <w:szCs w:val="24"/>
        </w:rPr>
        <w:t xml:space="preserve">ill </w:t>
      </w:r>
      <w:r w:rsidR="00AD74CD" w:rsidRPr="002874F0">
        <w:rPr>
          <w:rFonts w:ascii="Times New Roman" w:hAnsi="Times New Roman" w:cs="Times New Roman"/>
          <w:b/>
          <w:snapToGrid w:val="0"/>
          <w:sz w:val="24"/>
          <w:szCs w:val="24"/>
        </w:rPr>
        <w:t>b</w:t>
      </w:r>
      <w:r w:rsidRPr="002874F0">
        <w:rPr>
          <w:rFonts w:ascii="Times New Roman" w:hAnsi="Times New Roman" w:cs="Times New Roman"/>
          <w:b/>
          <w:snapToGrid w:val="0"/>
          <w:sz w:val="24"/>
          <w:szCs w:val="24"/>
        </w:rPr>
        <w:t>e Strategic Focus</w:t>
      </w:r>
      <w:r w:rsidR="00B35E5D" w:rsidRPr="002874F0">
        <w:rPr>
          <w:rFonts w:ascii="Times New Roman" w:hAnsi="Times New Roman" w:cs="Times New Roman"/>
          <w:snapToGrid w:val="0"/>
          <w:sz w:val="24"/>
          <w:szCs w:val="24"/>
        </w:rPr>
        <w:t xml:space="preserve"> - </w:t>
      </w:r>
      <w:r w:rsidR="00101616" w:rsidRPr="002874F0">
        <w:rPr>
          <w:rFonts w:ascii="Times New Roman" w:hAnsi="Times New Roman" w:cs="Times New Roman"/>
          <w:sz w:val="24"/>
          <w:szCs w:val="24"/>
        </w:rPr>
        <w:t>T</w:t>
      </w:r>
      <w:r w:rsidR="00824BFA" w:rsidRPr="002874F0">
        <w:rPr>
          <w:rFonts w:ascii="Times New Roman" w:hAnsi="Times New Roman" w:cs="Times New Roman"/>
          <w:sz w:val="24"/>
          <w:szCs w:val="24"/>
        </w:rPr>
        <w:t>his</w:t>
      </w:r>
      <w:r w:rsidR="00824BFA" w:rsidRPr="00FD4EF8">
        <w:rPr>
          <w:rFonts w:ascii="Times New Roman" w:hAnsi="Times New Roman" w:cs="Times New Roman"/>
          <w:sz w:val="24"/>
          <w:szCs w:val="24"/>
        </w:rPr>
        <w:t xml:space="preserve"> expanded </w:t>
      </w:r>
      <w:r w:rsidR="00824BFA" w:rsidRPr="00FD4EF8">
        <w:rPr>
          <w:rFonts w:ascii="Times New Roman" w:hAnsi="Times New Roman" w:cs="Times New Roman"/>
          <w:snapToGrid w:val="0"/>
          <w:sz w:val="24"/>
          <w:szCs w:val="24"/>
        </w:rPr>
        <w:t>o</w:t>
      </w:r>
      <w:r w:rsidR="00824BFA" w:rsidRPr="00FD4EF8">
        <w:rPr>
          <w:rFonts w:ascii="Times New Roman" w:hAnsi="Times New Roman" w:cs="Times New Roman"/>
          <w:sz w:val="24"/>
          <w:szCs w:val="24"/>
        </w:rPr>
        <w:t>ptional energy equipment lease service will</w:t>
      </w:r>
      <w:r w:rsidR="00A30F76" w:rsidRPr="00FD4EF8">
        <w:rPr>
          <w:rFonts w:ascii="Times New Roman" w:hAnsi="Times New Roman" w:cs="Times New Roman"/>
          <w:sz w:val="24"/>
          <w:szCs w:val="24"/>
        </w:rPr>
        <w:t xml:space="preserve"> </w:t>
      </w:r>
      <w:r w:rsidR="00101616" w:rsidRPr="00FD4EF8">
        <w:rPr>
          <w:rFonts w:ascii="Times New Roman" w:hAnsi="Times New Roman" w:cs="Times New Roman"/>
          <w:sz w:val="24"/>
          <w:szCs w:val="24"/>
        </w:rPr>
        <w:t xml:space="preserve">strategically </w:t>
      </w:r>
      <w:r w:rsidR="00A30F76" w:rsidRPr="00FD4EF8">
        <w:rPr>
          <w:rFonts w:ascii="Times New Roman" w:hAnsi="Times New Roman" w:cs="Times New Roman"/>
          <w:sz w:val="24"/>
          <w:szCs w:val="24"/>
        </w:rPr>
        <w:t xml:space="preserve">focus on </w:t>
      </w:r>
      <w:r w:rsidR="00947028" w:rsidRPr="00FD4EF8">
        <w:rPr>
          <w:rFonts w:ascii="Times New Roman" w:hAnsi="Times New Roman" w:cs="Times New Roman"/>
          <w:sz w:val="24"/>
          <w:szCs w:val="24"/>
        </w:rPr>
        <w:t>replacing inefficient equipment that has passed its useful life.</w:t>
      </w:r>
      <w:r w:rsidR="00ED04F9" w:rsidRPr="00FD4EF8">
        <w:rPr>
          <w:rFonts w:ascii="Times New Roman" w:hAnsi="Times New Roman" w:cs="Times New Roman"/>
          <w:sz w:val="24"/>
          <w:szCs w:val="24"/>
        </w:rPr>
        <w:t xml:space="preserve">  Over the next 5 years, </w:t>
      </w:r>
      <w:r w:rsidR="00681C92" w:rsidRPr="00FD4EF8">
        <w:rPr>
          <w:rFonts w:ascii="Times New Roman" w:hAnsi="Times New Roman" w:cs="Times New Roman"/>
          <w:sz w:val="24"/>
          <w:szCs w:val="24"/>
        </w:rPr>
        <w:t>PSE</w:t>
      </w:r>
      <w:r w:rsidR="00ED04F9" w:rsidRPr="00FD4EF8">
        <w:rPr>
          <w:rFonts w:ascii="Times New Roman" w:hAnsi="Times New Roman" w:cs="Times New Roman"/>
          <w:sz w:val="24"/>
          <w:szCs w:val="24"/>
        </w:rPr>
        <w:t xml:space="preserve"> will use this platform to strategically target and replace at least 28,000 of these antiquated units.</w:t>
      </w:r>
    </w:p>
    <w:p w14:paraId="1035EB41" w14:textId="77777777" w:rsidR="00C55948" w:rsidRDefault="00C55948" w:rsidP="00B35E5D">
      <w:pPr>
        <w:pStyle w:val="ListParagraph"/>
        <w:spacing w:after="0" w:line="240" w:lineRule="auto"/>
        <w:ind w:left="1440"/>
        <w:contextualSpacing w:val="0"/>
        <w:rPr>
          <w:rFonts w:ascii="Times New Roman" w:eastAsia="Times New Roman" w:hAnsi="Times New Roman" w:cs="Times New Roman"/>
          <w:sz w:val="24"/>
          <w:szCs w:val="24"/>
        </w:rPr>
      </w:pPr>
    </w:p>
    <w:p w14:paraId="1035EB42" w14:textId="77777777" w:rsidR="005A2952" w:rsidRPr="00FD4EF8" w:rsidRDefault="00AD74CD" w:rsidP="00867D09">
      <w:pPr>
        <w:pStyle w:val="ListParagraph"/>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B57EE1" w:rsidRPr="00FD4EF8">
        <w:rPr>
          <w:rFonts w:ascii="Times New Roman" w:eastAsia="Times New Roman" w:hAnsi="Times New Roman" w:cs="Times New Roman"/>
          <w:sz w:val="24"/>
          <w:szCs w:val="24"/>
        </w:rPr>
        <w:t>urrent market actions</w:t>
      </w:r>
      <w:r>
        <w:rPr>
          <w:rFonts w:ascii="Times New Roman" w:eastAsia="Times New Roman" w:hAnsi="Times New Roman" w:cs="Times New Roman"/>
          <w:sz w:val="24"/>
          <w:szCs w:val="24"/>
        </w:rPr>
        <w:t xml:space="preserve"> and </w:t>
      </w:r>
      <w:r w:rsidR="00B57EE1" w:rsidRPr="00FD4EF8">
        <w:rPr>
          <w:rFonts w:ascii="Times New Roman" w:eastAsia="Times New Roman" w:hAnsi="Times New Roman" w:cs="Times New Roman"/>
          <w:sz w:val="24"/>
          <w:szCs w:val="24"/>
        </w:rPr>
        <w:t xml:space="preserve">approaches are not fully realizing the </w:t>
      </w:r>
      <w:r w:rsidR="00101616" w:rsidRPr="00FD4EF8">
        <w:rPr>
          <w:rFonts w:ascii="Times New Roman" w:eastAsia="Times New Roman" w:hAnsi="Times New Roman" w:cs="Times New Roman"/>
          <w:sz w:val="24"/>
          <w:szCs w:val="24"/>
        </w:rPr>
        <w:t>public</w:t>
      </w:r>
      <w:r w:rsidR="00B57EE1" w:rsidRPr="00FD4EF8">
        <w:rPr>
          <w:rFonts w:ascii="Times New Roman" w:eastAsia="Times New Roman" w:hAnsi="Times New Roman" w:cs="Times New Roman"/>
          <w:sz w:val="24"/>
          <w:szCs w:val="24"/>
        </w:rPr>
        <w:t xml:space="preserve"> benefits </w:t>
      </w:r>
      <w:r>
        <w:rPr>
          <w:rFonts w:ascii="Times New Roman" w:eastAsia="Times New Roman" w:hAnsi="Times New Roman" w:cs="Times New Roman"/>
          <w:sz w:val="24"/>
          <w:szCs w:val="24"/>
        </w:rPr>
        <w:t>they</w:t>
      </w:r>
      <w:r w:rsidR="00B57EE1" w:rsidRPr="00FD4EF8">
        <w:rPr>
          <w:rFonts w:ascii="Times New Roman" w:eastAsia="Times New Roman" w:hAnsi="Times New Roman" w:cs="Times New Roman"/>
          <w:sz w:val="24"/>
          <w:szCs w:val="24"/>
        </w:rPr>
        <w:t xml:space="preserve"> could.</w:t>
      </w:r>
      <w:r w:rsidR="00C64912" w:rsidRPr="00FD4EF8">
        <w:rPr>
          <w:rFonts w:ascii="Times New Roman" w:eastAsia="Times New Roman" w:hAnsi="Times New Roman" w:cs="Times New Roman"/>
          <w:sz w:val="24"/>
          <w:szCs w:val="24"/>
        </w:rPr>
        <w:t xml:space="preserve"> </w:t>
      </w:r>
      <w:r w:rsidR="00B57EE1" w:rsidRPr="00FD4EF8">
        <w:rPr>
          <w:rFonts w:ascii="Times New Roman" w:eastAsia="Times New Roman" w:hAnsi="Times New Roman" w:cs="Times New Roman"/>
          <w:sz w:val="24"/>
          <w:szCs w:val="24"/>
        </w:rPr>
        <w:t xml:space="preserve">Despite robust efforts by the current market and activities supported by </w:t>
      </w:r>
      <w:r w:rsidR="00681C92" w:rsidRPr="00FD4EF8">
        <w:rPr>
          <w:rFonts w:ascii="Times New Roman" w:eastAsia="Times New Roman" w:hAnsi="Times New Roman" w:cs="Times New Roman"/>
          <w:sz w:val="24"/>
          <w:szCs w:val="24"/>
        </w:rPr>
        <w:t>PSE</w:t>
      </w:r>
      <w:r w:rsidR="00B57EE1" w:rsidRPr="00FD4EF8">
        <w:rPr>
          <w:rFonts w:ascii="Times New Roman" w:eastAsia="Times New Roman" w:hAnsi="Times New Roman" w:cs="Times New Roman"/>
          <w:sz w:val="24"/>
          <w:szCs w:val="24"/>
        </w:rPr>
        <w:t xml:space="preserve">, including connecting customers with approved vendors in its </w:t>
      </w:r>
      <w:hyperlink r:id="rId13" w:history="1">
        <w:r w:rsidR="00B57EE1" w:rsidRPr="00FD4EF8">
          <w:rPr>
            <w:rFonts w:ascii="Times New Roman" w:eastAsia="Times New Roman" w:hAnsi="Times New Roman" w:cs="Times New Roman"/>
            <w:sz w:val="24"/>
            <w:szCs w:val="24"/>
          </w:rPr>
          <w:t>Contractor Alliance Network</w:t>
        </w:r>
      </w:hyperlink>
      <w:r w:rsidR="00B57EE1" w:rsidRPr="00FD4EF8">
        <w:rPr>
          <w:rFonts w:ascii="Times New Roman" w:eastAsia="Times New Roman" w:hAnsi="Times New Roman" w:cs="Times New Roman"/>
          <w:sz w:val="24"/>
          <w:szCs w:val="24"/>
        </w:rPr>
        <w:t xml:space="preserve">, providing access to available conservation incentives, and disclosing </w:t>
      </w:r>
      <w:hyperlink r:id="rId14" w:history="1">
        <w:r w:rsidR="00B57EE1" w:rsidRPr="00FD4EF8">
          <w:rPr>
            <w:rFonts w:ascii="Times New Roman" w:eastAsia="Times New Roman" w:hAnsi="Times New Roman" w:cs="Times New Roman"/>
            <w:sz w:val="24"/>
            <w:szCs w:val="24"/>
          </w:rPr>
          <w:t>financing options</w:t>
        </w:r>
      </w:hyperlink>
      <w:r w:rsidR="00B57EE1" w:rsidRPr="00FD4EF8">
        <w:rPr>
          <w:rFonts w:ascii="Times New Roman" w:eastAsia="Times New Roman" w:hAnsi="Times New Roman" w:cs="Times New Roman"/>
          <w:sz w:val="24"/>
          <w:szCs w:val="24"/>
        </w:rPr>
        <w:t xml:space="preserve"> available in the market, these efforts only motivate those customers actively engaging in normal market activities, not those who cannot</w:t>
      </w:r>
      <w:r>
        <w:rPr>
          <w:rFonts w:ascii="Times New Roman" w:eastAsia="Times New Roman" w:hAnsi="Times New Roman" w:cs="Times New Roman"/>
          <w:sz w:val="24"/>
          <w:szCs w:val="24"/>
        </w:rPr>
        <w:t>,</w:t>
      </w:r>
      <w:r w:rsidR="00B57EE1" w:rsidRPr="00FD4EF8">
        <w:rPr>
          <w:rFonts w:ascii="Times New Roman" w:eastAsia="Times New Roman" w:hAnsi="Times New Roman" w:cs="Times New Roman"/>
          <w:sz w:val="24"/>
          <w:szCs w:val="24"/>
        </w:rPr>
        <w:t xml:space="preserve"> and/or choose not to participate due to financial constraints.  By providing </w:t>
      </w:r>
      <w:r w:rsidR="00C64912" w:rsidRPr="00FD4EF8">
        <w:rPr>
          <w:rFonts w:ascii="Times New Roman" w:eastAsia="Times New Roman" w:hAnsi="Times New Roman" w:cs="Times New Roman"/>
          <w:sz w:val="24"/>
          <w:szCs w:val="24"/>
        </w:rPr>
        <w:t xml:space="preserve">this additional </w:t>
      </w:r>
      <w:r w:rsidR="00B57EE1" w:rsidRPr="00FD4EF8">
        <w:rPr>
          <w:rFonts w:ascii="Times New Roman" w:eastAsia="Times New Roman" w:hAnsi="Times New Roman" w:cs="Times New Roman"/>
          <w:sz w:val="24"/>
          <w:szCs w:val="24"/>
        </w:rPr>
        <w:t xml:space="preserve">option for customers to replace equipment that has passed its useful life, without the large upfront cost barrier that is </w:t>
      </w:r>
      <w:r w:rsidR="005A2952" w:rsidRPr="00FD4EF8">
        <w:rPr>
          <w:rFonts w:ascii="Times New Roman" w:eastAsia="Times New Roman" w:hAnsi="Times New Roman" w:cs="Times New Roman"/>
          <w:sz w:val="24"/>
          <w:szCs w:val="24"/>
        </w:rPr>
        <w:t>generally</w:t>
      </w:r>
      <w:r w:rsidR="00B57EE1" w:rsidRPr="00FD4EF8">
        <w:rPr>
          <w:rFonts w:ascii="Times New Roman" w:eastAsia="Times New Roman" w:hAnsi="Times New Roman" w:cs="Times New Roman"/>
          <w:sz w:val="24"/>
          <w:szCs w:val="24"/>
        </w:rPr>
        <w:t xml:space="preserve"> limiting such replacements, </w:t>
      </w:r>
      <w:r w:rsidR="00681C92" w:rsidRPr="00FD4EF8">
        <w:rPr>
          <w:rFonts w:ascii="Times New Roman" w:eastAsia="Times New Roman" w:hAnsi="Times New Roman" w:cs="Times New Roman"/>
          <w:sz w:val="24"/>
          <w:szCs w:val="24"/>
        </w:rPr>
        <w:t>PSE</w:t>
      </w:r>
      <w:r w:rsidR="00B57EE1" w:rsidRPr="00FD4EF8">
        <w:rPr>
          <w:rFonts w:ascii="Times New Roman" w:eastAsia="Times New Roman" w:hAnsi="Times New Roman" w:cs="Times New Roman"/>
          <w:sz w:val="24"/>
          <w:szCs w:val="24"/>
        </w:rPr>
        <w:t xml:space="preserve"> believes that expanded lease options as a regulated service will increase the existing market and elevate the level of energy efficiency in the market today</w:t>
      </w:r>
      <w:r w:rsidR="00C64912" w:rsidRPr="00FD4EF8">
        <w:rPr>
          <w:rFonts w:ascii="Times New Roman" w:eastAsia="Times New Roman" w:hAnsi="Times New Roman" w:cs="Times New Roman"/>
          <w:sz w:val="24"/>
          <w:szCs w:val="24"/>
        </w:rPr>
        <w:t xml:space="preserve">. </w:t>
      </w:r>
    </w:p>
    <w:p w14:paraId="1035EB43" w14:textId="77777777" w:rsidR="005A2952" w:rsidRPr="00FD4EF8" w:rsidRDefault="005A2952" w:rsidP="00C64912">
      <w:pPr>
        <w:pStyle w:val="ListParagraph"/>
        <w:spacing w:after="0" w:line="240" w:lineRule="auto"/>
        <w:ind w:left="0"/>
        <w:contextualSpacing w:val="0"/>
        <w:rPr>
          <w:rFonts w:ascii="Times New Roman" w:eastAsia="Times New Roman" w:hAnsi="Times New Roman" w:cs="Times New Roman"/>
          <w:sz w:val="24"/>
          <w:szCs w:val="24"/>
        </w:rPr>
      </w:pPr>
    </w:p>
    <w:p w14:paraId="1035EB44" w14:textId="77777777" w:rsidR="00AD74CD" w:rsidRDefault="00B57EE1" w:rsidP="00867D09">
      <w:pPr>
        <w:pStyle w:val="ListParagraph"/>
        <w:ind w:left="1440"/>
        <w:rPr>
          <w:rFonts w:ascii="Times New Roman" w:eastAsia="Times New Roman" w:hAnsi="Times New Roman" w:cs="Times New Roman"/>
          <w:sz w:val="24"/>
          <w:szCs w:val="24"/>
        </w:rPr>
      </w:pPr>
      <w:r w:rsidRPr="00FD4EF8">
        <w:rPr>
          <w:rFonts w:ascii="Times New Roman" w:eastAsia="Times New Roman" w:hAnsi="Times New Roman" w:cs="Times New Roman"/>
          <w:sz w:val="24"/>
          <w:szCs w:val="24"/>
        </w:rPr>
        <w:t xml:space="preserve">As detailed previously, Northwest Energy Efficiency Alliance’s 2012 Residential Building Stock Assessment </w:t>
      </w:r>
      <w:r w:rsidR="00C006B9">
        <w:rPr>
          <w:rFonts w:ascii="Times New Roman" w:eastAsia="Times New Roman" w:hAnsi="Times New Roman" w:cs="Times New Roman"/>
          <w:sz w:val="24"/>
          <w:szCs w:val="24"/>
        </w:rPr>
        <w:t xml:space="preserve">data </w:t>
      </w:r>
      <w:r w:rsidRPr="00FD4EF8">
        <w:rPr>
          <w:rFonts w:ascii="Times New Roman" w:eastAsia="Times New Roman" w:hAnsi="Times New Roman" w:cs="Times New Roman"/>
          <w:sz w:val="24"/>
          <w:szCs w:val="24"/>
        </w:rPr>
        <w:t>excerpted</w:t>
      </w:r>
      <w:r w:rsidR="005A2952" w:rsidRPr="00FD4EF8">
        <w:rPr>
          <w:rFonts w:ascii="Times New Roman" w:eastAsia="Times New Roman" w:hAnsi="Times New Roman" w:cs="Times New Roman"/>
          <w:sz w:val="24"/>
          <w:szCs w:val="24"/>
        </w:rPr>
        <w:t xml:space="preserve"> </w:t>
      </w:r>
      <w:r w:rsidRPr="00FD4EF8">
        <w:rPr>
          <w:rFonts w:ascii="Times New Roman" w:eastAsia="Times New Roman" w:hAnsi="Times New Roman" w:cs="Times New Roman"/>
          <w:sz w:val="24"/>
          <w:szCs w:val="24"/>
        </w:rPr>
        <w:t xml:space="preserve">below, demonstrates that approximately 40 percent of the products in service today, which </w:t>
      </w:r>
      <w:r w:rsidR="00681C92" w:rsidRPr="00FD4EF8">
        <w:rPr>
          <w:rFonts w:ascii="Times New Roman" w:eastAsia="Times New Roman" w:hAnsi="Times New Roman" w:cs="Times New Roman"/>
          <w:sz w:val="24"/>
          <w:szCs w:val="24"/>
        </w:rPr>
        <w:t>PSE</w:t>
      </w:r>
      <w:r w:rsidRPr="00FD4EF8">
        <w:rPr>
          <w:rFonts w:ascii="Times New Roman" w:eastAsia="Times New Roman" w:hAnsi="Times New Roman" w:cs="Times New Roman"/>
          <w:sz w:val="24"/>
          <w:szCs w:val="24"/>
        </w:rPr>
        <w:t xml:space="preserve"> included in its expanded lease service, have exceeded their useful life.</w:t>
      </w:r>
    </w:p>
    <w:p w14:paraId="1035EB45" w14:textId="77777777" w:rsidR="002554CD" w:rsidRPr="00FD4EF8" w:rsidRDefault="002554CD" w:rsidP="00C64912">
      <w:pPr>
        <w:pStyle w:val="ListParagraph"/>
        <w:spacing w:after="0" w:line="240" w:lineRule="auto"/>
        <w:ind w:left="0"/>
        <w:contextualSpacing w:val="0"/>
        <w:rPr>
          <w:rFonts w:ascii="Times New Roman" w:eastAsia="Times New Roman" w:hAnsi="Times New Roman" w:cs="Times New Roman"/>
          <w:sz w:val="24"/>
          <w:szCs w:val="24"/>
        </w:rPr>
      </w:pPr>
    </w:p>
    <w:tbl>
      <w:tblPr>
        <w:tblW w:w="10629" w:type="dxa"/>
        <w:tblInd w:w="-432" w:type="dxa"/>
        <w:tblLayout w:type="fixed"/>
        <w:tblCellMar>
          <w:left w:w="0" w:type="dxa"/>
          <w:right w:w="0" w:type="dxa"/>
        </w:tblCellMar>
        <w:tblLook w:val="04A0" w:firstRow="1" w:lastRow="0" w:firstColumn="1" w:lastColumn="0" w:noHBand="0" w:noVBand="1"/>
      </w:tblPr>
      <w:tblGrid>
        <w:gridCol w:w="963"/>
        <w:gridCol w:w="828"/>
        <w:gridCol w:w="648"/>
        <w:gridCol w:w="243"/>
        <w:gridCol w:w="963"/>
        <w:gridCol w:w="810"/>
        <w:gridCol w:w="666"/>
        <w:gridCol w:w="252"/>
        <w:gridCol w:w="963"/>
        <w:gridCol w:w="900"/>
        <w:gridCol w:w="675"/>
        <w:gridCol w:w="270"/>
        <w:gridCol w:w="927"/>
        <w:gridCol w:w="927"/>
        <w:gridCol w:w="594"/>
      </w:tblGrid>
      <w:tr w:rsidR="00C55948" w:rsidRPr="00C55948" w14:paraId="1035EB4D" w14:textId="77777777" w:rsidTr="00C55948">
        <w:trPr>
          <w:trHeight w:val="286"/>
        </w:trPr>
        <w:tc>
          <w:tcPr>
            <w:tcW w:w="2439" w:type="dxa"/>
            <w:gridSpan w:val="3"/>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hideMark/>
          </w:tcPr>
          <w:p w14:paraId="1035EB46" w14:textId="77777777" w:rsidR="001C2E3A" w:rsidRPr="00C55948" w:rsidRDefault="001C2E3A" w:rsidP="004E03EF">
            <w:pPr>
              <w:spacing w:line="276" w:lineRule="auto"/>
              <w:jc w:val="center"/>
              <w:rPr>
                <w:rFonts w:eastAsia="Calibri"/>
                <w:b/>
                <w:color w:val="000000"/>
                <w:sz w:val="16"/>
                <w:szCs w:val="16"/>
              </w:rPr>
            </w:pPr>
            <w:r w:rsidRPr="00C55948">
              <w:rPr>
                <w:rFonts w:eastAsia="Calibri"/>
                <w:b/>
                <w:color w:val="000000"/>
                <w:sz w:val="16"/>
                <w:szCs w:val="16"/>
              </w:rPr>
              <w:t>Gas F</w:t>
            </w:r>
            <w:r w:rsidR="004E03EF" w:rsidRPr="00C55948">
              <w:rPr>
                <w:rFonts w:eastAsia="Calibri"/>
                <w:b/>
                <w:color w:val="000000"/>
                <w:sz w:val="16"/>
                <w:szCs w:val="16"/>
              </w:rPr>
              <w:t>orced Air Furnace</w:t>
            </w:r>
            <w:r w:rsidRPr="00C55948">
              <w:rPr>
                <w:rFonts w:eastAsia="Calibri"/>
                <w:b/>
                <w:color w:val="000000"/>
                <w:sz w:val="16"/>
                <w:szCs w:val="16"/>
              </w:rPr>
              <w:t xml:space="preserve"> </w:t>
            </w:r>
          </w:p>
        </w:tc>
        <w:tc>
          <w:tcPr>
            <w:tcW w:w="243" w:type="dxa"/>
            <w:tcBorders>
              <w:top w:val="nil"/>
              <w:left w:val="nil"/>
              <w:bottom w:val="nil"/>
              <w:right w:val="single" w:sz="8" w:space="0" w:color="auto"/>
            </w:tcBorders>
            <w:tcMar>
              <w:top w:w="0" w:type="dxa"/>
              <w:left w:w="108" w:type="dxa"/>
              <w:bottom w:w="0" w:type="dxa"/>
              <w:right w:w="108" w:type="dxa"/>
            </w:tcMar>
          </w:tcPr>
          <w:p w14:paraId="1035EB47" w14:textId="77777777" w:rsidR="001C2E3A" w:rsidRPr="00C55948" w:rsidRDefault="001C2E3A" w:rsidP="001C2E3A">
            <w:pPr>
              <w:spacing w:line="276" w:lineRule="auto"/>
              <w:jc w:val="center"/>
              <w:rPr>
                <w:rFonts w:eastAsia="Calibri"/>
                <w:snapToGrid w:val="0"/>
                <w:color w:val="FF0000"/>
                <w:sz w:val="16"/>
                <w:szCs w:val="16"/>
              </w:rPr>
            </w:pPr>
          </w:p>
        </w:tc>
        <w:tc>
          <w:tcPr>
            <w:tcW w:w="2439" w:type="dxa"/>
            <w:gridSpan w:val="3"/>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1035EB48" w14:textId="77777777" w:rsidR="001C2E3A" w:rsidRPr="00C55948" w:rsidRDefault="004E03EF" w:rsidP="001C2E3A">
            <w:pPr>
              <w:spacing w:line="276" w:lineRule="auto"/>
              <w:jc w:val="center"/>
              <w:rPr>
                <w:rFonts w:eastAsia="Calibri"/>
                <w:b/>
                <w:snapToGrid w:val="0"/>
                <w:color w:val="FF0000"/>
                <w:sz w:val="16"/>
                <w:szCs w:val="16"/>
              </w:rPr>
            </w:pPr>
            <w:r w:rsidRPr="00C55948">
              <w:rPr>
                <w:rFonts w:eastAsia="Calibri"/>
                <w:b/>
                <w:color w:val="000000"/>
                <w:sz w:val="16"/>
                <w:szCs w:val="16"/>
              </w:rPr>
              <w:t>Air Source Heat Pump</w:t>
            </w:r>
          </w:p>
        </w:tc>
        <w:tc>
          <w:tcPr>
            <w:tcW w:w="252" w:type="dxa"/>
            <w:tcBorders>
              <w:top w:val="nil"/>
              <w:left w:val="nil"/>
              <w:bottom w:val="nil"/>
              <w:right w:val="single" w:sz="8" w:space="0" w:color="auto"/>
            </w:tcBorders>
            <w:tcMar>
              <w:top w:w="0" w:type="dxa"/>
              <w:left w:w="108" w:type="dxa"/>
              <w:bottom w:w="0" w:type="dxa"/>
              <w:right w:w="108" w:type="dxa"/>
            </w:tcMar>
          </w:tcPr>
          <w:p w14:paraId="1035EB49" w14:textId="77777777" w:rsidR="001C2E3A" w:rsidRPr="00C55948" w:rsidRDefault="001C2E3A" w:rsidP="001C2E3A">
            <w:pPr>
              <w:spacing w:line="276" w:lineRule="auto"/>
              <w:jc w:val="center"/>
              <w:rPr>
                <w:rFonts w:eastAsia="Calibri"/>
                <w:snapToGrid w:val="0"/>
                <w:color w:val="FF0000"/>
                <w:sz w:val="16"/>
                <w:szCs w:val="16"/>
              </w:rPr>
            </w:pPr>
          </w:p>
        </w:tc>
        <w:tc>
          <w:tcPr>
            <w:tcW w:w="2538" w:type="dxa"/>
            <w:gridSpan w:val="3"/>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1035EB4A" w14:textId="77777777" w:rsidR="001C2E3A" w:rsidRPr="00C55948" w:rsidRDefault="001C2E3A" w:rsidP="001C2E3A">
            <w:pPr>
              <w:spacing w:line="276" w:lineRule="auto"/>
              <w:jc w:val="center"/>
              <w:rPr>
                <w:rFonts w:eastAsia="Calibri"/>
                <w:b/>
                <w:snapToGrid w:val="0"/>
                <w:color w:val="FF0000"/>
                <w:sz w:val="16"/>
                <w:szCs w:val="16"/>
              </w:rPr>
            </w:pPr>
            <w:r w:rsidRPr="00C55948">
              <w:rPr>
                <w:rFonts w:eastAsia="Calibri"/>
                <w:b/>
                <w:color w:val="000000"/>
                <w:sz w:val="16"/>
                <w:szCs w:val="16"/>
              </w:rPr>
              <w:t>Electric Storage Water Heaters</w:t>
            </w:r>
          </w:p>
        </w:tc>
        <w:tc>
          <w:tcPr>
            <w:tcW w:w="270" w:type="dxa"/>
            <w:tcBorders>
              <w:top w:val="nil"/>
              <w:left w:val="nil"/>
              <w:bottom w:val="nil"/>
              <w:right w:val="single" w:sz="8" w:space="0" w:color="auto"/>
            </w:tcBorders>
            <w:tcMar>
              <w:top w:w="0" w:type="dxa"/>
              <w:left w:w="108" w:type="dxa"/>
              <w:bottom w:w="0" w:type="dxa"/>
              <w:right w:w="108" w:type="dxa"/>
            </w:tcMar>
          </w:tcPr>
          <w:p w14:paraId="1035EB4B" w14:textId="77777777" w:rsidR="001C2E3A" w:rsidRPr="00C55948" w:rsidRDefault="001C2E3A" w:rsidP="001C2E3A">
            <w:pPr>
              <w:spacing w:line="276" w:lineRule="auto"/>
              <w:jc w:val="center"/>
              <w:rPr>
                <w:rFonts w:eastAsia="Calibri"/>
                <w:snapToGrid w:val="0"/>
                <w:color w:val="FF0000"/>
                <w:sz w:val="16"/>
                <w:szCs w:val="16"/>
              </w:rPr>
            </w:pPr>
          </w:p>
        </w:tc>
        <w:tc>
          <w:tcPr>
            <w:tcW w:w="2448" w:type="dxa"/>
            <w:gridSpan w:val="3"/>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1035EB4C" w14:textId="77777777" w:rsidR="001C2E3A" w:rsidRPr="00C55948" w:rsidRDefault="001C2E3A" w:rsidP="001C2E3A">
            <w:pPr>
              <w:spacing w:line="276" w:lineRule="auto"/>
              <w:jc w:val="center"/>
              <w:rPr>
                <w:rFonts w:eastAsia="Calibri"/>
                <w:b/>
                <w:snapToGrid w:val="0"/>
                <w:color w:val="FF0000"/>
                <w:sz w:val="16"/>
                <w:szCs w:val="16"/>
              </w:rPr>
            </w:pPr>
            <w:r w:rsidRPr="00C55948">
              <w:rPr>
                <w:rFonts w:eastAsia="Calibri"/>
                <w:b/>
                <w:color w:val="000000"/>
                <w:sz w:val="16"/>
                <w:szCs w:val="16"/>
              </w:rPr>
              <w:t>Gas Storage Water Heaters</w:t>
            </w:r>
          </w:p>
        </w:tc>
      </w:tr>
      <w:tr w:rsidR="00C55948" w:rsidRPr="00C55948" w14:paraId="1035EB5D" w14:textId="77777777" w:rsidTr="00C55948">
        <w:trPr>
          <w:trHeight w:val="286"/>
        </w:trPr>
        <w:tc>
          <w:tcPr>
            <w:tcW w:w="963" w:type="dxa"/>
            <w:tcBorders>
              <w:top w:val="nil"/>
              <w:left w:val="single" w:sz="8" w:space="0" w:color="auto"/>
              <w:bottom w:val="single" w:sz="8" w:space="0" w:color="auto"/>
              <w:right w:val="single" w:sz="8" w:space="0" w:color="auto"/>
            </w:tcBorders>
            <w:shd w:val="clear" w:color="auto" w:fill="808080"/>
            <w:tcMar>
              <w:top w:w="0" w:type="dxa"/>
              <w:left w:w="108" w:type="dxa"/>
              <w:bottom w:w="0" w:type="dxa"/>
              <w:right w:w="108" w:type="dxa"/>
            </w:tcMar>
            <w:vAlign w:val="bottom"/>
            <w:hideMark/>
          </w:tcPr>
          <w:p w14:paraId="1035EB4E" w14:textId="77777777" w:rsidR="001C2E3A" w:rsidRPr="00C55948" w:rsidRDefault="001C2E3A" w:rsidP="001C2E3A">
            <w:pPr>
              <w:spacing w:line="276" w:lineRule="auto"/>
              <w:jc w:val="center"/>
              <w:rPr>
                <w:rFonts w:eastAsia="Calibri"/>
                <w:b/>
                <w:color w:val="000000"/>
                <w:sz w:val="16"/>
                <w:szCs w:val="16"/>
              </w:rPr>
            </w:pPr>
            <w:r w:rsidRPr="00C55948">
              <w:rPr>
                <w:rFonts w:eastAsia="Calibri"/>
                <w:b/>
                <w:color w:val="000000"/>
                <w:sz w:val="16"/>
                <w:szCs w:val="16"/>
              </w:rPr>
              <w:t>Vintage</w:t>
            </w:r>
          </w:p>
        </w:tc>
        <w:tc>
          <w:tcPr>
            <w:tcW w:w="828"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bottom"/>
            <w:hideMark/>
          </w:tcPr>
          <w:p w14:paraId="1035EB4F" w14:textId="77777777" w:rsidR="001C2E3A" w:rsidRPr="00C55948" w:rsidRDefault="001C2E3A" w:rsidP="001C2E3A">
            <w:pPr>
              <w:spacing w:line="276" w:lineRule="auto"/>
              <w:jc w:val="center"/>
              <w:rPr>
                <w:rFonts w:eastAsia="Calibri"/>
                <w:b/>
                <w:color w:val="000000"/>
                <w:sz w:val="16"/>
                <w:szCs w:val="16"/>
              </w:rPr>
            </w:pPr>
            <w:r w:rsidRPr="00C55948">
              <w:rPr>
                <w:rFonts w:eastAsia="Calibri"/>
                <w:b/>
                <w:color w:val="000000"/>
                <w:sz w:val="16"/>
                <w:szCs w:val="16"/>
              </w:rPr>
              <w:t>Count</w:t>
            </w:r>
          </w:p>
        </w:tc>
        <w:tc>
          <w:tcPr>
            <w:tcW w:w="648"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bottom"/>
            <w:hideMark/>
          </w:tcPr>
          <w:p w14:paraId="1035EB50" w14:textId="77777777" w:rsidR="001C2E3A" w:rsidRPr="00C55948" w:rsidRDefault="001C2E3A" w:rsidP="00C55948">
            <w:pPr>
              <w:spacing w:line="276" w:lineRule="auto"/>
              <w:jc w:val="center"/>
              <w:rPr>
                <w:rFonts w:eastAsia="Calibri"/>
                <w:b/>
                <w:color w:val="000000"/>
                <w:sz w:val="16"/>
                <w:szCs w:val="16"/>
              </w:rPr>
            </w:pPr>
            <w:r w:rsidRPr="00C55948">
              <w:rPr>
                <w:rFonts w:eastAsia="Calibri"/>
                <w:b/>
                <w:color w:val="000000"/>
                <w:sz w:val="16"/>
                <w:szCs w:val="16"/>
              </w:rPr>
              <w:t>%</w:t>
            </w:r>
          </w:p>
        </w:tc>
        <w:tc>
          <w:tcPr>
            <w:tcW w:w="243" w:type="dxa"/>
            <w:tcBorders>
              <w:top w:val="nil"/>
              <w:left w:val="nil"/>
              <w:bottom w:val="nil"/>
              <w:right w:val="single" w:sz="8" w:space="0" w:color="auto"/>
            </w:tcBorders>
            <w:tcMar>
              <w:top w:w="0" w:type="dxa"/>
              <w:left w:w="108" w:type="dxa"/>
              <w:bottom w:w="0" w:type="dxa"/>
              <w:right w:w="108" w:type="dxa"/>
            </w:tcMar>
          </w:tcPr>
          <w:p w14:paraId="1035EB51" w14:textId="77777777" w:rsidR="001C2E3A" w:rsidRPr="00C55948" w:rsidRDefault="001C2E3A" w:rsidP="001C2E3A">
            <w:pPr>
              <w:spacing w:line="276" w:lineRule="auto"/>
              <w:rPr>
                <w:rFonts w:eastAsia="Calibri"/>
                <w:snapToGrid w:val="0"/>
                <w:color w:val="FF0000"/>
                <w:sz w:val="16"/>
                <w:szCs w:val="16"/>
              </w:rPr>
            </w:pPr>
          </w:p>
        </w:tc>
        <w:tc>
          <w:tcPr>
            <w:tcW w:w="963"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bottom"/>
            <w:hideMark/>
          </w:tcPr>
          <w:p w14:paraId="1035EB52" w14:textId="77777777" w:rsidR="001C2E3A" w:rsidRPr="00C55948" w:rsidRDefault="001C2E3A" w:rsidP="001C2E3A">
            <w:pPr>
              <w:spacing w:line="276" w:lineRule="auto"/>
              <w:jc w:val="center"/>
              <w:rPr>
                <w:rFonts w:eastAsia="Calibri"/>
                <w:b/>
                <w:color w:val="000000"/>
                <w:sz w:val="16"/>
                <w:szCs w:val="16"/>
              </w:rPr>
            </w:pPr>
            <w:r w:rsidRPr="00C55948">
              <w:rPr>
                <w:rFonts w:eastAsia="Calibri"/>
                <w:b/>
                <w:color w:val="000000"/>
                <w:sz w:val="16"/>
                <w:szCs w:val="16"/>
              </w:rPr>
              <w:t>Vintage</w:t>
            </w:r>
          </w:p>
        </w:tc>
        <w:tc>
          <w:tcPr>
            <w:tcW w:w="81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bottom"/>
            <w:hideMark/>
          </w:tcPr>
          <w:p w14:paraId="1035EB53" w14:textId="77777777" w:rsidR="001C2E3A" w:rsidRPr="00C55948" w:rsidRDefault="001C2E3A" w:rsidP="001C2E3A">
            <w:pPr>
              <w:spacing w:line="276" w:lineRule="auto"/>
              <w:jc w:val="center"/>
              <w:rPr>
                <w:rFonts w:eastAsia="Calibri"/>
                <w:b/>
                <w:color w:val="000000"/>
                <w:sz w:val="16"/>
                <w:szCs w:val="16"/>
              </w:rPr>
            </w:pPr>
            <w:r w:rsidRPr="00C55948">
              <w:rPr>
                <w:rFonts w:eastAsia="Calibri"/>
                <w:b/>
                <w:color w:val="000000"/>
                <w:sz w:val="16"/>
                <w:szCs w:val="16"/>
              </w:rPr>
              <w:t>Count</w:t>
            </w:r>
          </w:p>
        </w:tc>
        <w:tc>
          <w:tcPr>
            <w:tcW w:w="666"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bottom"/>
            <w:hideMark/>
          </w:tcPr>
          <w:p w14:paraId="1035EB54" w14:textId="77777777" w:rsidR="001C2E3A" w:rsidRPr="00C55948" w:rsidRDefault="001C2E3A" w:rsidP="001C2E3A">
            <w:pPr>
              <w:spacing w:line="276" w:lineRule="auto"/>
              <w:jc w:val="center"/>
              <w:rPr>
                <w:rFonts w:eastAsia="Calibri"/>
                <w:b/>
                <w:color w:val="000000"/>
                <w:sz w:val="16"/>
                <w:szCs w:val="16"/>
              </w:rPr>
            </w:pPr>
            <w:r w:rsidRPr="00C55948">
              <w:rPr>
                <w:rFonts w:eastAsia="Calibri"/>
                <w:b/>
                <w:color w:val="000000"/>
                <w:sz w:val="16"/>
                <w:szCs w:val="16"/>
              </w:rPr>
              <w:t>%</w:t>
            </w:r>
          </w:p>
        </w:tc>
        <w:tc>
          <w:tcPr>
            <w:tcW w:w="252" w:type="dxa"/>
            <w:tcBorders>
              <w:top w:val="nil"/>
              <w:left w:val="nil"/>
              <w:bottom w:val="nil"/>
              <w:right w:val="single" w:sz="8" w:space="0" w:color="auto"/>
            </w:tcBorders>
            <w:tcMar>
              <w:top w:w="0" w:type="dxa"/>
              <w:left w:w="108" w:type="dxa"/>
              <w:bottom w:w="0" w:type="dxa"/>
              <w:right w:w="108" w:type="dxa"/>
            </w:tcMar>
          </w:tcPr>
          <w:p w14:paraId="1035EB5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bottom"/>
            <w:hideMark/>
          </w:tcPr>
          <w:p w14:paraId="1035EB56" w14:textId="77777777" w:rsidR="001C2E3A" w:rsidRPr="00C55948" w:rsidRDefault="001C2E3A" w:rsidP="001C2E3A">
            <w:pPr>
              <w:spacing w:line="276" w:lineRule="auto"/>
              <w:jc w:val="center"/>
              <w:rPr>
                <w:rFonts w:eastAsia="Calibri"/>
                <w:b/>
                <w:color w:val="000000"/>
                <w:sz w:val="16"/>
                <w:szCs w:val="16"/>
              </w:rPr>
            </w:pPr>
            <w:r w:rsidRPr="00C55948">
              <w:rPr>
                <w:rFonts w:eastAsia="Calibri"/>
                <w:b/>
                <w:color w:val="000000"/>
                <w:sz w:val="16"/>
                <w:szCs w:val="16"/>
              </w:rPr>
              <w:t>Vintage</w:t>
            </w:r>
          </w:p>
        </w:tc>
        <w:tc>
          <w:tcPr>
            <w:tcW w:w="90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bottom"/>
            <w:hideMark/>
          </w:tcPr>
          <w:p w14:paraId="1035EB57" w14:textId="77777777" w:rsidR="001C2E3A" w:rsidRPr="00C55948" w:rsidRDefault="001C2E3A" w:rsidP="001C2E3A">
            <w:pPr>
              <w:spacing w:line="276" w:lineRule="auto"/>
              <w:jc w:val="center"/>
              <w:rPr>
                <w:rFonts w:eastAsia="Calibri"/>
                <w:b/>
                <w:color w:val="000000"/>
                <w:sz w:val="16"/>
                <w:szCs w:val="16"/>
              </w:rPr>
            </w:pPr>
            <w:r w:rsidRPr="00C55948">
              <w:rPr>
                <w:rFonts w:eastAsia="Calibri"/>
                <w:b/>
                <w:color w:val="000000"/>
                <w:sz w:val="16"/>
                <w:szCs w:val="16"/>
              </w:rPr>
              <w:t>Count</w:t>
            </w:r>
          </w:p>
        </w:tc>
        <w:tc>
          <w:tcPr>
            <w:tcW w:w="675"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bottom"/>
            <w:hideMark/>
          </w:tcPr>
          <w:p w14:paraId="1035EB58" w14:textId="77777777" w:rsidR="001C2E3A" w:rsidRPr="00C55948" w:rsidRDefault="001C2E3A" w:rsidP="001C2E3A">
            <w:pPr>
              <w:spacing w:line="276" w:lineRule="auto"/>
              <w:jc w:val="center"/>
              <w:rPr>
                <w:rFonts w:eastAsia="Calibri"/>
                <w:b/>
                <w:color w:val="000000"/>
                <w:sz w:val="16"/>
                <w:szCs w:val="16"/>
              </w:rPr>
            </w:pPr>
            <w:r w:rsidRPr="00C55948">
              <w:rPr>
                <w:rFonts w:eastAsia="Calibri"/>
                <w:b/>
                <w:color w:val="000000"/>
                <w:sz w:val="16"/>
                <w:szCs w:val="16"/>
              </w:rPr>
              <w:t>%</w:t>
            </w:r>
          </w:p>
        </w:tc>
        <w:tc>
          <w:tcPr>
            <w:tcW w:w="270" w:type="dxa"/>
            <w:tcBorders>
              <w:top w:val="nil"/>
              <w:left w:val="nil"/>
              <w:bottom w:val="nil"/>
              <w:right w:val="single" w:sz="8" w:space="0" w:color="auto"/>
            </w:tcBorders>
            <w:tcMar>
              <w:top w:w="0" w:type="dxa"/>
              <w:left w:w="108" w:type="dxa"/>
              <w:bottom w:w="0" w:type="dxa"/>
              <w:right w:w="108" w:type="dxa"/>
            </w:tcMar>
          </w:tcPr>
          <w:p w14:paraId="1035EB5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bottom"/>
            <w:hideMark/>
          </w:tcPr>
          <w:p w14:paraId="1035EB5A" w14:textId="77777777" w:rsidR="001C2E3A" w:rsidRPr="00C55948" w:rsidRDefault="001C2E3A" w:rsidP="001C2E3A">
            <w:pPr>
              <w:spacing w:line="276" w:lineRule="auto"/>
              <w:jc w:val="center"/>
              <w:rPr>
                <w:rFonts w:eastAsia="Calibri"/>
                <w:b/>
                <w:color w:val="000000"/>
                <w:sz w:val="16"/>
                <w:szCs w:val="16"/>
              </w:rPr>
            </w:pPr>
            <w:r w:rsidRPr="00C55948">
              <w:rPr>
                <w:rFonts w:eastAsia="Calibri"/>
                <w:b/>
                <w:color w:val="000000"/>
                <w:sz w:val="16"/>
                <w:szCs w:val="16"/>
              </w:rPr>
              <w:t>Vintage</w:t>
            </w:r>
          </w:p>
        </w:tc>
        <w:tc>
          <w:tcPr>
            <w:tcW w:w="927"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bottom"/>
            <w:hideMark/>
          </w:tcPr>
          <w:p w14:paraId="1035EB5B" w14:textId="77777777" w:rsidR="001C2E3A" w:rsidRPr="00C55948" w:rsidRDefault="001C2E3A" w:rsidP="001C2E3A">
            <w:pPr>
              <w:spacing w:line="276" w:lineRule="auto"/>
              <w:jc w:val="center"/>
              <w:rPr>
                <w:rFonts w:eastAsia="Calibri"/>
                <w:b/>
                <w:color w:val="000000"/>
                <w:sz w:val="16"/>
                <w:szCs w:val="16"/>
              </w:rPr>
            </w:pPr>
            <w:r w:rsidRPr="00C55948">
              <w:rPr>
                <w:rFonts w:eastAsia="Calibri"/>
                <w:b/>
                <w:color w:val="000000"/>
                <w:sz w:val="16"/>
                <w:szCs w:val="16"/>
              </w:rPr>
              <w:t>Count</w:t>
            </w:r>
          </w:p>
        </w:tc>
        <w:tc>
          <w:tcPr>
            <w:tcW w:w="594"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bottom"/>
            <w:hideMark/>
          </w:tcPr>
          <w:p w14:paraId="1035EB5C" w14:textId="77777777" w:rsidR="001C2E3A" w:rsidRPr="00C55948" w:rsidRDefault="001C2E3A" w:rsidP="001C2E3A">
            <w:pPr>
              <w:spacing w:line="276" w:lineRule="auto"/>
              <w:jc w:val="center"/>
              <w:rPr>
                <w:rFonts w:eastAsia="Calibri"/>
                <w:b/>
                <w:color w:val="000000"/>
                <w:sz w:val="16"/>
                <w:szCs w:val="16"/>
              </w:rPr>
            </w:pPr>
            <w:r w:rsidRPr="00C55948">
              <w:rPr>
                <w:rFonts w:eastAsia="Calibri"/>
                <w:b/>
                <w:color w:val="000000"/>
                <w:sz w:val="16"/>
                <w:szCs w:val="16"/>
              </w:rPr>
              <w:t>%</w:t>
            </w:r>
          </w:p>
        </w:tc>
      </w:tr>
      <w:tr w:rsidR="00C55948" w:rsidRPr="00C55948" w14:paraId="1035EB6D" w14:textId="77777777" w:rsidTr="00C55948">
        <w:trPr>
          <w:trHeight w:val="325"/>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035EB5E"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1966-1970</w:t>
            </w:r>
          </w:p>
        </w:tc>
        <w:tc>
          <w:tcPr>
            <w:tcW w:w="82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5F"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8,485</w:t>
            </w:r>
          </w:p>
        </w:tc>
        <w:tc>
          <w:tcPr>
            <w:tcW w:w="64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60"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2%</w:t>
            </w:r>
          </w:p>
        </w:tc>
        <w:tc>
          <w:tcPr>
            <w:tcW w:w="243" w:type="dxa"/>
            <w:tcBorders>
              <w:top w:val="nil"/>
              <w:left w:val="nil"/>
              <w:bottom w:val="nil"/>
              <w:right w:val="single" w:sz="8" w:space="0" w:color="auto"/>
            </w:tcBorders>
            <w:tcMar>
              <w:top w:w="0" w:type="dxa"/>
              <w:left w:w="108" w:type="dxa"/>
              <w:bottom w:w="0" w:type="dxa"/>
              <w:right w:w="108" w:type="dxa"/>
            </w:tcMar>
          </w:tcPr>
          <w:p w14:paraId="1035EB61" w14:textId="77777777" w:rsidR="001C2E3A" w:rsidRPr="00C55948" w:rsidRDefault="001C2E3A" w:rsidP="001C2E3A">
            <w:pPr>
              <w:spacing w:line="276" w:lineRule="auto"/>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62"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1976-1980</w:t>
            </w:r>
          </w:p>
        </w:tc>
        <w:tc>
          <w:tcPr>
            <w:tcW w:w="81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63"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0</w:t>
            </w:r>
          </w:p>
        </w:tc>
        <w:tc>
          <w:tcPr>
            <w:tcW w:w="66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64"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0%</w:t>
            </w:r>
          </w:p>
        </w:tc>
        <w:tc>
          <w:tcPr>
            <w:tcW w:w="252" w:type="dxa"/>
            <w:tcBorders>
              <w:top w:val="nil"/>
              <w:left w:val="nil"/>
              <w:bottom w:val="nil"/>
              <w:right w:val="single" w:sz="8" w:space="0" w:color="auto"/>
            </w:tcBorders>
            <w:tcMar>
              <w:top w:w="0" w:type="dxa"/>
              <w:left w:w="108" w:type="dxa"/>
              <w:bottom w:w="0" w:type="dxa"/>
              <w:right w:w="108" w:type="dxa"/>
            </w:tcMar>
          </w:tcPr>
          <w:p w14:paraId="1035EB6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66"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1966-1970</w:t>
            </w:r>
          </w:p>
        </w:tc>
        <w:tc>
          <w:tcPr>
            <w:tcW w:w="90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67"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1,525</w:t>
            </w:r>
          </w:p>
        </w:tc>
        <w:tc>
          <w:tcPr>
            <w:tcW w:w="67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68"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0%</w:t>
            </w:r>
          </w:p>
        </w:tc>
        <w:tc>
          <w:tcPr>
            <w:tcW w:w="270" w:type="dxa"/>
            <w:tcBorders>
              <w:top w:val="nil"/>
              <w:left w:val="nil"/>
              <w:bottom w:val="nil"/>
              <w:right w:val="single" w:sz="8" w:space="0" w:color="auto"/>
            </w:tcBorders>
            <w:tcMar>
              <w:top w:w="0" w:type="dxa"/>
              <w:left w:w="108" w:type="dxa"/>
              <w:bottom w:w="0" w:type="dxa"/>
              <w:right w:w="108" w:type="dxa"/>
            </w:tcMar>
          </w:tcPr>
          <w:p w14:paraId="1035EB6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6A"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1966-1970</w:t>
            </w:r>
          </w:p>
        </w:tc>
        <w:tc>
          <w:tcPr>
            <w:tcW w:w="92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6B"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0</w:t>
            </w:r>
          </w:p>
        </w:tc>
        <w:tc>
          <w:tcPr>
            <w:tcW w:w="59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6C"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0%</w:t>
            </w:r>
          </w:p>
        </w:tc>
      </w:tr>
      <w:tr w:rsidR="00C55948" w:rsidRPr="00C55948" w14:paraId="1035EB7D" w14:textId="77777777" w:rsidTr="00C55948">
        <w:trPr>
          <w:trHeight w:val="343"/>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035EB6E"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1971-1975</w:t>
            </w:r>
          </w:p>
        </w:tc>
        <w:tc>
          <w:tcPr>
            <w:tcW w:w="82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6F"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1,525</w:t>
            </w:r>
          </w:p>
        </w:tc>
        <w:tc>
          <w:tcPr>
            <w:tcW w:w="64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70"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0%</w:t>
            </w:r>
          </w:p>
        </w:tc>
        <w:tc>
          <w:tcPr>
            <w:tcW w:w="243" w:type="dxa"/>
            <w:tcBorders>
              <w:top w:val="nil"/>
              <w:left w:val="nil"/>
              <w:bottom w:val="nil"/>
              <w:right w:val="single" w:sz="8" w:space="0" w:color="auto"/>
            </w:tcBorders>
            <w:tcMar>
              <w:top w:w="0" w:type="dxa"/>
              <w:left w:w="108" w:type="dxa"/>
              <w:bottom w:w="0" w:type="dxa"/>
              <w:right w:w="108" w:type="dxa"/>
            </w:tcMar>
          </w:tcPr>
          <w:p w14:paraId="1035EB71" w14:textId="77777777" w:rsidR="001C2E3A" w:rsidRPr="00C55948" w:rsidRDefault="001C2E3A" w:rsidP="001C2E3A">
            <w:pPr>
              <w:spacing w:line="276" w:lineRule="auto"/>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72"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1981-1985</w:t>
            </w:r>
          </w:p>
        </w:tc>
        <w:tc>
          <w:tcPr>
            <w:tcW w:w="81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73"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0</w:t>
            </w:r>
          </w:p>
        </w:tc>
        <w:tc>
          <w:tcPr>
            <w:tcW w:w="66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74"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0%</w:t>
            </w:r>
          </w:p>
        </w:tc>
        <w:tc>
          <w:tcPr>
            <w:tcW w:w="252" w:type="dxa"/>
            <w:tcBorders>
              <w:top w:val="nil"/>
              <w:left w:val="nil"/>
              <w:bottom w:val="nil"/>
              <w:right w:val="single" w:sz="8" w:space="0" w:color="auto"/>
            </w:tcBorders>
            <w:tcMar>
              <w:top w:w="0" w:type="dxa"/>
              <w:left w:w="108" w:type="dxa"/>
              <w:bottom w:w="0" w:type="dxa"/>
              <w:right w:w="108" w:type="dxa"/>
            </w:tcMar>
          </w:tcPr>
          <w:p w14:paraId="1035EB7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76"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1971-1975</w:t>
            </w:r>
          </w:p>
        </w:tc>
        <w:tc>
          <w:tcPr>
            <w:tcW w:w="90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77"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7,367</w:t>
            </w:r>
          </w:p>
        </w:tc>
        <w:tc>
          <w:tcPr>
            <w:tcW w:w="67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78"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0%</w:t>
            </w:r>
          </w:p>
        </w:tc>
        <w:tc>
          <w:tcPr>
            <w:tcW w:w="270" w:type="dxa"/>
            <w:tcBorders>
              <w:top w:val="nil"/>
              <w:left w:val="nil"/>
              <w:bottom w:val="nil"/>
              <w:right w:val="single" w:sz="8" w:space="0" w:color="auto"/>
            </w:tcBorders>
            <w:tcMar>
              <w:top w:w="0" w:type="dxa"/>
              <w:left w:w="108" w:type="dxa"/>
              <w:bottom w:w="0" w:type="dxa"/>
              <w:right w:w="108" w:type="dxa"/>
            </w:tcMar>
          </w:tcPr>
          <w:p w14:paraId="1035EB7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7A"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1971-1975</w:t>
            </w:r>
          </w:p>
        </w:tc>
        <w:tc>
          <w:tcPr>
            <w:tcW w:w="92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7B"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0</w:t>
            </w:r>
          </w:p>
        </w:tc>
        <w:tc>
          <w:tcPr>
            <w:tcW w:w="59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7C"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0%</w:t>
            </w:r>
          </w:p>
        </w:tc>
      </w:tr>
      <w:tr w:rsidR="00C55948" w:rsidRPr="00C55948" w14:paraId="1035EB8D" w14:textId="77777777" w:rsidTr="00C55948">
        <w:trPr>
          <w:trHeight w:val="343"/>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035EB7E"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1976-1980</w:t>
            </w:r>
          </w:p>
        </w:tc>
        <w:tc>
          <w:tcPr>
            <w:tcW w:w="82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7F"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4,956</w:t>
            </w:r>
          </w:p>
        </w:tc>
        <w:tc>
          <w:tcPr>
            <w:tcW w:w="64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80"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w:t>
            </w:r>
          </w:p>
        </w:tc>
        <w:tc>
          <w:tcPr>
            <w:tcW w:w="243" w:type="dxa"/>
            <w:tcBorders>
              <w:top w:val="nil"/>
              <w:left w:val="nil"/>
              <w:bottom w:val="nil"/>
              <w:right w:val="single" w:sz="8" w:space="0" w:color="auto"/>
            </w:tcBorders>
            <w:tcMar>
              <w:top w:w="0" w:type="dxa"/>
              <w:left w:w="108" w:type="dxa"/>
              <w:bottom w:w="0" w:type="dxa"/>
              <w:right w:w="108" w:type="dxa"/>
            </w:tcMar>
          </w:tcPr>
          <w:p w14:paraId="1035EB81" w14:textId="77777777" w:rsidR="001C2E3A" w:rsidRPr="00C55948" w:rsidRDefault="001C2E3A" w:rsidP="001C2E3A">
            <w:pPr>
              <w:spacing w:line="276" w:lineRule="auto"/>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82"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1986-1990</w:t>
            </w:r>
          </w:p>
        </w:tc>
        <w:tc>
          <w:tcPr>
            <w:tcW w:w="81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83"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4,956</w:t>
            </w:r>
          </w:p>
        </w:tc>
        <w:tc>
          <w:tcPr>
            <w:tcW w:w="66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84"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7%</w:t>
            </w:r>
          </w:p>
        </w:tc>
        <w:tc>
          <w:tcPr>
            <w:tcW w:w="252" w:type="dxa"/>
            <w:tcBorders>
              <w:top w:val="nil"/>
              <w:left w:val="nil"/>
              <w:bottom w:val="nil"/>
              <w:right w:val="single" w:sz="8" w:space="0" w:color="auto"/>
            </w:tcBorders>
            <w:tcMar>
              <w:top w:w="0" w:type="dxa"/>
              <w:left w:w="108" w:type="dxa"/>
              <w:bottom w:w="0" w:type="dxa"/>
              <w:right w:w="108" w:type="dxa"/>
            </w:tcMar>
          </w:tcPr>
          <w:p w14:paraId="1035EB8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86"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1976-1980</w:t>
            </w:r>
          </w:p>
        </w:tc>
        <w:tc>
          <w:tcPr>
            <w:tcW w:w="90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87"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24,023</w:t>
            </w:r>
          </w:p>
        </w:tc>
        <w:tc>
          <w:tcPr>
            <w:tcW w:w="67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88"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w:t>
            </w:r>
          </w:p>
        </w:tc>
        <w:tc>
          <w:tcPr>
            <w:tcW w:w="270" w:type="dxa"/>
            <w:tcBorders>
              <w:top w:val="nil"/>
              <w:left w:val="nil"/>
              <w:bottom w:val="nil"/>
              <w:right w:val="single" w:sz="8" w:space="0" w:color="auto"/>
            </w:tcBorders>
            <w:tcMar>
              <w:top w:w="0" w:type="dxa"/>
              <w:left w:w="108" w:type="dxa"/>
              <w:bottom w:w="0" w:type="dxa"/>
              <w:right w:w="108" w:type="dxa"/>
            </w:tcMar>
          </w:tcPr>
          <w:p w14:paraId="1035EB8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8A"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1976-1980</w:t>
            </w:r>
          </w:p>
        </w:tc>
        <w:tc>
          <w:tcPr>
            <w:tcW w:w="92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8B"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5,250</w:t>
            </w:r>
          </w:p>
        </w:tc>
        <w:tc>
          <w:tcPr>
            <w:tcW w:w="59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8C"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0%</w:t>
            </w:r>
          </w:p>
        </w:tc>
      </w:tr>
      <w:tr w:rsidR="00C55948" w:rsidRPr="00C55948" w14:paraId="1035EB9D" w14:textId="77777777" w:rsidTr="00C55948">
        <w:trPr>
          <w:trHeight w:val="255"/>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035EB8E"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1981-1985</w:t>
            </w:r>
          </w:p>
        </w:tc>
        <w:tc>
          <w:tcPr>
            <w:tcW w:w="82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8F"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15,063</w:t>
            </w:r>
          </w:p>
        </w:tc>
        <w:tc>
          <w:tcPr>
            <w:tcW w:w="64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90"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3%</w:t>
            </w:r>
          </w:p>
        </w:tc>
        <w:tc>
          <w:tcPr>
            <w:tcW w:w="243" w:type="dxa"/>
            <w:tcBorders>
              <w:top w:val="nil"/>
              <w:left w:val="nil"/>
              <w:bottom w:val="nil"/>
              <w:right w:val="single" w:sz="8" w:space="0" w:color="auto"/>
            </w:tcBorders>
            <w:tcMar>
              <w:top w:w="0" w:type="dxa"/>
              <w:left w:w="108" w:type="dxa"/>
              <w:bottom w:w="0" w:type="dxa"/>
              <w:right w:w="108" w:type="dxa"/>
            </w:tcMar>
          </w:tcPr>
          <w:p w14:paraId="1035EB91" w14:textId="77777777" w:rsidR="001C2E3A" w:rsidRPr="00C55948" w:rsidRDefault="001C2E3A" w:rsidP="001C2E3A">
            <w:pPr>
              <w:spacing w:line="276" w:lineRule="auto"/>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92"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1991-1995</w:t>
            </w:r>
          </w:p>
        </w:tc>
        <w:tc>
          <w:tcPr>
            <w:tcW w:w="81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93"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4,956</w:t>
            </w:r>
          </w:p>
        </w:tc>
        <w:tc>
          <w:tcPr>
            <w:tcW w:w="66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94"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7%</w:t>
            </w:r>
          </w:p>
        </w:tc>
        <w:tc>
          <w:tcPr>
            <w:tcW w:w="252" w:type="dxa"/>
            <w:tcBorders>
              <w:top w:val="nil"/>
              <w:left w:val="nil"/>
              <w:bottom w:val="nil"/>
              <w:right w:val="single" w:sz="8" w:space="0" w:color="auto"/>
            </w:tcBorders>
            <w:tcMar>
              <w:top w:w="0" w:type="dxa"/>
              <w:left w:w="108" w:type="dxa"/>
              <w:bottom w:w="0" w:type="dxa"/>
              <w:right w:w="108" w:type="dxa"/>
            </w:tcMar>
          </w:tcPr>
          <w:p w14:paraId="1035EB9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96"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1981-1985</w:t>
            </w:r>
          </w:p>
        </w:tc>
        <w:tc>
          <w:tcPr>
            <w:tcW w:w="90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97"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40,764</w:t>
            </w:r>
          </w:p>
        </w:tc>
        <w:tc>
          <w:tcPr>
            <w:tcW w:w="67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98"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2%</w:t>
            </w:r>
          </w:p>
        </w:tc>
        <w:tc>
          <w:tcPr>
            <w:tcW w:w="270" w:type="dxa"/>
            <w:tcBorders>
              <w:top w:val="nil"/>
              <w:left w:val="nil"/>
              <w:bottom w:val="nil"/>
              <w:right w:val="single" w:sz="8" w:space="0" w:color="auto"/>
            </w:tcBorders>
            <w:tcMar>
              <w:top w:w="0" w:type="dxa"/>
              <w:left w:w="108" w:type="dxa"/>
              <w:bottom w:w="0" w:type="dxa"/>
              <w:right w:w="108" w:type="dxa"/>
            </w:tcMar>
          </w:tcPr>
          <w:p w14:paraId="1035EB9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9A"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1981-1985</w:t>
            </w:r>
          </w:p>
        </w:tc>
        <w:tc>
          <w:tcPr>
            <w:tcW w:w="92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9B"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20,669</w:t>
            </w:r>
          </w:p>
        </w:tc>
        <w:tc>
          <w:tcPr>
            <w:tcW w:w="59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9C"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w:t>
            </w:r>
          </w:p>
        </w:tc>
      </w:tr>
      <w:tr w:rsidR="00C55948" w:rsidRPr="00C55948" w14:paraId="1035EBAD" w14:textId="77777777" w:rsidTr="00C55948">
        <w:trPr>
          <w:trHeight w:val="228"/>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035EB9E" w14:textId="77777777" w:rsidR="001C2E3A" w:rsidRPr="00C55948" w:rsidRDefault="001C2E3A" w:rsidP="001C2E3A">
            <w:pPr>
              <w:spacing w:line="228" w:lineRule="atLeast"/>
              <w:jc w:val="center"/>
              <w:rPr>
                <w:rFonts w:eastAsia="Calibri"/>
                <w:color w:val="000000"/>
                <w:sz w:val="16"/>
                <w:szCs w:val="16"/>
              </w:rPr>
            </w:pPr>
            <w:r w:rsidRPr="00C55948">
              <w:rPr>
                <w:rFonts w:eastAsia="Calibri"/>
                <w:color w:val="000000"/>
                <w:sz w:val="16"/>
                <w:szCs w:val="16"/>
              </w:rPr>
              <w:t>1986-1990</w:t>
            </w:r>
          </w:p>
        </w:tc>
        <w:tc>
          <w:tcPr>
            <w:tcW w:w="82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9F" w14:textId="77777777" w:rsidR="001C2E3A" w:rsidRPr="00C55948" w:rsidRDefault="001C2E3A" w:rsidP="001C2E3A">
            <w:pPr>
              <w:spacing w:line="228" w:lineRule="atLeast"/>
              <w:jc w:val="center"/>
              <w:rPr>
                <w:rFonts w:eastAsia="Calibri"/>
                <w:color w:val="000000"/>
                <w:sz w:val="16"/>
                <w:szCs w:val="16"/>
              </w:rPr>
            </w:pPr>
            <w:r w:rsidRPr="00C55948">
              <w:rPr>
                <w:rFonts w:eastAsia="Calibri"/>
                <w:color w:val="000000"/>
                <w:sz w:val="16"/>
                <w:szCs w:val="16"/>
              </w:rPr>
              <w:t>38,710</w:t>
            </w:r>
          </w:p>
        </w:tc>
        <w:tc>
          <w:tcPr>
            <w:tcW w:w="64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A0" w14:textId="77777777" w:rsidR="001C2E3A" w:rsidRPr="00C55948" w:rsidRDefault="001C2E3A" w:rsidP="001C2E3A">
            <w:pPr>
              <w:spacing w:line="228" w:lineRule="atLeast"/>
              <w:jc w:val="center"/>
              <w:rPr>
                <w:rFonts w:eastAsia="Calibri"/>
                <w:color w:val="000000"/>
                <w:sz w:val="16"/>
                <w:szCs w:val="16"/>
              </w:rPr>
            </w:pPr>
            <w:r w:rsidRPr="00C55948">
              <w:rPr>
                <w:rFonts w:eastAsia="Calibri"/>
                <w:color w:val="000000"/>
                <w:sz w:val="16"/>
                <w:szCs w:val="16"/>
              </w:rPr>
              <w:t>7%</w:t>
            </w:r>
          </w:p>
        </w:tc>
        <w:tc>
          <w:tcPr>
            <w:tcW w:w="243" w:type="dxa"/>
            <w:tcBorders>
              <w:top w:val="nil"/>
              <w:left w:val="nil"/>
              <w:bottom w:val="nil"/>
              <w:right w:val="single" w:sz="8" w:space="0" w:color="auto"/>
            </w:tcBorders>
            <w:tcMar>
              <w:top w:w="0" w:type="dxa"/>
              <w:left w:w="108" w:type="dxa"/>
              <w:bottom w:w="0" w:type="dxa"/>
              <w:right w:w="108" w:type="dxa"/>
            </w:tcMar>
          </w:tcPr>
          <w:p w14:paraId="1035EBA1" w14:textId="77777777" w:rsidR="001C2E3A" w:rsidRPr="00C55948" w:rsidRDefault="001C2E3A" w:rsidP="001C2E3A">
            <w:pPr>
              <w:spacing w:line="276" w:lineRule="auto"/>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A2" w14:textId="77777777" w:rsidR="001C2E3A" w:rsidRPr="00C55948" w:rsidRDefault="001C2E3A" w:rsidP="001C2E3A">
            <w:pPr>
              <w:spacing w:line="228" w:lineRule="atLeast"/>
              <w:jc w:val="center"/>
              <w:rPr>
                <w:rFonts w:eastAsia="Calibri"/>
                <w:color w:val="000000"/>
                <w:sz w:val="16"/>
                <w:szCs w:val="16"/>
              </w:rPr>
            </w:pPr>
            <w:r w:rsidRPr="00C55948">
              <w:rPr>
                <w:rFonts w:eastAsia="Calibri"/>
                <w:color w:val="000000"/>
                <w:sz w:val="16"/>
                <w:szCs w:val="16"/>
              </w:rPr>
              <w:t>1996-2000</w:t>
            </w:r>
          </w:p>
        </w:tc>
        <w:tc>
          <w:tcPr>
            <w:tcW w:w="81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A3" w14:textId="77777777" w:rsidR="001C2E3A" w:rsidRPr="00C55948" w:rsidRDefault="001C2E3A" w:rsidP="001C2E3A">
            <w:pPr>
              <w:spacing w:line="228" w:lineRule="atLeast"/>
              <w:jc w:val="center"/>
              <w:rPr>
                <w:rFonts w:eastAsia="Calibri"/>
                <w:color w:val="000000"/>
                <w:sz w:val="16"/>
                <w:szCs w:val="16"/>
              </w:rPr>
            </w:pPr>
            <w:r w:rsidRPr="00C55948">
              <w:rPr>
                <w:rFonts w:eastAsia="Calibri"/>
                <w:color w:val="000000"/>
                <w:sz w:val="16"/>
                <w:szCs w:val="16"/>
              </w:rPr>
              <w:t>14,869</w:t>
            </w:r>
          </w:p>
        </w:tc>
        <w:tc>
          <w:tcPr>
            <w:tcW w:w="66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A4" w14:textId="77777777" w:rsidR="001C2E3A" w:rsidRPr="00C55948" w:rsidRDefault="001C2E3A" w:rsidP="001C2E3A">
            <w:pPr>
              <w:spacing w:line="228" w:lineRule="atLeast"/>
              <w:jc w:val="center"/>
              <w:rPr>
                <w:rFonts w:eastAsia="Calibri"/>
                <w:color w:val="000000"/>
                <w:sz w:val="16"/>
                <w:szCs w:val="16"/>
              </w:rPr>
            </w:pPr>
            <w:r w:rsidRPr="00C55948">
              <w:rPr>
                <w:rFonts w:eastAsia="Calibri"/>
                <w:color w:val="000000"/>
                <w:sz w:val="16"/>
                <w:szCs w:val="16"/>
              </w:rPr>
              <w:t>21%</w:t>
            </w:r>
          </w:p>
        </w:tc>
        <w:tc>
          <w:tcPr>
            <w:tcW w:w="252" w:type="dxa"/>
            <w:tcBorders>
              <w:top w:val="nil"/>
              <w:left w:val="nil"/>
              <w:bottom w:val="nil"/>
              <w:right w:val="single" w:sz="8" w:space="0" w:color="auto"/>
            </w:tcBorders>
            <w:tcMar>
              <w:top w:w="0" w:type="dxa"/>
              <w:left w:w="108" w:type="dxa"/>
              <w:bottom w:w="0" w:type="dxa"/>
              <w:right w:w="108" w:type="dxa"/>
            </w:tcMar>
          </w:tcPr>
          <w:p w14:paraId="1035EBA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A6" w14:textId="77777777" w:rsidR="001C2E3A" w:rsidRPr="00C55948" w:rsidRDefault="001C2E3A" w:rsidP="001C2E3A">
            <w:pPr>
              <w:spacing w:line="228" w:lineRule="atLeast"/>
              <w:jc w:val="center"/>
              <w:rPr>
                <w:rFonts w:eastAsia="Calibri"/>
                <w:color w:val="000000"/>
                <w:sz w:val="16"/>
                <w:szCs w:val="16"/>
              </w:rPr>
            </w:pPr>
            <w:r w:rsidRPr="00C55948">
              <w:rPr>
                <w:rFonts w:eastAsia="Calibri"/>
                <w:color w:val="000000"/>
                <w:sz w:val="16"/>
                <w:szCs w:val="16"/>
              </w:rPr>
              <w:t>1986-1990</w:t>
            </w:r>
          </w:p>
        </w:tc>
        <w:tc>
          <w:tcPr>
            <w:tcW w:w="90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A7" w14:textId="77777777" w:rsidR="001C2E3A" w:rsidRPr="00C55948" w:rsidRDefault="001C2E3A" w:rsidP="001C2E3A">
            <w:pPr>
              <w:spacing w:line="228" w:lineRule="atLeast"/>
              <w:jc w:val="center"/>
              <w:rPr>
                <w:rFonts w:eastAsia="Calibri"/>
                <w:color w:val="000000"/>
                <w:sz w:val="16"/>
                <w:szCs w:val="16"/>
              </w:rPr>
            </w:pPr>
            <w:r w:rsidRPr="00C55948">
              <w:rPr>
                <w:rFonts w:eastAsia="Calibri"/>
                <w:color w:val="000000"/>
                <w:sz w:val="16"/>
                <w:szCs w:val="16"/>
              </w:rPr>
              <w:t>120,073</w:t>
            </w:r>
          </w:p>
        </w:tc>
        <w:tc>
          <w:tcPr>
            <w:tcW w:w="67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A8" w14:textId="77777777" w:rsidR="001C2E3A" w:rsidRPr="00C55948" w:rsidRDefault="001C2E3A" w:rsidP="001C2E3A">
            <w:pPr>
              <w:spacing w:line="228" w:lineRule="atLeast"/>
              <w:jc w:val="center"/>
              <w:rPr>
                <w:rFonts w:eastAsia="Calibri"/>
                <w:color w:val="000000"/>
                <w:sz w:val="16"/>
                <w:szCs w:val="16"/>
              </w:rPr>
            </w:pPr>
            <w:r w:rsidRPr="00C55948">
              <w:rPr>
                <w:rFonts w:eastAsia="Calibri"/>
                <w:color w:val="000000"/>
                <w:sz w:val="16"/>
                <w:szCs w:val="16"/>
              </w:rPr>
              <w:t>5%</w:t>
            </w:r>
          </w:p>
        </w:tc>
        <w:tc>
          <w:tcPr>
            <w:tcW w:w="270" w:type="dxa"/>
            <w:tcBorders>
              <w:top w:val="nil"/>
              <w:left w:val="nil"/>
              <w:bottom w:val="nil"/>
              <w:right w:val="single" w:sz="8" w:space="0" w:color="auto"/>
            </w:tcBorders>
            <w:tcMar>
              <w:top w:w="0" w:type="dxa"/>
              <w:left w:w="108" w:type="dxa"/>
              <w:bottom w:w="0" w:type="dxa"/>
              <w:right w:w="108" w:type="dxa"/>
            </w:tcMar>
          </w:tcPr>
          <w:p w14:paraId="1035EBA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AA" w14:textId="77777777" w:rsidR="001C2E3A" w:rsidRPr="00C55948" w:rsidRDefault="001C2E3A" w:rsidP="001C2E3A">
            <w:pPr>
              <w:spacing w:line="228" w:lineRule="atLeast"/>
              <w:jc w:val="center"/>
              <w:rPr>
                <w:rFonts w:eastAsia="Calibri"/>
                <w:color w:val="000000"/>
                <w:sz w:val="16"/>
                <w:szCs w:val="16"/>
              </w:rPr>
            </w:pPr>
            <w:r w:rsidRPr="00C55948">
              <w:rPr>
                <w:rFonts w:eastAsia="Calibri"/>
                <w:color w:val="000000"/>
                <w:sz w:val="16"/>
                <w:szCs w:val="16"/>
              </w:rPr>
              <w:t>1986-1990</w:t>
            </w:r>
          </w:p>
        </w:tc>
        <w:tc>
          <w:tcPr>
            <w:tcW w:w="92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AB" w14:textId="77777777" w:rsidR="001C2E3A" w:rsidRPr="00C55948" w:rsidRDefault="001C2E3A" w:rsidP="001C2E3A">
            <w:pPr>
              <w:spacing w:line="228" w:lineRule="atLeast"/>
              <w:jc w:val="center"/>
              <w:rPr>
                <w:rFonts w:eastAsia="Calibri"/>
                <w:color w:val="000000"/>
                <w:sz w:val="16"/>
                <w:szCs w:val="16"/>
              </w:rPr>
            </w:pPr>
            <w:r w:rsidRPr="00C55948">
              <w:rPr>
                <w:rFonts w:eastAsia="Calibri"/>
                <w:color w:val="000000"/>
                <w:sz w:val="16"/>
                <w:szCs w:val="16"/>
              </w:rPr>
              <w:t>74,730</w:t>
            </w:r>
          </w:p>
        </w:tc>
        <w:tc>
          <w:tcPr>
            <w:tcW w:w="59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AC" w14:textId="77777777" w:rsidR="001C2E3A" w:rsidRPr="00C55948" w:rsidRDefault="001C2E3A" w:rsidP="001C2E3A">
            <w:pPr>
              <w:spacing w:line="228" w:lineRule="atLeast"/>
              <w:jc w:val="center"/>
              <w:rPr>
                <w:rFonts w:eastAsia="Calibri"/>
                <w:color w:val="000000"/>
                <w:sz w:val="16"/>
                <w:szCs w:val="16"/>
              </w:rPr>
            </w:pPr>
            <w:r w:rsidRPr="00C55948">
              <w:rPr>
                <w:rFonts w:eastAsia="Calibri"/>
                <w:color w:val="000000"/>
                <w:sz w:val="16"/>
                <w:szCs w:val="16"/>
              </w:rPr>
              <w:t>5%</w:t>
            </w:r>
          </w:p>
        </w:tc>
      </w:tr>
      <w:tr w:rsidR="00C55948" w:rsidRPr="00C55948" w14:paraId="1035EBBD" w14:textId="77777777" w:rsidTr="00C55948">
        <w:trPr>
          <w:trHeight w:val="105"/>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035EBAE" w14:textId="77777777" w:rsidR="001C2E3A" w:rsidRPr="00C55948" w:rsidRDefault="001C2E3A" w:rsidP="001C2E3A">
            <w:pPr>
              <w:spacing w:line="105" w:lineRule="atLeast"/>
              <w:jc w:val="center"/>
              <w:rPr>
                <w:rFonts w:eastAsia="Calibri"/>
                <w:color w:val="000000"/>
                <w:sz w:val="16"/>
                <w:szCs w:val="16"/>
              </w:rPr>
            </w:pPr>
            <w:r w:rsidRPr="00C55948">
              <w:rPr>
                <w:rFonts w:eastAsia="Calibri"/>
                <w:color w:val="000000"/>
                <w:sz w:val="16"/>
                <w:szCs w:val="16"/>
              </w:rPr>
              <w:t>1991-1995</w:t>
            </w:r>
          </w:p>
        </w:tc>
        <w:tc>
          <w:tcPr>
            <w:tcW w:w="82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AF" w14:textId="77777777" w:rsidR="001C2E3A" w:rsidRPr="00C55948" w:rsidRDefault="001C2E3A" w:rsidP="001C2E3A">
            <w:pPr>
              <w:spacing w:line="105" w:lineRule="atLeast"/>
              <w:jc w:val="center"/>
              <w:rPr>
                <w:rFonts w:eastAsia="Calibri"/>
                <w:color w:val="000000"/>
                <w:sz w:val="16"/>
                <w:szCs w:val="16"/>
              </w:rPr>
            </w:pPr>
            <w:r w:rsidRPr="00C55948">
              <w:rPr>
                <w:rFonts w:eastAsia="Calibri"/>
                <w:color w:val="000000"/>
                <w:sz w:val="16"/>
                <w:szCs w:val="16"/>
              </w:rPr>
              <w:t>54,317</w:t>
            </w:r>
          </w:p>
        </w:tc>
        <w:tc>
          <w:tcPr>
            <w:tcW w:w="64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B0" w14:textId="77777777" w:rsidR="001C2E3A" w:rsidRPr="00C55948" w:rsidRDefault="001C2E3A" w:rsidP="001C2E3A">
            <w:pPr>
              <w:spacing w:line="105" w:lineRule="atLeast"/>
              <w:jc w:val="center"/>
              <w:rPr>
                <w:rFonts w:eastAsia="Calibri"/>
                <w:color w:val="000000"/>
                <w:sz w:val="16"/>
                <w:szCs w:val="16"/>
              </w:rPr>
            </w:pPr>
            <w:r w:rsidRPr="00C55948">
              <w:rPr>
                <w:rFonts w:eastAsia="Calibri"/>
                <w:color w:val="000000"/>
                <w:sz w:val="16"/>
                <w:szCs w:val="16"/>
              </w:rPr>
              <w:t>10%</w:t>
            </w:r>
          </w:p>
        </w:tc>
        <w:tc>
          <w:tcPr>
            <w:tcW w:w="243" w:type="dxa"/>
            <w:tcBorders>
              <w:top w:val="nil"/>
              <w:left w:val="nil"/>
              <w:bottom w:val="nil"/>
              <w:right w:val="single" w:sz="8" w:space="0" w:color="auto"/>
            </w:tcBorders>
            <w:tcMar>
              <w:top w:w="0" w:type="dxa"/>
              <w:left w:w="108" w:type="dxa"/>
              <w:bottom w:w="0" w:type="dxa"/>
              <w:right w:w="108" w:type="dxa"/>
            </w:tcMar>
          </w:tcPr>
          <w:p w14:paraId="1035EBB1" w14:textId="77777777" w:rsidR="001C2E3A" w:rsidRPr="00C55948" w:rsidRDefault="001C2E3A" w:rsidP="001C2E3A">
            <w:pPr>
              <w:spacing w:line="276" w:lineRule="auto"/>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B2" w14:textId="77777777" w:rsidR="001C2E3A" w:rsidRPr="00C55948" w:rsidRDefault="001C2E3A" w:rsidP="001C2E3A">
            <w:pPr>
              <w:spacing w:line="105" w:lineRule="atLeast"/>
              <w:jc w:val="center"/>
              <w:rPr>
                <w:rFonts w:eastAsia="Calibri"/>
                <w:color w:val="000000"/>
                <w:sz w:val="16"/>
                <w:szCs w:val="16"/>
              </w:rPr>
            </w:pPr>
            <w:r w:rsidRPr="00C55948">
              <w:rPr>
                <w:rFonts w:eastAsia="Calibri"/>
                <w:color w:val="000000"/>
                <w:sz w:val="16"/>
                <w:szCs w:val="16"/>
              </w:rPr>
              <w:t>2001-2005</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B3" w14:textId="77777777" w:rsidR="001C2E3A" w:rsidRPr="00C55948" w:rsidRDefault="001C2E3A" w:rsidP="001C2E3A">
            <w:pPr>
              <w:spacing w:line="105" w:lineRule="atLeast"/>
              <w:jc w:val="center"/>
              <w:rPr>
                <w:rFonts w:eastAsia="Calibri"/>
                <w:color w:val="000000"/>
                <w:sz w:val="16"/>
                <w:szCs w:val="16"/>
              </w:rPr>
            </w:pPr>
            <w:r w:rsidRPr="00C55948">
              <w:rPr>
                <w:rFonts w:eastAsia="Calibri"/>
                <w:color w:val="000000"/>
                <w:sz w:val="16"/>
                <w:szCs w:val="16"/>
              </w:rPr>
              <w:t>4,956</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B4" w14:textId="77777777" w:rsidR="001C2E3A" w:rsidRPr="00C55948" w:rsidRDefault="001C2E3A" w:rsidP="001C2E3A">
            <w:pPr>
              <w:spacing w:line="105" w:lineRule="atLeast"/>
              <w:jc w:val="center"/>
              <w:rPr>
                <w:rFonts w:eastAsia="Calibri"/>
                <w:color w:val="000000"/>
                <w:sz w:val="16"/>
                <w:szCs w:val="16"/>
              </w:rPr>
            </w:pPr>
            <w:r w:rsidRPr="00C55948">
              <w:rPr>
                <w:rFonts w:eastAsia="Calibri"/>
                <w:color w:val="000000"/>
                <w:sz w:val="16"/>
                <w:szCs w:val="16"/>
              </w:rPr>
              <w:t>7%</w:t>
            </w:r>
          </w:p>
        </w:tc>
        <w:tc>
          <w:tcPr>
            <w:tcW w:w="252" w:type="dxa"/>
            <w:tcBorders>
              <w:top w:val="nil"/>
              <w:left w:val="nil"/>
              <w:bottom w:val="nil"/>
              <w:right w:val="single" w:sz="8" w:space="0" w:color="auto"/>
            </w:tcBorders>
            <w:tcMar>
              <w:top w:w="0" w:type="dxa"/>
              <w:left w:w="108" w:type="dxa"/>
              <w:bottom w:w="0" w:type="dxa"/>
              <w:right w:w="108" w:type="dxa"/>
            </w:tcMar>
          </w:tcPr>
          <w:p w14:paraId="1035EBB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B6" w14:textId="77777777" w:rsidR="001C2E3A" w:rsidRPr="00C55948" w:rsidRDefault="001C2E3A" w:rsidP="001C2E3A">
            <w:pPr>
              <w:spacing w:line="105" w:lineRule="atLeast"/>
              <w:jc w:val="center"/>
              <w:rPr>
                <w:rFonts w:eastAsia="Calibri"/>
                <w:color w:val="000000"/>
                <w:sz w:val="16"/>
                <w:szCs w:val="16"/>
              </w:rPr>
            </w:pPr>
            <w:r w:rsidRPr="00C55948">
              <w:rPr>
                <w:rFonts w:eastAsia="Calibri"/>
                <w:color w:val="000000"/>
                <w:sz w:val="16"/>
                <w:szCs w:val="16"/>
              </w:rPr>
              <w:t>1991-1995</w:t>
            </w:r>
          </w:p>
        </w:tc>
        <w:tc>
          <w:tcPr>
            <w:tcW w:w="90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B7" w14:textId="77777777" w:rsidR="001C2E3A" w:rsidRPr="00C55948" w:rsidRDefault="001C2E3A" w:rsidP="001C2E3A">
            <w:pPr>
              <w:spacing w:line="105" w:lineRule="atLeast"/>
              <w:jc w:val="center"/>
              <w:rPr>
                <w:rFonts w:eastAsia="Calibri"/>
                <w:color w:val="000000"/>
                <w:sz w:val="16"/>
                <w:szCs w:val="16"/>
              </w:rPr>
            </w:pPr>
            <w:r w:rsidRPr="00C55948">
              <w:rPr>
                <w:rFonts w:eastAsia="Calibri"/>
                <w:color w:val="000000"/>
                <w:sz w:val="16"/>
                <w:szCs w:val="16"/>
              </w:rPr>
              <w:t>289,126</w:t>
            </w:r>
          </w:p>
        </w:tc>
        <w:tc>
          <w:tcPr>
            <w:tcW w:w="67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B8" w14:textId="77777777" w:rsidR="001C2E3A" w:rsidRPr="00C55948" w:rsidRDefault="001C2E3A" w:rsidP="001C2E3A">
            <w:pPr>
              <w:spacing w:line="105" w:lineRule="atLeast"/>
              <w:jc w:val="center"/>
              <w:rPr>
                <w:rFonts w:eastAsia="Calibri"/>
                <w:color w:val="000000"/>
                <w:sz w:val="16"/>
                <w:szCs w:val="16"/>
              </w:rPr>
            </w:pPr>
            <w:r w:rsidRPr="00C55948">
              <w:rPr>
                <w:rFonts w:eastAsia="Calibri"/>
                <w:color w:val="000000"/>
                <w:sz w:val="16"/>
                <w:szCs w:val="16"/>
              </w:rPr>
              <w:t>13%</w:t>
            </w:r>
          </w:p>
        </w:tc>
        <w:tc>
          <w:tcPr>
            <w:tcW w:w="270" w:type="dxa"/>
            <w:tcBorders>
              <w:top w:val="nil"/>
              <w:left w:val="nil"/>
              <w:bottom w:val="nil"/>
              <w:right w:val="single" w:sz="8" w:space="0" w:color="auto"/>
            </w:tcBorders>
            <w:tcMar>
              <w:top w:w="0" w:type="dxa"/>
              <w:left w:w="108" w:type="dxa"/>
              <w:bottom w:w="0" w:type="dxa"/>
              <w:right w:w="108" w:type="dxa"/>
            </w:tcMar>
          </w:tcPr>
          <w:p w14:paraId="1035EBB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BA" w14:textId="77777777" w:rsidR="001C2E3A" w:rsidRPr="00C55948" w:rsidRDefault="001C2E3A" w:rsidP="001C2E3A">
            <w:pPr>
              <w:spacing w:line="105" w:lineRule="atLeast"/>
              <w:jc w:val="center"/>
              <w:rPr>
                <w:rFonts w:eastAsia="Calibri"/>
                <w:color w:val="000000"/>
                <w:sz w:val="16"/>
                <w:szCs w:val="16"/>
              </w:rPr>
            </w:pPr>
            <w:r w:rsidRPr="00C55948">
              <w:rPr>
                <w:rFonts w:eastAsia="Calibri"/>
                <w:color w:val="000000"/>
                <w:sz w:val="16"/>
                <w:szCs w:val="16"/>
              </w:rPr>
              <w:t>1991-1995</w:t>
            </w:r>
          </w:p>
        </w:tc>
        <w:tc>
          <w:tcPr>
            <w:tcW w:w="92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BB" w14:textId="77777777" w:rsidR="001C2E3A" w:rsidRPr="00C55948" w:rsidRDefault="001C2E3A" w:rsidP="001C2E3A">
            <w:pPr>
              <w:spacing w:line="105" w:lineRule="atLeast"/>
              <w:jc w:val="center"/>
              <w:rPr>
                <w:rFonts w:eastAsia="Calibri"/>
                <w:color w:val="000000"/>
                <w:sz w:val="16"/>
                <w:szCs w:val="16"/>
              </w:rPr>
            </w:pPr>
            <w:r w:rsidRPr="00C55948">
              <w:rPr>
                <w:rFonts w:eastAsia="Calibri"/>
                <w:color w:val="000000"/>
                <w:sz w:val="16"/>
                <w:szCs w:val="16"/>
              </w:rPr>
              <w:t>196,946</w:t>
            </w:r>
          </w:p>
        </w:tc>
        <w:tc>
          <w:tcPr>
            <w:tcW w:w="59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BC" w14:textId="77777777" w:rsidR="001C2E3A" w:rsidRPr="00C55948" w:rsidRDefault="001C2E3A" w:rsidP="001C2E3A">
            <w:pPr>
              <w:spacing w:line="105" w:lineRule="atLeast"/>
              <w:jc w:val="center"/>
              <w:rPr>
                <w:rFonts w:eastAsia="Calibri"/>
                <w:color w:val="000000"/>
                <w:sz w:val="16"/>
                <w:szCs w:val="16"/>
              </w:rPr>
            </w:pPr>
            <w:r w:rsidRPr="00C55948">
              <w:rPr>
                <w:rFonts w:eastAsia="Calibri"/>
                <w:color w:val="000000"/>
                <w:sz w:val="16"/>
                <w:szCs w:val="16"/>
              </w:rPr>
              <w:t>12%</w:t>
            </w:r>
          </w:p>
        </w:tc>
      </w:tr>
      <w:tr w:rsidR="00C55948" w:rsidRPr="00C55948" w14:paraId="1035EBCD" w14:textId="77777777" w:rsidTr="00C55948">
        <w:trPr>
          <w:trHeight w:val="69"/>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035EBBE"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1996-2000</w:t>
            </w:r>
          </w:p>
        </w:tc>
        <w:tc>
          <w:tcPr>
            <w:tcW w:w="82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BF"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91,504</w:t>
            </w:r>
          </w:p>
        </w:tc>
        <w:tc>
          <w:tcPr>
            <w:tcW w:w="64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C0"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17%</w:t>
            </w:r>
          </w:p>
        </w:tc>
        <w:tc>
          <w:tcPr>
            <w:tcW w:w="243" w:type="dxa"/>
            <w:tcBorders>
              <w:top w:val="nil"/>
              <w:left w:val="nil"/>
              <w:bottom w:val="nil"/>
              <w:right w:val="single" w:sz="8" w:space="0" w:color="auto"/>
            </w:tcBorders>
            <w:tcMar>
              <w:top w:w="0" w:type="dxa"/>
              <w:left w:w="108" w:type="dxa"/>
              <w:bottom w:w="0" w:type="dxa"/>
              <w:right w:w="108" w:type="dxa"/>
            </w:tcMar>
          </w:tcPr>
          <w:p w14:paraId="1035EBC1" w14:textId="77777777" w:rsidR="001C2E3A" w:rsidRPr="00C55948" w:rsidRDefault="001C2E3A" w:rsidP="001C2E3A">
            <w:pPr>
              <w:spacing w:line="276" w:lineRule="auto"/>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C2"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2006-2011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C3"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34,695</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C4"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50%</w:t>
            </w:r>
          </w:p>
        </w:tc>
        <w:tc>
          <w:tcPr>
            <w:tcW w:w="252" w:type="dxa"/>
            <w:tcBorders>
              <w:top w:val="nil"/>
              <w:left w:val="nil"/>
              <w:bottom w:val="nil"/>
              <w:right w:val="single" w:sz="8" w:space="0" w:color="auto"/>
            </w:tcBorders>
            <w:tcMar>
              <w:top w:w="0" w:type="dxa"/>
              <w:left w:w="108" w:type="dxa"/>
              <w:bottom w:w="0" w:type="dxa"/>
              <w:right w:w="108" w:type="dxa"/>
            </w:tcMar>
          </w:tcPr>
          <w:p w14:paraId="1035EBC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C6"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1996-2000</w:t>
            </w:r>
          </w:p>
        </w:tc>
        <w:tc>
          <w:tcPr>
            <w:tcW w:w="90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C7"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357,250</w:t>
            </w:r>
          </w:p>
        </w:tc>
        <w:tc>
          <w:tcPr>
            <w:tcW w:w="67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C8"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16%</w:t>
            </w:r>
          </w:p>
        </w:tc>
        <w:tc>
          <w:tcPr>
            <w:tcW w:w="270" w:type="dxa"/>
            <w:tcBorders>
              <w:top w:val="nil"/>
              <w:left w:val="nil"/>
              <w:bottom w:val="nil"/>
              <w:right w:val="single" w:sz="8" w:space="0" w:color="auto"/>
            </w:tcBorders>
            <w:tcMar>
              <w:top w:w="0" w:type="dxa"/>
              <w:left w:w="108" w:type="dxa"/>
              <w:bottom w:w="0" w:type="dxa"/>
              <w:right w:w="108" w:type="dxa"/>
            </w:tcMar>
          </w:tcPr>
          <w:p w14:paraId="1035EBC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CA"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1996-2000</w:t>
            </w:r>
          </w:p>
        </w:tc>
        <w:tc>
          <w:tcPr>
            <w:tcW w:w="92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CB"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308,063</w:t>
            </w:r>
          </w:p>
        </w:tc>
        <w:tc>
          <w:tcPr>
            <w:tcW w:w="59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1035EBCC"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19%</w:t>
            </w:r>
          </w:p>
        </w:tc>
      </w:tr>
      <w:tr w:rsidR="00C55948" w:rsidRPr="00C55948" w14:paraId="1035EBDD" w14:textId="77777777" w:rsidTr="00C55948">
        <w:trPr>
          <w:trHeight w:val="69"/>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035EBCE"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2001-2005</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CF"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131,222</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D0"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25%</w:t>
            </w:r>
          </w:p>
        </w:tc>
        <w:tc>
          <w:tcPr>
            <w:tcW w:w="243" w:type="dxa"/>
            <w:tcBorders>
              <w:top w:val="nil"/>
              <w:left w:val="nil"/>
              <w:bottom w:val="nil"/>
              <w:right w:val="single" w:sz="8" w:space="0" w:color="auto"/>
            </w:tcBorders>
            <w:tcMar>
              <w:top w:w="0" w:type="dxa"/>
              <w:left w:w="108" w:type="dxa"/>
              <w:bottom w:w="0" w:type="dxa"/>
              <w:right w:w="108" w:type="dxa"/>
            </w:tcMar>
          </w:tcPr>
          <w:p w14:paraId="1035EBD1" w14:textId="77777777" w:rsidR="001C2E3A" w:rsidRPr="00C55948" w:rsidRDefault="001C2E3A" w:rsidP="001C2E3A">
            <w:pPr>
              <w:spacing w:line="276" w:lineRule="auto"/>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D2"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Unknown</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D3"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4,956</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D4"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7%</w:t>
            </w:r>
          </w:p>
        </w:tc>
        <w:tc>
          <w:tcPr>
            <w:tcW w:w="252" w:type="dxa"/>
            <w:tcBorders>
              <w:top w:val="nil"/>
              <w:left w:val="nil"/>
              <w:bottom w:val="nil"/>
              <w:right w:val="single" w:sz="8" w:space="0" w:color="auto"/>
            </w:tcBorders>
            <w:tcMar>
              <w:top w:w="0" w:type="dxa"/>
              <w:left w:w="108" w:type="dxa"/>
              <w:bottom w:w="0" w:type="dxa"/>
              <w:right w:w="108" w:type="dxa"/>
            </w:tcMar>
          </w:tcPr>
          <w:p w14:paraId="1035EBD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D6"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2001-2005</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D7"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550,854</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D8"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24%</w:t>
            </w:r>
          </w:p>
        </w:tc>
        <w:tc>
          <w:tcPr>
            <w:tcW w:w="270" w:type="dxa"/>
            <w:tcBorders>
              <w:top w:val="nil"/>
              <w:left w:val="nil"/>
              <w:bottom w:val="nil"/>
              <w:right w:val="single" w:sz="8" w:space="0" w:color="auto"/>
            </w:tcBorders>
            <w:tcMar>
              <w:top w:w="0" w:type="dxa"/>
              <w:left w:w="108" w:type="dxa"/>
              <w:bottom w:w="0" w:type="dxa"/>
              <w:right w:w="108" w:type="dxa"/>
            </w:tcMar>
          </w:tcPr>
          <w:p w14:paraId="1035EBD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DA"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2001-2005</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DB"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471,073</w:t>
            </w:r>
          </w:p>
        </w:tc>
        <w:tc>
          <w:tcPr>
            <w:tcW w:w="5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DC"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28%</w:t>
            </w:r>
          </w:p>
        </w:tc>
      </w:tr>
      <w:tr w:rsidR="00C55948" w:rsidRPr="00C55948" w14:paraId="1035EBED" w14:textId="77777777" w:rsidTr="00C55948">
        <w:trPr>
          <w:trHeight w:val="69"/>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035EBDE"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2006-2011</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DF"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161,783</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E0"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31%</w:t>
            </w:r>
          </w:p>
        </w:tc>
        <w:tc>
          <w:tcPr>
            <w:tcW w:w="243" w:type="dxa"/>
            <w:tcBorders>
              <w:top w:val="nil"/>
              <w:left w:val="nil"/>
              <w:bottom w:val="nil"/>
              <w:right w:val="single" w:sz="8" w:space="0" w:color="auto"/>
            </w:tcBorders>
            <w:tcMar>
              <w:top w:w="0" w:type="dxa"/>
              <w:left w:w="108" w:type="dxa"/>
              <w:bottom w:w="0" w:type="dxa"/>
              <w:right w:w="108" w:type="dxa"/>
            </w:tcMar>
          </w:tcPr>
          <w:p w14:paraId="1035EBE1" w14:textId="77777777" w:rsidR="001C2E3A" w:rsidRPr="00C55948" w:rsidRDefault="001C2E3A" w:rsidP="001C2E3A">
            <w:pPr>
              <w:spacing w:line="276" w:lineRule="auto"/>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E2"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Grand Total</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E3"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69,391</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E4"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100%</w:t>
            </w:r>
          </w:p>
        </w:tc>
        <w:tc>
          <w:tcPr>
            <w:tcW w:w="252" w:type="dxa"/>
            <w:tcBorders>
              <w:top w:val="nil"/>
              <w:left w:val="nil"/>
              <w:bottom w:val="nil"/>
              <w:right w:val="single" w:sz="8" w:space="0" w:color="auto"/>
            </w:tcBorders>
            <w:tcMar>
              <w:top w:w="0" w:type="dxa"/>
              <w:left w:w="108" w:type="dxa"/>
              <w:bottom w:w="0" w:type="dxa"/>
              <w:right w:w="108" w:type="dxa"/>
            </w:tcMar>
          </w:tcPr>
          <w:p w14:paraId="1035EBE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E6"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2005-2011</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E7"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710,826</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E8"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32%</w:t>
            </w:r>
          </w:p>
        </w:tc>
        <w:tc>
          <w:tcPr>
            <w:tcW w:w="270" w:type="dxa"/>
            <w:tcBorders>
              <w:top w:val="nil"/>
              <w:left w:val="nil"/>
              <w:bottom w:val="nil"/>
              <w:right w:val="single" w:sz="8" w:space="0" w:color="auto"/>
            </w:tcBorders>
            <w:tcMar>
              <w:top w:w="0" w:type="dxa"/>
              <w:left w:w="108" w:type="dxa"/>
              <w:bottom w:w="0" w:type="dxa"/>
              <w:right w:w="108" w:type="dxa"/>
            </w:tcMar>
          </w:tcPr>
          <w:p w14:paraId="1035EBE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EA"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2005-2011</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EB"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494,255</w:t>
            </w:r>
          </w:p>
        </w:tc>
        <w:tc>
          <w:tcPr>
            <w:tcW w:w="5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EC"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30%</w:t>
            </w:r>
          </w:p>
        </w:tc>
      </w:tr>
      <w:tr w:rsidR="00C55948" w:rsidRPr="00C55948" w14:paraId="1035EBFD" w14:textId="77777777" w:rsidTr="00C55948">
        <w:trPr>
          <w:trHeight w:val="69"/>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035EBEE"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Before 1966</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EF"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5,053</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F0"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w:t>
            </w:r>
          </w:p>
        </w:tc>
        <w:tc>
          <w:tcPr>
            <w:tcW w:w="243" w:type="dxa"/>
            <w:tcMar>
              <w:top w:w="0" w:type="dxa"/>
              <w:left w:w="108" w:type="dxa"/>
              <w:bottom w:w="0" w:type="dxa"/>
              <w:right w:w="108" w:type="dxa"/>
            </w:tcMar>
          </w:tcPr>
          <w:p w14:paraId="1035EBF1" w14:textId="77777777" w:rsidR="001C2E3A" w:rsidRPr="00C55948" w:rsidRDefault="001C2E3A" w:rsidP="001C2E3A">
            <w:pPr>
              <w:spacing w:line="276" w:lineRule="auto"/>
              <w:rPr>
                <w:rFonts w:eastAsia="Calibri"/>
                <w:snapToGrid w:val="0"/>
                <w:color w:val="FF0000"/>
                <w:sz w:val="16"/>
                <w:szCs w:val="16"/>
              </w:rPr>
            </w:pPr>
          </w:p>
        </w:tc>
        <w:tc>
          <w:tcPr>
            <w:tcW w:w="963" w:type="dxa"/>
            <w:tcMar>
              <w:top w:w="0" w:type="dxa"/>
              <w:left w:w="108" w:type="dxa"/>
              <w:bottom w:w="0" w:type="dxa"/>
              <w:right w:w="108" w:type="dxa"/>
            </w:tcMar>
          </w:tcPr>
          <w:p w14:paraId="1035EBF2" w14:textId="77777777" w:rsidR="001C2E3A" w:rsidRPr="00C55948" w:rsidRDefault="001C2E3A" w:rsidP="001C2E3A">
            <w:pPr>
              <w:spacing w:line="276" w:lineRule="auto"/>
              <w:jc w:val="center"/>
              <w:rPr>
                <w:rFonts w:eastAsia="Calibri"/>
                <w:snapToGrid w:val="0"/>
                <w:color w:val="FF0000"/>
                <w:sz w:val="16"/>
                <w:szCs w:val="16"/>
              </w:rPr>
            </w:pPr>
          </w:p>
        </w:tc>
        <w:tc>
          <w:tcPr>
            <w:tcW w:w="810" w:type="dxa"/>
            <w:tcMar>
              <w:top w:w="0" w:type="dxa"/>
              <w:left w:w="108" w:type="dxa"/>
              <w:bottom w:w="0" w:type="dxa"/>
              <w:right w:w="108" w:type="dxa"/>
            </w:tcMar>
          </w:tcPr>
          <w:p w14:paraId="1035EBF3" w14:textId="77777777" w:rsidR="001C2E3A" w:rsidRPr="00C55948" w:rsidRDefault="001C2E3A" w:rsidP="001C2E3A">
            <w:pPr>
              <w:spacing w:line="276" w:lineRule="auto"/>
              <w:jc w:val="center"/>
              <w:rPr>
                <w:rFonts w:eastAsia="Calibri"/>
                <w:snapToGrid w:val="0"/>
                <w:color w:val="FF0000"/>
                <w:sz w:val="16"/>
                <w:szCs w:val="16"/>
              </w:rPr>
            </w:pPr>
          </w:p>
        </w:tc>
        <w:tc>
          <w:tcPr>
            <w:tcW w:w="666" w:type="dxa"/>
            <w:tcMar>
              <w:top w:w="0" w:type="dxa"/>
              <w:left w:w="108" w:type="dxa"/>
              <w:bottom w:w="0" w:type="dxa"/>
              <w:right w:w="108" w:type="dxa"/>
            </w:tcMar>
          </w:tcPr>
          <w:p w14:paraId="1035EBF4" w14:textId="77777777" w:rsidR="001C2E3A" w:rsidRPr="00C55948" w:rsidRDefault="001C2E3A" w:rsidP="001C2E3A">
            <w:pPr>
              <w:spacing w:line="276" w:lineRule="auto"/>
              <w:jc w:val="center"/>
              <w:rPr>
                <w:rFonts w:eastAsia="Calibri"/>
                <w:snapToGrid w:val="0"/>
                <w:color w:val="FF0000"/>
                <w:sz w:val="16"/>
                <w:szCs w:val="16"/>
              </w:rPr>
            </w:pPr>
          </w:p>
        </w:tc>
        <w:tc>
          <w:tcPr>
            <w:tcW w:w="252" w:type="dxa"/>
            <w:tcBorders>
              <w:top w:val="nil"/>
              <w:left w:val="nil"/>
              <w:bottom w:val="nil"/>
              <w:right w:val="single" w:sz="8" w:space="0" w:color="auto"/>
            </w:tcBorders>
            <w:tcMar>
              <w:top w:w="0" w:type="dxa"/>
              <w:left w:w="108" w:type="dxa"/>
              <w:bottom w:w="0" w:type="dxa"/>
              <w:right w:w="108" w:type="dxa"/>
            </w:tcMar>
          </w:tcPr>
          <w:p w14:paraId="1035EBF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F6"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Before 1966</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F7"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2,337</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F8"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0%</w:t>
            </w:r>
          </w:p>
        </w:tc>
        <w:tc>
          <w:tcPr>
            <w:tcW w:w="270" w:type="dxa"/>
            <w:tcBorders>
              <w:top w:val="nil"/>
              <w:left w:val="nil"/>
              <w:bottom w:val="nil"/>
              <w:right w:val="single" w:sz="8" w:space="0" w:color="auto"/>
            </w:tcBorders>
            <w:tcMar>
              <w:top w:w="0" w:type="dxa"/>
              <w:left w:w="108" w:type="dxa"/>
              <w:bottom w:w="0" w:type="dxa"/>
              <w:right w:w="108" w:type="dxa"/>
            </w:tcMar>
          </w:tcPr>
          <w:p w14:paraId="1035EBF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FA"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Before 1966</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FB"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0</w:t>
            </w:r>
          </w:p>
        </w:tc>
        <w:tc>
          <w:tcPr>
            <w:tcW w:w="5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FC"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0%</w:t>
            </w:r>
          </w:p>
        </w:tc>
      </w:tr>
      <w:tr w:rsidR="00C55948" w:rsidRPr="00C55948" w14:paraId="1035EC0D" w14:textId="77777777" w:rsidTr="00C55948">
        <w:trPr>
          <w:trHeight w:val="286"/>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035EBFE"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Unknown</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BFF"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15,510</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C00"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3%</w:t>
            </w:r>
          </w:p>
        </w:tc>
        <w:tc>
          <w:tcPr>
            <w:tcW w:w="243" w:type="dxa"/>
            <w:tcMar>
              <w:top w:w="0" w:type="dxa"/>
              <w:left w:w="108" w:type="dxa"/>
              <w:bottom w:w="0" w:type="dxa"/>
              <w:right w:w="108" w:type="dxa"/>
            </w:tcMar>
          </w:tcPr>
          <w:p w14:paraId="1035EC01" w14:textId="77777777" w:rsidR="001C2E3A" w:rsidRPr="00C55948" w:rsidRDefault="001C2E3A" w:rsidP="001C2E3A">
            <w:pPr>
              <w:spacing w:line="276" w:lineRule="auto"/>
              <w:rPr>
                <w:rFonts w:eastAsia="Calibri"/>
                <w:snapToGrid w:val="0"/>
                <w:color w:val="FF0000"/>
                <w:sz w:val="16"/>
                <w:szCs w:val="16"/>
              </w:rPr>
            </w:pPr>
          </w:p>
        </w:tc>
        <w:tc>
          <w:tcPr>
            <w:tcW w:w="963" w:type="dxa"/>
            <w:tcMar>
              <w:top w:w="0" w:type="dxa"/>
              <w:left w:w="108" w:type="dxa"/>
              <w:bottom w:w="0" w:type="dxa"/>
              <w:right w:w="108" w:type="dxa"/>
            </w:tcMar>
          </w:tcPr>
          <w:p w14:paraId="1035EC02" w14:textId="77777777" w:rsidR="001C2E3A" w:rsidRPr="00C55948" w:rsidRDefault="001C2E3A" w:rsidP="001C2E3A">
            <w:pPr>
              <w:spacing w:line="276" w:lineRule="auto"/>
              <w:jc w:val="center"/>
              <w:rPr>
                <w:rFonts w:eastAsia="Calibri"/>
                <w:snapToGrid w:val="0"/>
                <w:color w:val="FF0000"/>
                <w:sz w:val="16"/>
                <w:szCs w:val="16"/>
              </w:rPr>
            </w:pPr>
          </w:p>
        </w:tc>
        <w:tc>
          <w:tcPr>
            <w:tcW w:w="810" w:type="dxa"/>
            <w:tcMar>
              <w:top w:w="0" w:type="dxa"/>
              <w:left w:w="108" w:type="dxa"/>
              <w:bottom w:w="0" w:type="dxa"/>
              <w:right w:w="108" w:type="dxa"/>
            </w:tcMar>
          </w:tcPr>
          <w:p w14:paraId="1035EC03" w14:textId="77777777" w:rsidR="001C2E3A" w:rsidRPr="00C55948" w:rsidRDefault="001C2E3A" w:rsidP="001C2E3A">
            <w:pPr>
              <w:spacing w:line="276" w:lineRule="auto"/>
              <w:jc w:val="center"/>
              <w:rPr>
                <w:rFonts w:eastAsia="Calibri"/>
                <w:snapToGrid w:val="0"/>
                <w:color w:val="FF0000"/>
                <w:sz w:val="16"/>
                <w:szCs w:val="16"/>
              </w:rPr>
            </w:pPr>
          </w:p>
        </w:tc>
        <w:tc>
          <w:tcPr>
            <w:tcW w:w="666" w:type="dxa"/>
            <w:tcMar>
              <w:top w:w="0" w:type="dxa"/>
              <w:left w:w="108" w:type="dxa"/>
              <w:bottom w:w="0" w:type="dxa"/>
              <w:right w:w="108" w:type="dxa"/>
            </w:tcMar>
          </w:tcPr>
          <w:p w14:paraId="1035EC04" w14:textId="77777777" w:rsidR="001C2E3A" w:rsidRPr="00C55948" w:rsidRDefault="001C2E3A" w:rsidP="001C2E3A">
            <w:pPr>
              <w:spacing w:line="276" w:lineRule="auto"/>
              <w:jc w:val="center"/>
              <w:rPr>
                <w:rFonts w:eastAsia="Calibri"/>
                <w:snapToGrid w:val="0"/>
                <w:color w:val="FF0000"/>
                <w:sz w:val="16"/>
                <w:szCs w:val="16"/>
              </w:rPr>
            </w:pPr>
          </w:p>
        </w:tc>
        <w:tc>
          <w:tcPr>
            <w:tcW w:w="252" w:type="dxa"/>
            <w:tcBorders>
              <w:top w:val="nil"/>
              <w:left w:val="nil"/>
              <w:bottom w:val="nil"/>
              <w:right w:val="single" w:sz="8" w:space="0" w:color="auto"/>
            </w:tcBorders>
            <w:tcMar>
              <w:top w:w="0" w:type="dxa"/>
              <w:left w:w="108" w:type="dxa"/>
              <w:bottom w:w="0" w:type="dxa"/>
              <w:right w:w="108" w:type="dxa"/>
            </w:tcMar>
          </w:tcPr>
          <w:p w14:paraId="1035EC0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C06"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Unknown</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C07"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145,147</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C08"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6%</w:t>
            </w:r>
          </w:p>
        </w:tc>
        <w:tc>
          <w:tcPr>
            <w:tcW w:w="270" w:type="dxa"/>
            <w:tcBorders>
              <w:top w:val="nil"/>
              <w:left w:val="nil"/>
              <w:bottom w:val="nil"/>
              <w:right w:val="single" w:sz="8" w:space="0" w:color="auto"/>
            </w:tcBorders>
            <w:tcMar>
              <w:top w:w="0" w:type="dxa"/>
              <w:left w:w="108" w:type="dxa"/>
              <w:bottom w:w="0" w:type="dxa"/>
              <w:right w:w="108" w:type="dxa"/>
            </w:tcMar>
          </w:tcPr>
          <w:p w14:paraId="1035EC0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C0A"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Unknown</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C0B"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88,070</w:t>
            </w:r>
          </w:p>
        </w:tc>
        <w:tc>
          <w:tcPr>
            <w:tcW w:w="5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C0C" w14:textId="77777777" w:rsidR="001C2E3A" w:rsidRPr="00C55948" w:rsidRDefault="001C2E3A" w:rsidP="001C2E3A">
            <w:pPr>
              <w:spacing w:line="276" w:lineRule="auto"/>
              <w:jc w:val="center"/>
              <w:rPr>
                <w:rFonts w:eastAsia="Calibri"/>
                <w:color w:val="000000"/>
                <w:sz w:val="16"/>
                <w:szCs w:val="16"/>
              </w:rPr>
            </w:pPr>
            <w:r w:rsidRPr="00C55948">
              <w:rPr>
                <w:rFonts w:eastAsia="Calibri"/>
                <w:color w:val="000000"/>
                <w:sz w:val="16"/>
                <w:szCs w:val="16"/>
              </w:rPr>
              <w:t>5%</w:t>
            </w:r>
          </w:p>
        </w:tc>
      </w:tr>
      <w:tr w:rsidR="00C55948" w:rsidRPr="00C55948" w14:paraId="1035EC1D" w14:textId="77777777" w:rsidTr="00C55948">
        <w:trPr>
          <w:trHeight w:val="69"/>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035EC0E"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Grand Total</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C0F"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528,127</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C10"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100%</w:t>
            </w:r>
          </w:p>
        </w:tc>
        <w:tc>
          <w:tcPr>
            <w:tcW w:w="243" w:type="dxa"/>
            <w:tcMar>
              <w:top w:w="0" w:type="dxa"/>
              <w:left w:w="108" w:type="dxa"/>
              <w:bottom w:w="0" w:type="dxa"/>
              <w:right w:w="108" w:type="dxa"/>
            </w:tcMar>
          </w:tcPr>
          <w:p w14:paraId="1035EC11" w14:textId="77777777" w:rsidR="001C2E3A" w:rsidRPr="00C55948" w:rsidRDefault="001C2E3A" w:rsidP="001C2E3A">
            <w:pPr>
              <w:spacing w:line="276" w:lineRule="auto"/>
              <w:rPr>
                <w:rFonts w:eastAsia="Calibri"/>
                <w:snapToGrid w:val="0"/>
                <w:color w:val="FF0000"/>
                <w:sz w:val="16"/>
                <w:szCs w:val="16"/>
              </w:rPr>
            </w:pPr>
          </w:p>
        </w:tc>
        <w:tc>
          <w:tcPr>
            <w:tcW w:w="963" w:type="dxa"/>
            <w:tcMar>
              <w:top w:w="0" w:type="dxa"/>
              <w:left w:w="108" w:type="dxa"/>
              <w:bottom w:w="0" w:type="dxa"/>
              <w:right w:w="108" w:type="dxa"/>
            </w:tcMar>
          </w:tcPr>
          <w:p w14:paraId="1035EC12" w14:textId="77777777" w:rsidR="001C2E3A" w:rsidRPr="00C55948" w:rsidRDefault="001C2E3A" w:rsidP="001C2E3A">
            <w:pPr>
              <w:spacing w:line="276" w:lineRule="auto"/>
              <w:jc w:val="center"/>
              <w:rPr>
                <w:rFonts w:eastAsia="Calibri"/>
                <w:snapToGrid w:val="0"/>
                <w:color w:val="FF0000"/>
                <w:sz w:val="16"/>
                <w:szCs w:val="16"/>
              </w:rPr>
            </w:pPr>
          </w:p>
        </w:tc>
        <w:tc>
          <w:tcPr>
            <w:tcW w:w="810" w:type="dxa"/>
            <w:tcMar>
              <w:top w:w="0" w:type="dxa"/>
              <w:left w:w="108" w:type="dxa"/>
              <w:bottom w:w="0" w:type="dxa"/>
              <w:right w:w="108" w:type="dxa"/>
            </w:tcMar>
          </w:tcPr>
          <w:p w14:paraId="1035EC13" w14:textId="77777777" w:rsidR="001C2E3A" w:rsidRPr="00C55948" w:rsidRDefault="001C2E3A" w:rsidP="001C2E3A">
            <w:pPr>
              <w:spacing w:line="276" w:lineRule="auto"/>
              <w:jc w:val="center"/>
              <w:rPr>
                <w:rFonts w:eastAsia="Calibri"/>
                <w:snapToGrid w:val="0"/>
                <w:color w:val="FF0000"/>
                <w:sz w:val="16"/>
                <w:szCs w:val="16"/>
              </w:rPr>
            </w:pPr>
          </w:p>
        </w:tc>
        <w:tc>
          <w:tcPr>
            <w:tcW w:w="666" w:type="dxa"/>
            <w:tcMar>
              <w:top w:w="0" w:type="dxa"/>
              <w:left w:w="108" w:type="dxa"/>
              <w:bottom w:w="0" w:type="dxa"/>
              <w:right w:w="108" w:type="dxa"/>
            </w:tcMar>
          </w:tcPr>
          <w:p w14:paraId="1035EC14" w14:textId="77777777" w:rsidR="001C2E3A" w:rsidRPr="00C55948" w:rsidRDefault="001C2E3A" w:rsidP="001C2E3A">
            <w:pPr>
              <w:spacing w:line="276" w:lineRule="auto"/>
              <w:jc w:val="center"/>
              <w:rPr>
                <w:rFonts w:eastAsia="Calibri"/>
                <w:snapToGrid w:val="0"/>
                <w:color w:val="FF0000"/>
                <w:sz w:val="16"/>
                <w:szCs w:val="16"/>
              </w:rPr>
            </w:pPr>
          </w:p>
        </w:tc>
        <w:tc>
          <w:tcPr>
            <w:tcW w:w="252" w:type="dxa"/>
            <w:tcBorders>
              <w:top w:val="nil"/>
              <w:left w:val="nil"/>
              <w:bottom w:val="nil"/>
              <w:right w:val="single" w:sz="8" w:space="0" w:color="auto"/>
            </w:tcBorders>
            <w:tcMar>
              <w:top w:w="0" w:type="dxa"/>
              <w:left w:w="108" w:type="dxa"/>
              <w:bottom w:w="0" w:type="dxa"/>
              <w:right w:w="108" w:type="dxa"/>
            </w:tcMar>
          </w:tcPr>
          <w:p w14:paraId="1035EC15" w14:textId="77777777" w:rsidR="001C2E3A" w:rsidRPr="00C55948" w:rsidRDefault="001C2E3A" w:rsidP="001C2E3A">
            <w:pPr>
              <w:spacing w:line="276" w:lineRule="auto"/>
              <w:jc w:val="center"/>
              <w:rPr>
                <w:rFonts w:eastAsia="Calibri"/>
                <w:snapToGrid w:val="0"/>
                <w:color w:val="FF0000"/>
                <w:sz w:val="16"/>
                <w:szCs w:val="16"/>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C16"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Grand Total</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C17"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2,249,291</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C18"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100%</w:t>
            </w:r>
          </w:p>
        </w:tc>
        <w:tc>
          <w:tcPr>
            <w:tcW w:w="270" w:type="dxa"/>
            <w:tcBorders>
              <w:top w:val="nil"/>
              <w:left w:val="nil"/>
              <w:bottom w:val="nil"/>
              <w:right w:val="single" w:sz="8" w:space="0" w:color="auto"/>
            </w:tcBorders>
            <w:tcMar>
              <w:top w:w="0" w:type="dxa"/>
              <w:left w:w="108" w:type="dxa"/>
              <w:bottom w:w="0" w:type="dxa"/>
              <w:right w:w="108" w:type="dxa"/>
            </w:tcMar>
          </w:tcPr>
          <w:p w14:paraId="1035EC19" w14:textId="77777777" w:rsidR="001C2E3A" w:rsidRPr="00C55948" w:rsidRDefault="001C2E3A" w:rsidP="001C2E3A">
            <w:pPr>
              <w:spacing w:line="276" w:lineRule="auto"/>
              <w:jc w:val="center"/>
              <w:rPr>
                <w:rFonts w:eastAsia="Calibri"/>
                <w:snapToGrid w:val="0"/>
                <w:color w:val="FF0000"/>
                <w:sz w:val="16"/>
                <w:szCs w:val="16"/>
              </w:rPr>
            </w:pP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C1A"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Grand Total</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C1B"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1,659,056</w:t>
            </w:r>
          </w:p>
        </w:tc>
        <w:tc>
          <w:tcPr>
            <w:tcW w:w="5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35EC1C" w14:textId="77777777" w:rsidR="001C2E3A" w:rsidRPr="00C55948" w:rsidRDefault="001C2E3A" w:rsidP="001C2E3A">
            <w:pPr>
              <w:spacing w:line="69" w:lineRule="atLeast"/>
              <w:jc w:val="center"/>
              <w:rPr>
                <w:rFonts w:eastAsia="Calibri"/>
                <w:color w:val="000000"/>
                <w:sz w:val="16"/>
                <w:szCs w:val="16"/>
              </w:rPr>
            </w:pPr>
            <w:r w:rsidRPr="00C55948">
              <w:rPr>
                <w:rFonts w:eastAsia="Calibri"/>
                <w:color w:val="000000"/>
                <w:sz w:val="16"/>
                <w:szCs w:val="16"/>
              </w:rPr>
              <w:t>100%</w:t>
            </w:r>
          </w:p>
        </w:tc>
      </w:tr>
    </w:tbl>
    <w:p w14:paraId="1035EC1E" w14:textId="77777777" w:rsidR="00824BFA" w:rsidRPr="00FD4EF8" w:rsidRDefault="00C67783" w:rsidP="00B35E5D">
      <w:pPr>
        <w:ind w:left="720" w:firstLine="720"/>
        <w:rPr>
          <w:snapToGrid w:val="0"/>
          <w:sz w:val="24"/>
          <w:szCs w:val="24"/>
        </w:rPr>
      </w:pPr>
      <w:r w:rsidRPr="00FD4EF8">
        <w:rPr>
          <w:snapToGrid w:val="0"/>
          <w:sz w:val="24"/>
          <w:szCs w:val="24"/>
        </w:rPr>
        <w:t>A summary chart of the data in the tables above is provided below.</w:t>
      </w:r>
    </w:p>
    <w:p w14:paraId="1035EC1F" w14:textId="77777777" w:rsidR="001C2E3A" w:rsidRPr="00FD4EF8" w:rsidRDefault="001C2E3A" w:rsidP="00F23B86">
      <w:pPr>
        <w:rPr>
          <w:snapToGrid w:val="0"/>
          <w:sz w:val="24"/>
          <w:szCs w:val="24"/>
        </w:rPr>
      </w:pPr>
    </w:p>
    <w:p w14:paraId="1035EC20" w14:textId="77777777" w:rsidR="00C67783" w:rsidRPr="00FD4EF8" w:rsidRDefault="00D30BFE" w:rsidP="00CD3A00">
      <w:pPr>
        <w:spacing w:line="276" w:lineRule="auto"/>
        <w:jc w:val="center"/>
        <w:rPr>
          <w:snapToGrid w:val="0"/>
          <w:sz w:val="24"/>
          <w:szCs w:val="24"/>
        </w:rPr>
      </w:pPr>
      <w:r w:rsidRPr="00FD4EF8">
        <w:rPr>
          <w:noProof/>
          <w:sz w:val="24"/>
          <w:szCs w:val="24"/>
        </w:rPr>
        <w:drawing>
          <wp:inline distT="0" distB="0" distL="0" distR="0" wp14:anchorId="1035EC7E" wp14:editId="1035EC7F">
            <wp:extent cx="3086100" cy="1695450"/>
            <wp:effectExtent l="0" t="0" r="19050" b="1905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035EC21" w14:textId="77777777" w:rsidR="00B35E5D" w:rsidRPr="00FD4EF8" w:rsidRDefault="00B35E5D" w:rsidP="00824BFA">
      <w:pPr>
        <w:rPr>
          <w:b/>
          <w:snapToGrid w:val="0"/>
          <w:sz w:val="24"/>
          <w:szCs w:val="24"/>
        </w:rPr>
      </w:pPr>
    </w:p>
    <w:p w14:paraId="1035EC22" w14:textId="77777777" w:rsidR="00FA2274" w:rsidRPr="00FD4EF8" w:rsidRDefault="0027655E" w:rsidP="00B35E5D">
      <w:pPr>
        <w:pStyle w:val="ListParagraph"/>
        <w:numPr>
          <w:ilvl w:val="0"/>
          <w:numId w:val="17"/>
        </w:numPr>
        <w:rPr>
          <w:rFonts w:ascii="Times New Roman" w:hAnsi="Times New Roman" w:cs="Times New Roman"/>
          <w:b/>
          <w:snapToGrid w:val="0"/>
          <w:sz w:val="24"/>
          <w:szCs w:val="24"/>
        </w:rPr>
      </w:pPr>
      <w:r>
        <w:rPr>
          <w:rFonts w:ascii="Times New Roman" w:hAnsi="Times New Roman" w:cs="Times New Roman"/>
          <w:b/>
          <w:snapToGrid w:val="0"/>
          <w:sz w:val="24"/>
          <w:szCs w:val="24"/>
        </w:rPr>
        <w:t xml:space="preserve">Expanded </w:t>
      </w:r>
      <w:r w:rsidR="00D30BFE">
        <w:rPr>
          <w:rFonts w:ascii="Times New Roman" w:hAnsi="Times New Roman" w:cs="Times New Roman"/>
          <w:b/>
          <w:snapToGrid w:val="0"/>
          <w:sz w:val="24"/>
          <w:szCs w:val="24"/>
        </w:rPr>
        <w:t xml:space="preserve">Lease </w:t>
      </w:r>
      <w:r>
        <w:rPr>
          <w:rFonts w:ascii="Times New Roman" w:hAnsi="Times New Roman" w:cs="Times New Roman"/>
          <w:b/>
          <w:snapToGrid w:val="0"/>
          <w:sz w:val="24"/>
          <w:szCs w:val="24"/>
        </w:rPr>
        <w:t xml:space="preserve">Service will Achieve </w:t>
      </w:r>
      <w:r w:rsidR="00FA2274" w:rsidRPr="00FD4EF8">
        <w:rPr>
          <w:rFonts w:ascii="Times New Roman" w:hAnsi="Times New Roman" w:cs="Times New Roman"/>
          <w:b/>
          <w:snapToGrid w:val="0"/>
          <w:sz w:val="24"/>
          <w:szCs w:val="24"/>
        </w:rPr>
        <w:t>Quantifiable Public Benefits</w:t>
      </w:r>
    </w:p>
    <w:p w14:paraId="1035EC23" w14:textId="77777777" w:rsidR="00B35E5D" w:rsidRPr="00FD4EF8" w:rsidRDefault="00B35E5D" w:rsidP="00B35E5D">
      <w:pPr>
        <w:pStyle w:val="ListParagraph"/>
        <w:ind w:left="1080"/>
        <w:rPr>
          <w:rFonts w:ascii="Times New Roman" w:hAnsi="Times New Roman" w:cs="Times New Roman"/>
          <w:b/>
          <w:snapToGrid w:val="0"/>
          <w:sz w:val="24"/>
          <w:szCs w:val="24"/>
        </w:rPr>
      </w:pPr>
    </w:p>
    <w:p w14:paraId="1035EC24" w14:textId="77777777" w:rsidR="0027655E" w:rsidRPr="005A31D3" w:rsidRDefault="00B35E5D" w:rsidP="0027655E">
      <w:pPr>
        <w:pStyle w:val="ListParagraph"/>
        <w:numPr>
          <w:ilvl w:val="1"/>
          <w:numId w:val="17"/>
        </w:numPr>
        <w:rPr>
          <w:rFonts w:ascii="Times New Roman" w:hAnsi="Times New Roman" w:cs="Times New Roman"/>
          <w:sz w:val="24"/>
          <w:szCs w:val="24"/>
        </w:rPr>
      </w:pPr>
      <w:r w:rsidRPr="005A31D3">
        <w:rPr>
          <w:rFonts w:ascii="Times New Roman" w:hAnsi="Times New Roman" w:cs="Times New Roman"/>
          <w:b/>
          <w:snapToGrid w:val="0"/>
          <w:sz w:val="24"/>
          <w:szCs w:val="24"/>
        </w:rPr>
        <w:t xml:space="preserve">Quantification of Benefits that Serve the Public Interest - </w:t>
      </w:r>
      <w:r w:rsidR="00824BFA" w:rsidRPr="005A31D3">
        <w:rPr>
          <w:rFonts w:ascii="Times New Roman" w:hAnsi="Times New Roman" w:cs="Times New Roman"/>
          <w:sz w:val="24"/>
          <w:szCs w:val="24"/>
        </w:rPr>
        <w:t xml:space="preserve">The initial offerings of this expanded </w:t>
      </w:r>
      <w:r w:rsidR="00824BFA" w:rsidRPr="005A31D3">
        <w:rPr>
          <w:rFonts w:ascii="Times New Roman" w:hAnsi="Times New Roman" w:cs="Times New Roman"/>
          <w:snapToGrid w:val="0"/>
          <w:sz w:val="24"/>
          <w:szCs w:val="24"/>
        </w:rPr>
        <w:t>o</w:t>
      </w:r>
      <w:r w:rsidR="00824BFA" w:rsidRPr="005A31D3">
        <w:rPr>
          <w:rFonts w:ascii="Times New Roman" w:hAnsi="Times New Roman" w:cs="Times New Roman"/>
          <w:sz w:val="24"/>
          <w:szCs w:val="24"/>
        </w:rPr>
        <w:t>ptional energy equipment lease service will</w:t>
      </w:r>
      <w:r w:rsidR="00B57EE1" w:rsidRPr="005A31D3">
        <w:rPr>
          <w:rFonts w:ascii="Times New Roman" w:hAnsi="Times New Roman" w:cs="Times New Roman"/>
          <w:sz w:val="24"/>
          <w:szCs w:val="24"/>
        </w:rPr>
        <w:t xml:space="preserve"> result in several quantifiable categories of benefits that </w:t>
      </w:r>
      <w:r w:rsidR="00567788" w:rsidRPr="005A31D3">
        <w:rPr>
          <w:rFonts w:ascii="Times New Roman" w:hAnsi="Times New Roman" w:cs="Times New Roman"/>
          <w:sz w:val="24"/>
          <w:szCs w:val="24"/>
        </w:rPr>
        <w:t>both s</w:t>
      </w:r>
      <w:r w:rsidR="00B57EE1" w:rsidRPr="005A31D3">
        <w:rPr>
          <w:rFonts w:ascii="Times New Roman" w:hAnsi="Times New Roman" w:cs="Times New Roman"/>
          <w:sz w:val="24"/>
          <w:szCs w:val="24"/>
        </w:rPr>
        <w:t>upport th</w:t>
      </w:r>
      <w:r w:rsidR="0027655E" w:rsidRPr="005A31D3">
        <w:rPr>
          <w:rFonts w:ascii="Times New Roman" w:hAnsi="Times New Roman" w:cs="Times New Roman"/>
          <w:sz w:val="24"/>
          <w:szCs w:val="24"/>
        </w:rPr>
        <w:t>e</w:t>
      </w:r>
      <w:r w:rsidR="00B57EE1" w:rsidRPr="005A31D3">
        <w:rPr>
          <w:rFonts w:ascii="Times New Roman" w:hAnsi="Times New Roman" w:cs="Times New Roman"/>
          <w:sz w:val="24"/>
          <w:szCs w:val="24"/>
        </w:rPr>
        <w:t xml:space="preserve"> expansion of this existing </w:t>
      </w:r>
      <w:r w:rsidR="00ED04F9" w:rsidRPr="005A31D3">
        <w:rPr>
          <w:rFonts w:ascii="Times New Roman" w:hAnsi="Times New Roman" w:cs="Times New Roman"/>
          <w:sz w:val="24"/>
          <w:szCs w:val="24"/>
        </w:rPr>
        <w:t xml:space="preserve">regulated </w:t>
      </w:r>
      <w:r w:rsidR="00B57EE1" w:rsidRPr="005A31D3">
        <w:rPr>
          <w:rFonts w:ascii="Times New Roman" w:hAnsi="Times New Roman" w:cs="Times New Roman"/>
          <w:sz w:val="24"/>
          <w:szCs w:val="24"/>
        </w:rPr>
        <w:t xml:space="preserve">service </w:t>
      </w:r>
      <w:r w:rsidR="00567788" w:rsidRPr="005A31D3">
        <w:rPr>
          <w:rFonts w:ascii="Times New Roman" w:hAnsi="Times New Roman" w:cs="Times New Roman"/>
          <w:sz w:val="24"/>
          <w:szCs w:val="24"/>
        </w:rPr>
        <w:t xml:space="preserve">and serve </w:t>
      </w:r>
      <w:r w:rsidR="00B57EE1" w:rsidRPr="005A31D3">
        <w:rPr>
          <w:rFonts w:ascii="Times New Roman" w:hAnsi="Times New Roman" w:cs="Times New Roman"/>
          <w:sz w:val="24"/>
          <w:szCs w:val="24"/>
        </w:rPr>
        <w:t xml:space="preserve">the public interest for participants and non-participants. </w:t>
      </w:r>
    </w:p>
    <w:tbl>
      <w:tblPr>
        <w:tblpPr w:leftFromText="180" w:rightFromText="180" w:vertAnchor="text" w:horzAnchor="margin" w:tblpXSpec="right" w:tblpY="128"/>
        <w:tblW w:w="0" w:type="auto"/>
        <w:tblCellMar>
          <w:left w:w="0" w:type="dxa"/>
          <w:right w:w="0" w:type="dxa"/>
        </w:tblCellMar>
        <w:tblLook w:val="04A0" w:firstRow="1" w:lastRow="0" w:firstColumn="1" w:lastColumn="0" w:noHBand="0" w:noVBand="1"/>
      </w:tblPr>
      <w:tblGrid>
        <w:gridCol w:w="3618"/>
        <w:gridCol w:w="3510"/>
      </w:tblGrid>
      <w:tr w:rsidR="005A31D3" w:rsidRPr="00FD4EF8" w14:paraId="1035EC27" w14:textId="77777777" w:rsidTr="005A31D3">
        <w:tc>
          <w:tcPr>
            <w:tcW w:w="3618" w:type="dxa"/>
            <w:tcBorders>
              <w:top w:val="nil"/>
              <w:left w:val="nil"/>
              <w:bottom w:val="single" w:sz="8" w:space="0" w:color="000000"/>
              <w:right w:val="nil"/>
            </w:tcBorders>
            <w:tcMar>
              <w:top w:w="0" w:type="dxa"/>
              <w:left w:w="108" w:type="dxa"/>
              <w:bottom w:w="0" w:type="dxa"/>
              <w:right w:w="108" w:type="dxa"/>
            </w:tcMar>
            <w:hideMark/>
          </w:tcPr>
          <w:p w14:paraId="1035EC25" w14:textId="77777777" w:rsidR="005A31D3" w:rsidRPr="00FD4EF8" w:rsidRDefault="005A31D3" w:rsidP="005A31D3">
            <w:pPr>
              <w:rPr>
                <w:rFonts w:eastAsia="Calibri"/>
                <w:b/>
                <w:bCs/>
                <w:color w:val="000000"/>
                <w:sz w:val="24"/>
                <w:szCs w:val="24"/>
              </w:rPr>
            </w:pPr>
            <w:r w:rsidRPr="00FD4EF8">
              <w:rPr>
                <w:b/>
                <w:bCs/>
                <w:color w:val="000000"/>
                <w:sz w:val="24"/>
                <w:szCs w:val="24"/>
              </w:rPr>
              <w:t>Public Benefit Category</w:t>
            </w:r>
          </w:p>
        </w:tc>
        <w:tc>
          <w:tcPr>
            <w:tcW w:w="3510" w:type="dxa"/>
            <w:tcBorders>
              <w:top w:val="nil"/>
              <w:left w:val="nil"/>
              <w:bottom w:val="single" w:sz="8" w:space="0" w:color="000000"/>
              <w:right w:val="nil"/>
            </w:tcBorders>
            <w:tcMar>
              <w:top w:w="0" w:type="dxa"/>
              <w:left w:w="108" w:type="dxa"/>
              <w:bottom w:w="0" w:type="dxa"/>
              <w:right w:w="108" w:type="dxa"/>
            </w:tcMar>
            <w:hideMark/>
          </w:tcPr>
          <w:p w14:paraId="1035EC26" w14:textId="77777777" w:rsidR="005A31D3" w:rsidRPr="00FD4EF8" w:rsidRDefault="005A31D3" w:rsidP="005A31D3">
            <w:pPr>
              <w:jc w:val="center"/>
              <w:rPr>
                <w:rFonts w:eastAsia="Calibri"/>
                <w:b/>
                <w:bCs/>
                <w:color w:val="000000"/>
                <w:sz w:val="24"/>
                <w:szCs w:val="24"/>
              </w:rPr>
            </w:pPr>
            <w:r w:rsidRPr="00FD4EF8">
              <w:rPr>
                <w:b/>
                <w:bCs/>
                <w:color w:val="000000"/>
                <w:sz w:val="24"/>
                <w:szCs w:val="24"/>
              </w:rPr>
              <w:t>Five Year Cumulative Benefit</w:t>
            </w:r>
          </w:p>
        </w:tc>
      </w:tr>
      <w:tr w:rsidR="005A31D3" w:rsidRPr="00FD4EF8" w14:paraId="1035EC2A" w14:textId="77777777" w:rsidTr="005A31D3">
        <w:tc>
          <w:tcPr>
            <w:tcW w:w="3618" w:type="dxa"/>
            <w:shd w:val="clear" w:color="auto" w:fill="C0C0C0"/>
            <w:tcMar>
              <w:top w:w="0" w:type="dxa"/>
              <w:left w:w="108" w:type="dxa"/>
              <w:bottom w:w="0" w:type="dxa"/>
              <w:right w:w="108" w:type="dxa"/>
            </w:tcMar>
            <w:hideMark/>
          </w:tcPr>
          <w:p w14:paraId="1035EC28" w14:textId="77777777" w:rsidR="005A31D3" w:rsidRPr="00FD4EF8" w:rsidRDefault="005A31D3" w:rsidP="005A31D3">
            <w:pPr>
              <w:jc w:val="right"/>
              <w:rPr>
                <w:rFonts w:eastAsia="Calibri"/>
                <w:color w:val="000000"/>
                <w:sz w:val="24"/>
                <w:szCs w:val="24"/>
              </w:rPr>
            </w:pPr>
            <w:r w:rsidRPr="00FD4EF8">
              <w:rPr>
                <w:color w:val="000000"/>
                <w:sz w:val="24"/>
                <w:szCs w:val="24"/>
              </w:rPr>
              <w:t>Therms Saved</w:t>
            </w:r>
          </w:p>
        </w:tc>
        <w:tc>
          <w:tcPr>
            <w:tcW w:w="3510" w:type="dxa"/>
            <w:shd w:val="clear" w:color="auto" w:fill="C0C0C0"/>
            <w:tcMar>
              <w:top w:w="0" w:type="dxa"/>
              <w:left w:w="108" w:type="dxa"/>
              <w:bottom w:w="0" w:type="dxa"/>
              <w:right w:w="108" w:type="dxa"/>
            </w:tcMar>
            <w:hideMark/>
          </w:tcPr>
          <w:p w14:paraId="1035EC29" w14:textId="77777777" w:rsidR="005A31D3" w:rsidRPr="00FD4EF8" w:rsidRDefault="005A31D3" w:rsidP="005A31D3">
            <w:pPr>
              <w:ind w:right="1080"/>
              <w:jc w:val="right"/>
              <w:rPr>
                <w:rFonts w:eastAsia="Calibri"/>
                <w:color w:val="000000"/>
                <w:sz w:val="24"/>
                <w:szCs w:val="24"/>
              </w:rPr>
            </w:pPr>
            <w:r w:rsidRPr="00FD4EF8">
              <w:rPr>
                <w:color w:val="000000"/>
                <w:sz w:val="24"/>
                <w:szCs w:val="24"/>
              </w:rPr>
              <w:t>3,842,810</w:t>
            </w:r>
          </w:p>
        </w:tc>
      </w:tr>
      <w:tr w:rsidR="005A31D3" w:rsidRPr="00FD4EF8" w14:paraId="1035EC2D" w14:textId="77777777" w:rsidTr="005A31D3">
        <w:tc>
          <w:tcPr>
            <w:tcW w:w="3618" w:type="dxa"/>
            <w:tcMar>
              <w:top w:w="0" w:type="dxa"/>
              <w:left w:w="108" w:type="dxa"/>
              <w:bottom w:w="0" w:type="dxa"/>
              <w:right w:w="108" w:type="dxa"/>
            </w:tcMar>
            <w:hideMark/>
          </w:tcPr>
          <w:p w14:paraId="1035EC2B" w14:textId="77777777" w:rsidR="005A31D3" w:rsidRPr="00FD4EF8" w:rsidRDefault="005A31D3" w:rsidP="005A31D3">
            <w:pPr>
              <w:jc w:val="right"/>
              <w:rPr>
                <w:rFonts w:eastAsia="Calibri"/>
                <w:color w:val="000000"/>
                <w:sz w:val="24"/>
                <w:szCs w:val="24"/>
              </w:rPr>
            </w:pPr>
            <w:r w:rsidRPr="00FD4EF8">
              <w:rPr>
                <w:color w:val="000000"/>
                <w:sz w:val="24"/>
                <w:szCs w:val="24"/>
              </w:rPr>
              <w:t>kWh Saved</w:t>
            </w:r>
          </w:p>
        </w:tc>
        <w:tc>
          <w:tcPr>
            <w:tcW w:w="3510" w:type="dxa"/>
            <w:tcMar>
              <w:top w:w="0" w:type="dxa"/>
              <w:left w:w="108" w:type="dxa"/>
              <w:bottom w:w="0" w:type="dxa"/>
              <w:right w:w="108" w:type="dxa"/>
            </w:tcMar>
            <w:hideMark/>
          </w:tcPr>
          <w:p w14:paraId="1035EC2C" w14:textId="77777777" w:rsidR="005A31D3" w:rsidRPr="00FD4EF8" w:rsidRDefault="005A31D3" w:rsidP="005A31D3">
            <w:pPr>
              <w:ind w:right="1080"/>
              <w:jc w:val="right"/>
              <w:rPr>
                <w:rFonts w:eastAsia="Calibri"/>
                <w:color w:val="000000"/>
                <w:sz w:val="24"/>
                <w:szCs w:val="24"/>
              </w:rPr>
            </w:pPr>
            <w:r w:rsidRPr="00FD4EF8">
              <w:rPr>
                <w:color w:val="000000"/>
                <w:sz w:val="24"/>
                <w:szCs w:val="24"/>
              </w:rPr>
              <w:t>11,504,371</w:t>
            </w:r>
          </w:p>
        </w:tc>
      </w:tr>
      <w:tr w:rsidR="005A31D3" w:rsidRPr="00FD4EF8" w14:paraId="1035EC30" w14:textId="77777777" w:rsidTr="005A31D3">
        <w:tc>
          <w:tcPr>
            <w:tcW w:w="3618" w:type="dxa"/>
            <w:shd w:val="clear" w:color="auto" w:fill="C0C0C0"/>
            <w:tcMar>
              <w:top w:w="0" w:type="dxa"/>
              <w:left w:w="108" w:type="dxa"/>
              <w:bottom w:w="0" w:type="dxa"/>
              <w:right w:w="108" w:type="dxa"/>
            </w:tcMar>
            <w:hideMark/>
          </w:tcPr>
          <w:p w14:paraId="1035EC2E" w14:textId="77777777" w:rsidR="005A31D3" w:rsidRPr="00FD4EF8" w:rsidRDefault="005A31D3" w:rsidP="005A31D3">
            <w:pPr>
              <w:jc w:val="right"/>
              <w:rPr>
                <w:rFonts w:eastAsia="Calibri"/>
                <w:color w:val="000000"/>
                <w:sz w:val="24"/>
                <w:szCs w:val="24"/>
              </w:rPr>
            </w:pPr>
            <w:r w:rsidRPr="00FD4EF8">
              <w:rPr>
                <w:color w:val="000000"/>
                <w:sz w:val="24"/>
                <w:szCs w:val="24"/>
              </w:rPr>
              <w:t>Energy Bill Savings</w:t>
            </w:r>
          </w:p>
        </w:tc>
        <w:tc>
          <w:tcPr>
            <w:tcW w:w="3510" w:type="dxa"/>
            <w:shd w:val="clear" w:color="auto" w:fill="C0C0C0"/>
            <w:tcMar>
              <w:top w:w="0" w:type="dxa"/>
              <w:left w:w="108" w:type="dxa"/>
              <w:bottom w:w="0" w:type="dxa"/>
              <w:right w:w="108" w:type="dxa"/>
            </w:tcMar>
            <w:hideMark/>
          </w:tcPr>
          <w:p w14:paraId="1035EC2F" w14:textId="77777777" w:rsidR="005A31D3" w:rsidRPr="00FD4EF8" w:rsidRDefault="005A31D3" w:rsidP="005A31D3">
            <w:pPr>
              <w:ind w:right="1080"/>
              <w:jc w:val="right"/>
              <w:rPr>
                <w:rFonts w:eastAsia="Calibri"/>
                <w:color w:val="000000"/>
                <w:sz w:val="24"/>
                <w:szCs w:val="24"/>
              </w:rPr>
            </w:pPr>
            <w:r w:rsidRPr="00FD4EF8">
              <w:rPr>
                <w:color w:val="000000"/>
                <w:sz w:val="24"/>
                <w:szCs w:val="24"/>
              </w:rPr>
              <w:t>$</w:t>
            </w:r>
            <w:r w:rsidR="006B6611">
              <w:rPr>
                <w:color w:val="000000"/>
                <w:sz w:val="24"/>
                <w:szCs w:val="24"/>
              </w:rPr>
              <w:t xml:space="preserve">  </w:t>
            </w:r>
            <w:r w:rsidRPr="00FD4EF8">
              <w:rPr>
                <w:color w:val="000000"/>
                <w:sz w:val="24"/>
                <w:szCs w:val="24"/>
              </w:rPr>
              <w:t>4,993,247</w:t>
            </w:r>
          </w:p>
        </w:tc>
      </w:tr>
      <w:tr w:rsidR="005A31D3" w:rsidRPr="00FD4EF8" w14:paraId="1035EC33" w14:textId="77777777" w:rsidTr="005A31D3">
        <w:tc>
          <w:tcPr>
            <w:tcW w:w="3618" w:type="dxa"/>
            <w:tcBorders>
              <w:top w:val="nil"/>
              <w:left w:val="nil"/>
              <w:bottom w:val="single" w:sz="8" w:space="0" w:color="000000"/>
              <w:right w:val="nil"/>
            </w:tcBorders>
            <w:tcMar>
              <w:top w:w="0" w:type="dxa"/>
              <w:left w:w="108" w:type="dxa"/>
              <w:bottom w:w="0" w:type="dxa"/>
              <w:right w:w="108" w:type="dxa"/>
            </w:tcMar>
            <w:hideMark/>
          </w:tcPr>
          <w:p w14:paraId="1035EC31" w14:textId="77777777" w:rsidR="005A31D3" w:rsidRPr="00FD4EF8" w:rsidRDefault="005A31D3" w:rsidP="005A31D3">
            <w:pPr>
              <w:jc w:val="right"/>
              <w:rPr>
                <w:rFonts w:eastAsia="Calibri"/>
                <w:color w:val="000000"/>
                <w:sz w:val="24"/>
                <w:szCs w:val="24"/>
              </w:rPr>
            </w:pPr>
            <w:r w:rsidRPr="00FD4EF8">
              <w:rPr>
                <w:color w:val="000000"/>
                <w:sz w:val="24"/>
                <w:szCs w:val="24"/>
              </w:rPr>
              <w:t>Deferred Capital</w:t>
            </w:r>
          </w:p>
        </w:tc>
        <w:tc>
          <w:tcPr>
            <w:tcW w:w="3510" w:type="dxa"/>
            <w:tcBorders>
              <w:top w:val="nil"/>
              <w:left w:val="nil"/>
              <w:bottom w:val="single" w:sz="8" w:space="0" w:color="000000"/>
              <w:right w:val="nil"/>
            </w:tcBorders>
            <w:tcMar>
              <w:top w:w="0" w:type="dxa"/>
              <w:left w:w="108" w:type="dxa"/>
              <w:bottom w:w="0" w:type="dxa"/>
              <w:right w:w="108" w:type="dxa"/>
            </w:tcMar>
            <w:hideMark/>
          </w:tcPr>
          <w:p w14:paraId="1035EC32" w14:textId="77777777" w:rsidR="005A31D3" w:rsidRPr="00FD4EF8" w:rsidRDefault="005A31D3" w:rsidP="005A31D3">
            <w:pPr>
              <w:ind w:right="1080"/>
              <w:jc w:val="right"/>
              <w:rPr>
                <w:rFonts w:eastAsia="Calibri"/>
                <w:color w:val="000000"/>
                <w:sz w:val="24"/>
                <w:szCs w:val="24"/>
              </w:rPr>
            </w:pPr>
            <w:r w:rsidRPr="00FD4EF8">
              <w:rPr>
                <w:color w:val="000000"/>
                <w:sz w:val="24"/>
                <w:szCs w:val="24"/>
              </w:rPr>
              <w:t>$57,242,608</w:t>
            </w:r>
          </w:p>
        </w:tc>
      </w:tr>
    </w:tbl>
    <w:p w14:paraId="1035EC34" w14:textId="77777777" w:rsidR="005A31D3" w:rsidRDefault="005A31D3" w:rsidP="0027655E">
      <w:pPr>
        <w:pStyle w:val="ListParagraph"/>
        <w:ind w:left="1440"/>
        <w:rPr>
          <w:rFonts w:ascii="Times New Roman" w:hAnsi="Times New Roman" w:cs="Times New Roman"/>
          <w:sz w:val="24"/>
          <w:szCs w:val="24"/>
        </w:rPr>
      </w:pPr>
    </w:p>
    <w:p w14:paraId="1035EC35" w14:textId="77777777" w:rsidR="005A31D3" w:rsidRDefault="005A31D3" w:rsidP="0027655E">
      <w:pPr>
        <w:pStyle w:val="ListParagraph"/>
        <w:ind w:left="1440"/>
        <w:rPr>
          <w:rFonts w:ascii="Times New Roman" w:hAnsi="Times New Roman" w:cs="Times New Roman"/>
          <w:sz w:val="24"/>
          <w:szCs w:val="24"/>
        </w:rPr>
      </w:pPr>
    </w:p>
    <w:p w14:paraId="1035EC36" w14:textId="77777777" w:rsidR="005A31D3" w:rsidRDefault="005A31D3" w:rsidP="0027655E">
      <w:pPr>
        <w:pStyle w:val="ListParagraph"/>
        <w:ind w:left="1440"/>
        <w:rPr>
          <w:rFonts w:ascii="Times New Roman" w:hAnsi="Times New Roman" w:cs="Times New Roman"/>
          <w:sz w:val="24"/>
          <w:szCs w:val="24"/>
        </w:rPr>
      </w:pPr>
    </w:p>
    <w:p w14:paraId="1035EC37" w14:textId="77777777" w:rsidR="005A31D3" w:rsidRDefault="005A31D3" w:rsidP="0027655E">
      <w:pPr>
        <w:pStyle w:val="ListParagraph"/>
        <w:ind w:left="1440"/>
        <w:rPr>
          <w:rFonts w:ascii="Times New Roman" w:hAnsi="Times New Roman" w:cs="Times New Roman"/>
          <w:sz w:val="24"/>
          <w:szCs w:val="24"/>
        </w:rPr>
      </w:pPr>
    </w:p>
    <w:p w14:paraId="1035EC38" w14:textId="77777777" w:rsidR="005A31D3" w:rsidRDefault="005A31D3" w:rsidP="0027655E">
      <w:pPr>
        <w:pStyle w:val="ListParagraph"/>
        <w:ind w:left="1440"/>
        <w:rPr>
          <w:rFonts w:ascii="Times New Roman" w:hAnsi="Times New Roman" w:cs="Times New Roman"/>
          <w:sz w:val="24"/>
          <w:szCs w:val="24"/>
        </w:rPr>
      </w:pPr>
    </w:p>
    <w:p w14:paraId="1035EC39" w14:textId="77777777" w:rsidR="005A31D3" w:rsidRPr="0027655E" w:rsidRDefault="005A31D3" w:rsidP="0027655E">
      <w:pPr>
        <w:pStyle w:val="ListParagraph"/>
        <w:ind w:left="1440"/>
        <w:rPr>
          <w:rFonts w:ascii="Times New Roman" w:hAnsi="Times New Roman" w:cs="Times New Roman"/>
          <w:sz w:val="24"/>
          <w:szCs w:val="24"/>
        </w:rPr>
      </w:pPr>
    </w:p>
    <w:p w14:paraId="1035EC3A" w14:textId="77777777" w:rsidR="00154B54" w:rsidRPr="005A31D3" w:rsidRDefault="00B35E5D" w:rsidP="00EA4D43">
      <w:pPr>
        <w:pStyle w:val="ListParagraph"/>
        <w:numPr>
          <w:ilvl w:val="2"/>
          <w:numId w:val="17"/>
        </w:numPr>
        <w:spacing w:after="240"/>
        <w:ind w:left="2174" w:hanging="187"/>
        <w:rPr>
          <w:sz w:val="24"/>
          <w:szCs w:val="24"/>
        </w:rPr>
      </w:pPr>
      <w:r w:rsidRPr="005A31D3">
        <w:rPr>
          <w:rFonts w:ascii="Times New Roman" w:hAnsi="Times New Roman" w:cs="Times New Roman"/>
          <w:b/>
          <w:sz w:val="24"/>
          <w:szCs w:val="24"/>
        </w:rPr>
        <w:t>Energy Savings</w:t>
      </w:r>
      <w:r w:rsidRPr="005A31D3">
        <w:rPr>
          <w:rFonts w:ascii="Times New Roman" w:hAnsi="Times New Roman" w:cs="Times New Roman"/>
          <w:sz w:val="24"/>
          <w:szCs w:val="24"/>
        </w:rPr>
        <w:t xml:space="preserve"> - </w:t>
      </w:r>
      <w:r w:rsidR="00EA4D43" w:rsidRPr="005A31D3">
        <w:rPr>
          <w:rFonts w:ascii="Times New Roman" w:hAnsi="Times New Roman" w:cs="Times New Roman"/>
          <w:sz w:val="24"/>
          <w:szCs w:val="24"/>
        </w:rPr>
        <w:t>The leasing platform provides another cost effective avenue for energy efficiency by targeting old and ailing equipment</w:t>
      </w:r>
      <w:r w:rsidR="002655CB" w:rsidRPr="005A31D3">
        <w:rPr>
          <w:rFonts w:ascii="Times New Roman" w:hAnsi="Times New Roman" w:cs="Times New Roman"/>
          <w:sz w:val="24"/>
          <w:szCs w:val="24"/>
        </w:rPr>
        <w:t xml:space="preserve">. </w:t>
      </w:r>
      <w:r w:rsidR="00681C92" w:rsidRPr="005A31D3">
        <w:rPr>
          <w:rFonts w:ascii="Times New Roman" w:hAnsi="Times New Roman" w:cs="Times New Roman"/>
          <w:sz w:val="24"/>
          <w:szCs w:val="24"/>
        </w:rPr>
        <w:t>PSE</w:t>
      </w:r>
      <w:r w:rsidR="00EA4D43" w:rsidRPr="005A31D3">
        <w:rPr>
          <w:rFonts w:ascii="Times New Roman" w:hAnsi="Times New Roman" w:cs="Times New Roman"/>
          <w:sz w:val="24"/>
          <w:szCs w:val="24"/>
        </w:rPr>
        <w:t xml:space="preserve"> believes the lease platform provides increased public benefit by stimulating replacement of inefficient or unsafe energy equipment that has exceeded its useful life, with new high efficiency energy equipment.  </w:t>
      </w:r>
      <w:r w:rsidR="00567788" w:rsidRPr="005A31D3">
        <w:rPr>
          <w:rFonts w:ascii="Times New Roman" w:hAnsi="Times New Roman" w:cs="Times New Roman"/>
          <w:sz w:val="24"/>
          <w:szCs w:val="24"/>
        </w:rPr>
        <w:t>Strategically</w:t>
      </w:r>
      <w:r w:rsidR="00EA4D43" w:rsidRPr="005A31D3">
        <w:rPr>
          <w:rFonts w:ascii="Times New Roman" w:hAnsi="Times New Roman" w:cs="Times New Roman"/>
          <w:sz w:val="24"/>
          <w:szCs w:val="24"/>
        </w:rPr>
        <w:t xml:space="preserve"> target</w:t>
      </w:r>
      <w:r w:rsidR="00567788" w:rsidRPr="005A31D3">
        <w:rPr>
          <w:rFonts w:ascii="Times New Roman" w:hAnsi="Times New Roman" w:cs="Times New Roman"/>
          <w:sz w:val="24"/>
          <w:szCs w:val="24"/>
        </w:rPr>
        <w:t>ing</w:t>
      </w:r>
      <w:r w:rsidR="00EA4D43" w:rsidRPr="005A31D3">
        <w:rPr>
          <w:rFonts w:ascii="Times New Roman" w:hAnsi="Times New Roman" w:cs="Times New Roman"/>
          <w:sz w:val="24"/>
          <w:szCs w:val="24"/>
        </w:rPr>
        <w:t xml:space="preserve"> and replac</w:t>
      </w:r>
      <w:r w:rsidR="00567788" w:rsidRPr="005A31D3">
        <w:rPr>
          <w:rFonts w:ascii="Times New Roman" w:hAnsi="Times New Roman" w:cs="Times New Roman"/>
          <w:sz w:val="24"/>
          <w:szCs w:val="24"/>
        </w:rPr>
        <w:t>ing</w:t>
      </w:r>
      <w:r w:rsidR="00EA4D43" w:rsidRPr="005A31D3">
        <w:rPr>
          <w:rFonts w:ascii="Times New Roman" w:hAnsi="Times New Roman" w:cs="Times New Roman"/>
          <w:sz w:val="24"/>
          <w:szCs w:val="24"/>
        </w:rPr>
        <w:t xml:space="preserve"> at least 28,000 of these antiquated units</w:t>
      </w:r>
      <w:r w:rsidR="00567788" w:rsidRPr="005A31D3">
        <w:rPr>
          <w:rFonts w:ascii="Times New Roman" w:hAnsi="Times New Roman" w:cs="Times New Roman"/>
          <w:sz w:val="24"/>
          <w:szCs w:val="24"/>
        </w:rPr>
        <w:t xml:space="preserve"> over the next five years</w:t>
      </w:r>
      <w:r w:rsidR="00EA4D43" w:rsidRPr="005A31D3">
        <w:rPr>
          <w:rFonts w:ascii="Times New Roman" w:hAnsi="Times New Roman" w:cs="Times New Roman"/>
          <w:sz w:val="24"/>
          <w:szCs w:val="24"/>
        </w:rPr>
        <w:t>, translat</w:t>
      </w:r>
      <w:r w:rsidR="00567788" w:rsidRPr="005A31D3">
        <w:rPr>
          <w:rFonts w:ascii="Times New Roman" w:hAnsi="Times New Roman" w:cs="Times New Roman"/>
          <w:sz w:val="24"/>
          <w:szCs w:val="24"/>
        </w:rPr>
        <w:t>es</w:t>
      </w:r>
      <w:r w:rsidR="00EA4D43" w:rsidRPr="005A31D3">
        <w:rPr>
          <w:rFonts w:ascii="Times New Roman" w:hAnsi="Times New Roman" w:cs="Times New Roman"/>
          <w:sz w:val="24"/>
          <w:szCs w:val="24"/>
        </w:rPr>
        <w:t xml:space="preserve"> into at least 3,842,</w:t>
      </w:r>
      <w:r w:rsidR="00154B54" w:rsidRPr="005A31D3">
        <w:rPr>
          <w:rFonts w:ascii="Times New Roman" w:hAnsi="Times New Roman" w:cs="Times New Roman"/>
          <w:sz w:val="24"/>
          <w:szCs w:val="24"/>
        </w:rPr>
        <w:t>810</w:t>
      </w:r>
      <w:r w:rsidR="00EA4D43" w:rsidRPr="005A31D3">
        <w:rPr>
          <w:rFonts w:ascii="Times New Roman" w:hAnsi="Times New Roman" w:cs="Times New Roman"/>
          <w:sz w:val="24"/>
          <w:szCs w:val="24"/>
        </w:rPr>
        <w:t xml:space="preserve"> </w:t>
      </w:r>
      <w:r w:rsidR="002655CB" w:rsidRPr="005A31D3">
        <w:rPr>
          <w:rFonts w:ascii="Times New Roman" w:hAnsi="Times New Roman" w:cs="Times New Roman"/>
          <w:sz w:val="24"/>
          <w:szCs w:val="24"/>
        </w:rPr>
        <w:t xml:space="preserve">therms of natural gas </w:t>
      </w:r>
      <w:r w:rsidR="00EA4D43" w:rsidRPr="005A31D3">
        <w:rPr>
          <w:rFonts w:ascii="Times New Roman" w:hAnsi="Times New Roman" w:cs="Times New Roman"/>
          <w:sz w:val="24"/>
          <w:szCs w:val="24"/>
        </w:rPr>
        <w:t xml:space="preserve">savings, </w:t>
      </w:r>
      <w:r w:rsidR="002655CB" w:rsidRPr="005A31D3">
        <w:rPr>
          <w:rFonts w:ascii="Times New Roman" w:hAnsi="Times New Roman" w:cs="Times New Roman"/>
          <w:sz w:val="24"/>
          <w:szCs w:val="24"/>
        </w:rPr>
        <w:t xml:space="preserve">and </w:t>
      </w:r>
      <w:r w:rsidR="00EA4D43" w:rsidRPr="005A31D3">
        <w:rPr>
          <w:rFonts w:ascii="Times New Roman" w:hAnsi="Times New Roman" w:cs="Times New Roman"/>
          <w:sz w:val="24"/>
          <w:szCs w:val="24"/>
        </w:rPr>
        <w:t>11,</w:t>
      </w:r>
      <w:r w:rsidR="00A6577A" w:rsidRPr="005A31D3">
        <w:rPr>
          <w:rFonts w:ascii="Times New Roman" w:hAnsi="Times New Roman" w:cs="Times New Roman"/>
          <w:sz w:val="24"/>
          <w:szCs w:val="24"/>
        </w:rPr>
        <w:t>50</w:t>
      </w:r>
      <w:r w:rsidR="004C72C4" w:rsidRPr="005A31D3">
        <w:rPr>
          <w:rFonts w:ascii="Times New Roman" w:hAnsi="Times New Roman" w:cs="Times New Roman"/>
          <w:sz w:val="24"/>
          <w:szCs w:val="24"/>
        </w:rPr>
        <w:t>4,371</w:t>
      </w:r>
      <w:r w:rsidR="00EA4D43" w:rsidRPr="005A31D3">
        <w:rPr>
          <w:rFonts w:ascii="Times New Roman" w:hAnsi="Times New Roman" w:cs="Times New Roman"/>
          <w:sz w:val="24"/>
          <w:szCs w:val="24"/>
        </w:rPr>
        <w:t xml:space="preserve"> kWh </w:t>
      </w:r>
      <w:r w:rsidR="002655CB" w:rsidRPr="005A31D3">
        <w:rPr>
          <w:rFonts w:ascii="Times New Roman" w:hAnsi="Times New Roman" w:cs="Times New Roman"/>
          <w:sz w:val="24"/>
          <w:szCs w:val="24"/>
        </w:rPr>
        <w:t xml:space="preserve">of electric </w:t>
      </w:r>
      <w:r w:rsidR="00EA4D43" w:rsidRPr="005A31D3">
        <w:rPr>
          <w:rFonts w:ascii="Times New Roman" w:hAnsi="Times New Roman" w:cs="Times New Roman"/>
          <w:sz w:val="24"/>
          <w:szCs w:val="24"/>
        </w:rPr>
        <w:t>savings</w:t>
      </w:r>
      <w:r w:rsidR="002655CB" w:rsidRPr="005A31D3">
        <w:rPr>
          <w:rFonts w:ascii="Times New Roman" w:hAnsi="Times New Roman" w:cs="Times New Roman"/>
          <w:sz w:val="24"/>
          <w:szCs w:val="24"/>
        </w:rPr>
        <w:t>.</w:t>
      </w:r>
    </w:p>
    <w:p w14:paraId="1035EC3B" w14:textId="77777777" w:rsidR="005A31D3" w:rsidRPr="005A31D3" w:rsidRDefault="005A31D3" w:rsidP="005A31D3">
      <w:pPr>
        <w:pStyle w:val="ListParagraph"/>
        <w:spacing w:after="240"/>
        <w:ind w:left="2174"/>
        <w:rPr>
          <w:sz w:val="24"/>
          <w:szCs w:val="24"/>
        </w:rPr>
      </w:pPr>
    </w:p>
    <w:p w14:paraId="1035EC3C" w14:textId="77777777" w:rsidR="002655CB" w:rsidRPr="00867D09" w:rsidRDefault="00EA4D43" w:rsidP="00867D09">
      <w:pPr>
        <w:pStyle w:val="ListParagraph"/>
        <w:spacing w:after="240"/>
        <w:ind w:left="2174"/>
        <w:rPr>
          <w:rFonts w:ascii="Times New Roman" w:hAnsi="Times New Roman" w:cs="Times New Roman"/>
          <w:sz w:val="24"/>
          <w:szCs w:val="24"/>
        </w:rPr>
      </w:pPr>
      <w:r w:rsidRPr="00867D09">
        <w:rPr>
          <w:rFonts w:ascii="Times New Roman" w:hAnsi="Times New Roman" w:cs="Times New Roman"/>
          <w:sz w:val="24"/>
          <w:szCs w:val="24"/>
        </w:rPr>
        <w:t xml:space="preserve">This equates to delivering approximately 30% </w:t>
      </w:r>
      <w:r w:rsidR="00ED04F9" w:rsidRPr="00867D09">
        <w:rPr>
          <w:rFonts w:ascii="Times New Roman" w:hAnsi="Times New Roman" w:cs="Times New Roman"/>
          <w:sz w:val="24"/>
          <w:szCs w:val="24"/>
        </w:rPr>
        <w:t>of equivalent equipment unit</w:t>
      </w:r>
      <w:r w:rsidR="0017718C" w:rsidRPr="00867D09">
        <w:rPr>
          <w:rFonts w:ascii="Times New Roman" w:hAnsi="Times New Roman" w:cs="Times New Roman"/>
          <w:sz w:val="24"/>
          <w:szCs w:val="24"/>
        </w:rPr>
        <w:t>s</w:t>
      </w:r>
      <w:r w:rsidR="00ED04F9" w:rsidRPr="00867D09">
        <w:rPr>
          <w:rFonts w:ascii="Times New Roman" w:hAnsi="Times New Roman" w:cs="Times New Roman"/>
          <w:sz w:val="24"/>
          <w:szCs w:val="24"/>
        </w:rPr>
        <w:t xml:space="preserve"> </w:t>
      </w:r>
      <w:r w:rsidRPr="00867D09">
        <w:rPr>
          <w:rFonts w:ascii="Times New Roman" w:hAnsi="Times New Roman" w:cs="Times New Roman"/>
          <w:sz w:val="24"/>
          <w:szCs w:val="24"/>
        </w:rPr>
        <w:t>target</w:t>
      </w:r>
      <w:r w:rsidR="00ED04F9" w:rsidRPr="00867D09">
        <w:rPr>
          <w:rFonts w:ascii="Times New Roman" w:hAnsi="Times New Roman" w:cs="Times New Roman"/>
          <w:sz w:val="24"/>
          <w:szCs w:val="24"/>
        </w:rPr>
        <w:t>ed</w:t>
      </w:r>
      <w:r w:rsidRPr="00867D09">
        <w:rPr>
          <w:rFonts w:ascii="Times New Roman" w:hAnsi="Times New Roman" w:cs="Times New Roman"/>
          <w:sz w:val="24"/>
          <w:szCs w:val="24"/>
        </w:rPr>
        <w:t xml:space="preserve"> in </w:t>
      </w:r>
      <w:r w:rsidR="00681C92" w:rsidRPr="00867D09">
        <w:rPr>
          <w:rFonts w:ascii="Times New Roman" w:hAnsi="Times New Roman" w:cs="Times New Roman"/>
          <w:sz w:val="24"/>
          <w:szCs w:val="24"/>
        </w:rPr>
        <w:t>PSE</w:t>
      </w:r>
      <w:r w:rsidRPr="00867D09">
        <w:rPr>
          <w:rFonts w:ascii="Times New Roman" w:hAnsi="Times New Roman" w:cs="Times New Roman"/>
          <w:sz w:val="24"/>
          <w:szCs w:val="24"/>
        </w:rPr>
        <w:t xml:space="preserve">’s 2016-2017 Biennial Conservation Plan. Although the leasing platform was not proposed as a </w:t>
      </w:r>
      <w:r w:rsidR="00567788" w:rsidRPr="00867D09">
        <w:rPr>
          <w:rFonts w:ascii="Times New Roman" w:hAnsi="Times New Roman" w:cs="Times New Roman"/>
          <w:sz w:val="24"/>
          <w:szCs w:val="24"/>
        </w:rPr>
        <w:t>c</w:t>
      </w:r>
      <w:r w:rsidRPr="00867D09">
        <w:rPr>
          <w:rFonts w:ascii="Times New Roman" w:hAnsi="Times New Roman" w:cs="Times New Roman"/>
          <w:sz w:val="24"/>
          <w:szCs w:val="24"/>
        </w:rPr>
        <w:t xml:space="preserve">onservation program, it is believed that acquisition costs are commensurate with existing </w:t>
      </w:r>
      <w:r w:rsidR="00681C92" w:rsidRPr="00867D09">
        <w:rPr>
          <w:rFonts w:ascii="Times New Roman" w:hAnsi="Times New Roman" w:cs="Times New Roman"/>
          <w:sz w:val="24"/>
          <w:szCs w:val="24"/>
        </w:rPr>
        <w:t>PSE</w:t>
      </w:r>
      <w:r w:rsidRPr="00867D09">
        <w:rPr>
          <w:rFonts w:ascii="Times New Roman" w:hAnsi="Times New Roman" w:cs="Times New Roman"/>
          <w:sz w:val="24"/>
          <w:szCs w:val="24"/>
        </w:rPr>
        <w:t xml:space="preserve"> </w:t>
      </w:r>
      <w:r w:rsidR="000E5512" w:rsidRPr="00867D09">
        <w:rPr>
          <w:rFonts w:ascii="Times New Roman" w:hAnsi="Times New Roman" w:cs="Times New Roman"/>
          <w:sz w:val="24"/>
          <w:szCs w:val="24"/>
        </w:rPr>
        <w:t>c</w:t>
      </w:r>
      <w:r w:rsidRPr="00867D09">
        <w:rPr>
          <w:rFonts w:ascii="Times New Roman" w:hAnsi="Times New Roman" w:cs="Times New Roman"/>
          <w:sz w:val="24"/>
          <w:szCs w:val="24"/>
        </w:rPr>
        <w:t>onservation activities.</w:t>
      </w:r>
    </w:p>
    <w:p w14:paraId="1035EC3D" w14:textId="77777777" w:rsidR="002655CB" w:rsidRPr="00FD4EF8" w:rsidRDefault="002655CB" w:rsidP="00EA4D43">
      <w:pPr>
        <w:rPr>
          <w:sz w:val="24"/>
          <w:szCs w:val="24"/>
        </w:rPr>
      </w:pPr>
    </w:p>
    <w:p w14:paraId="1035EC3E" w14:textId="77777777" w:rsidR="00410C64" w:rsidRPr="00FD4EF8" w:rsidRDefault="003E7011" w:rsidP="001A4EE3">
      <w:pPr>
        <w:pStyle w:val="ListParagraph"/>
        <w:numPr>
          <w:ilvl w:val="2"/>
          <w:numId w:val="17"/>
        </w:numPr>
        <w:spacing w:after="240"/>
        <w:ind w:left="2174" w:hanging="187"/>
        <w:rPr>
          <w:rFonts w:ascii="Times New Roman" w:hAnsi="Times New Roman" w:cs="Times New Roman"/>
          <w:sz w:val="24"/>
          <w:szCs w:val="24"/>
        </w:rPr>
      </w:pPr>
      <w:r w:rsidRPr="001A4EE3">
        <w:rPr>
          <w:rFonts w:ascii="Times New Roman" w:hAnsi="Times New Roman" w:cs="Times New Roman"/>
          <w:b/>
          <w:sz w:val="24"/>
          <w:szCs w:val="24"/>
        </w:rPr>
        <w:t>Energy Bill Savings</w:t>
      </w:r>
      <w:r w:rsidR="00B35E5D" w:rsidRPr="001A4EE3">
        <w:rPr>
          <w:rFonts w:ascii="Times New Roman" w:hAnsi="Times New Roman" w:cs="Times New Roman"/>
          <w:b/>
          <w:sz w:val="24"/>
          <w:szCs w:val="24"/>
        </w:rPr>
        <w:t xml:space="preserve"> - </w:t>
      </w:r>
      <w:r w:rsidR="00410C64" w:rsidRPr="00FD4EF8">
        <w:rPr>
          <w:rFonts w:ascii="Times New Roman" w:hAnsi="Times New Roman" w:cs="Times New Roman"/>
          <w:sz w:val="24"/>
          <w:szCs w:val="24"/>
        </w:rPr>
        <w:t xml:space="preserve">The therm and kWh savings noted above translate into </w:t>
      </w:r>
      <w:r w:rsidR="00A07600" w:rsidRPr="00FD4EF8">
        <w:rPr>
          <w:rFonts w:ascii="Times New Roman" w:hAnsi="Times New Roman" w:cs="Times New Roman"/>
          <w:sz w:val="24"/>
          <w:szCs w:val="24"/>
        </w:rPr>
        <w:t xml:space="preserve">nearly $5 million in energy bill savings over the next five </w:t>
      </w:r>
      <w:r w:rsidR="00ED04F9" w:rsidRPr="00FD4EF8">
        <w:rPr>
          <w:rFonts w:ascii="Times New Roman" w:hAnsi="Times New Roman" w:cs="Times New Roman"/>
          <w:sz w:val="24"/>
          <w:szCs w:val="24"/>
        </w:rPr>
        <w:t>years that</w:t>
      </w:r>
      <w:r w:rsidR="00A07600" w:rsidRPr="00FD4EF8">
        <w:rPr>
          <w:rFonts w:ascii="Times New Roman" w:hAnsi="Times New Roman" w:cs="Times New Roman"/>
          <w:sz w:val="24"/>
          <w:szCs w:val="24"/>
        </w:rPr>
        <w:t xml:space="preserve"> would not likely have occurred otherwise. Therefore PSE believes that </w:t>
      </w:r>
      <w:r w:rsidR="002165E6" w:rsidRPr="00FD4EF8">
        <w:rPr>
          <w:rFonts w:ascii="Times New Roman" w:hAnsi="Times New Roman" w:cs="Times New Roman"/>
          <w:sz w:val="24"/>
          <w:szCs w:val="24"/>
        </w:rPr>
        <w:t>there are demonstrable</w:t>
      </w:r>
      <w:r w:rsidR="00567788">
        <w:rPr>
          <w:rFonts w:ascii="Times New Roman" w:hAnsi="Times New Roman" w:cs="Times New Roman"/>
          <w:sz w:val="24"/>
          <w:szCs w:val="24"/>
        </w:rPr>
        <w:t xml:space="preserve">, quantifiable financial </w:t>
      </w:r>
      <w:r w:rsidR="002165E6" w:rsidRPr="00FD4EF8">
        <w:rPr>
          <w:rFonts w:ascii="Times New Roman" w:hAnsi="Times New Roman" w:cs="Times New Roman"/>
          <w:sz w:val="24"/>
          <w:szCs w:val="24"/>
        </w:rPr>
        <w:t>public benefits.</w:t>
      </w:r>
    </w:p>
    <w:p w14:paraId="1035EC3F" w14:textId="77777777" w:rsidR="000A4081" w:rsidRPr="00FD4EF8" w:rsidRDefault="002554CD" w:rsidP="009072C8">
      <w:pPr>
        <w:ind w:left="900"/>
        <w:jc w:val="right"/>
        <w:rPr>
          <w:sz w:val="24"/>
          <w:szCs w:val="24"/>
          <w:u w:val="single"/>
        </w:rPr>
      </w:pPr>
      <w:r w:rsidRPr="00FD4EF8">
        <w:rPr>
          <w:noProof/>
          <w:sz w:val="24"/>
          <w:szCs w:val="24"/>
        </w:rPr>
        <w:drawing>
          <wp:inline distT="0" distB="0" distL="0" distR="0" wp14:anchorId="1035EC80" wp14:editId="1035EC81">
            <wp:extent cx="5413375" cy="24212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3375" cy="2421255"/>
                    </a:xfrm>
                    <a:prstGeom prst="rect">
                      <a:avLst/>
                    </a:prstGeom>
                    <a:noFill/>
                    <a:ln>
                      <a:noFill/>
                    </a:ln>
                  </pic:spPr>
                </pic:pic>
              </a:graphicData>
            </a:graphic>
          </wp:inline>
        </w:drawing>
      </w:r>
    </w:p>
    <w:p w14:paraId="1035EC40" w14:textId="77777777" w:rsidR="002554CD" w:rsidRDefault="002554CD" w:rsidP="0017718C">
      <w:pPr>
        <w:jc w:val="center"/>
        <w:rPr>
          <w:sz w:val="24"/>
          <w:szCs w:val="24"/>
          <w:u w:val="single"/>
        </w:rPr>
      </w:pPr>
    </w:p>
    <w:p w14:paraId="1035EC41" w14:textId="77777777" w:rsidR="001A4EE3" w:rsidRPr="00FD4EF8" w:rsidRDefault="001A4EE3" w:rsidP="0017718C">
      <w:pPr>
        <w:jc w:val="center"/>
        <w:rPr>
          <w:sz w:val="24"/>
          <w:szCs w:val="24"/>
          <w:u w:val="single"/>
        </w:rPr>
      </w:pPr>
    </w:p>
    <w:p w14:paraId="1035EC42" w14:textId="77777777" w:rsidR="002554CD" w:rsidRPr="00FD4EF8" w:rsidRDefault="002554CD" w:rsidP="009072C8">
      <w:pPr>
        <w:ind w:left="900"/>
        <w:jc w:val="right"/>
        <w:rPr>
          <w:sz w:val="24"/>
          <w:szCs w:val="24"/>
          <w:u w:val="single"/>
        </w:rPr>
      </w:pPr>
      <w:r w:rsidRPr="00FD4EF8">
        <w:rPr>
          <w:noProof/>
          <w:sz w:val="24"/>
          <w:szCs w:val="24"/>
        </w:rPr>
        <w:drawing>
          <wp:inline distT="0" distB="0" distL="0" distR="0" wp14:anchorId="1035EC82" wp14:editId="1035EC83">
            <wp:extent cx="5413375" cy="2720975"/>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3375" cy="2720975"/>
                    </a:xfrm>
                    <a:prstGeom prst="rect">
                      <a:avLst/>
                    </a:prstGeom>
                    <a:noFill/>
                    <a:ln>
                      <a:noFill/>
                    </a:ln>
                  </pic:spPr>
                </pic:pic>
              </a:graphicData>
            </a:graphic>
          </wp:inline>
        </w:drawing>
      </w:r>
    </w:p>
    <w:p w14:paraId="1035EC43" w14:textId="77777777" w:rsidR="0017718C" w:rsidRPr="00FD4EF8" w:rsidRDefault="0017718C" w:rsidP="0017718C">
      <w:pPr>
        <w:jc w:val="center"/>
        <w:rPr>
          <w:sz w:val="24"/>
          <w:szCs w:val="24"/>
          <w:u w:val="single"/>
        </w:rPr>
      </w:pPr>
    </w:p>
    <w:p w14:paraId="1035EC44" w14:textId="77777777" w:rsidR="002655CB" w:rsidRPr="00FD4EF8" w:rsidRDefault="002165E6" w:rsidP="002165E6">
      <w:pPr>
        <w:pStyle w:val="ListParagraph"/>
        <w:numPr>
          <w:ilvl w:val="2"/>
          <w:numId w:val="17"/>
        </w:numPr>
        <w:rPr>
          <w:rFonts w:ascii="Times New Roman" w:hAnsi="Times New Roman" w:cs="Times New Roman"/>
          <w:color w:val="000000"/>
          <w:sz w:val="24"/>
          <w:szCs w:val="24"/>
        </w:rPr>
      </w:pPr>
      <w:r w:rsidRPr="001A4EE3">
        <w:rPr>
          <w:rFonts w:ascii="Times New Roman" w:hAnsi="Times New Roman" w:cs="Times New Roman"/>
          <w:b/>
          <w:sz w:val="24"/>
          <w:szCs w:val="24"/>
        </w:rPr>
        <w:t xml:space="preserve">$57 Million in </w:t>
      </w:r>
      <w:r w:rsidR="003E7011" w:rsidRPr="001A4EE3">
        <w:rPr>
          <w:rFonts w:ascii="Times New Roman" w:hAnsi="Times New Roman" w:cs="Times New Roman"/>
          <w:b/>
          <w:sz w:val="24"/>
          <w:szCs w:val="24"/>
        </w:rPr>
        <w:t>Deferred Capital</w:t>
      </w:r>
      <w:r w:rsidRPr="001A4EE3">
        <w:rPr>
          <w:rFonts w:ascii="Times New Roman" w:hAnsi="Times New Roman" w:cs="Times New Roman"/>
          <w:b/>
          <w:sz w:val="24"/>
          <w:szCs w:val="24"/>
        </w:rPr>
        <w:t xml:space="preserve"> Expenses for Washington Households and Businesses</w:t>
      </w:r>
      <w:r w:rsidR="003E7011" w:rsidRPr="001A4EE3">
        <w:rPr>
          <w:rFonts w:ascii="Times New Roman" w:hAnsi="Times New Roman" w:cs="Times New Roman"/>
          <w:sz w:val="24"/>
          <w:szCs w:val="24"/>
        </w:rPr>
        <w:t xml:space="preserve"> </w:t>
      </w:r>
      <w:r w:rsidR="00B35E5D" w:rsidRPr="001A4EE3">
        <w:rPr>
          <w:rFonts w:ascii="Times New Roman" w:hAnsi="Times New Roman" w:cs="Times New Roman"/>
          <w:sz w:val="24"/>
          <w:szCs w:val="24"/>
        </w:rPr>
        <w:t xml:space="preserve">- </w:t>
      </w:r>
      <w:r w:rsidR="007C78C8" w:rsidRPr="001A4EE3">
        <w:rPr>
          <w:rFonts w:ascii="Times New Roman" w:hAnsi="Times New Roman" w:cs="Times New Roman"/>
          <w:sz w:val="24"/>
          <w:szCs w:val="24"/>
        </w:rPr>
        <w:t>T</w:t>
      </w:r>
      <w:r w:rsidR="007C78C8" w:rsidRPr="001A4EE3">
        <w:rPr>
          <w:rFonts w:ascii="Times New Roman" w:hAnsi="Times New Roman" w:cs="Times New Roman"/>
          <w:color w:val="000000"/>
          <w:sz w:val="24"/>
          <w:szCs w:val="24"/>
        </w:rPr>
        <w:t>he</w:t>
      </w:r>
      <w:r w:rsidR="007C78C8" w:rsidRPr="00FD4EF8">
        <w:rPr>
          <w:rFonts w:ascii="Times New Roman" w:hAnsi="Times New Roman" w:cs="Times New Roman"/>
          <w:color w:val="000000"/>
          <w:sz w:val="24"/>
          <w:szCs w:val="24"/>
        </w:rPr>
        <w:t xml:space="preserve"> </w:t>
      </w:r>
      <w:r w:rsidR="00567788">
        <w:rPr>
          <w:rFonts w:ascii="Times New Roman" w:hAnsi="Times New Roman" w:cs="Times New Roman"/>
          <w:color w:val="000000"/>
          <w:sz w:val="24"/>
          <w:szCs w:val="24"/>
        </w:rPr>
        <w:t xml:space="preserve">expanded </w:t>
      </w:r>
      <w:r w:rsidR="007C78C8" w:rsidRPr="00FD4EF8">
        <w:rPr>
          <w:rFonts w:ascii="Times New Roman" w:hAnsi="Times New Roman" w:cs="Times New Roman"/>
          <w:color w:val="000000"/>
          <w:sz w:val="24"/>
          <w:szCs w:val="24"/>
        </w:rPr>
        <w:t xml:space="preserve">service will increase economic activity by stimulating participation by those not actively partaking due to economic constraints.  This benefits all customers, associated residents and taxpayers by making the local and state economies more efficient. Over the next five years PSE estimates that deferred capital for households and business to be over $57 million. </w:t>
      </w:r>
      <w:r w:rsidRPr="00FD4EF8">
        <w:rPr>
          <w:rFonts w:ascii="Times New Roman" w:hAnsi="Times New Roman" w:cs="Times New Roman"/>
          <w:sz w:val="24"/>
          <w:szCs w:val="24"/>
        </w:rPr>
        <w:t xml:space="preserve">This equipment lease service will </w:t>
      </w:r>
      <w:r w:rsidR="007C78C8" w:rsidRPr="00FD4EF8">
        <w:rPr>
          <w:rFonts w:ascii="Times New Roman" w:hAnsi="Times New Roman" w:cs="Times New Roman"/>
          <w:color w:val="000000"/>
          <w:sz w:val="24"/>
          <w:szCs w:val="24"/>
        </w:rPr>
        <w:t xml:space="preserve">allow </w:t>
      </w:r>
      <w:r w:rsidRPr="00FD4EF8">
        <w:rPr>
          <w:rFonts w:ascii="Times New Roman" w:hAnsi="Times New Roman" w:cs="Times New Roman"/>
          <w:color w:val="000000"/>
          <w:sz w:val="24"/>
          <w:szCs w:val="24"/>
        </w:rPr>
        <w:t xml:space="preserve">Washington households and businesses </w:t>
      </w:r>
      <w:r w:rsidR="007C78C8" w:rsidRPr="00FD4EF8">
        <w:rPr>
          <w:rFonts w:ascii="Times New Roman" w:hAnsi="Times New Roman" w:cs="Times New Roman"/>
          <w:color w:val="000000"/>
          <w:sz w:val="24"/>
          <w:szCs w:val="24"/>
        </w:rPr>
        <w:t xml:space="preserve">to </w:t>
      </w:r>
      <w:r w:rsidRPr="00FD4EF8">
        <w:rPr>
          <w:rFonts w:ascii="Times New Roman" w:hAnsi="Times New Roman" w:cs="Times New Roman"/>
          <w:color w:val="000000"/>
          <w:sz w:val="24"/>
          <w:szCs w:val="24"/>
        </w:rPr>
        <w:t>use their scarce capital on investments that are more closely related to their basic standard of living expenses and core business functions.</w:t>
      </w:r>
      <w:r w:rsidRPr="00FD4EF8">
        <w:rPr>
          <w:rFonts w:ascii="Times New Roman" w:hAnsi="Times New Roman" w:cs="Times New Roman"/>
          <w:sz w:val="24"/>
          <w:szCs w:val="24"/>
        </w:rPr>
        <w:t xml:space="preserve"> By allowing </w:t>
      </w:r>
      <w:r w:rsidR="002655CB" w:rsidRPr="00FD4EF8">
        <w:rPr>
          <w:rFonts w:ascii="Times New Roman" w:hAnsi="Times New Roman" w:cs="Times New Roman"/>
          <w:sz w:val="24"/>
          <w:szCs w:val="24"/>
        </w:rPr>
        <w:t xml:space="preserve">Washington businesses and households </w:t>
      </w:r>
      <w:r w:rsidR="007C78C8" w:rsidRPr="00FD4EF8">
        <w:rPr>
          <w:rFonts w:ascii="Times New Roman" w:hAnsi="Times New Roman" w:cs="Times New Roman"/>
          <w:sz w:val="24"/>
          <w:szCs w:val="24"/>
        </w:rPr>
        <w:t xml:space="preserve">the option </w:t>
      </w:r>
      <w:r w:rsidR="002655CB" w:rsidRPr="00FD4EF8">
        <w:rPr>
          <w:rFonts w:ascii="Times New Roman" w:hAnsi="Times New Roman" w:cs="Times New Roman"/>
          <w:sz w:val="24"/>
          <w:szCs w:val="24"/>
        </w:rPr>
        <w:t xml:space="preserve">to devote their scarce capital on </w:t>
      </w:r>
      <w:r w:rsidR="007C78C8" w:rsidRPr="00FD4EF8">
        <w:rPr>
          <w:rFonts w:ascii="Times New Roman" w:hAnsi="Times New Roman" w:cs="Times New Roman"/>
          <w:sz w:val="24"/>
          <w:szCs w:val="24"/>
        </w:rPr>
        <w:t xml:space="preserve">other </w:t>
      </w:r>
      <w:r w:rsidR="002655CB" w:rsidRPr="00FD4EF8">
        <w:rPr>
          <w:rFonts w:ascii="Times New Roman" w:hAnsi="Times New Roman" w:cs="Times New Roman"/>
          <w:sz w:val="24"/>
          <w:szCs w:val="24"/>
        </w:rPr>
        <w:t xml:space="preserve">investments in their own homes, product lines or manufacturing equipment, </w:t>
      </w:r>
      <w:r w:rsidRPr="00FD4EF8">
        <w:rPr>
          <w:rFonts w:ascii="Times New Roman" w:hAnsi="Times New Roman" w:cs="Times New Roman"/>
          <w:sz w:val="24"/>
          <w:szCs w:val="24"/>
        </w:rPr>
        <w:t xml:space="preserve">it will </w:t>
      </w:r>
      <w:r w:rsidR="002655CB" w:rsidRPr="00FD4EF8">
        <w:rPr>
          <w:rFonts w:ascii="Times New Roman" w:hAnsi="Times New Roman" w:cs="Times New Roman"/>
          <w:sz w:val="24"/>
          <w:szCs w:val="24"/>
        </w:rPr>
        <w:t xml:space="preserve">thus </w:t>
      </w:r>
      <w:r w:rsidR="007C78C8" w:rsidRPr="00FD4EF8">
        <w:rPr>
          <w:rFonts w:ascii="Times New Roman" w:hAnsi="Times New Roman" w:cs="Times New Roman"/>
          <w:sz w:val="24"/>
          <w:szCs w:val="24"/>
        </w:rPr>
        <w:t xml:space="preserve">make </w:t>
      </w:r>
      <w:r w:rsidR="002655CB" w:rsidRPr="00FD4EF8">
        <w:rPr>
          <w:rFonts w:ascii="Times New Roman" w:hAnsi="Times New Roman" w:cs="Times New Roman"/>
          <w:sz w:val="24"/>
          <w:szCs w:val="24"/>
        </w:rPr>
        <w:t>the Washington state economy more efficient.</w:t>
      </w:r>
      <w:r w:rsidRPr="00FD4EF8">
        <w:rPr>
          <w:rFonts w:ascii="Times New Roman" w:hAnsi="Times New Roman" w:cs="Times New Roman"/>
          <w:sz w:val="24"/>
          <w:szCs w:val="24"/>
        </w:rPr>
        <w:t xml:space="preserve"> </w:t>
      </w:r>
    </w:p>
    <w:p w14:paraId="1035EC45" w14:textId="77777777" w:rsidR="00154B54" w:rsidRPr="00FD4EF8" w:rsidRDefault="001A4EE3" w:rsidP="009072C8">
      <w:pPr>
        <w:jc w:val="right"/>
        <w:rPr>
          <w:sz w:val="24"/>
          <w:szCs w:val="24"/>
        </w:rPr>
      </w:pPr>
      <w:r>
        <w:rPr>
          <w:noProof/>
        </w:rPr>
        <w:drawing>
          <wp:inline distT="0" distB="0" distL="0" distR="0" wp14:anchorId="1035EC84" wp14:editId="1035EC85">
            <wp:extent cx="5543550" cy="1363462"/>
            <wp:effectExtent l="0" t="0" r="0" b="8255"/>
            <wp:docPr id="2" name="Picture 2" descr="cid:image003.png@01D11887.99969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1887.9996981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543550" cy="1363462"/>
                    </a:xfrm>
                    <a:prstGeom prst="rect">
                      <a:avLst/>
                    </a:prstGeom>
                    <a:noFill/>
                    <a:ln>
                      <a:noFill/>
                    </a:ln>
                  </pic:spPr>
                </pic:pic>
              </a:graphicData>
            </a:graphic>
          </wp:inline>
        </w:drawing>
      </w:r>
    </w:p>
    <w:p w14:paraId="1035EC46" w14:textId="77777777" w:rsidR="00A6577A" w:rsidRPr="00FD4EF8" w:rsidRDefault="00A6577A" w:rsidP="00C36D2E">
      <w:pPr>
        <w:rPr>
          <w:b/>
          <w:snapToGrid w:val="0"/>
          <w:sz w:val="24"/>
          <w:szCs w:val="24"/>
        </w:rPr>
      </w:pPr>
    </w:p>
    <w:p w14:paraId="1035EC47" w14:textId="77777777" w:rsidR="00C006B9" w:rsidRPr="00C006B9" w:rsidRDefault="00C36D2E" w:rsidP="001A4EE3">
      <w:pPr>
        <w:pStyle w:val="ListParagraph"/>
        <w:numPr>
          <w:ilvl w:val="1"/>
          <w:numId w:val="17"/>
        </w:numPr>
        <w:spacing w:after="240"/>
        <w:rPr>
          <w:rFonts w:ascii="Times New Roman" w:hAnsi="Times New Roman" w:cs="Times New Roman"/>
          <w:b/>
          <w:snapToGrid w:val="0"/>
          <w:sz w:val="24"/>
          <w:szCs w:val="24"/>
        </w:rPr>
      </w:pPr>
      <w:r w:rsidRPr="00FD4EF8">
        <w:rPr>
          <w:rFonts w:ascii="Times New Roman" w:hAnsi="Times New Roman" w:cs="Times New Roman"/>
          <w:b/>
          <w:snapToGrid w:val="0"/>
          <w:sz w:val="24"/>
          <w:szCs w:val="24"/>
        </w:rPr>
        <w:t>Additional Reasons Why a Regulated Product is in the Public Interest</w:t>
      </w:r>
      <w:r w:rsidR="009446DA" w:rsidRPr="00FD4EF8">
        <w:rPr>
          <w:rFonts w:ascii="Times New Roman" w:hAnsi="Times New Roman" w:cs="Times New Roman"/>
          <w:b/>
          <w:snapToGrid w:val="0"/>
          <w:sz w:val="24"/>
          <w:szCs w:val="24"/>
        </w:rPr>
        <w:t xml:space="preserve"> - </w:t>
      </w:r>
      <w:r w:rsidR="00681C92" w:rsidRPr="00FD4EF8">
        <w:rPr>
          <w:rFonts w:ascii="Times New Roman" w:hAnsi="Times New Roman" w:cs="Times New Roman"/>
          <w:sz w:val="24"/>
          <w:szCs w:val="24"/>
        </w:rPr>
        <w:t>PSE</w:t>
      </w:r>
      <w:r w:rsidRPr="00FD4EF8">
        <w:rPr>
          <w:rFonts w:ascii="Times New Roman" w:hAnsi="Times New Roman" w:cs="Times New Roman"/>
          <w:sz w:val="24"/>
          <w:szCs w:val="24"/>
        </w:rPr>
        <w:t xml:space="preserve"> believes that extending the existing regulated lease capabilities to include these new </w:t>
      </w:r>
      <w:r w:rsidR="004E2A47" w:rsidRPr="00FD4EF8">
        <w:rPr>
          <w:rFonts w:ascii="Times New Roman" w:hAnsi="Times New Roman" w:cs="Times New Roman"/>
          <w:sz w:val="24"/>
          <w:szCs w:val="24"/>
        </w:rPr>
        <w:t xml:space="preserve">equipment </w:t>
      </w:r>
      <w:r w:rsidRPr="00FD4EF8">
        <w:rPr>
          <w:rFonts w:ascii="Times New Roman" w:hAnsi="Times New Roman" w:cs="Times New Roman"/>
          <w:sz w:val="24"/>
          <w:szCs w:val="24"/>
        </w:rPr>
        <w:t>services will continue to benefit customers in three distinct ways.</w:t>
      </w:r>
    </w:p>
    <w:p w14:paraId="1035EC48" w14:textId="77777777" w:rsidR="00C006B9" w:rsidRPr="00C006B9" w:rsidRDefault="00C36D2E" w:rsidP="00C006B9">
      <w:pPr>
        <w:pStyle w:val="ListParagraph"/>
        <w:numPr>
          <w:ilvl w:val="2"/>
          <w:numId w:val="17"/>
        </w:numPr>
        <w:spacing w:after="240"/>
        <w:rPr>
          <w:rFonts w:ascii="Times New Roman" w:hAnsi="Times New Roman" w:cs="Times New Roman"/>
          <w:b/>
          <w:snapToGrid w:val="0"/>
          <w:sz w:val="24"/>
          <w:szCs w:val="24"/>
        </w:rPr>
      </w:pPr>
      <w:r w:rsidRPr="00FD4EF8">
        <w:rPr>
          <w:rFonts w:ascii="Times New Roman" w:hAnsi="Times New Roman" w:cs="Times New Roman"/>
          <w:sz w:val="24"/>
          <w:szCs w:val="24"/>
        </w:rPr>
        <w:t xml:space="preserve">First the regulated environment affords assurance to customers that the price has been fairly set through the </w:t>
      </w:r>
      <w:r w:rsidR="00567788">
        <w:rPr>
          <w:rFonts w:ascii="Times New Roman" w:hAnsi="Times New Roman" w:cs="Times New Roman"/>
          <w:sz w:val="24"/>
          <w:szCs w:val="24"/>
        </w:rPr>
        <w:t>C</w:t>
      </w:r>
      <w:r w:rsidRPr="00FD4EF8">
        <w:rPr>
          <w:rFonts w:ascii="Times New Roman" w:hAnsi="Times New Roman" w:cs="Times New Roman"/>
          <w:sz w:val="24"/>
          <w:szCs w:val="24"/>
        </w:rPr>
        <w:t>ommission approval process.</w:t>
      </w:r>
    </w:p>
    <w:p w14:paraId="1035EC49" w14:textId="77777777" w:rsidR="00C006B9" w:rsidRPr="00C006B9" w:rsidRDefault="00C36D2E" w:rsidP="00C006B9">
      <w:pPr>
        <w:pStyle w:val="ListParagraph"/>
        <w:numPr>
          <w:ilvl w:val="2"/>
          <w:numId w:val="17"/>
        </w:numPr>
        <w:spacing w:after="240"/>
        <w:rPr>
          <w:rFonts w:ascii="Times New Roman" w:hAnsi="Times New Roman" w:cs="Times New Roman"/>
          <w:b/>
          <w:snapToGrid w:val="0"/>
          <w:sz w:val="24"/>
          <w:szCs w:val="24"/>
        </w:rPr>
      </w:pPr>
      <w:r w:rsidRPr="00FD4EF8">
        <w:rPr>
          <w:rFonts w:ascii="Times New Roman" w:hAnsi="Times New Roman" w:cs="Times New Roman"/>
          <w:sz w:val="24"/>
          <w:szCs w:val="24"/>
        </w:rPr>
        <w:t xml:space="preserve">Second, the customer is afforded the dedicated consumer protection oversight the </w:t>
      </w:r>
      <w:r w:rsidR="00567788">
        <w:rPr>
          <w:rFonts w:ascii="Times New Roman" w:hAnsi="Times New Roman" w:cs="Times New Roman"/>
          <w:sz w:val="24"/>
          <w:szCs w:val="24"/>
        </w:rPr>
        <w:t>C</w:t>
      </w:r>
      <w:r w:rsidRPr="00FD4EF8">
        <w:rPr>
          <w:rFonts w:ascii="Times New Roman" w:hAnsi="Times New Roman" w:cs="Times New Roman"/>
          <w:sz w:val="24"/>
          <w:szCs w:val="24"/>
        </w:rPr>
        <w:t xml:space="preserve">ommission provides, a key reason why </w:t>
      </w:r>
      <w:r w:rsidR="00567788">
        <w:rPr>
          <w:rFonts w:ascii="Times New Roman" w:hAnsi="Times New Roman" w:cs="Times New Roman"/>
          <w:sz w:val="24"/>
          <w:szCs w:val="24"/>
        </w:rPr>
        <w:t>PSE</w:t>
      </w:r>
      <w:r w:rsidRPr="00FD4EF8">
        <w:rPr>
          <w:rFonts w:ascii="Times New Roman" w:hAnsi="Times New Roman" w:cs="Times New Roman"/>
          <w:sz w:val="24"/>
          <w:szCs w:val="24"/>
        </w:rPr>
        <w:t xml:space="preserve"> embedded the terms and conditions of the service within the tariff</w:t>
      </w:r>
      <w:r w:rsidR="004E2A47" w:rsidRPr="00FD4EF8">
        <w:rPr>
          <w:rFonts w:ascii="Times New Roman" w:hAnsi="Times New Roman" w:cs="Times New Roman"/>
          <w:sz w:val="24"/>
          <w:szCs w:val="24"/>
        </w:rPr>
        <w:t xml:space="preserve"> schedule</w:t>
      </w:r>
      <w:r w:rsidRPr="00FD4EF8">
        <w:rPr>
          <w:rFonts w:ascii="Times New Roman" w:hAnsi="Times New Roman" w:cs="Times New Roman"/>
          <w:sz w:val="24"/>
          <w:szCs w:val="24"/>
        </w:rPr>
        <w:t>.</w:t>
      </w:r>
    </w:p>
    <w:p w14:paraId="1035EC4A" w14:textId="77777777" w:rsidR="00C36D2E" w:rsidRPr="001A4EE3" w:rsidRDefault="00C36D2E" w:rsidP="00C006B9">
      <w:pPr>
        <w:pStyle w:val="ListParagraph"/>
        <w:numPr>
          <w:ilvl w:val="2"/>
          <w:numId w:val="17"/>
        </w:numPr>
        <w:spacing w:after="240"/>
        <w:rPr>
          <w:rFonts w:ascii="Times New Roman" w:hAnsi="Times New Roman" w:cs="Times New Roman"/>
          <w:b/>
          <w:snapToGrid w:val="0"/>
          <w:sz w:val="24"/>
          <w:szCs w:val="24"/>
        </w:rPr>
      </w:pPr>
      <w:r w:rsidRPr="00FD4EF8">
        <w:rPr>
          <w:rFonts w:ascii="Times New Roman" w:hAnsi="Times New Roman" w:cs="Times New Roman"/>
          <w:sz w:val="24"/>
          <w:szCs w:val="24"/>
        </w:rPr>
        <w:t>Finally, providing this service in concert with our standard regulated offering all</w:t>
      </w:r>
      <w:r w:rsidR="00567788">
        <w:rPr>
          <w:rFonts w:ascii="Times New Roman" w:hAnsi="Times New Roman" w:cs="Times New Roman"/>
          <w:sz w:val="24"/>
          <w:szCs w:val="24"/>
        </w:rPr>
        <w:t xml:space="preserve">ows the lease to be tied to </w:t>
      </w:r>
      <w:r w:rsidRPr="00FD4EF8">
        <w:rPr>
          <w:rFonts w:ascii="Times New Roman" w:hAnsi="Times New Roman" w:cs="Times New Roman"/>
          <w:sz w:val="24"/>
          <w:szCs w:val="24"/>
        </w:rPr>
        <w:t xml:space="preserve">the equipment </w:t>
      </w:r>
      <w:r w:rsidR="00567788">
        <w:rPr>
          <w:rFonts w:ascii="Times New Roman" w:hAnsi="Times New Roman" w:cs="Times New Roman"/>
          <w:sz w:val="24"/>
          <w:szCs w:val="24"/>
        </w:rPr>
        <w:t>service address</w:t>
      </w:r>
      <w:r w:rsidRPr="00FD4EF8">
        <w:rPr>
          <w:rFonts w:ascii="Times New Roman" w:hAnsi="Times New Roman" w:cs="Times New Roman"/>
          <w:sz w:val="24"/>
          <w:szCs w:val="24"/>
        </w:rPr>
        <w:t xml:space="preserve">, which provides customers the ability to </w:t>
      </w:r>
      <w:r w:rsidR="004E2A47" w:rsidRPr="00FD4EF8">
        <w:rPr>
          <w:rFonts w:ascii="Times New Roman" w:hAnsi="Times New Roman" w:cs="Times New Roman"/>
          <w:sz w:val="24"/>
          <w:szCs w:val="24"/>
        </w:rPr>
        <w:t xml:space="preserve">easily </w:t>
      </w:r>
      <w:r w:rsidRPr="00FD4EF8">
        <w:rPr>
          <w:rFonts w:ascii="Times New Roman" w:hAnsi="Times New Roman" w:cs="Times New Roman"/>
          <w:sz w:val="24"/>
          <w:szCs w:val="24"/>
        </w:rPr>
        <w:t>transfer the lease when the property is sold.</w:t>
      </w:r>
    </w:p>
    <w:p w14:paraId="1035EC4B" w14:textId="77777777" w:rsidR="001A4EE3" w:rsidRPr="00FD4EF8" w:rsidRDefault="001A4EE3" w:rsidP="001A4EE3">
      <w:pPr>
        <w:pStyle w:val="ListParagraph"/>
        <w:spacing w:after="240"/>
        <w:ind w:left="1440"/>
        <w:rPr>
          <w:rFonts w:ascii="Times New Roman" w:hAnsi="Times New Roman" w:cs="Times New Roman"/>
          <w:b/>
          <w:snapToGrid w:val="0"/>
          <w:sz w:val="24"/>
          <w:szCs w:val="24"/>
        </w:rPr>
      </w:pPr>
    </w:p>
    <w:p w14:paraId="1035EC4C" w14:textId="77777777" w:rsidR="009072C8" w:rsidRPr="009072C8" w:rsidRDefault="00C64912" w:rsidP="009072C8">
      <w:pPr>
        <w:pStyle w:val="ListParagraph"/>
        <w:numPr>
          <w:ilvl w:val="1"/>
          <w:numId w:val="17"/>
        </w:numPr>
        <w:spacing w:after="240"/>
        <w:rPr>
          <w:snapToGrid w:val="0"/>
          <w:sz w:val="24"/>
          <w:szCs w:val="24"/>
        </w:rPr>
      </w:pPr>
      <w:r w:rsidRPr="009072C8">
        <w:rPr>
          <w:rFonts w:ascii="Times New Roman" w:hAnsi="Times New Roman" w:cs="Times New Roman"/>
          <w:b/>
          <w:snapToGrid w:val="0"/>
          <w:sz w:val="24"/>
          <w:szCs w:val="24"/>
        </w:rPr>
        <w:t>Important Channel for Natural Gas Conservation Savings</w:t>
      </w:r>
      <w:r w:rsidR="009446DA" w:rsidRPr="009072C8">
        <w:rPr>
          <w:rFonts w:ascii="Times New Roman" w:hAnsi="Times New Roman" w:cs="Times New Roman"/>
          <w:b/>
          <w:snapToGrid w:val="0"/>
          <w:sz w:val="24"/>
          <w:szCs w:val="24"/>
        </w:rPr>
        <w:t xml:space="preserve"> - </w:t>
      </w:r>
      <w:r w:rsidRPr="009072C8">
        <w:rPr>
          <w:rFonts w:ascii="Times New Roman" w:hAnsi="Times New Roman" w:cs="Times New Roman"/>
          <w:sz w:val="24"/>
          <w:szCs w:val="24"/>
        </w:rPr>
        <w:t xml:space="preserve">Natural gas conservation savings are increasingly difficult to attain. </w:t>
      </w:r>
      <w:r w:rsidR="00681C92" w:rsidRPr="009072C8">
        <w:rPr>
          <w:rFonts w:ascii="Times New Roman" w:hAnsi="Times New Roman" w:cs="Times New Roman"/>
          <w:sz w:val="24"/>
          <w:szCs w:val="24"/>
        </w:rPr>
        <w:t>PSE</w:t>
      </w:r>
      <w:r w:rsidRPr="009072C8">
        <w:rPr>
          <w:rFonts w:ascii="Times New Roman" w:hAnsi="Times New Roman" w:cs="Times New Roman"/>
          <w:sz w:val="24"/>
          <w:szCs w:val="24"/>
        </w:rPr>
        <w:t xml:space="preserve"> is very interested in finding additional avenues to address its natural gas energy efficiency goals, and believes the expanded Equipment Lease Service can provide a</w:t>
      </w:r>
      <w:r w:rsidR="007C78C8" w:rsidRPr="009072C8">
        <w:rPr>
          <w:rFonts w:ascii="Times New Roman" w:hAnsi="Times New Roman" w:cs="Times New Roman"/>
          <w:sz w:val="24"/>
          <w:szCs w:val="24"/>
        </w:rPr>
        <w:t>nother</w:t>
      </w:r>
      <w:r w:rsidRPr="009072C8">
        <w:rPr>
          <w:rFonts w:ascii="Times New Roman" w:hAnsi="Times New Roman" w:cs="Times New Roman"/>
          <w:sz w:val="24"/>
          <w:szCs w:val="24"/>
        </w:rPr>
        <w:t xml:space="preserve"> viable channel</w:t>
      </w:r>
      <w:r w:rsidR="007C78C8" w:rsidRPr="009072C8">
        <w:rPr>
          <w:rFonts w:ascii="Times New Roman" w:hAnsi="Times New Roman" w:cs="Times New Roman"/>
          <w:sz w:val="24"/>
          <w:szCs w:val="24"/>
        </w:rPr>
        <w:t xml:space="preserve"> and </w:t>
      </w:r>
      <w:r w:rsidRPr="009072C8">
        <w:rPr>
          <w:rFonts w:ascii="Times New Roman" w:hAnsi="Times New Roman" w:cs="Times New Roman"/>
          <w:sz w:val="24"/>
          <w:szCs w:val="24"/>
        </w:rPr>
        <w:t xml:space="preserve">may allow </w:t>
      </w:r>
      <w:r w:rsidR="00681C92" w:rsidRPr="009072C8">
        <w:rPr>
          <w:rFonts w:ascii="Times New Roman" w:hAnsi="Times New Roman" w:cs="Times New Roman"/>
          <w:sz w:val="24"/>
          <w:szCs w:val="24"/>
        </w:rPr>
        <w:t>PSE</w:t>
      </w:r>
      <w:r w:rsidRPr="009072C8">
        <w:rPr>
          <w:rFonts w:ascii="Times New Roman" w:hAnsi="Times New Roman" w:cs="Times New Roman"/>
          <w:sz w:val="24"/>
          <w:szCs w:val="24"/>
        </w:rPr>
        <w:t xml:space="preserve"> to enhance future </w:t>
      </w:r>
      <w:r w:rsidR="000E5512" w:rsidRPr="009072C8">
        <w:rPr>
          <w:rFonts w:ascii="Times New Roman" w:hAnsi="Times New Roman" w:cs="Times New Roman"/>
          <w:sz w:val="24"/>
          <w:szCs w:val="24"/>
        </w:rPr>
        <w:t>c</w:t>
      </w:r>
      <w:r w:rsidRPr="009072C8">
        <w:rPr>
          <w:rFonts w:ascii="Times New Roman" w:hAnsi="Times New Roman" w:cs="Times New Roman"/>
          <w:sz w:val="24"/>
          <w:szCs w:val="24"/>
        </w:rPr>
        <w:t xml:space="preserve">onservation goal setting activities. </w:t>
      </w:r>
      <w:r w:rsidR="000755EC" w:rsidRPr="009072C8">
        <w:rPr>
          <w:rFonts w:ascii="Times New Roman" w:hAnsi="Times New Roman" w:cs="Times New Roman"/>
          <w:sz w:val="24"/>
          <w:szCs w:val="24"/>
        </w:rPr>
        <w:t>In</w:t>
      </w:r>
      <w:r w:rsidRPr="009072C8">
        <w:rPr>
          <w:rFonts w:ascii="Times New Roman" w:hAnsi="Times New Roman" w:cs="Times New Roman"/>
          <w:sz w:val="24"/>
          <w:szCs w:val="24"/>
        </w:rPr>
        <w:t>creas</w:t>
      </w:r>
      <w:r w:rsidR="000755EC" w:rsidRPr="009072C8">
        <w:rPr>
          <w:rFonts w:ascii="Times New Roman" w:hAnsi="Times New Roman" w:cs="Times New Roman"/>
          <w:sz w:val="24"/>
          <w:szCs w:val="24"/>
        </w:rPr>
        <w:t>ing</w:t>
      </w:r>
      <w:r w:rsidRPr="009072C8">
        <w:rPr>
          <w:rFonts w:ascii="Times New Roman" w:hAnsi="Times New Roman" w:cs="Times New Roman"/>
          <w:sz w:val="24"/>
          <w:szCs w:val="24"/>
        </w:rPr>
        <w:t xml:space="preserve"> natural gas conservation savings is in the public interest.</w:t>
      </w:r>
    </w:p>
    <w:p w14:paraId="1035EC4D" w14:textId="77777777" w:rsidR="009072C8" w:rsidRPr="009072C8" w:rsidRDefault="009072C8" w:rsidP="009072C8">
      <w:pPr>
        <w:pStyle w:val="ListParagraph"/>
        <w:rPr>
          <w:snapToGrid w:val="0"/>
          <w:sz w:val="24"/>
          <w:szCs w:val="24"/>
        </w:rPr>
      </w:pPr>
    </w:p>
    <w:p w14:paraId="1035EC4E" w14:textId="77777777" w:rsidR="009072C8" w:rsidRPr="009072C8" w:rsidRDefault="009072C8" w:rsidP="009072C8">
      <w:pPr>
        <w:spacing w:after="240"/>
        <w:rPr>
          <w:snapToGrid w:val="0"/>
          <w:sz w:val="24"/>
          <w:szCs w:val="24"/>
        </w:rPr>
      </w:pPr>
    </w:p>
    <w:p w14:paraId="1035EC4F" w14:textId="77777777" w:rsidR="00FA2274" w:rsidRPr="00FD4EF8" w:rsidRDefault="00FA2274" w:rsidP="009072C8">
      <w:pPr>
        <w:pStyle w:val="ListParagraph"/>
        <w:keepNext/>
        <w:numPr>
          <w:ilvl w:val="0"/>
          <w:numId w:val="17"/>
        </w:numPr>
        <w:rPr>
          <w:rFonts w:ascii="Times New Roman" w:hAnsi="Times New Roman" w:cs="Times New Roman"/>
          <w:b/>
          <w:bCs/>
          <w:snapToGrid w:val="0"/>
          <w:sz w:val="24"/>
          <w:szCs w:val="24"/>
        </w:rPr>
      </w:pPr>
      <w:r w:rsidRPr="00FD4EF8">
        <w:rPr>
          <w:rFonts w:ascii="Times New Roman" w:hAnsi="Times New Roman" w:cs="Times New Roman"/>
          <w:b/>
          <w:bCs/>
          <w:snapToGrid w:val="0"/>
          <w:sz w:val="24"/>
          <w:szCs w:val="24"/>
        </w:rPr>
        <w:t xml:space="preserve"> </w:t>
      </w:r>
      <w:r w:rsidR="000755EC">
        <w:rPr>
          <w:rFonts w:ascii="Times New Roman" w:hAnsi="Times New Roman" w:cs="Times New Roman"/>
          <w:b/>
          <w:bCs/>
          <w:snapToGrid w:val="0"/>
          <w:sz w:val="24"/>
          <w:szCs w:val="24"/>
        </w:rPr>
        <w:t xml:space="preserve">Lease </w:t>
      </w:r>
      <w:r w:rsidRPr="00FD4EF8">
        <w:rPr>
          <w:rFonts w:ascii="Times New Roman" w:hAnsi="Times New Roman" w:cs="Times New Roman"/>
          <w:b/>
          <w:bCs/>
          <w:snapToGrid w:val="0"/>
          <w:sz w:val="24"/>
          <w:szCs w:val="24"/>
        </w:rPr>
        <w:t>Service will Rely on Expertise of Service Partners</w:t>
      </w:r>
    </w:p>
    <w:p w14:paraId="1035EC50" w14:textId="77777777" w:rsidR="009446DA" w:rsidRPr="00FD4EF8" w:rsidRDefault="009446DA" w:rsidP="009072C8">
      <w:pPr>
        <w:pStyle w:val="ListParagraph"/>
        <w:keepNext/>
        <w:ind w:left="1080"/>
        <w:rPr>
          <w:rFonts w:ascii="Times New Roman" w:hAnsi="Times New Roman" w:cs="Times New Roman"/>
          <w:b/>
          <w:bCs/>
          <w:snapToGrid w:val="0"/>
          <w:sz w:val="24"/>
          <w:szCs w:val="24"/>
        </w:rPr>
      </w:pPr>
    </w:p>
    <w:p w14:paraId="1035EC51" w14:textId="77777777" w:rsidR="00824BFA" w:rsidRDefault="009446DA" w:rsidP="00824BFA">
      <w:pPr>
        <w:pStyle w:val="ListParagraph"/>
        <w:numPr>
          <w:ilvl w:val="1"/>
          <w:numId w:val="17"/>
        </w:numPr>
        <w:rPr>
          <w:rFonts w:ascii="Times New Roman" w:hAnsi="Times New Roman" w:cs="Times New Roman"/>
          <w:sz w:val="24"/>
          <w:szCs w:val="24"/>
        </w:rPr>
      </w:pPr>
      <w:r w:rsidRPr="00FD4EF8">
        <w:rPr>
          <w:rFonts w:ascii="Times New Roman" w:hAnsi="Times New Roman" w:cs="Times New Roman"/>
          <w:b/>
          <w:bCs/>
          <w:snapToGrid w:val="0"/>
          <w:sz w:val="24"/>
          <w:szCs w:val="24"/>
        </w:rPr>
        <w:t xml:space="preserve">Service Partnerships Procurement - </w:t>
      </w:r>
      <w:r w:rsidR="00824BFA" w:rsidRPr="00FD4EF8">
        <w:rPr>
          <w:rFonts w:ascii="Times New Roman" w:hAnsi="Times New Roman" w:cs="Times New Roman"/>
          <w:sz w:val="24"/>
          <w:szCs w:val="24"/>
        </w:rPr>
        <w:t>As mentioned in the initial advice letter, it will be necessary for PSE to develop comprehensive distribution and installation channels to offer this platform of products. This optional energy equipment lease service will leverage key service partnerships, through a fair and equitable platform in which qualified parties submit proposals for participation, to facilitate the equipment distribution and in-home</w:t>
      </w:r>
      <w:r w:rsidR="000755EC">
        <w:rPr>
          <w:rFonts w:ascii="Times New Roman" w:hAnsi="Times New Roman" w:cs="Times New Roman"/>
          <w:sz w:val="24"/>
          <w:szCs w:val="24"/>
        </w:rPr>
        <w:t xml:space="preserve"> and </w:t>
      </w:r>
      <w:r w:rsidR="00824BFA" w:rsidRPr="00FD4EF8">
        <w:rPr>
          <w:rFonts w:ascii="Times New Roman" w:hAnsi="Times New Roman" w:cs="Times New Roman"/>
          <w:sz w:val="24"/>
          <w:szCs w:val="24"/>
        </w:rPr>
        <w:t xml:space="preserve">business fulfillment tasks, including installation, repair and maintenance. </w:t>
      </w:r>
      <w:r w:rsidR="000E5512" w:rsidRPr="00FD4EF8">
        <w:rPr>
          <w:rFonts w:ascii="Times New Roman" w:hAnsi="Times New Roman" w:cs="Times New Roman"/>
          <w:sz w:val="24"/>
          <w:szCs w:val="24"/>
        </w:rPr>
        <w:t xml:space="preserve"> </w:t>
      </w:r>
      <w:r w:rsidR="00824BFA" w:rsidRPr="00FD4EF8">
        <w:rPr>
          <w:rFonts w:ascii="Times New Roman" w:hAnsi="Times New Roman" w:cs="Times New Roman"/>
          <w:sz w:val="24"/>
          <w:szCs w:val="24"/>
        </w:rPr>
        <w:t xml:space="preserve">Requests For Qualifications were distributed </w:t>
      </w:r>
      <w:r w:rsidR="000755EC">
        <w:rPr>
          <w:rFonts w:ascii="Times New Roman" w:hAnsi="Times New Roman" w:cs="Times New Roman"/>
          <w:sz w:val="24"/>
          <w:szCs w:val="24"/>
        </w:rPr>
        <w:t xml:space="preserve">earlier </w:t>
      </w:r>
      <w:r w:rsidR="007C0372" w:rsidRPr="00FD4EF8">
        <w:rPr>
          <w:rFonts w:ascii="Times New Roman" w:hAnsi="Times New Roman" w:cs="Times New Roman"/>
          <w:sz w:val="24"/>
          <w:szCs w:val="24"/>
        </w:rPr>
        <w:t xml:space="preserve">to qualified </w:t>
      </w:r>
      <w:r w:rsidR="000755EC">
        <w:rPr>
          <w:rFonts w:ascii="Times New Roman" w:hAnsi="Times New Roman" w:cs="Times New Roman"/>
          <w:sz w:val="24"/>
          <w:szCs w:val="24"/>
        </w:rPr>
        <w:t>e</w:t>
      </w:r>
      <w:r w:rsidR="007C0372" w:rsidRPr="00FD4EF8">
        <w:rPr>
          <w:rFonts w:ascii="Times New Roman" w:hAnsi="Times New Roman" w:cs="Times New Roman"/>
          <w:sz w:val="24"/>
          <w:szCs w:val="24"/>
        </w:rPr>
        <w:t xml:space="preserve">quipment and </w:t>
      </w:r>
      <w:r w:rsidR="000755EC">
        <w:rPr>
          <w:rFonts w:ascii="Times New Roman" w:hAnsi="Times New Roman" w:cs="Times New Roman"/>
          <w:sz w:val="24"/>
          <w:szCs w:val="24"/>
        </w:rPr>
        <w:t>f</w:t>
      </w:r>
      <w:r w:rsidR="007C0372" w:rsidRPr="00FD4EF8">
        <w:rPr>
          <w:rFonts w:ascii="Times New Roman" w:hAnsi="Times New Roman" w:cs="Times New Roman"/>
          <w:sz w:val="24"/>
          <w:szCs w:val="24"/>
        </w:rPr>
        <w:t xml:space="preserve">ulfilment parties </w:t>
      </w:r>
      <w:r w:rsidR="00824BFA" w:rsidRPr="00FD4EF8">
        <w:rPr>
          <w:rFonts w:ascii="Times New Roman" w:hAnsi="Times New Roman" w:cs="Times New Roman"/>
          <w:sz w:val="24"/>
          <w:szCs w:val="24"/>
        </w:rPr>
        <w:t>and PSE has started the process of assessing the proposals of prospective service partners</w:t>
      </w:r>
      <w:r w:rsidR="007C0372" w:rsidRPr="00FD4EF8">
        <w:rPr>
          <w:rFonts w:ascii="Times New Roman" w:hAnsi="Times New Roman" w:cs="Times New Roman"/>
          <w:sz w:val="24"/>
          <w:szCs w:val="24"/>
        </w:rPr>
        <w:t>, including</w:t>
      </w:r>
      <w:r w:rsidR="00824BFA" w:rsidRPr="00FD4EF8">
        <w:rPr>
          <w:rFonts w:ascii="Times New Roman" w:hAnsi="Times New Roman" w:cs="Times New Roman"/>
          <w:sz w:val="24"/>
          <w:szCs w:val="24"/>
        </w:rPr>
        <w:t xml:space="preserve"> </w:t>
      </w:r>
      <w:r w:rsidR="007C0372" w:rsidRPr="00FD4EF8">
        <w:rPr>
          <w:rFonts w:ascii="Times New Roman" w:hAnsi="Times New Roman" w:cs="Times New Roman"/>
          <w:sz w:val="24"/>
          <w:szCs w:val="24"/>
        </w:rPr>
        <w:t xml:space="preserve">conducting </w:t>
      </w:r>
      <w:r w:rsidR="00824BFA" w:rsidRPr="00FD4EF8">
        <w:rPr>
          <w:rFonts w:ascii="Times New Roman" w:hAnsi="Times New Roman" w:cs="Times New Roman"/>
          <w:sz w:val="24"/>
          <w:szCs w:val="24"/>
        </w:rPr>
        <w:t xml:space="preserve">prospective partner interviews. To date </w:t>
      </w:r>
      <w:r w:rsidR="000755EC">
        <w:rPr>
          <w:rFonts w:ascii="Times New Roman" w:hAnsi="Times New Roman" w:cs="Times New Roman"/>
          <w:sz w:val="24"/>
          <w:szCs w:val="24"/>
        </w:rPr>
        <w:t>eleven</w:t>
      </w:r>
      <w:r w:rsidR="00824BFA" w:rsidRPr="00FD4EF8">
        <w:rPr>
          <w:rFonts w:ascii="Times New Roman" w:hAnsi="Times New Roman" w:cs="Times New Roman"/>
          <w:sz w:val="24"/>
          <w:szCs w:val="24"/>
        </w:rPr>
        <w:t xml:space="preserve"> prospective service partners have participated in the process. </w:t>
      </w:r>
      <w:r w:rsidR="000E5512" w:rsidRPr="00FD4EF8">
        <w:rPr>
          <w:rFonts w:ascii="Times New Roman" w:hAnsi="Times New Roman" w:cs="Times New Roman"/>
          <w:sz w:val="24"/>
          <w:szCs w:val="24"/>
        </w:rPr>
        <w:t xml:space="preserve"> </w:t>
      </w:r>
      <w:r w:rsidR="00824BFA" w:rsidRPr="00FD4EF8">
        <w:rPr>
          <w:rFonts w:ascii="Times New Roman" w:hAnsi="Times New Roman" w:cs="Times New Roman"/>
          <w:sz w:val="24"/>
          <w:szCs w:val="24"/>
        </w:rPr>
        <w:t>Selection criteria include a combination of product capabilities, territory coverage, past performance, and price.</w:t>
      </w:r>
    </w:p>
    <w:p w14:paraId="1035EC52" w14:textId="77777777" w:rsidR="001A4EE3" w:rsidRPr="00FD4EF8" w:rsidRDefault="001A4EE3" w:rsidP="001A4EE3">
      <w:pPr>
        <w:pStyle w:val="ListParagraph"/>
        <w:ind w:left="1440"/>
        <w:rPr>
          <w:rFonts w:ascii="Times New Roman" w:hAnsi="Times New Roman" w:cs="Times New Roman"/>
          <w:sz w:val="24"/>
          <w:szCs w:val="24"/>
        </w:rPr>
      </w:pPr>
    </w:p>
    <w:p w14:paraId="1035EC53" w14:textId="77777777" w:rsidR="00824BFA" w:rsidRPr="00FD4EF8" w:rsidRDefault="00824BFA" w:rsidP="00824BFA">
      <w:pPr>
        <w:pStyle w:val="ListParagraph"/>
        <w:numPr>
          <w:ilvl w:val="1"/>
          <w:numId w:val="17"/>
        </w:numPr>
        <w:rPr>
          <w:rFonts w:ascii="Times New Roman" w:hAnsi="Times New Roman" w:cs="Times New Roman"/>
          <w:sz w:val="24"/>
          <w:szCs w:val="24"/>
        </w:rPr>
      </w:pPr>
      <w:r w:rsidRPr="00FD4EF8">
        <w:rPr>
          <w:rFonts w:ascii="Times New Roman" w:hAnsi="Times New Roman" w:cs="Times New Roman"/>
          <w:b/>
          <w:bCs/>
          <w:snapToGrid w:val="0"/>
          <w:sz w:val="24"/>
          <w:szCs w:val="24"/>
        </w:rPr>
        <w:t>Service Partner Delivery Model</w:t>
      </w:r>
      <w:r w:rsidR="009446DA" w:rsidRPr="00FD4EF8">
        <w:rPr>
          <w:rFonts w:ascii="Times New Roman" w:hAnsi="Times New Roman" w:cs="Times New Roman"/>
          <w:b/>
          <w:bCs/>
          <w:snapToGrid w:val="0"/>
          <w:sz w:val="24"/>
          <w:szCs w:val="24"/>
        </w:rPr>
        <w:t xml:space="preserve"> - </w:t>
      </w:r>
      <w:r w:rsidRPr="00FD4EF8">
        <w:rPr>
          <w:rFonts w:ascii="Times New Roman" w:hAnsi="Times New Roman" w:cs="Times New Roman"/>
          <w:sz w:val="24"/>
          <w:szCs w:val="24"/>
        </w:rPr>
        <w:t xml:space="preserve">As depicted below, PSE will retain primary customer management, acquisition, and financing responsibilities, while our service partners will be leveraged to source all materials and install and maintain leased equipment. </w:t>
      </w:r>
    </w:p>
    <w:p w14:paraId="1035EC54" w14:textId="77777777" w:rsidR="00824BFA" w:rsidRDefault="0064538F" w:rsidP="007C0372">
      <w:pPr>
        <w:pStyle w:val="BodyText"/>
        <w:ind w:firstLine="720"/>
        <w:jc w:val="center"/>
        <w:rPr>
          <w:color w:val="000000"/>
          <w:szCs w:val="24"/>
        </w:rPr>
      </w:pPr>
      <w:r w:rsidRPr="00FD4EF8">
        <w:rPr>
          <w:noProof/>
          <w:szCs w:val="24"/>
        </w:rPr>
        <w:drawing>
          <wp:inline distT="0" distB="0" distL="0" distR="0" wp14:anchorId="1035EC86" wp14:editId="1035EC87">
            <wp:extent cx="4442460" cy="2293620"/>
            <wp:effectExtent l="0" t="0" r="0" b="0"/>
            <wp:docPr id="4" name="Picture 1" descr="cid:image003.png@01D1156C.45196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156C.45196B0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442460" cy="2293620"/>
                    </a:xfrm>
                    <a:prstGeom prst="rect">
                      <a:avLst/>
                    </a:prstGeom>
                    <a:noFill/>
                    <a:ln>
                      <a:noFill/>
                    </a:ln>
                  </pic:spPr>
                </pic:pic>
              </a:graphicData>
            </a:graphic>
          </wp:inline>
        </w:drawing>
      </w:r>
    </w:p>
    <w:p w14:paraId="1035EC55" w14:textId="77777777" w:rsidR="001A4EE3" w:rsidRPr="00FD4EF8" w:rsidRDefault="001A4EE3" w:rsidP="007C0372">
      <w:pPr>
        <w:pStyle w:val="BodyText"/>
        <w:ind w:firstLine="720"/>
        <w:jc w:val="center"/>
        <w:rPr>
          <w:color w:val="000000"/>
          <w:szCs w:val="24"/>
        </w:rPr>
      </w:pPr>
    </w:p>
    <w:p w14:paraId="1035EC56" w14:textId="77777777" w:rsidR="00FA2274" w:rsidRDefault="00FA2274" w:rsidP="00B35E5D">
      <w:pPr>
        <w:pStyle w:val="ListParagraph"/>
        <w:numPr>
          <w:ilvl w:val="0"/>
          <w:numId w:val="17"/>
        </w:numPr>
        <w:rPr>
          <w:rFonts w:ascii="Times New Roman" w:hAnsi="Times New Roman" w:cs="Times New Roman"/>
          <w:b/>
          <w:snapToGrid w:val="0"/>
          <w:sz w:val="24"/>
          <w:szCs w:val="24"/>
        </w:rPr>
      </w:pPr>
      <w:r w:rsidRPr="00FD4EF8">
        <w:rPr>
          <w:rFonts w:ascii="Times New Roman" w:hAnsi="Times New Roman" w:cs="Times New Roman"/>
          <w:b/>
          <w:snapToGrid w:val="0"/>
          <w:sz w:val="24"/>
          <w:szCs w:val="24"/>
        </w:rPr>
        <w:t>Filing is Consistent with Previous Commission Decisions and Existing Leasing Services at PSE</w:t>
      </w:r>
    </w:p>
    <w:p w14:paraId="1035EC57" w14:textId="77777777" w:rsidR="001A4EE3" w:rsidRPr="00FD4EF8" w:rsidRDefault="001A4EE3" w:rsidP="001A4EE3">
      <w:pPr>
        <w:pStyle w:val="ListParagraph"/>
        <w:ind w:left="1080"/>
        <w:rPr>
          <w:rFonts w:ascii="Times New Roman" w:hAnsi="Times New Roman" w:cs="Times New Roman"/>
          <w:b/>
          <w:snapToGrid w:val="0"/>
          <w:sz w:val="24"/>
          <w:szCs w:val="24"/>
        </w:rPr>
      </w:pPr>
    </w:p>
    <w:p w14:paraId="1035EC58" w14:textId="77777777" w:rsidR="00867D09" w:rsidRDefault="00FD4EF8" w:rsidP="00FD4EF8">
      <w:pPr>
        <w:pStyle w:val="ListParagraph"/>
        <w:numPr>
          <w:ilvl w:val="1"/>
          <w:numId w:val="17"/>
        </w:numPr>
        <w:rPr>
          <w:rFonts w:ascii="Times New Roman" w:hAnsi="Times New Roman" w:cs="Times New Roman"/>
          <w:sz w:val="24"/>
          <w:szCs w:val="24"/>
        </w:rPr>
      </w:pPr>
      <w:r w:rsidRPr="00FD4EF8">
        <w:rPr>
          <w:rFonts w:ascii="Times New Roman" w:hAnsi="Times New Roman" w:cs="Times New Roman"/>
          <w:b/>
          <w:snapToGrid w:val="0"/>
          <w:sz w:val="24"/>
          <w:szCs w:val="24"/>
        </w:rPr>
        <w:t xml:space="preserve">Expansion of Current Equipment Lease Service Remains Consistent with Previous Commission Decision - </w:t>
      </w:r>
      <w:r w:rsidR="00FA2274" w:rsidRPr="00FD4EF8">
        <w:rPr>
          <w:rFonts w:ascii="Times New Roman" w:hAnsi="Times New Roman" w:cs="Times New Roman"/>
          <w:sz w:val="24"/>
          <w:szCs w:val="24"/>
        </w:rPr>
        <w:t xml:space="preserve">This expanded </w:t>
      </w:r>
      <w:r w:rsidR="00FA2274" w:rsidRPr="00FD4EF8">
        <w:rPr>
          <w:rFonts w:ascii="Times New Roman" w:hAnsi="Times New Roman" w:cs="Times New Roman"/>
          <w:snapToGrid w:val="0"/>
          <w:sz w:val="24"/>
          <w:szCs w:val="24"/>
        </w:rPr>
        <w:t>o</w:t>
      </w:r>
      <w:r w:rsidR="00FA2274" w:rsidRPr="00FD4EF8">
        <w:rPr>
          <w:rFonts w:ascii="Times New Roman" w:hAnsi="Times New Roman" w:cs="Times New Roman"/>
          <w:sz w:val="24"/>
          <w:szCs w:val="24"/>
        </w:rPr>
        <w:t xml:space="preserve">ptional energy equipment lease service that will strategically focus on replacing inefficient equipment that has passed its useful life, is consistent with the Commission’s past Order on the matter. </w:t>
      </w:r>
    </w:p>
    <w:p w14:paraId="1035EC59" w14:textId="77777777" w:rsidR="00867D09" w:rsidRDefault="00867D09" w:rsidP="00867D09">
      <w:pPr>
        <w:pStyle w:val="ListParagraph"/>
        <w:ind w:left="1440"/>
        <w:rPr>
          <w:rFonts w:ascii="Times New Roman" w:hAnsi="Times New Roman" w:cs="Times New Roman"/>
          <w:b/>
          <w:snapToGrid w:val="0"/>
          <w:sz w:val="24"/>
          <w:szCs w:val="24"/>
        </w:rPr>
      </w:pPr>
    </w:p>
    <w:p w14:paraId="1035EC5A" w14:textId="77777777" w:rsidR="00FA2274" w:rsidRDefault="00FA2274" w:rsidP="00867D09">
      <w:pPr>
        <w:pStyle w:val="ListParagraph"/>
        <w:ind w:left="1800"/>
        <w:rPr>
          <w:rFonts w:ascii="Times New Roman" w:hAnsi="Times New Roman" w:cs="Times New Roman"/>
          <w:sz w:val="24"/>
          <w:szCs w:val="24"/>
        </w:rPr>
      </w:pPr>
      <w:r w:rsidRPr="00FD4EF8">
        <w:rPr>
          <w:rFonts w:ascii="Times New Roman" w:hAnsi="Times New Roman" w:cs="Times New Roman"/>
          <w:sz w:val="24"/>
          <w:szCs w:val="24"/>
        </w:rPr>
        <w:t xml:space="preserve">In the </w:t>
      </w:r>
      <w:hyperlink r:id="rId22" w:history="1">
        <w:r w:rsidRPr="002874F0">
          <w:rPr>
            <w:rStyle w:val="Hyperlink"/>
            <w:rFonts w:ascii="Times New Roman" w:hAnsi="Times New Roman" w:cs="Times New Roman"/>
            <w:color w:val="auto"/>
            <w:sz w:val="24"/>
            <w:szCs w:val="24"/>
            <w:u w:val="none"/>
          </w:rPr>
          <w:t>Fourth Supplemental Order</w:t>
        </w:r>
      </w:hyperlink>
      <w:r w:rsidRPr="002874F0">
        <w:rPr>
          <w:rFonts w:ascii="Times New Roman" w:hAnsi="Times New Roman" w:cs="Times New Roman"/>
          <w:sz w:val="24"/>
          <w:szCs w:val="24"/>
        </w:rPr>
        <w:t xml:space="preserve"> </w:t>
      </w:r>
      <w:r w:rsidR="000755EC">
        <w:rPr>
          <w:rFonts w:ascii="Times New Roman" w:hAnsi="Times New Roman" w:cs="Times New Roman"/>
          <w:sz w:val="24"/>
          <w:szCs w:val="24"/>
        </w:rPr>
        <w:t>of</w:t>
      </w:r>
      <w:r w:rsidRPr="00FD4EF8">
        <w:rPr>
          <w:rFonts w:ascii="Times New Roman" w:hAnsi="Times New Roman" w:cs="Times New Roman"/>
          <w:sz w:val="24"/>
          <w:szCs w:val="24"/>
        </w:rPr>
        <w:t xml:space="preserve"> Docket No. UG-920840</w:t>
      </w:r>
      <w:r w:rsidR="009446DA" w:rsidRPr="00FD4EF8">
        <w:rPr>
          <w:rFonts w:ascii="Times New Roman" w:hAnsi="Times New Roman" w:cs="Times New Roman"/>
          <w:sz w:val="24"/>
          <w:szCs w:val="24"/>
        </w:rPr>
        <w:t xml:space="preserve">, the Commission concluded that, </w:t>
      </w:r>
      <w:r w:rsidRPr="00FD4EF8">
        <w:rPr>
          <w:rFonts w:ascii="Times New Roman" w:hAnsi="Times New Roman" w:cs="Times New Roman"/>
          <w:sz w:val="24"/>
          <w:szCs w:val="24"/>
        </w:rPr>
        <w:t>“</w:t>
      </w:r>
      <w:r w:rsidR="009446DA" w:rsidRPr="00FD4EF8">
        <w:rPr>
          <w:rFonts w:ascii="Times New Roman" w:hAnsi="Times New Roman" w:cs="Times New Roman"/>
          <w:sz w:val="24"/>
          <w:szCs w:val="24"/>
        </w:rPr>
        <w:t>…</w:t>
      </w:r>
      <w:r w:rsidRPr="00FD4EF8">
        <w:rPr>
          <w:rFonts w:ascii="Times New Roman" w:hAnsi="Times New Roman" w:cs="Times New Roman"/>
          <w:sz w:val="24"/>
          <w:szCs w:val="24"/>
        </w:rPr>
        <w:t>these [leasing] programs can provide customer benefit if they maximi</w:t>
      </w:r>
      <w:r w:rsidR="009446DA" w:rsidRPr="00FD4EF8">
        <w:rPr>
          <w:rFonts w:ascii="Times New Roman" w:hAnsi="Times New Roman" w:cs="Times New Roman"/>
          <w:sz w:val="24"/>
          <w:szCs w:val="24"/>
        </w:rPr>
        <w:t>ze efficient use of resources.”</w:t>
      </w:r>
    </w:p>
    <w:p w14:paraId="1035EC5B" w14:textId="77777777" w:rsidR="001A4EE3" w:rsidRPr="00FD4EF8" w:rsidRDefault="001A4EE3" w:rsidP="001A4EE3">
      <w:pPr>
        <w:pStyle w:val="ListParagraph"/>
        <w:ind w:left="1440"/>
        <w:rPr>
          <w:rFonts w:ascii="Times New Roman" w:hAnsi="Times New Roman" w:cs="Times New Roman"/>
          <w:sz w:val="24"/>
          <w:szCs w:val="24"/>
        </w:rPr>
      </w:pPr>
    </w:p>
    <w:p w14:paraId="1035EC5C" w14:textId="77777777" w:rsidR="001A4EE3" w:rsidRDefault="00FD4EF8" w:rsidP="001A4EE3">
      <w:pPr>
        <w:pStyle w:val="ListParagraph"/>
        <w:numPr>
          <w:ilvl w:val="1"/>
          <w:numId w:val="17"/>
        </w:numPr>
        <w:rPr>
          <w:rFonts w:ascii="Times New Roman" w:hAnsi="Times New Roman" w:cs="Times New Roman"/>
          <w:sz w:val="24"/>
          <w:szCs w:val="24"/>
        </w:rPr>
      </w:pPr>
      <w:r w:rsidRPr="00FD4EF8">
        <w:rPr>
          <w:rFonts w:ascii="Times New Roman" w:hAnsi="Times New Roman" w:cs="Times New Roman"/>
          <w:b/>
          <w:snapToGrid w:val="0"/>
          <w:sz w:val="24"/>
          <w:szCs w:val="24"/>
        </w:rPr>
        <w:t>Proposed Equipment Lease Service is not so-called “Merchandising</w:t>
      </w:r>
      <w:r w:rsidRPr="00FD4EF8">
        <w:rPr>
          <w:rFonts w:ascii="Times New Roman" w:hAnsi="Times New Roman" w:cs="Times New Roman"/>
          <w:snapToGrid w:val="0"/>
          <w:sz w:val="24"/>
          <w:szCs w:val="24"/>
        </w:rPr>
        <w:t xml:space="preserve">”- </w:t>
      </w:r>
      <w:r w:rsidR="00FA2274" w:rsidRPr="00FD4EF8">
        <w:rPr>
          <w:rFonts w:ascii="Times New Roman" w:hAnsi="Times New Roman" w:cs="Times New Roman"/>
          <w:sz w:val="24"/>
          <w:szCs w:val="24"/>
        </w:rPr>
        <w:t xml:space="preserve">This expanded </w:t>
      </w:r>
      <w:r w:rsidR="00FA2274" w:rsidRPr="00FD4EF8">
        <w:rPr>
          <w:rFonts w:ascii="Times New Roman" w:hAnsi="Times New Roman" w:cs="Times New Roman"/>
          <w:snapToGrid w:val="0"/>
          <w:sz w:val="24"/>
          <w:szCs w:val="24"/>
        </w:rPr>
        <w:t>o</w:t>
      </w:r>
      <w:r w:rsidR="00FA2274" w:rsidRPr="00FD4EF8">
        <w:rPr>
          <w:rFonts w:ascii="Times New Roman" w:hAnsi="Times New Roman" w:cs="Times New Roman"/>
          <w:sz w:val="24"/>
          <w:szCs w:val="24"/>
        </w:rPr>
        <w:t>ptional energy equipment lease service provides customers comprehensive turn-key solutions that differ from a typical sale (</w:t>
      </w:r>
      <w:r w:rsidR="00FA2274" w:rsidRPr="00FD4EF8">
        <w:rPr>
          <w:rFonts w:ascii="Times New Roman" w:hAnsi="Times New Roman" w:cs="Times New Roman"/>
          <w:snapToGrid w:val="0"/>
          <w:sz w:val="24"/>
          <w:szCs w:val="24"/>
        </w:rPr>
        <w:t xml:space="preserve">so-called </w:t>
      </w:r>
      <w:r w:rsidR="000755EC">
        <w:rPr>
          <w:rFonts w:ascii="Times New Roman" w:hAnsi="Times New Roman" w:cs="Times New Roman"/>
          <w:snapToGrid w:val="0"/>
          <w:sz w:val="24"/>
          <w:szCs w:val="24"/>
        </w:rPr>
        <w:t>“</w:t>
      </w:r>
      <w:r w:rsidR="00FA2274" w:rsidRPr="00FD4EF8">
        <w:rPr>
          <w:rFonts w:ascii="Times New Roman" w:hAnsi="Times New Roman" w:cs="Times New Roman"/>
          <w:snapToGrid w:val="0"/>
          <w:sz w:val="24"/>
          <w:szCs w:val="24"/>
        </w:rPr>
        <w:t>merchandising</w:t>
      </w:r>
      <w:r w:rsidR="000755EC">
        <w:rPr>
          <w:rFonts w:ascii="Times New Roman" w:hAnsi="Times New Roman" w:cs="Times New Roman"/>
          <w:snapToGrid w:val="0"/>
          <w:sz w:val="24"/>
          <w:szCs w:val="24"/>
        </w:rPr>
        <w:t>”</w:t>
      </w:r>
      <w:r w:rsidR="00FA2274" w:rsidRPr="00FD4EF8">
        <w:rPr>
          <w:rFonts w:ascii="Times New Roman" w:hAnsi="Times New Roman" w:cs="Times New Roman"/>
          <w:snapToGrid w:val="0"/>
          <w:sz w:val="24"/>
          <w:szCs w:val="24"/>
        </w:rPr>
        <w:t>),</w:t>
      </w:r>
      <w:r w:rsidR="00FA2274" w:rsidRPr="00FD4EF8">
        <w:rPr>
          <w:rFonts w:ascii="Times New Roman" w:hAnsi="Times New Roman" w:cs="Times New Roman"/>
          <w:sz w:val="24"/>
          <w:szCs w:val="24"/>
        </w:rPr>
        <w:t xml:space="preserve"> as there is inclusion of repair and maintenance , based on defined terms, that provide customers with assurances that they will have access to heat and/or hot water.  Additionally greater performance and persistence of energy savings over the term of the lease of the equipment</w:t>
      </w:r>
      <w:r w:rsidR="000755EC">
        <w:rPr>
          <w:rFonts w:ascii="Times New Roman" w:hAnsi="Times New Roman" w:cs="Times New Roman"/>
          <w:sz w:val="24"/>
          <w:szCs w:val="24"/>
        </w:rPr>
        <w:t xml:space="preserve"> is </w:t>
      </w:r>
      <w:r w:rsidR="000755EC" w:rsidRPr="001A4EE3">
        <w:rPr>
          <w:rFonts w:ascii="Times New Roman" w:hAnsi="Times New Roman" w:cs="Times New Roman"/>
          <w:sz w:val="24"/>
          <w:szCs w:val="24"/>
        </w:rPr>
        <w:t>ensured</w:t>
      </w:r>
      <w:r w:rsidR="00FA2274" w:rsidRPr="001A4EE3">
        <w:rPr>
          <w:rFonts w:ascii="Times New Roman" w:hAnsi="Times New Roman" w:cs="Times New Roman"/>
          <w:sz w:val="24"/>
          <w:szCs w:val="24"/>
        </w:rPr>
        <w:t>.</w:t>
      </w:r>
    </w:p>
    <w:p w14:paraId="1035EC5D" w14:textId="77777777" w:rsidR="001A4EE3" w:rsidRPr="001A4EE3" w:rsidRDefault="001A4EE3" w:rsidP="001A4EE3">
      <w:pPr>
        <w:pStyle w:val="ListParagraph"/>
        <w:rPr>
          <w:rFonts w:ascii="Times New Roman" w:hAnsi="Times New Roman" w:cs="Times New Roman"/>
          <w:sz w:val="24"/>
          <w:szCs w:val="24"/>
        </w:rPr>
      </w:pPr>
    </w:p>
    <w:p w14:paraId="1035EC5E" w14:textId="77777777" w:rsidR="00FA2274" w:rsidRDefault="00FA2274" w:rsidP="001A4EE3">
      <w:pPr>
        <w:pStyle w:val="ListParagraph"/>
        <w:ind w:left="1440"/>
        <w:rPr>
          <w:rFonts w:ascii="Times New Roman" w:hAnsi="Times New Roman" w:cs="Times New Roman"/>
          <w:sz w:val="24"/>
          <w:szCs w:val="24"/>
        </w:rPr>
      </w:pPr>
      <w:r w:rsidRPr="001A4EE3">
        <w:rPr>
          <w:rFonts w:ascii="Times New Roman" w:hAnsi="Times New Roman" w:cs="Times New Roman"/>
          <w:sz w:val="24"/>
          <w:szCs w:val="24"/>
        </w:rPr>
        <w:t xml:space="preserve">It is also noteworthy to look at the Commission’s Fourth Supplemental Order No. in UG-920840, in regard to the so-called “merchandising and jobbing” issue.  Not only did the Commission uphold and approve the leasing program at that time, but </w:t>
      </w:r>
      <w:r w:rsidR="009446DA" w:rsidRPr="001A4EE3">
        <w:rPr>
          <w:rFonts w:ascii="Times New Roman" w:hAnsi="Times New Roman" w:cs="Times New Roman"/>
          <w:sz w:val="24"/>
          <w:szCs w:val="24"/>
        </w:rPr>
        <w:t xml:space="preserve">it </w:t>
      </w:r>
      <w:r w:rsidRPr="001A4EE3">
        <w:rPr>
          <w:rFonts w:ascii="Times New Roman" w:hAnsi="Times New Roman" w:cs="Times New Roman"/>
          <w:sz w:val="24"/>
          <w:szCs w:val="24"/>
        </w:rPr>
        <w:t>specifically told PSE to offer the customers the o</w:t>
      </w:r>
      <w:r w:rsidR="009446DA" w:rsidRPr="001A4EE3">
        <w:rPr>
          <w:rFonts w:ascii="Times New Roman" w:hAnsi="Times New Roman" w:cs="Times New Roman"/>
          <w:sz w:val="24"/>
          <w:szCs w:val="24"/>
        </w:rPr>
        <w:t>ption to purchase the equipment.</w:t>
      </w:r>
    </w:p>
    <w:p w14:paraId="1035EC5F" w14:textId="77777777" w:rsidR="001A4EE3" w:rsidRPr="001A4EE3" w:rsidRDefault="001A4EE3" w:rsidP="001A4EE3">
      <w:pPr>
        <w:pStyle w:val="ListParagraph"/>
        <w:ind w:left="1440"/>
        <w:rPr>
          <w:rFonts w:ascii="Times New Roman" w:hAnsi="Times New Roman" w:cs="Times New Roman"/>
          <w:sz w:val="24"/>
          <w:szCs w:val="24"/>
        </w:rPr>
      </w:pPr>
    </w:p>
    <w:p w14:paraId="1035EC60" w14:textId="77777777" w:rsidR="00FA2274" w:rsidRDefault="00FA2274" w:rsidP="00867D09">
      <w:pPr>
        <w:pStyle w:val="ListParagraph"/>
        <w:ind w:left="1800"/>
        <w:rPr>
          <w:rFonts w:ascii="Times New Roman" w:hAnsi="Times New Roman" w:cs="Times New Roman"/>
          <w:sz w:val="24"/>
          <w:szCs w:val="24"/>
        </w:rPr>
      </w:pPr>
      <w:r w:rsidRPr="001A4EE3">
        <w:rPr>
          <w:rFonts w:ascii="Times New Roman" w:hAnsi="Times New Roman" w:cs="Times New Roman"/>
          <w:sz w:val="24"/>
          <w:szCs w:val="24"/>
        </w:rPr>
        <w:t>“The Commission will therefore adopt the company’s proposal to continue the existing program … In addition, the Company should offer the leased water heaters for customer purchase…”</w:t>
      </w:r>
    </w:p>
    <w:p w14:paraId="1035EC61" w14:textId="77777777" w:rsidR="00867D09" w:rsidRPr="001A4EE3" w:rsidRDefault="00867D09" w:rsidP="00867D09">
      <w:pPr>
        <w:pStyle w:val="ListParagraph"/>
        <w:ind w:left="1800"/>
        <w:rPr>
          <w:rFonts w:ascii="Times New Roman" w:hAnsi="Times New Roman" w:cs="Times New Roman"/>
          <w:sz w:val="24"/>
          <w:szCs w:val="24"/>
        </w:rPr>
      </w:pPr>
    </w:p>
    <w:p w14:paraId="1035EC62" w14:textId="77777777" w:rsidR="00FA2274" w:rsidRDefault="000755EC" w:rsidP="001A4EE3">
      <w:pPr>
        <w:pStyle w:val="ListParagraph"/>
        <w:ind w:left="1440"/>
        <w:rPr>
          <w:rFonts w:ascii="Times New Roman" w:hAnsi="Times New Roman" w:cs="Times New Roman"/>
          <w:sz w:val="24"/>
          <w:szCs w:val="24"/>
        </w:rPr>
      </w:pPr>
      <w:r w:rsidRPr="001A4EE3">
        <w:rPr>
          <w:rFonts w:ascii="Times New Roman" w:hAnsi="Times New Roman" w:cs="Times New Roman"/>
          <w:sz w:val="24"/>
          <w:szCs w:val="24"/>
        </w:rPr>
        <w:t xml:space="preserve">Also, </w:t>
      </w:r>
      <w:r w:rsidR="00FA2274" w:rsidRPr="001A4EE3">
        <w:rPr>
          <w:rFonts w:ascii="Times New Roman" w:hAnsi="Times New Roman" w:cs="Times New Roman"/>
          <w:sz w:val="24"/>
          <w:szCs w:val="24"/>
        </w:rPr>
        <w:t>PSE’s Commission-approved Rule No. 2 (Sheet No. 12-A), Gas Service is defined to not only include “Rental of natural gas equipment”, but also includes “Safety and inspection services”, of which “repair” can certainly be thought of as an essential part of.</w:t>
      </w:r>
    </w:p>
    <w:p w14:paraId="1035EC63" w14:textId="77777777" w:rsidR="001A4EE3" w:rsidRPr="001A4EE3" w:rsidRDefault="001A4EE3" w:rsidP="001A4EE3">
      <w:pPr>
        <w:pStyle w:val="ListParagraph"/>
        <w:ind w:left="1440"/>
        <w:rPr>
          <w:rFonts w:ascii="Times New Roman" w:hAnsi="Times New Roman" w:cs="Times New Roman"/>
          <w:sz w:val="24"/>
          <w:szCs w:val="24"/>
        </w:rPr>
      </w:pPr>
    </w:p>
    <w:p w14:paraId="1035EC64" w14:textId="77777777" w:rsidR="00FA2274" w:rsidRDefault="00FA2274" w:rsidP="001A4EE3">
      <w:pPr>
        <w:pStyle w:val="ListParagraph"/>
        <w:ind w:left="1440"/>
        <w:rPr>
          <w:rFonts w:ascii="Times New Roman" w:hAnsi="Times New Roman" w:cs="Times New Roman"/>
          <w:sz w:val="24"/>
          <w:szCs w:val="24"/>
        </w:rPr>
      </w:pPr>
      <w:r w:rsidRPr="001A4EE3">
        <w:rPr>
          <w:rFonts w:ascii="Times New Roman" w:hAnsi="Times New Roman" w:cs="Times New Roman"/>
          <w:sz w:val="24"/>
          <w:szCs w:val="24"/>
        </w:rPr>
        <w:t xml:space="preserve">The current proposed service to enhance and expand this comprehensive turn-key solution as an option to eligible PSE natural gas and electric residential and commercial customers is consistent with the Commission’s Fourth Supplemental Order No. in UG-920840, which allows customers the option to purchase the equipment (UG-151872, </w:t>
      </w:r>
      <w:r w:rsidR="000755EC" w:rsidRPr="001A4EE3">
        <w:rPr>
          <w:rFonts w:ascii="Times New Roman" w:hAnsi="Times New Roman" w:cs="Times New Roman"/>
          <w:sz w:val="24"/>
          <w:szCs w:val="24"/>
        </w:rPr>
        <w:t>S</w:t>
      </w:r>
      <w:r w:rsidRPr="001A4EE3">
        <w:rPr>
          <w:rFonts w:ascii="Times New Roman" w:hAnsi="Times New Roman" w:cs="Times New Roman"/>
          <w:sz w:val="24"/>
          <w:szCs w:val="24"/>
        </w:rPr>
        <w:t xml:space="preserve">heet No. 75-R, </w:t>
      </w:r>
      <w:r w:rsidR="000755EC" w:rsidRPr="001A4EE3">
        <w:rPr>
          <w:rFonts w:ascii="Times New Roman" w:hAnsi="Times New Roman" w:cs="Times New Roman"/>
          <w:sz w:val="24"/>
          <w:szCs w:val="24"/>
        </w:rPr>
        <w:t>S</w:t>
      </w:r>
      <w:r w:rsidRPr="001A4EE3">
        <w:rPr>
          <w:rFonts w:ascii="Times New Roman" w:hAnsi="Times New Roman" w:cs="Times New Roman"/>
          <w:sz w:val="24"/>
          <w:szCs w:val="24"/>
        </w:rPr>
        <w:t>ection 9).</w:t>
      </w:r>
    </w:p>
    <w:p w14:paraId="1035EC65" w14:textId="77777777" w:rsidR="001A4EE3" w:rsidRPr="001A4EE3" w:rsidRDefault="001A4EE3" w:rsidP="001A4EE3">
      <w:pPr>
        <w:pStyle w:val="ListParagraph"/>
        <w:ind w:left="1440"/>
        <w:rPr>
          <w:rFonts w:ascii="Times New Roman" w:hAnsi="Times New Roman" w:cs="Times New Roman"/>
          <w:sz w:val="24"/>
          <w:szCs w:val="24"/>
        </w:rPr>
      </w:pPr>
    </w:p>
    <w:p w14:paraId="1035EC66" w14:textId="77777777" w:rsidR="009C20C0" w:rsidRPr="00867D09" w:rsidRDefault="003128BC" w:rsidP="00867D09">
      <w:pPr>
        <w:pStyle w:val="ListParagraph"/>
        <w:numPr>
          <w:ilvl w:val="1"/>
          <w:numId w:val="17"/>
        </w:numPr>
        <w:rPr>
          <w:strike/>
          <w:sz w:val="24"/>
          <w:szCs w:val="24"/>
        </w:rPr>
      </w:pPr>
      <w:r w:rsidRPr="00867D09">
        <w:rPr>
          <w:rFonts w:ascii="Times New Roman" w:hAnsi="Times New Roman" w:cs="Times New Roman"/>
          <w:b/>
          <w:bCs/>
          <w:snapToGrid w:val="0"/>
          <w:sz w:val="24"/>
          <w:szCs w:val="24"/>
        </w:rPr>
        <w:t>Comparison to Existing Commission-Approved Leasing Services</w:t>
      </w:r>
      <w:r w:rsidR="00FD4EF8" w:rsidRPr="00867D09">
        <w:rPr>
          <w:rFonts w:ascii="Times New Roman" w:hAnsi="Times New Roman" w:cs="Times New Roman"/>
          <w:b/>
          <w:bCs/>
          <w:snapToGrid w:val="0"/>
          <w:sz w:val="24"/>
          <w:szCs w:val="24"/>
        </w:rPr>
        <w:t xml:space="preserve"> - </w:t>
      </w:r>
      <w:r w:rsidRPr="00867D09">
        <w:rPr>
          <w:rFonts w:ascii="Times New Roman" w:hAnsi="Times New Roman" w:cs="Times New Roman"/>
          <w:sz w:val="24"/>
          <w:szCs w:val="24"/>
        </w:rPr>
        <w:t xml:space="preserve">As </w:t>
      </w:r>
      <w:r w:rsidR="009C20C0" w:rsidRPr="00867D09">
        <w:rPr>
          <w:rFonts w:ascii="Times New Roman" w:hAnsi="Times New Roman" w:cs="Times New Roman"/>
          <w:sz w:val="24"/>
          <w:szCs w:val="24"/>
        </w:rPr>
        <w:t xml:space="preserve">noted in the initial advice letter, </w:t>
      </w:r>
      <w:r w:rsidR="009C20C0" w:rsidRPr="00867D09">
        <w:rPr>
          <w:rFonts w:ascii="Times New Roman" w:hAnsi="Times New Roman" w:cs="Times New Roman"/>
          <w:snapToGrid w:val="0"/>
          <w:sz w:val="24"/>
          <w:szCs w:val="24"/>
        </w:rPr>
        <w:t xml:space="preserve">PSE has offered an optional natural gas equipment leasing service for over half a century.  Firstly, in 1962 the Commission approved the rental of natural gas equipment in the form of the currently effective, natural </w:t>
      </w:r>
      <w:r w:rsidR="00A6577A" w:rsidRPr="00867D09">
        <w:rPr>
          <w:rFonts w:ascii="Times New Roman" w:hAnsi="Times New Roman" w:cs="Times New Roman"/>
          <w:snapToGrid w:val="0"/>
          <w:sz w:val="24"/>
          <w:szCs w:val="24"/>
        </w:rPr>
        <w:t xml:space="preserve">gas </w:t>
      </w:r>
      <w:r w:rsidR="009C20C0" w:rsidRPr="00867D09">
        <w:rPr>
          <w:rFonts w:ascii="Times New Roman" w:hAnsi="Times New Roman" w:cs="Times New Roman"/>
          <w:snapToGrid w:val="0"/>
          <w:sz w:val="24"/>
          <w:szCs w:val="24"/>
        </w:rPr>
        <w:t xml:space="preserve">tariff Schedules 71, 72 and 74 which result in approximately $7.5 million in annual revenue. More recently the Commission approved Natural Gas Schedule 54 which provides for an Optional Gas Compression Service which is essentially the rental or lease of </w:t>
      </w:r>
      <w:r w:rsidR="00154B54" w:rsidRPr="00867D09">
        <w:rPr>
          <w:rFonts w:ascii="Times New Roman" w:hAnsi="Times New Roman" w:cs="Times New Roman"/>
          <w:snapToGrid w:val="0"/>
          <w:sz w:val="24"/>
          <w:szCs w:val="24"/>
        </w:rPr>
        <w:t xml:space="preserve">compression facilities. </w:t>
      </w:r>
      <w:r w:rsidR="000E5512" w:rsidRPr="00867D09">
        <w:rPr>
          <w:rFonts w:ascii="Times New Roman" w:hAnsi="Times New Roman" w:cs="Times New Roman"/>
          <w:snapToGrid w:val="0"/>
          <w:sz w:val="24"/>
          <w:szCs w:val="24"/>
        </w:rPr>
        <w:t xml:space="preserve"> </w:t>
      </w:r>
      <w:r w:rsidR="009C20C0" w:rsidRPr="00867D09">
        <w:rPr>
          <w:rFonts w:ascii="Times New Roman" w:hAnsi="Times New Roman" w:cs="Times New Roman"/>
          <w:snapToGrid w:val="0"/>
          <w:sz w:val="24"/>
          <w:szCs w:val="24"/>
        </w:rPr>
        <w:t>On the electric side</w:t>
      </w:r>
      <w:r w:rsidR="00154B54" w:rsidRPr="00867D09">
        <w:rPr>
          <w:rFonts w:ascii="Times New Roman" w:hAnsi="Times New Roman" w:cs="Times New Roman"/>
          <w:snapToGrid w:val="0"/>
          <w:sz w:val="24"/>
          <w:szCs w:val="24"/>
        </w:rPr>
        <w:t>,</w:t>
      </w:r>
      <w:r w:rsidR="009C20C0" w:rsidRPr="00867D09">
        <w:rPr>
          <w:rFonts w:ascii="Times New Roman" w:hAnsi="Times New Roman" w:cs="Times New Roman"/>
          <w:snapToGrid w:val="0"/>
          <w:sz w:val="24"/>
          <w:szCs w:val="24"/>
        </w:rPr>
        <w:t xml:space="preserve"> PSE has offered optional electric equipment leasing service for approximately 40 years. </w:t>
      </w:r>
      <w:r w:rsidR="000E5512" w:rsidRPr="00867D09">
        <w:rPr>
          <w:rFonts w:ascii="Times New Roman" w:hAnsi="Times New Roman" w:cs="Times New Roman"/>
          <w:snapToGrid w:val="0"/>
          <w:sz w:val="24"/>
          <w:szCs w:val="24"/>
        </w:rPr>
        <w:t xml:space="preserve"> </w:t>
      </w:r>
      <w:r w:rsidR="009C20C0" w:rsidRPr="00867D09">
        <w:rPr>
          <w:rFonts w:ascii="Times New Roman" w:hAnsi="Times New Roman" w:cs="Times New Roman"/>
          <w:snapToGrid w:val="0"/>
          <w:sz w:val="24"/>
          <w:szCs w:val="24"/>
        </w:rPr>
        <w:t xml:space="preserve">Firstly, PSE’s </w:t>
      </w:r>
      <w:r w:rsidR="009C20C0" w:rsidRPr="00867D09">
        <w:rPr>
          <w:rFonts w:ascii="Times New Roman" w:hAnsi="Times New Roman" w:cs="Times New Roman"/>
          <w:sz w:val="24"/>
          <w:szCs w:val="24"/>
        </w:rPr>
        <w:t xml:space="preserve">optional electric Schedule 62 Substation and Related Equipment Capacity makes capacity available for use (“lease”) to PSE customers that take service at high voltage under Schedules 46, 49, 449 and 459.  PSE has leased substations and related equipment since at least 1975 and Schedule 62 has dozens of long-term “lease” customers.  The approximate annual revenue from this service is $4 million associated with approximately $19 million in net leased plant. </w:t>
      </w:r>
      <w:r w:rsidR="000E5512" w:rsidRPr="00867D09">
        <w:rPr>
          <w:rFonts w:ascii="Times New Roman" w:hAnsi="Times New Roman" w:cs="Times New Roman"/>
          <w:sz w:val="24"/>
          <w:szCs w:val="24"/>
        </w:rPr>
        <w:t xml:space="preserve"> </w:t>
      </w:r>
      <w:r w:rsidR="009C20C0" w:rsidRPr="00867D09">
        <w:rPr>
          <w:rFonts w:ascii="Times New Roman" w:hAnsi="Times New Roman" w:cs="Times New Roman"/>
          <w:sz w:val="24"/>
          <w:szCs w:val="24"/>
        </w:rPr>
        <w:t xml:space="preserve">This Commission recently approved price updates to this schedule under Docket No. UE-151128. Secondly, </w:t>
      </w:r>
      <w:r w:rsidR="009C20C0" w:rsidRPr="00867D09">
        <w:rPr>
          <w:rFonts w:ascii="Times New Roman" w:hAnsi="Times New Roman" w:cs="Times New Roman"/>
          <w:snapToGrid w:val="0"/>
          <w:sz w:val="24"/>
          <w:szCs w:val="24"/>
        </w:rPr>
        <w:t xml:space="preserve">PSE’s Commission-approved </w:t>
      </w:r>
      <w:r w:rsidR="00681C92" w:rsidRPr="00867D09">
        <w:rPr>
          <w:rFonts w:ascii="Times New Roman" w:hAnsi="Times New Roman" w:cs="Times New Roman"/>
          <w:sz w:val="24"/>
          <w:szCs w:val="24"/>
        </w:rPr>
        <w:t>PSE</w:t>
      </w:r>
      <w:r w:rsidR="009C20C0" w:rsidRPr="00867D09">
        <w:rPr>
          <w:rFonts w:ascii="Times New Roman" w:hAnsi="Times New Roman" w:cs="Times New Roman"/>
          <w:sz w:val="24"/>
          <w:szCs w:val="24"/>
        </w:rPr>
        <w:t>-owned lighting programs result in approximately $18 million in annual revenue.  These provide for the rental of end-use electric equipment.</w:t>
      </w:r>
    </w:p>
    <w:p w14:paraId="1035EC67" w14:textId="77777777" w:rsidR="00154B54" w:rsidRPr="00FD4EF8" w:rsidRDefault="00154B54" w:rsidP="00867D09">
      <w:pPr>
        <w:spacing w:line="276" w:lineRule="auto"/>
        <w:ind w:left="1440"/>
        <w:rPr>
          <w:sz w:val="24"/>
          <w:szCs w:val="24"/>
        </w:rPr>
      </w:pPr>
      <w:r w:rsidRPr="00FD4EF8">
        <w:rPr>
          <w:sz w:val="24"/>
          <w:szCs w:val="24"/>
        </w:rPr>
        <w:t>For comparison purposes, below is a chart that displays approximate annual revenues from current leasing products compared to the proposed expansion of leasing products</w:t>
      </w:r>
      <w:r w:rsidR="00435DD9" w:rsidRPr="00FD4EF8">
        <w:rPr>
          <w:sz w:val="24"/>
          <w:szCs w:val="24"/>
        </w:rPr>
        <w:t xml:space="preserve"> (based on year 5 forecasted units)</w:t>
      </w:r>
      <w:r w:rsidRPr="00FD4EF8">
        <w:rPr>
          <w:sz w:val="24"/>
          <w:szCs w:val="24"/>
        </w:rPr>
        <w:t>.</w:t>
      </w:r>
    </w:p>
    <w:p w14:paraId="1035EC68" w14:textId="77777777" w:rsidR="00824BFA" w:rsidRPr="00FD4EF8" w:rsidRDefault="00824BFA" w:rsidP="00F23B86">
      <w:pPr>
        <w:rPr>
          <w:snapToGrid w:val="0"/>
          <w:sz w:val="24"/>
          <w:szCs w:val="24"/>
        </w:rPr>
      </w:pPr>
    </w:p>
    <w:p w14:paraId="1035EC69" w14:textId="77777777" w:rsidR="00824BFA" w:rsidRPr="00FD4EF8" w:rsidRDefault="0064538F" w:rsidP="009072C8">
      <w:pPr>
        <w:jc w:val="right"/>
        <w:rPr>
          <w:snapToGrid w:val="0"/>
          <w:sz w:val="24"/>
          <w:szCs w:val="24"/>
        </w:rPr>
      </w:pPr>
      <w:r w:rsidRPr="00FD4EF8">
        <w:rPr>
          <w:noProof/>
          <w:sz w:val="24"/>
          <w:szCs w:val="24"/>
        </w:rPr>
        <w:drawing>
          <wp:inline distT="0" distB="0" distL="0" distR="0" wp14:anchorId="1035EC88" wp14:editId="1035EC89">
            <wp:extent cx="5166995" cy="3292475"/>
            <wp:effectExtent l="0" t="0" r="14605" b="22225"/>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035EC6A" w14:textId="77777777" w:rsidR="00824BFA" w:rsidRPr="00FD4EF8" w:rsidRDefault="00824BFA" w:rsidP="00F23B86">
      <w:pPr>
        <w:rPr>
          <w:snapToGrid w:val="0"/>
          <w:sz w:val="24"/>
          <w:szCs w:val="24"/>
        </w:rPr>
      </w:pPr>
    </w:p>
    <w:p w14:paraId="1035EC6B" w14:textId="77777777" w:rsidR="00FA2274" w:rsidRPr="00FD4EF8" w:rsidRDefault="00FA2274" w:rsidP="00FA2274">
      <w:pPr>
        <w:pStyle w:val="ListParagraph"/>
        <w:numPr>
          <w:ilvl w:val="0"/>
          <w:numId w:val="17"/>
        </w:numPr>
        <w:rPr>
          <w:rFonts w:ascii="Times New Roman" w:hAnsi="Times New Roman" w:cs="Times New Roman"/>
          <w:sz w:val="24"/>
          <w:szCs w:val="24"/>
        </w:rPr>
      </w:pPr>
      <w:bookmarkStart w:id="2" w:name="OLE_LINK5"/>
      <w:r w:rsidRPr="00FD4EF8">
        <w:rPr>
          <w:rFonts w:ascii="Times New Roman" w:hAnsi="Times New Roman" w:cs="Times New Roman"/>
          <w:b/>
          <w:snapToGrid w:val="0"/>
          <w:sz w:val="24"/>
          <w:szCs w:val="24"/>
        </w:rPr>
        <w:t>PSE is Committed to Reporting to Commission Achievements of Leasing</w:t>
      </w:r>
      <w:r w:rsidR="00FD4EF8" w:rsidRPr="00FD4EF8">
        <w:rPr>
          <w:rFonts w:ascii="Times New Roman" w:hAnsi="Times New Roman" w:cs="Times New Roman"/>
          <w:b/>
          <w:snapToGrid w:val="0"/>
          <w:sz w:val="24"/>
          <w:szCs w:val="24"/>
        </w:rPr>
        <w:t xml:space="preserve"> - </w:t>
      </w:r>
      <w:r w:rsidRPr="00FD4EF8">
        <w:rPr>
          <w:rFonts w:ascii="Times New Roman" w:hAnsi="Times New Roman" w:cs="Times New Roman"/>
          <w:sz w:val="24"/>
          <w:szCs w:val="24"/>
        </w:rPr>
        <w:t>Consistent with the initial advice letter, PSE wishes to emphasize that during the initial five-year period that the optional energy equipment lease service is available under Schedule 75, PSE will, at request of the UTC, submit a report to the UTC that details the type of equipment leased, the number of customers taking optional energy equipment lease service, unit failure rates, average default rates any available customer satisfaction metrics and when available the vintage metrics for the equipment replaced. That latter suggested reporting element will help assess how this emphasis on replacing inefficient and unsafe energy equipment that has exceeded its useful life is progressing.</w:t>
      </w:r>
    </w:p>
    <w:p w14:paraId="1035EC6C" w14:textId="77777777" w:rsidR="00B81959" w:rsidRPr="00FD4EF8" w:rsidRDefault="00B81959" w:rsidP="00B81959">
      <w:pPr>
        <w:rPr>
          <w:snapToGrid w:val="0"/>
          <w:sz w:val="24"/>
          <w:szCs w:val="24"/>
        </w:rPr>
      </w:pPr>
    </w:p>
    <w:bookmarkEnd w:id="2"/>
    <w:p w14:paraId="1035EC6D" w14:textId="77777777" w:rsidR="00A30F76" w:rsidRPr="00FD4EF8" w:rsidRDefault="00A30F76" w:rsidP="00867D09">
      <w:pPr>
        <w:spacing w:line="276" w:lineRule="auto"/>
        <w:rPr>
          <w:sz w:val="24"/>
          <w:szCs w:val="24"/>
        </w:rPr>
      </w:pPr>
      <w:r w:rsidRPr="00FD4EF8">
        <w:rPr>
          <w:sz w:val="24"/>
          <w:szCs w:val="24"/>
        </w:rPr>
        <w:t xml:space="preserve">This substitution is provided for in WAC 480-80-111(a).  The attachment described herein reflects the original issue date of September 18, 2015 and effective date of November 17, 2015.  </w:t>
      </w:r>
    </w:p>
    <w:p w14:paraId="1035EC6E" w14:textId="77777777" w:rsidR="00294B60" w:rsidRPr="00FD4EF8" w:rsidRDefault="00294B60" w:rsidP="00103255">
      <w:pPr>
        <w:rPr>
          <w:sz w:val="24"/>
          <w:szCs w:val="24"/>
        </w:rPr>
      </w:pPr>
    </w:p>
    <w:p w14:paraId="1035EC6F" w14:textId="77777777" w:rsidR="00103255" w:rsidRPr="00FD4EF8" w:rsidRDefault="00103255" w:rsidP="00867D09">
      <w:pPr>
        <w:spacing w:line="276" w:lineRule="auto"/>
        <w:rPr>
          <w:sz w:val="24"/>
          <w:szCs w:val="24"/>
        </w:rPr>
      </w:pPr>
      <w:r w:rsidRPr="00FD4EF8">
        <w:rPr>
          <w:sz w:val="24"/>
          <w:szCs w:val="24"/>
        </w:rPr>
        <w:t xml:space="preserve">Please contact </w:t>
      </w:r>
      <w:r w:rsidR="005B6AE3" w:rsidRPr="00FD4EF8">
        <w:rPr>
          <w:sz w:val="24"/>
          <w:szCs w:val="24"/>
        </w:rPr>
        <w:t>Malcolm McCulloch</w:t>
      </w:r>
      <w:r w:rsidR="00BC0BDD" w:rsidRPr="00FD4EF8">
        <w:rPr>
          <w:sz w:val="24"/>
          <w:szCs w:val="24"/>
        </w:rPr>
        <w:t xml:space="preserve"> </w:t>
      </w:r>
      <w:r w:rsidRPr="00FD4EF8">
        <w:rPr>
          <w:sz w:val="24"/>
          <w:szCs w:val="24"/>
        </w:rPr>
        <w:t>at (425) 4</w:t>
      </w:r>
      <w:r w:rsidR="005B6AE3" w:rsidRPr="00FD4EF8">
        <w:rPr>
          <w:sz w:val="24"/>
          <w:szCs w:val="24"/>
        </w:rPr>
        <w:t>24</w:t>
      </w:r>
      <w:r w:rsidRPr="00FD4EF8">
        <w:rPr>
          <w:sz w:val="24"/>
          <w:szCs w:val="24"/>
        </w:rPr>
        <w:t>-</w:t>
      </w:r>
      <w:r w:rsidR="005B6AE3" w:rsidRPr="00FD4EF8">
        <w:rPr>
          <w:sz w:val="24"/>
          <w:szCs w:val="24"/>
        </w:rPr>
        <w:t>6</w:t>
      </w:r>
      <w:r w:rsidR="00BC0BDD" w:rsidRPr="00FD4EF8">
        <w:rPr>
          <w:sz w:val="24"/>
          <w:szCs w:val="24"/>
        </w:rPr>
        <w:t>5</w:t>
      </w:r>
      <w:r w:rsidR="005B6AE3" w:rsidRPr="00FD4EF8">
        <w:rPr>
          <w:sz w:val="24"/>
          <w:szCs w:val="24"/>
        </w:rPr>
        <w:t>30</w:t>
      </w:r>
      <w:r w:rsidRPr="00FD4EF8">
        <w:rPr>
          <w:sz w:val="24"/>
          <w:szCs w:val="24"/>
        </w:rPr>
        <w:t xml:space="preserve"> or </w:t>
      </w:r>
      <w:r w:rsidR="00BC0BDD" w:rsidRPr="00FD4EF8">
        <w:rPr>
          <w:sz w:val="24"/>
          <w:szCs w:val="24"/>
        </w:rPr>
        <w:t>Eric Englert (425) 456-2312</w:t>
      </w:r>
      <w:r w:rsidRPr="00FD4EF8">
        <w:rPr>
          <w:sz w:val="24"/>
          <w:szCs w:val="24"/>
        </w:rPr>
        <w:t xml:space="preserve"> for additional information about this filing.  If you have any other questions please contact me at (425) 456</w:t>
      </w:r>
      <w:r w:rsidRPr="00FD4EF8">
        <w:rPr>
          <w:sz w:val="24"/>
          <w:szCs w:val="24"/>
        </w:rPr>
        <w:noBreakHyphen/>
        <w:t>2110.</w:t>
      </w:r>
      <w:r w:rsidRPr="00FD4EF8">
        <w:rPr>
          <w:sz w:val="24"/>
          <w:szCs w:val="24"/>
        </w:rPr>
        <w:tab/>
      </w:r>
    </w:p>
    <w:p w14:paraId="1035EC70" w14:textId="77777777" w:rsidR="00103255" w:rsidRPr="00FD4EF8" w:rsidRDefault="00103255" w:rsidP="00103255">
      <w:pPr>
        <w:rPr>
          <w:sz w:val="24"/>
          <w:szCs w:val="24"/>
        </w:rPr>
      </w:pPr>
    </w:p>
    <w:p w14:paraId="1035EC71" w14:textId="77777777" w:rsidR="00103255" w:rsidRPr="00FD4EF8" w:rsidRDefault="00103255" w:rsidP="00103255">
      <w:pPr>
        <w:rPr>
          <w:sz w:val="24"/>
          <w:szCs w:val="24"/>
        </w:rPr>
      </w:pPr>
      <w:r w:rsidRPr="00FD4EF8">
        <w:rPr>
          <w:sz w:val="24"/>
          <w:szCs w:val="24"/>
        </w:rPr>
        <w:tab/>
      </w:r>
      <w:r w:rsidRPr="00FD4EF8">
        <w:rPr>
          <w:sz w:val="24"/>
          <w:szCs w:val="24"/>
        </w:rPr>
        <w:tab/>
      </w:r>
      <w:r w:rsidRPr="00FD4EF8">
        <w:rPr>
          <w:sz w:val="24"/>
          <w:szCs w:val="24"/>
        </w:rPr>
        <w:tab/>
      </w:r>
      <w:r w:rsidRPr="00FD4EF8">
        <w:rPr>
          <w:sz w:val="24"/>
          <w:szCs w:val="24"/>
        </w:rPr>
        <w:tab/>
      </w:r>
      <w:r w:rsidRPr="00FD4EF8">
        <w:rPr>
          <w:sz w:val="24"/>
          <w:szCs w:val="24"/>
        </w:rPr>
        <w:tab/>
      </w:r>
      <w:r w:rsidRPr="00FD4EF8">
        <w:rPr>
          <w:sz w:val="24"/>
          <w:szCs w:val="24"/>
        </w:rPr>
        <w:tab/>
        <w:t>Sincerely,</w:t>
      </w:r>
    </w:p>
    <w:p w14:paraId="1035EC72" w14:textId="77777777" w:rsidR="00103255" w:rsidRPr="00FD4EF8" w:rsidRDefault="00103255" w:rsidP="00103255">
      <w:pPr>
        <w:rPr>
          <w:sz w:val="24"/>
          <w:szCs w:val="24"/>
        </w:rPr>
      </w:pPr>
    </w:p>
    <w:p w14:paraId="1035EC73" w14:textId="77777777" w:rsidR="00103255" w:rsidRPr="00FD4EF8" w:rsidRDefault="00103255" w:rsidP="00103255">
      <w:pPr>
        <w:rPr>
          <w:sz w:val="24"/>
          <w:szCs w:val="24"/>
        </w:rPr>
      </w:pPr>
    </w:p>
    <w:p w14:paraId="1035EC74" w14:textId="77777777" w:rsidR="00103255" w:rsidRPr="00FD4EF8" w:rsidRDefault="00103255" w:rsidP="00103255">
      <w:pPr>
        <w:rPr>
          <w:sz w:val="24"/>
          <w:szCs w:val="24"/>
        </w:rPr>
      </w:pPr>
    </w:p>
    <w:p w14:paraId="1035EC75" w14:textId="77777777" w:rsidR="00103255" w:rsidRPr="00FD4EF8" w:rsidRDefault="00103255" w:rsidP="00103255">
      <w:pPr>
        <w:rPr>
          <w:sz w:val="24"/>
          <w:szCs w:val="24"/>
        </w:rPr>
      </w:pPr>
      <w:r w:rsidRPr="00FD4EF8">
        <w:rPr>
          <w:sz w:val="24"/>
          <w:szCs w:val="24"/>
        </w:rPr>
        <w:tab/>
      </w:r>
      <w:r w:rsidRPr="00FD4EF8">
        <w:rPr>
          <w:sz w:val="24"/>
          <w:szCs w:val="24"/>
        </w:rPr>
        <w:tab/>
      </w:r>
      <w:r w:rsidRPr="00FD4EF8">
        <w:rPr>
          <w:sz w:val="24"/>
          <w:szCs w:val="24"/>
        </w:rPr>
        <w:tab/>
      </w:r>
      <w:r w:rsidRPr="00FD4EF8">
        <w:rPr>
          <w:sz w:val="24"/>
          <w:szCs w:val="24"/>
        </w:rPr>
        <w:tab/>
      </w:r>
      <w:r w:rsidRPr="00FD4EF8">
        <w:rPr>
          <w:sz w:val="24"/>
          <w:szCs w:val="24"/>
        </w:rPr>
        <w:tab/>
      </w:r>
      <w:r w:rsidRPr="00FD4EF8">
        <w:rPr>
          <w:sz w:val="24"/>
          <w:szCs w:val="24"/>
        </w:rPr>
        <w:tab/>
        <w:t>Ken Johnson</w:t>
      </w:r>
    </w:p>
    <w:p w14:paraId="1035EC76" w14:textId="77777777" w:rsidR="00103255" w:rsidRPr="00FD4EF8" w:rsidRDefault="00103255" w:rsidP="00103255">
      <w:pPr>
        <w:rPr>
          <w:sz w:val="24"/>
          <w:szCs w:val="24"/>
        </w:rPr>
      </w:pPr>
      <w:r w:rsidRPr="00FD4EF8">
        <w:rPr>
          <w:sz w:val="24"/>
          <w:szCs w:val="24"/>
        </w:rPr>
        <w:tab/>
      </w:r>
      <w:r w:rsidRPr="00FD4EF8">
        <w:rPr>
          <w:sz w:val="24"/>
          <w:szCs w:val="24"/>
        </w:rPr>
        <w:tab/>
      </w:r>
      <w:r w:rsidRPr="00FD4EF8">
        <w:rPr>
          <w:sz w:val="24"/>
          <w:szCs w:val="24"/>
        </w:rPr>
        <w:tab/>
      </w:r>
      <w:r w:rsidRPr="00FD4EF8">
        <w:rPr>
          <w:sz w:val="24"/>
          <w:szCs w:val="24"/>
        </w:rPr>
        <w:tab/>
      </w:r>
      <w:r w:rsidRPr="00FD4EF8">
        <w:rPr>
          <w:sz w:val="24"/>
          <w:szCs w:val="24"/>
        </w:rPr>
        <w:tab/>
      </w:r>
      <w:r w:rsidRPr="00FD4EF8">
        <w:rPr>
          <w:sz w:val="24"/>
          <w:szCs w:val="24"/>
        </w:rPr>
        <w:tab/>
        <w:t>Director, State Regulatory Affairs</w:t>
      </w:r>
      <w:r w:rsidRPr="00FD4EF8">
        <w:rPr>
          <w:sz w:val="24"/>
          <w:szCs w:val="24"/>
        </w:rPr>
        <w:tab/>
      </w:r>
      <w:r w:rsidRPr="00FD4EF8">
        <w:rPr>
          <w:sz w:val="24"/>
          <w:szCs w:val="24"/>
        </w:rPr>
        <w:tab/>
      </w:r>
      <w:r w:rsidRPr="00FD4EF8">
        <w:rPr>
          <w:sz w:val="24"/>
          <w:szCs w:val="24"/>
        </w:rPr>
        <w:tab/>
      </w:r>
      <w:r w:rsidRPr="00FD4EF8">
        <w:rPr>
          <w:sz w:val="24"/>
          <w:szCs w:val="24"/>
        </w:rPr>
        <w:tab/>
      </w:r>
    </w:p>
    <w:p w14:paraId="1035EC77" w14:textId="77777777" w:rsidR="00017F39" w:rsidRPr="00FD4EF8" w:rsidRDefault="00017F39">
      <w:pPr>
        <w:rPr>
          <w:sz w:val="24"/>
          <w:szCs w:val="24"/>
        </w:rPr>
      </w:pPr>
    </w:p>
    <w:p w14:paraId="1035EC78" w14:textId="77777777" w:rsidR="00017F39" w:rsidRPr="00FD4EF8" w:rsidRDefault="00017F39">
      <w:pPr>
        <w:rPr>
          <w:sz w:val="24"/>
          <w:szCs w:val="24"/>
        </w:rPr>
      </w:pPr>
      <w:r w:rsidRPr="00FD4EF8">
        <w:rPr>
          <w:sz w:val="24"/>
          <w:szCs w:val="24"/>
        </w:rPr>
        <w:t>Enclosure</w:t>
      </w:r>
    </w:p>
    <w:p w14:paraId="1035EC79" w14:textId="77777777" w:rsidR="00017F39" w:rsidRPr="00FD4EF8" w:rsidRDefault="00017F39">
      <w:pPr>
        <w:rPr>
          <w:sz w:val="24"/>
          <w:szCs w:val="24"/>
        </w:rPr>
      </w:pPr>
    </w:p>
    <w:p w14:paraId="1035EC7A" w14:textId="77777777" w:rsidR="00017F39" w:rsidRPr="00FD4EF8" w:rsidRDefault="00017F39">
      <w:pPr>
        <w:rPr>
          <w:sz w:val="24"/>
          <w:szCs w:val="24"/>
        </w:rPr>
      </w:pPr>
      <w:r w:rsidRPr="00FD4EF8">
        <w:rPr>
          <w:sz w:val="24"/>
          <w:szCs w:val="24"/>
        </w:rPr>
        <w:t>cc:</w:t>
      </w:r>
      <w:r w:rsidRPr="00FD4EF8">
        <w:rPr>
          <w:sz w:val="24"/>
          <w:szCs w:val="24"/>
        </w:rPr>
        <w:tab/>
        <w:t>Simon J. ffitch, Public Counsel</w:t>
      </w:r>
    </w:p>
    <w:p w14:paraId="1035EC7B" w14:textId="77777777" w:rsidR="00017F39" w:rsidRPr="00FD4EF8" w:rsidRDefault="00017F39" w:rsidP="004978DB">
      <w:pPr>
        <w:ind w:firstLine="720"/>
        <w:rPr>
          <w:sz w:val="24"/>
          <w:szCs w:val="24"/>
        </w:rPr>
      </w:pPr>
      <w:r w:rsidRPr="00FD4EF8">
        <w:rPr>
          <w:sz w:val="24"/>
          <w:szCs w:val="24"/>
        </w:rPr>
        <w:t>Sheree Carson, Perkins Coie</w:t>
      </w:r>
    </w:p>
    <w:sectPr w:rsidR="00017F39" w:rsidRPr="00FD4EF8" w:rsidSect="003D5C88">
      <w:headerReference w:type="default" r:id="rId24"/>
      <w:pgSz w:w="12240" w:h="15840" w:code="1"/>
      <w:pgMar w:top="1440" w:right="2070" w:bottom="72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5EC8C" w14:textId="77777777" w:rsidR="006D7FA6" w:rsidRDefault="006D7FA6">
      <w:r>
        <w:separator/>
      </w:r>
    </w:p>
  </w:endnote>
  <w:endnote w:type="continuationSeparator" w:id="0">
    <w:p w14:paraId="1035EC8D" w14:textId="77777777" w:rsidR="006D7FA6" w:rsidRDefault="006D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5EC8A" w14:textId="77777777" w:rsidR="006D7FA6" w:rsidRDefault="006D7FA6">
      <w:r>
        <w:separator/>
      </w:r>
    </w:p>
  </w:footnote>
  <w:footnote w:type="continuationSeparator" w:id="0">
    <w:p w14:paraId="1035EC8B" w14:textId="77777777" w:rsidR="006D7FA6" w:rsidRDefault="006D7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5EC8E" w14:textId="77777777" w:rsidR="00314147" w:rsidRPr="000C579D" w:rsidRDefault="00314147" w:rsidP="000C579D">
    <w:pPr>
      <w:pStyle w:val="Header"/>
      <w:rPr>
        <w:rStyle w:val="PageNumber"/>
        <w:sz w:val="24"/>
      </w:rPr>
    </w:pPr>
    <w:r w:rsidRPr="00103255">
      <w:rPr>
        <w:sz w:val="24"/>
        <w:szCs w:val="24"/>
      </w:rPr>
      <w:t>Mr. Steven V. King</w:t>
    </w:r>
    <w:r w:rsidRPr="000C579D">
      <w:rPr>
        <w:rStyle w:val="PageNumber"/>
        <w:sz w:val="24"/>
      </w:rPr>
      <w:t xml:space="preserve"> </w:t>
    </w:r>
    <w:r w:rsidRPr="000C579D">
      <w:rPr>
        <w:rStyle w:val="PageNumber"/>
        <w:sz w:val="24"/>
      </w:rPr>
      <w:tab/>
      <w:t xml:space="preserve">Page </w:t>
    </w:r>
    <w:r w:rsidR="005811D4" w:rsidRPr="005811D4">
      <w:rPr>
        <w:rStyle w:val="PageNumber"/>
        <w:sz w:val="24"/>
      </w:rPr>
      <w:fldChar w:fldCharType="begin"/>
    </w:r>
    <w:r w:rsidR="005811D4" w:rsidRPr="005811D4">
      <w:rPr>
        <w:rStyle w:val="PageNumber"/>
        <w:sz w:val="24"/>
      </w:rPr>
      <w:instrText xml:space="preserve"> PAGE   \* MERGEFORMAT </w:instrText>
    </w:r>
    <w:r w:rsidR="005811D4" w:rsidRPr="005811D4">
      <w:rPr>
        <w:rStyle w:val="PageNumber"/>
        <w:sz w:val="24"/>
      </w:rPr>
      <w:fldChar w:fldCharType="separate"/>
    </w:r>
    <w:r w:rsidR="000313C4">
      <w:rPr>
        <w:rStyle w:val="PageNumber"/>
        <w:noProof/>
        <w:sz w:val="24"/>
      </w:rPr>
      <w:t>9</w:t>
    </w:r>
    <w:r w:rsidR="005811D4" w:rsidRPr="005811D4">
      <w:rPr>
        <w:rStyle w:val="PageNumber"/>
        <w:noProof/>
        <w:sz w:val="24"/>
      </w:rPr>
      <w:fldChar w:fldCharType="end"/>
    </w:r>
    <w:r w:rsidRPr="000C579D">
      <w:rPr>
        <w:rStyle w:val="PageNumber"/>
        <w:sz w:val="24"/>
      </w:rPr>
      <w:tab/>
    </w:r>
    <w:r w:rsidR="0002170D">
      <w:rPr>
        <w:rStyle w:val="PageNumber"/>
        <w:sz w:val="24"/>
      </w:rPr>
      <w:t>November</w:t>
    </w:r>
    <w:r w:rsidR="00D234E7">
      <w:rPr>
        <w:rStyle w:val="PageNumber"/>
        <w:sz w:val="24"/>
      </w:rPr>
      <w:t xml:space="preserve"> </w:t>
    </w:r>
    <w:r w:rsidR="003D5C88">
      <w:rPr>
        <w:rStyle w:val="PageNumber"/>
        <w:sz w:val="24"/>
      </w:rPr>
      <w:t>6</w:t>
    </w:r>
    <w:r w:rsidR="00105F30">
      <w:rPr>
        <w:rStyle w:val="PageNumber"/>
        <w:sz w:val="24"/>
      </w:rPr>
      <w:t>,</w:t>
    </w:r>
    <w:r>
      <w:rPr>
        <w:rStyle w:val="PageNumber"/>
        <w:sz w:val="24"/>
      </w:rPr>
      <w:t xml:space="preserve"> 201</w:t>
    </w:r>
    <w:r w:rsidR="005B6AE3">
      <w:rPr>
        <w:rStyle w:val="PageNumber"/>
        <w:sz w:val="24"/>
      </w:rPr>
      <w:t>5</w:t>
    </w:r>
  </w:p>
  <w:p w14:paraId="1035EC8F" w14:textId="77777777" w:rsidR="00314147" w:rsidRPr="000C579D" w:rsidRDefault="00314147" w:rsidP="000C579D">
    <w:pPr>
      <w:pStyle w:val="Header"/>
      <w:rPr>
        <w:rStyle w:val="PageNumber"/>
        <w:sz w:val="24"/>
      </w:rPr>
    </w:pPr>
    <w:r>
      <w:rPr>
        <w:rStyle w:val="PageNumber"/>
        <w:sz w:val="24"/>
      </w:rPr>
      <w:t>Advice No. 201</w:t>
    </w:r>
    <w:r w:rsidR="005B6AE3">
      <w:rPr>
        <w:rStyle w:val="PageNumber"/>
        <w:sz w:val="24"/>
      </w:rPr>
      <w:t>5</w:t>
    </w:r>
    <w:r>
      <w:rPr>
        <w:rStyle w:val="PageNumber"/>
        <w:sz w:val="24"/>
      </w:rPr>
      <w:t>-</w:t>
    </w:r>
    <w:r w:rsidR="001C73BF">
      <w:rPr>
        <w:rStyle w:val="PageNumber"/>
        <w:sz w:val="24"/>
      </w:rPr>
      <w:t>24</w:t>
    </w:r>
  </w:p>
  <w:p w14:paraId="1035EC90" w14:textId="77777777" w:rsidR="00314147" w:rsidRDefault="00314147">
    <w:pPr>
      <w:pStyle w:val="Header"/>
      <w:rPr>
        <w:sz w:val="24"/>
      </w:rPr>
    </w:pPr>
  </w:p>
  <w:p w14:paraId="1035EC91" w14:textId="77777777" w:rsidR="00314147" w:rsidRDefault="00314147">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81540"/>
    <w:multiLevelType w:val="hybridMultilevel"/>
    <w:tmpl w:val="69CA0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302F5"/>
    <w:multiLevelType w:val="hybridMultilevel"/>
    <w:tmpl w:val="410E1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247EE3"/>
    <w:multiLevelType w:val="hybridMultilevel"/>
    <w:tmpl w:val="E2E2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2617B"/>
    <w:multiLevelType w:val="hybridMultilevel"/>
    <w:tmpl w:val="ED3A4DC2"/>
    <w:lvl w:ilvl="0" w:tplc="919A5B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12B4F"/>
    <w:multiLevelType w:val="hybridMultilevel"/>
    <w:tmpl w:val="4CA4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33BA4"/>
    <w:multiLevelType w:val="hybridMultilevel"/>
    <w:tmpl w:val="8362DCFE"/>
    <w:lvl w:ilvl="0" w:tplc="A9E41EB0">
      <w:start w:val="1"/>
      <w:numFmt w:val="bullet"/>
      <w:lvlText w:val="•"/>
      <w:lvlJc w:val="left"/>
      <w:pPr>
        <w:tabs>
          <w:tab w:val="num" w:pos="720"/>
        </w:tabs>
        <w:ind w:left="720" w:hanging="360"/>
      </w:pPr>
      <w:rPr>
        <w:rFonts w:ascii="Arial" w:hAnsi="Arial" w:hint="default"/>
      </w:rPr>
    </w:lvl>
    <w:lvl w:ilvl="1" w:tplc="A94EB010">
      <w:start w:val="1"/>
      <w:numFmt w:val="bullet"/>
      <w:lvlText w:val="•"/>
      <w:lvlJc w:val="left"/>
      <w:pPr>
        <w:tabs>
          <w:tab w:val="num" w:pos="1440"/>
        </w:tabs>
        <w:ind w:left="1440" w:hanging="360"/>
      </w:pPr>
      <w:rPr>
        <w:rFonts w:ascii="Arial" w:hAnsi="Arial" w:hint="default"/>
      </w:rPr>
    </w:lvl>
    <w:lvl w:ilvl="2" w:tplc="F034808C" w:tentative="1">
      <w:start w:val="1"/>
      <w:numFmt w:val="bullet"/>
      <w:lvlText w:val="•"/>
      <w:lvlJc w:val="left"/>
      <w:pPr>
        <w:tabs>
          <w:tab w:val="num" w:pos="2160"/>
        </w:tabs>
        <w:ind w:left="2160" w:hanging="360"/>
      </w:pPr>
      <w:rPr>
        <w:rFonts w:ascii="Arial" w:hAnsi="Arial" w:hint="default"/>
      </w:rPr>
    </w:lvl>
    <w:lvl w:ilvl="3" w:tplc="183E7096" w:tentative="1">
      <w:start w:val="1"/>
      <w:numFmt w:val="bullet"/>
      <w:lvlText w:val="•"/>
      <w:lvlJc w:val="left"/>
      <w:pPr>
        <w:tabs>
          <w:tab w:val="num" w:pos="2880"/>
        </w:tabs>
        <w:ind w:left="2880" w:hanging="360"/>
      </w:pPr>
      <w:rPr>
        <w:rFonts w:ascii="Arial" w:hAnsi="Arial" w:hint="default"/>
      </w:rPr>
    </w:lvl>
    <w:lvl w:ilvl="4" w:tplc="82CC4852" w:tentative="1">
      <w:start w:val="1"/>
      <w:numFmt w:val="bullet"/>
      <w:lvlText w:val="•"/>
      <w:lvlJc w:val="left"/>
      <w:pPr>
        <w:tabs>
          <w:tab w:val="num" w:pos="3600"/>
        </w:tabs>
        <w:ind w:left="3600" w:hanging="360"/>
      </w:pPr>
      <w:rPr>
        <w:rFonts w:ascii="Arial" w:hAnsi="Arial" w:hint="default"/>
      </w:rPr>
    </w:lvl>
    <w:lvl w:ilvl="5" w:tplc="FE6E7B2C" w:tentative="1">
      <w:start w:val="1"/>
      <w:numFmt w:val="bullet"/>
      <w:lvlText w:val="•"/>
      <w:lvlJc w:val="left"/>
      <w:pPr>
        <w:tabs>
          <w:tab w:val="num" w:pos="4320"/>
        </w:tabs>
        <w:ind w:left="4320" w:hanging="360"/>
      </w:pPr>
      <w:rPr>
        <w:rFonts w:ascii="Arial" w:hAnsi="Arial" w:hint="default"/>
      </w:rPr>
    </w:lvl>
    <w:lvl w:ilvl="6" w:tplc="CEA885CE" w:tentative="1">
      <w:start w:val="1"/>
      <w:numFmt w:val="bullet"/>
      <w:lvlText w:val="•"/>
      <w:lvlJc w:val="left"/>
      <w:pPr>
        <w:tabs>
          <w:tab w:val="num" w:pos="5040"/>
        </w:tabs>
        <w:ind w:left="5040" w:hanging="360"/>
      </w:pPr>
      <w:rPr>
        <w:rFonts w:ascii="Arial" w:hAnsi="Arial" w:hint="default"/>
      </w:rPr>
    </w:lvl>
    <w:lvl w:ilvl="7" w:tplc="A114FE42" w:tentative="1">
      <w:start w:val="1"/>
      <w:numFmt w:val="bullet"/>
      <w:lvlText w:val="•"/>
      <w:lvlJc w:val="left"/>
      <w:pPr>
        <w:tabs>
          <w:tab w:val="num" w:pos="5760"/>
        </w:tabs>
        <w:ind w:left="5760" w:hanging="360"/>
      </w:pPr>
      <w:rPr>
        <w:rFonts w:ascii="Arial" w:hAnsi="Arial" w:hint="default"/>
      </w:rPr>
    </w:lvl>
    <w:lvl w:ilvl="8" w:tplc="EF9CD8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1004E7B"/>
    <w:multiLevelType w:val="hybridMultilevel"/>
    <w:tmpl w:val="4F561B90"/>
    <w:lvl w:ilvl="0" w:tplc="57CA52FE">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7723B2"/>
    <w:multiLevelType w:val="hybridMultilevel"/>
    <w:tmpl w:val="EC64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02E81"/>
    <w:multiLevelType w:val="hybridMultilevel"/>
    <w:tmpl w:val="FCC4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F5A77"/>
    <w:multiLevelType w:val="hybridMultilevel"/>
    <w:tmpl w:val="5D5618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B9F2BAB"/>
    <w:multiLevelType w:val="hybridMultilevel"/>
    <w:tmpl w:val="E85E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BF053E"/>
    <w:multiLevelType w:val="hybridMultilevel"/>
    <w:tmpl w:val="252460DE"/>
    <w:lvl w:ilvl="0" w:tplc="0C428B4C">
      <w:start w:val="1"/>
      <w:numFmt w:val="upperRoman"/>
      <w:lvlText w:val="%1."/>
      <w:lvlJc w:val="left"/>
      <w:pPr>
        <w:ind w:left="1080" w:hanging="720"/>
      </w:pPr>
      <w:rPr>
        <w:rFonts w:hint="default"/>
        <w:b/>
      </w:rPr>
    </w:lvl>
    <w:lvl w:ilvl="1" w:tplc="E0E65B88">
      <w:start w:val="1"/>
      <w:numFmt w:val="lowerLetter"/>
      <w:lvlText w:val="%2."/>
      <w:lvlJc w:val="left"/>
      <w:pPr>
        <w:ind w:left="1440" w:hanging="360"/>
      </w:pPr>
      <w:rPr>
        <w:b/>
        <w:strike w:val="0"/>
      </w:rPr>
    </w:lvl>
    <w:lvl w:ilvl="2" w:tplc="7EEC80F2">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370D60"/>
    <w:multiLevelType w:val="hybridMultilevel"/>
    <w:tmpl w:val="9752D168"/>
    <w:lvl w:ilvl="0" w:tplc="34ACFBC0">
      <w:start w:val="1"/>
      <w:numFmt w:val="bullet"/>
      <w:lvlText w:val="•"/>
      <w:lvlJc w:val="left"/>
      <w:pPr>
        <w:tabs>
          <w:tab w:val="num" w:pos="720"/>
        </w:tabs>
        <w:ind w:left="720" w:hanging="360"/>
      </w:pPr>
      <w:rPr>
        <w:rFonts w:ascii="Arial" w:hAnsi="Arial" w:hint="default"/>
      </w:rPr>
    </w:lvl>
    <w:lvl w:ilvl="1" w:tplc="A60CAB0A">
      <w:start w:val="1"/>
      <w:numFmt w:val="bullet"/>
      <w:lvlText w:val="•"/>
      <w:lvlJc w:val="left"/>
      <w:pPr>
        <w:tabs>
          <w:tab w:val="num" w:pos="1440"/>
        </w:tabs>
        <w:ind w:left="1440" w:hanging="360"/>
      </w:pPr>
      <w:rPr>
        <w:rFonts w:ascii="Arial" w:hAnsi="Arial" w:hint="default"/>
      </w:rPr>
    </w:lvl>
    <w:lvl w:ilvl="2" w:tplc="2988B73C" w:tentative="1">
      <w:start w:val="1"/>
      <w:numFmt w:val="bullet"/>
      <w:lvlText w:val="•"/>
      <w:lvlJc w:val="left"/>
      <w:pPr>
        <w:tabs>
          <w:tab w:val="num" w:pos="2160"/>
        </w:tabs>
        <w:ind w:left="2160" w:hanging="360"/>
      </w:pPr>
      <w:rPr>
        <w:rFonts w:ascii="Arial" w:hAnsi="Arial" w:hint="default"/>
      </w:rPr>
    </w:lvl>
    <w:lvl w:ilvl="3" w:tplc="0C00A256" w:tentative="1">
      <w:start w:val="1"/>
      <w:numFmt w:val="bullet"/>
      <w:lvlText w:val="•"/>
      <w:lvlJc w:val="left"/>
      <w:pPr>
        <w:tabs>
          <w:tab w:val="num" w:pos="2880"/>
        </w:tabs>
        <w:ind w:left="2880" w:hanging="360"/>
      </w:pPr>
      <w:rPr>
        <w:rFonts w:ascii="Arial" w:hAnsi="Arial" w:hint="default"/>
      </w:rPr>
    </w:lvl>
    <w:lvl w:ilvl="4" w:tplc="4E5C8B00" w:tentative="1">
      <w:start w:val="1"/>
      <w:numFmt w:val="bullet"/>
      <w:lvlText w:val="•"/>
      <w:lvlJc w:val="left"/>
      <w:pPr>
        <w:tabs>
          <w:tab w:val="num" w:pos="3600"/>
        </w:tabs>
        <w:ind w:left="3600" w:hanging="360"/>
      </w:pPr>
      <w:rPr>
        <w:rFonts w:ascii="Arial" w:hAnsi="Arial" w:hint="default"/>
      </w:rPr>
    </w:lvl>
    <w:lvl w:ilvl="5" w:tplc="FD2ABB32" w:tentative="1">
      <w:start w:val="1"/>
      <w:numFmt w:val="bullet"/>
      <w:lvlText w:val="•"/>
      <w:lvlJc w:val="left"/>
      <w:pPr>
        <w:tabs>
          <w:tab w:val="num" w:pos="4320"/>
        </w:tabs>
        <w:ind w:left="4320" w:hanging="360"/>
      </w:pPr>
      <w:rPr>
        <w:rFonts w:ascii="Arial" w:hAnsi="Arial" w:hint="default"/>
      </w:rPr>
    </w:lvl>
    <w:lvl w:ilvl="6" w:tplc="09F43FE0" w:tentative="1">
      <w:start w:val="1"/>
      <w:numFmt w:val="bullet"/>
      <w:lvlText w:val="•"/>
      <w:lvlJc w:val="left"/>
      <w:pPr>
        <w:tabs>
          <w:tab w:val="num" w:pos="5040"/>
        </w:tabs>
        <w:ind w:left="5040" w:hanging="360"/>
      </w:pPr>
      <w:rPr>
        <w:rFonts w:ascii="Arial" w:hAnsi="Arial" w:hint="default"/>
      </w:rPr>
    </w:lvl>
    <w:lvl w:ilvl="7" w:tplc="E0C204A2" w:tentative="1">
      <w:start w:val="1"/>
      <w:numFmt w:val="bullet"/>
      <w:lvlText w:val="•"/>
      <w:lvlJc w:val="left"/>
      <w:pPr>
        <w:tabs>
          <w:tab w:val="num" w:pos="5760"/>
        </w:tabs>
        <w:ind w:left="5760" w:hanging="360"/>
      </w:pPr>
      <w:rPr>
        <w:rFonts w:ascii="Arial" w:hAnsi="Arial" w:hint="default"/>
      </w:rPr>
    </w:lvl>
    <w:lvl w:ilvl="8" w:tplc="305CB54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07E6310"/>
    <w:multiLevelType w:val="hybridMultilevel"/>
    <w:tmpl w:val="65E8F8D4"/>
    <w:lvl w:ilvl="0" w:tplc="988E2480">
      <w:start w:val="1"/>
      <w:numFmt w:val="bullet"/>
      <w:lvlText w:val="•"/>
      <w:lvlJc w:val="left"/>
      <w:pPr>
        <w:tabs>
          <w:tab w:val="num" w:pos="720"/>
        </w:tabs>
        <w:ind w:left="720" w:hanging="360"/>
      </w:pPr>
      <w:rPr>
        <w:rFonts w:ascii="Arial" w:hAnsi="Arial" w:hint="default"/>
      </w:rPr>
    </w:lvl>
    <w:lvl w:ilvl="1" w:tplc="BB5E7BF2" w:tentative="1">
      <w:start w:val="1"/>
      <w:numFmt w:val="bullet"/>
      <w:lvlText w:val="•"/>
      <w:lvlJc w:val="left"/>
      <w:pPr>
        <w:tabs>
          <w:tab w:val="num" w:pos="1440"/>
        </w:tabs>
        <w:ind w:left="1440" w:hanging="360"/>
      </w:pPr>
      <w:rPr>
        <w:rFonts w:ascii="Arial" w:hAnsi="Arial" w:hint="default"/>
      </w:rPr>
    </w:lvl>
    <w:lvl w:ilvl="2" w:tplc="5CEAD7C8" w:tentative="1">
      <w:start w:val="1"/>
      <w:numFmt w:val="bullet"/>
      <w:lvlText w:val="•"/>
      <w:lvlJc w:val="left"/>
      <w:pPr>
        <w:tabs>
          <w:tab w:val="num" w:pos="2160"/>
        </w:tabs>
        <w:ind w:left="2160" w:hanging="360"/>
      </w:pPr>
      <w:rPr>
        <w:rFonts w:ascii="Arial" w:hAnsi="Arial" w:hint="default"/>
      </w:rPr>
    </w:lvl>
    <w:lvl w:ilvl="3" w:tplc="C67C3E40" w:tentative="1">
      <w:start w:val="1"/>
      <w:numFmt w:val="bullet"/>
      <w:lvlText w:val="•"/>
      <w:lvlJc w:val="left"/>
      <w:pPr>
        <w:tabs>
          <w:tab w:val="num" w:pos="2880"/>
        </w:tabs>
        <w:ind w:left="2880" w:hanging="360"/>
      </w:pPr>
      <w:rPr>
        <w:rFonts w:ascii="Arial" w:hAnsi="Arial" w:hint="default"/>
      </w:rPr>
    </w:lvl>
    <w:lvl w:ilvl="4" w:tplc="780E0DEE" w:tentative="1">
      <w:start w:val="1"/>
      <w:numFmt w:val="bullet"/>
      <w:lvlText w:val="•"/>
      <w:lvlJc w:val="left"/>
      <w:pPr>
        <w:tabs>
          <w:tab w:val="num" w:pos="3600"/>
        </w:tabs>
        <w:ind w:left="3600" w:hanging="360"/>
      </w:pPr>
      <w:rPr>
        <w:rFonts w:ascii="Arial" w:hAnsi="Arial" w:hint="default"/>
      </w:rPr>
    </w:lvl>
    <w:lvl w:ilvl="5" w:tplc="A452800E" w:tentative="1">
      <w:start w:val="1"/>
      <w:numFmt w:val="bullet"/>
      <w:lvlText w:val="•"/>
      <w:lvlJc w:val="left"/>
      <w:pPr>
        <w:tabs>
          <w:tab w:val="num" w:pos="4320"/>
        </w:tabs>
        <w:ind w:left="4320" w:hanging="360"/>
      </w:pPr>
      <w:rPr>
        <w:rFonts w:ascii="Arial" w:hAnsi="Arial" w:hint="default"/>
      </w:rPr>
    </w:lvl>
    <w:lvl w:ilvl="6" w:tplc="377288AA" w:tentative="1">
      <w:start w:val="1"/>
      <w:numFmt w:val="bullet"/>
      <w:lvlText w:val="•"/>
      <w:lvlJc w:val="left"/>
      <w:pPr>
        <w:tabs>
          <w:tab w:val="num" w:pos="5040"/>
        </w:tabs>
        <w:ind w:left="5040" w:hanging="360"/>
      </w:pPr>
      <w:rPr>
        <w:rFonts w:ascii="Arial" w:hAnsi="Arial" w:hint="default"/>
      </w:rPr>
    </w:lvl>
    <w:lvl w:ilvl="7" w:tplc="7ED41138" w:tentative="1">
      <w:start w:val="1"/>
      <w:numFmt w:val="bullet"/>
      <w:lvlText w:val="•"/>
      <w:lvlJc w:val="left"/>
      <w:pPr>
        <w:tabs>
          <w:tab w:val="num" w:pos="5760"/>
        </w:tabs>
        <w:ind w:left="5760" w:hanging="360"/>
      </w:pPr>
      <w:rPr>
        <w:rFonts w:ascii="Arial" w:hAnsi="Arial" w:hint="default"/>
      </w:rPr>
    </w:lvl>
    <w:lvl w:ilvl="8" w:tplc="F2FC56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58072B0"/>
    <w:multiLevelType w:val="hybridMultilevel"/>
    <w:tmpl w:val="62D4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137732"/>
    <w:multiLevelType w:val="hybridMultilevel"/>
    <w:tmpl w:val="11C03A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6"/>
  </w:num>
  <w:num w:numId="4">
    <w:abstractNumId w:val="13"/>
  </w:num>
  <w:num w:numId="5">
    <w:abstractNumId w:val="5"/>
  </w:num>
  <w:num w:numId="6">
    <w:abstractNumId w:val="1"/>
  </w:num>
  <w:num w:numId="7">
    <w:abstractNumId w:val="15"/>
  </w:num>
  <w:num w:numId="8">
    <w:abstractNumId w:val="12"/>
  </w:num>
  <w:num w:numId="9">
    <w:abstractNumId w:val="2"/>
  </w:num>
  <w:num w:numId="10">
    <w:abstractNumId w:val="10"/>
  </w:num>
  <w:num w:numId="11">
    <w:abstractNumId w:val="4"/>
  </w:num>
  <w:num w:numId="12">
    <w:abstractNumId w:val="14"/>
  </w:num>
  <w:num w:numId="13">
    <w:abstractNumId w:val="8"/>
  </w:num>
  <w:num w:numId="14">
    <w:abstractNumId w:val="7"/>
  </w:num>
  <w:num w:numId="15">
    <w:abstractNumId w:val="9"/>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AD4"/>
    <w:rsid w:val="00000EB2"/>
    <w:rsid w:val="00003E84"/>
    <w:rsid w:val="00006E07"/>
    <w:rsid w:val="00017F39"/>
    <w:rsid w:val="00020789"/>
    <w:rsid w:val="00020B15"/>
    <w:rsid w:val="0002170D"/>
    <w:rsid w:val="00021D0A"/>
    <w:rsid w:val="0003047C"/>
    <w:rsid w:val="000313C4"/>
    <w:rsid w:val="00037FE5"/>
    <w:rsid w:val="000456C3"/>
    <w:rsid w:val="00046F59"/>
    <w:rsid w:val="00053055"/>
    <w:rsid w:val="00056B30"/>
    <w:rsid w:val="000653D5"/>
    <w:rsid w:val="000755EC"/>
    <w:rsid w:val="00081542"/>
    <w:rsid w:val="00082DC1"/>
    <w:rsid w:val="000841F3"/>
    <w:rsid w:val="00087D83"/>
    <w:rsid w:val="000A4081"/>
    <w:rsid w:val="000A6266"/>
    <w:rsid w:val="000B0C1D"/>
    <w:rsid w:val="000B561D"/>
    <w:rsid w:val="000C579D"/>
    <w:rsid w:val="000C7AB3"/>
    <w:rsid w:val="000E5512"/>
    <w:rsid w:val="000F094F"/>
    <w:rsid w:val="000F797D"/>
    <w:rsid w:val="00101616"/>
    <w:rsid w:val="00103255"/>
    <w:rsid w:val="00105F30"/>
    <w:rsid w:val="00106F48"/>
    <w:rsid w:val="00107DB4"/>
    <w:rsid w:val="00110E9C"/>
    <w:rsid w:val="00133716"/>
    <w:rsid w:val="00144A4B"/>
    <w:rsid w:val="00154B54"/>
    <w:rsid w:val="00161CB5"/>
    <w:rsid w:val="00163D4C"/>
    <w:rsid w:val="0017090F"/>
    <w:rsid w:val="001733E9"/>
    <w:rsid w:val="00174AB0"/>
    <w:rsid w:val="0017718C"/>
    <w:rsid w:val="00182757"/>
    <w:rsid w:val="001839AA"/>
    <w:rsid w:val="00186DFA"/>
    <w:rsid w:val="001A03A0"/>
    <w:rsid w:val="001A4EE3"/>
    <w:rsid w:val="001B4D53"/>
    <w:rsid w:val="001C0716"/>
    <w:rsid w:val="001C142E"/>
    <w:rsid w:val="001C18DB"/>
    <w:rsid w:val="001C2E3A"/>
    <w:rsid w:val="001C73BF"/>
    <w:rsid w:val="001D3403"/>
    <w:rsid w:val="001E31F1"/>
    <w:rsid w:val="001F7DA0"/>
    <w:rsid w:val="00200306"/>
    <w:rsid w:val="00200BFF"/>
    <w:rsid w:val="00210C73"/>
    <w:rsid w:val="002158FF"/>
    <w:rsid w:val="002165E6"/>
    <w:rsid w:val="002169EE"/>
    <w:rsid w:val="00222F80"/>
    <w:rsid w:val="0022598F"/>
    <w:rsid w:val="00227A67"/>
    <w:rsid w:val="00234233"/>
    <w:rsid w:val="0024005B"/>
    <w:rsid w:val="002524F3"/>
    <w:rsid w:val="002554CD"/>
    <w:rsid w:val="002642FC"/>
    <w:rsid w:val="002655CB"/>
    <w:rsid w:val="00266D16"/>
    <w:rsid w:val="0027160A"/>
    <w:rsid w:val="0027655E"/>
    <w:rsid w:val="00283D9C"/>
    <w:rsid w:val="002874F0"/>
    <w:rsid w:val="00287A9B"/>
    <w:rsid w:val="0029433E"/>
    <w:rsid w:val="00294B60"/>
    <w:rsid w:val="002A1941"/>
    <w:rsid w:val="002A706D"/>
    <w:rsid w:val="002A777D"/>
    <w:rsid w:val="002B79D5"/>
    <w:rsid w:val="002F1905"/>
    <w:rsid w:val="003055D5"/>
    <w:rsid w:val="00312848"/>
    <w:rsid w:val="003128BC"/>
    <w:rsid w:val="00314147"/>
    <w:rsid w:val="003162A0"/>
    <w:rsid w:val="00316E4A"/>
    <w:rsid w:val="00316F2A"/>
    <w:rsid w:val="00325FAD"/>
    <w:rsid w:val="00330F9D"/>
    <w:rsid w:val="00331D3F"/>
    <w:rsid w:val="0033248B"/>
    <w:rsid w:val="003351B0"/>
    <w:rsid w:val="0033635B"/>
    <w:rsid w:val="0034616B"/>
    <w:rsid w:val="00351D73"/>
    <w:rsid w:val="00351DBD"/>
    <w:rsid w:val="00370080"/>
    <w:rsid w:val="00384638"/>
    <w:rsid w:val="00390B0E"/>
    <w:rsid w:val="00392D38"/>
    <w:rsid w:val="003A2E91"/>
    <w:rsid w:val="003A7275"/>
    <w:rsid w:val="003B576D"/>
    <w:rsid w:val="003C29BC"/>
    <w:rsid w:val="003C616C"/>
    <w:rsid w:val="003D5C88"/>
    <w:rsid w:val="003D7F33"/>
    <w:rsid w:val="003E7011"/>
    <w:rsid w:val="003F7577"/>
    <w:rsid w:val="00402008"/>
    <w:rsid w:val="00404BED"/>
    <w:rsid w:val="00405AD4"/>
    <w:rsid w:val="00410C64"/>
    <w:rsid w:val="00431778"/>
    <w:rsid w:val="00434E3E"/>
    <w:rsid w:val="00435DD9"/>
    <w:rsid w:val="00436406"/>
    <w:rsid w:val="00454C7E"/>
    <w:rsid w:val="0047220B"/>
    <w:rsid w:val="00475B0C"/>
    <w:rsid w:val="004773B5"/>
    <w:rsid w:val="00490E82"/>
    <w:rsid w:val="00495F6F"/>
    <w:rsid w:val="004971C2"/>
    <w:rsid w:val="004978DB"/>
    <w:rsid w:val="004A620C"/>
    <w:rsid w:val="004A718B"/>
    <w:rsid w:val="004B2C6F"/>
    <w:rsid w:val="004B6732"/>
    <w:rsid w:val="004C6B55"/>
    <w:rsid w:val="004C72C4"/>
    <w:rsid w:val="004D0CE5"/>
    <w:rsid w:val="004D27A7"/>
    <w:rsid w:val="004E03EF"/>
    <w:rsid w:val="004E2786"/>
    <w:rsid w:val="004E2A47"/>
    <w:rsid w:val="004F148D"/>
    <w:rsid w:val="00500E55"/>
    <w:rsid w:val="00502C7B"/>
    <w:rsid w:val="00505043"/>
    <w:rsid w:val="0050608A"/>
    <w:rsid w:val="00524EC0"/>
    <w:rsid w:val="00530B5F"/>
    <w:rsid w:val="005442F0"/>
    <w:rsid w:val="00546D5A"/>
    <w:rsid w:val="00554743"/>
    <w:rsid w:val="0055546F"/>
    <w:rsid w:val="00556987"/>
    <w:rsid w:val="00563E7F"/>
    <w:rsid w:val="00567788"/>
    <w:rsid w:val="00570970"/>
    <w:rsid w:val="005811D4"/>
    <w:rsid w:val="00586E2F"/>
    <w:rsid w:val="00592266"/>
    <w:rsid w:val="005965D9"/>
    <w:rsid w:val="00596D14"/>
    <w:rsid w:val="005A18AF"/>
    <w:rsid w:val="005A2952"/>
    <w:rsid w:val="005A31D3"/>
    <w:rsid w:val="005A5F45"/>
    <w:rsid w:val="005B6AE3"/>
    <w:rsid w:val="005C2CF2"/>
    <w:rsid w:val="005E7E93"/>
    <w:rsid w:val="005F01DF"/>
    <w:rsid w:val="0060077F"/>
    <w:rsid w:val="006047DD"/>
    <w:rsid w:val="00606716"/>
    <w:rsid w:val="00615F7E"/>
    <w:rsid w:val="0062013C"/>
    <w:rsid w:val="00622515"/>
    <w:rsid w:val="006327AF"/>
    <w:rsid w:val="006350E8"/>
    <w:rsid w:val="0064538F"/>
    <w:rsid w:val="006477F7"/>
    <w:rsid w:val="00655BF5"/>
    <w:rsid w:val="00656606"/>
    <w:rsid w:val="00661EC3"/>
    <w:rsid w:val="00681C92"/>
    <w:rsid w:val="00684150"/>
    <w:rsid w:val="00692B78"/>
    <w:rsid w:val="00693AC2"/>
    <w:rsid w:val="006943C7"/>
    <w:rsid w:val="006B2137"/>
    <w:rsid w:val="006B5710"/>
    <w:rsid w:val="006B6611"/>
    <w:rsid w:val="006D2D2F"/>
    <w:rsid w:val="006D7FA6"/>
    <w:rsid w:val="006E1D9C"/>
    <w:rsid w:val="006E2B31"/>
    <w:rsid w:val="006F0D54"/>
    <w:rsid w:val="006F57B6"/>
    <w:rsid w:val="007007F6"/>
    <w:rsid w:val="00712297"/>
    <w:rsid w:val="00730265"/>
    <w:rsid w:val="007430AE"/>
    <w:rsid w:val="00745698"/>
    <w:rsid w:val="007567E8"/>
    <w:rsid w:val="00771F46"/>
    <w:rsid w:val="00790B87"/>
    <w:rsid w:val="007A320F"/>
    <w:rsid w:val="007B6327"/>
    <w:rsid w:val="007C0372"/>
    <w:rsid w:val="007C4395"/>
    <w:rsid w:val="007C78C8"/>
    <w:rsid w:val="007D7BCA"/>
    <w:rsid w:val="007E2295"/>
    <w:rsid w:val="007F702F"/>
    <w:rsid w:val="00804303"/>
    <w:rsid w:val="00810B41"/>
    <w:rsid w:val="00813151"/>
    <w:rsid w:val="0081488F"/>
    <w:rsid w:val="00821E6D"/>
    <w:rsid w:val="00824BFA"/>
    <w:rsid w:val="00825BE6"/>
    <w:rsid w:val="0083191B"/>
    <w:rsid w:val="00836C5C"/>
    <w:rsid w:val="00836CDD"/>
    <w:rsid w:val="00867D09"/>
    <w:rsid w:val="00872B0F"/>
    <w:rsid w:val="0087442A"/>
    <w:rsid w:val="00876935"/>
    <w:rsid w:val="00881D7F"/>
    <w:rsid w:val="008872A4"/>
    <w:rsid w:val="008A1D07"/>
    <w:rsid w:val="008A1E50"/>
    <w:rsid w:val="008A65DE"/>
    <w:rsid w:val="008B1D29"/>
    <w:rsid w:val="008B6082"/>
    <w:rsid w:val="008B631C"/>
    <w:rsid w:val="008C2AAF"/>
    <w:rsid w:val="008D6398"/>
    <w:rsid w:val="008E37AF"/>
    <w:rsid w:val="008E56CD"/>
    <w:rsid w:val="008F2CED"/>
    <w:rsid w:val="009072C8"/>
    <w:rsid w:val="0092521A"/>
    <w:rsid w:val="00934FBA"/>
    <w:rsid w:val="009446DA"/>
    <w:rsid w:val="00947028"/>
    <w:rsid w:val="00952FC9"/>
    <w:rsid w:val="00953459"/>
    <w:rsid w:val="0095382E"/>
    <w:rsid w:val="00972379"/>
    <w:rsid w:val="00995A78"/>
    <w:rsid w:val="009B6659"/>
    <w:rsid w:val="009C20C0"/>
    <w:rsid w:val="009C591C"/>
    <w:rsid w:val="009C6CB0"/>
    <w:rsid w:val="009C7728"/>
    <w:rsid w:val="009E51F6"/>
    <w:rsid w:val="009E6DB5"/>
    <w:rsid w:val="009F0F23"/>
    <w:rsid w:val="00A01358"/>
    <w:rsid w:val="00A04CA9"/>
    <w:rsid w:val="00A07600"/>
    <w:rsid w:val="00A11664"/>
    <w:rsid w:val="00A176DB"/>
    <w:rsid w:val="00A17B93"/>
    <w:rsid w:val="00A30F76"/>
    <w:rsid w:val="00A34AE7"/>
    <w:rsid w:val="00A35D4C"/>
    <w:rsid w:val="00A472C4"/>
    <w:rsid w:val="00A50460"/>
    <w:rsid w:val="00A52D64"/>
    <w:rsid w:val="00A56374"/>
    <w:rsid w:val="00A626E6"/>
    <w:rsid w:val="00A64982"/>
    <w:rsid w:val="00A65510"/>
    <w:rsid w:val="00A6577A"/>
    <w:rsid w:val="00A70DB3"/>
    <w:rsid w:val="00A80A02"/>
    <w:rsid w:val="00A93DEC"/>
    <w:rsid w:val="00A9455F"/>
    <w:rsid w:val="00AA35AA"/>
    <w:rsid w:val="00AA5E41"/>
    <w:rsid w:val="00AB2FEF"/>
    <w:rsid w:val="00AB6CE7"/>
    <w:rsid w:val="00AC0905"/>
    <w:rsid w:val="00AC5C9C"/>
    <w:rsid w:val="00AC6E13"/>
    <w:rsid w:val="00AC704B"/>
    <w:rsid w:val="00AD0AF4"/>
    <w:rsid w:val="00AD0DC1"/>
    <w:rsid w:val="00AD0FF4"/>
    <w:rsid w:val="00AD2725"/>
    <w:rsid w:val="00AD74CD"/>
    <w:rsid w:val="00AE6AF6"/>
    <w:rsid w:val="00AF0A61"/>
    <w:rsid w:val="00B06C0E"/>
    <w:rsid w:val="00B35E5D"/>
    <w:rsid w:val="00B44AD4"/>
    <w:rsid w:val="00B50083"/>
    <w:rsid w:val="00B51794"/>
    <w:rsid w:val="00B542D0"/>
    <w:rsid w:val="00B57EE1"/>
    <w:rsid w:val="00B63A5D"/>
    <w:rsid w:val="00B81959"/>
    <w:rsid w:val="00B87BDD"/>
    <w:rsid w:val="00B90B1F"/>
    <w:rsid w:val="00B92731"/>
    <w:rsid w:val="00B9636B"/>
    <w:rsid w:val="00BB0B3F"/>
    <w:rsid w:val="00BB1BB2"/>
    <w:rsid w:val="00BC0BDD"/>
    <w:rsid w:val="00BC20E8"/>
    <w:rsid w:val="00BC6B20"/>
    <w:rsid w:val="00BD5030"/>
    <w:rsid w:val="00BE3E38"/>
    <w:rsid w:val="00BE689E"/>
    <w:rsid w:val="00BF2A87"/>
    <w:rsid w:val="00C006B9"/>
    <w:rsid w:val="00C022E2"/>
    <w:rsid w:val="00C06304"/>
    <w:rsid w:val="00C078B5"/>
    <w:rsid w:val="00C269B0"/>
    <w:rsid w:val="00C31040"/>
    <w:rsid w:val="00C3236B"/>
    <w:rsid w:val="00C36D2E"/>
    <w:rsid w:val="00C459DE"/>
    <w:rsid w:val="00C54EB9"/>
    <w:rsid w:val="00C55948"/>
    <w:rsid w:val="00C60CC1"/>
    <w:rsid w:val="00C62286"/>
    <w:rsid w:val="00C64912"/>
    <w:rsid w:val="00C65EB4"/>
    <w:rsid w:val="00C67783"/>
    <w:rsid w:val="00C70F0A"/>
    <w:rsid w:val="00C70FA8"/>
    <w:rsid w:val="00C71781"/>
    <w:rsid w:val="00C726BD"/>
    <w:rsid w:val="00C73EEC"/>
    <w:rsid w:val="00C85211"/>
    <w:rsid w:val="00C85EA1"/>
    <w:rsid w:val="00C90C47"/>
    <w:rsid w:val="00CB2AB1"/>
    <w:rsid w:val="00CC6F2D"/>
    <w:rsid w:val="00CD1E4C"/>
    <w:rsid w:val="00CD3A00"/>
    <w:rsid w:val="00CE5E85"/>
    <w:rsid w:val="00CE7DEB"/>
    <w:rsid w:val="00CF2544"/>
    <w:rsid w:val="00CF6CB1"/>
    <w:rsid w:val="00D031F3"/>
    <w:rsid w:val="00D05D23"/>
    <w:rsid w:val="00D12B12"/>
    <w:rsid w:val="00D174E3"/>
    <w:rsid w:val="00D21669"/>
    <w:rsid w:val="00D234E7"/>
    <w:rsid w:val="00D23DC9"/>
    <w:rsid w:val="00D30BFE"/>
    <w:rsid w:val="00D320B3"/>
    <w:rsid w:val="00D34E34"/>
    <w:rsid w:val="00D4206B"/>
    <w:rsid w:val="00D47601"/>
    <w:rsid w:val="00D50A9D"/>
    <w:rsid w:val="00D63CB5"/>
    <w:rsid w:val="00D757E1"/>
    <w:rsid w:val="00D76529"/>
    <w:rsid w:val="00D83098"/>
    <w:rsid w:val="00D840C7"/>
    <w:rsid w:val="00D86F7E"/>
    <w:rsid w:val="00D94696"/>
    <w:rsid w:val="00DD2337"/>
    <w:rsid w:val="00DD5E72"/>
    <w:rsid w:val="00DE19EC"/>
    <w:rsid w:val="00DE22B8"/>
    <w:rsid w:val="00DF2BA6"/>
    <w:rsid w:val="00DF3CA4"/>
    <w:rsid w:val="00E20B0E"/>
    <w:rsid w:val="00E42A8E"/>
    <w:rsid w:val="00E56099"/>
    <w:rsid w:val="00E604E6"/>
    <w:rsid w:val="00E6152C"/>
    <w:rsid w:val="00E61A9D"/>
    <w:rsid w:val="00E67784"/>
    <w:rsid w:val="00E7240E"/>
    <w:rsid w:val="00E82012"/>
    <w:rsid w:val="00E92207"/>
    <w:rsid w:val="00EA4D43"/>
    <w:rsid w:val="00EB014B"/>
    <w:rsid w:val="00EB1F3E"/>
    <w:rsid w:val="00EC5F7D"/>
    <w:rsid w:val="00ED04F9"/>
    <w:rsid w:val="00ED1CF4"/>
    <w:rsid w:val="00EF387C"/>
    <w:rsid w:val="00EF7A6D"/>
    <w:rsid w:val="00F0291A"/>
    <w:rsid w:val="00F06F0D"/>
    <w:rsid w:val="00F13CB3"/>
    <w:rsid w:val="00F14F5C"/>
    <w:rsid w:val="00F164FF"/>
    <w:rsid w:val="00F23B86"/>
    <w:rsid w:val="00F26809"/>
    <w:rsid w:val="00F31E77"/>
    <w:rsid w:val="00F4411E"/>
    <w:rsid w:val="00F4482D"/>
    <w:rsid w:val="00F53AE9"/>
    <w:rsid w:val="00F5763F"/>
    <w:rsid w:val="00F64796"/>
    <w:rsid w:val="00F6553C"/>
    <w:rsid w:val="00F678DC"/>
    <w:rsid w:val="00F80AC7"/>
    <w:rsid w:val="00F82F57"/>
    <w:rsid w:val="00F9177B"/>
    <w:rsid w:val="00F94B97"/>
    <w:rsid w:val="00FA2274"/>
    <w:rsid w:val="00FA4B2E"/>
    <w:rsid w:val="00FA7EFD"/>
    <w:rsid w:val="00FB6078"/>
    <w:rsid w:val="00FC0C8B"/>
    <w:rsid w:val="00FC105C"/>
    <w:rsid w:val="00FC7FF7"/>
    <w:rsid w:val="00FD1A92"/>
    <w:rsid w:val="00FD2C06"/>
    <w:rsid w:val="00FD4EF8"/>
    <w:rsid w:val="00FD5832"/>
    <w:rsid w:val="00FE1AD0"/>
    <w:rsid w:val="00FE5A74"/>
    <w:rsid w:val="00FE6125"/>
    <w:rsid w:val="00FF0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35EB20"/>
  <w15:docId w15:val="{7A075AFB-E0D9-4DEB-83B5-C6F8FEFD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AE7"/>
  </w:style>
  <w:style w:type="paragraph" w:styleId="Heading1">
    <w:name w:val="heading 1"/>
    <w:basedOn w:val="Normal"/>
    <w:next w:val="Normal"/>
    <w:qFormat/>
    <w:rsid w:val="00A34AE7"/>
    <w:pPr>
      <w:keepNext/>
      <w:ind w:left="3600" w:firstLine="720"/>
      <w:outlineLvl w:val="0"/>
    </w:pPr>
    <w:rPr>
      <w:sz w:val="24"/>
    </w:rPr>
  </w:style>
  <w:style w:type="paragraph" w:styleId="Heading3">
    <w:name w:val="heading 3"/>
    <w:basedOn w:val="Normal"/>
    <w:next w:val="Normal"/>
    <w:qFormat/>
    <w:rsid w:val="00020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4AE7"/>
    <w:pPr>
      <w:tabs>
        <w:tab w:val="center" w:pos="4320"/>
        <w:tab w:val="right" w:pos="8640"/>
      </w:tabs>
    </w:pPr>
  </w:style>
  <w:style w:type="paragraph" w:styleId="Footer">
    <w:name w:val="footer"/>
    <w:basedOn w:val="Normal"/>
    <w:rsid w:val="00A34AE7"/>
    <w:pPr>
      <w:tabs>
        <w:tab w:val="center" w:pos="4320"/>
        <w:tab w:val="right" w:pos="8640"/>
      </w:tabs>
    </w:pPr>
  </w:style>
  <w:style w:type="character" w:styleId="PageNumber">
    <w:name w:val="page number"/>
    <w:rsid w:val="00A34AE7"/>
    <w:rPr>
      <w:rFonts w:cs="Times New Roman"/>
    </w:rPr>
  </w:style>
  <w:style w:type="paragraph" w:styleId="BodyText">
    <w:name w:val="Body Text"/>
    <w:basedOn w:val="Normal"/>
    <w:link w:val="BodyTextChar"/>
    <w:rsid w:val="00A34AE7"/>
    <w:rPr>
      <w:sz w:val="24"/>
    </w:rPr>
  </w:style>
  <w:style w:type="paragraph" w:styleId="BodyText2">
    <w:name w:val="Body Text 2"/>
    <w:basedOn w:val="Normal"/>
    <w:rsid w:val="00A34AE7"/>
    <w:rPr>
      <w:sz w:val="24"/>
    </w:rPr>
  </w:style>
  <w:style w:type="paragraph" w:styleId="BalloonText">
    <w:name w:val="Balloon Text"/>
    <w:basedOn w:val="Normal"/>
    <w:semiHidden/>
    <w:rsid w:val="00DF2BA6"/>
    <w:rPr>
      <w:rFonts w:ascii="Tahoma" w:hAnsi="Tahoma" w:cs="Tahoma"/>
      <w:sz w:val="16"/>
      <w:szCs w:val="16"/>
    </w:rPr>
  </w:style>
  <w:style w:type="paragraph" w:customStyle="1" w:styleId="Default">
    <w:name w:val="Default"/>
    <w:rsid w:val="006B2137"/>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7430AE"/>
  </w:style>
  <w:style w:type="character" w:customStyle="1" w:styleId="FootnoteTextChar">
    <w:name w:val="Footnote Text Char"/>
    <w:basedOn w:val="DefaultParagraphFont"/>
    <w:link w:val="FootnoteText"/>
    <w:uiPriority w:val="99"/>
    <w:rsid w:val="007430AE"/>
  </w:style>
  <w:style w:type="character" w:styleId="FootnoteReference">
    <w:name w:val="footnote reference"/>
    <w:uiPriority w:val="99"/>
    <w:unhideWhenUsed/>
    <w:rsid w:val="007430AE"/>
    <w:rPr>
      <w:vertAlign w:val="superscript"/>
    </w:rPr>
  </w:style>
  <w:style w:type="character" w:styleId="Hyperlink">
    <w:name w:val="Hyperlink"/>
    <w:uiPriority w:val="99"/>
    <w:unhideWhenUsed/>
    <w:rsid w:val="007430AE"/>
    <w:rPr>
      <w:color w:val="0000FF"/>
      <w:u w:val="single"/>
    </w:rPr>
  </w:style>
  <w:style w:type="character" w:styleId="CommentReference">
    <w:name w:val="annotation reference"/>
    <w:rsid w:val="00554743"/>
    <w:rPr>
      <w:sz w:val="16"/>
      <w:szCs w:val="16"/>
    </w:rPr>
  </w:style>
  <w:style w:type="paragraph" w:styleId="CommentText">
    <w:name w:val="annotation text"/>
    <w:basedOn w:val="Normal"/>
    <w:link w:val="CommentTextChar"/>
    <w:rsid w:val="00554743"/>
  </w:style>
  <w:style w:type="character" w:customStyle="1" w:styleId="CommentTextChar">
    <w:name w:val="Comment Text Char"/>
    <w:basedOn w:val="DefaultParagraphFont"/>
    <w:link w:val="CommentText"/>
    <w:rsid w:val="00554743"/>
  </w:style>
  <w:style w:type="paragraph" w:styleId="CommentSubject">
    <w:name w:val="annotation subject"/>
    <w:basedOn w:val="CommentText"/>
    <w:next w:val="CommentText"/>
    <w:link w:val="CommentSubjectChar"/>
    <w:rsid w:val="00554743"/>
    <w:rPr>
      <w:b/>
      <w:bCs/>
    </w:rPr>
  </w:style>
  <w:style w:type="character" w:customStyle="1" w:styleId="CommentSubjectChar">
    <w:name w:val="Comment Subject Char"/>
    <w:link w:val="CommentSubject"/>
    <w:rsid w:val="00554743"/>
    <w:rPr>
      <w:b/>
      <w:bCs/>
    </w:rPr>
  </w:style>
  <w:style w:type="paragraph" w:styleId="ListParagraph">
    <w:name w:val="List Paragraph"/>
    <w:basedOn w:val="Normal"/>
    <w:uiPriority w:val="34"/>
    <w:qFormat/>
    <w:rsid w:val="00C62286"/>
    <w:pPr>
      <w:spacing w:after="200" w:line="276" w:lineRule="auto"/>
      <w:ind w:left="720"/>
      <w:contextualSpacing/>
    </w:pPr>
    <w:rPr>
      <w:rFonts w:ascii="Calibri" w:eastAsia="Calibri" w:hAnsi="Calibri" w:cs="Calibri"/>
      <w:sz w:val="22"/>
      <w:szCs w:val="22"/>
    </w:rPr>
  </w:style>
  <w:style w:type="character" w:customStyle="1" w:styleId="BodyTextChar">
    <w:name w:val="Body Text Char"/>
    <w:link w:val="BodyText"/>
    <w:rsid w:val="00D12B12"/>
    <w:rPr>
      <w:sz w:val="24"/>
    </w:rPr>
  </w:style>
  <w:style w:type="paragraph" w:styleId="Revision">
    <w:name w:val="Revision"/>
    <w:hidden/>
    <w:uiPriority w:val="99"/>
    <w:semiHidden/>
    <w:rsid w:val="00435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1175989">
      <w:bodyDiv w:val="1"/>
      <w:marLeft w:val="0"/>
      <w:marRight w:val="0"/>
      <w:marTop w:val="0"/>
      <w:marBottom w:val="0"/>
      <w:divBdr>
        <w:top w:val="none" w:sz="0" w:space="0" w:color="auto"/>
        <w:left w:val="none" w:sz="0" w:space="0" w:color="auto"/>
        <w:bottom w:val="none" w:sz="0" w:space="0" w:color="auto"/>
        <w:right w:val="none" w:sz="0" w:space="0" w:color="auto"/>
      </w:divBdr>
    </w:div>
    <w:div w:id="170144898">
      <w:bodyDiv w:val="1"/>
      <w:marLeft w:val="0"/>
      <w:marRight w:val="0"/>
      <w:marTop w:val="0"/>
      <w:marBottom w:val="0"/>
      <w:divBdr>
        <w:top w:val="none" w:sz="0" w:space="0" w:color="auto"/>
        <w:left w:val="none" w:sz="0" w:space="0" w:color="auto"/>
        <w:bottom w:val="none" w:sz="0" w:space="0" w:color="auto"/>
        <w:right w:val="none" w:sz="0" w:space="0" w:color="auto"/>
      </w:divBdr>
    </w:div>
    <w:div w:id="316109642">
      <w:bodyDiv w:val="1"/>
      <w:marLeft w:val="0"/>
      <w:marRight w:val="0"/>
      <w:marTop w:val="0"/>
      <w:marBottom w:val="0"/>
      <w:divBdr>
        <w:top w:val="none" w:sz="0" w:space="0" w:color="auto"/>
        <w:left w:val="none" w:sz="0" w:space="0" w:color="auto"/>
        <w:bottom w:val="none" w:sz="0" w:space="0" w:color="auto"/>
        <w:right w:val="none" w:sz="0" w:space="0" w:color="auto"/>
      </w:divBdr>
    </w:div>
    <w:div w:id="343481338">
      <w:bodyDiv w:val="1"/>
      <w:marLeft w:val="0"/>
      <w:marRight w:val="0"/>
      <w:marTop w:val="0"/>
      <w:marBottom w:val="0"/>
      <w:divBdr>
        <w:top w:val="none" w:sz="0" w:space="0" w:color="auto"/>
        <w:left w:val="none" w:sz="0" w:space="0" w:color="auto"/>
        <w:bottom w:val="none" w:sz="0" w:space="0" w:color="auto"/>
        <w:right w:val="none" w:sz="0" w:space="0" w:color="auto"/>
      </w:divBdr>
    </w:div>
    <w:div w:id="366293419">
      <w:bodyDiv w:val="1"/>
      <w:marLeft w:val="0"/>
      <w:marRight w:val="0"/>
      <w:marTop w:val="0"/>
      <w:marBottom w:val="0"/>
      <w:divBdr>
        <w:top w:val="none" w:sz="0" w:space="0" w:color="auto"/>
        <w:left w:val="none" w:sz="0" w:space="0" w:color="auto"/>
        <w:bottom w:val="none" w:sz="0" w:space="0" w:color="auto"/>
        <w:right w:val="none" w:sz="0" w:space="0" w:color="auto"/>
      </w:divBdr>
    </w:div>
    <w:div w:id="381052647">
      <w:bodyDiv w:val="1"/>
      <w:marLeft w:val="0"/>
      <w:marRight w:val="0"/>
      <w:marTop w:val="0"/>
      <w:marBottom w:val="0"/>
      <w:divBdr>
        <w:top w:val="none" w:sz="0" w:space="0" w:color="auto"/>
        <w:left w:val="none" w:sz="0" w:space="0" w:color="auto"/>
        <w:bottom w:val="none" w:sz="0" w:space="0" w:color="auto"/>
        <w:right w:val="none" w:sz="0" w:space="0" w:color="auto"/>
      </w:divBdr>
    </w:div>
    <w:div w:id="390691354">
      <w:bodyDiv w:val="1"/>
      <w:marLeft w:val="0"/>
      <w:marRight w:val="0"/>
      <w:marTop w:val="0"/>
      <w:marBottom w:val="0"/>
      <w:divBdr>
        <w:top w:val="none" w:sz="0" w:space="0" w:color="auto"/>
        <w:left w:val="none" w:sz="0" w:space="0" w:color="auto"/>
        <w:bottom w:val="none" w:sz="0" w:space="0" w:color="auto"/>
        <w:right w:val="none" w:sz="0" w:space="0" w:color="auto"/>
      </w:divBdr>
    </w:div>
    <w:div w:id="417530756">
      <w:bodyDiv w:val="1"/>
      <w:marLeft w:val="0"/>
      <w:marRight w:val="0"/>
      <w:marTop w:val="0"/>
      <w:marBottom w:val="0"/>
      <w:divBdr>
        <w:top w:val="none" w:sz="0" w:space="0" w:color="auto"/>
        <w:left w:val="none" w:sz="0" w:space="0" w:color="auto"/>
        <w:bottom w:val="none" w:sz="0" w:space="0" w:color="auto"/>
        <w:right w:val="none" w:sz="0" w:space="0" w:color="auto"/>
      </w:divBdr>
    </w:div>
    <w:div w:id="443891405">
      <w:bodyDiv w:val="1"/>
      <w:marLeft w:val="0"/>
      <w:marRight w:val="0"/>
      <w:marTop w:val="0"/>
      <w:marBottom w:val="0"/>
      <w:divBdr>
        <w:top w:val="none" w:sz="0" w:space="0" w:color="auto"/>
        <w:left w:val="none" w:sz="0" w:space="0" w:color="auto"/>
        <w:bottom w:val="none" w:sz="0" w:space="0" w:color="auto"/>
        <w:right w:val="none" w:sz="0" w:space="0" w:color="auto"/>
      </w:divBdr>
    </w:div>
    <w:div w:id="492260272">
      <w:bodyDiv w:val="1"/>
      <w:marLeft w:val="0"/>
      <w:marRight w:val="0"/>
      <w:marTop w:val="0"/>
      <w:marBottom w:val="0"/>
      <w:divBdr>
        <w:top w:val="none" w:sz="0" w:space="0" w:color="auto"/>
        <w:left w:val="none" w:sz="0" w:space="0" w:color="auto"/>
        <w:bottom w:val="none" w:sz="0" w:space="0" w:color="auto"/>
        <w:right w:val="none" w:sz="0" w:space="0" w:color="auto"/>
      </w:divBdr>
      <w:divsChild>
        <w:div w:id="138234355">
          <w:marLeft w:val="1166"/>
          <w:marRight w:val="0"/>
          <w:marTop w:val="96"/>
          <w:marBottom w:val="0"/>
          <w:divBdr>
            <w:top w:val="none" w:sz="0" w:space="0" w:color="auto"/>
            <w:left w:val="none" w:sz="0" w:space="0" w:color="auto"/>
            <w:bottom w:val="none" w:sz="0" w:space="0" w:color="auto"/>
            <w:right w:val="none" w:sz="0" w:space="0" w:color="auto"/>
          </w:divBdr>
        </w:div>
        <w:div w:id="1179849472">
          <w:marLeft w:val="1166"/>
          <w:marRight w:val="0"/>
          <w:marTop w:val="96"/>
          <w:marBottom w:val="0"/>
          <w:divBdr>
            <w:top w:val="none" w:sz="0" w:space="0" w:color="auto"/>
            <w:left w:val="none" w:sz="0" w:space="0" w:color="auto"/>
            <w:bottom w:val="none" w:sz="0" w:space="0" w:color="auto"/>
            <w:right w:val="none" w:sz="0" w:space="0" w:color="auto"/>
          </w:divBdr>
        </w:div>
        <w:div w:id="1385905382">
          <w:marLeft w:val="1166"/>
          <w:marRight w:val="0"/>
          <w:marTop w:val="96"/>
          <w:marBottom w:val="0"/>
          <w:divBdr>
            <w:top w:val="none" w:sz="0" w:space="0" w:color="auto"/>
            <w:left w:val="none" w:sz="0" w:space="0" w:color="auto"/>
            <w:bottom w:val="none" w:sz="0" w:space="0" w:color="auto"/>
            <w:right w:val="none" w:sz="0" w:space="0" w:color="auto"/>
          </w:divBdr>
        </w:div>
        <w:div w:id="1865753136">
          <w:marLeft w:val="1166"/>
          <w:marRight w:val="0"/>
          <w:marTop w:val="96"/>
          <w:marBottom w:val="0"/>
          <w:divBdr>
            <w:top w:val="none" w:sz="0" w:space="0" w:color="auto"/>
            <w:left w:val="none" w:sz="0" w:space="0" w:color="auto"/>
            <w:bottom w:val="none" w:sz="0" w:space="0" w:color="auto"/>
            <w:right w:val="none" w:sz="0" w:space="0" w:color="auto"/>
          </w:divBdr>
        </w:div>
      </w:divsChild>
    </w:div>
    <w:div w:id="500464945">
      <w:bodyDiv w:val="1"/>
      <w:marLeft w:val="0"/>
      <w:marRight w:val="0"/>
      <w:marTop w:val="0"/>
      <w:marBottom w:val="0"/>
      <w:divBdr>
        <w:top w:val="none" w:sz="0" w:space="0" w:color="auto"/>
        <w:left w:val="none" w:sz="0" w:space="0" w:color="auto"/>
        <w:bottom w:val="none" w:sz="0" w:space="0" w:color="auto"/>
        <w:right w:val="none" w:sz="0" w:space="0" w:color="auto"/>
      </w:divBdr>
    </w:div>
    <w:div w:id="521552931">
      <w:bodyDiv w:val="1"/>
      <w:marLeft w:val="0"/>
      <w:marRight w:val="0"/>
      <w:marTop w:val="0"/>
      <w:marBottom w:val="0"/>
      <w:divBdr>
        <w:top w:val="none" w:sz="0" w:space="0" w:color="auto"/>
        <w:left w:val="none" w:sz="0" w:space="0" w:color="auto"/>
        <w:bottom w:val="none" w:sz="0" w:space="0" w:color="auto"/>
        <w:right w:val="none" w:sz="0" w:space="0" w:color="auto"/>
      </w:divBdr>
    </w:div>
    <w:div w:id="558977038">
      <w:bodyDiv w:val="1"/>
      <w:marLeft w:val="0"/>
      <w:marRight w:val="0"/>
      <w:marTop w:val="0"/>
      <w:marBottom w:val="0"/>
      <w:divBdr>
        <w:top w:val="none" w:sz="0" w:space="0" w:color="auto"/>
        <w:left w:val="none" w:sz="0" w:space="0" w:color="auto"/>
        <w:bottom w:val="none" w:sz="0" w:space="0" w:color="auto"/>
        <w:right w:val="none" w:sz="0" w:space="0" w:color="auto"/>
      </w:divBdr>
    </w:div>
    <w:div w:id="628778747">
      <w:bodyDiv w:val="1"/>
      <w:marLeft w:val="0"/>
      <w:marRight w:val="0"/>
      <w:marTop w:val="0"/>
      <w:marBottom w:val="0"/>
      <w:divBdr>
        <w:top w:val="none" w:sz="0" w:space="0" w:color="auto"/>
        <w:left w:val="none" w:sz="0" w:space="0" w:color="auto"/>
        <w:bottom w:val="none" w:sz="0" w:space="0" w:color="auto"/>
        <w:right w:val="none" w:sz="0" w:space="0" w:color="auto"/>
      </w:divBdr>
    </w:div>
    <w:div w:id="688920473">
      <w:bodyDiv w:val="1"/>
      <w:marLeft w:val="0"/>
      <w:marRight w:val="0"/>
      <w:marTop w:val="0"/>
      <w:marBottom w:val="0"/>
      <w:divBdr>
        <w:top w:val="none" w:sz="0" w:space="0" w:color="auto"/>
        <w:left w:val="none" w:sz="0" w:space="0" w:color="auto"/>
        <w:bottom w:val="none" w:sz="0" w:space="0" w:color="auto"/>
        <w:right w:val="none" w:sz="0" w:space="0" w:color="auto"/>
      </w:divBdr>
    </w:div>
    <w:div w:id="815296093">
      <w:bodyDiv w:val="1"/>
      <w:marLeft w:val="0"/>
      <w:marRight w:val="0"/>
      <w:marTop w:val="0"/>
      <w:marBottom w:val="0"/>
      <w:divBdr>
        <w:top w:val="none" w:sz="0" w:space="0" w:color="auto"/>
        <w:left w:val="none" w:sz="0" w:space="0" w:color="auto"/>
        <w:bottom w:val="none" w:sz="0" w:space="0" w:color="auto"/>
        <w:right w:val="none" w:sz="0" w:space="0" w:color="auto"/>
      </w:divBdr>
      <w:divsChild>
        <w:div w:id="264462462">
          <w:marLeft w:val="547"/>
          <w:marRight w:val="0"/>
          <w:marTop w:val="82"/>
          <w:marBottom w:val="0"/>
          <w:divBdr>
            <w:top w:val="none" w:sz="0" w:space="0" w:color="auto"/>
            <w:left w:val="none" w:sz="0" w:space="0" w:color="auto"/>
            <w:bottom w:val="none" w:sz="0" w:space="0" w:color="auto"/>
            <w:right w:val="none" w:sz="0" w:space="0" w:color="auto"/>
          </w:divBdr>
        </w:div>
        <w:div w:id="309411620">
          <w:marLeft w:val="547"/>
          <w:marRight w:val="0"/>
          <w:marTop w:val="82"/>
          <w:marBottom w:val="0"/>
          <w:divBdr>
            <w:top w:val="none" w:sz="0" w:space="0" w:color="auto"/>
            <w:left w:val="none" w:sz="0" w:space="0" w:color="auto"/>
            <w:bottom w:val="none" w:sz="0" w:space="0" w:color="auto"/>
            <w:right w:val="none" w:sz="0" w:space="0" w:color="auto"/>
          </w:divBdr>
        </w:div>
        <w:div w:id="771318722">
          <w:marLeft w:val="547"/>
          <w:marRight w:val="0"/>
          <w:marTop w:val="82"/>
          <w:marBottom w:val="0"/>
          <w:divBdr>
            <w:top w:val="none" w:sz="0" w:space="0" w:color="auto"/>
            <w:left w:val="none" w:sz="0" w:space="0" w:color="auto"/>
            <w:bottom w:val="none" w:sz="0" w:space="0" w:color="auto"/>
            <w:right w:val="none" w:sz="0" w:space="0" w:color="auto"/>
          </w:divBdr>
        </w:div>
      </w:divsChild>
    </w:div>
    <w:div w:id="969743474">
      <w:bodyDiv w:val="1"/>
      <w:marLeft w:val="0"/>
      <w:marRight w:val="0"/>
      <w:marTop w:val="0"/>
      <w:marBottom w:val="0"/>
      <w:divBdr>
        <w:top w:val="none" w:sz="0" w:space="0" w:color="auto"/>
        <w:left w:val="none" w:sz="0" w:space="0" w:color="auto"/>
        <w:bottom w:val="none" w:sz="0" w:space="0" w:color="auto"/>
        <w:right w:val="none" w:sz="0" w:space="0" w:color="auto"/>
      </w:divBdr>
    </w:div>
    <w:div w:id="970669397">
      <w:bodyDiv w:val="1"/>
      <w:marLeft w:val="0"/>
      <w:marRight w:val="0"/>
      <w:marTop w:val="0"/>
      <w:marBottom w:val="0"/>
      <w:divBdr>
        <w:top w:val="none" w:sz="0" w:space="0" w:color="auto"/>
        <w:left w:val="none" w:sz="0" w:space="0" w:color="auto"/>
        <w:bottom w:val="none" w:sz="0" w:space="0" w:color="auto"/>
        <w:right w:val="none" w:sz="0" w:space="0" w:color="auto"/>
      </w:divBdr>
    </w:div>
    <w:div w:id="1039549718">
      <w:bodyDiv w:val="1"/>
      <w:marLeft w:val="0"/>
      <w:marRight w:val="0"/>
      <w:marTop w:val="0"/>
      <w:marBottom w:val="0"/>
      <w:divBdr>
        <w:top w:val="none" w:sz="0" w:space="0" w:color="auto"/>
        <w:left w:val="none" w:sz="0" w:space="0" w:color="auto"/>
        <w:bottom w:val="none" w:sz="0" w:space="0" w:color="auto"/>
        <w:right w:val="none" w:sz="0" w:space="0" w:color="auto"/>
      </w:divBdr>
    </w:div>
    <w:div w:id="1072699977">
      <w:bodyDiv w:val="1"/>
      <w:marLeft w:val="0"/>
      <w:marRight w:val="0"/>
      <w:marTop w:val="0"/>
      <w:marBottom w:val="0"/>
      <w:divBdr>
        <w:top w:val="none" w:sz="0" w:space="0" w:color="auto"/>
        <w:left w:val="none" w:sz="0" w:space="0" w:color="auto"/>
        <w:bottom w:val="none" w:sz="0" w:space="0" w:color="auto"/>
        <w:right w:val="none" w:sz="0" w:space="0" w:color="auto"/>
      </w:divBdr>
    </w:div>
    <w:div w:id="1096443874">
      <w:bodyDiv w:val="1"/>
      <w:marLeft w:val="0"/>
      <w:marRight w:val="0"/>
      <w:marTop w:val="0"/>
      <w:marBottom w:val="0"/>
      <w:divBdr>
        <w:top w:val="none" w:sz="0" w:space="0" w:color="auto"/>
        <w:left w:val="none" w:sz="0" w:space="0" w:color="auto"/>
        <w:bottom w:val="none" w:sz="0" w:space="0" w:color="auto"/>
        <w:right w:val="none" w:sz="0" w:space="0" w:color="auto"/>
      </w:divBdr>
    </w:div>
    <w:div w:id="1314288664">
      <w:bodyDiv w:val="1"/>
      <w:marLeft w:val="0"/>
      <w:marRight w:val="0"/>
      <w:marTop w:val="0"/>
      <w:marBottom w:val="0"/>
      <w:divBdr>
        <w:top w:val="none" w:sz="0" w:space="0" w:color="auto"/>
        <w:left w:val="none" w:sz="0" w:space="0" w:color="auto"/>
        <w:bottom w:val="none" w:sz="0" w:space="0" w:color="auto"/>
        <w:right w:val="none" w:sz="0" w:space="0" w:color="auto"/>
      </w:divBdr>
    </w:div>
    <w:div w:id="1380401969">
      <w:bodyDiv w:val="1"/>
      <w:marLeft w:val="0"/>
      <w:marRight w:val="0"/>
      <w:marTop w:val="0"/>
      <w:marBottom w:val="0"/>
      <w:divBdr>
        <w:top w:val="none" w:sz="0" w:space="0" w:color="auto"/>
        <w:left w:val="none" w:sz="0" w:space="0" w:color="auto"/>
        <w:bottom w:val="none" w:sz="0" w:space="0" w:color="auto"/>
        <w:right w:val="none" w:sz="0" w:space="0" w:color="auto"/>
      </w:divBdr>
    </w:div>
    <w:div w:id="1408570929">
      <w:bodyDiv w:val="1"/>
      <w:marLeft w:val="0"/>
      <w:marRight w:val="0"/>
      <w:marTop w:val="0"/>
      <w:marBottom w:val="0"/>
      <w:divBdr>
        <w:top w:val="none" w:sz="0" w:space="0" w:color="auto"/>
        <w:left w:val="none" w:sz="0" w:space="0" w:color="auto"/>
        <w:bottom w:val="none" w:sz="0" w:space="0" w:color="auto"/>
        <w:right w:val="none" w:sz="0" w:space="0" w:color="auto"/>
      </w:divBdr>
    </w:div>
    <w:div w:id="1493565903">
      <w:bodyDiv w:val="1"/>
      <w:marLeft w:val="0"/>
      <w:marRight w:val="0"/>
      <w:marTop w:val="0"/>
      <w:marBottom w:val="0"/>
      <w:divBdr>
        <w:top w:val="none" w:sz="0" w:space="0" w:color="auto"/>
        <w:left w:val="none" w:sz="0" w:space="0" w:color="auto"/>
        <w:bottom w:val="none" w:sz="0" w:space="0" w:color="auto"/>
        <w:right w:val="none" w:sz="0" w:space="0" w:color="auto"/>
      </w:divBdr>
    </w:div>
    <w:div w:id="1614096836">
      <w:bodyDiv w:val="1"/>
      <w:marLeft w:val="0"/>
      <w:marRight w:val="0"/>
      <w:marTop w:val="0"/>
      <w:marBottom w:val="0"/>
      <w:divBdr>
        <w:top w:val="none" w:sz="0" w:space="0" w:color="auto"/>
        <w:left w:val="none" w:sz="0" w:space="0" w:color="auto"/>
        <w:bottom w:val="none" w:sz="0" w:space="0" w:color="auto"/>
        <w:right w:val="none" w:sz="0" w:space="0" w:color="auto"/>
      </w:divBdr>
    </w:div>
    <w:div w:id="1657607838">
      <w:bodyDiv w:val="1"/>
      <w:marLeft w:val="0"/>
      <w:marRight w:val="0"/>
      <w:marTop w:val="0"/>
      <w:marBottom w:val="0"/>
      <w:divBdr>
        <w:top w:val="none" w:sz="0" w:space="0" w:color="auto"/>
        <w:left w:val="none" w:sz="0" w:space="0" w:color="auto"/>
        <w:bottom w:val="none" w:sz="0" w:space="0" w:color="auto"/>
        <w:right w:val="none" w:sz="0" w:space="0" w:color="auto"/>
      </w:divBdr>
    </w:div>
    <w:div w:id="1694572467">
      <w:bodyDiv w:val="1"/>
      <w:marLeft w:val="0"/>
      <w:marRight w:val="0"/>
      <w:marTop w:val="0"/>
      <w:marBottom w:val="0"/>
      <w:divBdr>
        <w:top w:val="none" w:sz="0" w:space="0" w:color="auto"/>
        <w:left w:val="none" w:sz="0" w:space="0" w:color="auto"/>
        <w:bottom w:val="none" w:sz="0" w:space="0" w:color="auto"/>
        <w:right w:val="none" w:sz="0" w:space="0" w:color="auto"/>
      </w:divBdr>
      <w:divsChild>
        <w:div w:id="202210618">
          <w:marLeft w:val="1166"/>
          <w:marRight w:val="0"/>
          <w:marTop w:val="0"/>
          <w:marBottom w:val="0"/>
          <w:divBdr>
            <w:top w:val="none" w:sz="0" w:space="0" w:color="auto"/>
            <w:left w:val="none" w:sz="0" w:space="0" w:color="auto"/>
            <w:bottom w:val="none" w:sz="0" w:space="0" w:color="auto"/>
            <w:right w:val="none" w:sz="0" w:space="0" w:color="auto"/>
          </w:divBdr>
        </w:div>
        <w:div w:id="855652273">
          <w:marLeft w:val="1166"/>
          <w:marRight w:val="0"/>
          <w:marTop w:val="0"/>
          <w:marBottom w:val="0"/>
          <w:divBdr>
            <w:top w:val="none" w:sz="0" w:space="0" w:color="auto"/>
            <w:left w:val="none" w:sz="0" w:space="0" w:color="auto"/>
            <w:bottom w:val="none" w:sz="0" w:space="0" w:color="auto"/>
            <w:right w:val="none" w:sz="0" w:space="0" w:color="auto"/>
          </w:divBdr>
        </w:div>
        <w:div w:id="868030980">
          <w:marLeft w:val="1166"/>
          <w:marRight w:val="0"/>
          <w:marTop w:val="0"/>
          <w:marBottom w:val="0"/>
          <w:divBdr>
            <w:top w:val="none" w:sz="0" w:space="0" w:color="auto"/>
            <w:left w:val="none" w:sz="0" w:space="0" w:color="auto"/>
            <w:bottom w:val="none" w:sz="0" w:space="0" w:color="auto"/>
            <w:right w:val="none" w:sz="0" w:space="0" w:color="auto"/>
          </w:divBdr>
        </w:div>
        <w:div w:id="1157720469">
          <w:marLeft w:val="1166"/>
          <w:marRight w:val="0"/>
          <w:marTop w:val="0"/>
          <w:marBottom w:val="0"/>
          <w:divBdr>
            <w:top w:val="none" w:sz="0" w:space="0" w:color="auto"/>
            <w:left w:val="none" w:sz="0" w:space="0" w:color="auto"/>
            <w:bottom w:val="none" w:sz="0" w:space="0" w:color="auto"/>
            <w:right w:val="none" w:sz="0" w:space="0" w:color="auto"/>
          </w:divBdr>
        </w:div>
        <w:div w:id="1539127402">
          <w:marLeft w:val="1166"/>
          <w:marRight w:val="0"/>
          <w:marTop w:val="0"/>
          <w:marBottom w:val="0"/>
          <w:divBdr>
            <w:top w:val="none" w:sz="0" w:space="0" w:color="auto"/>
            <w:left w:val="none" w:sz="0" w:space="0" w:color="auto"/>
            <w:bottom w:val="none" w:sz="0" w:space="0" w:color="auto"/>
            <w:right w:val="none" w:sz="0" w:space="0" w:color="auto"/>
          </w:divBdr>
        </w:div>
        <w:div w:id="2074426006">
          <w:marLeft w:val="1166"/>
          <w:marRight w:val="0"/>
          <w:marTop w:val="0"/>
          <w:marBottom w:val="0"/>
          <w:divBdr>
            <w:top w:val="none" w:sz="0" w:space="0" w:color="auto"/>
            <w:left w:val="none" w:sz="0" w:space="0" w:color="auto"/>
            <w:bottom w:val="none" w:sz="0" w:space="0" w:color="auto"/>
            <w:right w:val="none" w:sz="0" w:space="0" w:color="auto"/>
          </w:divBdr>
        </w:div>
      </w:divsChild>
    </w:div>
    <w:div w:id="1726368603">
      <w:bodyDiv w:val="1"/>
      <w:marLeft w:val="0"/>
      <w:marRight w:val="0"/>
      <w:marTop w:val="0"/>
      <w:marBottom w:val="0"/>
      <w:divBdr>
        <w:top w:val="none" w:sz="0" w:space="0" w:color="auto"/>
        <w:left w:val="none" w:sz="0" w:space="0" w:color="auto"/>
        <w:bottom w:val="none" w:sz="0" w:space="0" w:color="auto"/>
        <w:right w:val="none" w:sz="0" w:space="0" w:color="auto"/>
      </w:divBdr>
    </w:div>
    <w:div w:id="1921794947">
      <w:bodyDiv w:val="1"/>
      <w:marLeft w:val="0"/>
      <w:marRight w:val="0"/>
      <w:marTop w:val="0"/>
      <w:marBottom w:val="0"/>
      <w:divBdr>
        <w:top w:val="none" w:sz="0" w:space="0" w:color="auto"/>
        <w:left w:val="none" w:sz="0" w:space="0" w:color="auto"/>
        <w:bottom w:val="none" w:sz="0" w:space="0" w:color="auto"/>
        <w:right w:val="none" w:sz="0" w:space="0" w:color="auto"/>
      </w:divBdr>
    </w:div>
    <w:div w:id="198380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se.com/savingsandenergycenter/tips-tools-ideas/Pages/Find-a-contractor.aspx?utm_source=google&amp;utm_medium=keyword_search&amp;utm_campaign=CAN&amp;WT.mc_id=1056" TargetMode="External"/><Relationship Id="rId18" Type="http://schemas.openxmlformats.org/officeDocument/2006/relationships/image" Target="media/image4.gi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cid:image001.png@01D11595.29F5A590"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chart" Target="charts/chart2.xml"/><Relationship Id="rId10" Type="http://schemas.openxmlformats.org/officeDocument/2006/relationships/footnotes" Target="footnotes.xml"/><Relationship Id="rId19" Type="http://schemas.openxmlformats.org/officeDocument/2006/relationships/image" Target="cid:image003.png@01D11887.9996981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se.com/savingsandenergycenter/tips-tools-ideas/Pages/Energy-Efficiency-Financing.aspx" TargetMode="External"/><Relationship Id="rId22" Type="http://schemas.openxmlformats.org/officeDocument/2006/relationships/hyperlink" Target="http://www.utc.wa.gov/_layouts/CasesPublicWebsite/GetDocument.ashx?docID=159&amp;year=1992&amp;docketNumber=920840" TargetMode="External"/><Relationship Id="rId27" Type="http://schemas.openxmlformats.org/officeDocument/2006/relationships/customXml" Target="../customXml/item6.xml"/></Relationships>
</file>

<file path=word/charts/_rels/chart1.xml.rels><?xml version="1.0" encoding="UTF-8" standalone="yes"?>
<Relationships xmlns="http://schemas.openxmlformats.org/package/2006/relationships"><Relationship Id="rId2" Type="http://schemas.openxmlformats.org/officeDocument/2006/relationships/oleObject" Target="file:///\\SESTDPT1.PUGET.COM\SOPSCCI\5-Products%20&amp;%20Services\Leasing%20Expansion-BCG\2015%20Advocacy%20Plan\Copy%20of%20RBSA%20ReQuery%20for%20Malcolm.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dirty="0" smtClean="0"/>
              <a:t>Percentage of existing equipment that is</a:t>
            </a:r>
            <a:r>
              <a:rPr lang="en-US" sz="1200" baseline="0" dirty="0" smtClean="0"/>
              <a:t> </a:t>
            </a:r>
            <a:r>
              <a:rPr lang="en-US" sz="1200" dirty="0" smtClean="0"/>
              <a:t>15 years or</a:t>
            </a:r>
            <a:r>
              <a:rPr lang="en-US" sz="1200" baseline="0" dirty="0" smtClean="0"/>
              <a:t> </a:t>
            </a:r>
            <a:r>
              <a:rPr lang="en-US" sz="1200" dirty="0" smtClean="0"/>
              <a:t>older</a:t>
            </a:r>
            <a:endParaRPr lang="en-US" sz="1200" dirty="0"/>
          </a:p>
        </c:rich>
      </c:tx>
      <c:layout>
        <c:manualLayout>
          <c:xMode val="edge"/>
          <c:yMode val="edge"/>
          <c:x val="0.17394024820971452"/>
          <c:y val="0"/>
        </c:manualLayout>
      </c:layout>
      <c:overlay val="0"/>
    </c:title>
    <c:autoTitleDeleted val="0"/>
    <c:plotArea>
      <c:layout>
        <c:manualLayout>
          <c:layoutTarget val="inner"/>
          <c:xMode val="edge"/>
          <c:yMode val="edge"/>
          <c:x val="0.13930895624348327"/>
          <c:y val="0.26837890718205681"/>
          <c:w val="0.82050839535469022"/>
          <c:h val="0.57979288952517294"/>
        </c:manualLayout>
      </c:layout>
      <c:barChart>
        <c:barDir val="col"/>
        <c:grouping val="stacked"/>
        <c:varyColors val="0"/>
        <c:ser>
          <c:idx val="0"/>
          <c:order val="0"/>
          <c:tx>
            <c:strRef>
              <c:f>Sheet1!$B$2</c:f>
              <c:strCache>
                <c:ptCount val="1"/>
                <c:pt idx="0">
                  <c:v>Percent</c:v>
                </c:pt>
              </c:strCache>
            </c:strRef>
          </c:tx>
          <c:invertIfNegative val="0"/>
          <c:dLbls>
            <c:dLbl>
              <c:idx val="0"/>
              <c:layout>
                <c:manualLayout>
                  <c:x val="0"/>
                  <c:y val="-0.2836402090659814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1151916838537833E-3"/>
                  <c:y val="-0.30286566967303663"/>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776157609928388E-3"/>
                  <c:y val="-0.29822348049190478"/>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5554763854197978E-3"/>
                  <c:y val="-0.30285330343451666"/>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Sheet1!$A$3:$A$6</c:f>
              <c:strCache>
                <c:ptCount val="4"/>
                <c:pt idx="0">
                  <c:v>Gas FAF</c:v>
                </c:pt>
                <c:pt idx="1">
                  <c:v>Air-Source HP</c:v>
                </c:pt>
                <c:pt idx="2">
                  <c:v>Elec WH</c:v>
                </c:pt>
                <c:pt idx="3">
                  <c:v>Gas WH</c:v>
                </c:pt>
              </c:strCache>
            </c:strRef>
          </c:cat>
          <c:val>
            <c:numRef>
              <c:f>Sheet1!$B$3:$B$6</c:f>
              <c:numCache>
                <c:formatCode>0%</c:formatCode>
                <c:ptCount val="4"/>
                <c:pt idx="0">
                  <c:v>0.41583318015986948</c:v>
                </c:pt>
                <c:pt idx="1">
                  <c:v>0.3571428571428571</c:v>
                </c:pt>
                <c:pt idx="2">
                  <c:v>0.37454650017106195</c:v>
                </c:pt>
                <c:pt idx="3">
                  <c:v>0.36506195823967047</c:v>
                </c:pt>
              </c:numCache>
            </c:numRef>
          </c:val>
        </c:ser>
        <c:dLbls>
          <c:showLegendKey val="0"/>
          <c:showVal val="0"/>
          <c:showCatName val="0"/>
          <c:showSerName val="0"/>
          <c:showPercent val="0"/>
          <c:showBubbleSize val="0"/>
        </c:dLbls>
        <c:gapWidth val="150"/>
        <c:overlap val="100"/>
        <c:axId val="219461984"/>
        <c:axId val="219462376"/>
      </c:barChart>
      <c:catAx>
        <c:axId val="219461984"/>
        <c:scaling>
          <c:orientation val="minMax"/>
        </c:scaling>
        <c:delete val="0"/>
        <c:axPos val="b"/>
        <c:numFmt formatCode="General" sourceLinked="0"/>
        <c:majorTickMark val="out"/>
        <c:minorTickMark val="none"/>
        <c:tickLblPos val="nextTo"/>
        <c:crossAx val="219462376"/>
        <c:crosses val="autoZero"/>
        <c:auto val="1"/>
        <c:lblAlgn val="ctr"/>
        <c:lblOffset val="100"/>
        <c:noMultiLvlLbl val="0"/>
      </c:catAx>
      <c:valAx>
        <c:axId val="219462376"/>
        <c:scaling>
          <c:orientation val="minMax"/>
          <c:max val="1"/>
          <c:min val="0"/>
        </c:scaling>
        <c:delete val="0"/>
        <c:axPos val="l"/>
        <c:majorGridlines/>
        <c:numFmt formatCode="0%" sourceLinked="1"/>
        <c:majorTickMark val="out"/>
        <c:minorTickMark val="none"/>
        <c:tickLblPos val="nextTo"/>
        <c:crossAx val="219461984"/>
        <c:crosses val="autoZero"/>
        <c:crossBetween val="between"/>
        <c:majorUnit val="0.2"/>
        <c:minorUnit val="0.2"/>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Comparison of Existing Leasing Programs and Expanded Options</a:t>
            </a:r>
          </a:p>
          <a:p>
            <a:pPr>
              <a:defRPr/>
            </a:pPr>
            <a:r>
              <a:rPr lang="en-US" sz="1200"/>
              <a:t>Millions</a:t>
            </a:r>
            <a:r>
              <a:rPr lang="en-US" sz="1200" baseline="0"/>
              <a:t> of $ of Annual Revenues</a:t>
            </a:r>
            <a:r>
              <a:rPr lang="en-US" sz="1200"/>
              <a:t> </a:t>
            </a:r>
          </a:p>
        </c:rich>
      </c:tx>
      <c:layout/>
      <c:overlay val="1"/>
    </c:title>
    <c:autoTitleDeleted val="0"/>
    <c:plotArea>
      <c:layout>
        <c:manualLayout>
          <c:layoutTarget val="inner"/>
          <c:xMode val="edge"/>
          <c:yMode val="edge"/>
          <c:x val="0.44436701325563466"/>
          <c:y val="0.22370579400118337"/>
          <c:w val="0.50435197255362174"/>
          <c:h val="0.73390499597954884"/>
        </c:manualLayout>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Sheet1!$E$5:$E$9</c:f>
              <c:strCache>
                <c:ptCount val="5"/>
                <c:pt idx="0">
                  <c:v>Current Equipment Leasing</c:v>
                </c:pt>
                <c:pt idx="1">
                  <c:v>Current Substation Leasing</c:v>
                </c:pt>
                <c:pt idx="2">
                  <c:v>Current Lighting Leasing</c:v>
                </c:pt>
                <c:pt idx="3">
                  <c:v>Optional Gas Compression Sevice</c:v>
                </c:pt>
                <c:pt idx="4">
                  <c:v>Proposed Expanded Equipment Leasing</c:v>
                </c:pt>
              </c:strCache>
            </c:strRef>
          </c:cat>
          <c:val>
            <c:numRef>
              <c:f>Sheet1!$F$5:$F$9</c:f>
              <c:numCache>
                <c:formatCode>_("$"* #,##0_);_("$"* \(#,##0\);_("$"* "-"??_);_(@_)</c:formatCode>
                <c:ptCount val="5"/>
                <c:pt idx="0" formatCode="_(&quot;$&quot;* #,##0.0_);_(&quot;$&quot;* \(#,##0.0\);_(&quot;$&quot;* &quot;-&quot;??_);_(@_)">
                  <c:v>7.5</c:v>
                </c:pt>
                <c:pt idx="1">
                  <c:v>4</c:v>
                </c:pt>
                <c:pt idx="2">
                  <c:v>18</c:v>
                </c:pt>
                <c:pt idx="3">
                  <c:v>0</c:v>
                </c:pt>
                <c:pt idx="4">
                  <c:v>13.2</c:v>
                </c:pt>
              </c:numCache>
            </c:numRef>
          </c:val>
        </c:ser>
        <c:dLbls>
          <c:showLegendKey val="0"/>
          <c:showVal val="0"/>
          <c:showCatName val="0"/>
          <c:showSerName val="0"/>
          <c:showPercent val="0"/>
          <c:showBubbleSize val="0"/>
        </c:dLbls>
        <c:gapWidth val="150"/>
        <c:axId val="219459632"/>
        <c:axId val="219459240"/>
      </c:barChart>
      <c:catAx>
        <c:axId val="219459632"/>
        <c:scaling>
          <c:orientation val="maxMin"/>
        </c:scaling>
        <c:delete val="0"/>
        <c:axPos val="l"/>
        <c:numFmt formatCode="General" sourceLinked="0"/>
        <c:majorTickMark val="out"/>
        <c:minorTickMark val="none"/>
        <c:tickLblPos val="nextTo"/>
        <c:crossAx val="219459240"/>
        <c:crosses val="autoZero"/>
        <c:auto val="1"/>
        <c:lblAlgn val="ctr"/>
        <c:lblOffset val="100"/>
        <c:noMultiLvlLbl val="0"/>
      </c:catAx>
      <c:valAx>
        <c:axId val="219459240"/>
        <c:scaling>
          <c:orientation val="minMax"/>
        </c:scaling>
        <c:delete val="0"/>
        <c:axPos val="t"/>
        <c:majorGridlines/>
        <c:numFmt formatCode="_(&quot;$&quot;* #,##0.0_);_(&quot;$&quot;* \(#,##0.0\);_(&quot;$&quot;* &quot;-&quot;??_);_(@_)" sourceLinked="1"/>
        <c:majorTickMark val="out"/>
        <c:minorTickMark val="none"/>
        <c:tickLblPos val="nextTo"/>
        <c:crossAx val="219459632"/>
        <c:crosses val="autoZero"/>
        <c:crossBetween val="between"/>
        <c:majorUnit val="4"/>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2015-11-06T08:00:00+00:00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47E1A48-5CA9-4343-A0B8-C2E29A8FBEB6}"/>
</file>

<file path=customXml/itemProps2.xml><?xml version="1.0" encoding="utf-8"?>
<ds:datastoreItem xmlns:ds="http://schemas.openxmlformats.org/officeDocument/2006/customXml" ds:itemID="{B4588E17-B74B-4F58-8280-7DEB0AD4B50D}"/>
</file>

<file path=customXml/itemProps3.xml><?xml version="1.0" encoding="utf-8"?>
<ds:datastoreItem xmlns:ds="http://schemas.openxmlformats.org/officeDocument/2006/customXml" ds:itemID="{DC3E077E-FA56-4D66-AE75-FE08E8EC022A}"/>
</file>

<file path=customXml/itemProps4.xml><?xml version="1.0" encoding="utf-8"?>
<ds:datastoreItem xmlns:ds="http://schemas.openxmlformats.org/officeDocument/2006/customXml" ds:itemID="{C341A93E-EB13-40C6-9A69-92035C5DDD9C}"/>
</file>

<file path=customXml/itemProps5.xml><?xml version="1.0" encoding="utf-8"?>
<ds:datastoreItem xmlns:ds="http://schemas.openxmlformats.org/officeDocument/2006/customXml" ds:itemID="{E729C858-68EA-4F47-8A17-EF9C45611CEC}"/>
</file>

<file path=customXml/itemProps6.xml><?xml version="1.0" encoding="utf-8"?>
<ds:datastoreItem xmlns:ds="http://schemas.openxmlformats.org/officeDocument/2006/customXml" ds:itemID="{9F2A55D6-9893-4D63-95D0-A2FE47CE0A26}"/>
</file>

<file path=docProps/app.xml><?xml version="1.0" encoding="utf-8"?>
<Properties xmlns="http://schemas.openxmlformats.org/officeDocument/2006/extended-properties" xmlns:vt="http://schemas.openxmlformats.org/officeDocument/2006/docPropsVTypes">
  <Template>Normal.dotm</Template>
  <TotalTime>1</TotalTime>
  <Pages>9</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15731</CharactersWithSpaces>
  <SharedDoc>false</SharedDoc>
  <HLinks>
    <vt:vector size="24" baseType="variant">
      <vt:variant>
        <vt:i4>6356993</vt:i4>
      </vt:variant>
      <vt:variant>
        <vt:i4>6</vt:i4>
      </vt:variant>
      <vt:variant>
        <vt:i4>0</vt:i4>
      </vt:variant>
      <vt:variant>
        <vt:i4>5</vt:i4>
      </vt:variant>
      <vt:variant>
        <vt:lpwstr>http://www.utc.wa.gov/_layouts/CasesPublicWebsite/GetDocument.ashx?docID=159&amp;year=1992&amp;docketNumber=920840</vt:lpwstr>
      </vt:variant>
      <vt:variant>
        <vt:lpwstr/>
      </vt:variant>
      <vt:variant>
        <vt:i4>5046280</vt:i4>
      </vt:variant>
      <vt:variant>
        <vt:i4>3</vt:i4>
      </vt:variant>
      <vt:variant>
        <vt:i4>0</vt:i4>
      </vt:variant>
      <vt:variant>
        <vt:i4>5</vt:i4>
      </vt:variant>
      <vt:variant>
        <vt:lpwstr>http://pse.com/savingsandenergycenter/tips-tools-ideas/Pages/Energy-Efficiency-Financing.aspx</vt:lpwstr>
      </vt:variant>
      <vt:variant>
        <vt:lpwstr/>
      </vt:variant>
      <vt:variant>
        <vt:i4>1572924</vt:i4>
      </vt:variant>
      <vt:variant>
        <vt:i4>0</vt:i4>
      </vt:variant>
      <vt:variant>
        <vt:i4>0</vt:i4>
      </vt:variant>
      <vt:variant>
        <vt:i4>5</vt:i4>
      </vt:variant>
      <vt:variant>
        <vt:lpwstr>http://pse.com/savingsandenergycenter/tips-tools-ideas/Pages/Find-a-contractor.aspx?utm_source=google&amp;utm_medium=keyword_search&amp;utm_campaign=CAN&amp;WT.mc_id=1056</vt:lpwstr>
      </vt:variant>
      <vt:variant>
        <vt:lpwstr/>
      </vt:variant>
      <vt:variant>
        <vt:i4>3407958</vt:i4>
      </vt:variant>
      <vt:variant>
        <vt:i4>15850</vt:i4>
      </vt:variant>
      <vt:variant>
        <vt:i4>1028</vt:i4>
      </vt:variant>
      <vt:variant>
        <vt:i4>1</vt:i4>
      </vt:variant>
      <vt:variant>
        <vt:lpwstr>cid:image001.png@01D11595.29F5A590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Farrow, Benjamin T.</dc:creator>
  <cp:lastModifiedBy>Wyse, Lisa (UTC)</cp:lastModifiedBy>
  <cp:revision>2</cp:revision>
  <cp:lastPrinted>2015-11-06T23:43:00Z</cp:lastPrinted>
  <dcterms:created xsi:type="dcterms:W3CDTF">2015-11-09T21:10:00Z</dcterms:created>
  <dcterms:modified xsi:type="dcterms:W3CDTF">2015-11-09T21:10:00Z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ABAAVOAfoSrQoyzEbN3kl0ksmSE+7brdG/oMPkZP7d6w+BD3RnCYJTbEymPwpI1MLI4r</vt:lpwstr>
  </property>
  <property fmtid="{D5CDD505-2E9C-101B-9397-08002B2CF9AE}" pid="3" name="MAIL_MSG_ID2">
    <vt:lpwstr>VchE8INjqoNM2N8DdpX9G2Fcx9i6DEl4IHszryQCj6TgNEblP3SpqL/m425_x000d_
bj0WNGGygyCoO6jc1++bF+Dagio/c9+3kWygmQ==</vt:lpwstr>
  </property>
  <property fmtid="{D5CDD505-2E9C-101B-9397-08002B2CF9AE}" pid="4" name="RESPONSE_SENDER_NAME">
    <vt:lpwstr>gAAAdya76B99d4hLGUR1rQ+8TxTv0GGEPdix</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0x0101006E56B4D1795A2E4DB2F0B01679ED314A00DC7BB5660140574DABE5A3ED87B5838C</vt:lpwstr>
  </property>
  <property fmtid="{D5CDD505-2E9C-101B-9397-08002B2CF9AE}" pid="7" name="_docset_NoMedatataSyncRequired">
    <vt:lpwstr>False</vt:lpwstr>
  </property>
</Properties>
</file>