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9645C" w14:textId="77777777" w:rsidR="000B11EF" w:rsidRPr="00525321" w:rsidRDefault="000B11EF" w:rsidP="000B11EF">
      <w:pPr>
        <w:rPr>
          <w:rFonts w:ascii="Times New Roman" w:hAnsi="Times New Roman"/>
        </w:rPr>
      </w:pPr>
      <w:bookmarkStart w:id="0" w:name="_GoBack"/>
      <w:bookmarkEnd w:id="0"/>
      <w:r w:rsidRPr="00525321">
        <w:rPr>
          <w:rFonts w:ascii="Times New Roman" w:hAnsi="Times New Roman"/>
        </w:rPr>
        <w:t>Agenda Date:</w:t>
      </w:r>
      <w:r w:rsidRPr="00525321">
        <w:rPr>
          <w:rFonts w:ascii="Times New Roman" w:hAnsi="Times New Roman"/>
        </w:rPr>
        <w:tab/>
      </w:r>
      <w:r w:rsidRPr="00525321">
        <w:rPr>
          <w:rFonts w:ascii="Times New Roman" w:hAnsi="Times New Roman"/>
        </w:rPr>
        <w:tab/>
        <w:t>July 30, 2015</w:t>
      </w:r>
    </w:p>
    <w:p w14:paraId="19C9645D" w14:textId="5E286CAB" w:rsidR="000B11EF" w:rsidRPr="00525321" w:rsidRDefault="00B85848" w:rsidP="000B11EF">
      <w:pPr>
        <w:ind w:left="2160" w:hanging="2160"/>
        <w:rPr>
          <w:rFonts w:ascii="Times New Roman" w:hAnsi="Times New Roman"/>
        </w:rPr>
      </w:pPr>
      <w:r>
        <w:rPr>
          <w:rFonts w:ascii="Times New Roman" w:hAnsi="Times New Roman"/>
        </w:rPr>
        <w:t>Item Number:</w:t>
      </w:r>
      <w:r>
        <w:rPr>
          <w:rFonts w:ascii="Times New Roman" w:hAnsi="Times New Roman"/>
        </w:rPr>
        <w:tab/>
        <w:t>A6</w:t>
      </w:r>
    </w:p>
    <w:p w14:paraId="19C9645E" w14:textId="77777777" w:rsidR="000B11EF" w:rsidRPr="00525321" w:rsidRDefault="000B11EF" w:rsidP="000B11EF">
      <w:pPr>
        <w:rPr>
          <w:rFonts w:ascii="Times New Roman" w:hAnsi="Times New Roman"/>
          <w:highlight w:val="yellow"/>
        </w:rPr>
      </w:pPr>
    </w:p>
    <w:p w14:paraId="19C9645F" w14:textId="77777777" w:rsidR="000B11EF" w:rsidRPr="00525321" w:rsidRDefault="000B11EF" w:rsidP="000B11EF">
      <w:pPr>
        <w:rPr>
          <w:rFonts w:ascii="Times New Roman" w:hAnsi="Times New Roman"/>
          <w:b/>
          <w:bCs/>
        </w:rPr>
      </w:pPr>
      <w:r w:rsidRPr="00525321">
        <w:rPr>
          <w:rFonts w:ascii="Times New Roman" w:hAnsi="Times New Roman"/>
          <w:b/>
          <w:bCs/>
        </w:rPr>
        <w:t>Docket:</w:t>
      </w:r>
      <w:r w:rsidRPr="00525321">
        <w:rPr>
          <w:rFonts w:ascii="Times New Roman" w:hAnsi="Times New Roman"/>
          <w:b/>
          <w:bCs/>
        </w:rPr>
        <w:tab/>
      </w:r>
      <w:r w:rsidRPr="00525321">
        <w:rPr>
          <w:rFonts w:ascii="Times New Roman" w:hAnsi="Times New Roman"/>
          <w:b/>
          <w:bCs/>
        </w:rPr>
        <w:tab/>
        <w:t>UE-151164</w:t>
      </w:r>
    </w:p>
    <w:p w14:paraId="19C96460" w14:textId="77777777" w:rsidR="000B11EF" w:rsidRPr="00525321" w:rsidRDefault="000B11EF" w:rsidP="000B11EF">
      <w:pPr>
        <w:ind w:left="2160" w:hanging="2160"/>
        <w:rPr>
          <w:rFonts w:ascii="Times New Roman" w:hAnsi="Times New Roman"/>
        </w:rPr>
      </w:pPr>
      <w:r w:rsidRPr="00525321">
        <w:rPr>
          <w:rFonts w:ascii="Times New Roman" w:hAnsi="Times New Roman"/>
        </w:rPr>
        <w:t>Company:</w:t>
      </w:r>
      <w:r w:rsidRPr="00525321">
        <w:rPr>
          <w:rFonts w:ascii="Times New Roman" w:hAnsi="Times New Roman"/>
        </w:rPr>
        <w:tab/>
        <w:t>Puget Sound Energy</w:t>
      </w:r>
    </w:p>
    <w:p w14:paraId="19C96461" w14:textId="77777777" w:rsidR="000B11EF" w:rsidRPr="00525321" w:rsidRDefault="000B11EF" w:rsidP="000B11EF">
      <w:pPr>
        <w:rPr>
          <w:rFonts w:ascii="Times New Roman" w:hAnsi="Times New Roman"/>
          <w:highlight w:val="yellow"/>
        </w:rPr>
      </w:pPr>
    </w:p>
    <w:p w14:paraId="19C96462" w14:textId="77777777" w:rsidR="000B11EF" w:rsidRPr="00525321" w:rsidRDefault="000B11EF" w:rsidP="000B11EF">
      <w:pPr>
        <w:rPr>
          <w:rFonts w:ascii="Times New Roman" w:hAnsi="Times New Roman"/>
        </w:rPr>
      </w:pPr>
      <w:r w:rsidRPr="00525321">
        <w:rPr>
          <w:rFonts w:ascii="Times New Roman" w:hAnsi="Times New Roman"/>
        </w:rPr>
        <w:t>Staff:</w:t>
      </w:r>
      <w:r w:rsidRPr="00525321">
        <w:rPr>
          <w:rFonts w:ascii="Times New Roman" w:hAnsi="Times New Roman"/>
        </w:rPr>
        <w:tab/>
      </w:r>
      <w:r w:rsidRPr="00525321">
        <w:rPr>
          <w:rFonts w:ascii="Times New Roman" w:hAnsi="Times New Roman"/>
        </w:rPr>
        <w:tab/>
      </w:r>
      <w:r w:rsidRPr="00525321">
        <w:rPr>
          <w:rFonts w:ascii="Times New Roman" w:hAnsi="Times New Roman"/>
        </w:rPr>
        <w:tab/>
        <w:t>Jeremy Twitchell, Regulatory Analyst</w:t>
      </w:r>
    </w:p>
    <w:p w14:paraId="19C96463" w14:textId="77777777" w:rsidR="000B11EF" w:rsidRPr="00525321" w:rsidRDefault="000B11EF" w:rsidP="000B11EF">
      <w:pPr>
        <w:rPr>
          <w:rFonts w:ascii="Times New Roman" w:hAnsi="Times New Roman"/>
        </w:rPr>
      </w:pPr>
    </w:p>
    <w:p w14:paraId="19C96464" w14:textId="77777777" w:rsidR="000B11EF" w:rsidRPr="00525321" w:rsidRDefault="000B11EF" w:rsidP="000B11EF">
      <w:pPr>
        <w:rPr>
          <w:rFonts w:ascii="Times New Roman" w:hAnsi="Times New Roman"/>
          <w:b/>
          <w:bCs/>
          <w:u w:val="single"/>
        </w:rPr>
      </w:pPr>
      <w:r w:rsidRPr="00525321">
        <w:rPr>
          <w:rFonts w:ascii="Times New Roman" w:hAnsi="Times New Roman"/>
          <w:b/>
          <w:bCs/>
          <w:u w:val="single"/>
        </w:rPr>
        <w:t>Recommendation</w:t>
      </w:r>
    </w:p>
    <w:p w14:paraId="19C96465" w14:textId="77777777" w:rsidR="000B11EF" w:rsidRPr="00525321" w:rsidRDefault="000B11EF" w:rsidP="000B11EF">
      <w:pPr>
        <w:rPr>
          <w:rFonts w:ascii="Times New Roman" w:hAnsi="Times New Roman"/>
        </w:rPr>
      </w:pPr>
    </w:p>
    <w:p w14:paraId="19C96466" w14:textId="77777777" w:rsidR="000B11EF" w:rsidRDefault="000B11EF" w:rsidP="000B11EF">
      <w:pPr>
        <w:rPr>
          <w:rFonts w:ascii="Times New Roman" w:hAnsi="Times New Roman"/>
        </w:rPr>
      </w:pPr>
      <w:r w:rsidRPr="00525321">
        <w:rPr>
          <w:rFonts w:ascii="Times New Roman" w:hAnsi="Times New Roman"/>
        </w:rPr>
        <w:t xml:space="preserve">Issue an Order in Docket UE-151164 finding: </w:t>
      </w:r>
    </w:p>
    <w:p w14:paraId="36373C1A" w14:textId="77777777" w:rsidR="00A11942" w:rsidRPr="00525321" w:rsidRDefault="00A11942" w:rsidP="000B11EF">
      <w:pPr>
        <w:rPr>
          <w:rFonts w:ascii="Times New Roman" w:hAnsi="Times New Roman"/>
        </w:rPr>
      </w:pPr>
    </w:p>
    <w:p w14:paraId="19C96467" w14:textId="77777777" w:rsidR="000B11EF" w:rsidRPr="00525321" w:rsidRDefault="000B11EF" w:rsidP="000B11EF">
      <w:pPr>
        <w:numPr>
          <w:ilvl w:val="0"/>
          <w:numId w:val="1"/>
        </w:numPr>
        <w:ind w:left="1080"/>
        <w:rPr>
          <w:rFonts w:ascii="Times New Roman" w:hAnsi="Times New Roman"/>
        </w:rPr>
      </w:pPr>
      <w:r w:rsidRPr="00525321">
        <w:rPr>
          <w:rFonts w:ascii="Times New Roman" w:hAnsi="Times New Roman"/>
        </w:rPr>
        <w:t xml:space="preserve">Under RCW 19.285.040(2)(a)(i) and WAC 480-109-200(1)(a), the 2015 renewable energy target for Puget Sound Energy is 626,663 megawatt-hours. </w:t>
      </w:r>
    </w:p>
    <w:p w14:paraId="19C96468" w14:textId="77777777" w:rsidR="000B11EF" w:rsidRPr="00525321" w:rsidRDefault="000B11EF" w:rsidP="000B11EF">
      <w:pPr>
        <w:numPr>
          <w:ilvl w:val="0"/>
          <w:numId w:val="1"/>
        </w:numPr>
        <w:ind w:left="1080"/>
        <w:rPr>
          <w:rFonts w:ascii="Times New Roman" w:hAnsi="Times New Roman"/>
        </w:rPr>
      </w:pPr>
      <w:r w:rsidRPr="00525321">
        <w:rPr>
          <w:rFonts w:ascii="Times New Roman" w:hAnsi="Times New Roman"/>
        </w:rPr>
        <w:t>Puget Sound Energy has complied with the June 1, 2015, reporting requirements pursuant to WAC 480-109-210. These reporting requirements include Puget Sound Energy’s plan for meeting its RPS obligation in 2015.</w:t>
      </w:r>
    </w:p>
    <w:p w14:paraId="19C96469" w14:textId="77777777" w:rsidR="000B11EF" w:rsidRPr="00525321" w:rsidRDefault="000B11EF" w:rsidP="000B11EF">
      <w:pPr>
        <w:numPr>
          <w:ilvl w:val="0"/>
          <w:numId w:val="1"/>
        </w:numPr>
        <w:ind w:left="1080"/>
        <w:rPr>
          <w:rFonts w:ascii="Times New Roman" w:hAnsi="Times New Roman"/>
        </w:rPr>
      </w:pPr>
      <w:r w:rsidRPr="00525321">
        <w:rPr>
          <w:rFonts w:ascii="Times New Roman" w:hAnsi="Times New Roman"/>
        </w:rPr>
        <w:t>Puget Sound Energy has demonstrated that, by January 1, 2015, Puget Sound Energy acquired at least 626,663 megawatt-hours of eligible renewable resources, equivalent renewable energy credits, or a combination of them</w:t>
      </w:r>
      <w:r w:rsidR="004C7A7F" w:rsidRPr="00525321">
        <w:rPr>
          <w:rFonts w:ascii="Times New Roman" w:hAnsi="Times New Roman"/>
        </w:rPr>
        <w:t>, for its use in 2015</w:t>
      </w:r>
      <w:r w:rsidRPr="00525321">
        <w:rPr>
          <w:rFonts w:ascii="Times New Roman" w:hAnsi="Times New Roman"/>
        </w:rPr>
        <w:t>, as required by RCW 19.285</w:t>
      </w:r>
      <w:r w:rsidR="004C7A7F" w:rsidRPr="00525321">
        <w:rPr>
          <w:rFonts w:ascii="Times New Roman" w:hAnsi="Times New Roman"/>
        </w:rPr>
        <w:t>.040(2)(a)(i) and WAC 480-109-20</w:t>
      </w:r>
      <w:r w:rsidRPr="00525321">
        <w:rPr>
          <w:rFonts w:ascii="Times New Roman" w:hAnsi="Times New Roman"/>
        </w:rPr>
        <w:t xml:space="preserve">0(1)(a). </w:t>
      </w:r>
    </w:p>
    <w:p w14:paraId="19C9646A" w14:textId="77777777" w:rsidR="000B11EF" w:rsidRPr="00525321" w:rsidRDefault="000B11EF" w:rsidP="000B11EF">
      <w:pPr>
        <w:numPr>
          <w:ilvl w:val="0"/>
          <w:numId w:val="1"/>
        </w:numPr>
        <w:ind w:left="1080"/>
        <w:rPr>
          <w:rFonts w:ascii="Times New Roman" w:hAnsi="Times New Roman"/>
        </w:rPr>
      </w:pPr>
      <w:r w:rsidRPr="00525321">
        <w:rPr>
          <w:rFonts w:ascii="Times New Roman" w:hAnsi="Times New Roman"/>
        </w:rPr>
        <w:t>Puget Sound Energy must file a second repo</w:t>
      </w:r>
      <w:r w:rsidR="004C7A7F" w:rsidRPr="00525321">
        <w:rPr>
          <w:rFonts w:ascii="Times New Roman" w:hAnsi="Times New Roman"/>
        </w:rPr>
        <w:t>rt no later than June 1, 2017</w:t>
      </w:r>
      <w:r w:rsidRPr="00525321">
        <w:rPr>
          <w:rFonts w:ascii="Times New Roman" w:hAnsi="Times New Roman"/>
        </w:rPr>
        <w:t>, that lists the certificate numbers in the Western Renewable Energy Generation Information System for every megawatt-hour and renewable energy credit that Puget Sound Energy retired to meet the January 1</w:t>
      </w:r>
      <w:r w:rsidR="004C7A7F" w:rsidRPr="00525321">
        <w:rPr>
          <w:rFonts w:ascii="Times New Roman" w:hAnsi="Times New Roman"/>
        </w:rPr>
        <w:t>, 2015</w:t>
      </w:r>
      <w:r w:rsidRPr="00525321">
        <w:rPr>
          <w:rFonts w:ascii="Times New Roman" w:hAnsi="Times New Roman"/>
        </w:rPr>
        <w:t xml:space="preserve">, target. </w:t>
      </w:r>
    </w:p>
    <w:p w14:paraId="19C9646B" w14:textId="77777777" w:rsidR="000B11EF" w:rsidRPr="00525321" w:rsidRDefault="000B11EF" w:rsidP="000B11EF">
      <w:pPr>
        <w:rPr>
          <w:rFonts w:ascii="Times New Roman" w:hAnsi="Times New Roman"/>
        </w:rPr>
      </w:pPr>
    </w:p>
    <w:p w14:paraId="19C9646C" w14:textId="77777777" w:rsidR="000B11EF" w:rsidRPr="00525321" w:rsidRDefault="000B11EF" w:rsidP="000B11EF">
      <w:pPr>
        <w:rPr>
          <w:rFonts w:ascii="Times New Roman" w:hAnsi="Times New Roman"/>
          <w:b/>
          <w:u w:val="single"/>
        </w:rPr>
      </w:pPr>
      <w:r w:rsidRPr="00525321">
        <w:rPr>
          <w:rFonts w:ascii="Times New Roman" w:hAnsi="Times New Roman"/>
          <w:b/>
          <w:u w:val="single"/>
        </w:rPr>
        <w:t>Background</w:t>
      </w:r>
    </w:p>
    <w:p w14:paraId="19C9646D" w14:textId="77777777" w:rsidR="000B11EF" w:rsidRPr="00525321" w:rsidRDefault="000B11EF" w:rsidP="000B11EF">
      <w:pPr>
        <w:rPr>
          <w:rFonts w:ascii="Times New Roman" w:hAnsi="Times New Roman"/>
        </w:rPr>
      </w:pPr>
    </w:p>
    <w:p w14:paraId="19C9646E" w14:textId="77777777" w:rsidR="000B11EF" w:rsidRPr="00525321" w:rsidRDefault="000B11EF" w:rsidP="000B11EF">
      <w:pPr>
        <w:rPr>
          <w:rFonts w:ascii="Times New Roman" w:hAnsi="Times New Roman"/>
        </w:rPr>
      </w:pPr>
      <w:r w:rsidRPr="00525321">
        <w:rPr>
          <w:rFonts w:ascii="Times New Roman" w:hAnsi="Times New Roman"/>
        </w:rP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sidRPr="00525321">
        <w:rPr>
          <w:rStyle w:val="FootnoteReference"/>
          <w:rFonts w:ascii="Times New Roman" w:hAnsi="Times New Roman"/>
        </w:rPr>
        <w:footnoteReference w:id="1"/>
      </w:r>
      <w:r w:rsidRPr="00525321">
        <w:rPr>
          <w:rFonts w:ascii="Times New Roman" w:hAnsi="Times New Roman"/>
        </w:rPr>
        <w:t xml:space="preserve">  </w:t>
      </w:r>
    </w:p>
    <w:p w14:paraId="19C9646F" w14:textId="77777777" w:rsidR="000B11EF" w:rsidRPr="00525321" w:rsidRDefault="000B11EF" w:rsidP="000B11EF">
      <w:pPr>
        <w:rPr>
          <w:rFonts w:ascii="Times New Roman" w:hAnsi="Times New Roman"/>
        </w:rPr>
      </w:pPr>
    </w:p>
    <w:p w14:paraId="19C96470" w14:textId="77777777" w:rsidR="000B11EF" w:rsidRPr="00525321" w:rsidRDefault="000B11EF" w:rsidP="000B11EF">
      <w:pPr>
        <w:rPr>
          <w:rFonts w:ascii="Times New Roman" w:hAnsi="Times New Roman"/>
        </w:rPr>
      </w:pPr>
      <w:r w:rsidRPr="00525321">
        <w:rPr>
          <w:rFonts w:ascii="Times New Roman" w:hAnsi="Times New Roman"/>
        </w:rPr>
        <w:t>The Washington Utilities and Transportation Commission (commission) is responsible for administering the EIA for the state’s three investor-owned utilities (IOUs).</w:t>
      </w:r>
      <w:r w:rsidRPr="00525321">
        <w:rPr>
          <w:rStyle w:val="FootnoteReference"/>
          <w:rFonts w:ascii="Times New Roman" w:hAnsi="Times New Roman"/>
        </w:rPr>
        <w:footnoteReference w:id="2"/>
      </w:r>
      <w:r w:rsidRPr="00525321">
        <w:rPr>
          <w:rFonts w:ascii="Times New Roman" w:hAnsi="Times New Roman"/>
        </w:rPr>
        <w:t xml:space="preserve"> The commission has adopted a two-step process for determining RPS</w:t>
      </w:r>
      <w:r w:rsidR="00727A87">
        <w:rPr>
          <w:rFonts w:ascii="Times New Roman" w:hAnsi="Times New Roman"/>
        </w:rPr>
        <w:t xml:space="preserve"> compliance</w:t>
      </w:r>
      <w:r w:rsidRPr="00525321">
        <w:rPr>
          <w:rFonts w:ascii="Times New Roman" w:hAnsi="Times New Roman"/>
        </w:rPr>
        <w:t>. The first step is the annual compliance report required by statute, in which a utility must calculate its RPS target for that year as prescribed by the EIA</w:t>
      </w:r>
      <w:r w:rsidRPr="00525321">
        <w:rPr>
          <w:rStyle w:val="FootnoteReference"/>
          <w:rFonts w:ascii="Times New Roman" w:hAnsi="Times New Roman"/>
        </w:rPr>
        <w:footnoteReference w:id="3"/>
      </w:r>
      <w:r w:rsidRPr="00525321">
        <w:rPr>
          <w:rFonts w:ascii="Times New Roman" w:hAnsi="Times New Roman"/>
        </w:rPr>
        <w:t xml:space="preserve"> and document that by January 1 of that year, the utility had acquired enough renewable resources and renewable energy credits to meet the target. </w:t>
      </w:r>
    </w:p>
    <w:p w14:paraId="19C96471" w14:textId="77777777" w:rsidR="000B11EF" w:rsidRPr="00525321" w:rsidRDefault="000B11EF" w:rsidP="000B11EF">
      <w:pPr>
        <w:rPr>
          <w:rFonts w:ascii="Times New Roman" w:hAnsi="Times New Roman"/>
        </w:rPr>
      </w:pPr>
    </w:p>
    <w:p w14:paraId="19C96472" w14:textId="77777777" w:rsidR="000B11EF" w:rsidRPr="00525321" w:rsidRDefault="000B11EF" w:rsidP="000B11EF">
      <w:pPr>
        <w:rPr>
          <w:rFonts w:ascii="Times New Roman" w:hAnsi="Times New Roman"/>
        </w:rPr>
      </w:pPr>
      <w:r w:rsidRPr="00525321">
        <w:rPr>
          <w:rFonts w:ascii="Times New Roman" w:hAnsi="Times New Roman"/>
        </w:rPr>
        <w:lastRenderedPageBreak/>
        <w:t xml:space="preserve">The second step is a </w:t>
      </w:r>
      <w:r w:rsidR="00727A87">
        <w:rPr>
          <w:rFonts w:ascii="Times New Roman" w:hAnsi="Times New Roman"/>
        </w:rPr>
        <w:t>final</w:t>
      </w:r>
      <w:r w:rsidRPr="00525321">
        <w:rPr>
          <w:rFonts w:ascii="Times New Roman" w:hAnsi="Times New Roman"/>
        </w:rPr>
        <w:t xml:space="preserve"> report to be filed in the same docket, no later than two years after the initial report, in which the utility identifies the specific resources that it used to meet the target. As directed by the EIA, the Washington Department of Commerce has designated the Western Renewable Energy Generation Information System (WREGIS) as the system to be used for tracking and verifying the resources used for RPS compliance in Washington.</w:t>
      </w:r>
    </w:p>
    <w:p w14:paraId="19C96473" w14:textId="77777777" w:rsidR="000B11EF" w:rsidRPr="00525321" w:rsidRDefault="000B11EF" w:rsidP="000B11EF">
      <w:pPr>
        <w:rPr>
          <w:rFonts w:ascii="Times New Roman" w:hAnsi="Times New Roman"/>
        </w:rPr>
      </w:pPr>
    </w:p>
    <w:p w14:paraId="19C96474" w14:textId="2FA4BF4D" w:rsidR="000B11EF" w:rsidRDefault="00525321" w:rsidP="000B11EF">
      <w:pPr>
        <w:rPr>
          <w:rFonts w:ascii="Times New Roman" w:hAnsi="Times New Roman"/>
        </w:rPr>
      </w:pPr>
      <w:r>
        <w:rPr>
          <w:rFonts w:ascii="Times New Roman" w:hAnsi="Times New Roman"/>
        </w:rPr>
        <w:t xml:space="preserve">On March 13, 2015, the </w:t>
      </w:r>
      <w:r w:rsidR="00A11942">
        <w:rPr>
          <w:rFonts w:ascii="Times New Roman" w:hAnsi="Times New Roman"/>
        </w:rPr>
        <w:t xml:space="preserve">commission </w:t>
      </w:r>
      <w:r>
        <w:rPr>
          <w:rFonts w:ascii="Times New Roman" w:hAnsi="Times New Roman"/>
        </w:rPr>
        <w:t>adopted a new rule for implementation and enforcement of the EIA</w:t>
      </w:r>
      <w:r w:rsidR="00727A87">
        <w:rPr>
          <w:rFonts w:ascii="Times New Roman" w:hAnsi="Times New Roman"/>
        </w:rPr>
        <w:t>, which is codified at WAC 480-109</w:t>
      </w:r>
      <w:r>
        <w:rPr>
          <w:rFonts w:ascii="Times New Roman" w:hAnsi="Times New Roman"/>
        </w:rPr>
        <w:t xml:space="preserve">. The new rule </w:t>
      </w:r>
      <w:r w:rsidR="00727A87">
        <w:rPr>
          <w:rFonts w:ascii="Times New Roman" w:hAnsi="Times New Roman"/>
        </w:rPr>
        <w:t xml:space="preserve">adopted </w:t>
      </w:r>
      <w:r w:rsidR="00FB04DE">
        <w:rPr>
          <w:rFonts w:ascii="Times New Roman" w:hAnsi="Times New Roman"/>
        </w:rPr>
        <w:t xml:space="preserve">RPS enforcement practices that the </w:t>
      </w:r>
      <w:r w:rsidR="00A11942">
        <w:rPr>
          <w:rFonts w:ascii="Times New Roman" w:hAnsi="Times New Roman"/>
        </w:rPr>
        <w:t xml:space="preserve">commission </w:t>
      </w:r>
      <w:r w:rsidR="00FB04DE">
        <w:rPr>
          <w:rFonts w:ascii="Times New Roman" w:hAnsi="Times New Roman"/>
        </w:rPr>
        <w:t>has developed</w:t>
      </w:r>
      <w:r>
        <w:rPr>
          <w:rFonts w:ascii="Times New Roman" w:hAnsi="Times New Roman"/>
        </w:rPr>
        <w:t xml:space="preserve"> since the requirement took effect in 2012, such as the two-step compliance process explained above, and added new reporting requirements. </w:t>
      </w:r>
      <w:r w:rsidR="00FB04DE">
        <w:rPr>
          <w:rFonts w:ascii="Times New Roman" w:hAnsi="Times New Roman"/>
        </w:rPr>
        <w:t>The rule made the following key changes to the RPS reporting process:</w:t>
      </w:r>
    </w:p>
    <w:p w14:paraId="19C96475" w14:textId="77777777" w:rsidR="003F3C04" w:rsidRDefault="003F3C04" w:rsidP="000B11EF">
      <w:pPr>
        <w:rPr>
          <w:rFonts w:ascii="Times New Roman" w:hAnsi="Times New Roman"/>
        </w:rPr>
      </w:pPr>
    </w:p>
    <w:p w14:paraId="19C96476" w14:textId="77777777" w:rsidR="00FB04DE" w:rsidRDefault="00FB04DE" w:rsidP="00FB04DE">
      <w:pPr>
        <w:pStyle w:val="ListParagraph"/>
        <w:numPr>
          <w:ilvl w:val="0"/>
          <w:numId w:val="2"/>
        </w:numPr>
        <w:rPr>
          <w:rFonts w:ascii="Times New Roman" w:hAnsi="Times New Roman"/>
        </w:rPr>
      </w:pPr>
      <w:r>
        <w:rPr>
          <w:rFonts w:ascii="Times New Roman" w:hAnsi="Times New Roman"/>
        </w:rPr>
        <w:t>All resources used for RPS compliance must be registered in WREGIS (WAC 480-109-200(3)).</w:t>
      </w:r>
    </w:p>
    <w:p w14:paraId="19C96477" w14:textId="5E4BC4B6" w:rsidR="00FB04DE" w:rsidRDefault="003F3C04" w:rsidP="00FB04DE">
      <w:pPr>
        <w:pStyle w:val="ListParagraph"/>
        <w:numPr>
          <w:ilvl w:val="0"/>
          <w:numId w:val="2"/>
        </w:numPr>
        <w:rPr>
          <w:rFonts w:ascii="Times New Roman" w:hAnsi="Times New Roman"/>
        </w:rPr>
      </w:pPr>
      <w:r>
        <w:rPr>
          <w:rFonts w:ascii="Times New Roman" w:hAnsi="Times New Roman"/>
        </w:rPr>
        <w:t xml:space="preserve">The </w:t>
      </w:r>
      <w:r w:rsidR="00FB04DE">
        <w:rPr>
          <w:rFonts w:ascii="Times New Roman" w:hAnsi="Times New Roman"/>
        </w:rPr>
        <w:t xml:space="preserve">three methodologies that the </w:t>
      </w:r>
      <w:r w:rsidR="00A11942">
        <w:rPr>
          <w:rFonts w:ascii="Times New Roman" w:hAnsi="Times New Roman"/>
        </w:rPr>
        <w:t xml:space="preserve">commission </w:t>
      </w:r>
      <w:r w:rsidR="00FB04DE">
        <w:rPr>
          <w:rFonts w:ascii="Times New Roman" w:hAnsi="Times New Roman"/>
        </w:rPr>
        <w:t xml:space="preserve">has accepted for a utility to use in calculating the portion of the output of upgraded hydropower facilities </w:t>
      </w:r>
      <w:r>
        <w:rPr>
          <w:rFonts w:ascii="Times New Roman" w:hAnsi="Times New Roman"/>
        </w:rPr>
        <w:t>that is eligible, incremental hydropower for RPS compliance have been formally incorporated (WAC 480-109-200(7)).</w:t>
      </w:r>
    </w:p>
    <w:p w14:paraId="19C96478" w14:textId="1BC66EDC" w:rsidR="003F3C04" w:rsidRDefault="003F3C04" w:rsidP="00FB04DE">
      <w:pPr>
        <w:pStyle w:val="ListParagraph"/>
        <w:numPr>
          <w:ilvl w:val="0"/>
          <w:numId w:val="2"/>
        </w:numPr>
        <w:rPr>
          <w:rFonts w:ascii="Times New Roman" w:hAnsi="Times New Roman"/>
        </w:rPr>
      </w:pPr>
      <w:r>
        <w:rPr>
          <w:rFonts w:ascii="Times New Roman" w:hAnsi="Times New Roman"/>
        </w:rPr>
        <w:t xml:space="preserve">The incremental cost of RPS compliance that utilities are required to report must be calculated according to the </w:t>
      </w:r>
      <w:r w:rsidR="00A11942">
        <w:rPr>
          <w:rFonts w:ascii="Times New Roman" w:hAnsi="Times New Roman"/>
        </w:rPr>
        <w:t xml:space="preserve">commission’s </w:t>
      </w:r>
      <w:r>
        <w:rPr>
          <w:rFonts w:ascii="Times New Roman" w:hAnsi="Times New Roman"/>
        </w:rPr>
        <w:t>approved methodology (WAC 480-109-210(2)(a)).</w:t>
      </w:r>
    </w:p>
    <w:p w14:paraId="19C96479" w14:textId="77777777" w:rsidR="003F3C04" w:rsidRDefault="003F3C04" w:rsidP="00FB04DE">
      <w:pPr>
        <w:pStyle w:val="ListParagraph"/>
        <w:numPr>
          <w:ilvl w:val="0"/>
          <w:numId w:val="2"/>
        </w:numPr>
        <w:rPr>
          <w:rFonts w:ascii="Times New Roman" w:hAnsi="Times New Roman"/>
        </w:rPr>
      </w:pPr>
      <w:r>
        <w:rPr>
          <w:rFonts w:ascii="Times New Roman" w:hAnsi="Times New Roman"/>
        </w:rPr>
        <w:t>Utilities that operate in more than one state are required to explain and document how they determined Washington’s allocation of renewable energy credits (RECs) (WAC 480-109-210(2)(e)).</w:t>
      </w:r>
    </w:p>
    <w:p w14:paraId="19C9647A" w14:textId="77777777" w:rsidR="003F3C04" w:rsidRDefault="003F3C04" w:rsidP="00FB04DE">
      <w:pPr>
        <w:pStyle w:val="ListParagraph"/>
        <w:numPr>
          <w:ilvl w:val="0"/>
          <w:numId w:val="2"/>
        </w:numPr>
        <w:rPr>
          <w:rFonts w:ascii="Times New Roman" w:hAnsi="Times New Roman"/>
        </w:rPr>
      </w:pPr>
      <w:r>
        <w:rPr>
          <w:rFonts w:ascii="Times New Roman" w:hAnsi="Times New Roman"/>
        </w:rPr>
        <w:t>Utilities that sell RECs are required to report the amount and proceeds of those sales (WAC 480-109-210(2)(f).</w:t>
      </w:r>
    </w:p>
    <w:p w14:paraId="19C9647B" w14:textId="77777777" w:rsidR="003F3C04" w:rsidRDefault="003F3C04" w:rsidP="003F3C04">
      <w:pPr>
        <w:rPr>
          <w:rFonts w:ascii="Times New Roman" w:hAnsi="Times New Roman"/>
        </w:rPr>
      </w:pPr>
    </w:p>
    <w:p w14:paraId="19C9647C" w14:textId="2697A140" w:rsidR="003F3C04" w:rsidRPr="003F3C04" w:rsidRDefault="003F3C04" w:rsidP="003F3C04">
      <w:pPr>
        <w:rPr>
          <w:rFonts w:ascii="Times New Roman" w:hAnsi="Times New Roman"/>
        </w:rPr>
      </w:pPr>
      <w:r>
        <w:rPr>
          <w:rFonts w:ascii="Times New Roman" w:hAnsi="Times New Roman"/>
        </w:rPr>
        <w:t>Commission staff (</w:t>
      </w:r>
      <w:r w:rsidR="00A11942">
        <w:rPr>
          <w:rFonts w:ascii="Times New Roman" w:hAnsi="Times New Roman"/>
        </w:rPr>
        <w:t>staff</w:t>
      </w:r>
      <w:r>
        <w:rPr>
          <w:rFonts w:ascii="Times New Roman" w:hAnsi="Times New Roman"/>
        </w:rPr>
        <w:t>) filed written comments on June 30, 2015, that analyzed and summarized each utility’s RPS report. Staff’s comments a</w:t>
      </w:r>
      <w:r w:rsidR="00A603C0">
        <w:rPr>
          <w:rFonts w:ascii="Times New Roman" w:hAnsi="Times New Roman"/>
        </w:rPr>
        <w:t>lso discussed the changes to</w:t>
      </w:r>
      <w:r>
        <w:rPr>
          <w:rFonts w:ascii="Times New Roman" w:hAnsi="Times New Roman"/>
        </w:rPr>
        <w:t xml:space="preserve"> WAC 480-109 and </w:t>
      </w:r>
      <w:r w:rsidR="0014039A">
        <w:rPr>
          <w:rFonts w:ascii="Times New Roman" w:hAnsi="Times New Roman"/>
        </w:rPr>
        <w:t>how those changes affected the utilities’ 2015 reports.</w:t>
      </w:r>
    </w:p>
    <w:p w14:paraId="19C9647D" w14:textId="77777777" w:rsidR="000B11EF" w:rsidRPr="00525321" w:rsidRDefault="000B11EF" w:rsidP="000B11EF">
      <w:pPr>
        <w:rPr>
          <w:rFonts w:ascii="Times New Roman" w:hAnsi="Times New Roman"/>
        </w:rPr>
      </w:pPr>
    </w:p>
    <w:p w14:paraId="19C9647E" w14:textId="77777777" w:rsidR="000B11EF" w:rsidRPr="00525321" w:rsidRDefault="000B11EF" w:rsidP="000B11EF">
      <w:pPr>
        <w:rPr>
          <w:rFonts w:ascii="Times New Roman" w:hAnsi="Times New Roman"/>
          <w:b/>
          <w:u w:val="single"/>
        </w:rPr>
      </w:pPr>
      <w:r w:rsidRPr="00525321">
        <w:rPr>
          <w:rFonts w:ascii="Times New Roman" w:hAnsi="Times New Roman"/>
          <w:b/>
          <w:u w:val="single"/>
        </w:rPr>
        <w:t>Discussion</w:t>
      </w:r>
    </w:p>
    <w:p w14:paraId="19C9647F" w14:textId="77777777" w:rsidR="000B11EF" w:rsidRPr="00525321" w:rsidRDefault="000B11EF" w:rsidP="000B11EF">
      <w:pPr>
        <w:rPr>
          <w:rFonts w:ascii="Times New Roman" w:hAnsi="Times New Roman"/>
        </w:rPr>
      </w:pPr>
    </w:p>
    <w:p w14:paraId="19C96480" w14:textId="77777777" w:rsidR="000B11EF" w:rsidRPr="00525321" w:rsidRDefault="000B11EF" w:rsidP="000B11EF">
      <w:pPr>
        <w:rPr>
          <w:rFonts w:ascii="Times New Roman" w:hAnsi="Times New Roman"/>
        </w:rPr>
      </w:pPr>
      <w:r w:rsidRPr="00525321">
        <w:rPr>
          <w:rFonts w:ascii="Times New Roman" w:hAnsi="Times New Roman"/>
        </w:rPr>
        <w:t xml:space="preserve">Based on the information that </w:t>
      </w:r>
      <w:r w:rsidR="003F3C04">
        <w:rPr>
          <w:rFonts w:ascii="Times New Roman" w:hAnsi="Times New Roman"/>
        </w:rPr>
        <w:t>Puget Sound Energy (</w:t>
      </w:r>
      <w:r w:rsidRPr="00525321">
        <w:rPr>
          <w:rFonts w:ascii="Times New Roman" w:hAnsi="Times New Roman"/>
        </w:rPr>
        <w:t>PSE</w:t>
      </w:r>
      <w:r w:rsidR="00192A94">
        <w:rPr>
          <w:rFonts w:ascii="Times New Roman" w:hAnsi="Times New Roman"/>
        </w:rPr>
        <w:t xml:space="preserve"> or company</w:t>
      </w:r>
      <w:r w:rsidR="003F3C04">
        <w:rPr>
          <w:rFonts w:ascii="Times New Roman" w:hAnsi="Times New Roman"/>
        </w:rPr>
        <w:t>)</w:t>
      </w:r>
      <w:r w:rsidRPr="00525321">
        <w:rPr>
          <w:rFonts w:ascii="Times New Roman" w:hAnsi="Times New Roman"/>
        </w:rPr>
        <w:t xml:space="preserve"> provided in its report</w:t>
      </w:r>
      <w:r w:rsidR="003F3C04">
        <w:rPr>
          <w:rFonts w:ascii="Times New Roman" w:hAnsi="Times New Roman"/>
        </w:rPr>
        <w:t xml:space="preserve"> and subsequent follow-up with staff</w:t>
      </w:r>
      <w:r w:rsidRPr="00525321">
        <w:rPr>
          <w:rFonts w:ascii="Times New Roman" w:hAnsi="Times New Roman"/>
        </w:rPr>
        <w:t xml:space="preserve">, staff believes that the company correctly calculated its </w:t>
      </w:r>
      <w:r w:rsidR="003F3C04">
        <w:rPr>
          <w:rFonts w:ascii="Times New Roman" w:hAnsi="Times New Roman"/>
        </w:rPr>
        <w:t xml:space="preserve">2015 RPS </w:t>
      </w:r>
      <w:r w:rsidRPr="00525321">
        <w:rPr>
          <w:rFonts w:ascii="Times New Roman" w:hAnsi="Times New Roman"/>
        </w:rPr>
        <w:t xml:space="preserve">target and that it has acquired sufficient resources to meet that target. </w:t>
      </w:r>
    </w:p>
    <w:p w14:paraId="19C96481" w14:textId="77777777" w:rsidR="000B11EF" w:rsidRPr="00525321" w:rsidRDefault="000B11EF" w:rsidP="000B11EF">
      <w:pPr>
        <w:rPr>
          <w:rFonts w:ascii="Times New Roman" w:hAnsi="Times New Roman"/>
        </w:rPr>
      </w:pPr>
    </w:p>
    <w:p w14:paraId="19C96482" w14:textId="77777777" w:rsidR="000B11EF" w:rsidRDefault="00192A94" w:rsidP="000B11EF">
      <w:pPr>
        <w:rPr>
          <w:rFonts w:ascii="Times New Roman" w:hAnsi="Times New Roman"/>
        </w:rPr>
      </w:pPr>
      <w:r>
        <w:rPr>
          <w:rFonts w:ascii="Times New Roman" w:hAnsi="Times New Roman"/>
        </w:rPr>
        <w:t>PSE indicated in its report that it plans to use Method 2 to calculate the incremental output of its upgraded dams at Snoqualmie Falls and Lower Baker. In previous reports, the company indicated that it planned to use Method 3 to make the calculation. Both methods use a historical period of water flow data, and then use that data to model the dam’s output under the pre-upgrade condition and the post-upgrade condition. Meth</w:t>
      </w:r>
      <w:r w:rsidR="00AA1A77">
        <w:rPr>
          <w:rFonts w:ascii="Times New Roman" w:hAnsi="Times New Roman"/>
        </w:rPr>
        <w:t xml:space="preserve">od 3 then </w:t>
      </w:r>
      <w:r w:rsidR="000D44C2">
        <w:rPr>
          <w:rFonts w:ascii="Times New Roman" w:hAnsi="Times New Roman"/>
        </w:rPr>
        <w:t>subtracts the average of the pre-upgrade generation from the average of the post-upgrade</w:t>
      </w:r>
      <w:r w:rsidR="00AA1A77">
        <w:rPr>
          <w:rFonts w:ascii="Times New Roman" w:hAnsi="Times New Roman"/>
        </w:rPr>
        <w:t xml:space="preserve">. The resulting </w:t>
      </w:r>
      <w:r w:rsidR="000A7E24">
        <w:rPr>
          <w:rFonts w:ascii="Times New Roman" w:hAnsi="Times New Roman"/>
        </w:rPr>
        <w:t xml:space="preserve">quantity is then reported in perpetuity as the facility’s annual incremental hydropower generation, regardless of actual water conditions or generation. Method 2 divides the </w:t>
      </w:r>
      <w:r w:rsidR="00886389">
        <w:rPr>
          <w:rFonts w:ascii="Times New Roman" w:hAnsi="Times New Roman"/>
        </w:rPr>
        <w:t>average of the post-upgrade generation by the average of the pre-upgrade generation, and the resulting ratio is applied to the facility’s actual generation each year to determine what portion of it was incremental.</w:t>
      </w:r>
    </w:p>
    <w:p w14:paraId="19C96483" w14:textId="77777777" w:rsidR="002B1993" w:rsidRDefault="002B1993" w:rsidP="000B11EF">
      <w:pPr>
        <w:rPr>
          <w:rFonts w:ascii="Times New Roman" w:hAnsi="Times New Roman"/>
        </w:rPr>
      </w:pPr>
    </w:p>
    <w:p w14:paraId="19C96484" w14:textId="77777777" w:rsidR="002B1993" w:rsidRDefault="002B1993" w:rsidP="000B11EF">
      <w:pPr>
        <w:rPr>
          <w:rFonts w:ascii="Times New Roman" w:hAnsi="Times New Roman"/>
        </w:rPr>
      </w:pPr>
      <w:r>
        <w:rPr>
          <w:rFonts w:ascii="Times New Roman" w:hAnsi="Times New Roman"/>
        </w:rPr>
        <w:t>Given the concerns that staff and the commission have expressed regarding Method 3,</w:t>
      </w:r>
      <w:r>
        <w:rPr>
          <w:rStyle w:val="FootnoteReference"/>
          <w:rFonts w:ascii="Times New Roman" w:hAnsi="Times New Roman"/>
        </w:rPr>
        <w:footnoteReference w:id="4"/>
      </w:r>
      <w:r>
        <w:rPr>
          <w:rFonts w:ascii="Times New Roman" w:hAnsi="Times New Roman"/>
        </w:rPr>
        <w:t xml:space="preserve"> staff supports PSE’s change to Method 2. M</w:t>
      </w:r>
      <w:r w:rsidR="0013222F">
        <w:rPr>
          <w:rFonts w:ascii="Times New Roman" w:hAnsi="Times New Roman"/>
        </w:rPr>
        <w:t xml:space="preserve">ethod 2, which is tied to actual water conditions each year, will likely prove more a more accurate measurement of incremental hydropower as water flows vary over time. Staff has reviewed the company’s documentation for the ratios </w:t>
      </w:r>
      <w:r w:rsidR="00EB78B7">
        <w:rPr>
          <w:rFonts w:ascii="Times New Roman" w:hAnsi="Times New Roman"/>
        </w:rPr>
        <w:t>it is using for Snoqualmie Falls and Lower Baker and believes that the ratios have been correctly calculated.</w:t>
      </w:r>
    </w:p>
    <w:p w14:paraId="19C96485" w14:textId="77777777" w:rsidR="00BD7E25" w:rsidRDefault="00BD7E25" w:rsidP="000B11EF">
      <w:pPr>
        <w:rPr>
          <w:rFonts w:ascii="Times New Roman" w:hAnsi="Times New Roman"/>
        </w:rPr>
      </w:pPr>
    </w:p>
    <w:p w14:paraId="19C96486" w14:textId="77777777" w:rsidR="00BD7E25" w:rsidRDefault="00BD7E25" w:rsidP="000B11EF">
      <w:pPr>
        <w:rPr>
          <w:rFonts w:ascii="Times New Roman" w:hAnsi="Times New Roman"/>
        </w:rPr>
      </w:pPr>
      <w:r>
        <w:rPr>
          <w:rFonts w:ascii="Times New Roman" w:hAnsi="Times New Roman"/>
        </w:rPr>
        <w:t xml:space="preserve">Table 1 </w:t>
      </w:r>
      <w:r w:rsidR="00BE6853">
        <w:rPr>
          <w:rFonts w:ascii="Times New Roman" w:hAnsi="Times New Roman"/>
        </w:rPr>
        <w:t>summarizes PSE’s 2015 target and the total amount of resources that the company had acquired by January 1, 2015. It includes the company’s excess RECs from 2014 that could be used toward its 2015 target and the company’s projected 2015 generation from its hydro and wind facilities</w:t>
      </w:r>
      <w:r w:rsidR="00C52D17">
        <w:rPr>
          <w:rFonts w:ascii="Times New Roman" w:hAnsi="Times New Roman"/>
        </w:rPr>
        <w:t>. While PSE has sold many of its excess 2014 RECs, the point of Table 1 is to illustrate the company’s overall compliance position before any sales were made</w:t>
      </w:r>
      <w:r w:rsidR="00BE6853">
        <w:rPr>
          <w:rFonts w:ascii="Times New Roman" w:hAnsi="Times New Roman"/>
        </w:rPr>
        <w:t>:</w:t>
      </w:r>
    </w:p>
    <w:p w14:paraId="19C96487" w14:textId="77777777" w:rsidR="00BD7E25" w:rsidRDefault="00BD7E25" w:rsidP="000B11EF">
      <w:pPr>
        <w:rPr>
          <w:rFonts w:ascii="Times New Roman" w:hAnsi="Times New Roman"/>
        </w:rPr>
      </w:pPr>
    </w:p>
    <w:p w14:paraId="19C96488" w14:textId="77777777" w:rsidR="00BD7E25" w:rsidRDefault="00BD7E25" w:rsidP="00BD7E25">
      <w:pPr>
        <w:rPr>
          <w:b/>
        </w:rPr>
      </w:pPr>
      <w:r>
        <w:rPr>
          <w:b/>
        </w:rPr>
        <w:t>Table 1: PSE’s 2015 Renewable Resource Target and Compliance Plan</w:t>
      </w:r>
    </w:p>
    <w:p w14:paraId="19C96489" w14:textId="77777777" w:rsidR="00BD7E25" w:rsidRDefault="00BD7E25" w:rsidP="00BD7E25">
      <w:pPr>
        <w:rPr>
          <w:b/>
        </w:rPr>
      </w:pPr>
    </w:p>
    <w:tbl>
      <w:tblPr>
        <w:tblStyle w:val="TableGrid"/>
        <w:tblW w:w="0" w:type="auto"/>
        <w:tblLook w:val="04A0" w:firstRow="1" w:lastRow="0" w:firstColumn="1" w:lastColumn="0" w:noHBand="0" w:noVBand="1"/>
      </w:tblPr>
      <w:tblGrid>
        <w:gridCol w:w="1341"/>
        <w:gridCol w:w="1159"/>
        <w:gridCol w:w="1588"/>
        <w:gridCol w:w="1211"/>
        <w:gridCol w:w="1246"/>
        <w:gridCol w:w="1359"/>
        <w:gridCol w:w="1350"/>
      </w:tblGrid>
      <w:tr w:rsidR="00BD7E25" w14:paraId="19C96491" w14:textId="77777777" w:rsidTr="00A11942">
        <w:trPr>
          <w:trHeight w:val="845"/>
        </w:trPr>
        <w:tc>
          <w:tcPr>
            <w:tcW w:w="1341" w:type="dxa"/>
            <w:tcBorders>
              <w:top w:val="single" w:sz="4" w:space="0" w:color="auto"/>
              <w:left w:val="single" w:sz="4" w:space="0" w:color="auto"/>
              <w:bottom w:val="single" w:sz="4" w:space="0" w:color="auto"/>
              <w:right w:val="single" w:sz="4" w:space="0" w:color="auto"/>
            </w:tcBorders>
            <w:vAlign w:val="bottom"/>
            <w:hideMark/>
          </w:tcPr>
          <w:p w14:paraId="19C9648A" w14:textId="77777777" w:rsidR="00BD7E25" w:rsidRDefault="00BD7E25" w:rsidP="00A11942">
            <w:pPr>
              <w:jc w:val="center"/>
              <w:rPr>
                <w:b/>
              </w:rPr>
            </w:pPr>
            <w:r>
              <w:rPr>
                <w:b/>
              </w:rPr>
              <w:t>Company</w:t>
            </w:r>
          </w:p>
        </w:tc>
        <w:tc>
          <w:tcPr>
            <w:tcW w:w="1159" w:type="dxa"/>
            <w:tcBorders>
              <w:top w:val="single" w:sz="4" w:space="0" w:color="auto"/>
              <w:left w:val="single" w:sz="4" w:space="0" w:color="auto"/>
              <w:bottom w:val="single" w:sz="4" w:space="0" w:color="auto"/>
              <w:right w:val="single" w:sz="4" w:space="0" w:color="auto"/>
            </w:tcBorders>
            <w:vAlign w:val="bottom"/>
            <w:hideMark/>
          </w:tcPr>
          <w:p w14:paraId="19C9648B" w14:textId="77777777" w:rsidR="00BD7E25" w:rsidRDefault="00BD7E25" w:rsidP="00A11942">
            <w:pPr>
              <w:jc w:val="center"/>
              <w:rPr>
                <w:b/>
              </w:rPr>
            </w:pPr>
            <w:r>
              <w:rPr>
                <w:b/>
              </w:rPr>
              <w:t>2015 Target (MWh)</w:t>
            </w:r>
          </w:p>
        </w:tc>
        <w:tc>
          <w:tcPr>
            <w:tcW w:w="1588" w:type="dxa"/>
            <w:tcBorders>
              <w:top w:val="single" w:sz="4" w:space="0" w:color="auto"/>
              <w:left w:val="single" w:sz="4" w:space="0" w:color="auto"/>
              <w:bottom w:val="single" w:sz="4" w:space="0" w:color="auto"/>
              <w:right w:val="single" w:sz="4" w:space="0" w:color="auto"/>
            </w:tcBorders>
            <w:vAlign w:val="bottom"/>
            <w:hideMark/>
          </w:tcPr>
          <w:p w14:paraId="19C9648C" w14:textId="77777777" w:rsidR="00BD7E25" w:rsidRDefault="00BD7E25" w:rsidP="00A11942">
            <w:pPr>
              <w:jc w:val="center"/>
              <w:rPr>
                <w:b/>
              </w:rPr>
            </w:pPr>
            <w:r>
              <w:rPr>
                <w:b/>
              </w:rPr>
              <w:t>Incremental Hydro (MWh)</w:t>
            </w:r>
          </w:p>
        </w:tc>
        <w:tc>
          <w:tcPr>
            <w:tcW w:w="1211" w:type="dxa"/>
            <w:tcBorders>
              <w:top w:val="single" w:sz="4" w:space="0" w:color="auto"/>
              <w:left w:val="single" w:sz="4" w:space="0" w:color="auto"/>
              <w:bottom w:val="single" w:sz="4" w:space="0" w:color="auto"/>
              <w:right w:val="single" w:sz="4" w:space="0" w:color="auto"/>
            </w:tcBorders>
            <w:vAlign w:val="bottom"/>
            <w:hideMark/>
          </w:tcPr>
          <w:p w14:paraId="19C9648D" w14:textId="77777777" w:rsidR="00BD7E25" w:rsidRDefault="00BD7E25" w:rsidP="00A11942">
            <w:pPr>
              <w:jc w:val="center"/>
              <w:rPr>
                <w:b/>
              </w:rPr>
            </w:pPr>
            <w:r>
              <w:rPr>
                <w:b/>
              </w:rPr>
              <w:t>2014 RECs</w:t>
            </w:r>
          </w:p>
        </w:tc>
        <w:tc>
          <w:tcPr>
            <w:tcW w:w="1201" w:type="dxa"/>
            <w:tcBorders>
              <w:top w:val="single" w:sz="4" w:space="0" w:color="auto"/>
              <w:left w:val="single" w:sz="4" w:space="0" w:color="auto"/>
              <w:bottom w:val="single" w:sz="4" w:space="0" w:color="auto"/>
              <w:right w:val="single" w:sz="4" w:space="0" w:color="auto"/>
            </w:tcBorders>
            <w:vAlign w:val="bottom"/>
            <w:hideMark/>
          </w:tcPr>
          <w:p w14:paraId="19C9648E" w14:textId="77777777" w:rsidR="00BD7E25" w:rsidRDefault="00BD7E25" w:rsidP="00A11942">
            <w:pPr>
              <w:jc w:val="center"/>
              <w:rPr>
                <w:b/>
              </w:rPr>
            </w:pPr>
            <w:r>
              <w:rPr>
                <w:b/>
              </w:rPr>
              <w:t>2015 RECs</w:t>
            </w:r>
          </w:p>
        </w:tc>
        <w:tc>
          <w:tcPr>
            <w:tcW w:w="1359" w:type="dxa"/>
            <w:tcBorders>
              <w:top w:val="single" w:sz="4" w:space="0" w:color="auto"/>
              <w:left w:val="single" w:sz="4" w:space="0" w:color="auto"/>
              <w:bottom w:val="single" w:sz="4" w:space="0" w:color="auto"/>
              <w:right w:val="single" w:sz="4" w:space="0" w:color="auto"/>
            </w:tcBorders>
            <w:vAlign w:val="bottom"/>
            <w:hideMark/>
          </w:tcPr>
          <w:p w14:paraId="19C9648F" w14:textId="77777777" w:rsidR="00BD7E25" w:rsidRDefault="00BD7E25" w:rsidP="00A11942">
            <w:pPr>
              <w:jc w:val="center"/>
              <w:rPr>
                <w:b/>
              </w:rPr>
            </w:pPr>
            <w:r>
              <w:rPr>
                <w:b/>
              </w:rPr>
              <w:t>Purchased RECs</w:t>
            </w:r>
          </w:p>
        </w:tc>
        <w:tc>
          <w:tcPr>
            <w:tcW w:w="1350" w:type="dxa"/>
            <w:tcBorders>
              <w:top w:val="single" w:sz="4" w:space="0" w:color="auto"/>
              <w:left w:val="single" w:sz="4" w:space="0" w:color="auto"/>
              <w:bottom w:val="single" w:sz="4" w:space="0" w:color="auto"/>
              <w:right w:val="single" w:sz="4" w:space="0" w:color="auto"/>
            </w:tcBorders>
            <w:vAlign w:val="bottom"/>
            <w:hideMark/>
          </w:tcPr>
          <w:p w14:paraId="19C96490" w14:textId="77777777" w:rsidR="00BD7E25" w:rsidRDefault="00BD7E25" w:rsidP="00A11942">
            <w:pPr>
              <w:jc w:val="center"/>
              <w:rPr>
                <w:b/>
              </w:rPr>
            </w:pPr>
            <w:r>
              <w:rPr>
                <w:b/>
              </w:rPr>
              <w:t>Total Resources (MWh)</w:t>
            </w:r>
          </w:p>
        </w:tc>
      </w:tr>
      <w:tr w:rsidR="00BD7E25" w14:paraId="19C96499" w14:textId="77777777" w:rsidTr="00A94D1E">
        <w:trPr>
          <w:trHeight w:val="145"/>
        </w:trPr>
        <w:tc>
          <w:tcPr>
            <w:tcW w:w="1341" w:type="dxa"/>
            <w:tcBorders>
              <w:top w:val="single" w:sz="4" w:space="0" w:color="auto"/>
              <w:left w:val="single" w:sz="4" w:space="0" w:color="auto"/>
              <w:bottom w:val="single" w:sz="4" w:space="0" w:color="auto"/>
              <w:right w:val="single" w:sz="4" w:space="0" w:color="auto"/>
            </w:tcBorders>
            <w:hideMark/>
          </w:tcPr>
          <w:p w14:paraId="19C96492" w14:textId="77777777" w:rsidR="00BD7E25" w:rsidRDefault="00BD7E25" w:rsidP="00A94D1E">
            <w:pPr>
              <w:jc w:val="center"/>
            </w:pPr>
            <w:r>
              <w:t>PSE</w:t>
            </w:r>
          </w:p>
        </w:tc>
        <w:tc>
          <w:tcPr>
            <w:tcW w:w="1159" w:type="dxa"/>
            <w:tcBorders>
              <w:top w:val="single" w:sz="4" w:space="0" w:color="auto"/>
              <w:left w:val="single" w:sz="4" w:space="0" w:color="auto"/>
              <w:bottom w:val="single" w:sz="4" w:space="0" w:color="auto"/>
              <w:right w:val="single" w:sz="4" w:space="0" w:color="auto"/>
            </w:tcBorders>
            <w:hideMark/>
          </w:tcPr>
          <w:p w14:paraId="19C96493" w14:textId="77777777" w:rsidR="00BD7E25" w:rsidRDefault="00BD7E25" w:rsidP="00A94D1E">
            <w:pPr>
              <w:jc w:val="center"/>
            </w:pPr>
            <w:r>
              <w:t>626,663</w:t>
            </w:r>
          </w:p>
        </w:tc>
        <w:tc>
          <w:tcPr>
            <w:tcW w:w="1588" w:type="dxa"/>
            <w:tcBorders>
              <w:top w:val="single" w:sz="4" w:space="0" w:color="auto"/>
              <w:left w:val="single" w:sz="4" w:space="0" w:color="auto"/>
              <w:bottom w:val="single" w:sz="4" w:space="0" w:color="auto"/>
              <w:right w:val="single" w:sz="4" w:space="0" w:color="auto"/>
            </w:tcBorders>
            <w:hideMark/>
          </w:tcPr>
          <w:p w14:paraId="19C96494" w14:textId="77777777" w:rsidR="00BD7E25" w:rsidRDefault="00BD7E25" w:rsidP="00A94D1E">
            <w:pPr>
              <w:jc w:val="center"/>
            </w:pPr>
            <w:r>
              <w:t>122,269</w:t>
            </w:r>
          </w:p>
        </w:tc>
        <w:tc>
          <w:tcPr>
            <w:tcW w:w="1211" w:type="dxa"/>
            <w:tcBorders>
              <w:top w:val="single" w:sz="4" w:space="0" w:color="auto"/>
              <w:left w:val="single" w:sz="4" w:space="0" w:color="auto"/>
              <w:bottom w:val="single" w:sz="4" w:space="0" w:color="auto"/>
              <w:right w:val="single" w:sz="4" w:space="0" w:color="auto"/>
            </w:tcBorders>
            <w:hideMark/>
          </w:tcPr>
          <w:p w14:paraId="19C96495" w14:textId="77777777" w:rsidR="00BD7E25" w:rsidRDefault="00BD7E25" w:rsidP="00A94D1E">
            <w:pPr>
              <w:jc w:val="center"/>
            </w:pPr>
            <w:r>
              <w:t>878,888</w:t>
            </w:r>
          </w:p>
        </w:tc>
        <w:tc>
          <w:tcPr>
            <w:tcW w:w="1201" w:type="dxa"/>
            <w:tcBorders>
              <w:top w:val="single" w:sz="4" w:space="0" w:color="auto"/>
              <w:left w:val="single" w:sz="4" w:space="0" w:color="auto"/>
              <w:bottom w:val="single" w:sz="4" w:space="0" w:color="auto"/>
              <w:right w:val="single" w:sz="4" w:space="0" w:color="auto"/>
            </w:tcBorders>
            <w:hideMark/>
          </w:tcPr>
          <w:p w14:paraId="19C96496" w14:textId="77777777" w:rsidR="00BD7E25" w:rsidRDefault="00BD7E25" w:rsidP="00A94D1E">
            <w:pPr>
              <w:jc w:val="center"/>
            </w:pPr>
            <w:r>
              <w:t>2,090,291</w:t>
            </w:r>
            <w:r>
              <w:rPr>
                <w:rStyle w:val="FootnoteReference"/>
              </w:rPr>
              <w:footnoteReference w:id="5"/>
            </w:r>
          </w:p>
        </w:tc>
        <w:tc>
          <w:tcPr>
            <w:tcW w:w="1359" w:type="dxa"/>
            <w:tcBorders>
              <w:top w:val="single" w:sz="4" w:space="0" w:color="auto"/>
              <w:left w:val="single" w:sz="4" w:space="0" w:color="auto"/>
              <w:bottom w:val="single" w:sz="4" w:space="0" w:color="auto"/>
              <w:right w:val="single" w:sz="4" w:space="0" w:color="auto"/>
            </w:tcBorders>
            <w:hideMark/>
          </w:tcPr>
          <w:p w14:paraId="19C96497" w14:textId="77777777" w:rsidR="00BD7E25" w:rsidRDefault="00BD7E25" w:rsidP="00A94D1E">
            <w:pPr>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19C96498" w14:textId="77777777" w:rsidR="00BD7E25" w:rsidRDefault="00BD7E25" w:rsidP="00A94D1E">
            <w:pPr>
              <w:jc w:val="center"/>
            </w:pPr>
            <w:r>
              <w:t>3,091,448</w:t>
            </w:r>
          </w:p>
        </w:tc>
      </w:tr>
    </w:tbl>
    <w:p w14:paraId="19C9649A" w14:textId="77777777" w:rsidR="00BD7E25" w:rsidRPr="00525321" w:rsidRDefault="00BD7E25" w:rsidP="000B11EF">
      <w:pPr>
        <w:rPr>
          <w:rFonts w:ascii="Times New Roman" w:hAnsi="Times New Roman"/>
        </w:rPr>
      </w:pPr>
    </w:p>
    <w:p w14:paraId="19C9649B" w14:textId="77777777" w:rsidR="00A603C0" w:rsidRDefault="00A603C0" w:rsidP="000B11EF">
      <w:pPr>
        <w:rPr>
          <w:rFonts w:ascii="Times New Roman" w:hAnsi="Times New Roman"/>
        </w:rPr>
      </w:pPr>
      <w:r>
        <w:rPr>
          <w:rFonts w:ascii="Times New Roman" w:hAnsi="Times New Roman"/>
        </w:rPr>
        <w:t>Per WAC 480-109-210(2)(a), PSE reported the incremental cost of all eligible resources it has acquired as 1.4 percent and the prorated incremental cost of just the resources needed to meet its 2015 target as 0.4 percent.</w:t>
      </w:r>
    </w:p>
    <w:p w14:paraId="19C9649C" w14:textId="77777777" w:rsidR="00A603C0" w:rsidRDefault="00A603C0" w:rsidP="000B11EF">
      <w:pPr>
        <w:rPr>
          <w:rFonts w:ascii="Times New Roman" w:hAnsi="Times New Roman"/>
        </w:rPr>
      </w:pPr>
    </w:p>
    <w:p w14:paraId="19C9649D" w14:textId="77777777" w:rsidR="000B11EF" w:rsidRPr="00525321" w:rsidRDefault="000B11EF" w:rsidP="000B11EF">
      <w:pPr>
        <w:rPr>
          <w:rFonts w:ascii="Times New Roman" w:hAnsi="Times New Roman"/>
        </w:rPr>
      </w:pPr>
      <w:r w:rsidRPr="00525321">
        <w:rPr>
          <w:rFonts w:ascii="Times New Roman" w:hAnsi="Times New Roman"/>
        </w:rPr>
        <w:t>The commission received one set of publ</w:t>
      </w:r>
      <w:r w:rsidR="00BE6853">
        <w:rPr>
          <w:rFonts w:ascii="Times New Roman" w:hAnsi="Times New Roman"/>
        </w:rPr>
        <w:t xml:space="preserve">ic comments regarding PSE’s </w:t>
      </w:r>
      <w:r w:rsidRPr="00525321">
        <w:rPr>
          <w:rFonts w:ascii="Times New Roman" w:hAnsi="Times New Roman"/>
        </w:rPr>
        <w:t xml:space="preserve">report, which were filed jointly by Renewable Northwest (RNW) and the Northwest Energy Coalition </w:t>
      </w:r>
      <w:r w:rsidR="00727A87">
        <w:rPr>
          <w:rFonts w:ascii="Times New Roman" w:hAnsi="Times New Roman"/>
        </w:rPr>
        <w:t>(</w:t>
      </w:r>
      <w:r w:rsidRPr="00525321">
        <w:rPr>
          <w:rFonts w:ascii="Times New Roman" w:hAnsi="Times New Roman"/>
        </w:rPr>
        <w:t xml:space="preserve">NWEC). </w:t>
      </w:r>
      <w:r w:rsidR="00727A87">
        <w:rPr>
          <w:rFonts w:ascii="Times New Roman" w:hAnsi="Times New Roman"/>
        </w:rPr>
        <w:t>RNW and NWEC praised PSE for the clarity of its report and for meeting the target rather than relying on an alternative compliance method. The parties expressed doubt regarding PSE’s use of market price forecasts in its incremental cost calculation, but were pleased that the company met its target at a low incremental cost and recommend</w:t>
      </w:r>
      <w:r w:rsidR="00A603C0">
        <w:rPr>
          <w:rFonts w:ascii="Times New Roman" w:hAnsi="Times New Roman"/>
        </w:rPr>
        <w:t>ed</w:t>
      </w:r>
      <w:r w:rsidR="00727A87">
        <w:rPr>
          <w:rFonts w:ascii="Times New Roman" w:hAnsi="Times New Roman"/>
        </w:rPr>
        <w:t xml:space="preserve"> that the commission approve the report.</w:t>
      </w:r>
    </w:p>
    <w:p w14:paraId="19C9649E" w14:textId="77777777" w:rsidR="000B11EF" w:rsidRPr="00525321" w:rsidRDefault="000B11EF" w:rsidP="000B11EF">
      <w:pPr>
        <w:rPr>
          <w:rFonts w:ascii="Times New Roman" w:hAnsi="Times New Roman"/>
        </w:rPr>
      </w:pPr>
    </w:p>
    <w:p w14:paraId="19C9649F" w14:textId="77777777" w:rsidR="000B11EF" w:rsidRPr="00525321" w:rsidRDefault="000B11EF" w:rsidP="000B11EF">
      <w:pPr>
        <w:rPr>
          <w:rFonts w:ascii="Times New Roman" w:hAnsi="Times New Roman"/>
          <w:b/>
          <w:u w:val="single"/>
        </w:rPr>
      </w:pPr>
      <w:r w:rsidRPr="00525321">
        <w:rPr>
          <w:rFonts w:ascii="Times New Roman" w:hAnsi="Times New Roman"/>
          <w:b/>
          <w:u w:val="single"/>
        </w:rPr>
        <w:t>Conclusion</w:t>
      </w:r>
    </w:p>
    <w:p w14:paraId="19C964A0" w14:textId="77777777" w:rsidR="000B11EF" w:rsidRPr="00525321" w:rsidRDefault="000B11EF" w:rsidP="000B11EF">
      <w:pPr>
        <w:rPr>
          <w:rFonts w:ascii="Times New Roman" w:hAnsi="Times New Roman"/>
        </w:rPr>
      </w:pPr>
    </w:p>
    <w:p w14:paraId="19C964A1" w14:textId="77777777" w:rsidR="002C039A" w:rsidRPr="00525321" w:rsidRDefault="000B11EF" w:rsidP="00AD3312">
      <w:pPr>
        <w:rPr>
          <w:rFonts w:ascii="Times New Roman" w:hAnsi="Times New Roman"/>
        </w:rPr>
      </w:pPr>
      <w:r w:rsidRPr="00525321">
        <w:rPr>
          <w:rFonts w:ascii="Times New Roman" w:hAnsi="Times New Roman"/>
        </w:rPr>
        <w:t>Issue an order as described in the recommendations section of this memo.</w:t>
      </w:r>
    </w:p>
    <w:sectPr w:rsidR="002C039A" w:rsidRPr="00525321">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964A4" w14:textId="77777777" w:rsidR="006C47C3" w:rsidRDefault="006C47C3" w:rsidP="000B11EF">
      <w:r>
        <w:separator/>
      </w:r>
    </w:p>
  </w:endnote>
  <w:endnote w:type="continuationSeparator" w:id="0">
    <w:p w14:paraId="19C964A5" w14:textId="77777777" w:rsidR="006C47C3" w:rsidRDefault="006C47C3" w:rsidP="000B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964A2" w14:textId="77777777" w:rsidR="006C47C3" w:rsidRDefault="006C47C3" w:rsidP="000B11EF">
      <w:r>
        <w:separator/>
      </w:r>
    </w:p>
  </w:footnote>
  <w:footnote w:type="continuationSeparator" w:id="0">
    <w:p w14:paraId="19C964A3" w14:textId="77777777" w:rsidR="006C47C3" w:rsidRDefault="006C47C3" w:rsidP="000B11EF">
      <w:r>
        <w:continuationSeparator/>
      </w:r>
    </w:p>
  </w:footnote>
  <w:footnote w:id="1">
    <w:p w14:paraId="19C964AB" w14:textId="77777777" w:rsidR="000B11EF" w:rsidRDefault="000B11EF" w:rsidP="004C7A7F">
      <w:pPr>
        <w:pStyle w:val="FootnoteText"/>
        <w:contextualSpacing/>
      </w:pPr>
      <w:r>
        <w:rPr>
          <w:rStyle w:val="FootnoteReference"/>
        </w:rPr>
        <w:footnoteRef/>
      </w:r>
      <w:r>
        <w:t xml:space="preserve"> </w:t>
      </w:r>
      <w:r w:rsidRPr="003569AE">
        <w:t>RCW 19.285.070.</w:t>
      </w:r>
    </w:p>
  </w:footnote>
  <w:footnote w:id="2">
    <w:p w14:paraId="19C964AC" w14:textId="77777777" w:rsidR="000B11EF" w:rsidRDefault="000B11EF" w:rsidP="004C7A7F">
      <w:pPr>
        <w:pStyle w:val="FootnoteText"/>
        <w:contextualSpacing/>
      </w:pPr>
      <w:r>
        <w:rPr>
          <w:rStyle w:val="FootnoteReference"/>
        </w:rPr>
        <w:footnoteRef/>
      </w:r>
      <w:r>
        <w:t xml:space="preserve"> RCW 19.285.060(6).</w:t>
      </w:r>
    </w:p>
  </w:footnote>
  <w:footnote w:id="3">
    <w:p w14:paraId="19C964AD" w14:textId="77777777" w:rsidR="000B11EF" w:rsidRDefault="000B11EF" w:rsidP="004C7A7F">
      <w:pPr>
        <w:pStyle w:val="FootnoteText"/>
        <w:contextualSpacing/>
      </w:pPr>
      <w:r>
        <w:rPr>
          <w:rStyle w:val="FootnoteReference"/>
        </w:rPr>
        <w:footnoteRef/>
      </w:r>
      <w:r>
        <w:t xml:space="preserve"> RCW 19.285.040(2).</w:t>
      </w:r>
    </w:p>
    <w:p w14:paraId="19C964AE" w14:textId="77777777" w:rsidR="000B11EF" w:rsidRDefault="000B11EF" w:rsidP="000B11EF">
      <w:pPr>
        <w:pStyle w:val="FootnoteText"/>
      </w:pPr>
    </w:p>
  </w:footnote>
  <w:footnote w:id="4">
    <w:p w14:paraId="19C964AF" w14:textId="77777777" w:rsidR="002B1993" w:rsidRDefault="002B1993">
      <w:pPr>
        <w:pStyle w:val="FootnoteText"/>
      </w:pPr>
      <w:r>
        <w:rPr>
          <w:rStyle w:val="FootnoteReference"/>
        </w:rPr>
        <w:footnoteRef/>
      </w:r>
      <w:r>
        <w:t xml:space="preserve"> See Docket UE-131723, General Order R-578 (March 13, 2015) ¶ 100.</w:t>
      </w:r>
    </w:p>
  </w:footnote>
  <w:footnote w:id="5">
    <w:p w14:paraId="19C964B0" w14:textId="77777777" w:rsidR="00BD7E25" w:rsidRDefault="00BD7E25" w:rsidP="00BD7E25">
      <w:pPr>
        <w:pStyle w:val="FootnoteText"/>
      </w:pPr>
      <w:r>
        <w:rPr>
          <w:rStyle w:val="FootnoteReference"/>
        </w:rPr>
        <w:footnoteRef/>
      </w:r>
      <w:r>
        <w:t xml:space="preserve"> Average of all eligible generation from company resources in 2014 and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64A6" w14:textId="77777777" w:rsidR="00FD3C19" w:rsidRPr="00777586" w:rsidRDefault="008C402E">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w:t>
    </w:r>
    <w:r w:rsidRPr="00777586">
      <w:rPr>
        <w:rFonts w:ascii="Times New Roman" w:hAnsi="Times New Roman"/>
        <w:sz w:val="20"/>
        <w:szCs w:val="20"/>
      </w:rPr>
      <w:t xml:space="preserve"> </w:t>
    </w:r>
    <w:r>
      <w:rPr>
        <w:rFonts w:ascii="Times New Roman" w:hAnsi="Times New Roman"/>
        <w:sz w:val="20"/>
        <w:szCs w:val="20"/>
      </w:rPr>
      <w:t>UE-</w:t>
    </w:r>
    <w:r w:rsidR="00525321">
      <w:rPr>
        <w:rFonts w:ascii="Times New Roman" w:hAnsi="Times New Roman"/>
        <w:sz w:val="20"/>
        <w:szCs w:val="20"/>
      </w:rPr>
      <w:t>151164</w:t>
    </w:r>
  </w:p>
  <w:p w14:paraId="19C964A7" w14:textId="77777777" w:rsidR="00FD3C19" w:rsidRPr="00777586" w:rsidRDefault="00525321">
    <w:pPr>
      <w:pStyle w:val="Header"/>
      <w:rPr>
        <w:rFonts w:ascii="Times New Roman" w:hAnsi="Times New Roman"/>
        <w:sz w:val="20"/>
        <w:szCs w:val="20"/>
      </w:rPr>
    </w:pPr>
    <w:r>
      <w:rPr>
        <w:rFonts w:ascii="Times New Roman" w:hAnsi="Times New Roman"/>
        <w:sz w:val="20"/>
        <w:szCs w:val="20"/>
      </w:rPr>
      <w:t>July 30</w:t>
    </w:r>
    <w:r w:rsidR="008C402E">
      <w:rPr>
        <w:rFonts w:ascii="Times New Roman" w:hAnsi="Times New Roman"/>
        <w:sz w:val="20"/>
        <w:szCs w:val="20"/>
      </w:rPr>
      <w:t>, 201</w:t>
    </w:r>
    <w:r>
      <w:rPr>
        <w:rFonts w:ascii="Times New Roman" w:hAnsi="Times New Roman"/>
        <w:sz w:val="20"/>
        <w:szCs w:val="20"/>
      </w:rPr>
      <w:t>5</w:t>
    </w:r>
  </w:p>
  <w:p w14:paraId="19C964A8" w14:textId="77777777" w:rsidR="00FD3C19" w:rsidRPr="00777586" w:rsidRDefault="008C402E">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C80474">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19C964A9" w14:textId="77777777" w:rsidR="00FD3C19" w:rsidRDefault="00C80474">
    <w:pPr>
      <w:pStyle w:val="Header"/>
      <w:rPr>
        <w:rStyle w:val="PageNumb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15181"/>
    <w:multiLevelType w:val="hybridMultilevel"/>
    <w:tmpl w:val="036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EF"/>
    <w:rsid w:val="000A7E24"/>
    <w:rsid w:val="000B11EF"/>
    <w:rsid w:val="000D44C2"/>
    <w:rsid w:val="000E640C"/>
    <w:rsid w:val="0013222F"/>
    <w:rsid w:val="0014039A"/>
    <w:rsid w:val="00192A94"/>
    <w:rsid w:val="001C5AB1"/>
    <w:rsid w:val="001E1D7A"/>
    <w:rsid w:val="002B1993"/>
    <w:rsid w:val="002C039A"/>
    <w:rsid w:val="003F3C04"/>
    <w:rsid w:val="004C7A7F"/>
    <w:rsid w:val="00525321"/>
    <w:rsid w:val="00552600"/>
    <w:rsid w:val="005A1A9A"/>
    <w:rsid w:val="005A6C74"/>
    <w:rsid w:val="00672F7B"/>
    <w:rsid w:val="006A41EE"/>
    <w:rsid w:val="006C47C3"/>
    <w:rsid w:val="00727A87"/>
    <w:rsid w:val="00823C59"/>
    <w:rsid w:val="00886389"/>
    <w:rsid w:val="008C402E"/>
    <w:rsid w:val="0092403F"/>
    <w:rsid w:val="00A11942"/>
    <w:rsid w:val="00A603C0"/>
    <w:rsid w:val="00A84C2A"/>
    <w:rsid w:val="00AA1A77"/>
    <w:rsid w:val="00AD3312"/>
    <w:rsid w:val="00AE273E"/>
    <w:rsid w:val="00B13041"/>
    <w:rsid w:val="00B85848"/>
    <w:rsid w:val="00BD7E25"/>
    <w:rsid w:val="00BE6853"/>
    <w:rsid w:val="00C52D17"/>
    <w:rsid w:val="00C80474"/>
    <w:rsid w:val="00DA1B86"/>
    <w:rsid w:val="00DD2A47"/>
    <w:rsid w:val="00EB78B7"/>
    <w:rsid w:val="00F11844"/>
    <w:rsid w:val="00F21B68"/>
    <w:rsid w:val="00FB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645C"/>
  <w15:chartTrackingRefBased/>
  <w15:docId w15:val="{50DBBAA2-EA48-4510-833B-41166597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EF"/>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B11EF"/>
    <w:pPr>
      <w:tabs>
        <w:tab w:val="center" w:pos="4320"/>
        <w:tab w:val="right" w:pos="8640"/>
      </w:tabs>
    </w:pPr>
  </w:style>
  <w:style w:type="character" w:customStyle="1" w:styleId="HeaderChar">
    <w:name w:val="Header Char"/>
    <w:basedOn w:val="DefaultParagraphFont"/>
    <w:link w:val="Header"/>
    <w:rsid w:val="000B11EF"/>
    <w:rPr>
      <w:rFonts w:ascii="Palatino Linotype" w:eastAsia="Times New Roman" w:hAnsi="Palatino Linotype" w:cs="Times New Roman"/>
      <w:sz w:val="24"/>
      <w:szCs w:val="24"/>
    </w:rPr>
  </w:style>
  <w:style w:type="character" w:styleId="PageNumber">
    <w:name w:val="page number"/>
    <w:basedOn w:val="DefaultParagraphFont"/>
    <w:rsid w:val="000B11EF"/>
  </w:style>
  <w:style w:type="paragraph" w:styleId="FootnoteText">
    <w:name w:val="footnote text"/>
    <w:basedOn w:val="Normal"/>
    <w:link w:val="FootnoteTextChar"/>
    <w:uiPriority w:val="99"/>
    <w:rsid w:val="000B11EF"/>
    <w:rPr>
      <w:rFonts w:ascii="Times New Roman" w:hAnsi="Times New Roman"/>
      <w:sz w:val="20"/>
      <w:szCs w:val="20"/>
    </w:rPr>
  </w:style>
  <w:style w:type="character" w:customStyle="1" w:styleId="FootnoteTextChar">
    <w:name w:val="Footnote Text Char"/>
    <w:basedOn w:val="DefaultParagraphFont"/>
    <w:link w:val="FootnoteText"/>
    <w:uiPriority w:val="99"/>
    <w:rsid w:val="000B11EF"/>
    <w:rPr>
      <w:rFonts w:ascii="Times New Roman" w:eastAsia="Times New Roman" w:hAnsi="Times New Roman" w:cs="Times New Roman"/>
      <w:sz w:val="20"/>
      <w:szCs w:val="20"/>
    </w:rPr>
  </w:style>
  <w:style w:type="character" w:styleId="FootnoteReference">
    <w:name w:val="footnote reference"/>
    <w:uiPriority w:val="99"/>
    <w:rsid w:val="000B11EF"/>
    <w:rPr>
      <w:vertAlign w:val="superscript"/>
    </w:rPr>
  </w:style>
  <w:style w:type="paragraph" w:styleId="Footer">
    <w:name w:val="footer"/>
    <w:basedOn w:val="Normal"/>
    <w:link w:val="FooterChar"/>
    <w:uiPriority w:val="99"/>
    <w:unhideWhenUsed/>
    <w:rsid w:val="00525321"/>
    <w:pPr>
      <w:tabs>
        <w:tab w:val="center" w:pos="4680"/>
        <w:tab w:val="right" w:pos="9360"/>
      </w:tabs>
    </w:pPr>
  </w:style>
  <w:style w:type="character" w:customStyle="1" w:styleId="FooterChar">
    <w:name w:val="Footer Char"/>
    <w:basedOn w:val="DefaultParagraphFont"/>
    <w:link w:val="Footer"/>
    <w:uiPriority w:val="99"/>
    <w:rsid w:val="00525321"/>
    <w:rPr>
      <w:rFonts w:ascii="Palatino Linotype" w:eastAsia="Times New Roman" w:hAnsi="Palatino Linotype" w:cs="Times New Roman"/>
      <w:sz w:val="24"/>
      <w:szCs w:val="24"/>
    </w:rPr>
  </w:style>
  <w:style w:type="paragraph" w:styleId="ListParagraph">
    <w:name w:val="List Paragraph"/>
    <w:basedOn w:val="Normal"/>
    <w:uiPriority w:val="34"/>
    <w:qFormat/>
    <w:rsid w:val="00FB04DE"/>
    <w:pPr>
      <w:ind w:left="720"/>
      <w:contextualSpacing/>
    </w:pPr>
  </w:style>
  <w:style w:type="table" w:styleId="TableGrid">
    <w:name w:val="Table Grid"/>
    <w:basedOn w:val="TableNormal"/>
    <w:uiPriority w:val="59"/>
    <w:rsid w:val="00BD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1761E490E7B942B07CAB0F8796B519" ma:contentTypeVersion="119" ma:contentTypeDescription="" ma:contentTypeScope="" ma:versionID="855c925875a0b71b1f688577647bd0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8343C3-644E-47E0-B604-F6BEB0BB49F7}"/>
</file>

<file path=customXml/itemProps2.xml><?xml version="1.0" encoding="utf-8"?>
<ds:datastoreItem xmlns:ds="http://schemas.openxmlformats.org/officeDocument/2006/customXml" ds:itemID="{60ED0B72-01E2-49C2-B5F8-57EE8E8D2664}"/>
</file>

<file path=customXml/itemProps3.xml><?xml version="1.0" encoding="utf-8"?>
<ds:datastoreItem xmlns:ds="http://schemas.openxmlformats.org/officeDocument/2006/customXml" ds:itemID="{7BA490E7-68A8-4299-8A19-1B9039B25A06}"/>
</file>

<file path=customXml/itemProps4.xml><?xml version="1.0" encoding="utf-8"?>
<ds:datastoreItem xmlns:ds="http://schemas.openxmlformats.org/officeDocument/2006/customXml" ds:itemID="{B2BBDCEF-6E00-49F4-9CAB-9AE7180C89C3}"/>
</file>

<file path=customXml/itemProps5.xml><?xml version="1.0" encoding="utf-8"?>
<ds:datastoreItem xmlns:ds="http://schemas.openxmlformats.org/officeDocument/2006/customXml" ds:itemID="{2BEE918D-F1BC-49DE-9F3E-8F6F3C34309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6184</Characters>
  <Application>Microsoft Office Word</Application>
  <DocSecurity>0</DocSecurity>
  <Lines>131</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2015-07-28T15:58:00Z</dcterms:created>
  <dcterms:modified xsi:type="dcterms:W3CDTF">2015-07-28T15:58:00Z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0x0101006E56B4D1795A2E4DB2F0B01679ED314A00471761E490E7B942B07CAB0F8796B519</vt:lpwstr>
  </property>
  <property fmtid="{D5CDD505-2E9C-101B-9397-08002B2CF9AE}" pid="3" name="_docset_NoMedatataSyncRequired">
    <vt:lpwstr>False</vt:lpwstr>
  </property>
</Properties>
</file>