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6F5B" w14:textId="77777777" w:rsidR="00D57785" w:rsidRDefault="00D57785">
      <w:pPr>
        <w:pStyle w:val="Title"/>
      </w:pPr>
    </w:p>
    <w:p w14:paraId="4279ED45" w14:textId="77777777" w:rsidR="00AF1736" w:rsidRDefault="00AF1736">
      <w:pPr>
        <w:jc w:val="center"/>
        <w:rPr>
          <w:b/>
          <w:bCs/>
        </w:rPr>
      </w:pPr>
      <w:r>
        <w:rPr>
          <w:b/>
          <w:bCs/>
        </w:rPr>
        <w:t xml:space="preserve">BEFORE THE WASHINGTON </w:t>
      </w:r>
    </w:p>
    <w:p w14:paraId="5A90499B" w14:textId="77777777" w:rsidR="00B43A04" w:rsidRDefault="00AF1736">
      <w:pPr>
        <w:jc w:val="center"/>
        <w:rPr>
          <w:b/>
          <w:bCs/>
        </w:rPr>
      </w:pPr>
      <w:r>
        <w:rPr>
          <w:b/>
          <w:bCs/>
        </w:rPr>
        <w:t xml:space="preserve">UTILITIES AND TRANSPORTATION COMMISSION </w:t>
      </w:r>
    </w:p>
    <w:p w14:paraId="6C649B78" w14:textId="77777777" w:rsidR="00B43A04" w:rsidRDefault="00B43A04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310"/>
        <w:gridCol w:w="4542"/>
      </w:tblGrid>
      <w:tr w:rsidR="00B43A04" w14:paraId="1E00A790" w14:textId="77777777" w:rsidTr="00CA1E04">
        <w:trPr>
          <w:trHeight w:val="1593"/>
        </w:trPr>
        <w:tc>
          <w:tcPr>
            <w:tcW w:w="4508" w:type="dxa"/>
            <w:tcBorders>
              <w:bottom w:val="single" w:sz="4" w:space="0" w:color="auto"/>
            </w:tcBorders>
          </w:tcPr>
          <w:p w14:paraId="6AAD3477" w14:textId="77777777" w:rsidR="00AF1736" w:rsidRDefault="00AF1736" w:rsidP="00AF1736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WASHINGTON UTILITIES AND TRANSPORTATION COMMISSION,</w:t>
            </w:r>
          </w:p>
          <w:p w14:paraId="11C2AC66" w14:textId="77777777" w:rsidR="00AF1736" w:rsidRDefault="00AF1736" w:rsidP="00AF1736">
            <w:pPr>
              <w:tabs>
                <w:tab w:val="left" w:pos="2160"/>
              </w:tabs>
              <w:rPr>
                <w:bCs/>
              </w:rPr>
            </w:pPr>
          </w:p>
          <w:p w14:paraId="745C7F7F" w14:textId="77777777" w:rsidR="00AF1736" w:rsidRDefault="00AF1736" w:rsidP="00AF1736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ab/>
              <w:t>Complainant,</w:t>
            </w:r>
          </w:p>
          <w:p w14:paraId="1B941F0E" w14:textId="77777777" w:rsidR="00AF1736" w:rsidRDefault="00AF1736" w:rsidP="00AF1736">
            <w:pPr>
              <w:tabs>
                <w:tab w:val="left" w:pos="2160"/>
              </w:tabs>
              <w:rPr>
                <w:bCs/>
              </w:rPr>
            </w:pPr>
          </w:p>
          <w:p w14:paraId="1C780F90" w14:textId="77777777" w:rsidR="00AF1736" w:rsidRDefault="00AF1736" w:rsidP="00AF1736">
            <w:pPr>
              <w:rPr>
                <w:bCs/>
              </w:rPr>
            </w:pPr>
            <w:proofErr w:type="gramStart"/>
            <w:r>
              <w:rPr>
                <w:bCs/>
              </w:rPr>
              <w:t>v</w:t>
            </w:r>
            <w:proofErr w:type="gramEnd"/>
            <w:r>
              <w:rPr>
                <w:bCs/>
              </w:rPr>
              <w:t>.</w:t>
            </w:r>
          </w:p>
          <w:p w14:paraId="44F9D8FC" w14:textId="77777777" w:rsidR="00AF1736" w:rsidRDefault="00AF1736" w:rsidP="00AF1736">
            <w:pPr>
              <w:tabs>
                <w:tab w:val="left" w:pos="2160"/>
              </w:tabs>
              <w:rPr>
                <w:bCs/>
              </w:rPr>
            </w:pPr>
          </w:p>
          <w:p w14:paraId="400614F0" w14:textId="77777777" w:rsidR="00AF1736" w:rsidRDefault="00AF1736" w:rsidP="00AF1736">
            <w:pPr>
              <w:tabs>
                <w:tab w:val="left" w:pos="2160"/>
              </w:tabs>
              <w:rPr>
                <w:bCs/>
              </w:rPr>
            </w:pPr>
            <w:r w:rsidRPr="001A5EFC">
              <w:rPr>
                <w:bCs/>
              </w:rPr>
              <w:t xml:space="preserve">PACIFICORP D/B/A PACIFIC POWER &amp; LIGHT COMPANY, </w:t>
            </w:r>
          </w:p>
          <w:p w14:paraId="445E096A" w14:textId="77777777" w:rsidR="00AF1736" w:rsidRDefault="00AF1736" w:rsidP="00AF1736">
            <w:pPr>
              <w:tabs>
                <w:tab w:val="left" w:pos="2160"/>
              </w:tabs>
              <w:rPr>
                <w:bCs/>
              </w:rPr>
            </w:pPr>
          </w:p>
          <w:p w14:paraId="669BF342" w14:textId="77777777" w:rsidR="00454391" w:rsidRPr="00625777" w:rsidRDefault="00AF1736" w:rsidP="00AF1736">
            <w:pPr>
              <w:tabs>
                <w:tab w:val="left" w:pos="145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ab/>
              <w:t>Respondent.</w:t>
            </w:r>
          </w:p>
        </w:tc>
        <w:tc>
          <w:tcPr>
            <w:tcW w:w="310" w:type="dxa"/>
          </w:tcPr>
          <w:p w14:paraId="07D01D52" w14:textId="77777777" w:rsidR="00B43A04" w:rsidRDefault="00B43A04">
            <w:pPr>
              <w:pStyle w:val="SingleSpacing"/>
              <w:spacing w:line="240" w:lineRule="auto"/>
            </w:pPr>
            <w:r>
              <w:t>)</w:t>
            </w:r>
          </w:p>
          <w:p w14:paraId="56018D4F" w14:textId="77777777" w:rsidR="00B43A04" w:rsidRDefault="00B43A04">
            <w:pPr>
              <w:pStyle w:val="SingleSpacing"/>
              <w:spacing w:line="240" w:lineRule="auto"/>
            </w:pPr>
            <w:r>
              <w:t>)</w:t>
            </w:r>
          </w:p>
          <w:p w14:paraId="1496E439" w14:textId="77777777" w:rsidR="00B43A04" w:rsidRDefault="00B43A04">
            <w:pPr>
              <w:pStyle w:val="SingleSpacing"/>
              <w:spacing w:line="240" w:lineRule="auto"/>
            </w:pPr>
            <w:r>
              <w:t>)</w:t>
            </w:r>
          </w:p>
          <w:p w14:paraId="7BBE0DFC" w14:textId="77777777" w:rsidR="00B43A04" w:rsidRDefault="00B43A04">
            <w:pPr>
              <w:pStyle w:val="SingleSpacing"/>
              <w:spacing w:line="240" w:lineRule="auto"/>
            </w:pPr>
            <w:r>
              <w:t>)</w:t>
            </w:r>
          </w:p>
          <w:p w14:paraId="452B6DFD" w14:textId="77777777" w:rsidR="00625777" w:rsidRDefault="00B43A04">
            <w:pPr>
              <w:pStyle w:val="SingleSpacing"/>
              <w:spacing w:line="240" w:lineRule="auto"/>
            </w:pPr>
            <w:r>
              <w:t>)</w:t>
            </w:r>
          </w:p>
          <w:p w14:paraId="2E275D0D" w14:textId="77777777" w:rsidR="00E34B0B" w:rsidRDefault="00E34B0B">
            <w:pPr>
              <w:pStyle w:val="SingleSpacing"/>
              <w:spacing w:line="240" w:lineRule="auto"/>
            </w:pPr>
            <w:r>
              <w:t>)</w:t>
            </w:r>
          </w:p>
          <w:p w14:paraId="372982E8" w14:textId="77777777" w:rsidR="00AF1736" w:rsidRDefault="00AF1736">
            <w:pPr>
              <w:pStyle w:val="SingleSpacing"/>
              <w:spacing w:line="240" w:lineRule="auto"/>
            </w:pPr>
            <w:r>
              <w:t>)</w:t>
            </w:r>
          </w:p>
          <w:p w14:paraId="4E8FC730" w14:textId="77777777" w:rsidR="00AF1736" w:rsidRDefault="00AF1736">
            <w:pPr>
              <w:pStyle w:val="SingleSpacing"/>
              <w:spacing w:line="240" w:lineRule="auto"/>
            </w:pPr>
            <w:r>
              <w:t>)</w:t>
            </w:r>
          </w:p>
          <w:p w14:paraId="7CD94C28" w14:textId="77777777" w:rsidR="00AF1736" w:rsidRDefault="00AF1736">
            <w:pPr>
              <w:pStyle w:val="SingleSpacing"/>
              <w:spacing w:line="240" w:lineRule="auto"/>
            </w:pPr>
            <w:r>
              <w:t>)</w:t>
            </w:r>
          </w:p>
          <w:p w14:paraId="374BA4ED" w14:textId="77777777" w:rsidR="00AF1736" w:rsidRDefault="00AF1736">
            <w:pPr>
              <w:pStyle w:val="SingleSpacing"/>
              <w:spacing w:line="240" w:lineRule="auto"/>
            </w:pPr>
            <w:r>
              <w:t>)</w:t>
            </w:r>
          </w:p>
          <w:p w14:paraId="6C02DE74" w14:textId="77777777" w:rsidR="00AF1736" w:rsidRDefault="00AF1736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542" w:type="dxa"/>
          </w:tcPr>
          <w:p w14:paraId="451CF77C" w14:textId="77777777" w:rsidR="00B43A04" w:rsidRPr="00EE5D09" w:rsidRDefault="00AF1736" w:rsidP="00EA17EA">
            <w:pPr>
              <w:pStyle w:val="SingleSpacing"/>
              <w:spacing w:line="240" w:lineRule="auto"/>
              <w:ind w:left="492" w:hanging="90"/>
              <w:rPr>
                <w:b/>
              </w:rPr>
            </w:pPr>
            <w:bookmarkStart w:id="0" w:name="CaseNumber"/>
            <w:bookmarkEnd w:id="0"/>
            <w:r>
              <w:rPr>
                <w:b/>
              </w:rPr>
              <w:t>DOCKET NO. UE-144160</w:t>
            </w:r>
          </w:p>
          <w:p w14:paraId="034F26E5" w14:textId="77777777" w:rsidR="00B43A04" w:rsidRDefault="00B43A04">
            <w:pPr>
              <w:pStyle w:val="SingleSpacing"/>
              <w:spacing w:line="240" w:lineRule="auto"/>
            </w:pPr>
          </w:p>
          <w:p w14:paraId="0E93C050" w14:textId="77777777" w:rsidR="00AF1736" w:rsidRDefault="00AF1736" w:rsidP="00AF1736">
            <w:pPr>
              <w:pStyle w:val="BodyText2"/>
              <w:ind w:left="410"/>
              <w:rPr>
                <w:bCs w:val="0"/>
              </w:rPr>
            </w:pPr>
          </w:p>
          <w:p w14:paraId="55457B7B" w14:textId="77777777" w:rsidR="00AF1736" w:rsidRDefault="00AF1736" w:rsidP="00AF1736">
            <w:pPr>
              <w:pStyle w:val="BodyText2"/>
              <w:ind w:left="410"/>
              <w:rPr>
                <w:bCs w:val="0"/>
              </w:rPr>
            </w:pPr>
          </w:p>
          <w:p w14:paraId="659EF3ED" w14:textId="11AF9BC9" w:rsidR="00B43A04" w:rsidRPr="008249F9" w:rsidRDefault="00B43A04" w:rsidP="00AF1736">
            <w:pPr>
              <w:pStyle w:val="BodyText2"/>
              <w:ind w:left="410"/>
              <w:rPr>
                <w:bCs w:val="0"/>
              </w:rPr>
            </w:pPr>
            <w:r w:rsidRPr="008249F9">
              <w:rPr>
                <w:bCs w:val="0"/>
              </w:rPr>
              <w:t>PETITION</w:t>
            </w:r>
            <w:r w:rsidR="000A4BD2">
              <w:rPr>
                <w:bCs w:val="0"/>
              </w:rPr>
              <w:t xml:space="preserve"> TO INTERVENE</w:t>
            </w:r>
            <w:r w:rsidRPr="008249F9">
              <w:rPr>
                <w:bCs w:val="0"/>
              </w:rPr>
              <w:t xml:space="preserve"> </w:t>
            </w:r>
            <w:r w:rsidR="00443EC1" w:rsidRPr="008249F9">
              <w:rPr>
                <w:bCs w:val="0"/>
              </w:rPr>
              <w:t>OF</w:t>
            </w:r>
            <w:r w:rsidR="00B11CD9" w:rsidRPr="008249F9">
              <w:rPr>
                <w:bCs w:val="0"/>
              </w:rPr>
              <w:t xml:space="preserve"> </w:t>
            </w:r>
            <w:r w:rsidR="00AF1736">
              <w:rPr>
                <w:bCs w:val="0"/>
              </w:rPr>
              <w:t xml:space="preserve">THE </w:t>
            </w:r>
            <w:r w:rsidR="00E34C41" w:rsidRPr="008249F9">
              <w:rPr>
                <w:bCs w:val="0"/>
              </w:rPr>
              <w:t xml:space="preserve">RENEWABLE ENERGY COALITION </w:t>
            </w:r>
          </w:p>
        </w:tc>
      </w:tr>
    </w:tbl>
    <w:p w14:paraId="1A28F856" w14:textId="77777777" w:rsidR="00B43A04" w:rsidRPr="006A3AAB" w:rsidRDefault="00B43A04" w:rsidP="00656B7E">
      <w:pPr>
        <w:ind w:hanging="540"/>
      </w:pPr>
    </w:p>
    <w:p w14:paraId="17E6BACC" w14:textId="5EBE2A7A" w:rsidR="00656B7E" w:rsidRDefault="00C30E31" w:rsidP="00656B7E">
      <w:pPr>
        <w:pStyle w:val="ListParagraph"/>
        <w:numPr>
          <w:ilvl w:val="0"/>
          <w:numId w:val="27"/>
        </w:numPr>
        <w:spacing w:line="480" w:lineRule="auto"/>
        <w:ind w:hanging="540"/>
      </w:pPr>
      <w:r>
        <w:tab/>
      </w:r>
      <w:r w:rsidR="00AF1736">
        <w:t>Pursuant to Washington Administrative Code (“WAC”) § 480-07-355, the</w:t>
      </w:r>
      <w:r w:rsidR="007932B6">
        <w:t xml:space="preserve"> </w:t>
      </w:r>
      <w:r w:rsidR="00E34C41">
        <w:t>Renewable Energy Coalition</w:t>
      </w:r>
      <w:r w:rsidR="00B11CD9">
        <w:t xml:space="preserve"> </w:t>
      </w:r>
      <w:r w:rsidR="008732C9">
        <w:t>(</w:t>
      </w:r>
      <w:r w:rsidR="00AF1736">
        <w:t>“REC</w:t>
      </w:r>
      <w:r w:rsidR="008732C9">
        <w:t>”)</w:t>
      </w:r>
      <w:r w:rsidR="00A15373">
        <w:t xml:space="preserve"> </w:t>
      </w:r>
      <w:r w:rsidR="00EA17EA">
        <w:t>pe</w:t>
      </w:r>
      <w:r w:rsidR="00AF1736">
        <w:t>titions the Washington Utilities and Transportation</w:t>
      </w:r>
      <w:r w:rsidR="00EA17EA">
        <w:t xml:space="preserve"> Commission (the “Commission”)</w:t>
      </w:r>
      <w:r w:rsidR="006866C4">
        <w:t xml:space="preserve"> to intervene</w:t>
      </w:r>
      <w:r w:rsidR="00AF1736">
        <w:t xml:space="preserve"> with full party status as described in WAC § 480-07-340.  </w:t>
      </w:r>
      <w:r w:rsidR="003E76C0" w:rsidRPr="003E76C0">
        <w:t xml:space="preserve">The administrative rules at issue are </w:t>
      </w:r>
      <w:r w:rsidR="003E76C0">
        <w:t>WAC §§ 480-07-340 and 480-07-</w:t>
      </w:r>
      <w:r w:rsidR="003E76C0" w:rsidRPr="003E76C0">
        <w:t>355.</w:t>
      </w:r>
      <w:r w:rsidR="003E76C0">
        <w:t xml:space="preserve">  As required in WAC § 480-0</w:t>
      </w:r>
      <w:r w:rsidR="00AF1736">
        <w:t>7-355, the Coalition states</w:t>
      </w:r>
      <w:r w:rsidR="00443EC1">
        <w:t xml:space="preserve"> as follows:</w:t>
      </w:r>
      <w:r w:rsidR="00B43A04">
        <w:tab/>
      </w:r>
    </w:p>
    <w:p w14:paraId="56FC7810" w14:textId="77777777" w:rsidR="00656B7E" w:rsidRDefault="00656B7E" w:rsidP="00656B7E">
      <w:pPr>
        <w:pStyle w:val="ListParagraph"/>
        <w:numPr>
          <w:ilvl w:val="0"/>
          <w:numId w:val="27"/>
        </w:numPr>
        <w:spacing w:line="480" w:lineRule="auto"/>
        <w:ind w:hanging="540"/>
      </w:pPr>
      <w:r>
        <w:tab/>
        <w:t xml:space="preserve"> </w:t>
      </w:r>
      <w:r w:rsidRPr="00E242C6">
        <w:t xml:space="preserve">The name and address of </w:t>
      </w:r>
      <w:r>
        <w:t xml:space="preserve">REC </w:t>
      </w:r>
      <w:r w:rsidRPr="00E242C6">
        <w:t>is:</w:t>
      </w:r>
    </w:p>
    <w:p w14:paraId="2E96E909" w14:textId="77777777" w:rsidR="00656B7E" w:rsidRDefault="00656B7E" w:rsidP="00F81F53">
      <w:pPr>
        <w:ind w:left="2520" w:firstLine="180"/>
      </w:pPr>
      <w:r>
        <w:t>Renewable Energy Coalition</w:t>
      </w:r>
    </w:p>
    <w:p w14:paraId="6E76D555" w14:textId="77777777" w:rsidR="00656B7E" w:rsidRDefault="00656B7E" w:rsidP="00F81F53">
      <w:pPr>
        <w:ind w:left="2520" w:firstLine="180"/>
      </w:pPr>
      <w:proofErr w:type="gramStart"/>
      <w:r>
        <w:t>c</w:t>
      </w:r>
      <w:proofErr w:type="gramEnd"/>
      <w:r>
        <w:t>/o John Lowe</w:t>
      </w:r>
    </w:p>
    <w:p w14:paraId="5FE320A1" w14:textId="0572B568" w:rsidR="00656B7E" w:rsidRDefault="000457F0" w:rsidP="00F81F53">
      <w:pPr>
        <w:ind w:left="2520" w:firstLine="180"/>
      </w:pPr>
      <w:r>
        <w:t>12050 SW Tremont Street</w:t>
      </w:r>
    </w:p>
    <w:p w14:paraId="276798FB" w14:textId="77777777" w:rsidR="00656B7E" w:rsidRDefault="00656B7E" w:rsidP="00F81F53">
      <w:pPr>
        <w:ind w:left="2520" w:firstLine="180"/>
      </w:pPr>
      <w:r>
        <w:t>Portland, OR  97225</w:t>
      </w:r>
    </w:p>
    <w:p w14:paraId="213DD7A5" w14:textId="57533A77" w:rsidR="00656B7E" w:rsidRDefault="00656B7E" w:rsidP="00F81F53">
      <w:pPr>
        <w:ind w:left="2520" w:firstLine="180"/>
      </w:pPr>
      <w:r>
        <w:t xml:space="preserve">E-Mail:  </w:t>
      </w:r>
      <w:r w:rsidRPr="00656B7E">
        <w:t>jravenesanmarcos@yahoo.com</w:t>
      </w:r>
    </w:p>
    <w:p w14:paraId="6AD11A2B" w14:textId="77777777" w:rsidR="00656B7E" w:rsidRDefault="00656B7E" w:rsidP="00656B7E">
      <w:pPr>
        <w:ind w:left="2520" w:hanging="540"/>
      </w:pPr>
    </w:p>
    <w:p w14:paraId="4A934A22" w14:textId="5EA41A04" w:rsidR="00656B7E" w:rsidRDefault="00656B7E" w:rsidP="00656B7E">
      <w:pPr>
        <w:pStyle w:val="ListParagraph"/>
        <w:numPr>
          <w:ilvl w:val="0"/>
          <w:numId w:val="27"/>
        </w:numPr>
        <w:spacing w:line="480" w:lineRule="auto"/>
        <w:ind w:hanging="540"/>
      </w:pPr>
      <w:r>
        <w:t xml:space="preserve"> </w:t>
      </w:r>
      <w:r>
        <w:tab/>
      </w:r>
      <w:proofErr w:type="gramStart"/>
      <w:r>
        <w:t>REC will be represented in this proceeding by Sanger Law, PC</w:t>
      </w:r>
      <w:proofErr w:type="gramEnd"/>
      <w:r>
        <w:t>.  All documents relating to these proceedings should be served on the following persons at the addresses listed</w:t>
      </w:r>
      <w:r w:rsidR="006B59A5">
        <w:t xml:space="preserve"> below</w:t>
      </w:r>
      <w:r>
        <w:t xml:space="preserve">: </w:t>
      </w:r>
    </w:p>
    <w:tbl>
      <w:tblPr>
        <w:tblStyle w:val="TableGrid"/>
        <w:tblW w:w="0" w:type="auto"/>
        <w:tblInd w:w="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50"/>
      </w:tblGrid>
      <w:tr w:rsidR="00656B7E" w14:paraId="06BF696A" w14:textId="77777777" w:rsidTr="00F81F53">
        <w:tc>
          <w:tcPr>
            <w:tcW w:w="5850" w:type="dxa"/>
          </w:tcPr>
          <w:p w14:paraId="76D1F637" w14:textId="77777777" w:rsidR="00656B7E" w:rsidRDefault="00656B7E" w:rsidP="00F81F53">
            <w:pPr>
              <w:ind w:left="360" w:hanging="18"/>
            </w:pPr>
            <w:r>
              <w:t xml:space="preserve">John Lowe </w:t>
            </w:r>
          </w:p>
          <w:p w14:paraId="6FDF8E3E" w14:textId="77777777" w:rsidR="00656B7E" w:rsidRDefault="00656B7E" w:rsidP="00F81F53">
            <w:pPr>
              <w:ind w:left="360" w:hanging="18"/>
            </w:pPr>
            <w:r w:rsidRPr="00D04330">
              <w:t>Renewable Energy Coalition</w:t>
            </w:r>
          </w:p>
          <w:p w14:paraId="6E60E0E0" w14:textId="640C7332" w:rsidR="00656B7E" w:rsidRPr="00D04330" w:rsidRDefault="000457F0" w:rsidP="00F81F53">
            <w:pPr>
              <w:ind w:left="360" w:hanging="18"/>
            </w:pPr>
            <w:r>
              <w:t>12050 SW Tremont Street</w:t>
            </w:r>
          </w:p>
          <w:p w14:paraId="159FD110" w14:textId="77777777" w:rsidR="00656B7E" w:rsidRPr="00D04330" w:rsidRDefault="00656B7E" w:rsidP="00F81F53">
            <w:pPr>
              <w:ind w:left="360" w:hanging="18"/>
            </w:pPr>
            <w:r w:rsidRPr="00D04330">
              <w:t>Portland, OR  97225</w:t>
            </w:r>
          </w:p>
          <w:p w14:paraId="2F2404A4" w14:textId="77777777" w:rsidR="00656B7E" w:rsidRPr="00D04330" w:rsidRDefault="00656B7E" w:rsidP="00F81F53">
            <w:pPr>
              <w:ind w:left="360" w:hanging="18"/>
            </w:pPr>
            <w:r w:rsidRPr="00D04330">
              <w:t>E-Mail:  jravenesanmarcos@yahoo.com</w:t>
            </w:r>
          </w:p>
          <w:p w14:paraId="13D2D967" w14:textId="77777777" w:rsidR="00656B7E" w:rsidRDefault="00656B7E" w:rsidP="00F81F53">
            <w:pPr>
              <w:ind w:hanging="18"/>
            </w:pPr>
          </w:p>
          <w:p w14:paraId="1AEB0562" w14:textId="77777777" w:rsidR="00656B7E" w:rsidRDefault="00656B7E" w:rsidP="00F81F53">
            <w:pPr>
              <w:ind w:left="360" w:hanging="18"/>
            </w:pPr>
            <w:r>
              <w:lastRenderedPageBreak/>
              <w:t>Irion Sanger</w:t>
            </w:r>
          </w:p>
          <w:p w14:paraId="453A4696" w14:textId="77777777" w:rsidR="00656B7E" w:rsidRDefault="00656B7E" w:rsidP="00F81F53">
            <w:pPr>
              <w:ind w:left="360" w:hanging="18"/>
            </w:pPr>
            <w:r>
              <w:t>Sanger Law, P.C.</w:t>
            </w:r>
          </w:p>
          <w:p w14:paraId="67B2B4FE" w14:textId="72597022" w:rsidR="00656B7E" w:rsidRDefault="000A4BD2" w:rsidP="00F81F53">
            <w:pPr>
              <w:ind w:left="360" w:hanging="18"/>
            </w:pPr>
            <w:r>
              <w:t>1117 SE</w:t>
            </w:r>
            <w:r w:rsidR="00656B7E">
              <w:t xml:space="preserve"> 53</w:t>
            </w:r>
            <w:r w:rsidR="000457F0">
              <w:t>rd</w:t>
            </w:r>
            <w:r w:rsidR="00656B7E">
              <w:t xml:space="preserve"> Avenue</w:t>
            </w:r>
          </w:p>
          <w:p w14:paraId="4DD65F92" w14:textId="77777777" w:rsidR="00656B7E" w:rsidRDefault="00656B7E" w:rsidP="00F81F53">
            <w:pPr>
              <w:ind w:left="360" w:hanging="18"/>
            </w:pPr>
            <w:r>
              <w:t>Portland, OR  97215</w:t>
            </w:r>
          </w:p>
          <w:p w14:paraId="341D4213" w14:textId="77777777" w:rsidR="00656B7E" w:rsidRDefault="00656B7E" w:rsidP="00F81F53">
            <w:pPr>
              <w:ind w:left="360" w:hanging="18"/>
            </w:pPr>
            <w:r>
              <w:t xml:space="preserve">E-Mail:  </w:t>
            </w:r>
            <w:r w:rsidRPr="006C5D37">
              <w:t>irion@sanger-law.com</w:t>
            </w:r>
          </w:p>
          <w:p w14:paraId="617CAB2B" w14:textId="77777777" w:rsidR="00656B7E" w:rsidRDefault="00656B7E" w:rsidP="00F81F53">
            <w:pPr>
              <w:ind w:hanging="18"/>
            </w:pPr>
          </w:p>
        </w:tc>
      </w:tr>
    </w:tbl>
    <w:p w14:paraId="52D3EFF9" w14:textId="6B70C1D2" w:rsidR="00525829" w:rsidRPr="00525829" w:rsidRDefault="00656B7E" w:rsidP="00656B7E">
      <w:pPr>
        <w:pStyle w:val="ListParagraph"/>
        <w:numPr>
          <w:ilvl w:val="0"/>
          <w:numId w:val="27"/>
        </w:numPr>
        <w:spacing w:line="480" w:lineRule="auto"/>
        <w:ind w:hanging="540"/>
      </w:pPr>
      <w:r>
        <w:lastRenderedPageBreak/>
        <w:t xml:space="preserve">  </w:t>
      </w:r>
      <w:r>
        <w:tab/>
        <w:t xml:space="preserve">REC was established in 2009, and is </w:t>
      </w:r>
      <w:r w:rsidR="006B59A5">
        <w:t>comprised of over thirty members that are</w:t>
      </w:r>
      <w:r>
        <w:t xml:space="preserve"> small qualifying facilities (“</w:t>
      </w:r>
      <w:proofErr w:type="spellStart"/>
      <w:r>
        <w:t>QFs</w:t>
      </w:r>
      <w:proofErr w:type="spellEnd"/>
      <w:r>
        <w:t xml:space="preserve">”) who own and operate nearly forty non-intermittent </w:t>
      </w:r>
      <w:proofErr w:type="spellStart"/>
      <w:r>
        <w:t>QFs</w:t>
      </w:r>
      <w:proofErr w:type="spellEnd"/>
      <w:r>
        <w:t xml:space="preserve"> in Oregon, Idaho, Washington, Utah, and Wyoming.  </w:t>
      </w:r>
      <w:proofErr w:type="spellStart"/>
      <w:r>
        <w:t>REC’s</w:t>
      </w:r>
      <w:proofErr w:type="spellEnd"/>
      <w:r>
        <w:t xml:space="preserve"> members have power purchase agreements (“</w:t>
      </w:r>
      <w:proofErr w:type="spellStart"/>
      <w:r>
        <w:t>PPAs</w:t>
      </w:r>
      <w:proofErr w:type="spellEnd"/>
      <w:r>
        <w:t>”) with Northwest utilities, including Pacific Power and Light Co. (“Pacific Power”).  Yakima-</w:t>
      </w:r>
      <w:proofErr w:type="spellStart"/>
      <w:r>
        <w:t>Tieton</w:t>
      </w:r>
      <w:proofErr w:type="spellEnd"/>
      <w:r>
        <w:t xml:space="preserve"> Irriga</w:t>
      </w:r>
      <w:r w:rsidR="000A4BD2">
        <w:t xml:space="preserve">tion District has been a REC </w:t>
      </w:r>
      <w:r>
        <w:t xml:space="preserve">member since 2011, and sells its power </w:t>
      </w:r>
      <w:r w:rsidR="00525829">
        <w:t>to Pacific Power from two 1</w:t>
      </w:r>
      <w:proofErr w:type="gramStart"/>
      <w:r w:rsidR="00525829">
        <w:t>.4 megawatt</w:t>
      </w:r>
      <w:proofErr w:type="gramEnd"/>
      <w:r>
        <w:t xml:space="preserve"> hydroelectric projects (the Orchard and </w:t>
      </w:r>
      <w:proofErr w:type="spellStart"/>
      <w:r>
        <w:t>Cowiche</w:t>
      </w:r>
      <w:proofErr w:type="spellEnd"/>
      <w:r>
        <w:t xml:space="preserve"> projects). </w:t>
      </w:r>
      <w:r w:rsidRPr="00656B7E">
        <w:rPr>
          <w:rFonts w:eastAsia="Cambria"/>
        </w:rPr>
        <w:t xml:space="preserve"> </w:t>
      </w:r>
    </w:p>
    <w:p w14:paraId="1CCEB6E3" w14:textId="3E2DF7FC" w:rsidR="00656B7E" w:rsidRPr="00656B7E" w:rsidRDefault="00525829" w:rsidP="00656B7E">
      <w:pPr>
        <w:pStyle w:val="ListParagraph"/>
        <w:numPr>
          <w:ilvl w:val="0"/>
          <w:numId w:val="27"/>
        </w:numPr>
        <w:spacing w:line="480" w:lineRule="auto"/>
        <w:ind w:hanging="540"/>
      </w:pPr>
      <w:r>
        <w:rPr>
          <w:rFonts w:eastAsia="Cambria"/>
        </w:rPr>
        <w:tab/>
      </w:r>
      <w:r w:rsidR="00656B7E" w:rsidRPr="00656B7E">
        <w:rPr>
          <w:rFonts w:eastAsia="Cambria"/>
        </w:rPr>
        <w:t xml:space="preserve">REC has participated in numerous state regulatory proceedings related to </w:t>
      </w:r>
      <w:proofErr w:type="spellStart"/>
      <w:r w:rsidR="00656B7E" w:rsidRPr="00656B7E">
        <w:rPr>
          <w:rFonts w:eastAsia="Cambria"/>
        </w:rPr>
        <w:t>QFs</w:t>
      </w:r>
      <w:proofErr w:type="spellEnd"/>
      <w:r w:rsidR="00656B7E" w:rsidRPr="00656B7E">
        <w:rPr>
          <w:rFonts w:eastAsia="Cambria"/>
        </w:rPr>
        <w:t xml:space="preserve">, </w:t>
      </w:r>
      <w:proofErr w:type="spellStart"/>
      <w:r w:rsidR="00656B7E" w:rsidRPr="00656B7E">
        <w:rPr>
          <w:rFonts w:eastAsia="Cambria"/>
        </w:rPr>
        <w:t>PPAs</w:t>
      </w:r>
      <w:proofErr w:type="spellEnd"/>
      <w:r w:rsidR="00656B7E" w:rsidRPr="00656B7E">
        <w:rPr>
          <w:rFonts w:eastAsia="Cambria"/>
        </w:rPr>
        <w:t>, avoided costs</w:t>
      </w:r>
      <w:r w:rsidR="000A4BD2">
        <w:rPr>
          <w:rFonts w:eastAsia="Cambria"/>
        </w:rPr>
        <w:t>,</w:t>
      </w:r>
      <w:r w:rsidR="00656B7E" w:rsidRPr="00656B7E">
        <w:rPr>
          <w:rFonts w:eastAsia="Cambria"/>
        </w:rPr>
        <w:t xml:space="preserve"> </w:t>
      </w:r>
      <w:r w:rsidR="002E6011">
        <w:rPr>
          <w:rFonts w:eastAsia="Cambria"/>
        </w:rPr>
        <w:t xml:space="preserve">integrated resource planning, </w:t>
      </w:r>
      <w:r w:rsidR="00656B7E" w:rsidRPr="00656B7E">
        <w:rPr>
          <w:rFonts w:eastAsia="Cambria"/>
        </w:rPr>
        <w:t>and the Public Utility Regulatory Policies Act (“</w:t>
      </w:r>
      <w:proofErr w:type="spellStart"/>
      <w:r w:rsidR="00656B7E" w:rsidRPr="00656B7E">
        <w:rPr>
          <w:rFonts w:eastAsia="Cambria"/>
        </w:rPr>
        <w:t>PURPA</w:t>
      </w:r>
      <w:proofErr w:type="spellEnd"/>
      <w:r w:rsidR="00656B7E" w:rsidRPr="00656B7E">
        <w:rPr>
          <w:rFonts w:eastAsia="Cambria"/>
        </w:rPr>
        <w:t xml:space="preserve">”) throughout the Northwest.  </w:t>
      </w:r>
      <w:proofErr w:type="spellStart"/>
      <w:r w:rsidR="00656B7E" w:rsidRPr="00656B7E">
        <w:rPr>
          <w:rFonts w:eastAsia="Cambria"/>
        </w:rPr>
        <w:t>REC’s</w:t>
      </w:r>
      <w:proofErr w:type="spellEnd"/>
      <w:r w:rsidR="00656B7E" w:rsidRPr="00656B7E">
        <w:rPr>
          <w:rFonts w:eastAsia="Cambria"/>
        </w:rPr>
        <w:t xml:space="preserve"> attorney has participated in numerous Commission proceedings, including Pacific Power filings.  </w:t>
      </w:r>
    </w:p>
    <w:p w14:paraId="386809B3" w14:textId="048F5D69" w:rsidR="00656B7E" w:rsidRDefault="00656B7E" w:rsidP="00656B7E">
      <w:pPr>
        <w:pStyle w:val="ListParagraph"/>
        <w:numPr>
          <w:ilvl w:val="0"/>
          <w:numId w:val="27"/>
        </w:numPr>
        <w:spacing w:line="480" w:lineRule="auto"/>
        <w:ind w:hanging="540"/>
        <w:rPr>
          <w:rFonts w:eastAsia="Cambria"/>
        </w:rPr>
      </w:pPr>
      <w:r>
        <w:rPr>
          <w:rFonts w:eastAsia="Cambria"/>
        </w:rPr>
        <w:tab/>
      </w:r>
      <w:r w:rsidRPr="00656B7E">
        <w:rPr>
          <w:rFonts w:eastAsia="Cambria"/>
        </w:rPr>
        <w:t xml:space="preserve">Pacific Power has proposed a major revision in its historic methodology for calculating avoided cost rates in Washington.  Pacific Power currently pays </w:t>
      </w:r>
      <w:proofErr w:type="spellStart"/>
      <w:r w:rsidRPr="00656B7E">
        <w:rPr>
          <w:rFonts w:eastAsia="Cambria"/>
        </w:rPr>
        <w:t>QFs</w:t>
      </w:r>
      <w:proofErr w:type="spellEnd"/>
      <w:r w:rsidRPr="00656B7E">
        <w:rPr>
          <w:rFonts w:eastAsia="Cambria"/>
        </w:rPr>
        <w:t xml:space="preserve"> 2 megawatts and under rates that include a capacity and energy payment. </w:t>
      </w:r>
      <w:r w:rsidR="002E6011">
        <w:rPr>
          <w:rFonts w:eastAsia="Cambria"/>
        </w:rPr>
        <w:t xml:space="preserve"> </w:t>
      </w:r>
      <w:r w:rsidRPr="00656B7E">
        <w:rPr>
          <w:rFonts w:eastAsia="Cambria"/>
        </w:rPr>
        <w:t>Pacific Power’s new proposed Schedule 37 rates include two major revisions, including: 1) completely eliminating the dollars per kilowatt month capacity rate; and 2) reducing the avoided cost rates for wind and solar by estimated integration costs.</w:t>
      </w:r>
      <w:r>
        <w:rPr>
          <w:rFonts w:eastAsia="Cambria"/>
        </w:rPr>
        <w:t xml:space="preserve"> </w:t>
      </w:r>
    </w:p>
    <w:p w14:paraId="58208A6E" w14:textId="2A97F17E" w:rsidR="00656B7E" w:rsidRPr="000457F0" w:rsidRDefault="00656B7E" w:rsidP="00656B7E">
      <w:pPr>
        <w:pStyle w:val="ListParagraph"/>
        <w:numPr>
          <w:ilvl w:val="0"/>
          <w:numId w:val="27"/>
        </w:numPr>
        <w:spacing w:line="480" w:lineRule="auto"/>
        <w:ind w:hanging="540"/>
        <w:rPr>
          <w:rFonts w:eastAsia="Cambria"/>
        </w:rPr>
      </w:pPr>
      <w:r>
        <w:rPr>
          <w:rFonts w:eastAsia="Cambria"/>
        </w:rPr>
        <w:t xml:space="preserve"> </w:t>
      </w:r>
      <w:r w:rsidR="00F81F53">
        <w:rPr>
          <w:rFonts w:eastAsia="Cambria"/>
        </w:rPr>
        <w:tab/>
      </w:r>
      <w:r>
        <w:t>REC has a direct and substantial interest in this proceeding that will not be adequately represe</w:t>
      </w:r>
      <w:r w:rsidR="000457F0">
        <w:t xml:space="preserve">nted by any other party, and </w:t>
      </w:r>
      <w:r>
        <w:t>any Commission determination made in conn</w:t>
      </w:r>
      <w:r w:rsidR="000457F0">
        <w:t xml:space="preserve">ection with these proceedings </w:t>
      </w:r>
      <w:r>
        <w:t xml:space="preserve">could impact avoided cost rates or contract terms and </w:t>
      </w:r>
      <w:r>
        <w:lastRenderedPageBreak/>
        <w:t xml:space="preserve">conditions available to </w:t>
      </w:r>
      <w:proofErr w:type="spellStart"/>
      <w:r>
        <w:t>REC’s</w:t>
      </w:r>
      <w:proofErr w:type="spellEnd"/>
      <w:r>
        <w:t xml:space="preserve"> current and future members.  </w:t>
      </w:r>
      <w:r w:rsidRPr="000457F0">
        <w:rPr>
          <w:rFonts w:eastAsia="Cambria"/>
        </w:rPr>
        <w:t>REC opposes Pacific Power’s proposed elimination of the capacity paymen</w:t>
      </w:r>
      <w:r w:rsidR="000A4BD2">
        <w:rPr>
          <w:rFonts w:eastAsia="Cambria"/>
        </w:rPr>
        <w:t>t.  REC intends to investigate</w:t>
      </w:r>
      <w:r w:rsidRPr="000457F0">
        <w:rPr>
          <w:rFonts w:eastAsia="Cambria"/>
        </w:rPr>
        <w:t xml:space="preserve"> Pacific Power’s proposed filing to ensure that it complies with Washington law, and the federal Public Utility Regulatory Policies Act.</w:t>
      </w:r>
      <w:r>
        <w:t xml:space="preserve"> </w:t>
      </w:r>
      <w:r w:rsidR="00F81F53" w:rsidRPr="000457F0">
        <w:rPr>
          <w:rFonts w:eastAsia="Cambria"/>
        </w:rPr>
        <w:t xml:space="preserve"> </w:t>
      </w:r>
      <w:r>
        <w:t xml:space="preserve">REC intends to participate in all aspect of this proceeding and will not unreasonably broaden the issues, burden the record, or delay this proceeding. </w:t>
      </w:r>
    </w:p>
    <w:p w14:paraId="4A75102D" w14:textId="7BECC047" w:rsidR="00B43A04" w:rsidRPr="00656B7E" w:rsidRDefault="00F81F53" w:rsidP="00656B7E">
      <w:pPr>
        <w:pStyle w:val="ListParagraph"/>
        <w:numPr>
          <w:ilvl w:val="0"/>
          <w:numId w:val="27"/>
        </w:numPr>
        <w:spacing w:line="480" w:lineRule="auto"/>
        <w:ind w:hanging="540"/>
        <w:rPr>
          <w:rFonts w:eastAsia="Cambria"/>
        </w:rPr>
      </w:pPr>
      <w:r>
        <w:tab/>
      </w:r>
      <w:r w:rsidR="00A91456">
        <w:t xml:space="preserve">Without the opportunity to intervene herein, </w:t>
      </w:r>
      <w:r w:rsidR="00E34C41">
        <w:t>RE</w:t>
      </w:r>
      <w:r w:rsidR="002F0B88">
        <w:t>C</w:t>
      </w:r>
      <w:r w:rsidR="00A91456">
        <w:t xml:space="preserve"> would be without a manner or means of participating in the lawf</w:t>
      </w:r>
      <w:r w:rsidR="002E6011">
        <w:t>ul determination of issues that</w:t>
      </w:r>
      <w:r w:rsidR="00A91456">
        <w:t xml:space="preserve"> </w:t>
      </w:r>
      <w:r w:rsidR="00EA47A3">
        <w:t>may affect</w:t>
      </w:r>
      <w:r w:rsidR="00A91456">
        <w:t xml:space="preserve"> </w:t>
      </w:r>
      <w:r w:rsidR="00E91245">
        <w:t>the</w:t>
      </w:r>
      <w:r w:rsidR="00A91456">
        <w:t xml:space="preserve"> </w:t>
      </w:r>
      <w:r w:rsidR="007932B6">
        <w:t xml:space="preserve">avoided cost rates </w:t>
      </w:r>
      <w:r w:rsidR="00EA47A3">
        <w:t xml:space="preserve">or </w:t>
      </w:r>
      <w:r w:rsidR="007932B6">
        <w:t xml:space="preserve">contract terms and conditions </w:t>
      </w:r>
      <w:r w:rsidR="00EA47A3">
        <w:t xml:space="preserve">regarding </w:t>
      </w:r>
      <w:proofErr w:type="spellStart"/>
      <w:r w:rsidR="00EA47A3">
        <w:t>PPAs</w:t>
      </w:r>
      <w:proofErr w:type="spellEnd"/>
      <w:r w:rsidR="00597E43">
        <w:t xml:space="preserve"> </w:t>
      </w:r>
      <w:r w:rsidR="00EA47A3">
        <w:t xml:space="preserve">for </w:t>
      </w:r>
      <w:r w:rsidR="00E34C41">
        <w:t>RE</w:t>
      </w:r>
      <w:r w:rsidR="002F0B88">
        <w:t xml:space="preserve">C </w:t>
      </w:r>
      <w:r w:rsidR="00E91245">
        <w:t>member</w:t>
      </w:r>
      <w:r w:rsidR="002F0B88">
        <w:t>s.</w:t>
      </w:r>
    </w:p>
    <w:p w14:paraId="07FA77A0" w14:textId="2EDE6CE2" w:rsidR="00B43A04" w:rsidRPr="00656B7E" w:rsidRDefault="00F81F53" w:rsidP="00656B7E">
      <w:pPr>
        <w:pStyle w:val="ListParagraph"/>
        <w:numPr>
          <w:ilvl w:val="0"/>
          <w:numId w:val="27"/>
        </w:numPr>
        <w:spacing w:line="480" w:lineRule="auto"/>
        <w:ind w:hanging="540"/>
        <w:rPr>
          <w:rFonts w:eastAsia="Cambria"/>
        </w:rPr>
      </w:pPr>
      <w:r>
        <w:tab/>
      </w:r>
      <w:r w:rsidR="00B43A04">
        <w:t xml:space="preserve">WHEREFORE, </w:t>
      </w:r>
      <w:r w:rsidR="00E34C41">
        <w:t>RE</w:t>
      </w:r>
      <w:r w:rsidR="00D50E34">
        <w:t>C</w:t>
      </w:r>
      <w:r w:rsidR="00267A25">
        <w:t xml:space="preserve"> </w:t>
      </w:r>
      <w:r w:rsidR="00B43A04">
        <w:t xml:space="preserve">respectfully requests that the Commission grant its petition to intervene with full </w:t>
      </w:r>
      <w:r w:rsidR="005D1E67">
        <w:t>party status in this proceeding and to appear and participate in all matters as may be necessary and appropriate; and to present evidence, call and examine witnesses, cross-examine witnesses, present argument, and to otherwise fully participate in the proceedings.</w:t>
      </w:r>
      <w:r w:rsidR="00B43A04">
        <w:t xml:space="preserve">  </w:t>
      </w:r>
    </w:p>
    <w:p w14:paraId="2ECBF078" w14:textId="1205A448" w:rsidR="00B43A04" w:rsidRDefault="00B43A04" w:rsidP="00D301DA">
      <w:pPr>
        <w:keepNext/>
        <w:spacing w:line="480" w:lineRule="auto"/>
        <w:ind w:left="1980"/>
      </w:pPr>
      <w:r>
        <w:t xml:space="preserve">Dated this </w:t>
      </w:r>
      <w:r w:rsidR="000457F0">
        <w:t>17th</w:t>
      </w:r>
      <w:r>
        <w:t xml:space="preserve"> day of </w:t>
      </w:r>
      <w:proofErr w:type="gramStart"/>
      <w:r w:rsidR="00597E43">
        <w:t>March</w:t>
      </w:r>
      <w:r w:rsidR="00454391">
        <w:t>,</w:t>
      </w:r>
      <w:proofErr w:type="gramEnd"/>
      <w:r w:rsidR="00454391">
        <w:t xml:space="preserve"> 2015</w:t>
      </w:r>
      <w:r w:rsidR="00833F04">
        <w:t>.</w:t>
      </w:r>
    </w:p>
    <w:p w14:paraId="666F4E4E" w14:textId="076C17F7" w:rsidR="0000482B" w:rsidRDefault="00B43A04" w:rsidP="00B17330">
      <w:pPr>
        <w:keepNext/>
        <w:spacing w:line="480" w:lineRule="auto"/>
        <w:ind w:left="2880" w:firstLine="720"/>
      </w:pPr>
      <w:r>
        <w:t>Respectfully submitted,</w:t>
      </w:r>
    </w:p>
    <w:p w14:paraId="1025EC20" w14:textId="77777777" w:rsidR="00CD1028" w:rsidRDefault="00CD1028" w:rsidP="00B17330">
      <w:pPr>
        <w:keepNext/>
        <w:ind w:left="2880" w:firstLine="720"/>
      </w:pPr>
    </w:p>
    <w:p w14:paraId="11FF32AD" w14:textId="77777777" w:rsidR="00CD1028" w:rsidRDefault="00CD1028" w:rsidP="00B17330">
      <w:pPr>
        <w:keepNext/>
        <w:ind w:left="2880" w:firstLine="720"/>
      </w:pPr>
    </w:p>
    <w:p w14:paraId="0647C9A7" w14:textId="7DA82802" w:rsidR="00CD1028" w:rsidRDefault="000909C6" w:rsidP="00B17330">
      <w:pPr>
        <w:keepNext/>
        <w:ind w:left="2880" w:firstLine="720"/>
      </w:pPr>
      <w:bookmarkStart w:id="1" w:name="_GoBack"/>
      <w:bookmarkEnd w:id="1"/>
      <w:r w:rsidRPr="000909C6">
        <w:rPr>
          <w:i/>
          <w:noProof/>
          <w:u w:val="single"/>
        </w:rPr>
        <w:t>Irion A. Sanger</w:t>
      </w:r>
      <w:r w:rsidR="00B17330">
        <w:rPr>
          <w:noProof/>
        </w:rPr>
        <w:t>______</w:t>
      </w:r>
    </w:p>
    <w:p w14:paraId="65E2F554" w14:textId="27182D40" w:rsidR="00CD1028" w:rsidRDefault="00CD1028" w:rsidP="00B17330">
      <w:pPr>
        <w:keepNext/>
        <w:ind w:left="2880" w:firstLine="720"/>
      </w:pPr>
      <w:r>
        <w:t>Irion A. Sanger</w:t>
      </w:r>
    </w:p>
    <w:p w14:paraId="414F9D0B" w14:textId="77777777" w:rsidR="00CD1028" w:rsidRDefault="00CD1028" w:rsidP="00B17330">
      <w:pPr>
        <w:keepNext/>
        <w:ind w:left="2880" w:firstLine="720"/>
      </w:pPr>
      <w:r>
        <w:t>Sanger Law, PC</w:t>
      </w:r>
    </w:p>
    <w:p w14:paraId="0A825A5D" w14:textId="77777777" w:rsidR="00CD1028" w:rsidRDefault="00CD1028" w:rsidP="00B17330">
      <w:pPr>
        <w:keepNext/>
        <w:ind w:left="2880" w:firstLine="720"/>
      </w:pPr>
      <w:r w:rsidRPr="00CD1028">
        <w:t>1117 SE 53rd Avenue</w:t>
      </w:r>
    </w:p>
    <w:p w14:paraId="135945C7" w14:textId="77777777" w:rsidR="00CD1028" w:rsidRDefault="00CD1028" w:rsidP="00B17330">
      <w:pPr>
        <w:keepNext/>
        <w:ind w:left="2880" w:firstLine="720"/>
      </w:pPr>
      <w:r w:rsidRPr="00CD1028">
        <w:t>Portland, OR 97215</w:t>
      </w:r>
    </w:p>
    <w:p w14:paraId="40EB9AFF" w14:textId="77777777" w:rsidR="00CD1028" w:rsidRDefault="00CD1028" w:rsidP="00B17330">
      <w:pPr>
        <w:keepNext/>
        <w:ind w:left="2880" w:firstLine="720"/>
      </w:pPr>
      <w:r w:rsidRPr="00CD1028">
        <w:t>Telephone: 503-756-7533</w:t>
      </w:r>
    </w:p>
    <w:p w14:paraId="00FF8F31" w14:textId="77777777" w:rsidR="00CD1028" w:rsidRDefault="00CD1028" w:rsidP="00B17330">
      <w:pPr>
        <w:keepNext/>
        <w:ind w:left="2880" w:firstLine="720"/>
      </w:pPr>
      <w:r w:rsidRPr="00CD1028">
        <w:t>Fax: 503-334-2235</w:t>
      </w:r>
    </w:p>
    <w:p w14:paraId="373CA299" w14:textId="6725035F" w:rsidR="00CD1028" w:rsidRDefault="00CD1028" w:rsidP="00B17330">
      <w:pPr>
        <w:keepNext/>
        <w:ind w:left="2880" w:firstLine="720"/>
      </w:pPr>
      <w:r w:rsidRPr="00CD1028">
        <w:t>irion@sanger-law.com</w:t>
      </w:r>
    </w:p>
    <w:p w14:paraId="69DD4815" w14:textId="77777777" w:rsidR="00B17330" w:rsidRDefault="00B17330" w:rsidP="00B17330">
      <w:pPr>
        <w:keepNext/>
        <w:ind w:left="2880" w:firstLine="720"/>
      </w:pPr>
    </w:p>
    <w:p w14:paraId="571BFBE6" w14:textId="7D7C07F6" w:rsidR="0000482B" w:rsidRDefault="00F81F53" w:rsidP="000457F0">
      <w:pPr>
        <w:keepNext/>
        <w:ind w:left="2880" w:firstLine="720"/>
      </w:pPr>
      <w:r>
        <w:t>Of A</w:t>
      </w:r>
      <w:r w:rsidR="00B17330">
        <w:t>ttorneys fo</w:t>
      </w:r>
      <w:r>
        <w:t>r the Renewable Energy Coalition</w:t>
      </w:r>
    </w:p>
    <w:sectPr w:rsidR="0000482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42401" w14:textId="77777777" w:rsidR="000A4BD2" w:rsidRDefault="000A4BD2">
      <w:r>
        <w:separator/>
      </w:r>
    </w:p>
  </w:endnote>
  <w:endnote w:type="continuationSeparator" w:id="0">
    <w:p w14:paraId="759589BA" w14:textId="77777777" w:rsidR="000A4BD2" w:rsidRDefault="000A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6C2D1" w14:textId="77777777" w:rsidR="000A4BD2" w:rsidRPr="00D04330" w:rsidRDefault="000A4BD2">
    <w:pPr>
      <w:pStyle w:val="Footer"/>
      <w:rPr>
        <w:szCs w:val="24"/>
      </w:rPr>
    </w:pPr>
    <w:r w:rsidRPr="00D04330">
      <w:rPr>
        <w:szCs w:val="24"/>
      </w:rPr>
      <w:t xml:space="preserve">REC PETITION TO INTERVENE </w:t>
    </w:r>
    <w:r w:rsidRPr="00D04330">
      <w:rPr>
        <w:szCs w:val="24"/>
      </w:rPr>
      <w:tab/>
    </w:r>
    <w:r w:rsidRPr="00D04330">
      <w:rPr>
        <w:szCs w:val="24"/>
      </w:rPr>
      <w:tab/>
      <w:t xml:space="preserve">Page </w:t>
    </w:r>
    <w:r w:rsidRPr="00D04330">
      <w:rPr>
        <w:rStyle w:val="PageNumber"/>
        <w:szCs w:val="24"/>
      </w:rPr>
      <w:fldChar w:fldCharType="begin"/>
    </w:r>
    <w:r w:rsidRPr="00D04330">
      <w:rPr>
        <w:rStyle w:val="PageNumber"/>
        <w:szCs w:val="24"/>
      </w:rPr>
      <w:instrText xml:space="preserve"> PAGE </w:instrText>
    </w:r>
    <w:r w:rsidRPr="00D04330">
      <w:rPr>
        <w:rStyle w:val="PageNumber"/>
        <w:szCs w:val="24"/>
      </w:rPr>
      <w:fldChar w:fldCharType="separate"/>
    </w:r>
    <w:r w:rsidR="001B59EB">
      <w:rPr>
        <w:rStyle w:val="PageNumber"/>
        <w:noProof/>
        <w:szCs w:val="24"/>
      </w:rPr>
      <w:t>3</w:t>
    </w:r>
    <w:r w:rsidRPr="00D04330">
      <w:rPr>
        <w:rStyle w:val="PageNumber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3663C" w14:textId="77777777" w:rsidR="000A4BD2" w:rsidRDefault="000A4BD2">
      <w:r>
        <w:separator/>
      </w:r>
    </w:p>
  </w:footnote>
  <w:footnote w:type="continuationSeparator" w:id="0">
    <w:p w14:paraId="03CDA19C" w14:textId="77777777" w:rsidR="000A4BD2" w:rsidRDefault="000A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24D"/>
    <w:multiLevelType w:val="hybridMultilevel"/>
    <w:tmpl w:val="3DB48B48"/>
    <w:lvl w:ilvl="0" w:tplc="2DDC9F0E">
      <w:start w:val="1"/>
      <w:numFmt w:val="decimal"/>
      <w:lvlText w:val="%1."/>
      <w:lvlJc w:val="right"/>
      <w:pPr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C07FF6"/>
    <w:multiLevelType w:val="hybridMultilevel"/>
    <w:tmpl w:val="012C2C4C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30E1"/>
    <w:multiLevelType w:val="multilevel"/>
    <w:tmpl w:val="66DA40B2"/>
    <w:lvl w:ilvl="0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D4999"/>
    <w:multiLevelType w:val="hybridMultilevel"/>
    <w:tmpl w:val="B36E1A76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6C6007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E3AE8"/>
    <w:multiLevelType w:val="multilevel"/>
    <w:tmpl w:val="83E6A54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6673C"/>
    <w:multiLevelType w:val="hybridMultilevel"/>
    <w:tmpl w:val="849A9B6C"/>
    <w:lvl w:ilvl="0" w:tplc="00528236">
      <w:start w:val="1"/>
      <w:numFmt w:val="decimal"/>
      <w:lvlText w:val="%1."/>
      <w:lvlJc w:val="left"/>
      <w:pPr>
        <w:ind w:left="144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AE42DB"/>
    <w:multiLevelType w:val="multilevel"/>
    <w:tmpl w:val="EB768D30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A5C57"/>
    <w:multiLevelType w:val="hybridMultilevel"/>
    <w:tmpl w:val="66DA40B2"/>
    <w:lvl w:ilvl="0" w:tplc="D74AED86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53170"/>
    <w:multiLevelType w:val="hybridMultilevel"/>
    <w:tmpl w:val="A1E69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E7A10"/>
    <w:multiLevelType w:val="hybridMultilevel"/>
    <w:tmpl w:val="2F183434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013C2"/>
    <w:multiLevelType w:val="multilevel"/>
    <w:tmpl w:val="849A9B6C"/>
    <w:lvl w:ilvl="0">
      <w:start w:val="1"/>
      <w:numFmt w:val="decimal"/>
      <w:lvlText w:val="%1."/>
      <w:lvlJc w:val="left"/>
      <w:pPr>
        <w:ind w:left="1440" w:hanging="18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1F167A"/>
    <w:multiLevelType w:val="multilevel"/>
    <w:tmpl w:val="0186CD6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A108E"/>
    <w:multiLevelType w:val="hybridMultilevel"/>
    <w:tmpl w:val="97368E60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3F2A6B"/>
    <w:multiLevelType w:val="multilevel"/>
    <w:tmpl w:val="83E6A54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0150"/>
    <w:multiLevelType w:val="hybridMultilevel"/>
    <w:tmpl w:val="0186CD60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116DD"/>
    <w:multiLevelType w:val="hybridMultilevel"/>
    <w:tmpl w:val="ADC637F2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D3624"/>
    <w:multiLevelType w:val="multilevel"/>
    <w:tmpl w:val="3DB48B48"/>
    <w:lvl w:ilvl="0">
      <w:start w:val="1"/>
      <w:numFmt w:val="decimal"/>
      <w:lvlText w:val="%1."/>
      <w:lvlJc w:val="right"/>
      <w:pPr>
        <w:ind w:left="144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6A57F2"/>
    <w:multiLevelType w:val="hybridMultilevel"/>
    <w:tmpl w:val="3D6A5E4C"/>
    <w:lvl w:ilvl="0" w:tplc="565EB126">
      <w:start w:val="1"/>
      <w:numFmt w:val="decimal"/>
      <w:lvlText w:val="%1."/>
      <w:lvlJc w:val="right"/>
      <w:pPr>
        <w:ind w:left="1440" w:hanging="14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B767B2"/>
    <w:multiLevelType w:val="hybridMultilevel"/>
    <w:tmpl w:val="D9205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BD0845"/>
    <w:multiLevelType w:val="hybridMultilevel"/>
    <w:tmpl w:val="EB768D30"/>
    <w:lvl w:ilvl="0" w:tplc="2DDC9F0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14193"/>
    <w:multiLevelType w:val="multilevel"/>
    <w:tmpl w:val="3D6A5E4C"/>
    <w:lvl w:ilvl="0">
      <w:start w:val="1"/>
      <w:numFmt w:val="decimal"/>
      <w:lvlText w:val="%1."/>
      <w:lvlJc w:val="right"/>
      <w:pPr>
        <w:ind w:left="1440" w:hanging="14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240538"/>
    <w:multiLevelType w:val="hybridMultilevel"/>
    <w:tmpl w:val="ED1CC8A0"/>
    <w:lvl w:ilvl="0" w:tplc="2DDC9F0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10EFE"/>
    <w:multiLevelType w:val="hybridMultilevel"/>
    <w:tmpl w:val="0A2224B8"/>
    <w:lvl w:ilvl="0" w:tplc="A3AEDB70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0257E51"/>
    <w:multiLevelType w:val="hybridMultilevel"/>
    <w:tmpl w:val="923A47B6"/>
    <w:lvl w:ilvl="0" w:tplc="A552C492">
      <w:start w:val="1"/>
      <w:numFmt w:val="decimal"/>
      <w:lvlText w:val="%1."/>
      <w:lvlJc w:val="righ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707FB4"/>
    <w:multiLevelType w:val="hybridMultilevel"/>
    <w:tmpl w:val="E3CE190C"/>
    <w:lvl w:ilvl="0" w:tplc="6C6007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71166"/>
    <w:multiLevelType w:val="multilevel"/>
    <w:tmpl w:val="D92057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1A4D82"/>
    <w:multiLevelType w:val="multilevel"/>
    <w:tmpl w:val="97368E6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5"/>
  </w:num>
  <w:num w:numId="5">
    <w:abstractNumId w:val="10"/>
  </w:num>
  <w:num w:numId="6">
    <w:abstractNumId w:val="12"/>
  </w:num>
  <w:num w:numId="7">
    <w:abstractNumId w:val="26"/>
  </w:num>
  <w:num w:numId="8">
    <w:abstractNumId w:val="1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5"/>
  </w:num>
  <w:num w:numId="14">
    <w:abstractNumId w:val="14"/>
  </w:num>
  <w:num w:numId="15">
    <w:abstractNumId w:val="11"/>
  </w:num>
  <w:num w:numId="16">
    <w:abstractNumId w:val="24"/>
  </w:num>
  <w:num w:numId="17">
    <w:abstractNumId w:val="8"/>
  </w:num>
  <w:num w:numId="18">
    <w:abstractNumId w:val="21"/>
  </w:num>
  <w:num w:numId="19">
    <w:abstractNumId w:val="7"/>
  </w:num>
  <w:num w:numId="20">
    <w:abstractNumId w:val="2"/>
  </w:num>
  <w:num w:numId="21">
    <w:abstractNumId w:val="19"/>
  </w:num>
  <w:num w:numId="22">
    <w:abstractNumId w:val="6"/>
  </w:num>
  <w:num w:numId="23">
    <w:abstractNumId w:val="0"/>
  </w:num>
  <w:num w:numId="24">
    <w:abstractNumId w:val="16"/>
  </w:num>
  <w:num w:numId="25">
    <w:abstractNumId w:val="17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02"/>
    <w:rsid w:val="0000482B"/>
    <w:rsid w:val="00011931"/>
    <w:rsid w:val="00023324"/>
    <w:rsid w:val="0002356E"/>
    <w:rsid w:val="00031D0A"/>
    <w:rsid w:val="000457F0"/>
    <w:rsid w:val="00050975"/>
    <w:rsid w:val="00052728"/>
    <w:rsid w:val="000678A4"/>
    <w:rsid w:val="00070BAE"/>
    <w:rsid w:val="000909C6"/>
    <w:rsid w:val="000A119D"/>
    <w:rsid w:val="000A4BD2"/>
    <w:rsid w:val="000C0C2C"/>
    <w:rsid w:val="000C3C3C"/>
    <w:rsid w:val="000F3D40"/>
    <w:rsid w:val="00117E20"/>
    <w:rsid w:val="00121783"/>
    <w:rsid w:val="0014076F"/>
    <w:rsid w:val="00141E33"/>
    <w:rsid w:val="0019573A"/>
    <w:rsid w:val="001A03E0"/>
    <w:rsid w:val="001B59EB"/>
    <w:rsid w:val="001D0AB3"/>
    <w:rsid w:val="001D13A1"/>
    <w:rsid w:val="001D437F"/>
    <w:rsid w:val="001E0DFA"/>
    <w:rsid w:val="001E0F19"/>
    <w:rsid w:val="00207AB6"/>
    <w:rsid w:val="002308AC"/>
    <w:rsid w:val="00245175"/>
    <w:rsid w:val="00265EEB"/>
    <w:rsid w:val="00267A25"/>
    <w:rsid w:val="00283EF2"/>
    <w:rsid w:val="00290525"/>
    <w:rsid w:val="002D3711"/>
    <w:rsid w:val="002E6011"/>
    <w:rsid w:val="002F0B88"/>
    <w:rsid w:val="00301C91"/>
    <w:rsid w:val="003139F2"/>
    <w:rsid w:val="0031421B"/>
    <w:rsid w:val="00316C68"/>
    <w:rsid w:val="0032110B"/>
    <w:rsid w:val="00371117"/>
    <w:rsid w:val="0037612A"/>
    <w:rsid w:val="003A68D1"/>
    <w:rsid w:val="003B09C5"/>
    <w:rsid w:val="003B40EF"/>
    <w:rsid w:val="003C7C8A"/>
    <w:rsid w:val="003E76C0"/>
    <w:rsid w:val="004151FF"/>
    <w:rsid w:val="004169C9"/>
    <w:rsid w:val="00442290"/>
    <w:rsid w:val="00443EC1"/>
    <w:rsid w:val="004453A7"/>
    <w:rsid w:val="00454391"/>
    <w:rsid w:val="004563C8"/>
    <w:rsid w:val="00472CBD"/>
    <w:rsid w:val="0048270B"/>
    <w:rsid w:val="004836C5"/>
    <w:rsid w:val="004C0276"/>
    <w:rsid w:val="004C7953"/>
    <w:rsid w:val="004E427D"/>
    <w:rsid w:val="004E6470"/>
    <w:rsid w:val="004E791C"/>
    <w:rsid w:val="0050087A"/>
    <w:rsid w:val="00505C91"/>
    <w:rsid w:val="0051556C"/>
    <w:rsid w:val="00523F20"/>
    <w:rsid w:val="00525829"/>
    <w:rsid w:val="00525CE3"/>
    <w:rsid w:val="00531335"/>
    <w:rsid w:val="0054485C"/>
    <w:rsid w:val="005608BE"/>
    <w:rsid w:val="00560FF2"/>
    <w:rsid w:val="00571FC8"/>
    <w:rsid w:val="00583375"/>
    <w:rsid w:val="00597E43"/>
    <w:rsid w:val="005A36AA"/>
    <w:rsid w:val="005C3C17"/>
    <w:rsid w:val="005C69DD"/>
    <w:rsid w:val="005D1E67"/>
    <w:rsid w:val="005F33E9"/>
    <w:rsid w:val="006019CF"/>
    <w:rsid w:val="00605D23"/>
    <w:rsid w:val="00625777"/>
    <w:rsid w:val="006336EC"/>
    <w:rsid w:val="00656B7E"/>
    <w:rsid w:val="0066536E"/>
    <w:rsid w:val="00682C44"/>
    <w:rsid w:val="006866C4"/>
    <w:rsid w:val="0068767D"/>
    <w:rsid w:val="006A0E97"/>
    <w:rsid w:val="006A3AAB"/>
    <w:rsid w:val="006B19A1"/>
    <w:rsid w:val="006B59A5"/>
    <w:rsid w:val="006C3849"/>
    <w:rsid w:val="006C5D37"/>
    <w:rsid w:val="006E08FC"/>
    <w:rsid w:val="0072035D"/>
    <w:rsid w:val="0072300E"/>
    <w:rsid w:val="007258F0"/>
    <w:rsid w:val="007261D1"/>
    <w:rsid w:val="00734BED"/>
    <w:rsid w:val="007560BE"/>
    <w:rsid w:val="00782955"/>
    <w:rsid w:val="00790546"/>
    <w:rsid w:val="00792C00"/>
    <w:rsid w:val="007932B6"/>
    <w:rsid w:val="007D4A0A"/>
    <w:rsid w:val="007F58E9"/>
    <w:rsid w:val="00806854"/>
    <w:rsid w:val="008249F9"/>
    <w:rsid w:val="008323AE"/>
    <w:rsid w:val="00833F04"/>
    <w:rsid w:val="0084654D"/>
    <w:rsid w:val="00866F16"/>
    <w:rsid w:val="008726E2"/>
    <w:rsid w:val="008732C9"/>
    <w:rsid w:val="00880E34"/>
    <w:rsid w:val="008A0870"/>
    <w:rsid w:val="008B4113"/>
    <w:rsid w:val="008B5B83"/>
    <w:rsid w:val="008E1823"/>
    <w:rsid w:val="00913202"/>
    <w:rsid w:val="00914806"/>
    <w:rsid w:val="00934279"/>
    <w:rsid w:val="00954ABA"/>
    <w:rsid w:val="0095713B"/>
    <w:rsid w:val="0096593A"/>
    <w:rsid w:val="0097098F"/>
    <w:rsid w:val="009848F1"/>
    <w:rsid w:val="00985FC7"/>
    <w:rsid w:val="009D74B0"/>
    <w:rsid w:val="009E483A"/>
    <w:rsid w:val="009E7B11"/>
    <w:rsid w:val="009F63BF"/>
    <w:rsid w:val="00A15373"/>
    <w:rsid w:val="00A3427B"/>
    <w:rsid w:val="00A34A88"/>
    <w:rsid w:val="00A40AD0"/>
    <w:rsid w:val="00A649DC"/>
    <w:rsid w:val="00A815B2"/>
    <w:rsid w:val="00A91456"/>
    <w:rsid w:val="00AD2538"/>
    <w:rsid w:val="00AE55C3"/>
    <w:rsid w:val="00AF1736"/>
    <w:rsid w:val="00B02F07"/>
    <w:rsid w:val="00B11CD9"/>
    <w:rsid w:val="00B149EA"/>
    <w:rsid w:val="00B17330"/>
    <w:rsid w:val="00B3334F"/>
    <w:rsid w:val="00B43A04"/>
    <w:rsid w:val="00B60B8A"/>
    <w:rsid w:val="00BA15CA"/>
    <w:rsid w:val="00BA2185"/>
    <w:rsid w:val="00BA6872"/>
    <w:rsid w:val="00BB5B1B"/>
    <w:rsid w:val="00C02820"/>
    <w:rsid w:val="00C1078A"/>
    <w:rsid w:val="00C30E31"/>
    <w:rsid w:val="00C57A3C"/>
    <w:rsid w:val="00C9535E"/>
    <w:rsid w:val="00CA1D92"/>
    <w:rsid w:val="00CA1E04"/>
    <w:rsid w:val="00CA4454"/>
    <w:rsid w:val="00CA5158"/>
    <w:rsid w:val="00CC1B4B"/>
    <w:rsid w:val="00CC2460"/>
    <w:rsid w:val="00CD1028"/>
    <w:rsid w:val="00CD6F7B"/>
    <w:rsid w:val="00CE702F"/>
    <w:rsid w:val="00D04098"/>
    <w:rsid w:val="00D04330"/>
    <w:rsid w:val="00D1552B"/>
    <w:rsid w:val="00D16639"/>
    <w:rsid w:val="00D20786"/>
    <w:rsid w:val="00D301DA"/>
    <w:rsid w:val="00D41FC5"/>
    <w:rsid w:val="00D50E34"/>
    <w:rsid w:val="00D57785"/>
    <w:rsid w:val="00D66A67"/>
    <w:rsid w:val="00D96E52"/>
    <w:rsid w:val="00DA46A2"/>
    <w:rsid w:val="00DD51C2"/>
    <w:rsid w:val="00E14336"/>
    <w:rsid w:val="00E242C6"/>
    <w:rsid w:val="00E32D46"/>
    <w:rsid w:val="00E34B0B"/>
    <w:rsid w:val="00E34C41"/>
    <w:rsid w:val="00E46961"/>
    <w:rsid w:val="00E744EF"/>
    <w:rsid w:val="00E91245"/>
    <w:rsid w:val="00EA17EA"/>
    <w:rsid w:val="00EA47A3"/>
    <w:rsid w:val="00ED153A"/>
    <w:rsid w:val="00EE3435"/>
    <w:rsid w:val="00EE455B"/>
    <w:rsid w:val="00EE5D09"/>
    <w:rsid w:val="00EE67BC"/>
    <w:rsid w:val="00EE6905"/>
    <w:rsid w:val="00F04F2C"/>
    <w:rsid w:val="00F13C02"/>
    <w:rsid w:val="00F27E03"/>
    <w:rsid w:val="00F31EA6"/>
    <w:rsid w:val="00F36092"/>
    <w:rsid w:val="00F55892"/>
    <w:rsid w:val="00F81F53"/>
    <w:rsid w:val="00FB4C09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695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ingleSpacing">
    <w:name w:val="Single Spacing"/>
    <w:basedOn w:val="Normal"/>
    <w:pPr>
      <w:spacing w:line="254" w:lineRule="exact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line="480" w:lineRule="auto"/>
      <w:ind w:firstLine="1440"/>
    </w:pPr>
  </w:style>
  <w:style w:type="paragraph" w:styleId="BodyText2">
    <w:name w:val="Body Text 2"/>
    <w:basedOn w:val="Normal"/>
    <w:rPr>
      <w:b/>
      <w:bCs/>
    </w:rPr>
  </w:style>
  <w:style w:type="paragraph" w:styleId="EndnoteText">
    <w:name w:val="endnote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customStyle="1" w:styleId="wfxRecipient">
    <w:name w:val="wfxRecipient"/>
    <w:basedOn w:val="Normal"/>
    <w:rsid w:val="003A68D1"/>
    <w:pPr>
      <w:overflowPunct w:val="0"/>
      <w:autoSpaceDE w:val="0"/>
      <w:autoSpaceDN w:val="0"/>
      <w:adjustRightInd w:val="0"/>
      <w:textAlignment w:val="baseline"/>
    </w:pPr>
    <w:rPr>
      <w:rFonts w:ascii="Univers" w:hAnsi="Univers" w:cs="Univers"/>
      <w:szCs w:val="24"/>
    </w:rPr>
  </w:style>
  <w:style w:type="character" w:styleId="FollowedHyperlink">
    <w:name w:val="FollowedHyperlink"/>
    <w:basedOn w:val="DefaultParagraphFont"/>
    <w:rsid w:val="008A0870"/>
    <w:rPr>
      <w:color w:val="800080"/>
      <w:u w:val="single"/>
    </w:rPr>
  </w:style>
  <w:style w:type="paragraph" w:customStyle="1" w:styleId="StyleBottomSinglesolidlineAuto15ptLinewidthFromte">
    <w:name w:val="Style Bottom: (Single solid line Auto  1.5 pt Line width From te..."/>
    <w:basedOn w:val="Normal"/>
    <w:next w:val="Normal"/>
    <w:rsid w:val="00E242C6"/>
    <w:pPr>
      <w:pBdr>
        <w:bottom w:val="single" w:sz="12" w:space="14" w:color="auto"/>
      </w:pBdr>
      <w:spacing w:line="480" w:lineRule="auto"/>
    </w:pPr>
  </w:style>
  <w:style w:type="table" w:styleId="TableGrid">
    <w:name w:val="Table Grid"/>
    <w:basedOn w:val="TableNormal"/>
    <w:rsid w:val="00F55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F33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ingleSpacing">
    <w:name w:val="Single Spacing"/>
    <w:basedOn w:val="Normal"/>
    <w:pPr>
      <w:spacing w:line="254" w:lineRule="exact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line="480" w:lineRule="auto"/>
      <w:ind w:firstLine="1440"/>
    </w:pPr>
  </w:style>
  <w:style w:type="paragraph" w:styleId="BodyText2">
    <w:name w:val="Body Text 2"/>
    <w:basedOn w:val="Normal"/>
    <w:rPr>
      <w:b/>
      <w:bCs/>
    </w:rPr>
  </w:style>
  <w:style w:type="paragraph" w:styleId="EndnoteText">
    <w:name w:val="endnote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customStyle="1" w:styleId="wfxRecipient">
    <w:name w:val="wfxRecipient"/>
    <w:basedOn w:val="Normal"/>
    <w:rsid w:val="003A68D1"/>
    <w:pPr>
      <w:overflowPunct w:val="0"/>
      <w:autoSpaceDE w:val="0"/>
      <w:autoSpaceDN w:val="0"/>
      <w:adjustRightInd w:val="0"/>
      <w:textAlignment w:val="baseline"/>
    </w:pPr>
    <w:rPr>
      <w:rFonts w:ascii="Univers" w:hAnsi="Univers" w:cs="Univers"/>
      <w:szCs w:val="24"/>
    </w:rPr>
  </w:style>
  <w:style w:type="character" w:styleId="FollowedHyperlink">
    <w:name w:val="FollowedHyperlink"/>
    <w:basedOn w:val="DefaultParagraphFont"/>
    <w:rsid w:val="008A0870"/>
    <w:rPr>
      <w:color w:val="800080"/>
      <w:u w:val="single"/>
    </w:rPr>
  </w:style>
  <w:style w:type="paragraph" w:customStyle="1" w:styleId="StyleBottomSinglesolidlineAuto15ptLinewidthFromte">
    <w:name w:val="Style Bottom: (Single solid line Auto  1.5 pt Line width From te..."/>
    <w:basedOn w:val="Normal"/>
    <w:next w:val="Normal"/>
    <w:rsid w:val="00E242C6"/>
    <w:pPr>
      <w:pBdr>
        <w:bottom w:val="single" w:sz="12" w:space="14" w:color="auto"/>
      </w:pBdr>
      <w:spacing w:line="480" w:lineRule="auto"/>
    </w:pPr>
  </w:style>
  <w:style w:type="table" w:styleId="TableGrid">
    <w:name w:val="Table Grid"/>
    <w:basedOn w:val="TableNormal"/>
    <w:rsid w:val="00F55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F33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3B6E8E0-BBD1-4B78-B16C-EE1077EF99EA}"/>
</file>

<file path=customXml/itemProps2.xml><?xml version="1.0" encoding="utf-8"?>
<ds:datastoreItem xmlns:ds="http://schemas.openxmlformats.org/officeDocument/2006/customXml" ds:itemID="{F2B471DD-E76F-4A15-8B5F-9B4BEE0D4511}"/>
</file>

<file path=customXml/itemProps3.xml><?xml version="1.0" encoding="utf-8"?>
<ds:datastoreItem xmlns:ds="http://schemas.openxmlformats.org/officeDocument/2006/customXml" ds:itemID="{8531501B-BF6D-48FE-852F-C945FF7F5EE3}"/>
</file>

<file path=customXml/itemProps4.xml><?xml version="1.0" encoding="utf-8"?>
<ds:datastoreItem xmlns:ds="http://schemas.openxmlformats.org/officeDocument/2006/customXml" ds:itemID="{93C3CBB4-F918-475E-966A-61A5B31828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625</Words>
  <Characters>3564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UTILITY COMMISSION</vt:lpstr>
    </vt:vector>
  </TitlesOfParts>
  <Company>Davison Van Cleve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UTILITY COMMISSION</dc:title>
  <dc:creator>Linda Vitale</dc:creator>
  <cp:lastModifiedBy>Irion Sanger</cp:lastModifiedBy>
  <cp:revision>14</cp:revision>
  <cp:lastPrinted>2015-03-17T16:00:00Z</cp:lastPrinted>
  <dcterms:created xsi:type="dcterms:W3CDTF">2015-03-11T23:40:00Z</dcterms:created>
  <dcterms:modified xsi:type="dcterms:W3CDTF">2015-03-17T18:21:00Z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