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01FD" w14:textId="77777777" w:rsidR="00DB5723" w:rsidRDefault="00DB5723" w:rsidP="003114A3">
      <w:pPr>
        <w:spacing w:line="300" w:lineRule="auto"/>
        <w:outlineLvl w:val="0"/>
        <w:rPr>
          <w:rFonts w:cs="Arial"/>
          <w:b/>
          <w:sz w:val="48"/>
          <w:szCs w:val="48"/>
        </w:rPr>
      </w:pPr>
      <w:bookmarkStart w:id="0" w:name="_GoBack"/>
      <w:bookmarkEnd w:id="0"/>
    </w:p>
    <w:p w14:paraId="7E4290D4" w14:textId="77777777" w:rsidR="00DB5723" w:rsidRDefault="00DB5723" w:rsidP="003114A3">
      <w:pPr>
        <w:spacing w:line="300" w:lineRule="auto"/>
        <w:outlineLvl w:val="0"/>
        <w:rPr>
          <w:rFonts w:cs="Arial"/>
          <w:b/>
          <w:sz w:val="48"/>
          <w:szCs w:val="48"/>
        </w:rPr>
      </w:pPr>
    </w:p>
    <w:p w14:paraId="015F865D" w14:textId="1BF50BAF" w:rsidR="003114A3" w:rsidRPr="00A76EED" w:rsidRDefault="003114A3" w:rsidP="003114A3">
      <w:pPr>
        <w:spacing w:line="300" w:lineRule="auto"/>
        <w:outlineLvl w:val="0"/>
        <w:rPr>
          <w:rFonts w:cs="Arial"/>
          <w:b/>
          <w:sz w:val="48"/>
          <w:szCs w:val="48"/>
        </w:rPr>
      </w:pPr>
      <w:r w:rsidRPr="00A76EED">
        <w:rPr>
          <w:rFonts w:cs="Arial"/>
          <w:b/>
          <w:noProof/>
          <w:sz w:val="48"/>
          <w:szCs w:val="48"/>
        </w:rPr>
        <w:drawing>
          <wp:anchor distT="0" distB="0" distL="114300" distR="114300" simplePos="0" relativeHeight="251656193" behindDoc="0" locked="0" layoutInCell="1" allowOverlap="1" wp14:anchorId="015F87A8" wp14:editId="56C8D612">
            <wp:simplePos x="0" y="0"/>
            <wp:positionH relativeFrom="page">
              <wp:posOffset>457200</wp:posOffset>
            </wp:positionH>
            <wp:positionV relativeFrom="paragraph">
              <wp:posOffset>1137285</wp:posOffset>
            </wp:positionV>
            <wp:extent cx="6864350" cy="76200"/>
            <wp:effectExtent l="19050" t="0" r="0" b="0"/>
            <wp:wrapNone/>
            <wp:docPr id="150" name="Picture 150"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4295"/>
                    </a:xfrm>
                    <a:prstGeom prst="rect">
                      <a:avLst/>
                    </a:prstGeom>
                    <a:noFill/>
                    <a:ln w="9525">
                      <a:noFill/>
                      <a:miter lim="800000"/>
                      <a:headEnd/>
                      <a:tailEnd/>
                    </a:ln>
                  </pic:spPr>
                </pic:pic>
              </a:graphicData>
            </a:graphic>
          </wp:anchor>
        </w:drawing>
      </w:r>
      <w:r w:rsidRPr="00A76EED">
        <w:rPr>
          <w:rFonts w:cs="Arial"/>
          <w:b/>
          <w:sz w:val="48"/>
          <w:szCs w:val="48"/>
        </w:rPr>
        <w:t>201</w:t>
      </w:r>
      <w:r w:rsidR="00527210">
        <w:rPr>
          <w:rFonts w:cs="Arial"/>
          <w:b/>
          <w:sz w:val="48"/>
          <w:szCs w:val="48"/>
        </w:rPr>
        <w:t>5</w:t>
      </w:r>
      <w:r w:rsidRPr="00A76EED">
        <w:rPr>
          <w:rFonts w:cs="Arial"/>
          <w:b/>
          <w:sz w:val="48"/>
          <w:szCs w:val="48"/>
        </w:rPr>
        <w:t xml:space="preserve"> Annual Report</w:t>
      </w:r>
    </w:p>
    <w:p w14:paraId="015F865E" w14:textId="77777777" w:rsidR="003114A3" w:rsidRPr="00A76EED" w:rsidRDefault="003114A3" w:rsidP="003114A3">
      <w:pPr>
        <w:spacing w:line="300" w:lineRule="auto"/>
        <w:outlineLvl w:val="0"/>
        <w:rPr>
          <w:rFonts w:cs="Arial"/>
          <w:b/>
          <w:sz w:val="48"/>
          <w:szCs w:val="48"/>
        </w:rPr>
      </w:pPr>
      <w:r w:rsidRPr="00A76EED">
        <w:rPr>
          <w:rFonts w:cs="Arial"/>
          <w:b/>
          <w:sz w:val="48"/>
          <w:szCs w:val="48"/>
        </w:rPr>
        <w:t xml:space="preserve">NW Natural Washington </w:t>
      </w:r>
    </w:p>
    <w:p w14:paraId="015F865F" w14:textId="77777777" w:rsidR="003114A3" w:rsidRDefault="003114A3" w:rsidP="003114A3">
      <w:pPr>
        <w:spacing w:line="300" w:lineRule="auto"/>
        <w:rPr>
          <w:rFonts w:cs="Arial"/>
          <w:b/>
          <w:sz w:val="21"/>
          <w:szCs w:val="21"/>
        </w:rPr>
      </w:pPr>
    </w:p>
    <w:p w14:paraId="015F8660" w14:textId="77777777" w:rsidR="003114A3" w:rsidRDefault="003114A3" w:rsidP="003114A3">
      <w:pPr>
        <w:spacing w:line="300" w:lineRule="auto"/>
        <w:rPr>
          <w:rFonts w:cs="Arial"/>
          <w:i/>
          <w:sz w:val="21"/>
          <w:szCs w:val="21"/>
        </w:rPr>
      </w:pPr>
    </w:p>
    <w:p w14:paraId="015F8661" w14:textId="77777777" w:rsidR="003114A3" w:rsidRDefault="003114A3" w:rsidP="003114A3">
      <w:pPr>
        <w:spacing w:line="300" w:lineRule="auto"/>
        <w:rPr>
          <w:rFonts w:cs="Arial"/>
          <w:i/>
          <w:sz w:val="21"/>
          <w:szCs w:val="21"/>
        </w:rPr>
      </w:pPr>
    </w:p>
    <w:p w14:paraId="015F8662" w14:textId="172B5666" w:rsidR="003114A3" w:rsidRPr="00790750" w:rsidRDefault="009630AA" w:rsidP="003114A3">
      <w:pPr>
        <w:spacing w:line="300" w:lineRule="auto"/>
        <w:rPr>
          <w:rFonts w:cs="Arial"/>
          <w:i/>
          <w:sz w:val="21"/>
          <w:szCs w:val="21"/>
        </w:rPr>
      </w:pPr>
      <w:r>
        <w:rPr>
          <w:rFonts w:cs="Arial"/>
          <w:i/>
          <w:noProof/>
          <w:sz w:val="21"/>
          <w:szCs w:val="21"/>
        </w:rPr>
        <w:drawing>
          <wp:anchor distT="0" distB="0" distL="114300" distR="114300" simplePos="0" relativeHeight="251656194" behindDoc="0" locked="0" layoutInCell="1" allowOverlap="1" wp14:anchorId="7190E29F" wp14:editId="424307B0">
            <wp:simplePos x="0" y="0"/>
            <wp:positionH relativeFrom="column">
              <wp:posOffset>4638040</wp:posOffset>
            </wp:positionH>
            <wp:positionV relativeFrom="paragraph">
              <wp:posOffset>5938520</wp:posOffset>
            </wp:positionV>
            <wp:extent cx="1367155" cy="616585"/>
            <wp:effectExtent l="0" t="0" r="4445" b="0"/>
            <wp:wrapNone/>
            <wp:docPr id="3" name="Picture 55"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5" descr="ETLogo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7155" cy="6165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cs="Arial"/>
          <w:i/>
          <w:noProof/>
          <w:sz w:val="21"/>
          <w:szCs w:val="21"/>
        </w:rPr>
        <w:drawing>
          <wp:anchor distT="0" distB="0" distL="114300" distR="114300" simplePos="0" relativeHeight="251657218" behindDoc="0" locked="0" layoutInCell="1" allowOverlap="1" wp14:anchorId="369EF7E8" wp14:editId="208AC35B">
            <wp:simplePos x="0" y="0"/>
            <wp:positionH relativeFrom="column">
              <wp:posOffset>-449580</wp:posOffset>
            </wp:positionH>
            <wp:positionV relativeFrom="paragraph">
              <wp:posOffset>5719445</wp:posOffset>
            </wp:positionV>
            <wp:extent cx="6864350" cy="74295"/>
            <wp:effectExtent l="0" t="0" r="0" b="1905"/>
            <wp:wrapNone/>
            <wp:docPr id="4"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cs="Arial"/>
          <w:i/>
          <w:noProof/>
          <w:sz w:val="21"/>
          <w:szCs w:val="21"/>
        </w:rPr>
        <mc:AlternateContent>
          <mc:Choice Requires="wps">
            <w:drawing>
              <wp:anchor distT="0" distB="0" distL="114300" distR="114300" simplePos="0" relativeHeight="251658242" behindDoc="0" locked="0" layoutInCell="1" allowOverlap="1" wp14:anchorId="749E440B" wp14:editId="4FE5E9B1">
                <wp:simplePos x="0" y="0"/>
                <wp:positionH relativeFrom="column">
                  <wp:posOffset>-635</wp:posOffset>
                </wp:positionH>
                <wp:positionV relativeFrom="paragraph">
                  <wp:posOffset>5927090</wp:posOffset>
                </wp:positionV>
                <wp:extent cx="2438400" cy="6858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87D6" w14:textId="77777777" w:rsidR="0095404A" w:rsidRDefault="0095404A" w:rsidP="003114A3">
                            <w:pPr>
                              <w:rPr>
                                <w:rFonts w:cs="Arial"/>
                                <w:b/>
                                <w:color w:val="000000"/>
                                <w:sz w:val="16"/>
                              </w:rPr>
                            </w:pPr>
                            <w:r w:rsidRPr="00F03B1B">
                              <w:rPr>
                                <w:rFonts w:cs="Arial"/>
                                <w:b/>
                                <w:color w:val="000000"/>
                                <w:sz w:val="16"/>
                              </w:rPr>
                              <w:t>Energy Trust of Oregon</w:t>
                            </w:r>
                          </w:p>
                          <w:p w14:paraId="015F87D7" w14:textId="77777777" w:rsidR="0095404A" w:rsidRPr="009B6F85" w:rsidRDefault="0095404A" w:rsidP="003114A3">
                            <w:pPr>
                              <w:rPr>
                                <w:rFonts w:cs="Arial"/>
                                <w:color w:val="000000"/>
                                <w:sz w:val="16"/>
                              </w:rPr>
                            </w:pPr>
                            <w:r w:rsidRPr="009B6F85">
                              <w:rPr>
                                <w:rFonts w:cs="Arial"/>
                                <w:color w:val="000000"/>
                                <w:sz w:val="16"/>
                              </w:rPr>
                              <w:t>421 SW Oak St.,</w:t>
                            </w:r>
                            <w:r w:rsidRPr="009B6F85">
                              <w:rPr>
                                <w:rFonts w:cs="Arial"/>
                                <w:color w:val="000000"/>
                                <w:sz w:val="16"/>
                                <w:szCs w:val="21"/>
                              </w:rPr>
                              <w:t xml:space="preserve"> Suite 300, Portland, OR 97204</w:t>
                            </w:r>
                          </w:p>
                          <w:p w14:paraId="015F87D8" w14:textId="77777777" w:rsidR="0095404A" w:rsidRPr="00F03B1B" w:rsidRDefault="0095404A" w:rsidP="003114A3">
                            <w:pPr>
                              <w:rPr>
                                <w:rFonts w:cs="Arial"/>
                                <w:color w:val="000000"/>
                                <w:sz w:val="16"/>
                              </w:rPr>
                            </w:pPr>
                            <w:r w:rsidRPr="00F03B1B">
                              <w:rPr>
                                <w:rFonts w:cs="Arial"/>
                                <w:color w:val="000000"/>
                                <w:sz w:val="16"/>
                                <w:szCs w:val="21"/>
                              </w:rPr>
                              <w:t>1.866.368.7878</w:t>
                            </w:r>
                            <w:r>
                              <w:rPr>
                                <w:rFonts w:cs="Arial"/>
                                <w:color w:val="000000"/>
                                <w:sz w:val="16"/>
                                <w:szCs w:val="21"/>
                              </w:rPr>
                              <w:tab/>
                            </w:r>
                            <w:r w:rsidRPr="00F03B1B">
                              <w:rPr>
                                <w:rFonts w:cs="Arial"/>
                                <w:color w:val="000000"/>
                                <w:sz w:val="16"/>
                                <w:szCs w:val="21"/>
                              </w:rPr>
                              <w:t>503.546.6862 fax</w:t>
                            </w:r>
                          </w:p>
                          <w:p w14:paraId="015F87D9" w14:textId="77777777" w:rsidR="0095404A" w:rsidRDefault="0095404A" w:rsidP="003114A3">
                            <w:r w:rsidRPr="00F03B1B">
                              <w:rPr>
                                <w:rFonts w:cs="Arial"/>
                                <w:b/>
                                <w:color w:val="000000"/>
                                <w:sz w:val="16"/>
                              </w:rPr>
                              <w:t>energytrust.org</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5pt;margin-top:466.7pt;width:192pt;height:54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Q0tQIAALo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" filled="f" stroked="f">
                <v:textbox>
                  <w:txbxContent>
                    <w:p w14:paraId="015F87D6" w14:textId="77777777" w:rsidR="0095404A" w:rsidRDefault="0095404A" w:rsidP="003114A3">
                      <w:pPr>
                        <w:rPr>
                          <w:rFonts w:cs="Arial"/>
                          <w:b/>
                          <w:color w:val="000000"/>
                          <w:sz w:val="16"/>
                        </w:rPr>
                      </w:pPr>
                      <w:r w:rsidRPr="00F03B1B">
                        <w:rPr>
                          <w:rFonts w:cs="Arial"/>
                          <w:b/>
                          <w:color w:val="000000"/>
                          <w:sz w:val="16"/>
                        </w:rPr>
                        <w:t>Energy Trust of Oregon</w:t>
                      </w:r>
                    </w:p>
                    <w:p w14:paraId="015F87D7" w14:textId="77777777" w:rsidR="0095404A" w:rsidRPr="009B6F85" w:rsidRDefault="0095404A" w:rsidP="003114A3">
                      <w:pPr>
                        <w:rPr>
                          <w:rFonts w:cs="Arial"/>
                          <w:color w:val="000000"/>
                          <w:sz w:val="16"/>
                        </w:rPr>
                      </w:pPr>
                      <w:r w:rsidRPr="009B6F85">
                        <w:rPr>
                          <w:rFonts w:cs="Arial"/>
                          <w:color w:val="000000"/>
                          <w:sz w:val="16"/>
                        </w:rPr>
                        <w:t>421 SW Oak St.,</w:t>
                      </w:r>
                      <w:r w:rsidRPr="009B6F85">
                        <w:rPr>
                          <w:rFonts w:cs="Arial"/>
                          <w:color w:val="000000"/>
                          <w:sz w:val="16"/>
                          <w:szCs w:val="21"/>
                        </w:rPr>
                        <w:t xml:space="preserve"> Suite 300, Portland, OR 97204</w:t>
                      </w:r>
                    </w:p>
                    <w:p w14:paraId="015F87D8" w14:textId="77777777" w:rsidR="0095404A" w:rsidRPr="00F03B1B" w:rsidRDefault="0095404A" w:rsidP="003114A3">
                      <w:pPr>
                        <w:rPr>
                          <w:rFonts w:cs="Arial"/>
                          <w:color w:val="000000"/>
                          <w:sz w:val="16"/>
                        </w:rPr>
                      </w:pPr>
                      <w:r w:rsidRPr="00F03B1B">
                        <w:rPr>
                          <w:rFonts w:cs="Arial"/>
                          <w:color w:val="000000"/>
                          <w:sz w:val="16"/>
                          <w:szCs w:val="21"/>
                        </w:rPr>
                        <w:t>1.866.368.7878</w:t>
                      </w:r>
                      <w:r>
                        <w:rPr>
                          <w:rFonts w:cs="Arial"/>
                          <w:color w:val="000000"/>
                          <w:sz w:val="16"/>
                          <w:szCs w:val="21"/>
                        </w:rPr>
                        <w:tab/>
                      </w:r>
                      <w:r w:rsidRPr="00F03B1B">
                        <w:rPr>
                          <w:rFonts w:cs="Arial"/>
                          <w:color w:val="000000"/>
                          <w:sz w:val="16"/>
                          <w:szCs w:val="21"/>
                        </w:rPr>
                        <w:t>503.546.6862 fax</w:t>
                      </w:r>
                    </w:p>
                    <w:p w14:paraId="015F87D9" w14:textId="77777777" w:rsidR="0095404A" w:rsidRDefault="0095404A" w:rsidP="003114A3">
                      <w:r w:rsidRPr="00F03B1B">
                        <w:rPr>
                          <w:rFonts w:cs="Arial"/>
                          <w:b/>
                          <w:color w:val="000000"/>
                          <w:sz w:val="16"/>
                        </w:rPr>
                        <w:t>energytrust.org</w:t>
                      </w:r>
                    </w:p>
                  </w:txbxContent>
                </v:textbox>
              </v:shape>
            </w:pict>
          </mc:Fallback>
        </mc:AlternateContent>
      </w:r>
      <w:r w:rsidR="003114A3">
        <w:rPr>
          <w:rFonts w:cs="Arial"/>
          <w:i/>
          <w:noProof/>
          <w:sz w:val="21"/>
          <w:szCs w:val="21"/>
        </w:rPr>
        <mc:AlternateContent>
          <mc:Choice Requires="wps">
            <w:drawing>
              <wp:anchor distT="0" distB="0" distL="114300" distR="114300" simplePos="0" relativeHeight="251656192" behindDoc="0" locked="0" layoutInCell="1" allowOverlap="1" wp14:anchorId="015F87AA" wp14:editId="4DD1F3D8">
                <wp:simplePos x="0" y="0"/>
                <wp:positionH relativeFrom="column">
                  <wp:posOffset>-38100</wp:posOffset>
                </wp:positionH>
                <wp:positionV relativeFrom="paragraph">
                  <wp:posOffset>149224</wp:posOffset>
                </wp:positionV>
                <wp:extent cx="5962650" cy="513397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87C5" w14:textId="77777777" w:rsidR="0095404A" w:rsidRPr="00972DD8" w:rsidRDefault="0095404A" w:rsidP="003114A3">
                            <w:pPr>
                              <w:rPr>
                                <w:rFonts w:cs="Arial"/>
                                <w:b/>
                                <w:caps/>
                                <w:sz w:val="20"/>
                              </w:rPr>
                            </w:pPr>
                            <w:r w:rsidRPr="00972DD8">
                              <w:rPr>
                                <w:rFonts w:cs="Arial"/>
                                <w:b/>
                                <w:caps/>
                                <w:sz w:val="20"/>
                              </w:rPr>
                              <w:t xml:space="preserve">Energy Trust of Oregon </w:t>
                            </w:r>
                          </w:p>
                          <w:p w14:paraId="015F87C6" w14:textId="35871FC2" w:rsidR="0095404A" w:rsidRPr="00972DD8" w:rsidRDefault="0095404A" w:rsidP="003114A3">
                            <w:pPr>
                              <w:rPr>
                                <w:rFonts w:cs="Arial"/>
                                <w:b/>
                                <w:caps/>
                                <w:sz w:val="20"/>
                              </w:rPr>
                            </w:pPr>
                            <w:r>
                              <w:rPr>
                                <w:rFonts w:cs="Arial"/>
                                <w:b/>
                                <w:caps/>
                                <w:sz w:val="20"/>
                              </w:rPr>
                              <w:t xml:space="preserve">April </w:t>
                            </w:r>
                            <w:r w:rsidR="00792399">
                              <w:rPr>
                                <w:rFonts w:cs="Arial"/>
                                <w:b/>
                                <w:caps/>
                                <w:sz w:val="20"/>
                              </w:rPr>
                              <w:t>2</w:t>
                            </w:r>
                            <w:r w:rsidR="002946B8">
                              <w:rPr>
                                <w:rFonts w:cs="Arial"/>
                                <w:b/>
                                <w:caps/>
                                <w:sz w:val="20"/>
                              </w:rPr>
                              <w:t>2</w:t>
                            </w:r>
                            <w:r>
                              <w:rPr>
                                <w:rFonts w:cs="Arial"/>
                                <w:b/>
                                <w:caps/>
                                <w:sz w:val="20"/>
                              </w:rPr>
                              <w:t>, 2016</w:t>
                            </w:r>
                          </w:p>
                          <w:p w14:paraId="015F87C7" w14:textId="77777777" w:rsidR="0095404A" w:rsidRPr="00F27A2F" w:rsidRDefault="0095404A" w:rsidP="003114A3">
                            <w:pPr>
                              <w:rPr>
                                <w:rFonts w:cs="Arial"/>
                                <w:i/>
                                <w:sz w:val="21"/>
                                <w:szCs w:val="21"/>
                              </w:rPr>
                            </w:pPr>
                          </w:p>
                          <w:p w14:paraId="34EDEC45" w14:textId="77777777" w:rsidR="0095404A" w:rsidRDefault="0095404A" w:rsidP="00564CCF">
                            <w:pPr>
                              <w:rPr>
                                <w:rFonts w:cs="Arial"/>
                                <w:szCs w:val="22"/>
                              </w:rPr>
                            </w:pPr>
                          </w:p>
                          <w:p w14:paraId="015F87CD" w14:textId="77777777" w:rsidR="0095404A" w:rsidRPr="00F27A2F" w:rsidRDefault="0095404A" w:rsidP="003114A3">
                            <w:pPr>
                              <w:rPr>
                                <w:rFonts w:cs="Arial"/>
                                <w:i/>
                                <w:sz w:val="21"/>
                                <w:szCs w:val="21"/>
                              </w:rPr>
                            </w:pPr>
                          </w:p>
                          <w:p w14:paraId="015F87CE" w14:textId="35C53CC2" w:rsidR="0095404A" w:rsidRPr="00F27A2F" w:rsidRDefault="0095404A" w:rsidP="003114A3">
                            <w:pPr>
                              <w:rPr>
                                <w:rFonts w:cs="Arial"/>
                                <w:i/>
                                <w:sz w:val="21"/>
                                <w:szCs w:val="21"/>
                              </w:rPr>
                            </w:pPr>
                          </w:p>
                          <w:p w14:paraId="015F87D0" w14:textId="77777777" w:rsidR="0095404A" w:rsidRPr="00F27A2F" w:rsidRDefault="0095404A" w:rsidP="003114A3">
                            <w:pPr>
                              <w:rPr>
                                <w:rFonts w:cs="Arial"/>
                                <w:i/>
                                <w:sz w:val="21"/>
                                <w:szCs w:val="21"/>
                              </w:rPr>
                            </w:pPr>
                          </w:p>
                          <w:p w14:paraId="015F87D1" w14:textId="77777777" w:rsidR="0095404A" w:rsidRPr="00592DD0" w:rsidRDefault="0095404A" w:rsidP="003114A3">
                            <w:pPr>
                              <w:rPr>
                                <w:rFonts w:cs="Arial"/>
                                <w:sz w:val="40"/>
                                <w:szCs w:val="40"/>
                              </w:rPr>
                            </w:pPr>
                          </w:p>
                          <w:p w14:paraId="015F87D2" w14:textId="77777777" w:rsidR="0095404A" w:rsidRPr="00F27A2F" w:rsidRDefault="0095404A" w:rsidP="003114A3">
                            <w:pPr>
                              <w:rPr>
                                <w:rFonts w:cs="Arial"/>
                                <w:i/>
                                <w:sz w:val="21"/>
                                <w:szCs w:val="21"/>
                              </w:rPr>
                            </w:pPr>
                          </w:p>
                          <w:p w14:paraId="015F87D3" w14:textId="77777777" w:rsidR="0095404A" w:rsidRPr="00F27A2F" w:rsidRDefault="0095404A" w:rsidP="003114A3">
                            <w:pPr>
                              <w:rPr>
                                <w:rFonts w:cs="Arial"/>
                                <w:i/>
                                <w:sz w:val="21"/>
                                <w:szCs w:val="21"/>
                              </w:rPr>
                            </w:pPr>
                          </w:p>
                          <w:p w14:paraId="015F87D4" w14:textId="77777777" w:rsidR="0095404A" w:rsidRPr="00F27A2F" w:rsidRDefault="0095404A" w:rsidP="003114A3">
                            <w:pPr>
                              <w:rPr>
                                <w:rFonts w:cs="Arial"/>
                                <w:i/>
                                <w:sz w:val="21"/>
                                <w:szCs w:val="21"/>
                              </w:rPr>
                            </w:pPr>
                          </w:p>
                          <w:p w14:paraId="015F87D5" w14:textId="77777777" w:rsidR="0095404A" w:rsidRPr="00F27A2F" w:rsidRDefault="0095404A" w:rsidP="003114A3">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pt;margin-top:11.75pt;width:469.5pt;height:4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FO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" filled="f" stroked="f">
                <v:textbox>
                  <w:txbxContent>
                    <w:p w14:paraId="015F87C5" w14:textId="77777777" w:rsidR="0095404A" w:rsidRPr="00972DD8" w:rsidRDefault="0095404A" w:rsidP="003114A3">
                      <w:pPr>
                        <w:rPr>
                          <w:rFonts w:cs="Arial"/>
                          <w:b/>
                          <w:caps/>
                          <w:sz w:val="20"/>
                        </w:rPr>
                      </w:pPr>
                      <w:r w:rsidRPr="00972DD8">
                        <w:rPr>
                          <w:rFonts w:cs="Arial"/>
                          <w:b/>
                          <w:caps/>
                          <w:sz w:val="20"/>
                        </w:rPr>
                        <w:t xml:space="preserve">Energy Trust of Oregon </w:t>
                      </w:r>
                    </w:p>
                    <w:p w14:paraId="015F87C6" w14:textId="35871FC2" w:rsidR="0095404A" w:rsidRPr="00972DD8" w:rsidRDefault="0095404A" w:rsidP="003114A3">
                      <w:pPr>
                        <w:rPr>
                          <w:rFonts w:cs="Arial"/>
                          <w:b/>
                          <w:caps/>
                          <w:sz w:val="20"/>
                        </w:rPr>
                      </w:pPr>
                      <w:r>
                        <w:rPr>
                          <w:rFonts w:cs="Arial"/>
                          <w:b/>
                          <w:caps/>
                          <w:sz w:val="20"/>
                        </w:rPr>
                        <w:t xml:space="preserve">April </w:t>
                      </w:r>
                      <w:r w:rsidR="00792399">
                        <w:rPr>
                          <w:rFonts w:cs="Arial"/>
                          <w:b/>
                          <w:caps/>
                          <w:sz w:val="20"/>
                        </w:rPr>
                        <w:t>2</w:t>
                      </w:r>
                      <w:r w:rsidR="002946B8">
                        <w:rPr>
                          <w:rFonts w:cs="Arial"/>
                          <w:b/>
                          <w:caps/>
                          <w:sz w:val="20"/>
                        </w:rPr>
                        <w:t>2</w:t>
                      </w:r>
                      <w:r>
                        <w:rPr>
                          <w:rFonts w:cs="Arial"/>
                          <w:b/>
                          <w:caps/>
                          <w:sz w:val="20"/>
                        </w:rPr>
                        <w:t>, 2016</w:t>
                      </w:r>
                    </w:p>
                    <w:p w14:paraId="015F87C7" w14:textId="77777777" w:rsidR="0095404A" w:rsidRPr="00F27A2F" w:rsidRDefault="0095404A" w:rsidP="003114A3">
                      <w:pPr>
                        <w:rPr>
                          <w:rFonts w:cs="Arial"/>
                          <w:i/>
                          <w:sz w:val="21"/>
                          <w:szCs w:val="21"/>
                        </w:rPr>
                      </w:pPr>
                    </w:p>
                    <w:p w14:paraId="34EDEC45" w14:textId="77777777" w:rsidR="0095404A" w:rsidRDefault="0095404A" w:rsidP="00564CCF">
                      <w:pPr>
                        <w:rPr>
                          <w:rFonts w:cs="Arial"/>
                          <w:szCs w:val="22"/>
                        </w:rPr>
                      </w:pPr>
                    </w:p>
                    <w:p w14:paraId="015F87CD" w14:textId="77777777" w:rsidR="0095404A" w:rsidRPr="00F27A2F" w:rsidRDefault="0095404A" w:rsidP="003114A3">
                      <w:pPr>
                        <w:rPr>
                          <w:rFonts w:cs="Arial"/>
                          <w:i/>
                          <w:sz w:val="21"/>
                          <w:szCs w:val="21"/>
                        </w:rPr>
                      </w:pPr>
                    </w:p>
                    <w:p w14:paraId="015F87CE" w14:textId="35C53CC2" w:rsidR="0095404A" w:rsidRPr="00F27A2F" w:rsidRDefault="0095404A" w:rsidP="003114A3">
                      <w:pPr>
                        <w:rPr>
                          <w:rFonts w:cs="Arial"/>
                          <w:i/>
                          <w:sz w:val="21"/>
                          <w:szCs w:val="21"/>
                        </w:rPr>
                      </w:pPr>
                    </w:p>
                    <w:p w14:paraId="015F87D0" w14:textId="77777777" w:rsidR="0095404A" w:rsidRPr="00F27A2F" w:rsidRDefault="0095404A" w:rsidP="003114A3">
                      <w:pPr>
                        <w:rPr>
                          <w:rFonts w:cs="Arial"/>
                          <w:i/>
                          <w:sz w:val="21"/>
                          <w:szCs w:val="21"/>
                        </w:rPr>
                      </w:pPr>
                    </w:p>
                    <w:p w14:paraId="015F87D1" w14:textId="77777777" w:rsidR="0095404A" w:rsidRPr="00592DD0" w:rsidRDefault="0095404A" w:rsidP="003114A3">
                      <w:pPr>
                        <w:rPr>
                          <w:rFonts w:cs="Arial"/>
                          <w:sz w:val="40"/>
                          <w:szCs w:val="40"/>
                        </w:rPr>
                      </w:pPr>
                    </w:p>
                    <w:p w14:paraId="015F87D2" w14:textId="77777777" w:rsidR="0095404A" w:rsidRPr="00F27A2F" w:rsidRDefault="0095404A" w:rsidP="003114A3">
                      <w:pPr>
                        <w:rPr>
                          <w:rFonts w:cs="Arial"/>
                          <w:i/>
                          <w:sz w:val="21"/>
                          <w:szCs w:val="21"/>
                        </w:rPr>
                      </w:pPr>
                    </w:p>
                    <w:p w14:paraId="015F87D3" w14:textId="77777777" w:rsidR="0095404A" w:rsidRPr="00F27A2F" w:rsidRDefault="0095404A" w:rsidP="003114A3">
                      <w:pPr>
                        <w:rPr>
                          <w:rFonts w:cs="Arial"/>
                          <w:i/>
                          <w:sz w:val="21"/>
                          <w:szCs w:val="21"/>
                        </w:rPr>
                      </w:pPr>
                    </w:p>
                    <w:p w14:paraId="015F87D4" w14:textId="77777777" w:rsidR="0095404A" w:rsidRPr="00F27A2F" w:rsidRDefault="0095404A" w:rsidP="003114A3">
                      <w:pPr>
                        <w:rPr>
                          <w:rFonts w:cs="Arial"/>
                          <w:i/>
                          <w:sz w:val="21"/>
                          <w:szCs w:val="21"/>
                        </w:rPr>
                      </w:pPr>
                    </w:p>
                    <w:p w14:paraId="015F87D5" w14:textId="77777777" w:rsidR="0095404A" w:rsidRPr="00F27A2F" w:rsidRDefault="0095404A" w:rsidP="003114A3">
                      <w:pPr>
                        <w:rPr>
                          <w:rFonts w:cs="Arial"/>
                          <w:sz w:val="21"/>
                          <w:szCs w:val="21"/>
                        </w:rPr>
                      </w:pPr>
                    </w:p>
                  </w:txbxContent>
                </v:textbox>
              </v:shape>
            </w:pict>
          </mc:Fallback>
        </mc:AlternateContent>
      </w:r>
      <w:r w:rsidR="003114A3" w:rsidRPr="00790750">
        <w:rPr>
          <w:rFonts w:cs="Arial"/>
          <w:i/>
          <w:sz w:val="21"/>
          <w:szCs w:val="21"/>
        </w:rPr>
        <w:br w:type="page"/>
      </w:r>
    </w:p>
    <w:p w14:paraId="076A8BCD" w14:textId="77777777" w:rsidR="00B17BEF" w:rsidRDefault="00B17BEF" w:rsidP="003114A3">
      <w:pPr>
        <w:spacing w:line="300" w:lineRule="auto"/>
        <w:outlineLvl w:val="0"/>
        <w:rPr>
          <w:rFonts w:cs="Arial"/>
          <w:b/>
          <w:sz w:val="24"/>
          <w:szCs w:val="24"/>
        </w:rPr>
        <w:sectPr w:rsidR="00B17BEF" w:rsidSect="00D60764">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14:paraId="015F8663" w14:textId="629BA089" w:rsidR="003114A3" w:rsidRPr="00A76EED" w:rsidRDefault="003114A3" w:rsidP="003114A3">
      <w:pPr>
        <w:spacing w:line="300" w:lineRule="auto"/>
        <w:outlineLvl w:val="0"/>
        <w:rPr>
          <w:rFonts w:cs="Arial"/>
          <w:b/>
          <w:sz w:val="24"/>
          <w:szCs w:val="24"/>
        </w:rPr>
      </w:pPr>
      <w:r w:rsidRPr="00A76EED">
        <w:rPr>
          <w:rFonts w:cs="Arial"/>
          <w:b/>
          <w:sz w:val="24"/>
          <w:szCs w:val="24"/>
        </w:rPr>
        <w:lastRenderedPageBreak/>
        <w:t>TABLE OF CONTENTS</w:t>
      </w:r>
    </w:p>
    <w:p w14:paraId="015F8665" w14:textId="5261766B" w:rsidR="003114A3" w:rsidRDefault="003114A3" w:rsidP="00DB5723">
      <w:pPr>
        <w:spacing w:line="300" w:lineRule="auto"/>
        <w:ind w:right="2700"/>
        <w:jc w:val="right"/>
        <w:outlineLvl w:val="0"/>
        <w:rPr>
          <w:rFonts w:cs="Arial"/>
          <w:b/>
          <w:sz w:val="21"/>
          <w:szCs w:val="21"/>
        </w:rPr>
      </w:pP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sidR="004D721E">
        <w:rPr>
          <w:rFonts w:cs="Arial"/>
          <w:b/>
          <w:sz w:val="21"/>
          <w:szCs w:val="21"/>
        </w:rPr>
        <w:t xml:space="preserve"> </w:t>
      </w:r>
      <w:r w:rsidR="00A76EED">
        <w:rPr>
          <w:rFonts w:cs="Arial"/>
          <w:b/>
          <w:sz w:val="21"/>
          <w:szCs w:val="21"/>
        </w:rPr>
        <w:tab/>
      </w:r>
    </w:p>
    <w:p w14:paraId="015F8666" w14:textId="5C18C2A7" w:rsidR="003114A3" w:rsidRPr="00BD2523" w:rsidRDefault="00A76EED" w:rsidP="003114A3">
      <w:pPr>
        <w:numPr>
          <w:ilvl w:val="0"/>
          <w:numId w:val="2"/>
        </w:numPr>
        <w:spacing w:line="300" w:lineRule="auto"/>
        <w:ind w:left="360" w:hanging="360"/>
        <w:outlineLvl w:val="0"/>
        <w:rPr>
          <w:rFonts w:cs="Arial"/>
          <w:sz w:val="21"/>
          <w:szCs w:val="21"/>
        </w:rPr>
      </w:pPr>
      <w:r w:rsidRPr="00CB0C52">
        <w:rPr>
          <w:rFonts w:cs="Arial"/>
          <w:sz w:val="21"/>
          <w:szCs w:val="21"/>
        </w:rPr>
        <w:t>INTRODUCTION, BACKGROUND</w:t>
      </w:r>
      <w:r>
        <w:rPr>
          <w:rFonts w:cs="Arial"/>
          <w:sz w:val="21"/>
          <w:szCs w:val="21"/>
        </w:rPr>
        <w:t>, OVERSIGHT</w:t>
      </w:r>
      <w:r w:rsidRPr="00CB0C52">
        <w:rPr>
          <w:rFonts w:cs="Arial"/>
          <w:sz w:val="21"/>
          <w:szCs w:val="21"/>
        </w:rPr>
        <w:t xml:space="preserve"> AND GOALS</w:t>
      </w:r>
      <w:r w:rsidRPr="00CB0C52">
        <w:rPr>
          <w:rFonts w:cs="Arial"/>
          <w:sz w:val="21"/>
          <w:szCs w:val="21"/>
        </w:rPr>
        <w:tab/>
      </w:r>
      <w:r w:rsidRPr="00CB0C52">
        <w:rPr>
          <w:rFonts w:cs="Arial"/>
          <w:sz w:val="21"/>
          <w:szCs w:val="21"/>
        </w:rPr>
        <w:tab/>
      </w:r>
      <w:r>
        <w:rPr>
          <w:rFonts w:cs="Arial"/>
          <w:sz w:val="21"/>
          <w:szCs w:val="21"/>
        </w:rPr>
        <w:tab/>
      </w:r>
      <w:r>
        <w:rPr>
          <w:rFonts w:cs="Arial"/>
          <w:sz w:val="21"/>
          <w:szCs w:val="21"/>
        </w:rPr>
        <w:tab/>
      </w:r>
      <w:r w:rsidR="000C7C13">
        <w:rPr>
          <w:rFonts w:cs="Arial"/>
          <w:sz w:val="21"/>
          <w:szCs w:val="21"/>
        </w:rPr>
        <w:t>3</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p>
    <w:p w14:paraId="015F8667" w14:textId="0733D846" w:rsidR="003114A3" w:rsidRPr="00BD2523" w:rsidRDefault="00A76EED" w:rsidP="003114A3">
      <w:pPr>
        <w:numPr>
          <w:ilvl w:val="0"/>
          <w:numId w:val="2"/>
        </w:numPr>
        <w:spacing w:line="300" w:lineRule="auto"/>
        <w:ind w:left="360" w:hanging="360"/>
        <w:outlineLvl w:val="0"/>
        <w:rPr>
          <w:rFonts w:cs="Arial"/>
          <w:sz w:val="21"/>
          <w:szCs w:val="21"/>
        </w:rPr>
      </w:pPr>
      <w:r w:rsidRPr="00BD2523">
        <w:rPr>
          <w:rFonts w:cs="Arial"/>
          <w:sz w:val="21"/>
          <w:szCs w:val="21"/>
        </w:rPr>
        <w:t>ANNUAL REPORT HIGHLIGHTS</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Pr>
          <w:rFonts w:cs="Arial"/>
          <w:sz w:val="21"/>
          <w:szCs w:val="21"/>
        </w:rPr>
        <w:tab/>
      </w:r>
      <w:r>
        <w:rPr>
          <w:rFonts w:cs="Arial"/>
          <w:sz w:val="21"/>
          <w:szCs w:val="21"/>
        </w:rPr>
        <w:tab/>
      </w:r>
      <w:r w:rsidR="000C7C13">
        <w:rPr>
          <w:rFonts w:cs="Arial"/>
          <w:sz w:val="21"/>
          <w:szCs w:val="21"/>
        </w:rPr>
        <w:t>4</w:t>
      </w:r>
    </w:p>
    <w:p w14:paraId="015F8668" w14:textId="77777777" w:rsidR="003114A3" w:rsidRPr="00BD2523" w:rsidRDefault="003114A3" w:rsidP="003114A3">
      <w:pPr>
        <w:pStyle w:val="ListParagraph"/>
        <w:spacing w:line="300" w:lineRule="auto"/>
        <w:rPr>
          <w:rFonts w:ascii="Arial" w:hAnsi="Arial" w:cs="Arial"/>
          <w:sz w:val="21"/>
          <w:szCs w:val="21"/>
        </w:rPr>
      </w:pPr>
    </w:p>
    <w:p w14:paraId="015F8669" w14:textId="003129F1" w:rsidR="003114A3" w:rsidRPr="00BD2523" w:rsidRDefault="00A76EED" w:rsidP="003114A3">
      <w:pPr>
        <w:numPr>
          <w:ilvl w:val="0"/>
          <w:numId w:val="2"/>
        </w:numPr>
        <w:spacing w:line="300" w:lineRule="auto"/>
        <w:ind w:left="360" w:hanging="360"/>
        <w:outlineLvl w:val="0"/>
        <w:rPr>
          <w:rFonts w:cs="Arial"/>
          <w:sz w:val="21"/>
          <w:szCs w:val="21"/>
        </w:rPr>
      </w:pPr>
      <w:r w:rsidRPr="00BD2523">
        <w:rPr>
          <w:rFonts w:cs="Arial"/>
          <w:sz w:val="21"/>
          <w:szCs w:val="21"/>
        </w:rPr>
        <w:t>ANNUAL RESULTS</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Pr>
          <w:rFonts w:cs="Arial"/>
          <w:sz w:val="21"/>
          <w:szCs w:val="21"/>
        </w:rPr>
        <w:tab/>
      </w:r>
      <w:r>
        <w:rPr>
          <w:rFonts w:cs="Arial"/>
          <w:sz w:val="21"/>
          <w:szCs w:val="21"/>
        </w:rPr>
        <w:tab/>
      </w:r>
      <w:r w:rsidR="000C7C13">
        <w:rPr>
          <w:rFonts w:cs="Arial"/>
          <w:sz w:val="21"/>
          <w:szCs w:val="21"/>
        </w:rPr>
        <w:t>8</w:t>
      </w:r>
      <w:r w:rsidRPr="00BD2523">
        <w:rPr>
          <w:rFonts w:cs="Arial"/>
          <w:sz w:val="21"/>
          <w:szCs w:val="21"/>
        </w:rPr>
        <w:tab/>
      </w:r>
      <w:r w:rsidRPr="00BD2523">
        <w:rPr>
          <w:rFonts w:cs="Arial"/>
          <w:sz w:val="21"/>
          <w:szCs w:val="21"/>
        </w:rPr>
        <w:tab/>
      </w:r>
      <w:r w:rsidRPr="00BD2523">
        <w:rPr>
          <w:rFonts w:cs="Arial"/>
          <w:sz w:val="21"/>
          <w:szCs w:val="21"/>
        </w:rPr>
        <w:tab/>
      </w:r>
      <w:r w:rsidR="004D721E">
        <w:rPr>
          <w:rFonts w:cs="Arial"/>
          <w:sz w:val="21"/>
          <w:szCs w:val="21"/>
        </w:rPr>
        <w:t xml:space="preserve"> </w:t>
      </w:r>
    </w:p>
    <w:p w14:paraId="015F866E" w14:textId="5EE35B95" w:rsidR="003114A3" w:rsidRPr="00BD2523" w:rsidRDefault="00A76EED" w:rsidP="00A76EED">
      <w:pPr>
        <w:spacing w:line="300" w:lineRule="auto"/>
        <w:outlineLvl w:val="0"/>
        <w:rPr>
          <w:rFonts w:cs="Arial"/>
          <w:sz w:val="21"/>
          <w:szCs w:val="21"/>
        </w:rPr>
      </w:pPr>
      <w:r>
        <w:rPr>
          <w:rFonts w:cs="Arial"/>
          <w:sz w:val="21"/>
          <w:szCs w:val="21"/>
        </w:rPr>
        <w:t xml:space="preserve">APPENDIX 1: </w:t>
      </w:r>
      <w:r w:rsidRPr="00BD2523">
        <w:rPr>
          <w:rFonts w:cs="Arial"/>
          <w:sz w:val="21"/>
          <w:szCs w:val="21"/>
        </w:rPr>
        <w:t>ENERGY EFFICIENCY MEASURE COUNTS AND SAVINGS</w:t>
      </w:r>
      <w:r w:rsidRPr="00BD2523">
        <w:rPr>
          <w:rFonts w:cs="Arial"/>
          <w:sz w:val="21"/>
          <w:szCs w:val="21"/>
        </w:rPr>
        <w:tab/>
      </w:r>
      <w:r w:rsidR="000C7C13">
        <w:rPr>
          <w:rFonts w:cs="Arial"/>
          <w:sz w:val="21"/>
          <w:szCs w:val="21"/>
        </w:rPr>
        <w:tab/>
      </w:r>
      <w:r w:rsidR="0078270B">
        <w:rPr>
          <w:rFonts w:cs="Arial"/>
          <w:sz w:val="21"/>
          <w:szCs w:val="21"/>
        </w:rPr>
        <w:t xml:space="preserve"> </w:t>
      </w:r>
      <w:r w:rsidR="0078270B">
        <w:rPr>
          <w:rFonts w:cs="Arial"/>
          <w:sz w:val="21"/>
          <w:szCs w:val="21"/>
        </w:rPr>
        <w:tab/>
      </w:r>
      <w:r w:rsidR="000C7C13">
        <w:rPr>
          <w:rFonts w:cs="Arial"/>
          <w:sz w:val="21"/>
          <w:szCs w:val="21"/>
        </w:rPr>
        <w:t>10</w:t>
      </w:r>
    </w:p>
    <w:p w14:paraId="015F866F" w14:textId="77777777" w:rsidR="003114A3" w:rsidRPr="00BD2523" w:rsidRDefault="003114A3" w:rsidP="003114A3">
      <w:pPr>
        <w:spacing w:line="300" w:lineRule="auto"/>
        <w:outlineLvl w:val="0"/>
        <w:rPr>
          <w:rFonts w:cs="Arial"/>
          <w:sz w:val="21"/>
          <w:szCs w:val="21"/>
        </w:rPr>
      </w:pPr>
    </w:p>
    <w:p w14:paraId="015F8670" w14:textId="74664D91" w:rsidR="003114A3" w:rsidRPr="00A76EED" w:rsidRDefault="00A76EED" w:rsidP="00A76EED">
      <w:pPr>
        <w:spacing w:line="300" w:lineRule="auto"/>
        <w:outlineLvl w:val="0"/>
        <w:rPr>
          <w:rFonts w:cs="Arial"/>
          <w:sz w:val="21"/>
          <w:szCs w:val="21"/>
        </w:rPr>
      </w:pPr>
      <w:r>
        <w:rPr>
          <w:rFonts w:cs="Arial"/>
          <w:sz w:val="21"/>
          <w:szCs w:val="21"/>
        </w:rPr>
        <w:t>APPENDIX 2: CUSTOMER SATISFACTION</w:t>
      </w:r>
      <w:r>
        <w:rPr>
          <w:rFonts w:cs="Arial"/>
          <w:sz w:val="21"/>
          <w:szCs w:val="21"/>
        </w:rPr>
        <w:tab/>
      </w:r>
      <w:r>
        <w:rPr>
          <w:rFonts w:cs="Arial"/>
          <w:sz w:val="21"/>
          <w:szCs w:val="21"/>
        </w:rPr>
        <w:tab/>
      </w:r>
      <w:r>
        <w:rPr>
          <w:rFonts w:cs="Arial"/>
          <w:sz w:val="21"/>
          <w:szCs w:val="21"/>
        </w:rPr>
        <w:tab/>
      </w:r>
      <w:r>
        <w:rPr>
          <w:rFonts w:cs="Arial"/>
          <w:sz w:val="21"/>
          <w:szCs w:val="21"/>
        </w:rPr>
        <w:tab/>
      </w:r>
      <w:r w:rsidR="004D721E">
        <w:rPr>
          <w:rFonts w:cs="Arial"/>
          <w:sz w:val="21"/>
          <w:szCs w:val="21"/>
        </w:rPr>
        <w:t xml:space="preserve"> </w:t>
      </w:r>
      <w:r w:rsidRPr="00A76EED">
        <w:rPr>
          <w:rFonts w:cs="Arial"/>
          <w:sz w:val="21"/>
          <w:szCs w:val="21"/>
        </w:rPr>
        <w:tab/>
      </w:r>
      <w:r w:rsidR="0078270B">
        <w:rPr>
          <w:rFonts w:cs="Arial"/>
          <w:sz w:val="21"/>
          <w:szCs w:val="21"/>
        </w:rPr>
        <w:t xml:space="preserve"> </w:t>
      </w:r>
      <w:r w:rsidR="0078270B">
        <w:rPr>
          <w:rFonts w:cs="Arial"/>
          <w:sz w:val="21"/>
          <w:szCs w:val="21"/>
        </w:rPr>
        <w:tab/>
      </w:r>
      <w:r w:rsidR="0078270B">
        <w:rPr>
          <w:rFonts w:cs="Arial"/>
          <w:sz w:val="21"/>
          <w:szCs w:val="21"/>
        </w:rPr>
        <w:tab/>
      </w:r>
      <w:r w:rsidR="000C7C13">
        <w:rPr>
          <w:rFonts w:cs="Arial"/>
          <w:sz w:val="21"/>
          <w:szCs w:val="21"/>
        </w:rPr>
        <w:t>12</w:t>
      </w:r>
      <w:r w:rsidR="003114A3" w:rsidRPr="00A76EED">
        <w:rPr>
          <w:rFonts w:cs="Arial"/>
          <w:sz w:val="21"/>
          <w:szCs w:val="21"/>
        </w:rPr>
        <w:tab/>
      </w:r>
      <w:r w:rsidR="003114A3" w:rsidRPr="00A76EED">
        <w:rPr>
          <w:rFonts w:cs="Arial"/>
          <w:sz w:val="21"/>
          <w:szCs w:val="21"/>
        </w:rPr>
        <w:tab/>
      </w:r>
      <w:r w:rsidR="003114A3" w:rsidRPr="00A76EED">
        <w:rPr>
          <w:rFonts w:cs="Arial"/>
          <w:sz w:val="21"/>
          <w:szCs w:val="21"/>
        </w:rPr>
        <w:tab/>
      </w:r>
      <w:r w:rsidR="004D721E">
        <w:rPr>
          <w:rFonts w:cs="Arial"/>
          <w:sz w:val="21"/>
          <w:szCs w:val="21"/>
        </w:rPr>
        <w:t xml:space="preserve"> </w:t>
      </w:r>
    </w:p>
    <w:p w14:paraId="015F8671" w14:textId="77777777" w:rsidR="003114A3" w:rsidRPr="00016DB3" w:rsidRDefault="003114A3" w:rsidP="003114A3">
      <w:pPr>
        <w:pStyle w:val="ListParagraph"/>
        <w:spacing w:line="300" w:lineRule="auto"/>
        <w:rPr>
          <w:rFonts w:ascii="Arial" w:hAnsi="Arial" w:cs="Arial"/>
          <w:sz w:val="21"/>
          <w:szCs w:val="21"/>
        </w:rPr>
      </w:pPr>
    </w:p>
    <w:p w14:paraId="015F8672" w14:textId="77777777" w:rsidR="003114A3" w:rsidRPr="008A4A06" w:rsidRDefault="003114A3" w:rsidP="003114A3">
      <w:pPr>
        <w:autoSpaceDE w:val="0"/>
        <w:autoSpaceDN w:val="0"/>
        <w:adjustRightInd w:val="0"/>
        <w:spacing w:line="300" w:lineRule="auto"/>
        <w:rPr>
          <w:rFonts w:cs="Arial"/>
          <w:sz w:val="21"/>
          <w:szCs w:val="21"/>
        </w:rPr>
      </w:pPr>
      <w:r w:rsidRPr="00FA5CB5">
        <w:rPr>
          <w:rFonts w:cs="Arial"/>
          <w:sz w:val="21"/>
          <w:szCs w:val="21"/>
        </w:rPr>
        <w:br w:type="page"/>
      </w:r>
    </w:p>
    <w:p w14:paraId="5B85E67E" w14:textId="77777777" w:rsidR="006C0590" w:rsidRPr="00A76EED" w:rsidRDefault="006C0590" w:rsidP="006C0590">
      <w:pPr>
        <w:spacing w:line="300" w:lineRule="auto"/>
        <w:ind w:left="360" w:hanging="360"/>
        <w:rPr>
          <w:rFonts w:cs="Arial"/>
          <w:b/>
          <w:sz w:val="24"/>
          <w:szCs w:val="24"/>
        </w:rPr>
      </w:pPr>
      <w:r w:rsidRPr="00A76EED">
        <w:rPr>
          <w:rFonts w:cs="Arial"/>
          <w:b/>
          <w:sz w:val="24"/>
          <w:szCs w:val="24"/>
        </w:rPr>
        <w:lastRenderedPageBreak/>
        <w:t>I</w:t>
      </w:r>
      <w:r w:rsidRPr="00A76EED">
        <w:rPr>
          <w:rFonts w:cs="Arial"/>
          <w:b/>
          <w:sz w:val="24"/>
          <w:szCs w:val="24"/>
        </w:rPr>
        <w:tab/>
      </w:r>
      <w:r>
        <w:rPr>
          <w:rFonts w:cs="Arial"/>
          <w:b/>
          <w:sz w:val="24"/>
          <w:szCs w:val="24"/>
        </w:rPr>
        <w:tab/>
      </w:r>
      <w:r w:rsidRPr="00A76EED">
        <w:rPr>
          <w:rFonts w:cs="Arial"/>
          <w:b/>
          <w:sz w:val="24"/>
          <w:szCs w:val="24"/>
        </w:rPr>
        <w:t>INTRODUCTION, BACKGROUND, OVERSIGHT AND GOALS</w:t>
      </w:r>
    </w:p>
    <w:p w14:paraId="3AE864F6" w14:textId="77777777" w:rsidR="006C0590" w:rsidRPr="00680880" w:rsidRDefault="006C0590" w:rsidP="006C0590">
      <w:pPr>
        <w:spacing w:line="300" w:lineRule="auto"/>
        <w:rPr>
          <w:rFonts w:cs="Arial"/>
          <w:sz w:val="20"/>
        </w:rPr>
      </w:pPr>
    </w:p>
    <w:p w14:paraId="00760E82" w14:textId="77777777" w:rsidR="006C0590" w:rsidRPr="000C7C13" w:rsidRDefault="006C0590" w:rsidP="006C0590">
      <w:pPr>
        <w:pStyle w:val="ListParagraph"/>
        <w:numPr>
          <w:ilvl w:val="0"/>
          <w:numId w:val="9"/>
        </w:numPr>
        <w:spacing w:line="300" w:lineRule="auto"/>
        <w:ind w:left="1080"/>
        <w:rPr>
          <w:rFonts w:ascii="Arial" w:hAnsi="Arial" w:cs="Arial"/>
          <w:b/>
        </w:rPr>
      </w:pPr>
      <w:r w:rsidRPr="000C7C13">
        <w:rPr>
          <w:rFonts w:ascii="Arial" w:hAnsi="Arial" w:cs="Arial"/>
          <w:b/>
        </w:rPr>
        <w:t>Introduction</w:t>
      </w:r>
    </w:p>
    <w:p w14:paraId="4C173C3C" w14:textId="6486B7E1" w:rsidR="006C0590" w:rsidRPr="00680880" w:rsidRDefault="006C0590" w:rsidP="006C0590">
      <w:pPr>
        <w:pStyle w:val="ListParagraph"/>
        <w:spacing w:line="300" w:lineRule="auto"/>
        <w:ind w:left="1080"/>
        <w:rPr>
          <w:rFonts w:ascii="Arial" w:hAnsi="Arial" w:cs="Arial"/>
          <w:sz w:val="20"/>
          <w:szCs w:val="20"/>
        </w:rPr>
      </w:pPr>
      <w:proofErr w:type="gramStart"/>
      <w:r w:rsidRPr="00680880">
        <w:rPr>
          <w:rFonts w:ascii="Arial" w:hAnsi="Arial" w:cs="Arial"/>
          <w:sz w:val="20"/>
          <w:szCs w:val="20"/>
        </w:rPr>
        <w:t>This report covers 201</w:t>
      </w:r>
      <w:r w:rsidR="00527210">
        <w:rPr>
          <w:rFonts w:ascii="Arial" w:hAnsi="Arial" w:cs="Arial"/>
          <w:sz w:val="20"/>
          <w:szCs w:val="20"/>
        </w:rPr>
        <w:t>5</w:t>
      </w:r>
      <w:r w:rsidRPr="00680880">
        <w:rPr>
          <w:rFonts w:ascii="Arial" w:hAnsi="Arial" w:cs="Arial"/>
          <w:sz w:val="20"/>
          <w:szCs w:val="20"/>
        </w:rPr>
        <w:t xml:space="preserve">, the </w:t>
      </w:r>
      <w:r w:rsidR="00527210">
        <w:rPr>
          <w:rFonts w:ascii="Arial" w:hAnsi="Arial" w:cs="Arial"/>
          <w:sz w:val="20"/>
          <w:szCs w:val="20"/>
        </w:rPr>
        <w:t>sixth</w:t>
      </w:r>
      <w:r w:rsidRPr="00680880">
        <w:rPr>
          <w:rFonts w:ascii="Arial" w:hAnsi="Arial" w:cs="Arial"/>
          <w:sz w:val="20"/>
          <w:szCs w:val="20"/>
        </w:rPr>
        <w:t xml:space="preserve"> full year that Energy Trust of Oregon provided services and incentives to residential and commercial customers of NW Natural in Washington.</w:t>
      </w:r>
      <w:proofErr w:type="gramEnd"/>
    </w:p>
    <w:p w14:paraId="326EADAE" w14:textId="77777777" w:rsidR="006C0590" w:rsidRPr="00680880" w:rsidRDefault="006C0590" w:rsidP="006C0590">
      <w:pPr>
        <w:pStyle w:val="ListParagraph"/>
        <w:spacing w:line="300" w:lineRule="auto"/>
        <w:ind w:left="1080"/>
        <w:rPr>
          <w:rFonts w:ascii="Arial" w:hAnsi="Arial" w:cs="Arial"/>
          <w:sz w:val="20"/>
          <w:szCs w:val="20"/>
        </w:rPr>
      </w:pPr>
    </w:p>
    <w:p w14:paraId="5B09B005" w14:textId="00161174" w:rsidR="006C0590" w:rsidRPr="00680880" w:rsidRDefault="006C0590" w:rsidP="006C0590">
      <w:pPr>
        <w:pStyle w:val="ListParagraph"/>
        <w:spacing w:line="300" w:lineRule="auto"/>
        <w:ind w:left="1080"/>
        <w:rPr>
          <w:rFonts w:ascii="Arial" w:hAnsi="Arial" w:cs="Arial"/>
          <w:sz w:val="20"/>
          <w:szCs w:val="20"/>
        </w:rPr>
      </w:pPr>
      <w:r w:rsidRPr="00680880">
        <w:rPr>
          <w:rFonts w:ascii="Arial" w:hAnsi="Arial" w:cs="Arial"/>
          <w:sz w:val="20"/>
          <w:szCs w:val="20"/>
        </w:rPr>
        <w:t>It addresses progress toward annual goals, information on revenues and expenditures, number of completed measures</w:t>
      </w:r>
      <w:r w:rsidR="004417FA">
        <w:rPr>
          <w:rFonts w:ascii="Arial" w:hAnsi="Arial" w:cs="Arial"/>
          <w:sz w:val="20"/>
          <w:szCs w:val="20"/>
        </w:rPr>
        <w:t>,</w:t>
      </w:r>
      <w:r w:rsidRPr="00680880">
        <w:rPr>
          <w:rFonts w:ascii="Arial" w:hAnsi="Arial" w:cs="Arial"/>
          <w:sz w:val="20"/>
          <w:szCs w:val="20"/>
        </w:rPr>
        <w:t xml:space="preserve"> incentives paid during the year and highlights of program activity. </w:t>
      </w:r>
    </w:p>
    <w:p w14:paraId="1DB2986B" w14:textId="77777777" w:rsidR="006C0590" w:rsidRPr="00680880" w:rsidRDefault="006C0590" w:rsidP="006C0590">
      <w:pPr>
        <w:pStyle w:val="ListParagraph"/>
        <w:spacing w:line="300" w:lineRule="auto"/>
        <w:ind w:left="1080"/>
        <w:rPr>
          <w:rFonts w:ascii="Arial" w:hAnsi="Arial" w:cs="Arial"/>
          <w:sz w:val="20"/>
          <w:szCs w:val="20"/>
        </w:rPr>
      </w:pPr>
    </w:p>
    <w:p w14:paraId="678E0A39" w14:textId="77777777" w:rsidR="006C0590" w:rsidRPr="000C7C13" w:rsidRDefault="006C0590" w:rsidP="006C0590">
      <w:pPr>
        <w:pStyle w:val="ListParagraph"/>
        <w:numPr>
          <w:ilvl w:val="0"/>
          <w:numId w:val="9"/>
        </w:numPr>
        <w:spacing w:line="300" w:lineRule="auto"/>
        <w:ind w:left="1080"/>
        <w:rPr>
          <w:rFonts w:ascii="Arial" w:hAnsi="Arial" w:cs="Arial"/>
          <w:b/>
        </w:rPr>
      </w:pPr>
      <w:r w:rsidRPr="000C7C13">
        <w:rPr>
          <w:rFonts w:ascii="Arial" w:hAnsi="Arial" w:cs="Arial"/>
          <w:b/>
        </w:rPr>
        <w:t>Background</w:t>
      </w:r>
    </w:p>
    <w:p w14:paraId="4F2B263D" w14:textId="51893F03" w:rsidR="006C0590" w:rsidRPr="00680880" w:rsidRDefault="006C0590" w:rsidP="006C0590">
      <w:pPr>
        <w:spacing w:line="300" w:lineRule="auto"/>
        <w:ind w:left="1080" w:right="720"/>
        <w:rPr>
          <w:rFonts w:cs="Arial"/>
          <w:sz w:val="20"/>
        </w:rPr>
      </w:pPr>
      <w:r w:rsidRPr="00680880">
        <w:rPr>
          <w:rFonts w:cs="Arial"/>
          <w:sz w:val="20"/>
        </w:rPr>
        <w:t>At the request of NW Natural and following approval granted by the Washington Utilities and Transportation Commission</w:t>
      </w:r>
      <w:r w:rsidR="00CD54F6">
        <w:rPr>
          <w:rFonts w:cs="Arial"/>
          <w:sz w:val="20"/>
        </w:rPr>
        <w:t xml:space="preserve"> (</w:t>
      </w:r>
      <w:r w:rsidRPr="00680880">
        <w:rPr>
          <w:rFonts w:cs="Arial"/>
          <w:sz w:val="20"/>
        </w:rPr>
        <w:t>WUTC</w:t>
      </w:r>
      <w:r w:rsidR="00CD54F6">
        <w:rPr>
          <w:rFonts w:cs="Arial"/>
          <w:sz w:val="20"/>
        </w:rPr>
        <w:t>)</w:t>
      </w:r>
      <w:r w:rsidRPr="00680880">
        <w:rPr>
          <w:rFonts w:cs="Arial"/>
          <w:sz w:val="20"/>
        </w:rPr>
        <w:t xml:space="preserve">, Energy Trust began administering NW Natural’s demand-side management programs in </w:t>
      </w:r>
      <w:r w:rsidR="005904A5">
        <w:rPr>
          <w:rFonts w:cs="Arial"/>
          <w:sz w:val="20"/>
        </w:rPr>
        <w:t>S</w:t>
      </w:r>
      <w:r w:rsidRPr="00680880">
        <w:rPr>
          <w:rFonts w:cs="Arial"/>
          <w:sz w:val="20"/>
        </w:rPr>
        <w:t xml:space="preserve">outhwest Washington on October 1, 2009. The first year was viewed as a pilot. Satisfied with results from the pilot year, in 2011 the WUTC approved Energy Trust’s continued administration of conservation programs for NW Natural in Washington. </w:t>
      </w:r>
    </w:p>
    <w:p w14:paraId="4566E3D4" w14:textId="77777777" w:rsidR="006C0590" w:rsidRPr="00680880" w:rsidRDefault="006C0590" w:rsidP="006C0590">
      <w:pPr>
        <w:pStyle w:val="ListParagraph"/>
        <w:spacing w:line="300" w:lineRule="auto"/>
        <w:ind w:left="1080" w:right="720"/>
        <w:rPr>
          <w:rFonts w:ascii="Arial" w:hAnsi="Arial" w:cs="Arial"/>
          <w:sz w:val="20"/>
          <w:szCs w:val="20"/>
        </w:rPr>
      </w:pPr>
    </w:p>
    <w:p w14:paraId="173F048D" w14:textId="77777777" w:rsidR="006C0590" w:rsidRPr="000C7C13" w:rsidRDefault="006C0590" w:rsidP="006C0590">
      <w:pPr>
        <w:pStyle w:val="ListParagraph"/>
        <w:numPr>
          <w:ilvl w:val="0"/>
          <w:numId w:val="9"/>
        </w:numPr>
        <w:spacing w:line="300" w:lineRule="auto"/>
        <w:ind w:left="1080" w:right="720"/>
        <w:rPr>
          <w:rFonts w:ascii="Arial" w:hAnsi="Arial" w:cs="Arial"/>
          <w:b/>
        </w:rPr>
      </w:pPr>
      <w:r w:rsidRPr="000C7C13">
        <w:rPr>
          <w:rFonts w:ascii="Arial" w:hAnsi="Arial" w:cs="Arial"/>
          <w:b/>
        </w:rPr>
        <w:t>Oversight</w:t>
      </w:r>
    </w:p>
    <w:p w14:paraId="679E421A" w14:textId="77777777" w:rsidR="006C0590" w:rsidRPr="00680880" w:rsidRDefault="006C0590" w:rsidP="006C0590">
      <w:pPr>
        <w:spacing w:line="300" w:lineRule="auto"/>
        <w:ind w:left="1080"/>
        <w:outlineLvl w:val="0"/>
        <w:rPr>
          <w:rFonts w:cs="Arial"/>
          <w:sz w:val="20"/>
        </w:rPr>
      </w:pPr>
      <w:r w:rsidRPr="00680880">
        <w:rPr>
          <w:rFonts w:cs="Arial"/>
          <w:sz w:val="20"/>
        </w:rPr>
        <w:t>The Energy Efficiency Advisory Group, EEAG, was created, at the direction of the WUTC, to provide advi</w:t>
      </w:r>
      <w:r>
        <w:rPr>
          <w:rFonts w:cs="Arial"/>
          <w:sz w:val="20"/>
        </w:rPr>
        <w:t xml:space="preserve">ce and oversight for NW Natural and </w:t>
      </w:r>
      <w:r w:rsidRPr="00680880">
        <w:rPr>
          <w:rFonts w:cs="Arial"/>
          <w:sz w:val="20"/>
        </w:rPr>
        <w:t>Energy Trust energy-efficiency offerings in Washington. The advisory group is comprised of representatives from NW Natural, Energy Trust, WUTC, Washington Public Counsel, Northwest Industrial Gas Users and the Northwest Energy Coalition.</w:t>
      </w:r>
    </w:p>
    <w:p w14:paraId="3D5AD815" w14:textId="77777777" w:rsidR="006C0590" w:rsidRPr="00680880" w:rsidRDefault="006C0590" w:rsidP="006C0590">
      <w:pPr>
        <w:spacing w:line="300" w:lineRule="auto"/>
        <w:ind w:left="1080"/>
        <w:outlineLvl w:val="0"/>
        <w:rPr>
          <w:rFonts w:cs="Arial"/>
          <w:sz w:val="20"/>
        </w:rPr>
      </w:pPr>
    </w:p>
    <w:p w14:paraId="61206209" w14:textId="77777777" w:rsidR="006C0590" w:rsidRPr="000C7C13" w:rsidRDefault="006C0590" w:rsidP="006C0590">
      <w:pPr>
        <w:pStyle w:val="ListParagraph"/>
        <w:numPr>
          <w:ilvl w:val="0"/>
          <w:numId w:val="9"/>
        </w:numPr>
        <w:spacing w:line="300" w:lineRule="auto"/>
        <w:ind w:left="1080" w:right="720"/>
        <w:rPr>
          <w:rFonts w:ascii="Arial" w:hAnsi="Arial" w:cs="Arial"/>
          <w:b/>
        </w:rPr>
      </w:pPr>
      <w:r w:rsidRPr="000C7C13">
        <w:rPr>
          <w:rFonts w:ascii="Arial" w:hAnsi="Arial" w:cs="Arial"/>
          <w:b/>
        </w:rPr>
        <w:t>Goals</w:t>
      </w:r>
    </w:p>
    <w:p w14:paraId="325DED41" w14:textId="50E19686" w:rsidR="006C0590" w:rsidRPr="00680880" w:rsidRDefault="006C0590" w:rsidP="006C0590">
      <w:pPr>
        <w:pStyle w:val="ListParagraph"/>
        <w:spacing w:line="300" w:lineRule="auto"/>
        <w:ind w:left="1080" w:right="720"/>
        <w:rPr>
          <w:rFonts w:ascii="Arial" w:hAnsi="Arial" w:cs="Arial"/>
          <w:sz w:val="20"/>
          <w:szCs w:val="20"/>
        </w:rPr>
      </w:pPr>
      <w:r w:rsidRPr="00680880">
        <w:rPr>
          <w:rFonts w:ascii="Arial" w:hAnsi="Arial" w:cs="Arial"/>
          <w:sz w:val="20"/>
          <w:szCs w:val="20"/>
        </w:rPr>
        <w:t>NW Natural, in collaboration with the EEAG, established performance metrics for 201</w:t>
      </w:r>
      <w:r w:rsidR="00527210">
        <w:rPr>
          <w:rFonts w:ascii="Arial" w:hAnsi="Arial" w:cs="Arial"/>
          <w:sz w:val="20"/>
          <w:szCs w:val="20"/>
        </w:rPr>
        <w:t>5</w:t>
      </w:r>
      <w:r w:rsidRPr="00680880">
        <w:rPr>
          <w:rFonts w:ascii="Arial" w:hAnsi="Arial" w:cs="Arial"/>
          <w:sz w:val="20"/>
          <w:szCs w:val="20"/>
        </w:rPr>
        <w:t>. This report presents Energy Trust’s performance</w:t>
      </w:r>
      <w:r>
        <w:rPr>
          <w:rFonts w:ascii="Arial" w:hAnsi="Arial" w:cs="Arial"/>
          <w:sz w:val="20"/>
          <w:szCs w:val="20"/>
        </w:rPr>
        <w:t xml:space="preserve"> against those goals</w:t>
      </w:r>
      <w:r w:rsidRPr="00680880">
        <w:rPr>
          <w:rFonts w:ascii="Arial" w:hAnsi="Arial" w:cs="Arial"/>
          <w:sz w:val="20"/>
          <w:szCs w:val="20"/>
        </w:rPr>
        <w:t xml:space="preserve">. </w:t>
      </w:r>
    </w:p>
    <w:p w14:paraId="5863A55D" w14:textId="77777777" w:rsidR="006C0590" w:rsidRDefault="006C0590" w:rsidP="006C0590">
      <w:pPr>
        <w:rPr>
          <w:rFonts w:cs="Arial"/>
          <w:b/>
          <w:sz w:val="24"/>
          <w:szCs w:val="24"/>
        </w:rPr>
      </w:pPr>
      <w:r>
        <w:rPr>
          <w:rFonts w:cs="Arial"/>
          <w:b/>
          <w:sz w:val="24"/>
          <w:szCs w:val="24"/>
        </w:rPr>
        <w:br w:type="page"/>
      </w:r>
    </w:p>
    <w:p w14:paraId="01CBB6F5" w14:textId="77777777" w:rsidR="006C0590" w:rsidRPr="000C7C13" w:rsidRDefault="006C0590" w:rsidP="006C0590">
      <w:pPr>
        <w:rPr>
          <w:rFonts w:cs="Arial"/>
          <w:b/>
          <w:sz w:val="24"/>
          <w:szCs w:val="24"/>
        </w:rPr>
      </w:pPr>
      <w:r w:rsidRPr="000C7C13">
        <w:rPr>
          <w:rFonts w:cs="Arial"/>
          <w:b/>
          <w:sz w:val="24"/>
          <w:szCs w:val="24"/>
        </w:rPr>
        <w:lastRenderedPageBreak/>
        <w:t xml:space="preserve">II. </w:t>
      </w:r>
      <w:r w:rsidRPr="000C7C13">
        <w:rPr>
          <w:rFonts w:cs="Arial"/>
          <w:b/>
          <w:sz w:val="24"/>
          <w:szCs w:val="24"/>
        </w:rPr>
        <w:tab/>
        <w:t>ANNUAL REPORT HIGHLIGHTS</w:t>
      </w:r>
    </w:p>
    <w:p w14:paraId="7F368421" w14:textId="77777777" w:rsidR="006C0590" w:rsidRPr="00680880" w:rsidRDefault="006C0590" w:rsidP="006C0590">
      <w:pPr>
        <w:spacing w:line="300" w:lineRule="auto"/>
        <w:rPr>
          <w:rFonts w:cs="Arial"/>
          <w:b/>
          <w:sz w:val="28"/>
          <w:szCs w:val="28"/>
        </w:rPr>
      </w:pPr>
    </w:p>
    <w:p w14:paraId="6977EFDB" w14:textId="77777777" w:rsidR="006C0590" w:rsidRPr="000C7C13" w:rsidRDefault="006C0590" w:rsidP="007F7088">
      <w:pPr>
        <w:pStyle w:val="ListParagraph"/>
        <w:numPr>
          <w:ilvl w:val="0"/>
          <w:numId w:val="6"/>
        </w:numPr>
        <w:spacing w:line="300" w:lineRule="auto"/>
        <w:ind w:left="360"/>
        <w:outlineLvl w:val="0"/>
        <w:rPr>
          <w:rFonts w:ascii="Arial" w:hAnsi="Arial" w:cs="Arial"/>
        </w:rPr>
      </w:pPr>
      <w:r w:rsidRPr="000C7C13">
        <w:rPr>
          <w:rFonts w:ascii="Arial" w:hAnsi="Arial" w:cs="Arial"/>
          <w:b/>
        </w:rPr>
        <w:t xml:space="preserve">Summary </w:t>
      </w:r>
    </w:p>
    <w:p w14:paraId="39399DDE" w14:textId="1D34482D" w:rsidR="006C0590" w:rsidRPr="00FB72A3" w:rsidRDefault="006C0590" w:rsidP="007F7088">
      <w:pPr>
        <w:pStyle w:val="ListParagraph"/>
        <w:numPr>
          <w:ilvl w:val="0"/>
          <w:numId w:val="8"/>
        </w:numPr>
        <w:spacing w:line="300" w:lineRule="auto"/>
        <w:ind w:right="720"/>
        <w:rPr>
          <w:rFonts w:ascii="Arial" w:hAnsi="Arial" w:cs="Arial"/>
          <w:sz w:val="20"/>
          <w:szCs w:val="20"/>
        </w:rPr>
      </w:pPr>
      <w:r w:rsidRPr="007B4C66">
        <w:rPr>
          <w:rFonts w:ascii="Arial" w:hAnsi="Arial" w:cs="Arial"/>
          <w:b/>
          <w:sz w:val="20"/>
          <w:szCs w:val="20"/>
        </w:rPr>
        <w:t>Gas efficiency measures installed in 201</w:t>
      </w:r>
      <w:r w:rsidR="00527210">
        <w:rPr>
          <w:rFonts w:ascii="Arial" w:hAnsi="Arial" w:cs="Arial"/>
          <w:b/>
          <w:sz w:val="20"/>
          <w:szCs w:val="20"/>
        </w:rPr>
        <w:t>5</w:t>
      </w:r>
      <w:r w:rsidRPr="007B4C66">
        <w:rPr>
          <w:rFonts w:ascii="Arial" w:hAnsi="Arial" w:cs="Arial"/>
          <w:sz w:val="20"/>
          <w:szCs w:val="20"/>
        </w:rPr>
        <w:t xml:space="preserve"> by NW Natural’s Washington customers </w:t>
      </w:r>
      <w:r w:rsidRPr="00FB72A3">
        <w:rPr>
          <w:rFonts w:ascii="Arial" w:hAnsi="Arial" w:cs="Arial"/>
          <w:sz w:val="20"/>
          <w:szCs w:val="20"/>
        </w:rPr>
        <w:t xml:space="preserve">saved </w:t>
      </w:r>
      <w:r w:rsidRPr="00FB72A3">
        <w:rPr>
          <w:rFonts w:ascii="Arial" w:hAnsi="Arial" w:cs="Arial"/>
          <w:sz w:val="20"/>
          <w:szCs w:val="20"/>
        </w:rPr>
        <w:fldChar w:fldCharType="begin"/>
      </w:r>
      <w:r w:rsidRPr="00FB72A3">
        <w:rPr>
          <w:rFonts w:ascii="Arial" w:hAnsi="Arial" w:cs="Arial"/>
          <w:sz w:val="20"/>
          <w:szCs w:val="20"/>
        </w:rPr>
        <w:instrText xml:space="preserve"> INCLUDETEXT  "E:\\TRUST GENERAL\\Public Utility Commission\\Annual reports\\Automation\\QtrRpt_PageValuesWA.xml" \n xmlns:ns1=\"ETO\" \x ns1:Root/ns1:Metrics/ns1:Energy/ns1:Yr/ns1:GasEff/ns1:All  \* MERGEFORMAT </w:instrText>
      </w:r>
      <w:r w:rsidRPr="00FB72A3">
        <w:rPr>
          <w:rFonts w:ascii="Arial" w:hAnsi="Arial" w:cs="Arial"/>
          <w:sz w:val="20"/>
          <w:szCs w:val="20"/>
        </w:rPr>
        <w:fldChar w:fldCharType="separate"/>
      </w:r>
      <w:r w:rsidR="009135D3" w:rsidRPr="00E1455E">
        <w:rPr>
          <w:rFonts w:ascii="Arial" w:hAnsi="Arial" w:cs="Arial"/>
          <w:sz w:val="20"/>
          <w:szCs w:val="20"/>
        </w:rPr>
        <w:t>201,446</w:t>
      </w:r>
      <w:r w:rsidRPr="00FB72A3">
        <w:rPr>
          <w:rFonts w:ascii="Arial" w:hAnsi="Arial" w:cs="Arial"/>
          <w:sz w:val="20"/>
          <w:szCs w:val="20"/>
        </w:rPr>
        <w:t xml:space="preserve"> annual </w:t>
      </w:r>
      <w:proofErr w:type="spellStart"/>
      <w:r w:rsidRPr="00FB72A3">
        <w:rPr>
          <w:rFonts w:ascii="Arial" w:hAnsi="Arial" w:cs="Arial"/>
          <w:sz w:val="20"/>
          <w:szCs w:val="20"/>
        </w:rPr>
        <w:t>therms</w:t>
      </w:r>
      <w:proofErr w:type="spellEnd"/>
      <w:r w:rsidRPr="00FB72A3">
        <w:rPr>
          <w:rFonts w:ascii="Arial" w:hAnsi="Arial" w:cs="Arial"/>
          <w:sz w:val="20"/>
          <w:szCs w:val="20"/>
        </w:rPr>
        <w:fldChar w:fldCharType="end"/>
      </w:r>
      <w:r w:rsidRPr="00FB72A3">
        <w:rPr>
          <w:rFonts w:ascii="Arial" w:hAnsi="Arial" w:cs="Arial"/>
          <w:sz w:val="20"/>
          <w:szCs w:val="20"/>
        </w:rPr>
        <w:t xml:space="preserve"> of natural gas—including </w:t>
      </w:r>
      <w:r w:rsidRPr="00E1455E">
        <w:rPr>
          <w:rFonts w:ascii="Arial" w:hAnsi="Arial" w:cs="Arial"/>
          <w:sz w:val="20"/>
          <w:szCs w:val="20"/>
        </w:rPr>
        <w:fldChar w:fldCharType="begin"/>
      </w:r>
      <w:r w:rsidRPr="00E1455E">
        <w:rPr>
          <w:rFonts w:ascii="Arial" w:hAnsi="Arial" w:cs="Arial"/>
          <w:sz w:val="20"/>
          <w:szCs w:val="20"/>
        </w:rPr>
        <w:instrText xml:space="preserve"> INCLUDETEXT  "E:\\TRUST GENERAL\\Public Utility Commission\\Annual reports\\Automation\\QtrRpt_PageValuesWA.xml" \n xmlns:ns1=\"ETO\" \x ns1:Root/ns1:Metrics/ns1:Energy/ns1:Yr/ns1:GasEff/ns1:Com/ns1:Eb  \* MERGEFORMAT </w:instrText>
      </w:r>
      <w:r w:rsidRPr="00E1455E">
        <w:rPr>
          <w:rFonts w:ascii="Arial" w:hAnsi="Arial" w:cs="Arial"/>
          <w:sz w:val="20"/>
          <w:szCs w:val="20"/>
        </w:rPr>
        <w:fldChar w:fldCharType="separate"/>
      </w:r>
      <w:r w:rsidR="009135D3" w:rsidRPr="00E1455E">
        <w:rPr>
          <w:rFonts w:ascii="Arial" w:hAnsi="Arial" w:cs="Arial"/>
          <w:sz w:val="20"/>
          <w:szCs w:val="20"/>
        </w:rPr>
        <w:t>73,437</w:t>
      </w:r>
      <w:r w:rsidRPr="00E1455E">
        <w:rPr>
          <w:rFonts w:ascii="Arial" w:hAnsi="Arial" w:cs="Arial"/>
          <w:sz w:val="20"/>
          <w:szCs w:val="20"/>
        </w:rPr>
        <w:t xml:space="preserve"> annual </w:t>
      </w:r>
      <w:proofErr w:type="spellStart"/>
      <w:r w:rsidRPr="00E1455E">
        <w:rPr>
          <w:rFonts w:ascii="Arial" w:hAnsi="Arial" w:cs="Arial"/>
          <w:sz w:val="20"/>
          <w:szCs w:val="20"/>
        </w:rPr>
        <w:t>therms</w:t>
      </w:r>
      <w:proofErr w:type="spellEnd"/>
      <w:r w:rsidRPr="00E1455E">
        <w:rPr>
          <w:rFonts w:ascii="Arial" w:hAnsi="Arial" w:cs="Arial"/>
          <w:sz w:val="20"/>
          <w:szCs w:val="20"/>
        </w:rPr>
        <w:fldChar w:fldCharType="end"/>
      </w:r>
      <w:r w:rsidRPr="00FB72A3">
        <w:rPr>
          <w:rFonts w:ascii="Arial" w:hAnsi="Arial" w:cs="Arial"/>
          <w:sz w:val="20"/>
          <w:szCs w:val="20"/>
        </w:rPr>
        <w:t xml:space="preserve"> in Existing Buildings, </w:t>
      </w:r>
      <w:r w:rsidR="009135D3" w:rsidRPr="00E1455E">
        <w:rPr>
          <w:rFonts w:ascii="Arial" w:hAnsi="Arial" w:cs="Arial"/>
          <w:sz w:val="20"/>
          <w:szCs w:val="20"/>
        </w:rPr>
        <w:t xml:space="preserve">58,465 annual </w:t>
      </w:r>
      <w:proofErr w:type="spellStart"/>
      <w:r w:rsidR="009135D3" w:rsidRPr="00E1455E">
        <w:rPr>
          <w:rFonts w:ascii="Arial" w:hAnsi="Arial" w:cs="Arial"/>
          <w:sz w:val="20"/>
          <w:szCs w:val="20"/>
        </w:rPr>
        <w:t>therms</w:t>
      </w:r>
      <w:proofErr w:type="spellEnd"/>
      <w:r w:rsidRPr="00FB72A3">
        <w:rPr>
          <w:rFonts w:ascii="Arial" w:hAnsi="Arial" w:cs="Arial"/>
          <w:sz w:val="20"/>
          <w:szCs w:val="20"/>
        </w:rPr>
        <w:t xml:space="preserve"> in Existing Homes and </w:t>
      </w:r>
      <w:r w:rsidRPr="00E1455E">
        <w:rPr>
          <w:rFonts w:ascii="Arial" w:hAnsi="Arial" w:cs="Arial"/>
          <w:sz w:val="20"/>
          <w:szCs w:val="20"/>
        </w:rPr>
        <w:fldChar w:fldCharType="begin"/>
      </w:r>
      <w:r w:rsidRPr="00E1455E">
        <w:rPr>
          <w:rFonts w:ascii="Arial" w:hAnsi="Arial" w:cs="Arial"/>
          <w:sz w:val="20"/>
          <w:szCs w:val="20"/>
        </w:rPr>
        <w:instrText xml:space="preserve"> INCLUDETEXT  "E:\\TRUST GENERAL\\Public Utility Commission\\Annual reports\\Automation\\QtrRpt_PageValuesWA.xml" \n xmlns:ns1=\"ETO\" \x ns1:Root/ns1:Metrics/ns1:Energy/ns1:Yr/ns1:GasEff/ns1:Res/ns1:Nh  \* MERGEFORMAT </w:instrText>
      </w:r>
      <w:r w:rsidRPr="00E1455E">
        <w:rPr>
          <w:rFonts w:ascii="Arial" w:hAnsi="Arial" w:cs="Arial"/>
          <w:sz w:val="20"/>
          <w:szCs w:val="20"/>
        </w:rPr>
        <w:fldChar w:fldCharType="separate"/>
      </w:r>
      <w:r w:rsidR="009135D3" w:rsidRPr="00E1455E">
        <w:rPr>
          <w:rFonts w:ascii="Arial" w:hAnsi="Arial" w:cs="Arial"/>
          <w:sz w:val="20"/>
          <w:szCs w:val="20"/>
        </w:rPr>
        <w:t xml:space="preserve">69,545 </w:t>
      </w:r>
      <w:r w:rsidRPr="00E1455E">
        <w:rPr>
          <w:rFonts w:ascii="Arial" w:hAnsi="Arial" w:cs="Arial"/>
          <w:sz w:val="20"/>
          <w:szCs w:val="20"/>
        </w:rPr>
        <w:t xml:space="preserve">annual </w:t>
      </w:r>
      <w:proofErr w:type="spellStart"/>
      <w:r w:rsidRPr="00E1455E">
        <w:rPr>
          <w:rFonts w:ascii="Arial" w:hAnsi="Arial" w:cs="Arial"/>
          <w:sz w:val="20"/>
          <w:szCs w:val="20"/>
        </w:rPr>
        <w:t>therms</w:t>
      </w:r>
      <w:proofErr w:type="spellEnd"/>
      <w:r w:rsidRPr="00E1455E">
        <w:rPr>
          <w:rFonts w:ascii="Arial" w:hAnsi="Arial" w:cs="Arial"/>
          <w:sz w:val="20"/>
          <w:szCs w:val="20"/>
        </w:rPr>
        <w:fldChar w:fldCharType="end"/>
      </w:r>
      <w:r w:rsidRPr="00FB72A3">
        <w:rPr>
          <w:rFonts w:ascii="Arial" w:hAnsi="Arial" w:cs="Arial"/>
          <w:sz w:val="20"/>
          <w:szCs w:val="20"/>
        </w:rPr>
        <w:t xml:space="preserve"> in New Homes</w:t>
      </w:r>
      <w:r w:rsidR="004417FA">
        <w:rPr>
          <w:rFonts w:ascii="Arial" w:hAnsi="Arial" w:cs="Arial"/>
          <w:sz w:val="20"/>
          <w:szCs w:val="20"/>
        </w:rPr>
        <w:t xml:space="preserve"> programs</w:t>
      </w:r>
      <w:r w:rsidRPr="00FB72A3">
        <w:rPr>
          <w:rFonts w:ascii="Arial" w:hAnsi="Arial" w:cs="Arial"/>
          <w:sz w:val="20"/>
          <w:szCs w:val="20"/>
        </w:rPr>
        <w:t xml:space="preserve">. </w:t>
      </w:r>
    </w:p>
    <w:p w14:paraId="5DB4258A" w14:textId="77777777" w:rsidR="00E377F4" w:rsidRDefault="006C0590" w:rsidP="00E377F4">
      <w:pPr>
        <w:pStyle w:val="ListParagraph"/>
        <w:numPr>
          <w:ilvl w:val="0"/>
          <w:numId w:val="5"/>
        </w:numPr>
        <w:spacing w:line="300" w:lineRule="auto"/>
        <w:ind w:right="720"/>
        <w:rPr>
          <w:rFonts w:ascii="Arial" w:hAnsi="Arial" w:cs="Arial"/>
          <w:sz w:val="20"/>
          <w:szCs w:val="20"/>
        </w:rPr>
      </w:pPr>
      <w:r w:rsidRPr="007B4C66">
        <w:rPr>
          <w:rFonts w:ascii="Arial" w:hAnsi="Arial" w:cs="Arial"/>
          <w:b/>
          <w:sz w:val="20"/>
          <w:szCs w:val="20"/>
        </w:rPr>
        <w:t>Total 201</w:t>
      </w:r>
      <w:r w:rsidR="00527210">
        <w:rPr>
          <w:rFonts w:ascii="Arial" w:hAnsi="Arial" w:cs="Arial"/>
          <w:b/>
          <w:sz w:val="20"/>
          <w:szCs w:val="20"/>
        </w:rPr>
        <w:t>5</w:t>
      </w:r>
      <w:r w:rsidRPr="007B4C66">
        <w:rPr>
          <w:rFonts w:ascii="Arial" w:hAnsi="Arial" w:cs="Arial"/>
          <w:b/>
          <w:sz w:val="20"/>
          <w:szCs w:val="20"/>
        </w:rPr>
        <w:t xml:space="preserve"> savings were </w:t>
      </w:r>
      <w:r w:rsidRPr="00FA3004">
        <w:rPr>
          <w:rFonts w:ascii="Arial" w:hAnsi="Arial" w:cs="Arial"/>
          <w:b/>
          <w:sz w:val="20"/>
          <w:szCs w:val="20"/>
        </w:rPr>
        <w:t xml:space="preserve">approximately </w:t>
      </w:r>
      <w:r w:rsidR="00F23203" w:rsidRPr="00E1455E">
        <w:rPr>
          <w:rFonts w:ascii="Arial" w:hAnsi="Arial" w:cs="Arial"/>
          <w:b/>
          <w:sz w:val="20"/>
          <w:szCs w:val="20"/>
        </w:rPr>
        <w:t>78</w:t>
      </w:r>
      <w:r w:rsidRPr="00E1455E">
        <w:rPr>
          <w:rFonts w:ascii="Arial" w:hAnsi="Arial" w:cs="Arial"/>
          <w:b/>
          <w:sz w:val="20"/>
          <w:szCs w:val="20"/>
        </w:rPr>
        <w:t xml:space="preserve"> percent</w:t>
      </w:r>
      <w:r w:rsidRPr="00FB72A3">
        <w:rPr>
          <w:rFonts w:ascii="Arial" w:hAnsi="Arial" w:cs="Arial"/>
          <w:b/>
          <w:sz w:val="20"/>
          <w:szCs w:val="20"/>
        </w:rPr>
        <w:t xml:space="preserve"> </w:t>
      </w:r>
      <w:r w:rsidRPr="00FA3004">
        <w:rPr>
          <w:rFonts w:ascii="Arial" w:hAnsi="Arial" w:cs="Arial"/>
          <w:b/>
          <w:sz w:val="20"/>
          <w:szCs w:val="20"/>
        </w:rPr>
        <w:t xml:space="preserve">of </w:t>
      </w:r>
      <w:r w:rsidR="00E260FE">
        <w:rPr>
          <w:rFonts w:ascii="Arial" w:hAnsi="Arial" w:cs="Arial"/>
          <w:b/>
          <w:sz w:val="20"/>
          <w:szCs w:val="20"/>
        </w:rPr>
        <w:t>Energy Trust’s</w:t>
      </w:r>
      <w:r w:rsidR="00E260FE" w:rsidRPr="00FA3004">
        <w:rPr>
          <w:rFonts w:ascii="Arial" w:hAnsi="Arial" w:cs="Arial"/>
          <w:b/>
          <w:sz w:val="20"/>
          <w:szCs w:val="20"/>
        </w:rPr>
        <w:t xml:space="preserve"> </w:t>
      </w:r>
      <w:r w:rsidRPr="00FA3004">
        <w:rPr>
          <w:rFonts w:ascii="Arial" w:hAnsi="Arial" w:cs="Arial"/>
          <w:b/>
          <w:sz w:val="20"/>
          <w:szCs w:val="20"/>
        </w:rPr>
        <w:t>201</w:t>
      </w:r>
      <w:r w:rsidR="00527210">
        <w:rPr>
          <w:rFonts w:ascii="Arial" w:hAnsi="Arial" w:cs="Arial"/>
          <w:b/>
          <w:sz w:val="20"/>
          <w:szCs w:val="20"/>
        </w:rPr>
        <w:t>5</w:t>
      </w:r>
      <w:r w:rsidRPr="00FA3004">
        <w:rPr>
          <w:rFonts w:ascii="Arial" w:hAnsi="Arial" w:cs="Arial"/>
          <w:b/>
          <w:sz w:val="20"/>
          <w:szCs w:val="20"/>
        </w:rPr>
        <w:t xml:space="preserve"> goal</w:t>
      </w:r>
      <w:r w:rsidRPr="007B4C66">
        <w:rPr>
          <w:rFonts w:ascii="Arial" w:hAnsi="Arial" w:cs="Arial"/>
          <w:sz w:val="20"/>
          <w:szCs w:val="20"/>
        </w:rPr>
        <w:t xml:space="preserve"> of </w:t>
      </w:r>
      <w:r w:rsidR="00F23203" w:rsidRPr="00E1455E">
        <w:rPr>
          <w:rFonts w:ascii="Arial" w:hAnsi="Arial" w:cs="Arial"/>
          <w:sz w:val="20"/>
          <w:szCs w:val="20"/>
        </w:rPr>
        <w:t>257,063</w:t>
      </w:r>
      <w:r w:rsidRPr="00E1455E">
        <w:rPr>
          <w:rFonts w:ascii="Arial" w:hAnsi="Arial" w:cs="Arial"/>
          <w:sz w:val="20"/>
          <w:szCs w:val="20"/>
        </w:rPr>
        <w:t xml:space="preserve"> </w:t>
      </w:r>
      <w:proofErr w:type="spellStart"/>
      <w:r w:rsidRPr="00E1455E">
        <w:rPr>
          <w:rFonts w:ascii="Arial" w:hAnsi="Arial" w:cs="Arial"/>
          <w:sz w:val="20"/>
          <w:szCs w:val="20"/>
        </w:rPr>
        <w:t>therms</w:t>
      </w:r>
      <w:proofErr w:type="spellEnd"/>
      <w:r w:rsidR="00E260FE">
        <w:rPr>
          <w:rFonts w:ascii="Arial" w:hAnsi="Arial" w:cs="Arial"/>
          <w:sz w:val="20"/>
          <w:szCs w:val="20"/>
        </w:rPr>
        <w:t xml:space="preserve">, which roughly aligns with NW Natural’s stretch performance measure of 259,895 </w:t>
      </w:r>
      <w:proofErr w:type="spellStart"/>
      <w:r w:rsidR="00E260FE">
        <w:rPr>
          <w:rFonts w:ascii="Arial" w:hAnsi="Arial" w:cs="Arial"/>
          <w:sz w:val="20"/>
          <w:szCs w:val="20"/>
        </w:rPr>
        <w:t>therms</w:t>
      </w:r>
      <w:proofErr w:type="spellEnd"/>
      <w:r w:rsidRPr="007B4C66">
        <w:rPr>
          <w:rFonts w:ascii="Arial" w:hAnsi="Arial" w:cs="Arial"/>
          <w:sz w:val="20"/>
          <w:szCs w:val="20"/>
        </w:rPr>
        <w:t xml:space="preserve"> as detailed in NW Natural’s 201</w:t>
      </w:r>
      <w:r w:rsidR="00527210">
        <w:rPr>
          <w:rFonts w:ascii="Arial" w:hAnsi="Arial" w:cs="Arial"/>
          <w:sz w:val="20"/>
          <w:szCs w:val="20"/>
        </w:rPr>
        <w:t>5</w:t>
      </w:r>
      <w:r w:rsidRPr="007B4C66">
        <w:rPr>
          <w:rFonts w:ascii="Arial" w:hAnsi="Arial" w:cs="Arial"/>
          <w:sz w:val="20"/>
          <w:szCs w:val="20"/>
        </w:rPr>
        <w:t xml:space="preserve"> Energy Efficiency Plan. </w:t>
      </w:r>
    </w:p>
    <w:p w14:paraId="4D73C6E5" w14:textId="0B83993A" w:rsidR="002675F3" w:rsidRDefault="004C1D80" w:rsidP="00E377F4">
      <w:pPr>
        <w:pStyle w:val="ListParagraph"/>
        <w:numPr>
          <w:ilvl w:val="0"/>
          <w:numId w:val="5"/>
        </w:numPr>
        <w:spacing w:line="300" w:lineRule="auto"/>
        <w:ind w:right="720"/>
        <w:rPr>
          <w:rFonts w:ascii="Arial" w:hAnsi="Arial" w:cs="Arial"/>
          <w:sz w:val="20"/>
          <w:szCs w:val="20"/>
        </w:rPr>
      </w:pPr>
      <w:r w:rsidRPr="00E377F4">
        <w:rPr>
          <w:rFonts w:ascii="Arial" w:hAnsi="Arial" w:cs="Arial"/>
          <w:b/>
          <w:sz w:val="20"/>
          <w:szCs w:val="20"/>
        </w:rPr>
        <w:t xml:space="preserve">While residential programs exceeded goals, the Existing Buildings program fell short of </w:t>
      </w:r>
      <w:r w:rsidR="00ED7C5B">
        <w:rPr>
          <w:rFonts w:ascii="Arial" w:hAnsi="Arial" w:cs="Arial"/>
          <w:b/>
          <w:sz w:val="20"/>
          <w:szCs w:val="20"/>
        </w:rPr>
        <w:t xml:space="preserve">its </w:t>
      </w:r>
      <w:r w:rsidRPr="00E377F4">
        <w:rPr>
          <w:rFonts w:ascii="Arial" w:hAnsi="Arial" w:cs="Arial"/>
          <w:b/>
          <w:sz w:val="20"/>
          <w:szCs w:val="20"/>
        </w:rPr>
        <w:t>goal</w:t>
      </w:r>
      <w:r w:rsidRPr="00E377F4">
        <w:rPr>
          <w:rFonts w:ascii="Arial" w:hAnsi="Arial" w:cs="Arial"/>
          <w:sz w:val="20"/>
          <w:szCs w:val="20"/>
        </w:rPr>
        <w:t>. With a small portfolio of savings in Washington, delay of just a few large projects can have a big influence on annual savings. This was the case in 2015 as several large custom Existing Buildings projects were delayed to 2016, and custom projects that did complete in 2015 were small</w:t>
      </w:r>
      <w:r w:rsidR="00196124" w:rsidRPr="00E377F4">
        <w:rPr>
          <w:rFonts w:ascii="Arial" w:hAnsi="Arial" w:cs="Arial"/>
          <w:sz w:val="20"/>
          <w:szCs w:val="20"/>
        </w:rPr>
        <w:t>er</w:t>
      </w:r>
      <w:r w:rsidRPr="00E377F4">
        <w:rPr>
          <w:rFonts w:ascii="Arial" w:hAnsi="Arial" w:cs="Arial"/>
          <w:sz w:val="20"/>
          <w:szCs w:val="20"/>
        </w:rPr>
        <w:t xml:space="preserve"> and saved less energy than expected. In addition, few prescriptive projects were completed, which could indicate that incentive</w:t>
      </w:r>
      <w:r w:rsidR="00196124" w:rsidRPr="00E377F4">
        <w:rPr>
          <w:rFonts w:ascii="Arial" w:hAnsi="Arial" w:cs="Arial"/>
          <w:sz w:val="20"/>
          <w:szCs w:val="20"/>
        </w:rPr>
        <w:t xml:space="preserve"> level</w:t>
      </w:r>
      <w:r w:rsidRPr="00E377F4">
        <w:rPr>
          <w:rFonts w:ascii="Arial" w:hAnsi="Arial" w:cs="Arial"/>
          <w:sz w:val="20"/>
          <w:szCs w:val="20"/>
        </w:rPr>
        <w:t>s were not high enough to spur customer action.</w:t>
      </w:r>
    </w:p>
    <w:p w14:paraId="04E547BD" w14:textId="395C01D3" w:rsidR="00ED7C5B" w:rsidRDefault="00ED7C5B" w:rsidP="00E377F4">
      <w:pPr>
        <w:pStyle w:val="ListParagraph"/>
        <w:numPr>
          <w:ilvl w:val="0"/>
          <w:numId w:val="5"/>
        </w:numPr>
        <w:spacing w:line="300" w:lineRule="auto"/>
        <w:ind w:right="720"/>
        <w:rPr>
          <w:rFonts w:ascii="Arial" w:hAnsi="Arial" w:cs="Arial"/>
          <w:sz w:val="20"/>
          <w:szCs w:val="20"/>
        </w:rPr>
      </w:pPr>
      <w:r>
        <w:rPr>
          <w:rFonts w:ascii="Arial" w:hAnsi="Arial" w:cs="Arial"/>
          <w:b/>
          <w:sz w:val="20"/>
          <w:szCs w:val="20"/>
        </w:rPr>
        <w:t xml:space="preserve">The shortfall in Existing Buildings savings negatively impacted other performance </w:t>
      </w:r>
      <w:r w:rsidRPr="00C51E4D">
        <w:rPr>
          <w:rFonts w:ascii="Arial" w:hAnsi="Arial" w:cs="Arial"/>
          <w:sz w:val="20"/>
          <w:szCs w:val="20"/>
        </w:rPr>
        <w:t>metrics</w:t>
      </w:r>
      <w:r>
        <w:rPr>
          <w:rFonts w:ascii="Arial" w:hAnsi="Arial" w:cs="Arial"/>
          <w:sz w:val="20"/>
          <w:szCs w:val="20"/>
        </w:rPr>
        <w:t xml:space="preserve">, which are calculated based on energy savings. </w:t>
      </w:r>
      <w:r w:rsidR="00C51E4D">
        <w:rPr>
          <w:rFonts w:ascii="Arial" w:hAnsi="Arial" w:cs="Arial"/>
          <w:sz w:val="20"/>
          <w:szCs w:val="20"/>
        </w:rPr>
        <w:t xml:space="preserve">Energy Trust spent $6.82 per </w:t>
      </w:r>
      <w:proofErr w:type="spellStart"/>
      <w:r w:rsidR="00C51E4D">
        <w:rPr>
          <w:rFonts w:ascii="Arial" w:hAnsi="Arial" w:cs="Arial"/>
          <w:sz w:val="20"/>
          <w:szCs w:val="20"/>
        </w:rPr>
        <w:t>therm</w:t>
      </w:r>
      <w:proofErr w:type="spellEnd"/>
      <w:r w:rsidR="00C51E4D">
        <w:rPr>
          <w:rFonts w:ascii="Arial" w:hAnsi="Arial" w:cs="Arial"/>
          <w:sz w:val="20"/>
          <w:szCs w:val="20"/>
        </w:rPr>
        <w:t xml:space="preserve"> saved, falling short of the dollars spent per </w:t>
      </w:r>
      <w:proofErr w:type="spellStart"/>
      <w:r w:rsidR="00C51E4D">
        <w:rPr>
          <w:rFonts w:ascii="Arial" w:hAnsi="Arial" w:cs="Arial"/>
          <w:sz w:val="20"/>
          <w:szCs w:val="20"/>
        </w:rPr>
        <w:t>therm</w:t>
      </w:r>
      <w:proofErr w:type="spellEnd"/>
      <w:r w:rsidR="00C51E4D">
        <w:rPr>
          <w:rFonts w:ascii="Arial" w:hAnsi="Arial" w:cs="Arial"/>
          <w:sz w:val="20"/>
          <w:szCs w:val="20"/>
        </w:rPr>
        <w:t xml:space="preserve"> saved metric of less than $6.50. </w:t>
      </w:r>
    </w:p>
    <w:p w14:paraId="063D95F1" w14:textId="4CBF5C0A" w:rsidR="00CE5AD6" w:rsidRDefault="00C60203" w:rsidP="00C60203">
      <w:pPr>
        <w:pStyle w:val="Default"/>
        <w:numPr>
          <w:ilvl w:val="0"/>
          <w:numId w:val="5"/>
        </w:numPr>
        <w:spacing w:line="300" w:lineRule="auto"/>
        <w:rPr>
          <w:sz w:val="20"/>
          <w:szCs w:val="20"/>
        </w:rPr>
      </w:pPr>
      <w:r w:rsidRPr="00C60203">
        <w:rPr>
          <w:b/>
          <w:sz w:val="20"/>
          <w:szCs w:val="20"/>
        </w:rPr>
        <w:t>To spur business customers to invest in energy-efficiency upgrades,</w:t>
      </w:r>
      <w:r>
        <w:rPr>
          <w:b/>
          <w:sz w:val="20"/>
          <w:szCs w:val="20"/>
        </w:rPr>
        <w:t xml:space="preserve"> Existing Buildings increased incentives for custom projects in 2015</w:t>
      </w:r>
      <w:r>
        <w:rPr>
          <w:sz w:val="20"/>
          <w:szCs w:val="20"/>
        </w:rPr>
        <w:t>. Incentives were increased</w:t>
      </w:r>
      <w:r w:rsidRPr="002F7914">
        <w:rPr>
          <w:sz w:val="20"/>
          <w:szCs w:val="20"/>
        </w:rPr>
        <w:t xml:space="preserve"> from $2.00 per </w:t>
      </w:r>
      <w:proofErr w:type="spellStart"/>
      <w:r w:rsidRPr="002F7914">
        <w:rPr>
          <w:sz w:val="20"/>
          <w:szCs w:val="20"/>
        </w:rPr>
        <w:t>therm</w:t>
      </w:r>
      <w:proofErr w:type="spellEnd"/>
      <w:r w:rsidRPr="002F7914">
        <w:rPr>
          <w:sz w:val="20"/>
          <w:szCs w:val="20"/>
        </w:rPr>
        <w:t xml:space="preserve"> capped at 60 percent of eligible project cost to $2.50 per </w:t>
      </w:r>
      <w:proofErr w:type="spellStart"/>
      <w:r w:rsidRPr="002F7914">
        <w:rPr>
          <w:sz w:val="20"/>
          <w:szCs w:val="20"/>
        </w:rPr>
        <w:t>therm</w:t>
      </w:r>
      <w:proofErr w:type="spellEnd"/>
      <w:r w:rsidRPr="002F7914">
        <w:rPr>
          <w:sz w:val="20"/>
          <w:szCs w:val="20"/>
        </w:rPr>
        <w:t xml:space="preserve"> capped at 70 percent of eligible project cost. While not enough to achieve goal in 2015, increasing incentives helped develop a strong pipeline of </w:t>
      </w:r>
      <w:r w:rsidR="003D2175">
        <w:rPr>
          <w:sz w:val="20"/>
          <w:szCs w:val="20"/>
        </w:rPr>
        <w:t xml:space="preserve">six custom </w:t>
      </w:r>
      <w:r w:rsidRPr="002F7914">
        <w:rPr>
          <w:sz w:val="20"/>
          <w:szCs w:val="20"/>
        </w:rPr>
        <w:t>projects</w:t>
      </w:r>
      <w:r w:rsidR="003D2175">
        <w:rPr>
          <w:sz w:val="20"/>
          <w:szCs w:val="20"/>
        </w:rPr>
        <w:t xml:space="preserve"> </w:t>
      </w:r>
      <w:r w:rsidRPr="002F7914">
        <w:rPr>
          <w:sz w:val="20"/>
          <w:szCs w:val="20"/>
        </w:rPr>
        <w:t>expected to complete in 2016.</w:t>
      </w:r>
      <w:r>
        <w:rPr>
          <w:sz w:val="20"/>
          <w:szCs w:val="20"/>
        </w:rPr>
        <w:t xml:space="preserve"> Incentives were further increased in Q1 2016 to </w:t>
      </w:r>
      <w:r w:rsidR="003D2175">
        <w:rPr>
          <w:sz w:val="20"/>
          <w:szCs w:val="20"/>
        </w:rPr>
        <w:t xml:space="preserve">spur customer participation and </w:t>
      </w:r>
      <w:r>
        <w:rPr>
          <w:sz w:val="20"/>
          <w:szCs w:val="20"/>
        </w:rPr>
        <w:t>help ensure achievement of 2016 goals.</w:t>
      </w:r>
      <w:r w:rsidR="003D2175">
        <w:rPr>
          <w:sz w:val="20"/>
          <w:szCs w:val="20"/>
        </w:rPr>
        <w:t xml:space="preserve"> Reduced demand for commercial gas projects was widespread and consistent with low gas savings for </w:t>
      </w:r>
      <w:proofErr w:type="gramStart"/>
      <w:r w:rsidR="003D2175">
        <w:rPr>
          <w:sz w:val="20"/>
          <w:szCs w:val="20"/>
        </w:rPr>
        <w:t>Existing Buildings</w:t>
      </w:r>
      <w:proofErr w:type="gramEnd"/>
      <w:r w:rsidR="003D2175">
        <w:rPr>
          <w:sz w:val="20"/>
          <w:szCs w:val="20"/>
        </w:rPr>
        <w:t xml:space="preserve"> customers in Oregon. </w:t>
      </w:r>
    </w:p>
    <w:p w14:paraId="69C3C0E5" w14:textId="2FEE3D98" w:rsidR="006C0590" w:rsidRDefault="006C0590" w:rsidP="003D2175">
      <w:pPr>
        <w:pStyle w:val="Default"/>
        <w:numPr>
          <w:ilvl w:val="0"/>
          <w:numId w:val="5"/>
        </w:numPr>
        <w:spacing w:line="300" w:lineRule="auto"/>
        <w:rPr>
          <w:sz w:val="20"/>
        </w:rPr>
      </w:pPr>
      <w:r>
        <w:rPr>
          <w:sz w:val="20"/>
        </w:rPr>
        <w:br w:type="page"/>
      </w:r>
    </w:p>
    <w:p w14:paraId="15CBEFE7" w14:textId="77777777" w:rsidR="006C0590" w:rsidRPr="000C7C13" w:rsidRDefault="006C0590" w:rsidP="007F7088">
      <w:pPr>
        <w:pStyle w:val="ListParagraph"/>
        <w:numPr>
          <w:ilvl w:val="0"/>
          <w:numId w:val="6"/>
        </w:numPr>
        <w:spacing w:line="300" w:lineRule="auto"/>
        <w:ind w:left="360"/>
        <w:outlineLvl w:val="0"/>
        <w:rPr>
          <w:rFonts w:ascii="Arial" w:hAnsi="Arial" w:cs="Arial"/>
          <w:b/>
        </w:rPr>
      </w:pPr>
      <w:r w:rsidRPr="000C7C13">
        <w:rPr>
          <w:rFonts w:ascii="Arial" w:hAnsi="Arial" w:cs="Arial"/>
          <w:b/>
        </w:rPr>
        <w:lastRenderedPageBreak/>
        <w:t>Washington Utilities and Transportation Commission performance metrics</w:t>
      </w:r>
    </w:p>
    <w:p w14:paraId="4BBF3B2C" w14:textId="19433BB2" w:rsidR="006C0590" w:rsidRPr="00680880" w:rsidRDefault="006C0590" w:rsidP="007F7088">
      <w:pPr>
        <w:spacing w:line="300" w:lineRule="auto"/>
        <w:outlineLvl w:val="0"/>
        <w:rPr>
          <w:rFonts w:cs="Arial"/>
          <w:iCs/>
          <w:sz w:val="20"/>
        </w:rPr>
      </w:pPr>
      <w:r w:rsidRPr="00680880">
        <w:rPr>
          <w:rFonts w:cs="Arial"/>
          <w:iCs/>
          <w:sz w:val="20"/>
        </w:rPr>
        <w:t>The table below compares 201</w:t>
      </w:r>
      <w:r w:rsidR="00527210">
        <w:rPr>
          <w:rFonts w:cs="Arial"/>
          <w:iCs/>
          <w:sz w:val="20"/>
        </w:rPr>
        <w:t>5</w:t>
      </w:r>
      <w:r w:rsidRPr="00680880">
        <w:rPr>
          <w:rFonts w:cs="Arial"/>
          <w:iCs/>
          <w:sz w:val="20"/>
        </w:rPr>
        <w:t xml:space="preserve"> annual results to 201</w:t>
      </w:r>
      <w:r w:rsidR="00527210">
        <w:rPr>
          <w:rFonts w:cs="Arial"/>
          <w:iCs/>
          <w:sz w:val="20"/>
        </w:rPr>
        <w:t>5</w:t>
      </w:r>
      <w:r w:rsidRPr="00680880">
        <w:rPr>
          <w:rFonts w:cs="Arial"/>
          <w:iCs/>
          <w:sz w:val="20"/>
        </w:rPr>
        <w:t xml:space="preserve"> goals, as established in NW Natural’s Energy Efficie</w:t>
      </w:r>
      <w:r w:rsidR="002611E8">
        <w:rPr>
          <w:rFonts w:cs="Arial"/>
          <w:iCs/>
          <w:sz w:val="20"/>
        </w:rPr>
        <w:t>ncy Plan for Washington (approved</w:t>
      </w:r>
      <w:r w:rsidRPr="00680880">
        <w:rPr>
          <w:rFonts w:cs="Arial"/>
          <w:iCs/>
          <w:sz w:val="20"/>
        </w:rPr>
        <w:t xml:space="preserve"> December 201</w:t>
      </w:r>
      <w:r w:rsidR="004417FA">
        <w:rPr>
          <w:rFonts w:cs="Arial"/>
          <w:iCs/>
          <w:sz w:val="20"/>
        </w:rPr>
        <w:t>4</w:t>
      </w:r>
      <w:r w:rsidRPr="00680880">
        <w:rPr>
          <w:rFonts w:cs="Arial"/>
          <w:iCs/>
          <w:sz w:val="20"/>
        </w:rPr>
        <w:t xml:space="preserve">). </w:t>
      </w:r>
    </w:p>
    <w:p w14:paraId="024DE10D" w14:textId="77777777" w:rsidR="006C0590" w:rsidRPr="00680880" w:rsidRDefault="006C0590" w:rsidP="007F7088">
      <w:pPr>
        <w:spacing w:line="300" w:lineRule="auto"/>
        <w:outlineLvl w:val="0"/>
        <w:rPr>
          <w:rFonts w:cs="Arial"/>
          <w:iCs/>
          <w:sz w:val="20"/>
        </w:rPr>
      </w:pPr>
    </w:p>
    <w:p w14:paraId="00BF6FF1" w14:textId="666D2AE7" w:rsidR="006C0590" w:rsidRPr="00680880" w:rsidRDefault="006C0590" w:rsidP="007F7088">
      <w:pPr>
        <w:spacing w:line="300" w:lineRule="auto"/>
        <w:outlineLvl w:val="0"/>
        <w:rPr>
          <w:rFonts w:cs="Arial"/>
          <w:b/>
          <w:iCs/>
          <w:sz w:val="20"/>
        </w:rPr>
      </w:pPr>
      <w:r w:rsidRPr="00E1455E">
        <w:rPr>
          <w:rFonts w:cs="Arial"/>
          <w:b/>
          <w:iCs/>
          <w:sz w:val="20"/>
        </w:rPr>
        <w:t>201</w:t>
      </w:r>
      <w:r w:rsidR="00527210" w:rsidRPr="00E1455E">
        <w:rPr>
          <w:rFonts w:cs="Arial"/>
          <w:b/>
          <w:iCs/>
          <w:sz w:val="20"/>
        </w:rPr>
        <w:t>5</w:t>
      </w:r>
      <w:r w:rsidRPr="00E1455E">
        <w:rPr>
          <w:rFonts w:cs="Arial"/>
          <w:b/>
          <w:iCs/>
          <w:sz w:val="20"/>
        </w:rPr>
        <w:t xml:space="preserve"> results compared to goals</w:t>
      </w:r>
      <w:r w:rsidR="00D45889" w:rsidRPr="00D45889">
        <w:rPr>
          <w:rStyle w:val="FootnoteReference"/>
          <w:rFonts w:cs="Arial"/>
          <w:b/>
          <w:iCs/>
          <w:sz w:val="20"/>
        </w:rPr>
        <w:footnoteReference w:id="2"/>
      </w:r>
      <w:r w:rsidR="00D45889" w:rsidRPr="00D45889">
        <w:rPr>
          <w:rFonts w:cs="Arial"/>
          <w:b/>
          <w:iCs/>
          <w:sz w:val="20"/>
          <w:vertAlign w:val="superscript"/>
        </w:rPr>
        <w:t>,</w:t>
      </w:r>
      <w:r w:rsidR="00D45889">
        <w:rPr>
          <w:rStyle w:val="FootnoteReference"/>
          <w:rFonts w:cs="Arial"/>
          <w:b/>
          <w:iCs/>
          <w:sz w:val="20"/>
        </w:rPr>
        <w:footnoteReference w:id="3"/>
      </w:r>
      <w:r w:rsidR="0078270B">
        <w:rPr>
          <w:rFonts w:cs="Arial"/>
          <w:b/>
          <w:iCs/>
          <w:sz w:val="20"/>
        </w:rPr>
        <w:t xml:space="preserve"> </w:t>
      </w:r>
      <w:r w:rsidR="00D302BB" w:rsidRPr="00D302BB">
        <w:rPr>
          <w:noProof/>
        </w:rPr>
        <w:drawing>
          <wp:inline distT="0" distB="0" distL="0" distR="0" wp14:anchorId="0A3BA904" wp14:editId="4EF0BEE5">
            <wp:extent cx="57054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9195" cy="1858586"/>
                    </a:xfrm>
                    <a:prstGeom prst="rect">
                      <a:avLst/>
                    </a:prstGeom>
                    <a:noFill/>
                    <a:ln>
                      <a:noFill/>
                    </a:ln>
                  </pic:spPr>
                </pic:pic>
              </a:graphicData>
            </a:graphic>
          </wp:inline>
        </w:drawing>
      </w:r>
    </w:p>
    <w:p w14:paraId="4B361737" w14:textId="77777777" w:rsidR="006C0590" w:rsidRPr="00680880" w:rsidRDefault="006C0590" w:rsidP="007F7088">
      <w:pPr>
        <w:spacing w:line="300" w:lineRule="auto"/>
        <w:outlineLvl w:val="0"/>
        <w:rPr>
          <w:rFonts w:cs="Arial"/>
          <w:b/>
          <w:iCs/>
          <w:sz w:val="20"/>
        </w:rPr>
      </w:pPr>
    </w:p>
    <w:p w14:paraId="75257F53" w14:textId="3DD50754" w:rsidR="006C0590" w:rsidRPr="007E3532" w:rsidRDefault="006C0590" w:rsidP="007F7088">
      <w:pPr>
        <w:spacing w:line="300" w:lineRule="auto"/>
        <w:outlineLvl w:val="0"/>
        <w:rPr>
          <w:rFonts w:cs="Arial"/>
          <w:iCs/>
          <w:sz w:val="20"/>
        </w:rPr>
      </w:pPr>
      <w:r w:rsidRPr="007E3532">
        <w:rPr>
          <w:rFonts w:cs="Arial"/>
          <w:b/>
          <w:iCs/>
          <w:sz w:val="20"/>
        </w:rPr>
        <w:t>201</w:t>
      </w:r>
      <w:r w:rsidR="005249C1">
        <w:rPr>
          <w:rFonts w:cs="Arial"/>
          <w:b/>
          <w:iCs/>
          <w:sz w:val="20"/>
        </w:rPr>
        <w:t>5</w:t>
      </w:r>
      <w:r w:rsidRPr="007E3532">
        <w:rPr>
          <w:rFonts w:cs="Arial"/>
          <w:b/>
          <w:iCs/>
          <w:sz w:val="20"/>
        </w:rPr>
        <w:t xml:space="preserve"> Utility Cost and </w:t>
      </w:r>
      <w:r>
        <w:rPr>
          <w:rFonts w:cs="Arial"/>
          <w:b/>
          <w:iCs/>
          <w:sz w:val="20"/>
        </w:rPr>
        <w:t xml:space="preserve">Total </w:t>
      </w:r>
      <w:r w:rsidRPr="007E3532">
        <w:rPr>
          <w:rFonts w:cs="Arial"/>
          <w:b/>
          <w:iCs/>
          <w:sz w:val="20"/>
        </w:rPr>
        <w:t xml:space="preserve">Resource </w:t>
      </w:r>
      <w:r>
        <w:rPr>
          <w:rFonts w:cs="Arial"/>
          <w:b/>
          <w:iCs/>
          <w:sz w:val="20"/>
        </w:rPr>
        <w:t>Cost benefit cost r</w:t>
      </w:r>
      <w:r w:rsidRPr="007E3532">
        <w:rPr>
          <w:rFonts w:cs="Arial"/>
          <w:b/>
          <w:iCs/>
          <w:sz w:val="20"/>
        </w:rPr>
        <w:t>atio</w:t>
      </w:r>
      <w:r>
        <w:rPr>
          <w:rFonts w:cs="Arial"/>
          <w:b/>
          <w:iCs/>
          <w:sz w:val="20"/>
        </w:rPr>
        <w:t>s</w:t>
      </w:r>
      <w:r w:rsidRPr="007E3532">
        <w:rPr>
          <w:rFonts w:cs="Arial"/>
          <w:b/>
          <w:iCs/>
          <w:sz w:val="20"/>
        </w:rPr>
        <w:t xml:space="preserve"> by program</w:t>
      </w:r>
      <w:r w:rsidR="00D45889" w:rsidRPr="00D45889">
        <w:rPr>
          <w:rFonts w:cs="Arial"/>
          <w:b/>
          <w:iCs/>
          <w:sz w:val="20"/>
          <w:vertAlign w:val="superscript"/>
        </w:rPr>
        <w:t>2</w:t>
      </w:r>
      <w:r w:rsidRPr="007E3532">
        <w:rPr>
          <w:rFonts w:cs="Arial"/>
          <w:iCs/>
          <w:sz w:val="20"/>
        </w:rPr>
        <w:t xml:space="preserve"> </w:t>
      </w:r>
    </w:p>
    <w:tbl>
      <w:tblPr>
        <w:tblW w:w="9360" w:type="dxa"/>
        <w:tblInd w:w="-10" w:type="dxa"/>
        <w:tblLook w:val="04A0" w:firstRow="1" w:lastRow="0" w:firstColumn="1" w:lastColumn="0" w:noHBand="0" w:noVBand="1"/>
      </w:tblPr>
      <w:tblGrid>
        <w:gridCol w:w="3600"/>
        <w:gridCol w:w="2985"/>
        <w:gridCol w:w="2775"/>
      </w:tblGrid>
      <w:tr w:rsidR="006C0590" w:rsidRPr="00DB5723" w14:paraId="7648720B" w14:textId="77777777" w:rsidTr="007F7088">
        <w:trPr>
          <w:trHeight w:val="340"/>
        </w:trPr>
        <w:tc>
          <w:tcPr>
            <w:tcW w:w="3600"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3A9284E5" w14:textId="77777777" w:rsidR="006C0590" w:rsidRPr="00DB5723" w:rsidRDefault="006C0590" w:rsidP="00F367C1">
            <w:pPr>
              <w:spacing w:line="300" w:lineRule="auto"/>
              <w:jc w:val="center"/>
              <w:rPr>
                <w:rFonts w:cs="Arial"/>
                <w:b/>
                <w:bCs/>
                <w:color w:val="000000"/>
                <w:sz w:val="18"/>
                <w:szCs w:val="18"/>
              </w:rPr>
            </w:pPr>
            <w:r w:rsidRPr="00DB5723">
              <w:rPr>
                <w:rFonts w:cs="Arial"/>
                <w:b/>
                <w:bCs/>
                <w:color w:val="000000"/>
                <w:sz w:val="18"/>
                <w:szCs w:val="18"/>
              </w:rPr>
              <w:t>Program</w:t>
            </w:r>
          </w:p>
        </w:tc>
        <w:tc>
          <w:tcPr>
            <w:tcW w:w="2985" w:type="dxa"/>
            <w:tcBorders>
              <w:top w:val="single" w:sz="8" w:space="0" w:color="auto"/>
              <w:left w:val="nil"/>
              <w:bottom w:val="single" w:sz="8" w:space="0" w:color="auto"/>
              <w:right w:val="single" w:sz="4" w:space="0" w:color="auto"/>
            </w:tcBorders>
            <w:shd w:val="clear" w:color="000000" w:fill="A6A6A6"/>
            <w:vAlign w:val="bottom"/>
            <w:hideMark/>
          </w:tcPr>
          <w:p w14:paraId="220114D8" w14:textId="77777777" w:rsidR="006C0590" w:rsidRDefault="006C0590" w:rsidP="00F367C1">
            <w:pPr>
              <w:spacing w:line="300" w:lineRule="auto"/>
              <w:jc w:val="center"/>
              <w:rPr>
                <w:rFonts w:cs="Arial"/>
                <w:b/>
                <w:bCs/>
                <w:color w:val="000000"/>
                <w:sz w:val="18"/>
                <w:szCs w:val="18"/>
              </w:rPr>
            </w:pPr>
            <w:r>
              <w:rPr>
                <w:rFonts w:cs="Arial"/>
                <w:b/>
                <w:bCs/>
                <w:color w:val="000000"/>
                <w:sz w:val="18"/>
                <w:szCs w:val="18"/>
              </w:rPr>
              <w:t>Utility Cost Test</w:t>
            </w:r>
          </w:p>
          <w:p w14:paraId="1E89592B" w14:textId="77777777" w:rsidR="006C0590" w:rsidRPr="00DB5723" w:rsidRDefault="006C0590" w:rsidP="00F367C1">
            <w:pPr>
              <w:spacing w:line="300" w:lineRule="auto"/>
              <w:jc w:val="center"/>
              <w:rPr>
                <w:rFonts w:cs="Arial"/>
                <w:b/>
                <w:bCs/>
                <w:color w:val="000000"/>
                <w:sz w:val="18"/>
                <w:szCs w:val="18"/>
              </w:rPr>
            </w:pPr>
            <w:r>
              <w:rPr>
                <w:rFonts w:cs="Arial"/>
                <w:b/>
                <w:bCs/>
                <w:color w:val="000000"/>
                <w:sz w:val="18"/>
                <w:szCs w:val="18"/>
              </w:rPr>
              <w:t>benefit cost ratio</w:t>
            </w:r>
          </w:p>
        </w:tc>
        <w:tc>
          <w:tcPr>
            <w:tcW w:w="2775" w:type="dxa"/>
            <w:tcBorders>
              <w:top w:val="single" w:sz="8" w:space="0" w:color="auto"/>
              <w:left w:val="nil"/>
              <w:bottom w:val="single" w:sz="8" w:space="0" w:color="auto"/>
              <w:right w:val="single" w:sz="8" w:space="0" w:color="auto"/>
            </w:tcBorders>
            <w:shd w:val="clear" w:color="000000" w:fill="A6A6A6"/>
            <w:vAlign w:val="bottom"/>
            <w:hideMark/>
          </w:tcPr>
          <w:p w14:paraId="162E9107" w14:textId="7FE2E0A9" w:rsidR="006C0590" w:rsidRDefault="006C0590" w:rsidP="00F367C1">
            <w:pPr>
              <w:spacing w:line="300" w:lineRule="auto"/>
              <w:jc w:val="center"/>
              <w:rPr>
                <w:rFonts w:cs="Arial"/>
                <w:b/>
                <w:bCs/>
                <w:color w:val="000000"/>
                <w:sz w:val="18"/>
                <w:szCs w:val="18"/>
              </w:rPr>
            </w:pPr>
            <w:r w:rsidRPr="00DB5723">
              <w:rPr>
                <w:rFonts w:cs="Arial"/>
                <w:b/>
                <w:bCs/>
                <w:color w:val="000000"/>
                <w:sz w:val="18"/>
                <w:szCs w:val="18"/>
              </w:rPr>
              <w:t xml:space="preserve">Total Resource </w:t>
            </w:r>
            <w:r>
              <w:rPr>
                <w:rFonts w:cs="Arial"/>
                <w:b/>
                <w:bCs/>
                <w:color w:val="000000"/>
                <w:sz w:val="18"/>
                <w:szCs w:val="18"/>
              </w:rPr>
              <w:t>Cost</w:t>
            </w:r>
          </w:p>
          <w:p w14:paraId="137E7B2F" w14:textId="1FF0AA6C" w:rsidR="006C0590" w:rsidRPr="00DB5723" w:rsidRDefault="00D66647" w:rsidP="00F367C1">
            <w:pPr>
              <w:spacing w:line="300" w:lineRule="auto"/>
              <w:jc w:val="center"/>
              <w:rPr>
                <w:rFonts w:cs="Arial"/>
                <w:b/>
                <w:bCs/>
                <w:color w:val="000000"/>
                <w:sz w:val="18"/>
                <w:szCs w:val="18"/>
              </w:rPr>
            </w:pPr>
            <w:r>
              <w:rPr>
                <w:rFonts w:cs="Arial"/>
                <w:b/>
                <w:bCs/>
                <w:color w:val="000000"/>
                <w:sz w:val="18"/>
                <w:szCs w:val="18"/>
              </w:rPr>
              <w:t>b</w:t>
            </w:r>
            <w:r w:rsidR="006C0590">
              <w:rPr>
                <w:rFonts w:cs="Arial"/>
                <w:b/>
                <w:bCs/>
                <w:color w:val="000000"/>
                <w:sz w:val="18"/>
                <w:szCs w:val="18"/>
              </w:rPr>
              <w:t>enefit cost r</w:t>
            </w:r>
            <w:r w:rsidR="006C0590" w:rsidRPr="00DB5723">
              <w:rPr>
                <w:rFonts w:cs="Arial"/>
                <w:b/>
                <w:bCs/>
                <w:color w:val="000000"/>
                <w:sz w:val="18"/>
                <w:szCs w:val="18"/>
              </w:rPr>
              <w:t>atio</w:t>
            </w:r>
          </w:p>
        </w:tc>
      </w:tr>
      <w:tr w:rsidR="005249C1" w:rsidRPr="00DB5723" w14:paraId="6FE8C7BB" w14:textId="77777777" w:rsidTr="00D302BB">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544C0422"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Existing Buildings</w:t>
            </w:r>
          </w:p>
        </w:tc>
        <w:tc>
          <w:tcPr>
            <w:tcW w:w="2985" w:type="dxa"/>
            <w:tcBorders>
              <w:top w:val="nil"/>
              <w:left w:val="nil"/>
              <w:bottom w:val="single" w:sz="8" w:space="0" w:color="auto"/>
              <w:right w:val="single" w:sz="8" w:space="0" w:color="auto"/>
            </w:tcBorders>
            <w:noWrap/>
            <w:vAlign w:val="center"/>
            <w:hideMark/>
          </w:tcPr>
          <w:p w14:paraId="03477B2D" w14:textId="266FEEE1" w:rsidR="005249C1" w:rsidRPr="00DB5723" w:rsidRDefault="005249C1" w:rsidP="005249C1">
            <w:pPr>
              <w:spacing w:line="300" w:lineRule="auto"/>
              <w:jc w:val="center"/>
              <w:rPr>
                <w:rFonts w:cs="Arial"/>
                <w:color w:val="000000"/>
                <w:sz w:val="18"/>
                <w:szCs w:val="18"/>
              </w:rPr>
            </w:pPr>
            <w:r>
              <w:rPr>
                <w:color w:val="000000"/>
                <w:sz w:val="18"/>
                <w:szCs w:val="18"/>
              </w:rPr>
              <w:t>0.8</w:t>
            </w:r>
          </w:p>
        </w:tc>
        <w:tc>
          <w:tcPr>
            <w:tcW w:w="2775" w:type="dxa"/>
            <w:tcBorders>
              <w:top w:val="nil"/>
              <w:left w:val="nil"/>
              <w:bottom w:val="single" w:sz="8" w:space="0" w:color="auto"/>
              <w:right w:val="single" w:sz="8" w:space="0" w:color="auto"/>
            </w:tcBorders>
            <w:noWrap/>
            <w:vAlign w:val="center"/>
            <w:hideMark/>
          </w:tcPr>
          <w:p w14:paraId="684D1342" w14:textId="7BED13CA" w:rsidR="005249C1" w:rsidRPr="00DB5723" w:rsidRDefault="005249C1" w:rsidP="005249C1">
            <w:pPr>
              <w:spacing w:line="300" w:lineRule="auto"/>
              <w:jc w:val="center"/>
              <w:rPr>
                <w:rFonts w:cs="Arial"/>
                <w:color w:val="000000"/>
                <w:sz w:val="18"/>
                <w:szCs w:val="18"/>
              </w:rPr>
            </w:pPr>
            <w:r>
              <w:rPr>
                <w:color w:val="000000"/>
                <w:sz w:val="18"/>
                <w:szCs w:val="18"/>
              </w:rPr>
              <w:t xml:space="preserve">0.8 </w:t>
            </w:r>
          </w:p>
        </w:tc>
      </w:tr>
      <w:tr w:rsidR="005249C1" w:rsidRPr="00DB5723" w14:paraId="25C5966C" w14:textId="77777777" w:rsidTr="00D302BB">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50435256"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Existing Homes</w:t>
            </w:r>
          </w:p>
        </w:tc>
        <w:tc>
          <w:tcPr>
            <w:tcW w:w="2985" w:type="dxa"/>
            <w:tcBorders>
              <w:top w:val="nil"/>
              <w:left w:val="nil"/>
              <w:bottom w:val="single" w:sz="8" w:space="0" w:color="auto"/>
              <w:right w:val="single" w:sz="8" w:space="0" w:color="auto"/>
            </w:tcBorders>
            <w:noWrap/>
            <w:vAlign w:val="center"/>
            <w:hideMark/>
          </w:tcPr>
          <w:p w14:paraId="41BA7B65" w14:textId="5FC0BAF2" w:rsidR="005249C1" w:rsidRPr="00DB5723" w:rsidRDefault="005249C1" w:rsidP="005249C1">
            <w:pPr>
              <w:spacing w:line="300" w:lineRule="auto"/>
              <w:jc w:val="center"/>
              <w:rPr>
                <w:rFonts w:cs="Arial"/>
                <w:color w:val="000000"/>
                <w:sz w:val="18"/>
                <w:szCs w:val="18"/>
              </w:rPr>
            </w:pPr>
            <w:r>
              <w:rPr>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2A1C967A" w14:textId="78EE0E59" w:rsidR="005249C1" w:rsidRPr="00DB5723" w:rsidRDefault="005249C1" w:rsidP="005249C1">
            <w:pPr>
              <w:spacing w:line="300" w:lineRule="auto"/>
              <w:jc w:val="center"/>
              <w:rPr>
                <w:rFonts w:cs="Arial"/>
                <w:color w:val="000000"/>
                <w:sz w:val="18"/>
                <w:szCs w:val="18"/>
              </w:rPr>
            </w:pPr>
            <w:r>
              <w:rPr>
                <w:color w:val="000000"/>
                <w:sz w:val="18"/>
                <w:szCs w:val="18"/>
              </w:rPr>
              <w:t xml:space="preserve">0.9 </w:t>
            </w:r>
          </w:p>
        </w:tc>
      </w:tr>
      <w:tr w:rsidR="005249C1" w:rsidRPr="00DB5723" w14:paraId="0E0F3134" w14:textId="77777777" w:rsidTr="00D302BB">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28286761"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 xml:space="preserve">New Homes </w:t>
            </w:r>
          </w:p>
        </w:tc>
        <w:tc>
          <w:tcPr>
            <w:tcW w:w="2985" w:type="dxa"/>
            <w:tcBorders>
              <w:top w:val="nil"/>
              <w:left w:val="nil"/>
              <w:bottom w:val="single" w:sz="8" w:space="0" w:color="auto"/>
              <w:right w:val="single" w:sz="8" w:space="0" w:color="auto"/>
            </w:tcBorders>
            <w:noWrap/>
            <w:vAlign w:val="center"/>
            <w:hideMark/>
          </w:tcPr>
          <w:p w14:paraId="3112CC48" w14:textId="223D5AC8" w:rsidR="005249C1" w:rsidRPr="00DB5723" w:rsidRDefault="005249C1" w:rsidP="005249C1">
            <w:pPr>
              <w:spacing w:line="300" w:lineRule="auto"/>
              <w:jc w:val="center"/>
              <w:rPr>
                <w:rFonts w:cs="Arial"/>
                <w:color w:val="000000"/>
                <w:sz w:val="18"/>
                <w:szCs w:val="18"/>
              </w:rPr>
            </w:pPr>
            <w:r>
              <w:rPr>
                <w:color w:val="000000"/>
                <w:sz w:val="18"/>
                <w:szCs w:val="18"/>
              </w:rPr>
              <w:t>1.1</w:t>
            </w:r>
          </w:p>
        </w:tc>
        <w:tc>
          <w:tcPr>
            <w:tcW w:w="2775" w:type="dxa"/>
            <w:tcBorders>
              <w:top w:val="nil"/>
              <w:left w:val="nil"/>
              <w:bottom w:val="single" w:sz="8" w:space="0" w:color="auto"/>
              <w:right w:val="single" w:sz="8" w:space="0" w:color="auto"/>
            </w:tcBorders>
            <w:noWrap/>
            <w:vAlign w:val="center"/>
            <w:hideMark/>
          </w:tcPr>
          <w:p w14:paraId="3933AA0B" w14:textId="5C9F4911" w:rsidR="005249C1" w:rsidRPr="00DB5723" w:rsidRDefault="005249C1" w:rsidP="005249C1">
            <w:pPr>
              <w:spacing w:line="300" w:lineRule="auto"/>
              <w:jc w:val="center"/>
              <w:rPr>
                <w:rFonts w:cs="Arial"/>
                <w:color w:val="000000"/>
                <w:sz w:val="18"/>
                <w:szCs w:val="18"/>
              </w:rPr>
            </w:pPr>
            <w:r>
              <w:rPr>
                <w:color w:val="000000"/>
                <w:sz w:val="18"/>
                <w:szCs w:val="18"/>
              </w:rPr>
              <w:t xml:space="preserve">0.8 </w:t>
            </w:r>
          </w:p>
        </w:tc>
      </w:tr>
      <w:tr w:rsidR="005249C1" w:rsidRPr="00DB5723" w14:paraId="348E445D" w14:textId="77777777" w:rsidTr="00D302BB">
        <w:trPr>
          <w:trHeight w:val="315"/>
        </w:trPr>
        <w:tc>
          <w:tcPr>
            <w:tcW w:w="36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7DF5D1F" w14:textId="77777777" w:rsidR="005249C1" w:rsidRPr="00DB5723" w:rsidRDefault="005249C1" w:rsidP="005249C1">
            <w:pPr>
              <w:spacing w:line="300" w:lineRule="auto"/>
              <w:rPr>
                <w:rFonts w:cs="Arial"/>
                <w:b/>
                <w:bCs/>
                <w:color w:val="000000"/>
                <w:sz w:val="18"/>
                <w:szCs w:val="18"/>
              </w:rPr>
            </w:pPr>
            <w:r w:rsidRPr="00DB5723">
              <w:rPr>
                <w:rFonts w:cs="Arial"/>
                <w:b/>
                <w:bCs/>
                <w:color w:val="000000"/>
                <w:sz w:val="18"/>
                <w:szCs w:val="18"/>
              </w:rPr>
              <w:t>Total</w:t>
            </w:r>
            <w:r>
              <w:rPr>
                <w:rFonts w:cs="Arial"/>
                <w:b/>
                <w:bCs/>
                <w:color w:val="000000"/>
                <w:sz w:val="18"/>
                <w:szCs w:val="18"/>
              </w:rPr>
              <w:t xml:space="preserve"> NW Natural Washington portfolio</w:t>
            </w:r>
          </w:p>
        </w:tc>
        <w:tc>
          <w:tcPr>
            <w:tcW w:w="2985" w:type="dxa"/>
            <w:tcBorders>
              <w:top w:val="nil"/>
              <w:left w:val="nil"/>
              <w:bottom w:val="single" w:sz="8" w:space="0" w:color="auto"/>
              <w:right w:val="single" w:sz="8" w:space="0" w:color="auto"/>
            </w:tcBorders>
            <w:noWrap/>
            <w:vAlign w:val="center"/>
            <w:hideMark/>
          </w:tcPr>
          <w:p w14:paraId="4F04682B" w14:textId="0C7CA59A" w:rsidR="005249C1" w:rsidRPr="00DB5723" w:rsidRDefault="005249C1" w:rsidP="005249C1">
            <w:pPr>
              <w:spacing w:line="300" w:lineRule="auto"/>
              <w:jc w:val="center"/>
              <w:rPr>
                <w:rFonts w:cs="Arial"/>
                <w:b/>
                <w:bCs/>
                <w:color w:val="000000"/>
                <w:sz w:val="18"/>
                <w:szCs w:val="18"/>
              </w:rPr>
            </w:pPr>
            <w:r>
              <w:rPr>
                <w:b/>
                <w:bCs/>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771D27D6" w14:textId="65C2FA99" w:rsidR="005249C1" w:rsidRPr="00DB5723" w:rsidRDefault="005249C1" w:rsidP="005249C1">
            <w:pPr>
              <w:spacing w:line="300" w:lineRule="auto"/>
              <w:jc w:val="center"/>
              <w:rPr>
                <w:rFonts w:cs="Arial"/>
                <w:b/>
                <w:bCs/>
                <w:color w:val="000000"/>
                <w:sz w:val="18"/>
                <w:szCs w:val="18"/>
              </w:rPr>
            </w:pPr>
            <w:r>
              <w:rPr>
                <w:b/>
                <w:bCs/>
                <w:color w:val="000000"/>
                <w:sz w:val="18"/>
                <w:szCs w:val="18"/>
              </w:rPr>
              <w:t xml:space="preserve">0.8 </w:t>
            </w:r>
          </w:p>
        </w:tc>
      </w:tr>
    </w:tbl>
    <w:p w14:paraId="50EC5F3E" w14:textId="77777777" w:rsidR="00D45889" w:rsidRPr="007E3532" w:rsidRDefault="00D45889" w:rsidP="007F7088">
      <w:pPr>
        <w:spacing w:line="300" w:lineRule="auto"/>
        <w:outlineLvl w:val="0"/>
        <w:rPr>
          <w:rFonts w:cs="Arial"/>
          <w:iCs/>
          <w:sz w:val="20"/>
        </w:rPr>
      </w:pPr>
    </w:p>
    <w:p w14:paraId="744FC3CC" w14:textId="75520169" w:rsidR="006C0590" w:rsidRPr="007E3532" w:rsidRDefault="006C0590" w:rsidP="007F7088">
      <w:pPr>
        <w:tabs>
          <w:tab w:val="center" w:pos="4680"/>
        </w:tabs>
        <w:spacing w:line="300" w:lineRule="auto"/>
        <w:outlineLvl w:val="0"/>
        <w:rPr>
          <w:rFonts w:cs="Arial"/>
          <w:b/>
          <w:iCs/>
          <w:sz w:val="20"/>
        </w:rPr>
      </w:pPr>
      <w:r w:rsidRPr="007E3532">
        <w:rPr>
          <w:rFonts w:cs="Arial"/>
          <w:b/>
          <w:iCs/>
          <w:sz w:val="20"/>
        </w:rPr>
        <w:t>201</w:t>
      </w:r>
      <w:r w:rsidR="005249C1">
        <w:rPr>
          <w:rFonts w:cs="Arial"/>
          <w:b/>
          <w:iCs/>
          <w:sz w:val="20"/>
        </w:rPr>
        <w:t>5</w:t>
      </w:r>
      <w:r w:rsidRPr="007E3532">
        <w:rPr>
          <w:rFonts w:cs="Arial"/>
          <w:b/>
          <w:iCs/>
          <w:sz w:val="20"/>
        </w:rPr>
        <w:t xml:space="preserve"> Total Utility Cost and </w:t>
      </w:r>
      <w:r>
        <w:rPr>
          <w:rFonts w:cs="Arial"/>
          <w:b/>
          <w:iCs/>
          <w:sz w:val="20"/>
        </w:rPr>
        <w:t xml:space="preserve">Total </w:t>
      </w:r>
      <w:r w:rsidRPr="007E3532">
        <w:rPr>
          <w:rFonts w:cs="Arial"/>
          <w:b/>
          <w:iCs/>
          <w:sz w:val="20"/>
        </w:rPr>
        <w:t xml:space="preserve">Resource </w:t>
      </w:r>
      <w:r>
        <w:rPr>
          <w:rFonts w:cs="Arial"/>
          <w:b/>
          <w:iCs/>
          <w:sz w:val="20"/>
        </w:rPr>
        <w:t>Cost benefit c</w:t>
      </w:r>
      <w:r w:rsidRPr="007E3532">
        <w:rPr>
          <w:rFonts w:cs="Arial"/>
          <w:b/>
          <w:iCs/>
          <w:sz w:val="20"/>
        </w:rPr>
        <w:t xml:space="preserve">ost </w:t>
      </w:r>
      <w:r>
        <w:rPr>
          <w:rFonts w:cs="Arial"/>
          <w:b/>
          <w:iCs/>
          <w:sz w:val="20"/>
        </w:rPr>
        <w:t>r</w:t>
      </w:r>
      <w:r w:rsidRPr="007E3532">
        <w:rPr>
          <w:rFonts w:cs="Arial"/>
          <w:b/>
          <w:iCs/>
          <w:sz w:val="20"/>
        </w:rPr>
        <w:t>atio</w:t>
      </w:r>
      <w:r>
        <w:rPr>
          <w:rFonts w:cs="Arial"/>
          <w:b/>
          <w:iCs/>
          <w:sz w:val="20"/>
        </w:rPr>
        <w:t>s</w:t>
      </w:r>
      <w:r w:rsidR="00D45889" w:rsidRPr="00D45889">
        <w:rPr>
          <w:rFonts w:cs="Arial"/>
          <w:b/>
          <w:iCs/>
          <w:sz w:val="20"/>
          <w:vertAlign w:val="superscript"/>
        </w:rPr>
        <w:t>2</w:t>
      </w:r>
    </w:p>
    <w:tbl>
      <w:tblPr>
        <w:tblW w:w="9360" w:type="dxa"/>
        <w:tblInd w:w="-10" w:type="dxa"/>
        <w:tblLook w:val="04A0" w:firstRow="1" w:lastRow="0" w:firstColumn="1" w:lastColumn="0" w:noHBand="0" w:noVBand="1"/>
      </w:tblPr>
      <w:tblGrid>
        <w:gridCol w:w="3600"/>
        <w:gridCol w:w="2985"/>
        <w:gridCol w:w="2775"/>
      </w:tblGrid>
      <w:tr w:rsidR="006C0590" w:rsidRPr="00DB5723" w14:paraId="05BA57F9" w14:textId="77777777" w:rsidTr="005249C1">
        <w:trPr>
          <w:trHeight w:val="367"/>
        </w:trPr>
        <w:tc>
          <w:tcPr>
            <w:tcW w:w="3600"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3317542F" w14:textId="77777777" w:rsidR="006C0590" w:rsidRPr="00DB5723" w:rsidRDefault="006C0590" w:rsidP="00F367C1">
            <w:pPr>
              <w:spacing w:line="300" w:lineRule="auto"/>
              <w:jc w:val="center"/>
              <w:rPr>
                <w:rFonts w:cs="Arial"/>
                <w:b/>
                <w:bCs/>
                <w:color w:val="000000"/>
                <w:sz w:val="18"/>
                <w:szCs w:val="18"/>
              </w:rPr>
            </w:pPr>
            <w:r w:rsidRPr="00DB5723">
              <w:rPr>
                <w:rFonts w:cs="Arial"/>
                <w:b/>
                <w:bCs/>
                <w:color w:val="000000"/>
                <w:sz w:val="18"/>
                <w:szCs w:val="18"/>
              </w:rPr>
              <w:t>Program</w:t>
            </w:r>
          </w:p>
        </w:tc>
        <w:tc>
          <w:tcPr>
            <w:tcW w:w="2985" w:type="dxa"/>
            <w:tcBorders>
              <w:top w:val="single" w:sz="8" w:space="0" w:color="auto"/>
              <w:left w:val="nil"/>
              <w:bottom w:val="single" w:sz="8" w:space="0" w:color="auto"/>
              <w:right w:val="single" w:sz="4" w:space="0" w:color="auto"/>
            </w:tcBorders>
            <w:shd w:val="clear" w:color="000000" w:fill="A6A6A6"/>
            <w:vAlign w:val="bottom"/>
            <w:hideMark/>
          </w:tcPr>
          <w:p w14:paraId="21055848" w14:textId="77777777" w:rsidR="006C0590" w:rsidRDefault="006C0590" w:rsidP="00F367C1">
            <w:pPr>
              <w:spacing w:line="300" w:lineRule="auto"/>
              <w:jc w:val="center"/>
              <w:rPr>
                <w:rFonts w:cs="Arial"/>
                <w:b/>
                <w:bCs/>
                <w:color w:val="000000"/>
                <w:sz w:val="18"/>
                <w:szCs w:val="18"/>
              </w:rPr>
            </w:pPr>
            <w:r>
              <w:rPr>
                <w:rFonts w:cs="Arial"/>
                <w:b/>
                <w:bCs/>
                <w:color w:val="000000"/>
                <w:sz w:val="18"/>
                <w:szCs w:val="18"/>
              </w:rPr>
              <w:t>Utility Cost Test</w:t>
            </w:r>
          </w:p>
          <w:p w14:paraId="65188763" w14:textId="77777777" w:rsidR="006C0590" w:rsidRPr="00DB5723" w:rsidRDefault="006C0590" w:rsidP="00F367C1">
            <w:pPr>
              <w:spacing w:line="300" w:lineRule="auto"/>
              <w:jc w:val="center"/>
              <w:rPr>
                <w:rFonts w:cs="Arial"/>
                <w:b/>
                <w:bCs/>
                <w:color w:val="000000"/>
                <w:sz w:val="18"/>
                <w:szCs w:val="18"/>
              </w:rPr>
            </w:pPr>
            <w:r>
              <w:rPr>
                <w:rFonts w:cs="Arial"/>
                <w:b/>
                <w:bCs/>
                <w:color w:val="000000"/>
                <w:sz w:val="18"/>
                <w:szCs w:val="18"/>
              </w:rPr>
              <w:t>benefit cost ratio</w:t>
            </w:r>
          </w:p>
        </w:tc>
        <w:tc>
          <w:tcPr>
            <w:tcW w:w="2775" w:type="dxa"/>
            <w:tcBorders>
              <w:top w:val="single" w:sz="8" w:space="0" w:color="auto"/>
              <w:left w:val="nil"/>
              <w:bottom w:val="single" w:sz="8" w:space="0" w:color="auto"/>
              <w:right w:val="single" w:sz="8" w:space="0" w:color="auto"/>
            </w:tcBorders>
            <w:shd w:val="clear" w:color="000000" w:fill="A6A6A6"/>
            <w:vAlign w:val="bottom"/>
            <w:hideMark/>
          </w:tcPr>
          <w:p w14:paraId="790EDADF" w14:textId="4C796B4F" w:rsidR="006C0590" w:rsidRDefault="006C0590" w:rsidP="00F367C1">
            <w:pPr>
              <w:spacing w:line="300" w:lineRule="auto"/>
              <w:jc w:val="center"/>
              <w:rPr>
                <w:rFonts w:cs="Arial"/>
                <w:b/>
                <w:bCs/>
                <w:color w:val="000000"/>
                <w:sz w:val="18"/>
                <w:szCs w:val="18"/>
              </w:rPr>
            </w:pPr>
            <w:r w:rsidRPr="00DB5723">
              <w:rPr>
                <w:rFonts w:cs="Arial"/>
                <w:b/>
                <w:bCs/>
                <w:color w:val="000000"/>
                <w:sz w:val="18"/>
                <w:szCs w:val="18"/>
              </w:rPr>
              <w:t xml:space="preserve">Total Resource </w:t>
            </w:r>
            <w:r>
              <w:rPr>
                <w:rFonts w:cs="Arial"/>
                <w:b/>
                <w:bCs/>
                <w:color w:val="000000"/>
                <w:sz w:val="18"/>
                <w:szCs w:val="18"/>
              </w:rPr>
              <w:t>Cost</w:t>
            </w:r>
          </w:p>
          <w:p w14:paraId="49EF8B28" w14:textId="008A9C6F" w:rsidR="006C0590" w:rsidRPr="00DB5723" w:rsidRDefault="00D66647" w:rsidP="00D45889">
            <w:pPr>
              <w:spacing w:line="300" w:lineRule="auto"/>
              <w:jc w:val="center"/>
              <w:rPr>
                <w:rFonts w:cs="Arial"/>
                <w:b/>
                <w:bCs/>
                <w:color w:val="000000"/>
                <w:sz w:val="18"/>
                <w:szCs w:val="18"/>
              </w:rPr>
            </w:pPr>
            <w:r>
              <w:rPr>
                <w:rFonts w:cs="Arial"/>
                <w:b/>
                <w:bCs/>
                <w:color w:val="000000"/>
                <w:sz w:val="18"/>
                <w:szCs w:val="18"/>
              </w:rPr>
              <w:t>b</w:t>
            </w:r>
            <w:r w:rsidR="006C0590">
              <w:rPr>
                <w:rFonts w:cs="Arial"/>
                <w:b/>
                <w:bCs/>
                <w:color w:val="000000"/>
                <w:sz w:val="18"/>
                <w:szCs w:val="18"/>
              </w:rPr>
              <w:t>enefit cost r</w:t>
            </w:r>
            <w:r w:rsidR="006C0590" w:rsidRPr="00DB5723">
              <w:rPr>
                <w:rFonts w:cs="Arial"/>
                <w:b/>
                <w:bCs/>
                <w:color w:val="000000"/>
                <w:sz w:val="18"/>
                <w:szCs w:val="18"/>
              </w:rPr>
              <w:t>atio</w:t>
            </w:r>
          </w:p>
        </w:tc>
      </w:tr>
      <w:tr w:rsidR="005249C1" w:rsidRPr="00DB5723" w14:paraId="7F039734" w14:textId="77777777" w:rsidTr="005249C1">
        <w:trPr>
          <w:trHeight w:val="268"/>
        </w:trPr>
        <w:tc>
          <w:tcPr>
            <w:tcW w:w="3600" w:type="dxa"/>
            <w:tcBorders>
              <w:top w:val="nil"/>
              <w:left w:val="single" w:sz="8" w:space="0" w:color="auto"/>
              <w:bottom w:val="single" w:sz="4" w:space="0" w:color="auto"/>
              <w:right w:val="single" w:sz="4" w:space="0" w:color="auto"/>
            </w:tcBorders>
            <w:shd w:val="clear" w:color="auto" w:fill="auto"/>
            <w:vAlign w:val="bottom"/>
            <w:hideMark/>
          </w:tcPr>
          <w:p w14:paraId="58CDA826"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NW Natural Washington Portfolio</w:t>
            </w:r>
          </w:p>
        </w:tc>
        <w:tc>
          <w:tcPr>
            <w:tcW w:w="2985" w:type="dxa"/>
            <w:tcBorders>
              <w:top w:val="nil"/>
              <w:left w:val="nil"/>
              <w:bottom w:val="single" w:sz="8" w:space="0" w:color="auto"/>
              <w:right w:val="single" w:sz="8" w:space="0" w:color="auto"/>
            </w:tcBorders>
            <w:noWrap/>
            <w:vAlign w:val="center"/>
            <w:hideMark/>
          </w:tcPr>
          <w:p w14:paraId="64B89896" w14:textId="5A1126E4" w:rsidR="005249C1" w:rsidRPr="00DB5723" w:rsidRDefault="005249C1" w:rsidP="005249C1">
            <w:pPr>
              <w:spacing w:line="300" w:lineRule="auto"/>
              <w:jc w:val="center"/>
              <w:rPr>
                <w:rFonts w:cs="Arial"/>
                <w:color w:val="000000"/>
                <w:sz w:val="18"/>
                <w:szCs w:val="18"/>
              </w:rPr>
            </w:pPr>
            <w:r>
              <w:rPr>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18C2AA15" w14:textId="57BF5B9E" w:rsidR="005249C1" w:rsidRPr="00DB5723" w:rsidRDefault="005249C1" w:rsidP="005249C1">
            <w:pPr>
              <w:spacing w:line="300" w:lineRule="auto"/>
              <w:jc w:val="center"/>
              <w:rPr>
                <w:rFonts w:cs="Arial"/>
                <w:color w:val="000000"/>
                <w:sz w:val="18"/>
                <w:szCs w:val="18"/>
              </w:rPr>
            </w:pPr>
            <w:r>
              <w:rPr>
                <w:color w:val="000000"/>
                <w:sz w:val="18"/>
                <w:szCs w:val="18"/>
              </w:rPr>
              <w:t xml:space="preserve">0.8 </w:t>
            </w:r>
          </w:p>
        </w:tc>
      </w:tr>
      <w:tr w:rsidR="005249C1" w:rsidRPr="00DB5723" w14:paraId="426EE156" w14:textId="77777777" w:rsidTr="005249C1">
        <w:trPr>
          <w:trHeight w:val="350"/>
        </w:trPr>
        <w:tc>
          <w:tcPr>
            <w:tcW w:w="3600" w:type="dxa"/>
            <w:tcBorders>
              <w:top w:val="nil"/>
              <w:left w:val="single" w:sz="8" w:space="0" w:color="auto"/>
              <w:bottom w:val="single" w:sz="4" w:space="0" w:color="auto"/>
              <w:right w:val="single" w:sz="4" w:space="0" w:color="auto"/>
            </w:tcBorders>
            <w:shd w:val="clear" w:color="auto" w:fill="auto"/>
            <w:vAlign w:val="bottom"/>
            <w:hideMark/>
          </w:tcPr>
          <w:p w14:paraId="47CCB335"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NW Natural Washington Low Income</w:t>
            </w:r>
          </w:p>
        </w:tc>
        <w:tc>
          <w:tcPr>
            <w:tcW w:w="2985" w:type="dxa"/>
            <w:tcBorders>
              <w:top w:val="nil"/>
              <w:left w:val="nil"/>
              <w:bottom w:val="single" w:sz="8" w:space="0" w:color="auto"/>
              <w:right w:val="single" w:sz="8" w:space="0" w:color="auto"/>
            </w:tcBorders>
            <w:noWrap/>
            <w:vAlign w:val="center"/>
            <w:hideMark/>
          </w:tcPr>
          <w:p w14:paraId="1303C1E9" w14:textId="2FD9CFFB" w:rsidR="005249C1" w:rsidRPr="00DB5723" w:rsidRDefault="005249C1" w:rsidP="005249C1">
            <w:pPr>
              <w:spacing w:line="300" w:lineRule="auto"/>
              <w:jc w:val="center"/>
              <w:rPr>
                <w:rFonts w:cs="Arial"/>
                <w:color w:val="000000"/>
                <w:sz w:val="18"/>
                <w:szCs w:val="18"/>
              </w:rPr>
            </w:pPr>
            <w:r>
              <w:rPr>
                <w:color w:val="000000"/>
                <w:sz w:val="18"/>
                <w:szCs w:val="18"/>
              </w:rPr>
              <w:t>0.9</w:t>
            </w:r>
          </w:p>
        </w:tc>
        <w:tc>
          <w:tcPr>
            <w:tcW w:w="2775" w:type="dxa"/>
            <w:tcBorders>
              <w:top w:val="nil"/>
              <w:left w:val="nil"/>
              <w:bottom w:val="single" w:sz="8" w:space="0" w:color="auto"/>
              <w:right w:val="single" w:sz="8" w:space="0" w:color="auto"/>
            </w:tcBorders>
            <w:noWrap/>
            <w:vAlign w:val="center"/>
            <w:hideMark/>
          </w:tcPr>
          <w:p w14:paraId="1232D054" w14:textId="5EE981A8" w:rsidR="005249C1" w:rsidRPr="00DB5723" w:rsidRDefault="005249C1" w:rsidP="005249C1">
            <w:pPr>
              <w:spacing w:line="300" w:lineRule="auto"/>
              <w:jc w:val="center"/>
              <w:rPr>
                <w:rFonts w:cs="Arial"/>
                <w:color w:val="000000"/>
                <w:sz w:val="18"/>
                <w:szCs w:val="18"/>
              </w:rPr>
            </w:pPr>
            <w:r>
              <w:rPr>
                <w:color w:val="000000"/>
                <w:sz w:val="18"/>
                <w:szCs w:val="18"/>
              </w:rPr>
              <w:t xml:space="preserve">0.6 </w:t>
            </w:r>
          </w:p>
        </w:tc>
      </w:tr>
      <w:tr w:rsidR="005249C1" w:rsidRPr="00DB5723" w14:paraId="0EDBEB3B" w14:textId="77777777" w:rsidTr="005249C1">
        <w:trPr>
          <w:trHeight w:val="315"/>
        </w:trPr>
        <w:tc>
          <w:tcPr>
            <w:tcW w:w="36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C76A46" w14:textId="77777777" w:rsidR="005249C1" w:rsidRPr="00DB5723" w:rsidRDefault="005249C1" w:rsidP="005249C1">
            <w:pPr>
              <w:spacing w:line="300" w:lineRule="auto"/>
              <w:rPr>
                <w:rFonts w:cs="Arial"/>
                <w:b/>
                <w:bCs/>
                <w:color w:val="000000"/>
                <w:sz w:val="18"/>
                <w:szCs w:val="18"/>
              </w:rPr>
            </w:pPr>
            <w:r w:rsidRPr="00DB5723">
              <w:rPr>
                <w:rFonts w:cs="Arial"/>
                <w:b/>
                <w:bCs/>
                <w:color w:val="000000"/>
                <w:sz w:val="18"/>
                <w:szCs w:val="18"/>
              </w:rPr>
              <w:t>Total</w:t>
            </w:r>
          </w:p>
        </w:tc>
        <w:tc>
          <w:tcPr>
            <w:tcW w:w="2985" w:type="dxa"/>
            <w:tcBorders>
              <w:top w:val="nil"/>
              <w:left w:val="nil"/>
              <w:bottom w:val="single" w:sz="8" w:space="0" w:color="auto"/>
              <w:right w:val="single" w:sz="8" w:space="0" w:color="auto"/>
            </w:tcBorders>
            <w:noWrap/>
            <w:vAlign w:val="center"/>
            <w:hideMark/>
          </w:tcPr>
          <w:p w14:paraId="2744C497" w14:textId="4441F45F" w:rsidR="005249C1" w:rsidRPr="00DB5723" w:rsidRDefault="005249C1" w:rsidP="005249C1">
            <w:pPr>
              <w:spacing w:line="300" w:lineRule="auto"/>
              <w:jc w:val="center"/>
              <w:rPr>
                <w:rFonts w:cs="Arial"/>
                <w:b/>
                <w:bCs/>
                <w:color w:val="000000"/>
                <w:sz w:val="18"/>
                <w:szCs w:val="18"/>
              </w:rPr>
            </w:pPr>
            <w:r>
              <w:rPr>
                <w:b/>
                <w:bCs/>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1436A16F" w14:textId="125DF8FA" w:rsidR="005249C1" w:rsidRPr="00DB5723" w:rsidRDefault="005249C1" w:rsidP="005249C1">
            <w:pPr>
              <w:spacing w:line="300" w:lineRule="auto"/>
              <w:jc w:val="center"/>
              <w:rPr>
                <w:rFonts w:cs="Arial"/>
                <w:b/>
                <w:bCs/>
                <w:color w:val="000000"/>
                <w:sz w:val="18"/>
                <w:szCs w:val="18"/>
              </w:rPr>
            </w:pPr>
            <w:r>
              <w:rPr>
                <w:b/>
                <w:bCs/>
                <w:color w:val="000000"/>
                <w:sz w:val="18"/>
                <w:szCs w:val="18"/>
              </w:rPr>
              <w:t xml:space="preserve">0.8 </w:t>
            </w:r>
          </w:p>
        </w:tc>
      </w:tr>
    </w:tbl>
    <w:p w14:paraId="00AC4131" w14:textId="1E249612" w:rsidR="006C0590" w:rsidRDefault="001F4D76" w:rsidP="004417FA">
      <w:pPr>
        <w:spacing w:line="300" w:lineRule="auto"/>
        <w:rPr>
          <w:rFonts w:cs="Arial"/>
          <w:b/>
          <w:iCs/>
          <w:sz w:val="20"/>
        </w:rPr>
      </w:pPr>
      <w:r w:rsidRPr="001F4D76">
        <w:rPr>
          <w:rFonts w:cs="Arial"/>
          <w:iCs/>
          <w:sz w:val="20"/>
        </w:rPr>
        <w:t xml:space="preserve">2015 benefit cost ratios were impacted by the Existing Buildings Washington program, which fell short of goal as few large projects completed. Historically, Existing Buildings has provided a high volume of low-cost savings, supporting benefit cost ratios of 1 and above. </w:t>
      </w:r>
      <w:r w:rsidR="006C0590">
        <w:rPr>
          <w:rFonts w:cs="Arial"/>
          <w:b/>
          <w:iCs/>
          <w:sz w:val="20"/>
        </w:rPr>
        <w:br w:type="page"/>
      </w:r>
    </w:p>
    <w:p w14:paraId="6B4DA3B4" w14:textId="77777777" w:rsidR="006C0590" w:rsidRPr="000C7C13" w:rsidRDefault="006C0590" w:rsidP="007F7088">
      <w:pPr>
        <w:pStyle w:val="ListParagraph"/>
        <w:numPr>
          <w:ilvl w:val="0"/>
          <w:numId w:val="6"/>
        </w:numPr>
        <w:spacing w:line="300" w:lineRule="auto"/>
        <w:ind w:left="360" w:right="720"/>
        <w:rPr>
          <w:rFonts w:ascii="Arial" w:hAnsi="Arial" w:cs="Arial"/>
          <w:b/>
        </w:rPr>
      </w:pPr>
      <w:r w:rsidRPr="000C7C13">
        <w:rPr>
          <w:rFonts w:ascii="Arial" w:hAnsi="Arial" w:cs="Arial"/>
          <w:b/>
        </w:rPr>
        <w:lastRenderedPageBreak/>
        <w:t xml:space="preserve">Commercial sector highlights </w:t>
      </w:r>
    </w:p>
    <w:p w14:paraId="1C8E255B" w14:textId="77777777" w:rsidR="006C0590" w:rsidRPr="002F7914" w:rsidRDefault="006C0590" w:rsidP="007F7088">
      <w:pPr>
        <w:spacing w:line="300" w:lineRule="auto"/>
        <w:ind w:left="360"/>
        <w:outlineLvl w:val="0"/>
        <w:rPr>
          <w:rFonts w:cs="Arial"/>
          <w:b/>
          <w:sz w:val="20"/>
        </w:rPr>
      </w:pPr>
      <w:r w:rsidRPr="002F7914">
        <w:rPr>
          <w:rFonts w:cs="Arial"/>
          <w:b/>
          <w:sz w:val="20"/>
        </w:rPr>
        <w:t>Existing Buildings</w:t>
      </w:r>
    </w:p>
    <w:p w14:paraId="143BE7E8" w14:textId="75A01BA5" w:rsidR="006C0590" w:rsidRPr="002F7914" w:rsidRDefault="006C0590" w:rsidP="007F7088">
      <w:pPr>
        <w:numPr>
          <w:ilvl w:val="0"/>
          <w:numId w:val="3"/>
        </w:numPr>
        <w:spacing w:line="300" w:lineRule="auto"/>
        <w:ind w:left="720"/>
        <w:outlineLvl w:val="0"/>
        <w:rPr>
          <w:rFonts w:cs="Arial"/>
          <w:sz w:val="20"/>
        </w:rPr>
      </w:pPr>
      <w:r w:rsidRPr="002F7914">
        <w:rPr>
          <w:rFonts w:cs="Arial"/>
          <w:b/>
          <w:sz w:val="20"/>
        </w:rPr>
        <w:t xml:space="preserve">Existing Buildings saved </w:t>
      </w:r>
      <w:r w:rsidRPr="001B5D57">
        <w:rPr>
          <w:rFonts w:cs="Arial"/>
          <w:b/>
          <w:sz w:val="20"/>
        </w:rPr>
        <w:fldChar w:fldCharType="begin"/>
      </w:r>
      <w:r w:rsidRPr="001B5D57">
        <w:rPr>
          <w:rFonts w:cs="Arial"/>
          <w:b/>
          <w:sz w:val="20"/>
        </w:rPr>
        <w:instrText xml:space="preserve"> INCLUDETEXT  "E:\\TRUST GENERAL\\Public Utility Commission\\Annual reports\\Automation\\QtrRpt_PageValuesWA.xml" \n xmlns:ns1=\"ETO\" \x ns1:Root/ns1:Metrics/ns1:Energy/ns1:Yr/ns1:GasEff/ns1:Com/ns1:Eb  \* MERGEFORMAT </w:instrText>
      </w:r>
      <w:r w:rsidRPr="001B5D57">
        <w:rPr>
          <w:rFonts w:cs="Arial"/>
          <w:b/>
          <w:sz w:val="20"/>
        </w:rPr>
        <w:fldChar w:fldCharType="separate"/>
      </w:r>
      <w:r w:rsidR="001F0CC5" w:rsidRPr="001B5D57">
        <w:rPr>
          <w:rFonts w:cs="Arial"/>
          <w:b/>
          <w:sz w:val="20"/>
        </w:rPr>
        <w:t>73,437</w:t>
      </w:r>
      <w:r w:rsidRPr="001B5D57">
        <w:rPr>
          <w:rFonts w:cs="Arial"/>
          <w:b/>
          <w:sz w:val="20"/>
        </w:rPr>
        <w:t xml:space="preserve"> annual </w:t>
      </w:r>
      <w:proofErr w:type="spellStart"/>
      <w:r w:rsidRPr="001B5D57">
        <w:rPr>
          <w:rFonts w:cs="Arial"/>
          <w:b/>
          <w:sz w:val="20"/>
        </w:rPr>
        <w:t>therms</w:t>
      </w:r>
      <w:proofErr w:type="spellEnd"/>
      <w:r w:rsidRPr="001B5D57">
        <w:rPr>
          <w:rFonts w:cs="Arial"/>
          <w:b/>
          <w:sz w:val="20"/>
        </w:rPr>
        <w:fldChar w:fldCharType="end"/>
      </w:r>
      <w:r w:rsidRPr="002F7914">
        <w:rPr>
          <w:rFonts w:cs="Arial"/>
          <w:b/>
          <w:sz w:val="20"/>
        </w:rPr>
        <w:t xml:space="preserve">, </w:t>
      </w:r>
      <w:r w:rsidR="001F0CC5" w:rsidRPr="001B5D57">
        <w:rPr>
          <w:rFonts w:cs="Arial"/>
          <w:b/>
          <w:sz w:val="20"/>
        </w:rPr>
        <w:t xml:space="preserve">51 percent </w:t>
      </w:r>
      <w:r w:rsidR="00CD12EE" w:rsidRPr="002F7914">
        <w:rPr>
          <w:rFonts w:cs="Arial"/>
          <w:b/>
          <w:sz w:val="20"/>
        </w:rPr>
        <w:t xml:space="preserve">less than </w:t>
      </w:r>
      <w:r w:rsidRPr="002F7914">
        <w:rPr>
          <w:rFonts w:cs="Arial"/>
          <w:b/>
          <w:sz w:val="20"/>
        </w:rPr>
        <w:t>the goal</w:t>
      </w:r>
      <w:r w:rsidRPr="002F7914">
        <w:rPr>
          <w:rFonts w:cs="Arial"/>
          <w:sz w:val="20"/>
        </w:rPr>
        <w:t xml:space="preserve"> of </w:t>
      </w:r>
      <w:r w:rsidRPr="001B5D57">
        <w:rPr>
          <w:rFonts w:cs="Arial"/>
          <w:sz w:val="20"/>
        </w:rPr>
        <w:t xml:space="preserve">150,000 annual </w:t>
      </w:r>
      <w:proofErr w:type="spellStart"/>
      <w:r w:rsidRPr="001B5D57">
        <w:rPr>
          <w:rFonts w:cs="Arial"/>
          <w:sz w:val="20"/>
        </w:rPr>
        <w:t>therms</w:t>
      </w:r>
      <w:proofErr w:type="spellEnd"/>
      <w:r w:rsidRPr="002F7914">
        <w:rPr>
          <w:rFonts w:cs="Arial"/>
          <w:sz w:val="20"/>
        </w:rPr>
        <w:t xml:space="preserve"> in 201</w:t>
      </w:r>
      <w:r w:rsidR="00527210" w:rsidRPr="002F7914">
        <w:rPr>
          <w:rFonts w:cs="Arial"/>
          <w:sz w:val="20"/>
        </w:rPr>
        <w:t>5</w:t>
      </w:r>
      <w:r w:rsidRPr="002F7914">
        <w:rPr>
          <w:rFonts w:cs="Arial"/>
          <w:sz w:val="20"/>
        </w:rPr>
        <w:t xml:space="preserve">. </w:t>
      </w:r>
    </w:p>
    <w:p w14:paraId="6BE7469A" w14:textId="524C02CF" w:rsidR="004C1D80" w:rsidRPr="001B5D57" w:rsidRDefault="001B5D57" w:rsidP="007F7088">
      <w:pPr>
        <w:pStyle w:val="Default"/>
        <w:numPr>
          <w:ilvl w:val="1"/>
          <w:numId w:val="24"/>
        </w:numPr>
        <w:spacing w:line="300" w:lineRule="auto"/>
        <w:ind w:left="720"/>
        <w:rPr>
          <w:sz w:val="20"/>
          <w:szCs w:val="20"/>
        </w:rPr>
      </w:pPr>
      <w:r w:rsidRPr="001B5D57">
        <w:rPr>
          <w:b/>
          <w:sz w:val="20"/>
          <w:szCs w:val="20"/>
        </w:rPr>
        <w:t xml:space="preserve">Completion </w:t>
      </w:r>
      <w:r w:rsidR="0078270B">
        <w:rPr>
          <w:b/>
          <w:sz w:val="20"/>
          <w:szCs w:val="20"/>
        </w:rPr>
        <w:t>of</w:t>
      </w:r>
      <w:r w:rsidRPr="001B5D57">
        <w:rPr>
          <w:b/>
          <w:sz w:val="20"/>
          <w:szCs w:val="20"/>
        </w:rPr>
        <w:t xml:space="preserve"> s</w:t>
      </w:r>
      <w:r w:rsidR="004C1D80" w:rsidRPr="001B5D57">
        <w:rPr>
          <w:b/>
          <w:sz w:val="20"/>
          <w:szCs w:val="20"/>
        </w:rPr>
        <w:t xml:space="preserve">everal large custom projects </w:t>
      </w:r>
      <w:r w:rsidRPr="001B5D57">
        <w:rPr>
          <w:b/>
          <w:sz w:val="20"/>
          <w:szCs w:val="20"/>
        </w:rPr>
        <w:t>was delayed to 2016</w:t>
      </w:r>
      <w:r w:rsidRPr="001B5D57">
        <w:rPr>
          <w:sz w:val="20"/>
          <w:szCs w:val="20"/>
        </w:rPr>
        <w:t>, negatively impacting savings in 2015.</w:t>
      </w:r>
      <w:r w:rsidRPr="001B5D57">
        <w:rPr>
          <w:b/>
          <w:sz w:val="20"/>
          <w:szCs w:val="20"/>
        </w:rPr>
        <w:t xml:space="preserve"> </w:t>
      </w:r>
      <w:r w:rsidR="004C1D80" w:rsidRPr="001B5D57">
        <w:rPr>
          <w:sz w:val="20"/>
          <w:szCs w:val="20"/>
        </w:rPr>
        <w:t>In addition, custom projects that did complete in 2015 were small</w:t>
      </w:r>
      <w:r w:rsidR="00C3201E" w:rsidRPr="001B5D57">
        <w:rPr>
          <w:sz w:val="20"/>
          <w:szCs w:val="20"/>
        </w:rPr>
        <w:t>er</w:t>
      </w:r>
      <w:r w:rsidR="004C1D80" w:rsidRPr="001B5D57">
        <w:rPr>
          <w:sz w:val="20"/>
          <w:szCs w:val="20"/>
        </w:rPr>
        <w:t xml:space="preserve"> and saved less energy than expected. </w:t>
      </w:r>
    </w:p>
    <w:p w14:paraId="267469D2" w14:textId="77777777" w:rsidR="00CE5AD6" w:rsidRDefault="004417FA" w:rsidP="00CE5AD6">
      <w:pPr>
        <w:pStyle w:val="Default"/>
        <w:numPr>
          <w:ilvl w:val="1"/>
          <w:numId w:val="24"/>
        </w:numPr>
        <w:spacing w:line="300" w:lineRule="auto"/>
        <w:ind w:left="720"/>
        <w:rPr>
          <w:sz w:val="20"/>
          <w:szCs w:val="20"/>
        </w:rPr>
      </w:pPr>
      <w:r>
        <w:rPr>
          <w:b/>
          <w:sz w:val="20"/>
          <w:szCs w:val="20"/>
        </w:rPr>
        <w:t xml:space="preserve">Existing Buildings increased incentives for custom projects in 2015 </w:t>
      </w:r>
      <w:r w:rsidRPr="004417FA">
        <w:rPr>
          <w:sz w:val="20"/>
          <w:szCs w:val="20"/>
        </w:rPr>
        <w:t>to</w:t>
      </w:r>
      <w:r w:rsidRPr="002F7914">
        <w:rPr>
          <w:sz w:val="20"/>
          <w:szCs w:val="20"/>
        </w:rPr>
        <w:t xml:space="preserve"> spur </w:t>
      </w:r>
      <w:r>
        <w:rPr>
          <w:sz w:val="20"/>
          <w:szCs w:val="20"/>
        </w:rPr>
        <w:t xml:space="preserve">business </w:t>
      </w:r>
      <w:r w:rsidRPr="002F7914">
        <w:rPr>
          <w:sz w:val="20"/>
          <w:szCs w:val="20"/>
        </w:rPr>
        <w:t>customers to invest</w:t>
      </w:r>
      <w:r>
        <w:rPr>
          <w:sz w:val="20"/>
          <w:szCs w:val="20"/>
        </w:rPr>
        <w:t xml:space="preserve"> in energy-efficiency upgrades. Incentives were increased</w:t>
      </w:r>
      <w:r w:rsidRPr="002F7914">
        <w:rPr>
          <w:sz w:val="20"/>
          <w:szCs w:val="20"/>
        </w:rPr>
        <w:t xml:space="preserve"> from $2.00 per </w:t>
      </w:r>
      <w:proofErr w:type="spellStart"/>
      <w:r w:rsidRPr="002F7914">
        <w:rPr>
          <w:sz w:val="20"/>
          <w:szCs w:val="20"/>
        </w:rPr>
        <w:t>therm</w:t>
      </w:r>
      <w:proofErr w:type="spellEnd"/>
      <w:r w:rsidRPr="002F7914">
        <w:rPr>
          <w:sz w:val="20"/>
          <w:szCs w:val="20"/>
        </w:rPr>
        <w:t xml:space="preserve"> capped at 60 percent of eligible project cost to $2.50 per </w:t>
      </w:r>
      <w:proofErr w:type="spellStart"/>
      <w:r w:rsidRPr="002F7914">
        <w:rPr>
          <w:sz w:val="20"/>
          <w:szCs w:val="20"/>
        </w:rPr>
        <w:t>therm</w:t>
      </w:r>
      <w:proofErr w:type="spellEnd"/>
      <w:r w:rsidRPr="002F7914">
        <w:rPr>
          <w:sz w:val="20"/>
          <w:szCs w:val="20"/>
        </w:rPr>
        <w:t xml:space="preserve"> capped at 70 percent of eligible project cost. While not enough to achieve goal in 2015, increasing incentives helped develop a strong pipeline of projects expected to complete in 2016.</w:t>
      </w:r>
    </w:p>
    <w:p w14:paraId="30864140" w14:textId="718EEDCB" w:rsidR="004417FA" w:rsidRPr="00CE5AD6" w:rsidRDefault="00CE5AD6" w:rsidP="00CE5AD6">
      <w:pPr>
        <w:pStyle w:val="Default"/>
        <w:numPr>
          <w:ilvl w:val="1"/>
          <w:numId w:val="24"/>
        </w:numPr>
        <w:spacing w:line="300" w:lineRule="auto"/>
        <w:ind w:left="720"/>
        <w:rPr>
          <w:sz w:val="20"/>
          <w:szCs w:val="20"/>
        </w:rPr>
      </w:pPr>
      <w:r w:rsidRPr="0078270B">
        <w:rPr>
          <w:b/>
          <w:sz w:val="20"/>
          <w:szCs w:val="20"/>
        </w:rPr>
        <w:t>Existing Buildings also offered bonus incentives</w:t>
      </w:r>
      <w:r w:rsidRPr="00CE5AD6">
        <w:rPr>
          <w:sz w:val="20"/>
          <w:szCs w:val="20"/>
        </w:rPr>
        <w:t xml:space="preserve"> (temporarily increased incentive amounts) for qualifying insulation installations between April 1 and November 30. Despite the bonus</w:t>
      </w:r>
      <w:r w:rsidR="003D2175">
        <w:rPr>
          <w:sz w:val="20"/>
          <w:szCs w:val="20"/>
        </w:rPr>
        <w:t>,</w:t>
      </w:r>
      <w:r w:rsidRPr="00CE5AD6">
        <w:rPr>
          <w:sz w:val="20"/>
          <w:szCs w:val="20"/>
        </w:rPr>
        <w:t xml:space="preserve"> participation</w:t>
      </w:r>
      <w:r w:rsidR="003D2175">
        <w:rPr>
          <w:sz w:val="20"/>
          <w:szCs w:val="20"/>
        </w:rPr>
        <w:t xml:space="preserve"> remained low</w:t>
      </w:r>
      <w:r w:rsidRPr="00CE5AD6">
        <w:rPr>
          <w:sz w:val="20"/>
          <w:szCs w:val="20"/>
        </w:rPr>
        <w:t>.</w:t>
      </w:r>
      <w:r w:rsidR="001C219A">
        <w:rPr>
          <w:sz w:val="20"/>
          <w:szCs w:val="20"/>
        </w:rPr>
        <w:t xml:space="preserve"> </w:t>
      </w:r>
      <w:r w:rsidR="003D2175">
        <w:rPr>
          <w:sz w:val="20"/>
          <w:szCs w:val="20"/>
        </w:rPr>
        <w:t xml:space="preserve">As a result, Energy Trust increased </w:t>
      </w:r>
      <w:r w:rsidR="0078270B">
        <w:rPr>
          <w:sz w:val="20"/>
          <w:szCs w:val="20"/>
        </w:rPr>
        <w:t>prescriptive</w:t>
      </w:r>
      <w:r w:rsidR="001C219A">
        <w:rPr>
          <w:sz w:val="20"/>
          <w:szCs w:val="20"/>
        </w:rPr>
        <w:t xml:space="preserve"> incentives for 2016 and additional food service equipment bonuses have been </w:t>
      </w:r>
      <w:r w:rsidR="003D2175">
        <w:rPr>
          <w:sz w:val="20"/>
          <w:szCs w:val="20"/>
        </w:rPr>
        <w:t>planned</w:t>
      </w:r>
      <w:r w:rsidR="001C219A">
        <w:rPr>
          <w:sz w:val="20"/>
          <w:szCs w:val="20"/>
        </w:rPr>
        <w:t xml:space="preserve"> for Q2 and Q3 of 2016 to drive more activity earlier in the year.</w:t>
      </w:r>
      <w:r w:rsidR="0078270B">
        <w:rPr>
          <w:sz w:val="20"/>
          <w:szCs w:val="20"/>
        </w:rPr>
        <w:t xml:space="preserve"> </w:t>
      </w:r>
    </w:p>
    <w:p w14:paraId="7AE91D08" w14:textId="6F58EDB5" w:rsidR="00D6335F" w:rsidRPr="002F7914" w:rsidRDefault="0036566B" w:rsidP="007F7088">
      <w:pPr>
        <w:pStyle w:val="Default"/>
        <w:numPr>
          <w:ilvl w:val="1"/>
          <w:numId w:val="24"/>
        </w:numPr>
        <w:spacing w:line="300" w:lineRule="auto"/>
        <w:ind w:left="720"/>
        <w:rPr>
          <w:sz w:val="20"/>
          <w:szCs w:val="20"/>
        </w:rPr>
      </w:pPr>
      <w:r>
        <w:rPr>
          <w:b/>
          <w:sz w:val="20"/>
          <w:szCs w:val="20"/>
        </w:rPr>
        <w:t xml:space="preserve">Existing Buildings installed one boiler in 2015 compared to four in 2014. </w:t>
      </w:r>
      <w:r w:rsidR="00C27098" w:rsidRPr="002F7914">
        <w:rPr>
          <w:b/>
          <w:sz w:val="20"/>
          <w:szCs w:val="20"/>
        </w:rPr>
        <w:t xml:space="preserve"> </w:t>
      </w:r>
      <w:r w:rsidR="00D6335F" w:rsidRPr="002F7914">
        <w:rPr>
          <w:sz w:val="20"/>
          <w:szCs w:val="20"/>
        </w:rPr>
        <w:t xml:space="preserve">With an average of 4,800 </w:t>
      </w:r>
      <w:proofErr w:type="spellStart"/>
      <w:r w:rsidR="00D6335F" w:rsidRPr="002F7914">
        <w:rPr>
          <w:sz w:val="20"/>
          <w:szCs w:val="20"/>
        </w:rPr>
        <w:t>therms</w:t>
      </w:r>
      <w:proofErr w:type="spellEnd"/>
      <w:r w:rsidR="00D6335F" w:rsidRPr="002F7914">
        <w:rPr>
          <w:sz w:val="20"/>
          <w:szCs w:val="20"/>
        </w:rPr>
        <w:t xml:space="preserve"> savings per boiler, just a few projects can make a big difference in year</w:t>
      </w:r>
      <w:r w:rsidR="00C27098" w:rsidRPr="002F7914">
        <w:rPr>
          <w:sz w:val="20"/>
          <w:szCs w:val="20"/>
        </w:rPr>
        <w:t>-</w:t>
      </w:r>
      <w:r w:rsidR="00D6335F" w:rsidRPr="002F7914">
        <w:rPr>
          <w:sz w:val="20"/>
          <w:szCs w:val="20"/>
        </w:rPr>
        <w:t xml:space="preserve">end savings goals. </w:t>
      </w:r>
    </w:p>
    <w:p w14:paraId="34451A30" w14:textId="31911090" w:rsidR="00FE0CB7" w:rsidRPr="002F7914" w:rsidRDefault="00FE0CB7" w:rsidP="007F7088">
      <w:pPr>
        <w:pStyle w:val="ListParagraph"/>
        <w:numPr>
          <w:ilvl w:val="1"/>
          <w:numId w:val="24"/>
        </w:numPr>
        <w:spacing w:line="300" w:lineRule="auto"/>
        <w:ind w:left="720"/>
        <w:rPr>
          <w:rFonts w:ascii="Arial" w:hAnsi="Arial" w:cs="Arial"/>
          <w:sz w:val="20"/>
          <w:szCs w:val="20"/>
        </w:rPr>
      </w:pPr>
      <w:r w:rsidRPr="002F7914">
        <w:rPr>
          <w:rFonts w:ascii="Arial" w:hAnsi="Arial" w:cs="Arial"/>
          <w:b/>
          <w:sz w:val="20"/>
          <w:szCs w:val="20"/>
        </w:rPr>
        <w:t>Similar to 2014</w:t>
      </w:r>
      <w:r w:rsidR="00C27098" w:rsidRPr="002F7914">
        <w:rPr>
          <w:rFonts w:ascii="Arial" w:hAnsi="Arial" w:cs="Arial"/>
          <w:b/>
          <w:sz w:val="20"/>
          <w:szCs w:val="20"/>
        </w:rPr>
        <w:t>,</w:t>
      </w:r>
      <w:r w:rsidRPr="002F7914">
        <w:rPr>
          <w:rFonts w:ascii="Arial" w:hAnsi="Arial" w:cs="Arial"/>
          <w:b/>
          <w:sz w:val="20"/>
          <w:szCs w:val="20"/>
        </w:rPr>
        <w:t xml:space="preserve"> </w:t>
      </w:r>
      <w:r w:rsidR="00C27098" w:rsidRPr="002F7914">
        <w:rPr>
          <w:rFonts w:ascii="Arial" w:hAnsi="Arial" w:cs="Arial"/>
          <w:b/>
          <w:sz w:val="20"/>
          <w:szCs w:val="20"/>
        </w:rPr>
        <w:t>gas fryers</w:t>
      </w:r>
      <w:r w:rsidRPr="002F7914">
        <w:rPr>
          <w:rFonts w:ascii="Arial" w:hAnsi="Arial" w:cs="Arial"/>
          <w:b/>
          <w:sz w:val="20"/>
          <w:szCs w:val="20"/>
        </w:rPr>
        <w:t xml:space="preserve"> accounted for </w:t>
      </w:r>
      <w:r w:rsidR="001B5D57">
        <w:rPr>
          <w:rFonts w:ascii="Arial" w:hAnsi="Arial" w:cs="Arial"/>
          <w:b/>
          <w:sz w:val="20"/>
          <w:szCs w:val="20"/>
        </w:rPr>
        <w:t xml:space="preserve">roughly one-quarter </w:t>
      </w:r>
      <w:r w:rsidRPr="002F7914">
        <w:rPr>
          <w:rFonts w:ascii="Arial" w:hAnsi="Arial" w:cs="Arial"/>
          <w:b/>
          <w:sz w:val="20"/>
          <w:szCs w:val="20"/>
        </w:rPr>
        <w:t>of savings</w:t>
      </w:r>
      <w:r w:rsidRPr="002F7914">
        <w:rPr>
          <w:rFonts w:ascii="Arial" w:hAnsi="Arial" w:cs="Arial"/>
          <w:sz w:val="20"/>
          <w:szCs w:val="20"/>
        </w:rPr>
        <w:t>. Custom</w:t>
      </w:r>
      <w:r w:rsidR="00C27098" w:rsidRPr="002F7914">
        <w:rPr>
          <w:rFonts w:ascii="Arial" w:hAnsi="Arial" w:cs="Arial"/>
          <w:sz w:val="20"/>
          <w:szCs w:val="20"/>
        </w:rPr>
        <w:t xml:space="preserve"> </w:t>
      </w:r>
      <w:r w:rsidRPr="002F7914">
        <w:rPr>
          <w:rFonts w:ascii="Arial" w:hAnsi="Arial" w:cs="Arial"/>
          <w:sz w:val="20"/>
          <w:szCs w:val="20"/>
        </w:rPr>
        <w:t xml:space="preserve">projects </w:t>
      </w:r>
      <w:r w:rsidR="00C27098" w:rsidRPr="002F7914">
        <w:rPr>
          <w:rFonts w:ascii="Arial" w:hAnsi="Arial" w:cs="Arial"/>
          <w:sz w:val="20"/>
          <w:szCs w:val="20"/>
        </w:rPr>
        <w:t>also contributed significant savings</w:t>
      </w:r>
      <w:r w:rsidRPr="002F7914">
        <w:rPr>
          <w:rFonts w:ascii="Arial" w:hAnsi="Arial" w:cs="Arial"/>
          <w:sz w:val="20"/>
          <w:szCs w:val="20"/>
        </w:rPr>
        <w:t xml:space="preserve">, with the remainder </w:t>
      </w:r>
      <w:r w:rsidR="00C27098" w:rsidRPr="002F7914">
        <w:rPr>
          <w:rFonts w:ascii="Arial" w:hAnsi="Arial" w:cs="Arial"/>
          <w:sz w:val="20"/>
          <w:szCs w:val="20"/>
        </w:rPr>
        <w:t>from</w:t>
      </w:r>
      <w:r w:rsidRPr="002F7914">
        <w:rPr>
          <w:rFonts w:ascii="Arial" w:hAnsi="Arial" w:cs="Arial"/>
          <w:sz w:val="20"/>
          <w:szCs w:val="20"/>
        </w:rPr>
        <w:t xml:space="preserve"> condensing boilers, building controls and </w:t>
      </w:r>
      <w:r w:rsidR="00C27098" w:rsidRPr="002F7914">
        <w:rPr>
          <w:rFonts w:ascii="Arial" w:hAnsi="Arial" w:cs="Arial"/>
          <w:sz w:val="20"/>
          <w:szCs w:val="20"/>
        </w:rPr>
        <w:t xml:space="preserve">efficient </w:t>
      </w:r>
      <w:r w:rsidRPr="002F7914">
        <w:rPr>
          <w:rFonts w:ascii="Arial" w:hAnsi="Arial" w:cs="Arial"/>
          <w:sz w:val="20"/>
          <w:szCs w:val="20"/>
        </w:rPr>
        <w:t>showerheads.</w:t>
      </w:r>
      <w:r w:rsidR="002E5A77" w:rsidRPr="002F7914">
        <w:rPr>
          <w:rFonts w:ascii="Arial" w:hAnsi="Arial" w:cs="Arial"/>
          <w:sz w:val="20"/>
          <w:szCs w:val="20"/>
        </w:rPr>
        <w:t xml:space="preserve"> </w:t>
      </w:r>
      <w:r w:rsidRPr="002F7914">
        <w:rPr>
          <w:rFonts w:ascii="Arial" w:hAnsi="Arial" w:cs="Arial"/>
          <w:sz w:val="20"/>
          <w:szCs w:val="20"/>
        </w:rPr>
        <w:t>Weatherizatio</w:t>
      </w:r>
      <w:r w:rsidR="00C27098" w:rsidRPr="002F7914">
        <w:rPr>
          <w:rFonts w:ascii="Arial" w:hAnsi="Arial" w:cs="Arial"/>
          <w:sz w:val="20"/>
          <w:szCs w:val="20"/>
        </w:rPr>
        <w:t>n also contributed a very small proportion of savings.</w:t>
      </w:r>
      <w:r w:rsidRPr="002F7914">
        <w:rPr>
          <w:rFonts w:ascii="Arial" w:hAnsi="Arial" w:cs="Arial"/>
          <w:sz w:val="20"/>
          <w:szCs w:val="20"/>
        </w:rPr>
        <w:t xml:space="preserve"> </w:t>
      </w:r>
    </w:p>
    <w:p w14:paraId="34346C45" w14:textId="269F8635" w:rsidR="005309AA" w:rsidRPr="001B5D57" w:rsidRDefault="00565890" w:rsidP="007F7088">
      <w:pPr>
        <w:pStyle w:val="Default"/>
        <w:numPr>
          <w:ilvl w:val="1"/>
          <w:numId w:val="24"/>
        </w:numPr>
        <w:adjustRightInd w:val="0"/>
        <w:spacing w:line="300" w:lineRule="auto"/>
        <w:ind w:left="720"/>
        <w:rPr>
          <w:sz w:val="20"/>
          <w:szCs w:val="20"/>
        </w:rPr>
      </w:pPr>
      <w:r w:rsidRPr="002F7914">
        <w:rPr>
          <w:b/>
          <w:sz w:val="20"/>
          <w:szCs w:val="20"/>
        </w:rPr>
        <w:t>Energy Trust</w:t>
      </w:r>
      <w:r w:rsidR="005309AA" w:rsidRPr="002F7914">
        <w:rPr>
          <w:b/>
          <w:sz w:val="20"/>
          <w:szCs w:val="20"/>
        </w:rPr>
        <w:t xml:space="preserve"> </w:t>
      </w:r>
      <w:r w:rsidRPr="002F7914">
        <w:rPr>
          <w:b/>
          <w:sz w:val="20"/>
          <w:szCs w:val="20"/>
        </w:rPr>
        <w:t>offered a sales performance incentive to</w:t>
      </w:r>
      <w:r w:rsidR="00FE0CB7" w:rsidRPr="002F7914">
        <w:rPr>
          <w:b/>
          <w:sz w:val="20"/>
          <w:szCs w:val="20"/>
        </w:rPr>
        <w:t xml:space="preserve"> restaurant equipment retailers</w:t>
      </w:r>
      <w:r w:rsidR="00FE0CB7" w:rsidRPr="002F7914">
        <w:rPr>
          <w:sz w:val="20"/>
          <w:szCs w:val="20"/>
        </w:rPr>
        <w:t xml:space="preserve">, dealers and distributers </w:t>
      </w:r>
      <w:r w:rsidRPr="002F7914">
        <w:rPr>
          <w:sz w:val="20"/>
          <w:szCs w:val="20"/>
        </w:rPr>
        <w:t>to promote</w:t>
      </w:r>
      <w:r w:rsidR="00FE0CB7" w:rsidRPr="002F7914">
        <w:rPr>
          <w:sz w:val="20"/>
          <w:szCs w:val="20"/>
        </w:rPr>
        <w:t xml:space="preserve"> </w:t>
      </w:r>
      <w:r w:rsidRPr="002F7914">
        <w:rPr>
          <w:sz w:val="20"/>
          <w:szCs w:val="20"/>
        </w:rPr>
        <w:t xml:space="preserve">sales </w:t>
      </w:r>
      <w:r w:rsidR="00D45889">
        <w:rPr>
          <w:sz w:val="20"/>
          <w:szCs w:val="20"/>
        </w:rPr>
        <w:t>of energy-efficient equipment. T</w:t>
      </w:r>
      <w:r w:rsidRPr="002F7914">
        <w:rPr>
          <w:sz w:val="20"/>
          <w:szCs w:val="20"/>
        </w:rPr>
        <w:t xml:space="preserve">he effort resulted in sales of </w:t>
      </w:r>
      <w:r w:rsidR="00FE0CB7" w:rsidRPr="002F7914">
        <w:rPr>
          <w:sz w:val="20"/>
          <w:szCs w:val="20"/>
        </w:rPr>
        <w:t xml:space="preserve">13 </w:t>
      </w:r>
      <w:r w:rsidR="00A26E39" w:rsidRPr="002F7914">
        <w:rPr>
          <w:sz w:val="20"/>
          <w:szCs w:val="20"/>
        </w:rPr>
        <w:t>qualifying measures</w:t>
      </w:r>
      <w:r w:rsidR="00FE0CB7" w:rsidRPr="002F7914">
        <w:rPr>
          <w:sz w:val="20"/>
          <w:szCs w:val="20"/>
        </w:rPr>
        <w:t xml:space="preserve"> representing</w:t>
      </w:r>
      <w:r w:rsidRPr="002F7914">
        <w:rPr>
          <w:sz w:val="20"/>
          <w:szCs w:val="20"/>
        </w:rPr>
        <w:t xml:space="preserve"> more than 7,000</w:t>
      </w:r>
      <w:r w:rsidR="00FE0CB7" w:rsidRPr="002F7914">
        <w:rPr>
          <w:sz w:val="20"/>
          <w:szCs w:val="20"/>
        </w:rPr>
        <w:t xml:space="preserve"> </w:t>
      </w:r>
      <w:proofErr w:type="spellStart"/>
      <w:r w:rsidR="00FE0CB7" w:rsidRPr="001B5D57">
        <w:rPr>
          <w:sz w:val="20"/>
          <w:szCs w:val="20"/>
        </w:rPr>
        <w:t>therms</w:t>
      </w:r>
      <w:proofErr w:type="spellEnd"/>
      <w:r w:rsidR="00CB5CE3">
        <w:rPr>
          <w:sz w:val="20"/>
          <w:szCs w:val="20"/>
        </w:rPr>
        <w:t xml:space="preserve"> in 2015</w:t>
      </w:r>
      <w:r w:rsidR="00FE0CB7" w:rsidRPr="001B5D57">
        <w:rPr>
          <w:sz w:val="20"/>
          <w:szCs w:val="20"/>
        </w:rPr>
        <w:t xml:space="preserve">. </w:t>
      </w:r>
    </w:p>
    <w:p w14:paraId="77B353C3" w14:textId="2E916D1B" w:rsidR="00610697" w:rsidRPr="001B5D57" w:rsidRDefault="00C3201E" w:rsidP="007F7088">
      <w:pPr>
        <w:pStyle w:val="ListParagraph"/>
        <w:numPr>
          <w:ilvl w:val="1"/>
          <w:numId w:val="24"/>
        </w:numPr>
        <w:spacing w:line="300" w:lineRule="auto"/>
        <w:ind w:left="720"/>
        <w:rPr>
          <w:rFonts w:ascii="Arial" w:hAnsi="Arial" w:cs="Arial"/>
          <w:sz w:val="20"/>
          <w:szCs w:val="20"/>
        </w:rPr>
      </w:pPr>
      <w:r w:rsidRPr="001B5D57">
        <w:rPr>
          <w:rFonts w:ascii="Arial" w:hAnsi="Arial" w:cs="Arial"/>
          <w:b/>
          <w:sz w:val="20"/>
          <w:szCs w:val="20"/>
        </w:rPr>
        <w:t>A</w:t>
      </w:r>
      <w:r w:rsidR="00610697" w:rsidRPr="001B5D57">
        <w:rPr>
          <w:rFonts w:ascii="Arial" w:hAnsi="Arial" w:cs="Arial"/>
          <w:b/>
          <w:sz w:val="20"/>
          <w:szCs w:val="20"/>
        </w:rPr>
        <w:t xml:space="preserve"> bonus</w:t>
      </w:r>
      <w:r w:rsidRPr="001B5D57">
        <w:rPr>
          <w:rFonts w:ascii="Arial" w:hAnsi="Arial" w:cs="Arial"/>
          <w:b/>
          <w:sz w:val="20"/>
          <w:szCs w:val="20"/>
        </w:rPr>
        <w:t xml:space="preserve"> to encourage boiler retrofits</w:t>
      </w:r>
      <w:r w:rsidRPr="001B5D57">
        <w:rPr>
          <w:rFonts w:ascii="Arial" w:hAnsi="Arial" w:cs="Arial"/>
          <w:sz w:val="20"/>
          <w:szCs w:val="20"/>
        </w:rPr>
        <w:t xml:space="preserve"> increased the </w:t>
      </w:r>
      <w:r w:rsidR="00CB5CE3">
        <w:rPr>
          <w:rFonts w:ascii="Arial" w:hAnsi="Arial" w:cs="Arial"/>
          <w:sz w:val="20"/>
          <w:szCs w:val="20"/>
        </w:rPr>
        <w:t xml:space="preserve">total available </w:t>
      </w:r>
      <w:r w:rsidR="00610697" w:rsidRPr="001B5D57">
        <w:rPr>
          <w:rFonts w:ascii="Arial" w:hAnsi="Arial" w:cs="Arial"/>
          <w:sz w:val="20"/>
          <w:szCs w:val="20"/>
        </w:rPr>
        <w:t>incentive</w:t>
      </w:r>
      <w:r w:rsidRPr="001B5D57">
        <w:rPr>
          <w:rFonts w:ascii="Arial" w:hAnsi="Arial" w:cs="Arial"/>
          <w:sz w:val="20"/>
          <w:szCs w:val="20"/>
        </w:rPr>
        <w:t xml:space="preserve"> </w:t>
      </w:r>
      <w:r w:rsidR="00610697" w:rsidRPr="001B5D57">
        <w:rPr>
          <w:rFonts w:ascii="Arial" w:hAnsi="Arial" w:cs="Arial"/>
          <w:sz w:val="20"/>
          <w:szCs w:val="20"/>
        </w:rPr>
        <w:t>level</w:t>
      </w:r>
      <w:r w:rsidRPr="001B5D57">
        <w:rPr>
          <w:rFonts w:ascii="Arial" w:hAnsi="Arial" w:cs="Arial"/>
          <w:sz w:val="20"/>
          <w:szCs w:val="20"/>
        </w:rPr>
        <w:t xml:space="preserve"> </w:t>
      </w:r>
      <w:r w:rsidR="001B5D57">
        <w:rPr>
          <w:rFonts w:ascii="Arial" w:hAnsi="Arial" w:cs="Arial"/>
          <w:sz w:val="20"/>
          <w:szCs w:val="20"/>
        </w:rPr>
        <w:t xml:space="preserve">to be </w:t>
      </w:r>
      <w:r w:rsidRPr="001B5D57">
        <w:rPr>
          <w:rFonts w:ascii="Arial" w:hAnsi="Arial" w:cs="Arial"/>
          <w:sz w:val="20"/>
          <w:szCs w:val="20"/>
        </w:rPr>
        <w:t xml:space="preserve">consistent </w:t>
      </w:r>
      <w:r w:rsidR="001B5D57">
        <w:rPr>
          <w:rFonts w:ascii="Arial" w:hAnsi="Arial" w:cs="Arial"/>
          <w:sz w:val="20"/>
          <w:szCs w:val="20"/>
        </w:rPr>
        <w:t xml:space="preserve">with incentives for boilers in </w:t>
      </w:r>
      <w:proofErr w:type="gramStart"/>
      <w:r w:rsidR="001B5D57">
        <w:rPr>
          <w:rFonts w:ascii="Arial" w:hAnsi="Arial" w:cs="Arial"/>
          <w:sz w:val="20"/>
          <w:szCs w:val="20"/>
        </w:rPr>
        <w:t>Oregon,</w:t>
      </w:r>
      <w:proofErr w:type="gramEnd"/>
      <w:r w:rsidR="001B5D57">
        <w:rPr>
          <w:rFonts w:ascii="Arial" w:hAnsi="Arial" w:cs="Arial"/>
          <w:sz w:val="20"/>
          <w:szCs w:val="20"/>
        </w:rPr>
        <w:t xml:space="preserve"> however the bonus did not boost savings</w:t>
      </w:r>
      <w:r w:rsidRPr="001B5D57">
        <w:rPr>
          <w:rFonts w:ascii="Arial" w:hAnsi="Arial" w:cs="Arial"/>
          <w:sz w:val="20"/>
          <w:szCs w:val="20"/>
        </w:rPr>
        <w:t xml:space="preserve">. In 2016, boiler incentives in Washington will </w:t>
      </w:r>
      <w:r w:rsidR="00CB5CE3">
        <w:rPr>
          <w:rFonts w:ascii="Arial" w:hAnsi="Arial" w:cs="Arial"/>
          <w:sz w:val="20"/>
          <w:szCs w:val="20"/>
        </w:rPr>
        <w:t>remain</w:t>
      </w:r>
      <w:r w:rsidRPr="001B5D57">
        <w:rPr>
          <w:rFonts w:ascii="Arial" w:hAnsi="Arial" w:cs="Arial"/>
          <w:sz w:val="20"/>
          <w:szCs w:val="20"/>
        </w:rPr>
        <w:t xml:space="preserve"> consistent with the Oregon service territory.</w:t>
      </w:r>
      <w:r w:rsidR="00610697" w:rsidRPr="001B5D57">
        <w:rPr>
          <w:rFonts w:ascii="Arial" w:hAnsi="Arial" w:cs="Arial"/>
          <w:sz w:val="20"/>
          <w:szCs w:val="20"/>
        </w:rPr>
        <w:t xml:space="preserve"> </w:t>
      </w:r>
    </w:p>
    <w:p w14:paraId="445E4875" w14:textId="7CCD8CCF" w:rsidR="00610697" w:rsidRPr="002F7914" w:rsidRDefault="001B5D57" w:rsidP="007F7088">
      <w:pPr>
        <w:pStyle w:val="ListParagraph"/>
        <w:numPr>
          <w:ilvl w:val="1"/>
          <w:numId w:val="26"/>
        </w:numPr>
        <w:spacing w:line="300" w:lineRule="auto"/>
        <w:ind w:left="720"/>
        <w:rPr>
          <w:sz w:val="20"/>
          <w:szCs w:val="20"/>
        </w:rPr>
      </w:pPr>
      <w:r>
        <w:rPr>
          <w:rFonts w:ascii="Arial" w:hAnsi="Arial" w:cs="Arial"/>
          <w:b/>
          <w:sz w:val="20"/>
          <w:szCs w:val="20"/>
        </w:rPr>
        <w:t>As is typical, t</w:t>
      </w:r>
      <w:r w:rsidR="00C3201E" w:rsidRPr="001B5D57">
        <w:rPr>
          <w:rFonts w:ascii="Arial" w:hAnsi="Arial" w:cs="Arial"/>
          <w:b/>
          <w:sz w:val="20"/>
          <w:szCs w:val="20"/>
        </w:rPr>
        <w:t xml:space="preserve">he majority of </w:t>
      </w:r>
      <w:r>
        <w:rPr>
          <w:rFonts w:ascii="Arial" w:hAnsi="Arial" w:cs="Arial"/>
          <w:b/>
          <w:sz w:val="20"/>
          <w:szCs w:val="20"/>
        </w:rPr>
        <w:t xml:space="preserve">energy savings </w:t>
      </w:r>
      <w:r w:rsidR="00C3201E" w:rsidRPr="001B5D57">
        <w:rPr>
          <w:rFonts w:ascii="Arial" w:hAnsi="Arial" w:cs="Arial"/>
          <w:b/>
          <w:sz w:val="20"/>
          <w:szCs w:val="20"/>
        </w:rPr>
        <w:t>occurred in the fourth quarter.</w:t>
      </w:r>
      <w:r w:rsidR="00C3201E" w:rsidRPr="002F7914">
        <w:rPr>
          <w:rFonts w:ascii="Arial" w:hAnsi="Arial" w:cs="Arial"/>
          <w:sz w:val="20"/>
          <w:szCs w:val="20"/>
        </w:rPr>
        <w:t xml:space="preserve"> </w:t>
      </w:r>
      <w:r w:rsidR="007F7088">
        <w:rPr>
          <w:rFonts w:ascii="Arial" w:hAnsi="Arial" w:cs="Arial"/>
          <w:sz w:val="20"/>
          <w:szCs w:val="20"/>
        </w:rPr>
        <w:t xml:space="preserve">To promote savings earlier in the year, </w:t>
      </w:r>
      <w:r w:rsidR="00CB5CE3">
        <w:rPr>
          <w:rFonts w:ascii="Arial" w:hAnsi="Arial" w:cs="Arial"/>
          <w:sz w:val="20"/>
          <w:szCs w:val="20"/>
        </w:rPr>
        <w:t xml:space="preserve">the program planned to launch </w:t>
      </w:r>
      <w:r w:rsidR="007F7088">
        <w:rPr>
          <w:rFonts w:ascii="Arial" w:hAnsi="Arial" w:cs="Arial"/>
          <w:sz w:val="20"/>
          <w:szCs w:val="20"/>
        </w:rPr>
        <w:t>2016 bonuses before Q4</w:t>
      </w:r>
      <w:r w:rsidR="00CB5CE3">
        <w:rPr>
          <w:rFonts w:ascii="Arial" w:hAnsi="Arial" w:cs="Arial"/>
          <w:sz w:val="20"/>
          <w:szCs w:val="20"/>
        </w:rPr>
        <w:t xml:space="preserve"> 2016</w:t>
      </w:r>
      <w:r w:rsidR="007F7088">
        <w:rPr>
          <w:rFonts w:ascii="Arial" w:hAnsi="Arial" w:cs="Arial"/>
          <w:sz w:val="20"/>
          <w:szCs w:val="20"/>
        </w:rPr>
        <w:t xml:space="preserve">. </w:t>
      </w:r>
    </w:p>
    <w:p w14:paraId="511228C1" w14:textId="35FF0043" w:rsidR="007F7088" w:rsidRPr="007F7088" w:rsidRDefault="007F7088" w:rsidP="007F7088">
      <w:pPr>
        <w:pStyle w:val="ListParagraph"/>
        <w:numPr>
          <w:ilvl w:val="1"/>
          <w:numId w:val="26"/>
        </w:numPr>
        <w:spacing w:line="300" w:lineRule="auto"/>
        <w:ind w:left="720"/>
        <w:rPr>
          <w:rFonts w:ascii="Arial" w:hAnsi="Arial" w:cs="Arial"/>
          <w:b/>
          <w:color w:val="000000"/>
          <w:sz w:val="20"/>
          <w:szCs w:val="20"/>
        </w:rPr>
      </w:pPr>
      <w:r w:rsidRPr="007F7088">
        <w:rPr>
          <w:rFonts w:ascii="Arial" w:hAnsi="Arial" w:cs="Arial"/>
          <w:b/>
          <w:color w:val="000000"/>
          <w:sz w:val="20"/>
          <w:szCs w:val="20"/>
        </w:rPr>
        <w:t xml:space="preserve">Existing Buildings, New Homes and Existing Homes programs collaborated </w:t>
      </w:r>
      <w:r w:rsidRPr="00CA21F7">
        <w:rPr>
          <w:rFonts w:ascii="Arial" w:hAnsi="Arial" w:cs="Arial"/>
          <w:color w:val="000000"/>
          <w:sz w:val="20"/>
          <w:szCs w:val="20"/>
        </w:rPr>
        <w:t xml:space="preserve">to </w:t>
      </w:r>
      <w:r w:rsidR="00CA21F7" w:rsidRPr="00CA21F7">
        <w:rPr>
          <w:rFonts w:ascii="Arial" w:hAnsi="Arial" w:cs="Arial"/>
          <w:color w:val="000000"/>
          <w:sz w:val="20"/>
          <w:szCs w:val="20"/>
        </w:rPr>
        <w:t xml:space="preserve">coordinate with Clark Public Utilities and </w:t>
      </w:r>
      <w:r w:rsidRPr="00CA21F7">
        <w:rPr>
          <w:rFonts w:ascii="Arial" w:hAnsi="Arial" w:cs="Arial"/>
          <w:color w:val="000000"/>
          <w:sz w:val="20"/>
          <w:szCs w:val="20"/>
        </w:rPr>
        <w:t>to plan trade ally engagement events</w:t>
      </w:r>
      <w:r w:rsidRPr="007F7088">
        <w:rPr>
          <w:rFonts w:ascii="Arial" w:hAnsi="Arial" w:cs="Arial"/>
          <w:color w:val="000000"/>
          <w:sz w:val="20"/>
          <w:szCs w:val="20"/>
        </w:rPr>
        <w:t xml:space="preserve"> in 2016. </w:t>
      </w:r>
    </w:p>
    <w:p w14:paraId="06F07608" w14:textId="77777777" w:rsidR="006C0590" w:rsidRPr="002F7914" w:rsidRDefault="006C0590" w:rsidP="007F7088">
      <w:pPr>
        <w:pStyle w:val="ListParagraph"/>
        <w:spacing w:line="300" w:lineRule="auto"/>
        <w:outlineLvl w:val="0"/>
        <w:rPr>
          <w:rFonts w:cs="Arial"/>
          <w:sz w:val="20"/>
        </w:rPr>
      </w:pPr>
    </w:p>
    <w:p w14:paraId="51ECC85A" w14:textId="77777777" w:rsidR="006C0590" w:rsidRPr="000C7C13" w:rsidRDefault="006C0590" w:rsidP="007F7088">
      <w:pPr>
        <w:pStyle w:val="ListParagraph"/>
        <w:numPr>
          <w:ilvl w:val="0"/>
          <w:numId w:val="6"/>
        </w:numPr>
        <w:spacing w:line="300" w:lineRule="auto"/>
        <w:ind w:left="360"/>
        <w:outlineLvl w:val="0"/>
        <w:rPr>
          <w:rFonts w:ascii="Arial" w:hAnsi="Arial" w:cs="Arial"/>
          <w:b/>
        </w:rPr>
      </w:pPr>
      <w:r w:rsidRPr="000C7C13">
        <w:rPr>
          <w:rFonts w:ascii="Arial" w:hAnsi="Arial" w:cs="Arial"/>
          <w:b/>
        </w:rPr>
        <w:t>Residential sector highlights</w:t>
      </w:r>
    </w:p>
    <w:p w14:paraId="03CF0E6C" w14:textId="1A313B92" w:rsidR="006C0590" w:rsidRPr="007E463C" w:rsidRDefault="006C0590" w:rsidP="007E463C">
      <w:pPr>
        <w:pStyle w:val="ListParagraph"/>
        <w:numPr>
          <w:ilvl w:val="0"/>
          <w:numId w:val="4"/>
        </w:numPr>
        <w:spacing w:line="300" w:lineRule="auto"/>
        <w:outlineLvl w:val="0"/>
        <w:rPr>
          <w:rFonts w:ascii="Arial" w:hAnsi="Arial" w:cs="Arial"/>
          <w:iCs/>
          <w:sz w:val="20"/>
          <w:szCs w:val="20"/>
        </w:rPr>
      </w:pPr>
      <w:r w:rsidRPr="007E463C">
        <w:rPr>
          <w:rFonts w:ascii="Arial" w:hAnsi="Arial" w:cs="Arial"/>
          <w:b/>
          <w:iCs/>
          <w:sz w:val="20"/>
          <w:szCs w:val="20"/>
        </w:rPr>
        <w:t xml:space="preserve">The residential sector saved </w:t>
      </w:r>
      <w:r w:rsidR="00232E61" w:rsidRPr="00E1455E">
        <w:rPr>
          <w:rFonts w:ascii="Arial" w:hAnsi="Arial" w:cs="Arial"/>
          <w:b/>
          <w:iCs/>
          <w:sz w:val="20"/>
          <w:szCs w:val="20"/>
        </w:rPr>
        <w:t>128,010</w:t>
      </w:r>
      <w:r w:rsidRPr="00E1455E">
        <w:rPr>
          <w:rFonts w:ascii="Arial" w:hAnsi="Arial" w:cs="Arial"/>
          <w:b/>
          <w:iCs/>
          <w:sz w:val="20"/>
          <w:szCs w:val="20"/>
        </w:rPr>
        <w:t xml:space="preserve"> annual </w:t>
      </w:r>
      <w:proofErr w:type="spellStart"/>
      <w:r w:rsidRPr="00E1455E">
        <w:rPr>
          <w:rFonts w:ascii="Arial" w:hAnsi="Arial" w:cs="Arial"/>
          <w:b/>
          <w:iCs/>
          <w:sz w:val="20"/>
          <w:szCs w:val="20"/>
        </w:rPr>
        <w:t>therms</w:t>
      </w:r>
      <w:proofErr w:type="spellEnd"/>
      <w:r w:rsidRPr="007E463C">
        <w:rPr>
          <w:rFonts w:ascii="Arial" w:hAnsi="Arial" w:cs="Arial"/>
          <w:b/>
          <w:iCs/>
          <w:sz w:val="20"/>
          <w:szCs w:val="20"/>
        </w:rPr>
        <w:t xml:space="preserve"> </w:t>
      </w:r>
      <w:r w:rsidRPr="007E463C">
        <w:rPr>
          <w:rFonts w:ascii="Arial" w:hAnsi="Arial" w:cs="Arial"/>
          <w:iCs/>
          <w:sz w:val="20"/>
          <w:szCs w:val="20"/>
        </w:rPr>
        <w:t>in 201</w:t>
      </w:r>
      <w:r w:rsidR="00527210" w:rsidRPr="007E463C">
        <w:rPr>
          <w:rFonts w:ascii="Arial" w:hAnsi="Arial" w:cs="Arial"/>
          <w:iCs/>
          <w:sz w:val="20"/>
          <w:szCs w:val="20"/>
        </w:rPr>
        <w:t>5</w:t>
      </w:r>
      <w:r w:rsidRPr="007E463C">
        <w:rPr>
          <w:rFonts w:ascii="Arial" w:hAnsi="Arial" w:cs="Arial"/>
          <w:sz w:val="20"/>
          <w:szCs w:val="20"/>
        </w:rPr>
        <w:t>,</w:t>
      </w:r>
      <w:r w:rsidR="006B537B">
        <w:rPr>
          <w:rFonts w:ascii="Arial" w:hAnsi="Arial" w:cs="Arial"/>
          <w:sz w:val="20"/>
          <w:szCs w:val="20"/>
        </w:rPr>
        <w:t xml:space="preserve"> 20 percent above the 2015 goal, and </w:t>
      </w:r>
      <w:r w:rsidR="007F7088" w:rsidRPr="007E463C">
        <w:rPr>
          <w:rFonts w:ascii="Arial" w:hAnsi="Arial" w:cs="Arial"/>
          <w:sz w:val="20"/>
          <w:szCs w:val="20"/>
        </w:rPr>
        <w:t>31</w:t>
      </w:r>
      <w:r w:rsidRPr="007E463C">
        <w:rPr>
          <w:rFonts w:ascii="Arial" w:hAnsi="Arial" w:cs="Arial"/>
          <w:sz w:val="20"/>
          <w:szCs w:val="20"/>
        </w:rPr>
        <w:t xml:space="preserve"> percent more than </w:t>
      </w:r>
      <w:r w:rsidR="00CA21F7">
        <w:rPr>
          <w:rFonts w:ascii="Arial" w:hAnsi="Arial" w:cs="Arial"/>
          <w:sz w:val="20"/>
          <w:szCs w:val="20"/>
        </w:rPr>
        <w:t xml:space="preserve">residential sector </w:t>
      </w:r>
      <w:r w:rsidRPr="007E463C">
        <w:rPr>
          <w:rFonts w:ascii="Arial" w:hAnsi="Arial" w:cs="Arial"/>
          <w:sz w:val="20"/>
          <w:szCs w:val="20"/>
        </w:rPr>
        <w:t>savings achieved in 201</w:t>
      </w:r>
      <w:r w:rsidR="00527210" w:rsidRPr="007E463C">
        <w:rPr>
          <w:rFonts w:ascii="Arial" w:hAnsi="Arial" w:cs="Arial"/>
          <w:sz w:val="20"/>
          <w:szCs w:val="20"/>
        </w:rPr>
        <w:t>4</w:t>
      </w:r>
      <w:r w:rsidRPr="007E463C">
        <w:rPr>
          <w:rFonts w:ascii="Arial" w:hAnsi="Arial" w:cs="Arial"/>
          <w:sz w:val="20"/>
          <w:szCs w:val="20"/>
        </w:rPr>
        <w:t>.</w:t>
      </w:r>
      <w:r w:rsidRPr="007E463C">
        <w:rPr>
          <w:rFonts w:ascii="Arial" w:hAnsi="Arial" w:cs="Arial"/>
          <w:iCs/>
          <w:sz w:val="20"/>
          <w:szCs w:val="20"/>
        </w:rPr>
        <w:t xml:space="preserve"> </w:t>
      </w:r>
    </w:p>
    <w:p w14:paraId="39690406" w14:textId="77777777" w:rsidR="006C0590" w:rsidRPr="007E463C" w:rsidRDefault="006C0590" w:rsidP="007E463C">
      <w:pPr>
        <w:spacing w:line="300" w:lineRule="auto"/>
        <w:ind w:left="360"/>
        <w:outlineLvl w:val="0"/>
        <w:rPr>
          <w:rFonts w:cs="Arial"/>
          <w:i/>
          <w:iCs/>
          <w:sz w:val="20"/>
        </w:rPr>
      </w:pPr>
    </w:p>
    <w:p w14:paraId="0CCC3C44" w14:textId="77777777" w:rsidR="006C0590" w:rsidRPr="007E463C" w:rsidRDefault="006C0590" w:rsidP="007E463C">
      <w:pPr>
        <w:spacing w:line="300" w:lineRule="auto"/>
        <w:ind w:left="360"/>
        <w:outlineLvl w:val="0"/>
        <w:rPr>
          <w:rFonts w:cs="Arial"/>
          <w:b/>
          <w:iCs/>
          <w:sz w:val="20"/>
        </w:rPr>
      </w:pPr>
      <w:r w:rsidRPr="007E463C">
        <w:rPr>
          <w:rFonts w:cs="Arial"/>
          <w:b/>
          <w:iCs/>
          <w:sz w:val="20"/>
        </w:rPr>
        <w:t>Existing Homes</w:t>
      </w:r>
    </w:p>
    <w:p w14:paraId="1230A744" w14:textId="1DAA0547" w:rsidR="006C0590" w:rsidRPr="007E463C" w:rsidRDefault="006C0590" w:rsidP="007E463C">
      <w:pPr>
        <w:pStyle w:val="ListParagraph"/>
        <w:numPr>
          <w:ilvl w:val="0"/>
          <w:numId w:val="13"/>
        </w:numPr>
        <w:spacing w:line="300" w:lineRule="auto"/>
        <w:contextualSpacing w:val="0"/>
        <w:rPr>
          <w:rFonts w:ascii="Arial" w:eastAsiaTheme="minorHAnsi" w:hAnsi="Arial" w:cs="Arial"/>
          <w:color w:val="000000" w:themeColor="text1"/>
          <w:sz w:val="20"/>
          <w:szCs w:val="20"/>
        </w:rPr>
      </w:pPr>
      <w:r w:rsidRPr="007E463C">
        <w:rPr>
          <w:rFonts w:ascii="Arial" w:hAnsi="Arial" w:cs="Arial"/>
          <w:b/>
          <w:iCs/>
          <w:sz w:val="20"/>
          <w:szCs w:val="20"/>
        </w:rPr>
        <w:t xml:space="preserve">Existing Homes saved </w:t>
      </w:r>
      <w:r w:rsidRPr="00E1455E">
        <w:rPr>
          <w:rFonts w:ascii="Arial" w:hAnsi="Arial" w:cs="Arial"/>
          <w:b/>
          <w:sz w:val="20"/>
          <w:szCs w:val="20"/>
        </w:rPr>
        <w:fldChar w:fldCharType="begin"/>
      </w:r>
      <w:r w:rsidRPr="00E1455E">
        <w:rPr>
          <w:rFonts w:ascii="Arial" w:hAnsi="Arial" w:cs="Arial"/>
          <w:b/>
          <w:sz w:val="20"/>
          <w:szCs w:val="20"/>
        </w:rPr>
        <w:instrText xml:space="preserve"> INCLUDETEXT  "E:\\TRUST GENERAL\\Public Utility Commission\\Annual reports\\Automation\\QtrRpt_PageValuesWA.xml" \n xmlns:ns1=\"ETO\" \x ns1:Root/ns1:Metrics/ns1:Energy/ns1:Yr/ns1:GasEff/ns1:Res/ns1:Eh  \* MERGEFORMAT </w:instrText>
      </w:r>
      <w:r w:rsidRPr="00E1455E">
        <w:rPr>
          <w:rFonts w:ascii="Arial" w:hAnsi="Arial" w:cs="Arial"/>
          <w:b/>
          <w:sz w:val="20"/>
          <w:szCs w:val="20"/>
        </w:rPr>
        <w:fldChar w:fldCharType="separate"/>
      </w:r>
      <w:r w:rsidR="00232E61" w:rsidRPr="00E1455E">
        <w:rPr>
          <w:rFonts w:ascii="Arial" w:hAnsi="Arial" w:cs="Arial"/>
          <w:b/>
          <w:sz w:val="20"/>
          <w:szCs w:val="20"/>
        </w:rPr>
        <w:t>58,465</w:t>
      </w:r>
      <w:r w:rsidRPr="00E1455E">
        <w:rPr>
          <w:rFonts w:ascii="Arial" w:hAnsi="Arial" w:cs="Arial"/>
          <w:b/>
          <w:sz w:val="20"/>
          <w:szCs w:val="20"/>
        </w:rPr>
        <w:t xml:space="preserve"> annual </w:t>
      </w:r>
      <w:proofErr w:type="spellStart"/>
      <w:r w:rsidRPr="00E1455E">
        <w:rPr>
          <w:rFonts w:ascii="Arial" w:hAnsi="Arial" w:cs="Arial"/>
          <w:b/>
          <w:sz w:val="20"/>
          <w:szCs w:val="20"/>
        </w:rPr>
        <w:t>therms</w:t>
      </w:r>
      <w:proofErr w:type="spellEnd"/>
      <w:r w:rsidRPr="00E1455E">
        <w:rPr>
          <w:rFonts w:ascii="Arial" w:hAnsi="Arial" w:cs="Arial"/>
          <w:b/>
          <w:sz w:val="20"/>
          <w:szCs w:val="20"/>
        </w:rPr>
        <w:fldChar w:fldCharType="end"/>
      </w:r>
      <w:r w:rsidRPr="007E463C">
        <w:rPr>
          <w:rFonts w:ascii="Arial" w:hAnsi="Arial" w:cs="Arial"/>
          <w:b/>
          <w:sz w:val="20"/>
          <w:szCs w:val="20"/>
        </w:rPr>
        <w:t>,</w:t>
      </w:r>
      <w:r w:rsidRPr="007E463C">
        <w:rPr>
          <w:rFonts w:ascii="Arial" w:hAnsi="Arial" w:cs="Arial"/>
          <w:b/>
          <w:iCs/>
          <w:sz w:val="20"/>
          <w:szCs w:val="20"/>
        </w:rPr>
        <w:t xml:space="preserve"> </w:t>
      </w:r>
      <w:r w:rsidRPr="00E1455E">
        <w:rPr>
          <w:rFonts w:ascii="Arial" w:hAnsi="Arial" w:cs="Arial"/>
          <w:b/>
          <w:sz w:val="20"/>
          <w:szCs w:val="20"/>
        </w:rPr>
        <w:fldChar w:fldCharType="begin"/>
      </w:r>
      <w:r w:rsidRPr="00E1455E">
        <w:rPr>
          <w:rFonts w:ascii="Arial" w:hAnsi="Arial" w:cs="Arial"/>
          <w:b/>
          <w:sz w:val="20"/>
          <w:szCs w:val="20"/>
        </w:rPr>
        <w:instrText xml:space="preserve"> INCLUDETEXT  "E:\\TRUST GENERAL\\Public Utility Commission\\Annual reports\\Automation\\QtrRpt_PageValuesWA.xml" \n xmlns:ns1=\"ETO\" \x ns1:Root/ns1:Metrics/ns1:EnergyPctDiff/ns1:FromGoalCons/ns1:Yr/ns1:GasEff/ns1:Res/ns1:Eh  \* MERGEFORMAT </w:instrText>
      </w:r>
      <w:r w:rsidRPr="00E1455E">
        <w:rPr>
          <w:rFonts w:ascii="Arial" w:hAnsi="Arial" w:cs="Arial"/>
          <w:b/>
          <w:sz w:val="20"/>
          <w:szCs w:val="20"/>
        </w:rPr>
        <w:fldChar w:fldCharType="separate"/>
      </w:r>
      <w:r w:rsidR="007F7088" w:rsidRPr="007E463C">
        <w:rPr>
          <w:rFonts w:ascii="Arial" w:hAnsi="Arial" w:cs="Arial"/>
          <w:b/>
          <w:sz w:val="20"/>
          <w:szCs w:val="20"/>
        </w:rPr>
        <w:t>14 percent</w:t>
      </w:r>
      <w:r w:rsidRPr="00E1455E">
        <w:rPr>
          <w:rFonts w:ascii="Arial" w:hAnsi="Arial" w:cs="Arial"/>
          <w:b/>
          <w:sz w:val="20"/>
          <w:szCs w:val="20"/>
        </w:rPr>
        <w:t xml:space="preserve"> </w:t>
      </w:r>
      <w:r w:rsidR="00232E61" w:rsidRPr="00E1455E">
        <w:rPr>
          <w:rFonts w:ascii="Arial" w:hAnsi="Arial" w:cs="Arial"/>
          <w:b/>
          <w:sz w:val="20"/>
          <w:szCs w:val="20"/>
        </w:rPr>
        <w:t>above</w:t>
      </w:r>
      <w:r w:rsidRPr="00E1455E">
        <w:rPr>
          <w:rFonts w:ascii="Arial" w:hAnsi="Arial" w:cs="Arial"/>
          <w:b/>
          <w:sz w:val="20"/>
          <w:szCs w:val="20"/>
        </w:rPr>
        <w:fldChar w:fldCharType="end"/>
      </w:r>
      <w:r w:rsidRPr="00E1455E">
        <w:rPr>
          <w:rFonts w:ascii="Arial" w:hAnsi="Arial" w:cs="Arial"/>
          <w:b/>
          <w:iCs/>
          <w:sz w:val="20"/>
          <w:szCs w:val="20"/>
        </w:rPr>
        <w:t xml:space="preserve"> the goal</w:t>
      </w:r>
      <w:r w:rsidRPr="00E1455E">
        <w:rPr>
          <w:rFonts w:ascii="Arial" w:hAnsi="Arial" w:cs="Arial"/>
          <w:iCs/>
          <w:sz w:val="20"/>
          <w:szCs w:val="20"/>
        </w:rPr>
        <w:t xml:space="preserve"> of </w:t>
      </w:r>
      <w:r w:rsidRPr="00E1455E">
        <w:rPr>
          <w:rFonts w:ascii="Arial" w:hAnsi="Arial" w:cs="Arial"/>
          <w:sz w:val="20"/>
          <w:szCs w:val="20"/>
        </w:rPr>
        <w:fldChar w:fldCharType="begin"/>
      </w:r>
      <w:r w:rsidRPr="00E1455E">
        <w:rPr>
          <w:rFonts w:ascii="Arial" w:hAnsi="Arial" w:cs="Arial"/>
          <w:sz w:val="20"/>
          <w:szCs w:val="20"/>
        </w:rPr>
        <w:instrText xml:space="preserve"> INCLUDETEXT  "E:\\TRUST GENERAL\\Public Utility Commission\\Annual reports\\Automation\\QtrRpt_PageValuesWA.xml" \n xmlns:ns1=\"ETO\" \x ns1:Root/ns1:Metrics/ns1:GoalCons/ns1:Yr/ns1:GasEff/ns1:Res/ns1:Eh  \* MERGEFORMAT </w:instrText>
      </w:r>
      <w:r w:rsidRPr="00E1455E">
        <w:rPr>
          <w:rFonts w:ascii="Arial" w:hAnsi="Arial" w:cs="Arial"/>
          <w:sz w:val="20"/>
          <w:szCs w:val="20"/>
        </w:rPr>
        <w:fldChar w:fldCharType="separate"/>
      </w:r>
      <w:r w:rsidR="00232E61" w:rsidRPr="00E1455E">
        <w:rPr>
          <w:rFonts w:ascii="Arial" w:hAnsi="Arial" w:cs="Arial"/>
          <w:sz w:val="20"/>
          <w:szCs w:val="20"/>
        </w:rPr>
        <w:t>51,148</w:t>
      </w:r>
      <w:r w:rsidRPr="00E1455E">
        <w:rPr>
          <w:rFonts w:ascii="Arial" w:hAnsi="Arial" w:cs="Arial"/>
          <w:sz w:val="20"/>
          <w:szCs w:val="20"/>
        </w:rPr>
        <w:t xml:space="preserve"> annual </w:t>
      </w:r>
      <w:proofErr w:type="spellStart"/>
      <w:r w:rsidRPr="00E1455E">
        <w:rPr>
          <w:rFonts w:ascii="Arial" w:hAnsi="Arial" w:cs="Arial"/>
          <w:sz w:val="20"/>
          <w:szCs w:val="20"/>
        </w:rPr>
        <w:t>therms</w:t>
      </w:r>
      <w:proofErr w:type="spellEnd"/>
      <w:r w:rsidRPr="00E1455E">
        <w:rPr>
          <w:rFonts w:ascii="Arial" w:hAnsi="Arial" w:cs="Arial"/>
          <w:sz w:val="20"/>
          <w:szCs w:val="20"/>
        </w:rPr>
        <w:fldChar w:fldCharType="end"/>
      </w:r>
      <w:r w:rsidRPr="007E463C">
        <w:rPr>
          <w:rFonts w:ascii="Arial" w:hAnsi="Arial" w:cs="Arial"/>
          <w:sz w:val="20"/>
          <w:szCs w:val="20"/>
        </w:rPr>
        <w:t xml:space="preserve"> in 201</w:t>
      </w:r>
      <w:r w:rsidR="00527210" w:rsidRPr="007E463C">
        <w:rPr>
          <w:rFonts w:ascii="Arial" w:hAnsi="Arial" w:cs="Arial"/>
          <w:sz w:val="20"/>
          <w:szCs w:val="20"/>
        </w:rPr>
        <w:t>5</w:t>
      </w:r>
      <w:r w:rsidRPr="007E463C">
        <w:rPr>
          <w:rFonts w:ascii="Arial" w:hAnsi="Arial" w:cs="Arial"/>
          <w:sz w:val="20"/>
          <w:szCs w:val="20"/>
        </w:rPr>
        <w:t xml:space="preserve">. </w:t>
      </w:r>
    </w:p>
    <w:p w14:paraId="6CFA2BEE" w14:textId="481813D3" w:rsidR="007E463C" w:rsidRPr="007E463C" w:rsidRDefault="00FE0CB7" w:rsidP="007E463C">
      <w:pPr>
        <w:pStyle w:val="ListParagraph"/>
        <w:numPr>
          <w:ilvl w:val="0"/>
          <w:numId w:val="13"/>
        </w:numPr>
        <w:spacing w:line="300" w:lineRule="auto"/>
        <w:rPr>
          <w:rFonts w:ascii="Arial" w:eastAsia="Times New Roman" w:hAnsi="Arial" w:cs="Arial"/>
          <w:sz w:val="20"/>
          <w:szCs w:val="20"/>
        </w:rPr>
      </w:pPr>
      <w:r w:rsidRPr="007E463C">
        <w:rPr>
          <w:rFonts w:ascii="Arial" w:hAnsi="Arial" w:cs="Arial"/>
          <w:b/>
          <w:sz w:val="20"/>
          <w:szCs w:val="20"/>
        </w:rPr>
        <w:t>The program exceeded savings goals for 2015</w:t>
      </w:r>
      <w:r w:rsidR="005309AA" w:rsidRPr="007E463C">
        <w:rPr>
          <w:rFonts w:ascii="Arial" w:hAnsi="Arial" w:cs="Arial"/>
          <w:b/>
          <w:sz w:val="20"/>
          <w:szCs w:val="20"/>
        </w:rPr>
        <w:t xml:space="preserve"> </w:t>
      </w:r>
      <w:r w:rsidR="006E344F" w:rsidRPr="007E463C">
        <w:rPr>
          <w:rFonts w:ascii="Arial" w:hAnsi="Arial" w:cs="Arial"/>
          <w:b/>
          <w:sz w:val="20"/>
          <w:szCs w:val="20"/>
        </w:rPr>
        <w:t xml:space="preserve">due to increased outreach and incentives </w:t>
      </w:r>
      <w:r w:rsidR="007E463C">
        <w:rPr>
          <w:rFonts w:ascii="Arial" w:hAnsi="Arial" w:cs="Arial"/>
          <w:sz w:val="20"/>
          <w:szCs w:val="20"/>
        </w:rPr>
        <w:t>that</w:t>
      </w:r>
      <w:r w:rsidR="00C32C31" w:rsidRPr="007E463C">
        <w:rPr>
          <w:rFonts w:ascii="Arial" w:hAnsi="Arial" w:cs="Arial"/>
          <w:sz w:val="20"/>
          <w:szCs w:val="20"/>
        </w:rPr>
        <w:t xml:space="preserve"> dro</w:t>
      </w:r>
      <w:r w:rsidR="006E344F" w:rsidRPr="007E463C">
        <w:rPr>
          <w:rFonts w:ascii="Arial" w:hAnsi="Arial" w:cs="Arial"/>
          <w:sz w:val="20"/>
          <w:szCs w:val="20"/>
        </w:rPr>
        <w:t>ve installation of efficient gas furnaces, resulting in a 200</w:t>
      </w:r>
      <w:r w:rsidR="007E463C">
        <w:rPr>
          <w:rFonts w:ascii="Arial" w:hAnsi="Arial" w:cs="Arial"/>
          <w:sz w:val="20"/>
          <w:szCs w:val="20"/>
        </w:rPr>
        <w:t xml:space="preserve"> percent</w:t>
      </w:r>
      <w:r w:rsidR="006E344F" w:rsidRPr="007E463C">
        <w:rPr>
          <w:rFonts w:ascii="Arial" w:hAnsi="Arial" w:cs="Arial"/>
          <w:sz w:val="20"/>
          <w:szCs w:val="20"/>
        </w:rPr>
        <w:t xml:space="preserve"> increase in </w:t>
      </w:r>
      <w:r w:rsidR="00CA21F7">
        <w:rPr>
          <w:rFonts w:ascii="Arial" w:hAnsi="Arial" w:cs="Arial"/>
          <w:sz w:val="20"/>
          <w:szCs w:val="20"/>
        </w:rPr>
        <w:t xml:space="preserve">Existing Homes </w:t>
      </w:r>
      <w:r w:rsidR="006E344F" w:rsidRPr="007E463C">
        <w:rPr>
          <w:rFonts w:ascii="Arial" w:hAnsi="Arial" w:cs="Arial"/>
          <w:sz w:val="20"/>
          <w:szCs w:val="20"/>
        </w:rPr>
        <w:t>savings</w:t>
      </w:r>
      <w:r w:rsidR="00C32C31" w:rsidRPr="007E463C">
        <w:rPr>
          <w:rFonts w:ascii="Arial" w:hAnsi="Arial" w:cs="Arial"/>
          <w:sz w:val="20"/>
          <w:szCs w:val="20"/>
        </w:rPr>
        <w:t xml:space="preserve"> </w:t>
      </w:r>
      <w:r w:rsidR="007E463C">
        <w:rPr>
          <w:rFonts w:ascii="Arial" w:hAnsi="Arial" w:cs="Arial"/>
          <w:sz w:val="20"/>
          <w:szCs w:val="20"/>
        </w:rPr>
        <w:t xml:space="preserve">compared to 2015. </w:t>
      </w:r>
    </w:p>
    <w:p w14:paraId="121F573F" w14:textId="4D04F411" w:rsidR="006E344F" w:rsidRPr="007E463C" w:rsidRDefault="006E344F" w:rsidP="007E463C">
      <w:pPr>
        <w:pStyle w:val="ListParagraph"/>
        <w:numPr>
          <w:ilvl w:val="0"/>
          <w:numId w:val="13"/>
        </w:numPr>
        <w:spacing w:line="300" w:lineRule="auto"/>
        <w:rPr>
          <w:rFonts w:ascii="Arial" w:eastAsia="Times New Roman" w:hAnsi="Arial" w:cs="Arial"/>
          <w:sz w:val="20"/>
          <w:szCs w:val="20"/>
        </w:rPr>
      </w:pPr>
      <w:r w:rsidRPr="00E1455E">
        <w:rPr>
          <w:rFonts w:ascii="Arial" w:eastAsia="Times New Roman" w:hAnsi="Arial" w:cs="Arial"/>
          <w:b/>
          <w:sz w:val="20"/>
          <w:szCs w:val="20"/>
        </w:rPr>
        <w:lastRenderedPageBreak/>
        <w:t xml:space="preserve">HVAC measures contributed 73 percent of total </w:t>
      </w:r>
      <w:proofErr w:type="gramStart"/>
      <w:r w:rsidRPr="00E1455E">
        <w:rPr>
          <w:rFonts w:ascii="Arial" w:eastAsia="Times New Roman" w:hAnsi="Arial" w:cs="Arial"/>
          <w:b/>
          <w:sz w:val="20"/>
          <w:szCs w:val="20"/>
        </w:rPr>
        <w:t>Existing Homes</w:t>
      </w:r>
      <w:proofErr w:type="gramEnd"/>
      <w:r w:rsidRPr="00E1455E">
        <w:rPr>
          <w:rFonts w:ascii="Arial" w:eastAsia="Times New Roman" w:hAnsi="Arial" w:cs="Arial"/>
          <w:b/>
          <w:sz w:val="20"/>
          <w:szCs w:val="20"/>
        </w:rPr>
        <w:t xml:space="preserve"> savings</w:t>
      </w:r>
      <w:r w:rsidRPr="00E1455E">
        <w:rPr>
          <w:rFonts w:ascii="Arial" w:eastAsia="Times New Roman" w:hAnsi="Arial" w:cs="Arial"/>
          <w:sz w:val="20"/>
          <w:szCs w:val="20"/>
        </w:rPr>
        <w:t xml:space="preserve">, with gas furnaces </w:t>
      </w:r>
      <w:r w:rsidR="0044746D">
        <w:rPr>
          <w:rFonts w:ascii="Arial" w:eastAsia="Times New Roman" w:hAnsi="Arial" w:cs="Arial"/>
          <w:sz w:val="20"/>
          <w:szCs w:val="20"/>
        </w:rPr>
        <w:t>providing the majority, followed by gas hearths, smart thermostats and boilers.</w:t>
      </w:r>
    </w:p>
    <w:p w14:paraId="2A5857D1" w14:textId="6DC71066" w:rsidR="007E463C" w:rsidRPr="0072313C" w:rsidRDefault="007E463C" w:rsidP="007E463C">
      <w:pPr>
        <w:pStyle w:val="ListParagraph"/>
        <w:numPr>
          <w:ilvl w:val="0"/>
          <w:numId w:val="13"/>
        </w:numPr>
        <w:spacing w:line="300" w:lineRule="auto"/>
        <w:rPr>
          <w:rFonts w:ascii="Arial" w:hAnsi="Arial" w:cs="Arial"/>
          <w:sz w:val="20"/>
          <w:szCs w:val="20"/>
        </w:rPr>
      </w:pPr>
      <w:r w:rsidRPr="007E463C">
        <w:rPr>
          <w:rFonts w:ascii="Arial" w:eastAsia="Times New Roman" w:hAnsi="Arial" w:cs="Arial"/>
          <w:b/>
          <w:sz w:val="20"/>
          <w:szCs w:val="20"/>
        </w:rPr>
        <w:t xml:space="preserve">Savings </w:t>
      </w:r>
      <w:r w:rsidR="002B1E0E" w:rsidRPr="007E463C">
        <w:rPr>
          <w:rFonts w:ascii="Arial" w:eastAsia="Times New Roman" w:hAnsi="Arial" w:cs="Arial"/>
          <w:b/>
          <w:sz w:val="20"/>
          <w:szCs w:val="20"/>
        </w:rPr>
        <w:t>from</w:t>
      </w:r>
      <w:r w:rsidR="00C32C31" w:rsidRPr="007E463C">
        <w:rPr>
          <w:rFonts w:ascii="Arial" w:eastAsia="Times New Roman" w:hAnsi="Arial" w:cs="Arial"/>
          <w:b/>
          <w:sz w:val="20"/>
          <w:szCs w:val="20"/>
        </w:rPr>
        <w:t xml:space="preserve"> </w:t>
      </w:r>
      <w:r w:rsidRPr="007E463C">
        <w:rPr>
          <w:rFonts w:ascii="Arial" w:eastAsia="Times New Roman" w:hAnsi="Arial" w:cs="Arial"/>
          <w:b/>
          <w:sz w:val="20"/>
          <w:szCs w:val="20"/>
        </w:rPr>
        <w:t>energy- and water-saving</w:t>
      </w:r>
      <w:r w:rsidR="00C32C31" w:rsidRPr="007E463C">
        <w:rPr>
          <w:rFonts w:ascii="Arial" w:eastAsia="Times New Roman" w:hAnsi="Arial" w:cs="Arial"/>
          <w:b/>
          <w:sz w:val="20"/>
          <w:szCs w:val="20"/>
        </w:rPr>
        <w:t xml:space="preserve"> devices</w:t>
      </w:r>
      <w:r w:rsidR="002B1E0E" w:rsidRPr="007E463C">
        <w:rPr>
          <w:rFonts w:ascii="Arial" w:eastAsia="Times New Roman" w:hAnsi="Arial" w:cs="Arial"/>
          <w:b/>
          <w:sz w:val="20"/>
          <w:szCs w:val="20"/>
        </w:rPr>
        <w:t xml:space="preserve"> </w:t>
      </w:r>
      <w:r w:rsidRPr="007E463C">
        <w:rPr>
          <w:rFonts w:ascii="Arial" w:eastAsia="Times New Roman" w:hAnsi="Arial" w:cs="Arial"/>
          <w:b/>
          <w:sz w:val="20"/>
          <w:szCs w:val="20"/>
        </w:rPr>
        <w:t>doubled compared to</w:t>
      </w:r>
      <w:r w:rsidR="002B1E0E" w:rsidRPr="007E463C">
        <w:rPr>
          <w:rFonts w:ascii="Arial" w:eastAsia="Times New Roman" w:hAnsi="Arial" w:cs="Arial"/>
          <w:b/>
          <w:sz w:val="20"/>
          <w:szCs w:val="20"/>
        </w:rPr>
        <w:t xml:space="preserve"> 2014</w:t>
      </w:r>
      <w:r w:rsidR="00CB61E3" w:rsidRPr="007E463C">
        <w:rPr>
          <w:rFonts w:ascii="Arial" w:eastAsia="Times New Roman" w:hAnsi="Arial" w:cs="Arial"/>
          <w:sz w:val="20"/>
          <w:szCs w:val="20"/>
        </w:rPr>
        <w:t>,</w:t>
      </w:r>
      <w:r w:rsidR="002B1E0E" w:rsidRPr="007E463C">
        <w:rPr>
          <w:rFonts w:ascii="Arial" w:eastAsia="Times New Roman" w:hAnsi="Arial" w:cs="Arial"/>
          <w:sz w:val="20"/>
          <w:szCs w:val="20"/>
        </w:rPr>
        <w:t xml:space="preserve"> as </w:t>
      </w:r>
      <w:r w:rsidR="00CB61E3" w:rsidRPr="007E463C">
        <w:rPr>
          <w:rFonts w:ascii="Arial" w:eastAsia="Times New Roman" w:hAnsi="Arial" w:cs="Arial"/>
          <w:sz w:val="20"/>
          <w:szCs w:val="20"/>
        </w:rPr>
        <w:t xml:space="preserve">a </w:t>
      </w:r>
      <w:r w:rsidR="002B1E0E" w:rsidRPr="007E463C">
        <w:rPr>
          <w:rFonts w:ascii="Arial" w:eastAsia="Times New Roman" w:hAnsi="Arial" w:cs="Arial"/>
          <w:sz w:val="20"/>
          <w:szCs w:val="20"/>
        </w:rPr>
        <w:t xml:space="preserve">result of </w:t>
      </w:r>
      <w:r>
        <w:rPr>
          <w:rFonts w:ascii="Arial" w:eastAsia="Times New Roman" w:hAnsi="Arial" w:cs="Arial"/>
          <w:sz w:val="20"/>
          <w:szCs w:val="20"/>
        </w:rPr>
        <w:t xml:space="preserve">efficient showerheads and faucet aerators distributed in schools through Energy Trust’s </w:t>
      </w:r>
      <w:proofErr w:type="spellStart"/>
      <w:r>
        <w:rPr>
          <w:rFonts w:ascii="Arial" w:eastAsia="Times New Roman" w:hAnsi="Arial" w:cs="Arial"/>
          <w:sz w:val="20"/>
          <w:szCs w:val="20"/>
        </w:rPr>
        <w:t>LivingWise</w:t>
      </w:r>
      <w:proofErr w:type="spellEnd"/>
      <w:r>
        <w:rPr>
          <w:rFonts w:ascii="Arial" w:eastAsia="Times New Roman" w:hAnsi="Arial" w:cs="Arial"/>
          <w:sz w:val="20"/>
          <w:szCs w:val="20"/>
        </w:rPr>
        <w:t xml:space="preserve"> Kits and curriculum. </w:t>
      </w:r>
      <w:r w:rsidRPr="007E463C">
        <w:rPr>
          <w:rFonts w:ascii="Arial" w:eastAsia="Times New Roman" w:hAnsi="Arial" w:cs="Arial"/>
          <w:bCs/>
          <w:sz w:val="20"/>
          <w:szCs w:val="20"/>
        </w:rPr>
        <w:t>Working with regional school districts and the electric utility in Clark County, the prog</w:t>
      </w:r>
      <w:r>
        <w:rPr>
          <w:rFonts w:ascii="Arial" w:eastAsia="Times New Roman" w:hAnsi="Arial" w:cs="Arial"/>
          <w:bCs/>
          <w:sz w:val="20"/>
          <w:szCs w:val="20"/>
        </w:rPr>
        <w:t xml:space="preserve">ram distributed </w:t>
      </w:r>
      <w:r w:rsidR="00E96076">
        <w:rPr>
          <w:rFonts w:ascii="Arial" w:eastAsia="Times New Roman" w:hAnsi="Arial" w:cs="Arial"/>
          <w:bCs/>
          <w:sz w:val="20"/>
          <w:szCs w:val="20"/>
        </w:rPr>
        <w:t>360</w:t>
      </w:r>
      <w:r>
        <w:rPr>
          <w:rFonts w:ascii="Arial" w:eastAsia="Times New Roman" w:hAnsi="Arial" w:cs="Arial"/>
          <w:bCs/>
          <w:sz w:val="20"/>
          <w:szCs w:val="20"/>
        </w:rPr>
        <w:t xml:space="preserve"> </w:t>
      </w:r>
      <w:proofErr w:type="spellStart"/>
      <w:r>
        <w:rPr>
          <w:rFonts w:ascii="Arial" w:eastAsia="Times New Roman" w:hAnsi="Arial" w:cs="Arial"/>
          <w:bCs/>
          <w:sz w:val="20"/>
          <w:szCs w:val="20"/>
        </w:rPr>
        <w:t>LivingWise</w:t>
      </w:r>
      <w:proofErr w:type="spellEnd"/>
      <w:r>
        <w:rPr>
          <w:rFonts w:ascii="Arial" w:eastAsia="Times New Roman" w:hAnsi="Arial" w:cs="Arial"/>
          <w:bCs/>
          <w:sz w:val="20"/>
          <w:szCs w:val="20"/>
        </w:rPr>
        <w:t xml:space="preserve"> Kits to fifth</w:t>
      </w:r>
      <w:r w:rsidRPr="007E463C">
        <w:rPr>
          <w:rFonts w:ascii="Arial" w:eastAsia="Times New Roman" w:hAnsi="Arial" w:cs="Arial"/>
          <w:bCs/>
          <w:sz w:val="20"/>
          <w:szCs w:val="20"/>
        </w:rPr>
        <w:t xml:space="preserve"> graders at 10 schools in Clark County.</w:t>
      </w:r>
    </w:p>
    <w:p w14:paraId="7262F83A" w14:textId="1835C5E0" w:rsidR="0072313C" w:rsidRPr="007E463C" w:rsidRDefault="0072313C" w:rsidP="007E463C">
      <w:pPr>
        <w:pStyle w:val="ListParagraph"/>
        <w:numPr>
          <w:ilvl w:val="0"/>
          <w:numId w:val="13"/>
        </w:numPr>
        <w:spacing w:line="300" w:lineRule="auto"/>
        <w:rPr>
          <w:rFonts w:ascii="Arial" w:hAnsi="Arial" w:cs="Arial"/>
          <w:sz w:val="20"/>
          <w:szCs w:val="20"/>
        </w:rPr>
      </w:pPr>
      <w:r w:rsidRPr="0072313C">
        <w:rPr>
          <w:rFonts w:ascii="Arial" w:hAnsi="Arial" w:cs="Arial"/>
          <w:b/>
          <w:sz w:val="20"/>
          <w:szCs w:val="20"/>
        </w:rPr>
        <w:t>Existing Homes launched a new incentive for smart thermostats in Q4</w:t>
      </w:r>
      <w:r>
        <w:rPr>
          <w:rFonts w:ascii="Arial" w:hAnsi="Arial" w:cs="Arial"/>
          <w:sz w:val="20"/>
          <w:szCs w:val="20"/>
        </w:rPr>
        <w:t>, following a successful pilot that completed in Q2.</w:t>
      </w:r>
      <w:r w:rsidR="00CA21F7">
        <w:rPr>
          <w:rFonts w:ascii="Arial" w:hAnsi="Arial" w:cs="Arial"/>
          <w:sz w:val="20"/>
          <w:szCs w:val="20"/>
        </w:rPr>
        <w:t xml:space="preserve"> Nearly 40 smart thermostats were installed with the new incentive. </w:t>
      </w:r>
    </w:p>
    <w:p w14:paraId="48815338" w14:textId="588ACE3E" w:rsidR="00FE0CB7" w:rsidRPr="007E463C" w:rsidRDefault="009655F8" w:rsidP="007E463C">
      <w:pPr>
        <w:pStyle w:val="ListParagraph"/>
        <w:numPr>
          <w:ilvl w:val="0"/>
          <w:numId w:val="13"/>
        </w:numPr>
        <w:spacing w:line="300" w:lineRule="auto"/>
        <w:rPr>
          <w:rFonts w:ascii="Arial" w:eastAsia="Times New Roman" w:hAnsi="Arial" w:cs="Arial"/>
          <w:sz w:val="20"/>
          <w:szCs w:val="20"/>
        </w:rPr>
      </w:pPr>
      <w:r>
        <w:rPr>
          <w:rFonts w:ascii="Arial" w:eastAsia="Times New Roman" w:hAnsi="Arial" w:cs="Arial"/>
          <w:b/>
          <w:sz w:val="20"/>
          <w:szCs w:val="20"/>
        </w:rPr>
        <w:t>Energy Trust launched a financing offering with an option to repay loans for energy-efficiency upgrades through energy bills</w:t>
      </w:r>
      <w:r>
        <w:rPr>
          <w:rFonts w:ascii="Arial" w:eastAsia="Times New Roman" w:hAnsi="Arial" w:cs="Arial"/>
          <w:sz w:val="20"/>
          <w:szCs w:val="20"/>
        </w:rPr>
        <w:t>. In 2015, 23 southwest Washington customers applied for loans, including many for</w:t>
      </w:r>
      <w:r w:rsidR="00C32C31" w:rsidRPr="007E463C">
        <w:rPr>
          <w:rFonts w:ascii="Arial" w:eastAsia="Times New Roman" w:hAnsi="Arial" w:cs="Arial"/>
          <w:sz w:val="20"/>
          <w:szCs w:val="20"/>
        </w:rPr>
        <w:t xml:space="preserve"> gas furnaces</w:t>
      </w:r>
      <w:r w:rsidR="00FE0CB7" w:rsidRPr="007E463C">
        <w:rPr>
          <w:rFonts w:ascii="Arial" w:eastAsia="Times New Roman" w:hAnsi="Arial" w:cs="Arial"/>
          <w:sz w:val="20"/>
          <w:szCs w:val="20"/>
        </w:rPr>
        <w:t>.</w:t>
      </w:r>
      <w:r>
        <w:rPr>
          <w:rFonts w:ascii="Arial" w:eastAsia="Times New Roman" w:hAnsi="Arial" w:cs="Arial"/>
          <w:sz w:val="20"/>
          <w:szCs w:val="20"/>
        </w:rPr>
        <w:t xml:space="preserve"> </w:t>
      </w:r>
    </w:p>
    <w:p w14:paraId="02EC153B" w14:textId="77777777" w:rsidR="006C0590" w:rsidRPr="007E463C" w:rsidRDefault="006C0590" w:rsidP="007E463C">
      <w:pPr>
        <w:pStyle w:val="ListParagraph"/>
        <w:spacing w:line="300" w:lineRule="auto"/>
        <w:rPr>
          <w:rFonts w:ascii="Arial" w:hAnsi="Arial" w:cs="Arial"/>
          <w:iCs/>
          <w:color w:val="808080" w:themeColor="background1" w:themeShade="80"/>
          <w:sz w:val="20"/>
          <w:szCs w:val="20"/>
        </w:rPr>
      </w:pPr>
    </w:p>
    <w:p w14:paraId="35F72A69" w14:textId="1C7227FE" w:rsidR="006C0590" w:rsidRPr="007E463C" w:rsidRDefault="006C0590" w:rsidP="007E463C">
      <w:pPr>
        <w:spacing w:line="300" w:lineRule="auto"/>
        <w:ind w:left="360"/>
        <w:outlineLvl w:val="0"/>
        <w:rPr>
          <w:rFonts w:cs="Arial"/>
          <w:b/>
          <w:iCs/>
          <w:sz w:val="20"/>
        </w:rPr>
      </w:pPr>
      <w:r w:rsidRPr="007E463C">
        <w:rPr>
          <w:rFonts w:cs="Arial"/>
          <w:b/>
          <w:iCs/>
          <w:sz w:val="20"/>
        </w:rPr>
        <w:t xml:space="preserve">New Homes </w:t>
      </w:r>
      <w:r w:rsidR="00E1455E">
        <w:rPr>
          <w:rFonts w:cs="Arial"/>
          <w:b/>
          <w:iCs/>
          <w:sz w:val="20"/>
        </w:rPr>
        <w:t xml:space="preserve">and Products </w:t>
      </w:r>
    </w:p>
    <w:p w14:paraId="6622DDE7" w14:textId="46E1EF28" w:rsidR="006C0590" w:rsidRPr="007E463C" w:rsidRDefault="006C0590" w:rsidP="007E463C">
      <w:pPr>
        <w:pStyle w:val="ListParagraph"/>
        <w:numPr>
          <w:ilvl w:val="0"/>
          <w:numId w:val="13"/>
        </w:numPr>
        <w:spacing w:line="300" w:lineRule="auto"/>
        <w:contextualSpacing w:val="0"/>
        <w:rPr>
          <w:rFonts w:ascii="Arial" w:hAnsi="Arial" w:cs="Arial"/>
          <w:sz w:val="20"/>
          <w:szCs w:val="20"/>
        </w:rPr>
      </w:pPr>
      <w:r w:rsidRPr="007E463C">
        <w:rPr>
          <w:rFonts w:ascii="Arial" w:hAnsi="Arial" w:cs="Arial"/>
          <w:b/>
          <w:iCs/>
          <w:sz w:val="20"/>
          <w:szCs w:val="20"/>
        </w:rPr>
        <w:t xml:space="preserve">New Homes </w:t>
      </w:r>
      <w:r w:rsidR="00E1455E">
        <w:rPr>
          <w:rFonts w:ascii="Arial" w:hAnsi="Arial" w:cs="Arial"/>
          <w:b/>
          <w:iCs/>
          <w:sz w:val="20"/>
          <w:szCs w:val="20"/>
        </w:rPr>
        <w:t xml:space="preserve">and Products </w:t>
      </w:r>
      <w:r w:rsidRPr="007E463C">
        <w:rPr>
          <w:rFonts w:ascii="Arial" w:hAnsi="Arial" w:cs="Arial"/>
          <w:b/>
          <w:iCs/>
          <w:sz w:val="20"/>
          <w:szCs w:val="20"/>
        </w:rPr>
        <w:t xml:space="preserve">saved </w:t>
      </w:r>
      <w:r w:rsidRPr="009655F8">
        <w:rPr>
          <w:rFonts w:ascii="Arial" w:hAnsi="Arial" w:cs="Arial"/>
          <w:b/>
          <w:sz w:val="20"/>
          <w:szCs w:val="20"/>
        </w:rPr>
        <w:fldChar w:fldCharType="begin"/>
      </w:r>
      <w:r w:rsidRPr="009655F8">
        <w:rPr>
          <w:rFonts w:ascii="Arial" w:hAnsi="Arial" w:cs="Arial"/>
          <w:b/>
          <w:sz w:val="20"/>
          <w:szCs w:val="20"/>
        </w:rPr>
        <w:instrText xml:space="preserve"> INCLUDETEXT  "E:\\TRUST GENERAL\\Public Utility Commission\\Annual reports\\Automation\\QtrRpt_PageValuesWA.xml" \n xmlns:ns1=\"ETO\" \x ns1:Root/ns1:Metrics/ns1:Energy/ns1:Yr/ns1:GasEff/ns1:Res/ns1:Nh  \* MERGEFORMAT </w:instrText>
      </w:r>
      <w:r w:rsidRPr="009655F8">
        <w:rPr>
          <w:rFonts w:ascii="Arial" w:hAnsi="Arial" w:cs="Arial"/>
          <w:b/>
          <w:sz w:val="20"/>
          <w:szCs w:val="20"/>
        </w:rPr>
        <w:fldChar w:fldCharType="separate"/>
      </w:r>
      <w:r w:rsidR="007821C5" w:rsidRPr="009655F8">
        <w:rPr>
          <w:rFonts w:ascii="Arial" w:hAnsi="Arial" w:cs="Arial"/>
          <w:b/>
          <w:sz w:val="20"/>
          <w:szCs w:val="20"/>
        </w:rPr>
        <w:t>69</w:t>
      </w:r>
      <w:r w:rsidRPr="009655F8">
        <w:rPr>
          <w:rFonts w:ascii="Arial" w:hAnsi="Arial" w:cs="Arial"/>
          <w:b/>
          <w:sz w:val="20"/>
          <w:szCs w:val="20"/>
        </w:rPr>
        <w:t>,</w:t>
      </w:r>
      <w:r w:rsidR="007821C5" w:rsidRPr="009655F8">
        <w:rPr>
          <w:rFonts w:ascii="Arial" w:hAnsi="Arial" w:cs="Arial"/>
          <w:b/>
          <w:sz w:val="20"/>
          <w:szCs w:val="20"/>
        </w:rPr>
        <w:t>545</w:t>
      </w:r>
      <w:r w:rsidRPr="009655F8">
        <w:rPr>
          <w:rFonts w:ascii="Arial" w:hAnsi="Arial" w:cs="Arial"/>
          <w:b/>
          <w:sz w:val="20"/>
          <w:szCs w:val="20"/>
        </w:rPr>
        <w:t xml:space="preserve"> annual </w:t>
      </w:r>
      <w:proofErr w:type="spellStart"/>
      <w:r w:rsidRPr="009655F8">
        <w:rPr>
          <w:rFonts w:ascii="Arial" w:hAnsi="Arial" w:cs="Arial"/>
          <w:b/>
          <w:sz w:val="20"/>
          <w:szCs w:val="20"/>
        </w:rPr>
        <w:t>therms</w:t>
      </w:r>
      <w:proofErr w:type="spellEnd"/>
      <w:r w:rsidRPr="009655F8">
        <w:rPr>
          <w:rFonts w:ascii="Arial" w:hAnsi="Arial" w:cs="Arial"/>
          <w:b/>
          <w:sz w:val="20"/>
          <w:szCs w:val="20"/>
        </w:rPr>
        <w:fldChar w:fldCharType="end"/>
      </w:r>
      <w:r w:rsidRPr="009655F8">
        <w:rPr>
          <w:rFonts w:ascii="Arial" w:hAnsi="Arial" w:cs="Arial"/>
          <w:b/>
          <w:iCs/>
          <w:sz w:val="20"/>
          <w:szCs w:val="20"/>
        </w:rPr>
        <w:t xml:space="preserve">, </w:t>
      </w:r>
      <w:r w:rsidR="007821C5" w:rsidRPr="009655F8">
        <w:rPr>
          <w:rFonts w:ascii="Arial" w:hAnsi="Arial" w:cs="Arial"/>
          <w:b/>
          <w:iCs/>
          <w:sz w:val="20"/>
          <w:szCs w:val="20"/>
        </w:rPr>
        <w:t>24</w:t>
      </w:r>
      <w:r w:rsidRPr="009655F8">
        <w:rPr>
          <w:rFonts w:ascii="Arial" w:hAnsi="Arial" w:cs="Arial"/>
          <w:b/>
          <w:iCs/>
          <w:sz w:val="20"/>
          <w:szCs w:val="20"/>
        </w:rPr>
        <w:t xml:space="preserve"> percent </w:t>
      </w:r>
      <w:r w:rsidRPr="009655F8">
        <w:rPr>
          <w:rFonts w:ascii="Arial" w:hAnsi="Arial" w:cs="Arial"/>
          <w:b/>
          <w:sz w:val="20"/>
          <w:szCs w:val="20"/>
        </w:rPr>
        <w:t>more than the</w:t>
      </w:r>
      <w:r w:rsidR="009655F8">
        <w:rPr>
          <w:rFonts w:ascii="Arial" w:hAnsi="Arial" w:cs="Arial"/>
          <w:b/>
          <w:iCs/>
          <w:sz w:val="20"/>
          <w:szCs w:val="20"/>
        </w:rPr>
        <w:t xml:space="preserve"> </w:t>
      </w:r>
      <w:r w:rsidRPr="009655F8">
        <w:rPr>
          <w:rFonts w:ascii="Arial" w:hAnsi="Arial" w:cs="Arial"/>
          <w:b/>
          <w:iCs/>
          <w:sz w:val="20"/>
          <w:szCs w:val="20"/>
        </w:rPr>
        <w:t>goal</w:t>
      </w:r>
      <w:r w:rsidRPr="009655F8">
        <w:rPr>
          <w:rFonts w:ascii="Arial" w:hAnsi="Arial" w:cs="Arial"/>
          <w:iCs/>
          <w:sz w:val="20"/>
          <w:szCs w:val="20"/>
        </w:rPr>
        <w:t xml:space="preserve"> of </w:t>
      </w:r>
      <w:r w:rsidRPr="009655F8">
        <w:rPr>
          <w:rFonts w:ascii="Arial" w:hAnsi="Arial" w:cs="Arial"/>
          <w:sz w:val="20"/>
          <w:szCs w:val="20"/>
        </w:rPr>
        <w:fldChar w:fldCharType="begin"/>
      </w:r>
      <w:r w:rsidRPr="009655F8">
        <w:rPr>
          <w:rFonts w:ascii="Arial" w:hAnsi="Arial" w:cs="Arial"/>
          <w:sz w:val="20"/>
          <w:szCs w:val="20"/>
        </w:rPr>
        <w:instrText xml:space="preserve"> INCLUDETEXT  "E:\\TRUST GENERAL\\Public Utility Commission\\Annual reports\\Automation\\QtrRpt_PageValuesWA.xml" \n xmlns:ns1=\"ETO\" \x ns1:Root/ns1:Metrics/ns1:Goal/ns1:Yr/ns1:GasEff/ns1:Res/ns1:Nh  \* MERGEFORMAT </w:instrText>
      </w:r>
      <w:r w:rsidRPr="009655F8">
        <w:rPr>
          <w:rFonts w:ascii="Arial" w:hAnsi="Arial" w:cs="Arial"/>
          <w:sz w:val="20"/>
          <w:szCs w:val="20"/>
        </w:rPr>
        <w:fldChar w:fldCharType="separate"/>
      </w:r>
      <w:r w:rsidR="00ED46BE" w:rsidRPr="009655F8">
        <w:rPr>
          <w:rFonts w:ascii="Arial" w:hAnsi="Arial" w:cs="Arial"/>
          <w:sz w:val="20"/>
          <w:szCs w:val="20"/>
        </w:rPr>
        <w:t>55,915</w:t>
      </w:r>
      <w:r w:rsidRPr="009655F8">
        <w:rPr>
          <w:rFonts w:ascii="Arial" w:hAnsi="Arial" w:cs="Arial"/>
          <w:sz w:val="20"/>
          <w:szCs w:val="20"/>
        </w:rPr>
        <w:t xml:space="preserve"> annual </w:t>
      </w:r>
      <w:proofErr w:type="spellStart"/>
      <w:r w:rsidRPr="009655F8">
        <w:rPr>
          <w:rFonts w:ascii="Arial" w:hAnsi="Arial" w:cs="Arial"/>
          <w:sz w:val="20"/>
          <w:szCs w:val="20"/>
        </w:rPr>
        <w:t>therms</w:t>
      </w:r>
      <w:proofErr w:type="spellEnd"/>
      <w:r w:rsidRPr="009655F8">
        <w:rPr>
          <w:rFonts w:ascii="Arial" w:hAnsi="Arial" w:cs="Arial"/>
          <w:sz w:val="20"/>
          <w:szCs w:val="20"/>
        </w:rPr>
        <w:fldChar w:fldCharType="end"/>
      </w:r>
      <w:r w:rsidRPr="007E463C">
        <w:rPr>
          <w:rFonts w:ascii="Arial" w:hAnsi="Arial" w:cs="Arial"/>
          <w:sz w:val="20"/>
          <w:szCs w:val="20"/>
        </w:rPr>
        <w:t xml:space="preserve"> in 201</w:t>
      </w:r>
      <w:r w:rsidR="00527210" w:rsidRPr="007E463C">
        <w:rPr>
          <w:rFonts w:ascii="Arial" w:hAnsi="Arial" w:cs="Arial"/>
          <w:sz w:val="20"/>
          <w:szCs w:val="20"/>
        </w:rPr>
        <w:t>5</w:t>
      </w:r>
      <w:r w:rsidRPr="007E463C">
        <w:rPr>
          <w:rFonts w:ascii="Arial" w:hAnsi="Arial" w:cs="Arial"/>
          <w:iCs/>
          <w:sz w:val="20"/>
          <w:szCs w:val="20"/>
        </w:rPr>
        <w:t xml:space="preserve">. </w:t>
      </w:r>
    </w:p>
    <w:p w14:paraId="3E002042" w14:textId="4F575B81" w:rsidR="009655F8" w:rsidRDefault="00FE0CB7" w:rsidP="007E463C">
      <w:pPr>
        <w:pStyle w:val="ListParagraph"/>
        <w:numPr>
          <w:ilvl w:val="0"/>
          <w:numId w:val="13"/>
        </w:numPr>
        <w:spacing w:line="300" w:lineRule="auto"/>
        <w:rPr>
          <w:rFonts w:ascii="Arial" w:hAnsi="Arial" w:cs="Arial"/>
          <w:sz w:val="20"/>
          <w:szCs w:val="20"/>
        </w:rPr>
      </w:pPr>
      <w:r w:rsidRPr="009655F8">
        <w:rPr>
          <w:rFonts w:ascii="Arial" w:hAnsi="Arial" w:cs="Arial"/>
          <w:b/>
          <w:sz w:val="20"/>
          <w:szCs w:val="20"/>
        </w:rPr>
        <w:t xml:space="preserve">The program exceeded goals as a result of </w:t>
      </w:r>
      <w:r w:rsidR="009655F8">
        <w:rPr>
          <w:rFonts w:ascii="Arial" w:hAnsi="Arial" w:cs="Arial"/>
          <w:b/>
          <w:sz w:val="20"/>
          <w:szCs w:val="20"/>
        </w:rPr>
        <w:t xml:space="preserve">a strong </w:t>
      </w:r>
      <w:r w:rsidRPr="009655F8">
        <w:rPr>
          <w:rFonts w:ascii="Arial" w:hAnsi="Arial" w:cs="Arial"/>
          <w:b/>
          <w:sz w:val="20"/>
          <w:szCs w:val="20"/>
        </w:rPr>
        <w:t>new construction market</w:t>
      </w:r>
      <w:r w:rsidRPr="007E463C">
        <w:rPr>
          <w:rFonts w:ascii="Arial" w:hAnsi="Arial" w:cs="Arial"/>
          <w:sz w:val="20"/>
          <w:szCs w:val="20"/>
        </w:rPr>
        <w:t xml:space="preserve"> in </w:t>
      </w:r>
      <w:r w:rsidR="00CA21F7">
        <w:rPr>
          <w:rFonts w:ascii="Arial" w:hAnsi="Arial" w:cs="Arial"/>
          <w:sz w:val="20"/>
          <w:szCs w:val="20"/>
        </w:rPr>
        <w:t>S</w:t>
      </w:r>
      <w:r w:rsidR="009655F8">
        <w:rPr>
          <w:rFonts w:ascii="Arial" w:hAnsi="Arial" w:cs="Arial"/>
          <w:sz w:val="20"/>
          <w:szCs w:val="20"/>
        </w:rPr>
        <w:t xml:space="preserve">outhwest Washington. In 2015, nearly 2,200 new construction permits were issued, a 40 percent increase compared to 2014. </w:t>
      </w:r>
    </w:p>
    <w:p w14:paraId="689ED05C" w14:textId="77777777" w:rsidR="0044746D" w:rsidRPr="0044746D" w:rsidRDefault="00610697" w:rsidP="00D302BB">
      <w:pPr>
        <w:pStyle w:val="ListParagraph"/>
        <w:numPr>
          <w:ilvl w:val="0"/>
          <w:numId w:val="13"/>
        </w:numPr>
        <w:spacing w:line="300" w:lineRule="auto"/>
        <w:rPr>
          <w:rFonts w:ascii="Arial" w:hAnsi="Arial" w:cs="Arial"/>
          <w:sz w:val="20"/>
          <w:szCs w:val="20"/>
        </w:rPr>
      </w:pPr>
      <w:r w:rsidRPr="0044746D">
        <w:rPr>
          <w:rFonts w:ascii="Arial" w:eastAsia="Times New Roman" w:hAnsi="Arial" w:cs="Arial"/>
          <w:b/>
          <w:sz w:val="20"/>
          <w:szCs w:val="20"/>
        </w:rPr>
        <w:t xml:space="preserve">The program worked with our verifier network to increase </w:t>
      </w:r>
      <w:r w:rsidR="00893E74" w:rsidRPr="0044746D">
        <w:rPr>
          <w:rFonts w:ascii="Arial" w:eastAsia="Times New Roman" w:hAnsi="Arial" w:cs="Arial"/>
          <w:b/>
          <w:sz w:val="20"/>
          <w:szCs w:val="20"/>
        </w:rPr>
        <w:t xml:space="preserve">builder </w:t>
      </w:r>
      <w:r w:rsidRPr="0044746D">
        <w:rPr>
          <w:rFonts w:ascii="Arial" w:eastAsia="Times New Roman" w:hAnsi="Arial" w:cs="Arial"/>
          <w:b/>
          <w:sz w:val="20"/>
          <w:szCs w:val="20"/>
        </w:rPr>
        <w:t>participation</w:t>
      </w:r>
      <w:r w:rsidR="00893E74" w:rsidRPr="0044746D">
        <w:rPr>
          <w:rFonts w:ascii="Arial" w:eastAsia="Times New Roman" w:hAnsi="Arial" w:cs="Arial"/>
          <w:b/>
          <w:sz w:val="20"/>
          <w:szCs w:val="20"/>
        </w:rPr>
        <w:t>.</w:t>
      </w:r>
      <w:r w:rsidR="00893E74" w:rsidRPr="0044746D">
        <w:rPr>
          <w:rFonts w:ascii="Arial" w:eastAsia="Times New Roman" w:hAnsi="Arial" w:cs="Arial"/>
          <w:bCs/>
          <w:sz w:val="20"/>
          <w:szCs w:val="20"/>
        </w:rPr>
        <w:t xml:space="preserve"> </w:t>
      </w:r>
      <w:r w:rsidR="00921BD5" w:rsidRPr="0044746D">
        <w:rPr>
          <w:rFonts w:ascii="Arial" w:eastAsia="Times New Roman" w:hAnsi="Arial" w:cs="Arial"/>
          <w:bCs/>
          <w:sz w:val="20"/>
          <w:szCs w:val="20"/>
        </w:rPr>
        <w:t>Outreach was targeted to</w:t>
      </w:r>
      <w:r w:rsidR="00893E74" w:rsidRPr="0044746D">
        <w:rPr>
          <w:rFonts w:ascii="Arial" w:eastAsia="Times New Roman" w:hAnsi="Arial" w:cs="Arial"/>
          <w:bCs/>
          <w:sz w:val="20"/>
          <w:szCs w:val="20"/>
        </w:rPr>
        <w:t xml:space="preserve"> verifiers to drive builder participation and support application submission.</w:t>
      </w:r>
    </w:p>
    <w:p w14:paraId="6833B0CD" w14:textId="066E069C" w:rsidR="00921BD5" w:rsidRPr="0044746D" w:rsidRDefault="0044746D" w:rsidP="00D302BB">
      <w:pPr>
        <w:pStyle w:val="ListParagraph"/>
        <w:numPr>
          <w:ilvl w:val="0"/>
          <w:numId w:val="13"/>
        </w:numPr>
        <w:spacing w:line="300" w:lineRule="auto"/>
        <w:rPr>
          <w:rFonts w:ascii="Arial" w:hAnsi="Arial" w:cs="Arial"/>
          <w:sz w:val="20"/>
          <w:szCs w:val="20"/>
        </w:rPr>
      </w:pPr>
      <w:r>
        <w:rPr>
          <w:rFonts w:ascii="Arial" w:hAnsi="Arial" w:cs="Arial"/>
          <w:b/>
          <w:sz w:val="20"/>
          <w:szCs w:val="20"/>
        </w:rPr>
        <w:t>Newly built ENERGY STAR® certified homes</w:t>
      </w:r>
      <w:r w:rsidR="00921BD5" w:rsidRPr="0044746D">
        <w:rPr>
          <w:rFonts w:ascii="Arial" w:hAnsi="Arial" w:cs="Arial"/>
          <w:b/>
          <w:sz w:val="20"/>
          <w:szCs w:val="20"/>
        </w:rPr>
        <w:t xml:space="preserve"> contributed 64 percent of all New Homes savings</w:t>
      </w:r>
      <w:r w:rsidR="00CA21F7" w:rsidRPr="00CA21F7">
        <w:rPr>
          <w:rFonts w:ascii="Arial" w:hAnsi="Arial" w:cs="Arial"/>
          <w:sz w:val="20"/>
          <w:szCs w:val="20"/>
        </w:rPr>
        <w:t>. These</w:t>
      </w:r>
      <w:r w:rsidR="00921BD5" w:rsidRPr="0044746D">
        <w:rPr>
          <w:rFonts w:ascii="Arial" w:hAnsi="Arial" w:cs="Arial"/>
          <w:sz w:val="20"/>
          <w:szCs w:val="20"/>
        </w:rPr>
        <w:t xml:space="preserve"> nearly 400 homes represent 18 percent of total new construction market activity in </w:t>
      </w:r>
      <w:r w:rsidR="005904A5">
        <w:rPr>
          <w:rFonts w:ascii="Arial" w:hAnsi="Arial" w:cs="Arial"/>
          <w:sz w:val="20"/>
          <w:szCs w:val="20"/>
        </w:rPr>
        <w:t>S</w:t>
      </w:r>
      <w:r w:rsidR="00921BD5" w:rsidRPr="0044746D">
        <w:rPr>
          <w:rFonts w:ascii="Arial" w:hAnsi="Arial" w:cs="Arial"/>
          <w:sz w:val="20"/>
          <w:szCs w:val="20"/>
        </w:rPr>
        <w:t>outhwest Washington.</w:t>
      </w:r>
    </w:p>
    <w:p w14:paraId="2E481136" w14:textId="19AB3448" w:rsidR="00921BD5" w:rsidRPr="00921BD5" w:rsidRDefault="00921BD5" w:rsidP="007E463C">
      <w:pPr>
        <w:pStyle w:val="ListParagraph"/>
        <w:numPr>
          <w:ilvl w:val="0"/>
          <w:numId w:val="13"/>
        </w:numPr>
        <w:spacing w:line="300" w:lineRule="auto"/>
        <w:rPr>
          <w:rFonts w:ascii="Arial" w:eastAsia="Times New Roman" w:hAnsi="Arial" w:cs="Arial"/>
          <w:bCs/>
          <w:sz w:val="20"/>
          <w:szCs w:val="20"/>
        </w:rPr>
      </w:pPr>
      <w:r w:rsidRPr="00C17BCF">
        <w:rPr>
          <w:rFonts w:ascii="Arial" w:eastAsia="Times New Roman" w:hAnsi="Arial" w:cs="Arial"/>
          <w:b/>
          <w:sz w:val="20"/>
          <w:szCs w:val="20"/>
        </w:rPr>
        <w:t xml:space="preserve">New Homes </w:t>
      </w:r>
      <w:r w:rsidR="00E1455E">
        <w:rPr>
          <w:rFonts w:ascii="Arial" w:eastAsia="Times New Roman" w:hAnsi="Arial" w:cs="Arial"/>
          <w:b/>
          <w:sz w:val="20"/>
          <w:szCs w:val="20"/>
        </w:rPr>
        <w:t xml:space="preserve">and Products </w:t>
      </w:r>
      <w:r w:rsidRPr="00C17BCF">
        <w:rPr>
          <w:rFonts w:ascii="Arial" w:eastAsia="Times New Roman" w:hAnsi="Arial" w:cs="Arial"/>
          <w:b/>
          <w:sz w:val="20"/>
          <w:szCs w:val="20"/>
        </w:rPr>
        <w:t>developed an EPS™ offering to launch in 2016</w:t>
      </w:r>
      <w:r>
        <w:rPr>
          <w:rFonts w:ascii="Arial" w:eastAsia="Times New Roman" w:hAnsi="Arial" w:cs="Arial"/>
          <w:sz w:val="20"/>
          <w:szCs w:val="20"/>
        </w:rPr>
        <w:t xml:space="preserve"> for new homes built in </w:t>
      </w:r>
      <w:r w:rsidR="00CA21F7">
        <w:rPr>
          <w:rFonts w:ascii="Arial" w:eastAsia="Times New Roman" w:hAnsi="Arial" w:cs="Arial"/>
          <w:sz w:val="20"/>
          <w:szCs w:val="20"/>
        </w:rPr>
        <w:t>S</w:t>
      </w:r>
      <w:r>
        <w:rPr>
          <w:rFonts w:ascii="Arial" w:eastAsia="Times New Roman" w:hAnsi="Arial" w:cs="Arial"/>
          <w:sz w:val="20"/>
          <w:szCs w:val="20"/>
        </w:rPr>
        <w:t xml:space="preserve">outhwest Washington. EPS is an energy performance score that helps homebuyers understand and compare the energy-efficiency of </w:t>
      </w:r>
      <w:r w:rsidR="00CA21F7">
        <w:rPr>
          <w:rFonts w:ascii="Arial" w:eastAsia="Times New Roman" w:hAnsi="Arial" w:cs="Arial"/>
          <w:sz w:val="20"/>
          <w:szCs w:val="20"/>
        </w:rPr>
        <w:t>newly built</w:t>
      </w:r>
      <w:r>
        <w:rPr>
          <w:rFonts w:ascii="Arial" w:eastAsia="Times New Roman" w:hAnsi="Arial" w:cs="Arial"/>
          <w:sz w:val="20"/>
          <w:szCs w:val="20"/>
        </w:rPr>
        <w:t xml:space="preserve"> homes. </w:t>
      </w:r>
    </w:p>
    <w:p w14:paraId="3C7DA311" w14:textId="69F8DA5E" w:rsidR="00CC0F6E" w:rsidRPr="00C17BCF" w:rsidRDefault="00DF597F" w:rsidP="00D302BB">
      <w:pPr>
        <w:pStyle w:val="ListParagraph"/>
        <w:numPr>
          <w:ilvl w:val="0"/>
          <w:numId w:val="13"/>
        </w:numPr>
        <w:spacing w:line="300" w:lineRule="auto"/>
        <w:rPr>
          <w:rFonts w:ascii="Arial" w:hAnsi="Arial" w:cs="Arial"/>
          <w:sz w:val="20"/>
          <w:szCs w:val="20"/>
        </w:rPr>
      </w:pPr>
      <w:r w:rsidRPr="00C17BCF">
        <w:rPr>
          <w:rFonts w:ascii="Arial" w:hAnsi="Arial" w:cs="Arial"/>
          <w:b/>
          <w:sz w:val="20"/>
          <w:szCs w:val="20"/>
        </w:rPr>
        <w:t>The retail</w:t>
      </w:r>
      <w:r w:rsidR="00CC0F6E" w:rsidRPr="00C17BCF">
        <w:rPr>
          <w:rFonts w:ascii="Arial" w:hAnsi="Arial" w:cs="Arial"/>
          <w:b/>
          <w:sz w:val="20"/>
          <w:szCs w:val="20"/>
        </w:rPr>
        <w:t xml:space="preserve"> </w:t>
      </w:r>
      <w:r w:rsidRPr="00C17BCF">
        <w:rPr>
          <w:rFonts w:ascii="Arial" w:hAnsi="Arial" w:cs="Arial"/>
          <w:b/>
          <w:sz w:val="20"/>
          <w:szCs w:val="20"/>
        </w:rPr>
        <w:t>c</w:t>
      </w:r>
      <w:r w:rsidR="00CC0F6E" w:rsidRPr="00C17BCF">
        <w:rPr>
          <w:rFonts w:ascii="Arial" w:hAnsi="Arial" w:cs="Arial"/>
          <w:b/>
          <w:sz w:val="20"/>
          <w:szCs w:val="20"/>
        </w:rPr>
        <w:t>lothes washer incentive for gas customers</w:t>
      </w:r>
      <w:r w:rsidRPr="00C17BCF">
        <w:rPr>
          <w:rFonts w:ascii="Arial" w:hAnsi="Arial" w:cs="Arial"/>
          <w:b/>
          <w:sz w:val="20"/>
          <w:szCs w:val="20"/>
        </w:rPr>
        <w:t xml:space="preserve"> was discontinued at the end of 2015</w:t>
      </w:r>
      <w:r w:rsidR="00893E74" w:rsidRPr="00C17BCF">
        <w:rPr>
          <w:rFonts w:ascii="Arial" w:hAnsi="Arial" w:cs="Arial"/>
          <w:b/>
          <w:sz w:val="20"/>
          <w:szCs w:val="20"/>
        </w:rPr>
        <w:t xml:space="preserve"> </w:t>
      </w:r>
      <w:r w:rsidR="00893E74" w:rsidRPr="00C17BCF">
        <w:rPr>
          <w:rFonts w:ascii="Arial" w:hAnsi="Arial" w:cs="Arial"/>
          <w:sz w:val="20"/>
          <w:szCs w:val="20"/>
        </w:rPr>
        <w:t>d</w:t>
      </w:r>
      <w:r w:rsidR="00CC0F6E" w:rsidRPr="00C17BCF">
        <w:rPr>
          <w:rFonts w:ascii="Arial" w:hAnsi="Arial" w:cs="Arial"/>
          <w:sz w:val="20"/>
          <w:szCs w:val="20"/>
        </w:rPr>
        <w:t xml:space="preserve">ue to </w:t>
      </w:r>
      <w:r w:rsidR="00E377F4">
        <w:rPr>
          <w:rFonts w:ascii="Arial" w:hAnsi="Arial" w:cs="Arial"/>
          <w:sz w:val="20"/>
          <w:szCs w:val="20"/>
        </w:rPr>
        <w:t>an increase</w:t>
      </w:r>
      <w:r w:rsidR="00CC0F6E" w:rsidRPr="00C17BCF">
        <w:rPr>
          <w:rFonts w:ascii="Arial" w:hAnsi="Arial" w:cs="Arial"/>
          <w:sz w:val="20"/>
          <w:szCs w:val="20"/>
        </w:rPr>
        <w:t xml:space="preserve"> </w:t>
      </w:r>
      <w:r w:rsidR="00E377F4">
        <w:rPr>
          <w:rFonts w:ascii="Arial" w:hAnsi="Arial" w:cs="Arial"/>
          <w:sz w:val="20"/>
          <w:szCs w:val="20"/>
        </w:rPr>
        <w:t>in</w:t>
      </w:r>
      <w:r w:rsidR="00CC0F6E" w:rsidRPr="00C17BCF">
        <w:rPr>
          <w:rFonts w:ascii="Arial" w:hAnsi="Arial" w:cs="Arial"/>
          <w:sz w:val="20"/>
          <w:szCs w:val="20"/>
        </w:rPr>
        <w:t xml:space="preserve"> the federal </w:t>
      </w:r>
      <w:r w:rsidR="00E377F4">
        <w:rPr>
          <w:rFonts w:ascii="Arial" w:hAnsi="Arial" w:cs="Arial"/>
          <w:sz w:val="20"/>
          <w:szCs w:val="20"/>
        </w:rPr>
        <w:t xml:space="preserve">energy code </w:t>
      </w:r>
      <w:r w:rsidR="00CC0F6E" w:rsidRPr="00C17BCF">
        <w:rPr>
          <w:rFonts w:ascii="Arial" w:hAnsi="Arial" w:cs="Arial"/>
          <w:sz w:val="20"/>
          <w:szCs w:val="20"/>
        </w:rPr>
        <w:t>baseline</w:t>
      </w:r>
      <w:r w:rsidR="00E377F4">
        <w:rPr>
          <w:rFonts w:ascii="Arial" w:hAnsi="Arial" w:cs="Arial"/>
          <w:sz w:val="20"/>
          <w:szCs w:val="20"/>
        </w:rPr>
        <w:t>.</w:t>
      </w:r>
    </w:p>
    <w:p w14:paraId="49A32A51" w14:textId="77777777" w:rsidR="00C17BCF" w:rsidRPr="007E463C" w:rsidRDefault="00C17BCF" w:rsidP="007E463C">
      <w:pPr>
        <w:spacing w:line="300" w:lineRule="auto"/>
        <w:ind w:left="720"/>
        <w:outlineLvl w:val="0"/>
        <w:rPr>
          <w:rFonts w:cs="Arial"/>
          <w:iCs/>
          <w:sz w:val="20"/>
        </w:rPr>
      </w:pPr>
    </w:p>
    <w:p w14:paraId="48AC6856" w14:textId="77777777" w:rsidR="006C0590" w:rsidRPr="000C7C13" w:rsidRDefault="006C0590" w:rsidP="007E463C">
      <w:pPr>
        <w:numPr>
          <w:ilvl w:val="0"/>
          <w:numId w:val="6"/>
        </w:numPr>
        <w:spacing w:line="300" w:lineRule="auto"/>
        <w:ind w:left="270" w:hanging="270"/>
        <w:outlineLvl w:val="0"/>
        <w:rPr>
          <w:rFonts w:cs="Arial"/>
          <w:b/>
          <w:sz w:val="24"/>
          <w:szCs w:val="24"/>
        </w:rPr>
      </w:pPr>
      <w:r w:rsidRPr="000C7C13">
        <w:rPr>
          <w:rFonts w:cs="Arial"/>
          <w:b/>
          <w:sz w:val="24"/>
          <w:szCs w:val="24"/>
        </w:rPr>
        <w:t xml:space="preserve"> Trade Ally Network highlights</w:t>
      </w:r>
    </w:p>
    <w:p w14:paraId="450139ED" w14:textId="77777777" w:rsidR="00C17BCF" w:rsidRPr="00C17BCF" w:rsidRDefault="00C17BCF" w:rsidP="00C17BCF">
      <w:pPr>
        <w:pStyle w:val="ListParagraph"/>
        <w:numPr>
          <w:ilvl w:val="0"/>
          <w:numId w:val="28"/>
        </w:numPr>
        <w:spacing w:line="300" w:lineRule="auto"/>
        <w:outlineLvl w:val="0"/>
        <w:rPr>
          <w:rFonts w:ascii="Arial" w:hAnsi="Arial" w:cs="Arial"/>
          <w:iCs/>
          <w:sz w:val="20"/>
        </w:rPr>
      </w:pPr>
      <w:r w:rsidRPr="00C17BCF">
        <w:rPr>
          <w:rFonts w:ascii="Arial" w:hAnsi="Arial" w:cs="Arial"/>
          <w:b/>
          <w:iCs/>
          <w:sz w:val="20"/>
        </w:rPr>
        <w:t>By year-end, 191 trade allies served Washington</w:t>
      </w:r>
      <w:r w:rsidRPr="00C17BCF">
        <w:rPr>
          <w:rFonts w:ascii="Arial" w:hAnsi="Arial" w:cs="Arial"/>
          <w:iCs/>
          <w:sz w:val="20"/>
        </w:rPr>
        <w:t xml:space="preserve">, including 79 </w:t>
      </w:r>
      <w:r w:rsidRPr="0036566B">
        <w:rPr>
          <w:rFonts w:ascii="Arial" w:hAnsi="Arial" w:cs="Arial"/>
          <w:i/>
          <w:iCs/>
          <w:sz w:val="20"/>
        </w:rPr>
        <w:t>based</w:t>
      </w:r>
      <w:r w:rsidRPr="00C17BCF">
        <w:rPr>
          <w:rFonts w:ascii="Arial" w:hAnsi="Arial" w:cs="Arial"/>
          <w:iCs/>
          <w:sz w:val="20"/>
        </w:rPr>
        <w:t xml:space="preserve"> in Washington. </w:t>
      </w:r>
    </w:p>
    <w:p w14:paraId="5B181DA6" w14:textId="77777777" w:rsidR="00C17BCF" w:rsidRPr="00C17BCF" w:rsidRDefault="00C17BCF" w:rsidP="00C17BCF">
      <w:pPr>
        <w:pStyle w:val="ListParagraph"/>
        <w:numPr>
          <w:ilvl w:val="0"/>
          <w:numId w:val="28"/>
        </w:numPr>
        <w:spacing w:line="300" w:lineRule="auto"/>
        <w:outlineLvl w:val="0"/>
        <w:rPr>
          <w:rFonts w:ascii="Arial" w:hAnsi="Arial" w:cs="Arial"/>
          <w:iCs/>
          <w:sz w:val="20"/>
        </w:rPr>
      </w:pPr>
      <w:r w:rsidRPr="00C17BCF">
        <w:rPr>
          <w:rFonts w:ascii="Arial" w:hAnsi="Arial" w:cs="Arial"/>
          <w:b/>
          <w:iCs/>
          <w:sz w:val="20"/>
        </w:rPr>
        <w:t>Energy Trust enrolled 27 new trade allies serving Washington in 2015</w:t>
      </w:r>
      <w:r w:rsidRPr="00C17BCF">
        <w:rPr>
          <w:rFonts w:ascii="Arial" w:hAnsi="Arial" w:cs="Arial"/>
          <w:iCs/>
          <w:sz w:val="20"/>
        </w:rPr>
        <w:t xml:space="preserve">. </w:t>
      </w:r>
    </w:p>
    <w:p w14:paraId="4736605E" w14:textId="6D89CFE8" w:rsidR="00C17BCF" w:rsidRPr="00C17BCF" w:rsidRDefault="00C17BCF" w:rsidP="00C17BCF">
      <w:pPr>
        <w:pStyle w:val="ListParagraph"/>
        <w:numPr>
          <w:ilvl w:val="0"/>
          <w:numId w:val="28"/>
        </w:numPr>
        <w:spacing w:line="300" w:lineRule="auto"/>
        <w:outlineLvl w:val="0"/>
        <w:rPr>
          <w:rFonts w:ascii="Arial" w:hAnsi="Arial" w:cs="Arial"/>
          <w:iCs/>
          <w:sz w:val="20"/>
        </w:rPr>
      </w:pPr>
      <w:r>
        <w:rPr>
          <w:rFonts w:ascii="Arial" w:hAnsi="Arial" w:cs="Arial"/>
          <w:b/>
          <w:iCs/>
          <w:sz w:val="20"/>
        </w:rPr>
        <w:t>Energy Trust held two n</w:t>
      </w:r>
      <w:r w:rsidRPr="00C17BCF">
        <w:rPr>
          <w:rFonts w:ascii="Arial" w:hAnsi="Arial" w:cs="Arial"/>
          <w:b/>
          <w:iCs/>
          <w:sz w:val="20"/>
        </w:rPr>
        <w:t>etworking events exclusively for Washington trade allies</w:t>
      </w:r>
      <w:r w:rsidR="006B537B" w:rsidRPr="0036566B">
        <w:rPr>
          <w:rFonts w:ascii="Arial" w:hAnsi="Arial" w:cs="Arial"/>
          <w:iCs/>
          <w:sz w:val="20"/>
        </w:rPr>
        <w:t>, one</w:t>
      </w:r>
      <w:r w:rsidRPr="0036566B">
        <w:rPr>
          <w:rFonts w:ascii="Arial" w:hAnsi="Arial" w:cs="Arial"/>
          <w:iCs/>
          <w:sz w:val="20"/>
        </w:rPr>
        <w:t xml:space="preserve"> in June and </w:t>
      </w:r>
      <w:r w:rsidR="006B537B" w:rsidRPr="0036566B">
        <w:rPr>
          <w:rFonts w:ascii="Arial" w:hAnsi="Arial" w:cs="Arial"/>
          <w:iCs/>
          <w:sz w:val="20"/>
        </w:rPr>
        <w:t xml:space="preserve">one in </w:t>
      </w:r>
      <w:r w:rsidRPr="0036566B">
        <w:rPr>
          <w:rFonts w:ascii="Arial" w:hAnsi="Arial" w:cs="Arial"/>
          <w:iCs/>
          <w:sz w:val="20"/>
        </w:rPr>
        <w:t>December.</w:t>
      </w:r>
      <w:r w:rsidRPr="00C17BCF">
        <w:rPr>
          <w:rFonts w:ascii="Arial" w:hAnsi="Arial" w:cs="Arial"/>
          <w:iCs/>
          <w:sz w:val="20"/>
        </w:rPr>
        <w:t xml:space="preserve"> Open to Existing Homes and </w:t>
      </w:r>
      <w:proofErr w:type="gramStart"/>
      <w:r w:rsidRPr="00C17BCF">
        <w:rPr>
          <w:rFonts w:ascii="Arial" w:hAnsi="Arial" w:cs="Arial"/>
          <w:iCs/>
          <w:sz w:val="20"/>
        </w:rPr>
        <w:t>Existing Buildings</w:t>
      </w:r>
      <w:proofErr w:type="gramEnd"/>
      <w:r w:rsidRPr="00C17BCF">
        <w:rPr>
          <w:rFonts w:ascii="Arial" w:hAnsi="Arial" w:cs="Arial"/>
          <w:iCs/>
          <w:sz w:val="20"/>
        </w:rPr>
        <w:t xml:space="preserve"> trade allies, attendance and engagement at these networking events continued to grow in 2015.</w:t>
      </w:r>
    </w:p>
    <w:p w14:paraId="0C1BC1AE" w14:textId="77777777" w:rsidR="00C17BCF" w:rsidRPr="00C17BCF" w:rsidRDefault="00C17BCF" w:rsidP="00C17BCF">
      <w:pPr>
        <w:pStyle w:val="ListParagraph"/>
        <w:numPr>
          <w:ilvl w:val="0"/>
          <w:numId w:val="28"/>
        </w:numPr>
        <w:spacing w:line="300" w:lineRule="auto"/>
        <w:outlineLvl w:val="0"/>
        <w:rPr>
          <w:rFonts w:ascii="Arial" w:hAnsi="Arial" w:cs="Arial"/>
          <w:iCs/>
          <w:sz w:val="20"/>
        </w:rPr>
      </w:pPr>
      <w:r w:rsidRPr="00C17BCF">
        <w:rPr>
          <w:rFonts w:ascii="Arial" w:hAnsi="Arial" w:cs="Arial"/>
          <w:b/>
          <w:iCs/>
          <w:sz w:val="20"/>
        </w:rPr>
        <w:t>New Homes hosted two breakfast events for verifiers in 2015</w:t>
      </w:r>
      <w:r w:rsidRPr="00C17BCF">
        <w:rPr>
          <w:rFonts w:ascii="Arial" w:hAnsi="Arial" w:cs="Arial"/>
          <w:iCs/>
          <w:sz w:val="20"/>
        </w:rPr>
        <w:t>, one in early 2015 to discuss program updates and one in October to discuss the program transition to EPS. </w:t>
      </w:r>
    </w:p>
    <w:p w14:paraId="4EE7E08D" w14:textId="77777777" w:rsidR="00C17BCF" w:rsidRDefault="00C17BCF" w:rsidP="00C17BCF">
      <w:pPr>
        <w:pStyle w:val="ListParagraph"/>
        <w:spacing w:line="300" w:lineRule="auto"/>
        <w:ind w:left="0"/>
        <w:rPr>
          <w:rFonts w:ascii="Arial" w:hAnsi="Arial" w:cs="Arial"/>
          <w:b/>
        </w:rPr>
      </w:pPr>
      <w:r w:rsidRPr="002F7914">
        <w:rPr>
          <w:rFonts w:ascii="Arial" w:hAnsi="Arial" w:cs="Arial"/>
          <w:b/>
        </w:rPr>
        <w:t xml:space="preserve"> </w:t>
      </w:r>
    </w:p>
    <w:p w14:paraId="6B3793B8" w14:textId="730523F9" w:rsidR="006C0590" w:rsidRPr="000C7C13" w:rsidRDefault="00C17BCF" w:rsidP="000C7C13">
      <w:pPr>
        <w:spacing w:after="200" w:line="276" w:lineRule="auto"/>
        <w:rPr>
          <w:rFonts w:cs="Arial"/>
          <w:b/>
          <w:sz w:val="24"/>
          <w:szCs w:val="24"/>
          <w:lang w:val="fr-FR"/>
        </w:rPr>
      </w:pPr>
      <w:r>
        <w:rPr>
          <w:rFonts w:cs="Arial"/>
          <w:b/>
        </w:rPr>
        <w:br w:type="page"/>
      </w:r>
      <w:r w:rsidR="006C0590" w:rsidRPr="000C7C13">
        <w:rPr>
          <w:rFonts w:cs="Arial"/>
          <w:b/>
          <w:sz w:val="24"/>
          <w:szCs w:val="24"/>
        </w:rPr>
        <w:lastRenderedPageBreak/>
        <w:t xml:space="preserve">III. </w:t>
      </w:r>
      <w:r w:rsidR="006C0590" w:rsidRPr="000C7C13">
        <w:rPr>
          <w:rFonts w:cs="Arial"/>
          <w:b/>
          <w:sz w:val="24"/>
          <w:szCs w:val="24"/>
        </w:rPr>
        <w:tab/>
        <w:t>ANNUAL RESULTS</w:t>
      </w:r>
      <w:r w:rsidR="006C0590" w:rsidRPr="000C7C13">
        <w:rPr>
          <w:rFonts w:cs="Arial"/>
          <w:b/>
          <w:sz w:val="24"/>
          <w:szCs w:val="24"/>
          <w:lang w:val="fr-FR"/>
        </w:rPr>
        <w:tab/>
      </w:r>
    </w:p>
    <w:p w14:paraId="4E2AF600" w14:textId="39C363CB" w:rsidR="006C0590" w:rsidRPr="000C7C13" w:rsidRDefault="006C0590" w:rsidP="007D5F2B">
      <w:pPr>
        <w:pStyle w:val="ListParagraph"/>
        <w:numPr>
          <w:ilvl w:val="0"/>
          <w:numId w:val="7"/>
        </w:numPr>
        <w:spacing w:line="300" w:lineRule="auto"/>
        <w:rPr>
          <w:rFonts w:ascii="Arial" w:hAnsi="Arial" w:cs="Arial"/>
          <w:b/>
          <w:lang w:val="fr-FR"/>
        </w:rPr>
      </w:pPr>
      <w:r w:rsidRPr="000C7C13">
        <w:rPr>
          <w:rFonts w:ascii="Arial" w:hAnsi="Arial" w:cs="Arial"/>
          <w:b/>
          <w:lang w:val="fr-FR"/>
        </w:rPr>
        <w:t xml:space="preserve">Activity </w:t>
      </w:r>
      <w:proofErr w:type="spellStart"/>
      <w:r w:rsidRPr="000C7C13">
        <w:rPr>
          <w:rFonts w:ascii="Arial" w:hAnsi="Arial" w:cs="Arial"/>
          <w:b/>
          <w:lang w:val="fr-FR"/>
        </w:rPr>
        <w:t>highlights</w:t>
      </w:r>
      <w:proofErr w:type="spellEnd"/>
      <w:r w:rsidRPr="000C7C13">
        <w:rPr>
          <w:rFonts w:ascii="Arial" w:hAnsi="Arial" w:cs="Arial"/>
          <w:b/>
          <w:lang w:val="fr-FR"/>
        </w:rPr>
        <w:t xml:space="preserve">—sites </w:t>
      </w:r>
      <w:proofErr w:type="spellStart"/>
      <w:r w:rsidRPr="000C7C13">
        <w:rPr>
          <w:rFonts w:ascii="Arial" w:hAnsi="Arial" w:cs="Arial"/>
          <w:b/>
          <w:lang w:val="fr-FR"/>
        </w:rPr>
        <w:t>served</w:t>
      </w:r>
      <w:proofErr w:type="spellEnd"/>
      <w:r w:rsidRPr="000C7C13">
        <w:rPr>
          <w:rFonts w:ascii="Arial" w:hAnsi="Arial" w:cs="Arial"/>
          <w:b/>
          <w:lang w:val="fr-FR"/>
        </w:rPr>
        <w:t xml:space="preserve"> </w:t>
      </w:r>
    </w:p>
    <w:p w14:paraId="612C3717" w14:textId="405474DD" w:rsidR="006C0590" w:rsidRPr="00935B43" w:rsidRDefault="00935B43" w:rsidP="00935B43">
      <w:pPr>
        <w:spacing w:line="300" w:lineRule="auto"/>
        <w:rPr>
          <w:rFonts w:cs="Arial"/>
          <w:b/>
          <w:lang w:val="fr-FR"/>
        </w:rPr>
      </w:pPr>
      <w:r w:rsidRPr="00935B43">
        <w:rPr>
          <w:noProof/>
        </w:rPr>
        <w:drawing>
          <wp:inline distT="0" distB="0" distL="0" distR="0" wp14:anchorId="7A6736CC" wp14:editId="15300DA7">
            <wp:extent cx="5943600" cy="34177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417713"/>
                    </a:xfrm>
                    <a:prstGeom prst="rect">
                      <a:avLst/>
                    </a:prstGeom>
                    <a:noFill/>
                    <a:ln>
                      <a:noFill/>
                    </a:ln>
                  </pic:spPr>
                </pic:pic>
              </a:graphicData>
            </a:graphic>
          </wp:inline>
        </w:drawing>
      </w:r>
    </w:p>
    <w:p w14:paraId="784A4611" w14:textId="77777777" w:rsidR="006C0590" w:rsidRPr="002F7914" w:rsidRDefault="006C0590" w:rsidP="007D5F2B">
      <w:pPr>
        <w:spacing w:line="300" w:lineRule="auto"/>
        <w:rPr>
          <w:rFonts w:cs="Arial"/>
          <w:b/>
          <w:sz w:val="20"/>
          <w:lang w:val="fr-FR"/>
        </w:rPr>
      </w:pPr>
    </w:p>
    <w:p w14:paraId="546EFCC6" w14:textId="77777777" w:rsidR="006C0590" w:rsidRPr="000C7C13" w:rsidRDefault="006C0590" w:rsidP="007D5F2B">
      <w:pPr>
        <w:pStyle w:val="ListParagraph"/>
        <w:numPr>
          <w:ilvl w:val="0"/>
          <w:numId w:val="7"/>
        </w:numPr>
        <w:spacing w:line="300" w:lineRule="auto"/>
        <w:rPr>
          <w:rFonts w:ascii="Arial" w:hAnsi="Arial" w:cs="Arial"/>
          <w:b/>
          <w:lang w:val="fr-FR"/>
        </w:rPr>
      </w:pPr>
      <w:r w:rsidRPr="000C7C13">
        <w:rPr>
          <w:rFonts w:ascii="Arial" w:hAnsi="Arial" w:cs="Arial"/>
          <w:b/>
          <w:lang w:val="fr-FR"/>
        </w:rPr>
        <w:t>Revenues</w:t>
      </w:r>
    </w:p>
    <w:p w14:paraId="40E428D9" w14:textId="4CCE4EC7" w:rsidR="006C0590" w:rsidRPr="0040275D" w:rsidRDefault="00696BFD" w:rsidP="0036566B">
      <w:pPr>
        <w:spacing w:line="300" w:lineRule="auto"/>
        <w:rPr>
          <w:rFonts w:cs="Arial"/>
          <w:b/>
          <w:sz w:val="21"/>
          <w:szCs w:val="21"/>
          <w:lang w:val="fr-FR"/>
        </w:rPr>
      </w:pPr>
      <w:r w:rsidRPr="00696BFD">
        <w:rPr>
          <w:noProof/>
        </w:rPr>
        <w:drawing>
          <wp:inline distT="0" distB="0" distL="0" distR="0" wp14:anchorId="70EDD87B" wp14:editId="58CDDED3">
            <wp:extent cx="4324350" cy="476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4350" cy="476250"/>
                    </a:xfrm>
                    <a:prstGeom prst="rect">
                      <a:avLst/>
                    </a:prstGeom>
                    <a:noFill/>
                    <a:ln>
                      <a:noFill/>
                    </a:ln>
                  </pic:spPr>
                </pic:pic>
              </a:graphicData>
            </a:graphic>
          </wp:inline>
        </w:drawing>
      </w:r>
    </w:p>
    <w:p w14:paraId="0BFFDC69" w14:textId="77777777" w:rsidR="006C0590" w:rsidRPr="002F7914" w:rsidRDefault="006C0590" w:rsidP="007D5F2B">
      <w:pPr>
        <w:spacing w:line="300" w:lineRule="auto"/>
        <w:rPr>
          <w:rFonts w:cs="Arial"/>
          <w:b/>
          <w:sz w:val="21"/>
          <w:szCs w:val="21"/>
          <w:lang w:val="fr-FR"/>
        </w:rPr>
      </w:pPr>
    </w:p>
    <w:p w14:paraId="71B757DF" w14:textId="77777777" w:rsidR="006C0590" w:rsidRPr="000C7C13" w:rsidRDefault="006C0590" w:rsidP="007D5F2B">
      <w:pPr>
        <w:pStyle w:val="ListParagraph"/>
        <w:numPr>
          <w:ilvl w:val="0"/>
          <w:numId w:val="7"/>
        </w:numPr>
        <w:spacing w:line="300" w:lineRule="auto"/>
        <w:rPr>
          <w:rFonts w:ascii="Arial" w:hAnsi="Arial" w:cs="Arial"/>
          <w:b/>
          <w:lang w:val="fr-FR"/>
        </w:rPr>
      </w:pPr>
      <w:proofErr w:type="spellStart"/>
      <w:r w:rsidRPr="000C7C13">
        <w:rPr>
          <w:rFonts w:ascii="Arial" w:hAnsi="Arial" w:cs="Arial"/>
          <w:b/>
          <w:lang w:val="fr-FR"/>
        </w:rPr>
        <w:t>Expenditures</w:t>
      </w:r>
      <w:proofErr w:type="spellEnd"/>
      <w:r w:rsidRPr="000C7C13">
        <w:rPr>
          <w:rFonts w:ascii="Arial" w:hAnsi="Arial" w:cs="Arial"/>
          <w:b/>
          <w:lang w:val="fr-FR"/>
        </w:rPr>
        <w:t xml:space="preserve"> </w:t>
      </w:r>
    </w:p>
    <w:p w14:paraId="21B2FAE7" w14:textId="05A725BF" w:rsidR="006C0590" w:rsidRPr="0040275D" w:rsidRDefault="0061721C" w:rsidP="0036566B">
      <w:pPr>
        <w:spacing w:line="300" w:lineRule="auto"/>
        <w:rPr>
          <w:rFonts w:cs="Arial"/>
          <w:b/>
          <w:sz w:val="21"/>
          <w:szCs w:val="21"/>
          <w:lang w:val="fr-FR"/>
        </w:rPr>
      </w:pPr>
      <w:r w:rsidRPr="0061721C">
        <w:rPr>
          <w:noProof/>
        </w:rPr>
        <w:drawing>
          <wp:inline distT="0" distB="0" distL="0" distR="0" wp14:anchorId="5BFC1CDA" wp14:editId="155D80BA">
            <wp:extent cx="5924550" cy="2028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4550" cy="2028825"/>
                    </a:xfrm>
                    <a:prstGeom prst="rect">
                      <a:avLst/>
                    </a:prstGeom>
                    <a:noFill/>
                    <a:ln>
                      <a:noFill/>
                    </a:ln>
                  </pic:spPr>
                </pic:pic>
              </a:graphicData>
            </a:graphic>
          </wp:inline>
        </w:drawing>
      </w:r>
    </w:p>
    <w:p w14:paraId="237F0342" w14:textId="77777777" w:rsidR="000B1AC8" w:rsidRPr="0036566B" w:rsidRDefault="004417FA" w:rsidP="0036566B">
      <w:pPr>
        <w:pStyle w:val="ListParagraph"/>
        <w:numPr>
          <w:ilvl w:val="0"/>
          <w:numId w:val="29"/>
        </w:numPr>
        <w:spacing w:line="300" w:lineRule="auto"/>
        <w:ind w:right="720"/>
        <w:rPr>
          <w:rFonts w:ascii="Arial" w:hAnsi="Arial" w:cs="Arial"/>
          <w:sz w:val="20"/>
        </w:rPr>
      </w:pPr>
      <w:r w:rsidRPr="0036566B">
        <w:rPr>
          <w:rFonts w:ascii="Arial" w:hAnsi="Arial" w:cs="Arial"/>
          <w:sz w:val="20"/>
        </w:rPr>
        <w:t>The program spent less than budgeted, largely due to the shortfall of activity in the Existing Buildings program. Spending was higher than budgeted for the residential aspects of the portfolio due to strong customer participation.</w:t>
      </w:r>
    </w:p>
    <w:p w14:paraId="5F0F117F" w14:textId="7034664E" w:rsidR="004417FA" w:rsidRPr="0036566B" w:rsidRDefault="000B1AC8" w:rsidP="0036566B">
      <w:pPr>
        <w:pStyle w:val="ListParagraph"/>
        <w:numPr>
          <w:ilvl w:val="0"/>
          <w:numId w:val="29"/>
        </w:numPr>
        <w:spacing w:line="300" w:lineRule="auto"/>
        <w:ind w:right="720"/>
        <w:rPr>
          <w:rFonts w:ascii="Arial" w:hAnsi="Arial" w:cs="Arial"/>
          <w:sz w:val="20"/>
        </w:rPr>
      </w:pPr>
      <w:r w:rsidRPr="0036566B">
        <w:rPr>
          <w:rFonts w:ascii="Arial" w:hAnsi="Arial" w:cs="Arial"/>
          <w:sz w:val="20"/>
        </w:rPr>
        <w:lastRenderedPageBreak/>
        <w:t xml:space="preserve">Budgeted expenditures </w:t>
      </w:r>
      <w:r w:rsidR="0036566B">
        <w:rPr>
          <w:rFonts w:ascii="Arial" w:hAnsi="Arial" w:cs="Arial"/>
          <w:sz w:val="20"/>
        </w:rPr>
        <w:t xml:space="preserve">reflect Energy Trust’s final budget. The </w:t>
      </w:r>
      <w:r w:rsidRPr="0036566B">
        <w:rPr>
          <w:rFonts w:ascii="Arial" w:hAnsi="Arial" w:cs="Arial"/>
          <w:sz w:val="20"/>
        </w:rPr>
        <w:t xml:space="preserve">2015 </w:t>
      </w:r>
      <w:r w:rsidR="0036566B">
        <w:rPr>
          <w:rFonts w:ascii="Arial" w:hAnsi="Arial" w:cs="Arial"/>
          <w:sz w:val="20"/>
        </w:rPr>
        <w:t>Energy Efficiency</w:t>
      </w:r>
      <w:r w:rsidR="0036566B" w:rsidRPr="0036566B">
        <w:rPr>
          <w:rFonts w:ascii="Arial" w:hAnsi="Arial" w:cs="Arial"/>
          <w:sz w:val="20"/>
        </w:rPr>
        <w:t xml:space="preserve"> </w:t>
      </w:r>
      <w:r w:rsidRPr="0036566B">
        <w:rPr>
          <w:rFonts w:ascii="Arial" w:hAnsi="Arial" w:cs="Arial"/>
          <w:sz w:val="20"/>
        </w:rPr>
        <w:t xml:space="preserve">Plan was filed with </w:t>
      </w:r>
      <w:r w:rsidR="0036566B">
        <w:rPr>
          <w:rFonts w:ascii="Arial" w:hAnsi="Arial" w:cs="Arial"/>
          <w:sz w:val="20"/>
        </w:rPr>
        <w:t>preliminary budget numbers</w:t>
      </w:r>
      <w:r w:rsidRPr="0036566B">
        <w:rPr>
          <w:rFonts w:ascii="Arial" w:hAnsi="Arial" w:cs="Arial"/>
          <w:sz w:val="20"/>
        </w:rPr>
        <w:t xml:space="preserve">. Small changes </w:t>
      </w:r>
      <w:r w:rsidR="0040275D" w:rsidRPr="0036566B">
        <w:rPr>
          <w:rFonts w:ascii="Arial" w:hAnsi="Arial" w:cs="Arial"/>
          <w:sz w:val="20"/>
        </w:rPr>
        <w:t>occurred</w:t>
      </w:r>
      <w:r w:rsidRPr="0036566B">
        <w:rPr>
          <w:rFonts w:ascii="Arial" w:hAnsi="Arial" w:cs="Arial"/>
          <w:sz w:val="20"/>
        </w:rPr>
        <w:t xml:space="preserve"> across program delivery </w:t>
      </w:r>
      <w:r w:rsidR="0036566B">
        <w:rPr>
          <w:rFonts w:ascii="Arial" w:hAnsi="Arial" w:cs="Arial"/>
          <w:sz w:val="20"/>
        </w:rPr>
        <w:t>line items in Energy Trust’s final budget</w:t>
      </w:r>
      <w:r w:rsidRPr="0036566B">
        <w:rPr>
          <w:rFonts w:ascii="Arial" w:hAnsi="Arial" w:cs="Arial"/>
          <w:sz w:val="20"/>
        </w:rPr>
        <w:t>. Energy Trust always</w:t>
      </w:r>
      <w:r w:rsidR="0040275D" w:rsidRPr="0036566B">
        <w:rPr>
          <w:rFonts w:ascii="Arial" w:hAnsi="Arial" w:cs="Arial"/>
          <w:sz w:val="20"/>
        </w:rPr>
        <w:t xml:space="preserve"> works to</w:t>
      </w:r>
      <w:r w:rsidRPr="0036566B">
        <w:rPr>
          <w:rFonts w:ascii="Arial" w:hAnsi="Arial" w:cs="Arial"/>
          <w:sz w:val="20"/>
        </w:rPr>
        <w:t xml:space="preserve"> ensure this new budget amount is within total funds available as determined by new revenue, existing budget and carryover funds from </w:t>
      </w:r>
      <w:r w:rsidR="00110868">
        <w:rPr>
          <w:rFonts w:ascii="Arial" w:hAnsi="Arial" w:cs="Arial"/>
          <w:sz w:val="20"/>
        </w:rPr>
        <w:t xml:space="preserve">the </w:t>
      </w:r>
      <w:r w:rsidRPr="0036566B">
        <w:rPr>
          <w:rFonts w:ascii="Arial" w:hAnsi="Arial" w:cs="Arial"/>
          <w:sz w:val="20"/>
        </w:rPr>
        <w:t xml:space="preserve">previous year. This misalignment of </w:t>
      </w:r>
      <w:r w:rsidR="00110868">
        <w:rPr>
          <w:rFonts w:ascii="Arial" w:hAnsi="Arial" w:cs="Arial"/>
          <w:sz w:val="20"/>
        </w:rPr>
        <w:t>Energy Trust’s final budget and the Energy Efficiency</w:t>
      </w:r>
      <w:r w:rsidRPr="0036566B">
        <w:rPr>
          <w:rFonts w:ascii="Arial" w:hAnsi="Arial" w:cs="Arial"/>
          <w:sz w:val="20"/>
        </w:rPr>
        <w:t xml:space="preserve"> Plan is a result of Energy Trust</w:t>
      </w:r>
      <w:r w:rsidR="00110868">
        <w:rPr>
          <w:rFonts w:ascii="Arial" w:hAnsi="Arial" w:cs="Arial"/>
          <w:sz w:val="20"/>
        </w:rPr>
        <w:t>’s</w:t>
      </w:r>
      <w:r w:rsidRPr="0036566B">
        <w:rPr>
          <w:rFonts w:ascii="Arial" w:hAnsi="Arial" w:cs="Arial"/>
          <w:sz w:val="20"/>
        </w:rPr>
        <w:t xml:space="preserve"> internal processes not in full alignment with WUTC filing schedule. Energy Trust takes care in ensuring this small risk is managed and misalignment is </w:t>
      </w:r>
      <w:r w:rsidR="00110868">
        <w:rPr>
          <w:rFonts w:ascii="Arial" w:hAnsi="Arial" w:cs="Arial"/>
          <w:sz w:val="20"/>
        </w:rPr>
        <w:t>minimal</w:t>
      </w:r>
      <w:r w:rsidRPr="0036566B">
        <w:rPr>
          <w:rFonts w:ascii="Arial" w:hAnsi="Arial" w:cs="Arial"/>
          <w:sz w:val="20"/>
        </w:rPr>
        <w:t>.</w:t>
      </w:r>
      <w:r w:rsidR="004417FA" w:rsidRPr="0036566B">
        <w:rPr>
          <w:rFonts w:ascii="Arial" w:hAnsi="Arial" w:cs="Arial"/>
          <w:sz w:val="20"/>
        </w:rPr>
        <w:t xml:space="preserve"> </w:t>
      </w:r>
    </w:p>
    <w:p w14:paraId="44BFEE25" w14:textId="77777777" w:rsidR="00110868" w:rsidRPr="00727FB3" w:rsidRDefault="004417FA" w:rsidP="00727FB3">
      <w:pPr>
        <w:spacing w:line="300" w:lineRule="auto"/>
        <w:rPr>
          <w:rFonts w:cs="Arial"/>
          <w:color w:val="808080" w:themeColor="background1" w:themeShade="80"/>
          <w:sz w:val="20"/>
        </w:rPr>
      </w:pPr>
      <w:r w:rsidRPr="00727FB3">
        <w:rPr>
          <w:rFonts w:cs="Arial"/>
          <w:color w:val="808080" w:themeColor="background1" w:themeShade="80"/>
          <w:sz w:val="20"/>
        </w:rPr>
        <w:t xml:space="preserve"> </w:t>
      </w:r>
    </w:p>
    <w:p w14:paraId="217B9392" w14:textId="4EFFD516" w:rsidR="006C0590" w:rsidRPr="00727FB3" w:rsidRDefault="006C0590" w:rsidP="00727FB3">
      <w:pPr>
        <w:pStyle w:val="ListParagraph"/>
        <w:numPr>
          <w:ilvl w:val="0"/>
          <w:numId w:val="7"/>
        </w:numPr>
        <w:spacing w:line="300" w:lineRule="auto"/>
        <w:rPr>
          <w:rFonts w:ascii="Arial" w:hAnsi="Arial" w:cs="Arial"/>
        </w:rPr>
      </w:pPr>
      <w:proofErr w:type="spellStart"/>
      <w:r w:rsidRPr="00727FB3">
        <w:rPr>
          <w:rFonts w:ascii="Arial" w:hAnsi="Arial" w:cs="Arial"/>
          <w:b/>
          <w:lang w:val="fr-FR"/>
        </w:rPr>
        <w:t>Incentives</w:t>
      </w:r>
      <w:proofErr w:type="spellEnd"/>
      <w:r w:rsidRPr="00727FB3">
        <w:rPr>
          <w:rFonts w:ascii="Arial" w:hAnsi="Arial" w:cs="Arial"/>
          <w:b/>
          <w:lang w:val="fr-FR"/>
        </w:rPr>
        <w:t xml:space="preserve"> </w:t>
      </w:r>
      <w:proofErr w:type="spellStart"/>
      <w:r w:rsidRPr="00727FB3">
        <w:rPr>
          <w:rFonts w:ascii="Arial" w:hAnsi="Arial" w:cs="Arial"/>
          <w:b/>
          <w:lang w:val="fr-FR"/>
        </w:rPr>
        <w:t>paid</w:t>
      </w:r>
      <w:proofErr w:type="spellEnd"/>
      <w:r w:rsidRPr="00727FB3">
        <w:rPr>
          <w:rFonts w:ascii="Arial" w:hAnsi="Arial" w:cs="Arial"/>
          <w:b/>
          <w:lang w:val="fr-FR"/>
        </w:rPr>
        <w:t xml:space="preserve"> </w:t>
      </w:r>
    </w:p>
    <w:p w14:paraId="1CD9040F" w14:textId="76C36315" w:rsidR="006C0590" w:rsidRPr="00727FB3" w:rsidRDefault="007941C9" w:rsidP="00727FB3">
      <w:pPr>
        <w:spacing w:line="300" w:lineRule="auto"/>
        <w:rPr>
          <w:rFonts w:cs="Arial"/>
          <w:sz w:val="21"/>
          <w:szCs w:val="21"/>
        </w:rPr>
      </w:pPr>
      <w:r w:rsidRPr="00727FB3">
        <w:rPr>
          <w:rFonts w:cs="Arial"/>
          <w:noProof/>
        </w:rPr>
        <w:drawing>
          <wp:inline distT="0" distB="0" distL="0" distR="0" wp14:anchorId="724B5B52" wp14:editId="13997832">
            <wp:extent cx="3981450" cy="1495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1450" cy="1495425"/>
                    </a:xfrm>
                    <a:prstGeom prst="rect">
                      <a:avLst/>
                    </a:prstGeom>
                    <a:noFill/>
                    <a:ln>
                      <a:noFill/>
                    </a:ln>
                  </pic:spPr>
                </pic:pic>
              </a:graphicData>
            </a:graphic>
          </wp:inline>
        </w:drawing>
      </w:r>
    </w:p>
    <w:p w14:paraId="4C7D79E2" w14:textId="56517CC2" w:rsidR="006C0590" w:rsidRPr="00727FB3" w:rsidRDefault="006C0590" w:rsidP="00727FB3">
      <w:pPr>
        <w:pStyle w:val="ListParagraph"/>
        <w:spacing w:line="300" w:lineRule="auto"/>
        <w:ind w:left="0"/>
        <w:rPr>
          <w:rFonts w:ascii="Arial" w:hAnsi="Arial" w:cs="Arial"/>
          <w:sz w:val="20"/>
          <w:szCs w:val="20"/>
        </w:rPr>
      </w:pPr>
      <w:r w:rsidRPr="00727FB3">
        <w:rPr>
          <w:rFonts w:ascii="Arial" w:hAnsi="Arial" w:cs="Arial"/>
          <w:sz w:val="20"/>
          <w:szCs w:val="20"/>
        </w:rPr>
        <w:t>Incentives paid account for</w:t>
      </w:r>
      <w:r w:rsidR="00C17BCF" w:rsidRPr="00727FB3">
        <w:rPr>
          <w:rFonts w:ascii="Arial" w:hAnsi="Arial" w:cs="Arial"/>
          <w:sz w:val="20"/>
          <w:szCs w:val="20"/>
        </w:rPr>
        <w:t xml:space="preserve"> </w:t>
      </w:r>
      <w:r w:rsidR="00B7340B" w:rsidRPr="00727FB3">
        <w:rPr>
          <w:rFonts w:ascii="Arial" w:hAnsi="Arial" w:cs="Arial"/>
          <w:sz w:val="20"/>
          <w:szCs w:val="20"/>
        </w:rPr>
        <w:t>53</w:t>
      </w:r>
      <w:r w:rsidRPr="00727FB3">
        <w:rPr>
          <w:rFonts w:ascii="Arial" w:hAnsi="Arial" w:cs="Arial"/>
          <w:sz w:val="20"/>
          <w:szCs w:val="20"/>
        </w:rPr>
        <w:t xml:space="preserve"> percent of year-to-date program expense, when total program expense is adjusted down by 15 percent to account for costs that a utility-delivered program would recover through rates. </w:t>
      </w:r>
    </w:p>
    <w:p w14:paraId="04B9A30E" w14:textId="77777777" w:rsidR="006C0590" w:rsidRPr="00727FB3" w:rsidRDefault="006C0590" w:rsidP="00727FB3">
      <w:pPr>
        <w:pStyle w:val="ListParagraph"/>
        <w:spacing w:line="300" w:lineRule="auto"/>
        <w:ind w:left="360"/>
        <w:rPr>
          <w:rFonts w:ascii="Arial" w:hAnsi="Arial" w:cs="Arial"/>
          <w:b/>
        </w:rPr>
      </w:pPr>
    </w:p>
    <w:p w14:paraId="60B0FC4B" w14:textId="77777777" w:rsidR="006C0590" w:rsidRPr="00727FB3" w:rsidRDefault="006C0590" w:rsidP="00727FB3">
      <w:pPr>
        <w:pStyle w:val="ListParagraph"/>
        <w:numPr>
          <w:ilvl w:val="0"/>
          <w:numId w:val="7"/>
        </w:numPr>
        <w:spacing w:line="300" w:lineRule="auto"/>
        <w:rPr>
          <w:rFonts w:ascii="Arial" w:hAnsi="Arial" w:cs="Arial"/>
          <w:b/>
        </w:rPr>
      </w:pPr>
      <w:r w:rsidRPr="00727FB3">
        <w:rPr>
          <w:rFonts w:ascii="Arial" w:hAnsi="Arial" w:cs="Arial"/>
          <w:b/>
        </w:rPr>
        <w:t xml:space="preserve">Savings </w:t>
      </w:r>
    </w:p>
    <w:p w14:paraId="00CBA988" w14:textId="1AD13777" w:rsidR="006C0590" w:rsidRPr="00727FB3" w:rsidRDefault="009516DB" w:rsidP="00727FB3">
      <w:pPr>
        <w:spacing w:line="300" w:lineRule="auto"/>
        <w:rPr>
          <w:rFonts w:cs="Arial"/>
          <w:noProof/>
          <w:szCs w:val="21"/>
        </w:rPr>
      </w:pPr>
      <w:r w:rsidRPr="00727FB3">
        <w:rPr>
          <w:rFonts w:cs="Arial"/>
          <w:noProof/>
        </w:rPr>
        <w:drawing>
          <wp:inline distT="0" distB="0" distL="0" distR="0" wp14:anchorId="26770066" wp14:editId="6FBEABCD">
            <wp:extent cx="5705475" cy="14859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0683" cy="1495069"/>
                    </a:xfrm>
                    <a:prstGeom prst="rect">
                      <a:avLst/>
                    </a:prstGeom>
                    <a:noFill/>
                    <a:ln>
                      <a:noFill/>
                    </a:ln>
                  </pic:spPr>
                </pic:pic>
              </a:graphicData>
            </a:graphic>
          </wp:inline>
        </w:drawing>
      </w:r>
    </w:p>
    <w:p w14:paraId="2033898B" w14:textId="77777777" w:rsidR="006C0590" w:rsidRPr="00727FB3" w:rsidRDefault="006C0590" w:rsidP="00727FB3">
      <w:pPr>
        <w:spacing w:line="300" w:lineRule="auto"/>
        <w:outlineLvl w:val="0"/>
        <w:rPr>
          <w:rFonts w:cs="Arial"/>
          <w:sz w:val="20"/>
        </w:rPr>
      </w:pPr>
    </w:p>
    <w:p w14:paraId="743069BE" w14:textId="77777777" w:rsidR="006C0590" w:rsidRPr="00727FB3" w:rsidRDefault="006C0590" w:rsidP="006C0590">
      <w:pPr>
        <w:spacing w:line="300" w:lineRule="auto"/>
        <w:ind w:left="720"/>
        <w:rPr>
          <w:rFonts w:cs="Arial"/>
          <w:color w:val="808080" w:themeColor="background1" w:themeShade="80"/>
          <w:sz w:val="21"/>
          <w:szCs w:val="21"/>
        </w:rPr>
      </w:pPr>
      <w:r w:rsidRPr="00727FB3">
        <w:rPr>
          <w:rFonts w:cs="Arial"/>
          <w:color w:val="808080" w:themeColor="background1" w:themeShade="80"/>
          <w:sz w:val="21"/>
          <w:szCs w:val="21"/>
        </w:rPr>
        <w:t xml:space="preserve"> </w:t>
      </w:r>
    </w:p>
    <w:p w14:paraId="005597F9" w14:textId="77777777" w:rsidR="006C0590" w:rsidRPr="002F7914" w:rsidRDefault="006C0590" w:rsidP="006C0590">
      <w:pPr>
        <w:spacing w:line="300" w:lineRule="auto"/>
        <w:ind w:left="720"/>
        <w:rPr>
          <w:rFonts w:cs="Arial"/>
          <w:b/>
          <w:sz w:val="21"/>
          <w:szCs w:val="21"/>
        </w:rPr>
      </w:pPr>
      <w:r w:rsidRPr="002F7914">
        <w:rPr>
          <w:rFonts w:cs="Arial"/>
          <w:b/>
          <w:sz w:val="21"/>
          <w:szCs w:val="21"/>
        </w:rPr>
        <w:br w:type="page"/>
      </w:r>
    </w:p>
    <w:p w14:paraId="6EB3E393" w14:textId="77777777" w:rsidR="006C0590" w:rsidRPr="002F7914" w:rsidRDefault="006C0590" w:rsidP="006C0590">
      <w:pPr>
        <w:spacing w:line="300" w:lineRule="auto"/>
        <w:outlineLvl w:val="0"/>
        <w:rPr>
          <w:rFonts w:cs="Arial"/>
          <w:b/>
          <w:sz w:val="24"/>
          <w:szCs w:val="24"/>
        </w:rPr>
      </w:pPr>
      <w:r w:rsidRPr="002F7914">
        <w:rPr>
          <w:rFonts w:cs="Arial"/>
          <w:b/>
          <w:sz w:val="24"/>
          <w:szCs w:val="24"/>
        </w:rPr>
        <w:lastRenderedPageBreak/>
        <w:t xml:space="preserve">NW NATURAL APPENDIX 1: </w:t>
      </w:r>
    </w:p>
    <w:p w14:paraId="062E807C" w14:textId="3EFE1109" w:rsidR="006C0590" w:rsidRPr="002F7914" w:rsidRDefault="006C0590" w:rsidP="006C0590">
      <w:pPr>
        <w:spacing w:line="300" w:lineRule="auto"/>
        <w:outlineLvl w:val="0"/>
        <w:rPr>
          <w:rFonts w:cs="Arial"/>
          <w:b/>
          <w:sz w:val="24"/>
          <w:szCs w:val="24"/>
        </w:rPr>
      </w:pPr>
      <w:r w:rsidRPr="002F7914">
        <w:rPr>
          <w:rFonts w:cs="Arial"/>
          <w:b/>
          <w:sz w:val="24"/>
          <w:szCs w:val="24"/>
        </w:rPr>
        <w:t>201</w:t>
      </w:r>
      <w:r w:rsidR="00D5544F" w:rsidRPr="002F7914">
        <w:rPr>
          <w:rFonts w:cs="Arial"/>
          <w:b/>
          <w:sz w:val="24"/>
          <w:szCs w:val="24"/>
        </w:rPr>
        <w:t>5</w:t>
      </w:r>
      <w:r w:rsidRPr="002F7914">
        <w:rPr>
          <w:rFonts w:cs="Arial"/>
          <w:b/>
          <w:sz w:val="24"/>
          <w:szCs w:val="24"/>
        </w:rPr>
        <w:t xml:space="preserve"> ENERGY EFFICIENCY MEASURE COUNTS AND SAVINGS</w:t>
      </w:r>
    </w:p>
    <w:p w14:paraId="4103BD22" w14:textId="77777777" w:rsidR="006C0590" w:rsidRPr="002F7914" w:rsidRDefault="006C0590" w:rsidP="006C0590">
      <w:pPr>
        <w:spacing w:line="300" w:lineRule="auto"/>
        <w:rPr>
          <w:rFonts w:cs="Arial"/>
          <w:b/>
          <w:sz w:val="20"/>
        </w:rPr>
      </w:pPr>
    </w:p>
    <w:p w14:paraId="477BA202" w14:textId="77777777" w:rsidR="006C0590" w:rsidRPr="002F7914" w:rsidRDefault="006C0590" w:rsidP="006C0590">
      <w:pPr>
        <w:spacing w:line="300" w:lineRule="auto"/>
        <w:rPr>
          <w:rFonts w:cs="Arial"/>
          <w:b/>
          <w:sz w:val="20"/>
        </w:rPr>
      </w:pPr>
      <w:r w:rsidRPr="002F7914">
        <w:rPr>
          <w:rFonts w:cs="Arial"/>
          <w:b/>
          <w:sz w:val="20"/>
        </w:rPr>
        <w:t>Table 1: Residential sector measures</w:t>
      </w:r>
    </w:p>
    <w:p w14:paraId="290B3766" w14:textId="4E8339DE" w:rsidR="006C0590" w:rsidRPr="002F7914" w:rsidRDefault="00D6431B" w:rsidP="006C0590">
      <w:pPr>
        <w:spacing w:line="300" w:lineRule="auto"/>
        <w:rPr>
          <w:rFonts w:cs="Arial"/>
          <w:b/>
          <w:sz w:val="20"/>
        </w:rPr>
      </w:pPr>
      <w:r w:rsidRPr="00D6431B">
        <w:rPr>
          <w:noProof/>
        </w:rPr>
        <w:drawing>
          <wp:inline distT="0" distB="0" distL="0" distR="0" wp14:anchorId="4792FB46" wp14:editId="67675FE0">
            <wp:extent cx="5486400" cy="42304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7492" cy="4239031"/>
                    </a:xfrm>
                    <a:prstGeom prst="rect">
                      <a:avLst/>
                    </a:prstGeom>
                    <a:noFill/>
                    <a:ln>
                      <a:noFill/>
                    </a:ln>
                  </pic:spPr>
                </pic:pic>
              </a:graphicData>
            </a:graphic>
          </wp:inline>
        </w:drawing>
      </w:r>
    </w:p>
    <w:p w14:paraId="2E590E03" w14:textId="77777777" w:rsidR="006C0590" w:rsidRPr="002F7914" w:rsidRDefault="006C0590" w:rsidP="006C0590">
      <w:pPr>
        <w:spacing w:line="300" w:lineRule="auto"/>
        <w:rPr>
          <w:rFonts w:cs="Arial"/>
          <w:b/>
        </w:rPr>
      </w:pPr>
      <w:r w:rsidRPr="002F7914">
        <w:rPr>
          <w:rFonts w:cs="Arial"/>
          <w:b/>
        </w:rPr>
        <w:br w:type="page"/>
      </w:r>
    </w:p>
    <w:p w14:paraId="297B4748" w14:textId="77777777" w:rsidR="006C0590" w:rsidRPr="002F7914" w:rsidRDefault="006C0590" w:rsidP="006C0590">
      <w:pPr>
        <w:spacing w:line="300" w:lineRule="auto"/>
        <w:rPr>
          <w:rFonts w:cs="Arial"/>
          <w:b/>
          <w:sz w:val="20"/>
        </w:rPr>
      </w:pPr>
      <w:r w:rsidRPr="002F7914">
        <w:rPr>
          <w:rFonts w:cs="Arial"/>
          <w:b/>
          <w:sz w:val="20"/>
        </w:rPr>
        <w:lastRenderedPageBreak/>
        <w:t>Table 2: Commercial sector measures</w:t>
      </w:r>
    </w:p>
    <w:p w14:paraId="796A65DA" w14:textId="0828548B" w:rsidR="006C0590" w:rsidRPr="002F7914" w:rsidRDefault="005C481C" w:rsidP="006C0590">
      <w:pPr>
        <w:spacing w:line="300" w:lineRule="auto"/>
        <w:rPr>
          <w:rFonts w:cs="Arial"/>
          <w:b/>
          <w:sz w:val="20"/>
        </w:rPr>
      </w:pPr>
      <w:r w:rsidRPr="005C481C">
        <w:rPr>
          <w:noProof/>
        </w:rPr>
        <w:drawing>
          <wp:inline distT="0" distB="0" distL="0" distR="0" wp14:anchorId="03366DE1" wp14:editId="128EB7A8">
            <wp:extent cx="5724525" cy="3600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3600450"/>
                    </a:xfrm>
                    <a:prstGeom prst="rect">
                      <a:avLst/>
                    </a:prstGeom>
                    <a:noFill/>
                    <a:ln>
                      <a:noFill/>
                    </a:ln>
                  </pic:spPr>
                </pic:pic>
              </a:graphicData>
            </a:graphic>
          </wp:inline>
        </w:drawing>
      </w:r>
    </w:p>
    <w:p w14:paraId="01D24E17" w14:textId="77777777" w:rsidR="006C0590" w:rsidRPr="002F7914" w:rsidRDefault="006C0590" w:rsidP="006C0590">
      <w:pPr>
        <w:spacing w:line="300" w:lineRule="auto"/>
        <w:rPr>
          <w:rFonts w:cs="Arial"/>
          <w:b/>
          <w:sz w:val="20"/>
        </w:rPr>
      </w:pPr>
    </w:p>
    <w:p w14:paraId="7C0A7F6D" w14:textId="77777777" w:rsidR="006C0590" w:rsidRPr="002F7914" w:rsidRDefault="006C0590" w:rsidP="006C0590">
      <w:pPr>
        <w:spacing w:line="300" w:lineRule="auto"/>
        <w:rPr>
          <w:rFonts w:cs="Arial"/>
          <w:b/>
          <w:sz w:val="20"/>
        </w:rPr>
      </w:pPr>
    </w:p>
    <w:p w14:paraId="39C765D9" w14:textId="77777777" w:rsidR="006C0590" w:rsidRPr="002F7914" w:rsidRDefault="006C0590" w:rsidP="006C0590">
      <w:pPr>
        <w:spacing w:line="300" w:lineRule="auto"/>
        <w:rPr>
          <w:rFonts w:cs="Arial"/>
          <w:b/>
        </w:rPr>
      </w:pPr>
    </w:p>
    <w:p w14:paraId="319AF9F1" w14:textId="77777777" w:rsidR="006C0590" w:rsidRPr="002F7914" w:rsidRDefault="006C0590" w:rsidP="006C0590">
      <w:pPr>
        <w:spacing w:line="300" w:lineRule="auto"/>
        <w:rPr>
          <w:rFonts w:cs="Arial"/>
          <w:b/>
          <w:sz w:val="20"/>
        </w:rPr>
      </w:pPr>
    </w:p>
    <w:p w14:paraId="217370AA" w14:textId="77777777" w:rsidR="006C0590" w:rsidRPr="002F7914" w:rsidRDefault="006C0590" w:rsidP="006C0590">
      <w:pPr>
        <w:spacing w:line="300" w:lineRule="auto"/>
        <w:rPr>
          <w:rFonts w:cs="Arial"/>
          <w:b/>
        </w:rPr>
      </w:pPr>
    </w:p>
    <w:p w14:paraId="64B5E2A0" w14:textId="77777777" w:rsidR="006C0590" w:rsidRPr="002F7914" w:rsidRDefault="006C0590" w:rsidP="006C0590">
      <w:pPr>
        <w:spacing w:line="300" w:lineRule="auto"/>
        <w:rPr>
          <w:rFonts w:cs="Arial"/>
          <w:b/>
        </w:rPr>
      </w:pPr>
      <w:r w:rsidRPr="002F7914">
        <w:rPr>
          <w:rFonts w:cs="Arial"/>
          <w:b/>
        </w:rPr>
        <w:br w:type="page"/>
      </w:r>
    </w:p>
    <w:p w14:paraId="1AD6D02C" w14:textId="77777777" w:rsidR="00BC0A77" w:rsidRDefault="006C0590" w:rsidP="006C0590">
      <w:pPr>
        <w:spacing w:line="300" w:lineRule="auto"/>
        <w:rPr>
          <w:rFonts w:cs="Arial"/>
          <w:b/>
          <w:sz w:val="24"/>
          <w:szCs w:val="24"/>
        </w:rPr>
      </w:pPr>
      <w:r w:rsidRPr="002F7914">
        <w:rPr>
          <w:rFonts w:cs="Arial"/>
          <w:b/>
          <w:sz w:val="24"/>
          <w:szCs w:val="24"/>
        </w:rPr>
        <w:lastRenderedPageBreak/>
        <w:t xml:space="preserve">NW NATURAL APPENDIX 2: </w:t>
      </w:r>
    </w:p>
    <w:p w14:paraId="30C40F29" w14:textId="3DFCDC49" w:rsidR="006C0590" w:rsidRPr="002F7914" w:rsidRDefault="006C0590" w:rsidP="006C0590">
      <w:pPr>
        <w:spacing w:line="300" w:lineRule="auto"/>
        <w:rPr>
          <w:rFonts w:cs="Arial"/>
          <w:b/>
          <w:sz w:val="24"/>
          <w:szCs w:val="24"/>
        </w:rPr>
      </w:pPr>
      <w:r w:rsidRPr="002F7914">
        <w:rPr>
          <w:rFonts w:cs="Arial"/>
          <w:b/>
          <w:sz w:val="24"/>
          <w:szCs w:val="24"/>
        </w:rPr>
        <w:t>CUSTOMER SATISFACTION</w:t>
      </w:r>
    </w:p>
    <w:p w14:paraId="6C86551C" w14:textId="77777777" w:rsidR="006C0590" w:rsidRPr="002F7914" w:rsidRDefault="006C0590" w:rsidP="006C0590">
      <w:pPr>
        <w:spacing w:line="300" w:lineRule="auto"/>
        <w:rPr>
          <w:rFonts w:cs="Arial"/>
          <w:sz w:val="20"/>
        </w:rPr>
      </w:pPr>
    </w:p>
    <w:p w14:paraId="5983418F" w14:textId="192CBFEC" w:rsidR="00A86187" w:rsidRDefault="00A86187" w:rsidP="00A86187">
      <w:pPr>
        <w:spacing w:line="300" w:lineRule="auto"/>
        <w:rPr>
          <w:rFonts w:cs="Arial"/>
          <w:sz w:val="20"/>
        </w:rPr>
      </w:pPr>
      <w:r w:rsidRPr="002F7914">
        <w:rPr>
          <w:rFonts w:cs="Arial"/>
          <w:sz w:val="20"/>
        </w:rPr>
        <w:t>In 2015, Energy Trust conducted short phone surveys of NW Natural customers in Washington to determine satisfaction with their participation in Energy Trust programs. Results from 154 residential customers and thirteen commercial customers indicate a generally high level of customer satisfaction</w:t>
      </w:r>
      <w:r w:rsidR="002D1787">
        <w:rPr>
          <w:rFonts w:cs="Arial"/>
          <w:sz w:val="20"/>
        </w:rPr>
        <w:t>, with moderate satisfaction regarding turnaround time to receive an incentive</w:t>
      </w:r>
      <w:r w:rsidRPr="002F7914">
        <w:rPr>
          <w:rFonts w:cs="Arial"/>
          <w:sz w:val="20"/>
        </w:rPr>
        <w:t xml:space="preserve">. </w:t>
      </w:r>
    </w:p>
    <w:p w14:paraId="0DE82885" w14:textId="3FBF2087" w:rsidR="001F4D76" w:rsidRDefault="001F4D76" w:rsidP="00A86187">
      <w:pPr>
        <w:spacing w:line="300" w:lineRule="auto"/>
        <w:rPr>
          <w:rFonts w:cs="Arial"/>
          <w:sz w:val="20"/>
        </w:rPr>
      </w:pPr>
    </w:p>
    <w:p w14:paraId="6C60E423" w14:textId="7D4BF6DB" w:rsidR="0078270B" w:rsidRDefault="0078270B" w:rsidP="0078270B">
      <w:pPr>
        <w:spacing w:line="300" w:lineRule="auto"/>
        <w:rPr>
          <w:rFonts w:cs="Arial"/>
          <w:sz w:val="20"/>
        </w:rPr>
      </w:pPr>
      <w:r>
        <w:rPr>
          <w:rFonts w:cs="Arial"/>
          <w:sz w:val="20"/>
        </w:rPr>
        <w:t>Lower-than-expected customer satisfaction with turnaround time to receive incentives is attributed to processing delays in early 2015 related to an increased volume of incentives at the end of 2014, staff turning</w:t>
      </w:r>
      <w:r w:rsidR="006B537B">
        <w:rPr>
          <w:rFonts w:cs="Arial"/>
          <w:sz w:val="20"/>
        </w:rPr>
        <w:t>,</w:t>
      </w:r>
      <w:r>
        <w:rPr>
          <w:rFonts w:cs="Arial"/>
          <w:sz w:val="20"/>
        </w:rPr>
        <w:t xml:space="preserve"> and a transition to a new Program Management Contractor. During this time, incentive processing did not exceed established service level agreements of six to eight weeks. </w:t>
      </w:r>
    </w:p>
    <w:p w14:paraId="2B30250A" w14:textId="77777777" w:rsidR="0078270B" w:rsidRDefault="0078270B" w:rsidP="0078270B">
      <w:pPr>
        <w:spacing w:line="300" w:lineRule="auto"/>
        <w:rPr>
          <w:rFonts w:cs="Arial"/>
          <w:sz w:val="20"/>
        </w:rPr>
      </w:pPr>
    </w:p>
    <w:p w14:paraId="6E5EA3CF" w14:textId="40B48508" w:rsidR="001F4D76" w:rsidRDefault="001F4D76" w:rsidP="00A86187">
      <w:pPr>
        <w:spacing w:line="300" w:lineRule="auto"/>
        <w:rPr>
          <w:rFonts w:cs="Arial"/>
          <w:sz w:val="20"/>
        </w:rPr>
      </w:pPr>
      <w:r>
        <w:rPr>
          <w:rFonts w:cs="Arial"/>
          <w:sz w:val="20"/>
        </w:rPr>
        <w:t>T</w:t>
      </w:r>
      <w:r w:rsidRPr="001F4D76">
        <w:rPr>
          <w:rFonts w:cs="Arial"/>
          <w:sz w:val="20"/>
        </w:rPr>
        <w:t xml:space="preserve">o improve the experiences of customers in </w:t>
      </w:r>
      <w:r w:rsidR="002D1787">
        <w:rPr>
          <w:rFonts w:cs="Arial"/>
          <w:sz w:val="20"/>
        </w:rPr>
        <w:t>Southwest</w:t>
      </w:r>
      <w:r w:rsidRPr="001F4D76">
        <w:rPr>
          <w:rFonts w:cs="Arial"/>
          <w:sz w:val="20"/>
        </w:rPr>
        <w:t xml:space="preserve"> Washington</w:t>
      </w:r>
      <w:r>
        <w:rPr>
          <w:rFonts w:cs="Arial"/>
          <w:sz w:val="20"/>
        </w:rPr>
        <w:t xml:space="preserve"> regarding turnaround time to receive incentives</w:t>
      </w:r>
      <w:r w:rsidRPr="001F4D76">
        <w:rPr>
          <w:rFonts w:cs="Arial"/>
          <w:sz w:val="20"/>
        </w:rPr>
        <w:t xml:space="preserve">, Energy Trust </w:t>
      </w:r>
      <w:r w:rsidR="002D1787">
        <w:rPr>
          <w:rFonts w:cs="Arial"/>
          <w:sz w:val="20"/>
        </w:rPr>
        <w:t>launched</w:t>
      </w:r>
      <w:r w:rsidRPr="001F4D76">
        <w:rPr>
          <w:rFonts w:cs="Arial"/>
          <w:sz w:val="20"/>
        </w:rPr>
        <w:t xml:space="preserve"> new online incentive applications and instant incentives</w:t>
      </w:r>
      <w:r w:rsidR="002D1787">
        <w:rPr>
          <w:rFonts w:cs="Arial"/>
          <w:sz w:val="20"/>
        </w:rPr>
        <w:t xml:space="preserve"> that expedite incentive distribution.</w:t>
      </w:r>
      <w:r w:rsidRPr="001F4D76">
        <w:rPr>
          <w:rFonts w:cs="Arial"/>
          <w:sz w:val="20"/>
        </w:rPr>
        <w:t xml:space="preserve"> In addition, Energy Trust increased outreach to trade allies serving </w:t>
      </w:r>
      <w:r w:rsidR="002D1787">
        <w:rPr>
          <w:rFonts w:cs="Arial"/>
          <w:sz w:val="20"/>
        </w:rPr>
        <w:t>Southwest</w:t>
      </w:r>
      <w:r w:rsidRPr="001F4D76">
        <w:rPr>
          <w:rFonts w:cs="Arial"/>
          <w:sz w:val="20"/>
        </w:rPr>
        <w:t xml:space="preserve"> Washington to ensure consistent and high-quality interactions with customers.</w:t>
      </w:r>
    </w:p>
    <w:p w14:paraId="42A711BF" w14:textId="77777777" w:rsidR="00143A9C" w:rsidRDefault="00143A9C" w:rsidP="00A86187">
      <w:pPr>
        <w:spacing w:line="300" w:lineRule="auto"/>
        <w:rPr>
          <w:rFonts w:cs="Arial"/>
          <w:sz w:val="20"/>
        </w:rPr>
      </w:pPr>
    </w:p>
    <w:p w14:paraId="3DC90D4F" w14:textId="77777777" w:rsidR="00A86187" w:rsidRPr="002F7914" w:rsidRDefault="00A86187" w:rsidP="00A86187">
      <w:pPr>
        <w:spacing w:line="300" w:lineRule="auto"/>
        <w:rPr>
          <w:rFonts w:cs="Arial"/>
          <w:b/>
          <w:bCs/>
          <w:sz w:val="20"/>
        </w:rPr>
      </w:pPr>
      <w:r w:rsidRPr="002F7914">
        <w:rPr>
          <w:rFonts w:cs="Arial"/>
          <w:b/>
          <w:bCs/>
          <w:sz w:val="20"/>
        </w:rPr>
        <w:t>Table 1: NW Natural Washington residential customer satisfaction 2015</w:t>
      </w:r>
    </w:p>
    <w:tbl>
      <w:tblPr>
        <w:tblW w:w="5000" w:type="pct"/>
        <w:tblCellMar>
          <w:left w:w="0" w:type="dxa"/>
          <w:right w:w="0" w:type="dxa"/>
        </w:tblCellMar>
        <w:tblLook w:val="04A0" w:firstRow="1" w:lastRow="0" w:firstColumn="1" w:lastColumn="0" w:noHBand="0" w:noVBand="1"/>
      </w:tblPr>
      <w:tblGrid>
        <w:gridCol w:w="4340"/>
        <w:gridCol w:w="1446"/>
        <w:gridCol w:w="1896"/>
        <w:gridCol w:w="1894"/>
      </w:tblGrid>
      <w:tr w:rsidR="00A86187" w:rsidRPr="002F7914" w14:paraId="5DEA237F" w14:textId="77777777" w:rsidTr="002F791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07453" w14:textId="77777777" w:rsidR="00A86187" w:rsidRPr="002F7914" w:rsidRDefault="00A86187" w:rsidP="00A86187">
            <w:pPr>
              <w:spacing w:line="300" w:lineRule="auto"/>
              <w:rPr>
                <w:rFonts w:cs="Arial"/>
                <w:sz w:val="20"/>
              </w:rPr>
            </w:pPr>
            <w:r w:rsidRPr="002F7914">
              <w:rPr>
                <w:rFonts w:cs="Arial"/>
                <w:sz w:val="20"/>
              </w:rPr>
              <w:t>Residential (n=154)</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4B922F" w14:textId="77777777" w:rsidR="00A86187" w:rsidRPr="002F7914" w:rsidRDefault="00A86187" w:rsidP="00A86187">
            <w:pPr>
              <w:spacing w:line="300" w:lineRule="auto"/>
              <w:rPr>
                <w:rFonts w:cs="Arial"/>
                <w:sz w:val="20"/>
              </w:rPr>
            </w:pPr>
            <w:r w:rsidRPr="002F7914">
              <w:rPr>
                <w:rFonts w:cs="Arial"/>
                <w:sz w:val="20"/>
              </w:rPr>
              <w:t>Dissatisfied</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3DC7B" w14:textId="77777777" w:rsidR="00A86187" w:rsidRPr="002F7914" w:rsidRDefault="00A86187" w:rsidP="00A86187">
            <w:pPr>
              <w:spacing w:line="300" w:lineRule="auto"/>
              <w:rPr>
                <w:rFonts w:cs="Arial"/>
                <w:sz w:val="20"/>
              </w:rPr>
            </w:pPr>
            <w:r w:rsidRPr="002F7914">
              <w:rPr>
                <w:rFonts w:cs="Arial"/>
                <w:sz w:val="20"/>
              </w:rPr>
              <w:t>Neutral</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9E387E" w14:textId="77777777" w:rsidR="00A86187" w:rsidRPr="002F7914" w:rsidRDefault="00A86187" w:rsidP="00A86187">
            <w:pPr>
              <w:spacing w:line="300" w:lineRule="auto"/>
              <w:rPr>
                <w:rFonts w:cs="Arial"/>
                <w:sz w:val="20"/>
              </w:rPr>
            </w:pPr>
            <w:r w:rsidRPr="002F7914">
              <w:rPr>
                <w:rFonts w:cs="Arial"/>
                <w:sz w:val="20"/>
              </w:rPr>
              <w:t>Satisfied</w:t>
            </w:r>
          </w:p>
        </w:tc>
      </w:tr>
      <w:tr w:rsidR="00A86187" w:rsidRPr="002F7914" w14:paraId="3F0A7CAB" w14:textId="77777777" w:rsidTr="002F791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0A45D" w14:textId="77777777" w:rsidR="00A86187" w:rsidRPr="002F7914" w:rsidRDefault="00A86187" w:rsidP="00A86187">
            <w:pPr>
              <w:spacing w:line="300" w:lineRule="auto"/>
              <w:rPr>
                <w:rFonts w:cs="Arial"/>
                <w:sz w:val="20"/>
              </w:rPr>
            </w:pPr>
            <w:r w:rsidRPr="002F7914">
              <w:rPr>
                <w:rFonts w:cs="Arial"/>
                <w:sz w:val="20"/>
              </w:rPr>
              <w:t>Overall satisfaction</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688E6CD5" w14:textId="77777777" w:rsidR="00A86187" w:rsidRPr="002F7914" w:rsidRDefault="00A86187" w:rsidP="00A86187">
            <w:pPr>
              <w:spacing w:line="300" w:lineRule="auto"/>
              <w:rPr>
                <w:rFonts w:cs="Arial"/>
                <w:sz w:val="20"/>
              </w:rPr>
            </w:pPr>
            <w:r w:rsidRPr="002F7914">
              <w:rPr>
                <w:rFonts w:cs="Arial"/>
                <w:sz w:val="20"/>
              </w:rPr>
              <w:t>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3AF21AB2" w14:textId="77777777" w:rsidR="00A86187" w:rsidRPr="002F7914" w:rsidRDefault="00A86187" w:rsidP="00A86187">
            <w:pPr>
              <w:spacing w:line="300" w:lineRule="auto"/>
              <w:rPr>
                <w:rFonts w:cs="Arial"/>
                <w:sz w:val="20"/>
              </w:rPr>
            </w:pPr>
            <w:r w:rsidRPr="002F7914">
              <w:rPr>
                <w:rFonts w:cs="Arial"/>
                <w:sz w:val="20"/>
              </w:rPr>
              <w:t>8%</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74F6E70B" w14:textId="77777777" w:rsidR="00A86187" w:rsidRPr="002F7914" w:rsidRDefault="00A86187" w:rsidP="00A86187">
            <w:pPr>
              <w:spacing w:line="300" w:lineRule="auto"/>
              <w:rPr>
                <w:rFonts w:cs="Arial"/>
                <w:sz w:val="20"/>
              </w:rPr>
            </w:pPr>
            <w:r w:rsidRPr="002F7914">
              <w:rPr>
                <w:rFonts w:cs="Arial"/>
                <w:sz w:val="20"/>
              </w:rPr>
              <w:t>90%</w:t>
            </w:r>
          </w:p>
        </w:tc>
      </w:tr>
      <w:tr w:rsidR="00A86187" w:rsidRPr="002F7914" w14:paraId="299FF019" w14:textId="77777777" w:rsidTr="002F791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D86B6" w14:textId="77777777" w:rsidR="00A86187" w:rsidRPr="002F7914" w:rsidRDefault="00A86187" w:rsidP="00A86187">
            <w:pPr>
              <w:spacing w:line="300" w:lineRule="auto"/>
              <w:rPr>
                <w:rFonts w:cs="Arial"/>
                <w:sz w:val="20"/>
              </w:rPr>
            </w:pPr>
            <w:r w:rsidRPr="002F7914">
              <w:rPr>
                <w:rFonts w:cs="Arial"/>
                <w:sz w:val="20"/>
              </w:rPr>
              <w:t>Incentive application form</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6F05BEBE" w14:textId="77777777" w:rsidR="00A86187" w:rsidRPr="002F7914" w:rsidRDefault="00A86187" w:rsidP="00A86187">
            <w:pPr>
              <w:spacing w:line="300" w:lineRule="auto"/>
              <w:rPr>
                <w:rFonts w:cs="Arial"/>
                <w:sz w:val="20"/>
              </w:rPr>
            </w:pPr>
            <w:r w:rsidRPr="002F7914">
              <w:rPr>
                <w:rFonts w:cs="Arial"/>
                <w:sz w:val="20"/>
              </w:rPr>
              <w:t>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4A737BEE" w14:textId="77777777" w:rsidR="00A86187" w:rsidRPr="002F7914" w:rsidRDefault="00A86187" w:rsidP="00A86187">
            <w:pPr>
              <w:spacing w:line="300" w:lineRule="auto"/>
              <w:rPr>
                <w:rFonts w:cs="Arial"/>
                <w:sz w:val="20"/>
              </w:rPr>
            </w:pPr>
            <w:r w:rsidRPr="002F7914">
              <w:rPr>
                <w:rFonts w:cs="Arial"/>
                <w:sz w:val="20"/>
              </w:rPr>
              <w:t>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4B662B82" w14:textId="77777777" w:rsidR="00A86187" w:rsidRPr="002F7914" w:rsidRDefault="00A86187" w:rsidP="00A86187">
            <w:pPr>
              <w:spacing w:line="300" w:lineRule="auto"/>
              <w:rPr>
                <w:rFonts w:cs="Arial"/>
                <w:sz w:val="20"/>
              </w:rPr>
            </w:pPr>
            <w:r w:rsidRPr="002F7914">
              <w:rPr>
                <w:rFonts w:cs="Arial"/>
                <w:sz w:val="20"/>
              </w:rPr>
              <w:t>94%</w:t>
            </w:r>
          </w:p>
        </w:tc>
      </w:tr>
      <w:tr w:rsidR="00A86187" w:rsidRPr="002F7914" w14:paraId="150F8AB4" w14:textId="77777777" w:rsidTr="002F791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AA8B3" w14:textId="77777777" w:rsidR="00A86187" w:rsidRPr="002F7914" w:rsidRDefault="00A86187" w:rsidP="00A86187">
            <w:pPr>
              <w:spacing w:line="300" w:lineRule="auto"/>
              <w:rPr>
                <w:rFonts w:cs="Arial"/>
                <w:sz w:val="20"/>
              </w:rPr>
            </w:pPr>
            <w:r w:rsidRPr="002F7914">
              <w:rPr>
                <w:rFonts w:cs="Arial"/>
                <w:sz w:val="20"/>
              </w:rPr>
              <w:t>Turnaround time to receive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34B6CF04" w14:textId="77777777" w:rsidR="00A86187" w:rsidRPr="002F7914" w:rsidRDefault="00A86187" w:rsidP="00A86187">
            <w:pPr>
              <w:spacing w:line="300" w:lineRule="auto"/>
              <w:rPr>
                <w:rFonts w:cs="Arial"/>
                <w:sz w:val="20"/>
              </w:rPr>
            </w:pPr>
            <w:r w:rsidRPr="002F7914">
              <w:rPr>
                <w:rFonts w:cs="Arial"/>
                <w:sz w:val="20"/>
              </w:rPr>
              <w:t>15%</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6430AD2F" w14:textId="77777777" w:rsidR="00A86187" w:rsidRPr="002F7914" w:rsidRDefault="00A86187" w:rsidP="00A86187">
            <w:pPr>
              <w:spacing w:line="300" w:lineRule="auto"/>
              <w:rPr>
                <w:rFonts w:cs="Arial"/>
                <w:sz w:val="20"/>
              </w:rPr>
            </w:pPr>
            <w:r w:rsidRPr="002F7914">
              <w:rPr>
                <w:rFonts w:cs="Arial"/>
                <w:sz w:val="20"/>
              </w:rPr>
              <w:t>13%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3A70D105" w14:textId="77777777" w:rsidR="00A86187" w:rsidRPr="002F7914" w:rsidRDefault="00A86187" w:rsidP="00A86187">
            <w:pPr>
              <w:spacing w:line="300" w:lineRule="auto"/>
              <w:rPr>
                <w:rFonts w:cs="Arial"/>
                <w:sz w:val="20"/>
              </w:rPr>
            </w:pPr>
            <w:r w:rsidRPr="002F7914">
              <w:rPr>
                <w:rFonts w:cs="Arial"/>
                <w:sz w:val="20"/>
              </w:rPr>
              <w:t>72%</w:t>
            </w:r>
          </w:p>
        </w:tc>
      </w:tr>
    </w:tbl>
    <w:p w14:paraId="1048E5B9" w14:textId="77777777" w:rsidR="00A86187" w:rsidRPr="002F7914" w:rsidRDefault="00A86187" w:rsidP="00A86187">
      <w:pPr>
        <w:spacing w:line="300" w:lineRule="auto"/>
        <w:rPr>
          <w:rFonts w:cs="Arial"/>
          <w:sz w:val="20"/>
        </w:rPr>
      </w:pPr>
    </w:p>
    <w:p w14:paraId="57A1A4E0" w14:textId="2F9E4805" w:rsidR="00A86187" w:rsidRPr="002F7914" w:rsidRDefault="00A86187" w:rsidP="00A86187">
      <w:pPr>
        <w:spacing w:line="300" w:lineRule="auto"/>
        <w:rPr>
          <w:rFonts w:cs="Arial"/>
          <w:sz w:val="20"/>
        </w:rPr>
      </w:pPr>
      <w:r w:rsidRPr="002F7914">
        <w:rPr>
          <w:rFonts w:cs="Arial"/>
          <w:sz w:val="20"/>
        </w:rPr>
        <w:t xml:space="preserve">Energy Trust surveyed thirteen commercial customers in 2015. Most respondents were satisfied with their overall program experience, incentive amount, ease of applying for </w:t>
      </w:r>
      <w:r w:rsidR="002D1787">
        <w:rPr>
          <w:rFonts w:cs="Arial"/>
          <w:sz w:val="20"/>
        </w:rPr>
        <w:t>an</w:t>
      </w:r>
      <w:r w:rsidRPr="002F7914">
        <w:rPr>
          <w:rFonts w:cs="Arial"/>
          <w:sz w:val="20"/>
        </w:rPr>
        <w:t xml:space="preserve"> incentive and interaction with program representatives.</w:t>
      </w:r>
    </w:p>
    <w:p w14:paraId="6F3F07D4" w14:textId="77777777" w:rsidR="00A86187" w:rsidRPr="002F7914" w:rsidRDefault="00A86187" w:rsidP="00A86187">
      <w:pPr>
        <w:spacing w:line="300" w:lineRule="auto"/>
        <w:rPr>
          <w:rFonts w:cs="Arial"/>
          <w:sz w:val="20"/>
        </w:rPr>
      </w:pPr>
    </w:p>
    <w:p w14:paraId="601C43C7" w14:textId="77777777" w:rsidR="00A86187" w:rsidRPr="002F7914" w:rsidRDefault="00A86187" w:rsidP="00A86187">
      <w:pPr>
        <w:spacing w:line="300" w:lineRule="auto"/>
        <w:rPr>
          <w:rFonts w:cs="Arial"/>
          <w:b/>
          <w:bCs/>
          <w:sz w:val="20"/>
        </w:rPr>
      </w:pPr>
      <w:r w:rsidRPr="002F7914">
        <w:rPr>
          <w:rFonts w:cs="Arial"/>
          <w:b/>
          <w:bCs/>
          <w:sz w:val="20"/>
        </w:rPr>
        <w:t>Table 2: NW Natural Washington commercial customer satisfaction 2015</w:t>
      </w:r>
    </w:p>
    <w:tbl>
      <w:tblPr>
        <w:tblW w:w="5000" w:type="pct"/>
        <w:tblCellMar>
          <w:left w:w="0" w:type="dxa"/>
          <w:right w:w="0" w:type="dxa"/>
        </w:tblCellMar>
        <w:tblLook w:val="04A0" w:firstRow="1" w:lastRow="0" w:firstColumn="1" w:lastColumn="0" w:noHBand="0" w:noVBand="1"/>
      </w:tblPr>
      <w:tblGrid>
        <w:gridCol w:w="4342"/>
        <w:gridCol w:w="1446"/>
        <w:gridCol w:w="1896"/>
        <w:gridCol w:w="1892"/>
      </w:tblGrid>
      <w:tr w:rsidR="00A86187" w:rsidRPr="002F7914" w14:paraId="74DCCDBF" w14:textId="77777777" w:rsidTr="00D302BB">
        <w:tc>
          <w:tcPr>
            <w:tcW w:w="22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611B8F" w14:textId="77777777" w:rsidR="00A86187" w:rsidRPr="002F7914" w:rsidRDefault="00A86187" w:rsidP="00A86187">
            <w:pPr>
              <w:spacing w:line="300" w:lineRule="auto"/>
              <w:rPr>
                <w:rFonts w:cs="Arial"/>
                <w:sz w:val="20"/>
              </w:rPr>
            </w:pPr>
            <w:r w:rsidRPr="002F7914">
              <w:rPr>
                <w:rFonts w:cs="Arial"/>
                <w:sz w:val="20"/>
              </w:rPr>
              <w:t>Commercial (n=13)</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6B16DE" w14:textId="77777777" w:rsidR="00A86187" w:rsidRPr="002F7914" w:rsidRDefault="00A86187" w:rsidP="00A86187">
            <w:pPr>
              <w:spacing w:line="300" w:lineRule="auto"/>
              <w:rPr>
                <w:rFonts w:cs="Arial"/>
                <w:sz w:val="20"/>
              </w:rPr>
            </w:pPr>
            <w:r w:rsidRPr="002F7914">
              <w:rPr>
                <w:rFonts w:cs="Arial"/>
                <w:sz w:val="20"/>
              </w:rPr>
              <w:t>Dissatisfied</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58F4EC" w14:textId="77777777" w:rsidR="00A86187" w:rsidRPr="002F7914" w:rsidRDefault="00A86187" w:rsidP="00A86187">
            <w:pPr>
              <w:spacing w:line="300" w:lineRule="auto"/>
              <w:rPr>
                <w:rFonts w:cs="Arial"/>
                <w:sz w:val="20"/>
              </w:rPr>
            </w:pPr>
            <w:r w:rsidRPr="002F7914">
              <w:rPr>
                <w:rFonts w:cs="Arial"/>
                <w:sz w:val="20"/>
              </w:rPr>
              <w:t>Neutral</w:t>
            </w:r>
          </w:p>
        </w:tc>
        <w:tc>
          <w:tcPr>
            <w:tcW w:w="9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B8FD5E" w14:textId="77777777" w:rsidR="00A86187" w:rsidRPr="002F7914" w:rsidRDefault="00A86187" w:rsidP="00A86187">
            <w:pPr>
              <w:spacing w:line="300" w:lineRule="auto"/>
              <w:rPr>
                <w:rFonts w:cs="Arial"/>
                <w:sz w:val="20"/>
              </w:rPr>
            </w:pPr>
            <w:r w:rsidRPr="002F7914">
              <w:rPr>
                <w:rFonts w:cs="Arial"/>
                <w:sz w:val="20"/>
              </w:rPr>
              <w:t>Satisfied</w:t>
            </w:r>
          </w:p>
        </w:tc>
      </w:tr>
      <w:tr w:rsidR="00A86187" w:rsidRPr="002F7914" w14:paraId="0A356F57"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E06FB" w14:textId="77777777" w:rsidR="00A86187" w:rsidRPr="002F7914" w:rsidRDefault="00A86187" w:rsidP="00A86187">
            <w:pPr>
              <w:spacing w:line="300" w:lineRule="auto"/>
              <w:rPr>
                <w:rFonts w:cs="Arial"/>
                <w:sz w:val="20"/>
              </w:rPr>
            </w:pPr>
            <w:r w:rsidRPr="002F7914">
              <w:rPr>
                <w:rFonts w:cs="Arial"/>
                <w:sz w:val="20"/>
              </w:rPr>
              <w:t>Overall satisfaction</w:t>
            </w:r>
          </w:p>
        </w:tc>
        <w:tc>
          <w:tcPr>
            <w:tcW w:w="755" w:type="pct"/>
            <w:tcBorders>
              <w:top w:val="nil"/>
              <w:left w:val="nil"/>
              <w:bottom w:val="single" w:sz="8" w:space="0" w:color="auto"/>
              <w:right w:val="single" w:sz="8" w:space="0" w:color="auto"/>
            </w:tcBorders>
            <w:tcMar>
              <w:top w:w="0" w:type="dxa"/>
              <w:left w:w="108" w:type="dxa"/>
              <w:bottom w:w="0" w:type="dxa"/>
              <w:right w:w="108" w:type="dxa"/>
            </w:tcMar>
          </w:tcPr>
          <w:p w14:paraId="5BEEA8EB"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tcPr>
          <w:p w14:paraId="6DD32220"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57D10EE6"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6EB88D97"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D11A8" w14:textId="77777777" w:rsidR="00A86187" w:rsidRPr="002F7914" w:rsidRDefault="00A86187" w:rsidP="00A86187">
            <w:pPr>
              <w:spacing w:line="300" w:lineRule="auto"/>
              <w:rPr>
                <w:rFonts w:cs="Arial"/>
                <w:sz w:val="20"/>
              </w:rPr>
            </w:pPr>
            <w:r w:rsidRPr="002F7914">
              <w:rPr>
                <w:rFonts w:cs="Arial"/>
                <w:sz w:val="20"/>
              </w:rPr>
              <w:t>Incentive amount</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0D9B2497"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13D75E12"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48408845"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1336BD1F"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C17B" w14:textId="77777777" w:rsidR="00A86187" w:rsidRPr="002F7914" w:rsidRDefault="00A86187" w:rsidP="00A86187">
            <w:pPr>
              <w:spacing w:line="300" w:lineRule="auto"/>
              <w:rPr>
                <w:rFonts w:cs="Arial"/>
                <w:sz w:val="20"/>
              </w:rPr>
            </w:pPr>
            <w:r w:rsidRPr="002F7914">
              <w:rPr>
                <w:rFonts w:cs="Arial"/>
                <w:sz w:val="20"/>
              </w:rPr>
              <w:t>Ease of applying for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1F376D9E"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2C750963"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20F5DD47"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1A519FDE"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1F6F3" w14:textId="77777777" w:rsidR="00A86187" w:rsidRPr="002F7914" w:rsidRDefault="00A86187" w:rsidP="00A86187">
            <w:pPr>
              <w:spacing w:line="300" w:lineRule="auto"/>
              <w:rPr>
                <w:rFonts w:cs="Arial"/>
                <w:sz w:val="20"/>
              </w:rPr>
            </w:pPr>
            <w:r w:rsidRPr="002F7914">
              <w:rPr>
                <w:rFonts w:cs="Arial"/>
                <w:sz w:val="20"/>
              </w:rPr>
              <w:t>Interaction with program representative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046B93F5"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2E17E304"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656CCF17"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085D6181"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EBA73" w14:textId="77777777" w:rsidR="00A86187" w:rsidRPr="002F7914" w:rsidRDefault="00A86187" w:rsidP="00A86187">
            <w:pPr>
              <w:spacing w:line="300" w:lineRule="auto"/>
              <w:rPr>
                <w:rFonts w:cs="Arial"/>
                <w:sz w:val="20"/>
              </w:rPr>
            </w:pPr>
            <w:r w:rsidRPr="002F7914">
              <w:rPr>
                <w:rFonts w:cs="Arial"/>
                <w:sz w:val="20"/>
              </w:rPr>
              <w:t>Performance of equipment or system installed</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5AF3AD76"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tcPr>
          <w:p w14:paraId="51525FFB"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60391166"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0CA9BF2D"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2577A" w14:textId="77777777" w:rsidR="00A86187" w:rsidRPr="002F7914" w:rsidRDefault="00A86187" w:rsidP="00A86187">
            <w:pPr>
              <w:spacing w:line="300" w:lineRule="auto"/>
              <w:rPr>
                <w:rFonts w:cs="Arial"/>
                <w:sz w:val="20"/>
              </w:rPr>
            </w:pPr>
            <w:r w:rsidRPr="002F7914">
              <w:rPr>
                <w:rFonts w:cs="Arial"/>
                <w:sz w:val="20"/>
              </w:rPr>
              <w:t>Turnaround time to receive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1A928CFC" w14:textId="77777777" w:rsidR="00A86187" w:rsidRPr="002F7914" w:rsidRDefault="00A86187" w:rsidP="00A86187">
            <w:pPr>
              <w:spacing w:line="300" w:lineRule="auto"/>
              <w:rPr>
                <w:rFonts w:cs="Arial"/>
                <w:sz w:val="20"/>
              </w:rPr>
            </w:pPr>
            <w:r w:rsidRPr="002F7914">
              <w:rPr>
                <w:rFonts w:cs="Arial"/>
                <w:sz w:val="20"/>
              </w:rPr>
              <w:t>1</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033752BA" w14:textId="77777777" w:rsidR="00A86187" w:rsidRPr="002F7914" w:rsidRDefault="00A86187" w:rsidP="00A86187">
            <w:pPr>
              <w:spacing w:line="300" w:lineRule="auto"/>
              <w:rPr>
                <w:rFonts w:cs="Arial"/>
                <w:sz w:val="20"/>
              </w:rPr>
            </w:pPr>
            <w:r w:rsidRPr="002F7914">
              <w:rPr>
                <w:rFonts w:cs="Arial"/>
                <w:sz w:val="20"/>
              </w:rPr>
              <w:t>1</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7C6D6ADE" w14:textId="77777777" w:rsidR="00A86187" w:rsidRPr="002F7914" w:rsidRDefault="00A86187" w:rsidP="00A86187">
            <w:pPr>
              <w:spacing w:line="300" w:lineRule="auto"/>
              <w:rPr>
                <w:rFonts w:cs="Arial"/>
                <w:sz w:val="20"/>
              </w:rPr>
            </w:pPr>
            <w:r w:rsidRPr="002F7914">
              <w:rPr>
                <w:rFonts w:cs="Arial"/>
                <w:sz w:val="20"/>
              </w:rPr>
              <w:t>11</w:t>
            </w:r>
          </w:p>
        </w:tc>
      </w:tr>
    </w:tbl>
    <w:p w14:paraId="6717DF29" w14:textId="77777777" w:rsidR="00A86187" w:rsidRPr="002F7914" w:rsidRDefault="00A86187" w:rsidP="00A86187">
      <w:pPr>
        <w:spacing w:line="300" w:lineRule="auto"/>
        <w:rPr>
          <w:rFonts w:cs="Arial"/>
          <w:sz w:val="20"/>
        </w:rPr>
      </w:pPr>
    </w:p>
    <w:p w14:paraId="19D9227B" w14:textId="77777777" w:rsidR="00A86187" w:rsidRPr="002F7914" w:rsidRDefault="00A86187" w:rsidP="00A86187">
      <w:pPr>
        <w:spacing w:line="300" w:lineRule="auto"/>
        <w:rPr>
          <w:rFonts w:cs="Arial"/>
          <w:b/>
          <w:sz w:val="20"/>
        </w:rPr>
      </w:pPr>
    </w:p>
    <w:p w14:paraId="015F879D" w14:textId="3EE41047" w:rsidR="003114A3" w:rsidRPr="006C0590" w:rsidRDefault="003114A3" w:rsidP="006C0590">
      <w:pPr>
        <w:spacing w:line="300" w:lineRule="auto"/>
        <w:rPr>
          <w:rFonts w:cs="Arial"/>
          <w:b/>
        </w:rPr>
      </w:pPr>
    </w:p>
    <w:p w14:paraId="015F87A5" w14:textId="77777777" w:rsidR="003114A3" w:rsidRPr="00680880" w:rsidRDefault="003114A3" w:rsidP="003114A3">
      <w:pPr>
        <w:spacing w:line="276" w:lineRule="auto"/>
        <w:outlineLvl w:val="0"/>
        <w:rPr>
          <w:rFonts w:cs="Arial"/>
          <w:b/>
          <w:sz w:val="21"/>
          <w:szCs w:val="21"/>
        </w:rPr>
      </w:pPr>
    </w:p>
    <w:p w14:paraId="015F87A6" w14:textId="77777777" w:rsidR="003114A3" w:rsidRPr="00680880" w:rsidRDefault="003114A3" w:rsidP="003114A3">
      <w:pPr>
        <w:spacing w:line="300" w:lineRule="auto"/>
        <w:ind w:left="360" w:hanging="360"/>
        <w:rPr>
          <w:rFonts w:cs="Arial"/>
          <w:szCs w:val="22"/>
        </w:rPr>
      </w:pPr>
    </w:p>
    <w:p w14:paraId="18C54331" w14:textId="71B5D0C3" w:rsidR="00F530C2" w:rsidRDefault="009630AA">
      <w:pPr>
        <w:rPr>
          <w:sz w:val="48"/>
          <w:szCs w:val="48"/>
        </w:rPr>
        <w:sectPr w:rsidR="00F530C2" w:rsidSect="008724CC">
          <w:pgSz w:w="12240" w:h="15840" w:code="1"/>
          <w:pgMar w:top="1440" w:right="1440" w:bottom="1440" w:left="1440" w:header="720" w:footer="720" w:gutter="0"/>
          <w:cols w:space="720"/>
          <w:titlePg/>
          <w:docGrid w:linePitch="360"/>
        </w:sectPr>
      </w:pPr>
      <w:r w:rsidRPr="009630AA">
        <w:rPr>
          <w:noProof/>
        </w:rPr>
        <w:drawing>
          <wp:anchor distT="0" distB="0" distL="114300" distR="114300" simplePos="0" relativeHeight="251662338" behindDoc="0" locked="0" layoutInCell="1" allowOverlap="1" wp14:anchorId="37214A18" wp14:editId="492E02E8">
            <wp:simplePos x="0" y="0"/>
            <wp:positionH relativeFrom="column">
              <wp:posOffset>-297180</wp:posOffset>
            </wp:positionH>
            <wp:positionV relativeFrom="paragraph">
              <wp:posOffset>8199120</wp:posOffset>
            </wp:positionV>
            <wp:extent cx="6864350" cy="74295"/>
            <wp:effectExtent l="0" t="0" r="0" b="1905"/>
            <wp:wrapNone/>
            <wp:docPr id="12"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70C806A" w14:textId="40DDD1C5" w:rsidR="009630AA" w:rsidRDefault="009630AA">
      <w:pPr>
        <w:rPr>
          <w:sz w:val="48"/>
          <w:szCs w:val="48"/>
        </w:rPr>
      </w:pPr>
    </w:p>
    <w:p w14:paraId="7B7B3CF8" w14:textId="1EB8D485" w:rsidR="009630AA" w:rsidRPr="009630AA" w:rsidRDefault="009630AA" w:rsidP="009630AA">
      <w:pPr>
        <w:spacing w:line="300" w:lineRule="auto"/>
        <w:outlineLvl w:val="0"/>
        <w:rPr>
          <w:b/>
          <w:sz w:val="48"/>
          <w:szCs w:val="48"/>
        </w:rPr>
      </w:pPr>
      <w:r w:rsidRPr="009630AA">
        <w:rPr>
          <w:b/>
          <w:sz w:val="48"/>
          <w:szCs w:val="48"/>
        </w:rPr>
        <w:t>2015 Annual Energy Efficiency Report</w:t>
      </w:r>
    </w:p>
    <w:p w14:paraId="41DEE30A" w14:textId="7F1F60AF" w:rsidR="009630AA" w:rsidRDefault="00F530C2" w:rsidP="009630AA">
      <w:pPr>
        <w:spacing w:line="300" w:lineRule="auto"/>
        <w:outlineLvl w:val="0"/>
        <w:rPr>
          <w:b/>
          <w:sz w:val="48"/>
          <w:szCs w:val="48"/>
        </w:rPr>
      </w:pPr>
      <w:r w:rsidRPr="009630AA">
        <w:rPr>
          <w:noProof/>
        </w:rPr>
        <w:drawing>
          <wp:anchor distT="0" distB="0" distL="114300" distR="114300" simplePos="0" relativeHeight="251666434" behindDoc="0" locked="0" layoutInCell="1" allowOverlap="1" wp14:anchorId="22615F5D" wp14:editId="202F821F">
            <wp:simplePos x="0" y="0"/>
            <wp:positionH relativeFrom="column">
              <wp:posOffset>-434340</wp:posOffset>
            </wp:positionH>
            <wp:positionV relativeFrom="paragraph">
              <wp:posOffset>6977380</wp:posOffset>
            </wp:positionV>
            <wp:extent cx="6864350" cy="74295"/>
            <wp:effectExtent l="0" t="0" r="0" b="1905"/>
            <wp:wrapNone/>
            <wp:docPr id="16"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630AA">
        <w:rPr>
          <w:noProof/>
        </w:rPr>
        <w:drawing>
          <wp:anchor distT="0" distB="0" distL="114300" distR="114300" simplePos="0" relativeHeight="251664386" behindDoc="0" locked="0" layoutInCell="1" allowOverlap="1" wp14:anchorId="76D035EA" wp14:editId="14DCFA43">
            <wp:simplePos x="0" y="0"/>
            <wp:positionH relativeFrom="page">
              <wp:posOffset>419100</wp:posOffset>
            </wp:positionH>
            <wp:positionV relativeFrom="paragraph">
              <wp:posOffset>691515</wp:posOffset>
            </wp:positionV>
            <wp:extent cx="6864350" cy="76200"/>
            <wp:effectExtent l="0" t="0" r="0" b="0"/>
            <wp:wrapNone/>
            <wp:docPr id="14" name="Picture 14"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6200"/>
                    </a:xfrm>
                    <a:prstGeom prst="rect">
                      <a:avLst/>
                    </a:prstGeom>
                    <a:noFill/>
                    <a:ln w="9525">
                      <a:noFill/>
                      <a:miter lim="800000"/>
                      <a:headEnd/>
                      <a:tailEnd/>
                    </a:ln>
                  </pic:spPr>
                </pic:pic>
              </a:graphicData>
            </a:graphic>
          </wp:anchor>
        </w:drawing>
      </w:r>
      <w:r w:rsidR="009630AA" w:rsidRPr="009630AA">
        <w:rPr>
          <w:noProof/>
        </w:rPr>
        <mc:AlternateContent>
          <mc:Choice Requires="wps">
            <w:drawing>
              <wp:anchor distT="0" distB="0" distL="114300" distR="114300" simplePos="0" relativeHeight="251660290" behindDoc="0" locked="0" layoutInCell="1" allowOverlap="1" wp14:anchorId="0295752E" wp14:editId="2CDBC192">
                <wp:simplePos x="0" y="0"/>
                <wp:positionH relativeFrom="column">
                  <wp:posOffset>-45720</wp:posOffset>
                </wp:positionH>
                <wp:positionV relativeFrom="paragraph">
                  <wp:posOffset>1139190</wp:posOffset>
                </wp:positionV>
                <wp:extent cx="6122670" cy="51339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BAC2" w14:textId="77777777" w:rsidR="009630AA" w:rsidRPr="009630AA" w:rsidRDefault="009630AA" w:rsidP="009630AA">
                            <w:pPr>
                              <w:rPr>
                                <w:rFonts w:cs="Arial"/>
                                <w:b/>
                                <w:caps/>
                                <w:sz w:val="28"/>
                                <w:szCs w:val="28"/>
                              </w:rPr>
                            </w:pPr>
                            <w:r w:rsidRPr="009630AA">
                              <w:rPr>
                                <w:rFonts w:cs="Arial"/>
                                <w:b/>
                                <w:caps/>
                                <w:sz w:val="28"/>
                                <w:szCs w:val="28"/>
                              </w:rPr>
                              <w:t>WASHINGTON LOW INCOME ENERGY EFFICIENCY (WALIEE)</w:t>
                            </w:r>
                          </w:p>
                          <w:p w14:paraId="5832DC83" w14:textId="24EF84FC" w:rsidR="009630AA" w:rsidRDefault="009630AA" w:rsidP="009630AA">
                            <w:pPr>
                              <w:rPr>
                                <w:rFonts w:cs="Arial"/>
                                <w:b/>
                                <w:caps/>
                                <w:sz w:val="20"/>
                              </w:rPr>
                            </w:pPr>
                            <w:r>
                              <w:rPr>
                                <w:rFonts w:cs="Arial"/>
                                <w:b/>
                                <w:caps/>
                                <w:sz w:val="20"/>
                              </w:rPr>
                              <w:t xml:space="preserve"> </w:t>
                            </w:r>
                          </w:p>
                          <w:p w14:paraId="2CCAD4B1" w14:textId="77777777" w:rsidR="009630AA" w:rsidRPr="00972DD8" w:rsidRDefault="009630AA" w:rsidP="009630AA">
                            <w:pPr>
                              <w:rPr>
                                <w:rFonts w:cs="Arial"/>
                                <w:b/>
                                <w:caps/>
                                <w:sz w:val="20"/>
                              </w:rPr>
                            </w:pPr>
                            <w:r w:rsidRPr="00972DD8">
                              <w:rPr>
                                <w:rFonts w:cs="Arial"/>
                                <w:b/>
                                <w:caps/>
                                <w:sz w:val="20"/>
                              </w:rPr>
                              <w:t xml:space="preserve">Energy Trust of Oregon </w:t>
                            </w:r>
                          </w:p>
                          <w:p w14:paraId="7C4E6496" w14:textId="085BA1FE" w:rsidR="009630AA" w:rsidRPr="00972DD8" w:rsidRDefault="009630AA" w:rsidP="009630AA">
                            <w:pPr>
                              <w:rPr>
                                <w:rFonts w:cs="Arial"/>
                                <w:b/>
                                <w:caps/>
                                <w:sz w:val="20"/>
                              </w:rPr>
                            </w:pPr>
                            <w:r>
                              <w:rPr>
                                <w:rFonts w:cs="Arial"/>
                                <w:b/>
                                <w:caps/>
                                <w:sz w:val="20"/>
                              </w:rPr>
                              <w:t>April 2</w:t>
                            </w:r>
                            <w:r w:rsidR="002946B8">
                              <w:rPr>
                                <w:rFonts w:cs="Arial"/>
                                <w:b/>
                                <w:caps/>
                                <w:sz w:val="20"/>
                              </w:rPr>
                              <w:t>2</w:t>
                            </w:r>
                            <w:r>
                              <w:rPr>
                                <w:rFonts w:cs="Arial"/>
                                <w:b/>
                                <w:caps/>
                                <w:sz w:val="20"/>
                              </w:rPr>
                              <w:t>, 2016</w:t>
                            </w:r>
                          </w:p>
                          <w:p w14:paraId="6675C9F9" w14:textId="77777777" w:rsidR="009630AA" w:rsidRPr="00F27A2F" w:rsidRDefault="009630AA" w:rsidP="009630AA">
                            <w:pPr>
                              <w:rPr>
                                <w:rFonts w:cs="Arial"/>
                                <w:i/>
                                <w:sz w:val="21"/>
                                <w:szCs w:val="21"/>
                              </w:rPr>
                            </w:pPr>
                          </w:p>
                          <w:p w14:paraId="4FD23C7C" w14:textId="77777777" w:rsidR="009630AA" w:rsidRDefault="009630AA" w:rsidP="009630AA">
                            <w:pPr>
                              <w:rPr>
                                <w:rFonts w:cs="Arial"/>
                                <w:szCs w:val="22"/>
                              </w:rPr>
                            </w:pPr>
                          </w:p>
                          <w:p w14:paraId="4F673185" w14:textId="77777777" w:rsidR="009630AA" w:rsidRPr="00F27A2F" w:rsidRDefault="009630AA" w:rsidP="009630AA">
                            <w:pPr>
                              <w:rPr>
                                <w:rFonts w:cs="Arial"/>
                                <w:i/>
                                <w:sz w:val="21"/>
                                <w:szCs w:val="21"/>
                              </w:rPr>
                            </w:pPr>
                          </w:p>
                          <w:p w14:paraId="44E3984D" w14:textId="77777777" w:rsidR="009630AA" w:rsidRPr="00F27A2F" w:rsidRDefault="009630AA" w:rsidP="009630AA">
                            <w:pPr>
                              <w:rPr>
                                <w:rFonts w:cs="Arial"/>
                                <w:i/>
                                <w:sz w:val="21"/>
                                <w:szCs w:val="21"/>
                              </w:rPr>
                            </w:pPr>
                          </w:p>
                          <w:p w14:paraId="6A56ABC5" w14:textId="77777777" w:rsidR="009630AA" w:rsidRPr="00F27A2F" w:rsidRDefault="009630AA" w:rsidP="009630AA">
                            <w:pPr>
                              <w:rPr>
                                <w:rFonts w:cs="Arial"/>
                                <w:i/>
                                <w:sz w:val="21"/>
                                <w:szCs w:val="21"/>
                              </w:rPr>
                            </w:pPr>
                          </w:p>
                          <w:p w14:paraId="1A0890B1" w14:textId="77777777" w:rsidR="009630AA" w:rsidRPr="00592DD0" w:rsidRDefault="009630AA" w:rsidP="009630AA">
                            <w:pPr>
                              <w:rPr>
                                <w:rFonts w:cs="Arial"/>
                                <w:sz w:val="40"/>
                                <w:szCs w:val="40"/>
                              </w:rPr>
                            </w:pPr>
                          </w:p>
                          <w:p w14:paraId="55A38DE6" w14:textId="77777777" w:rsidR="009630AA" w:rsidRPr="00F27A2F" w:rsidRDefault="009630AA" w:rsidP="009630AA">
                            <w:pPr>
                              <w:rPr>
                                <w:rFonts w:cs="Arial"/>
                                <w:i/>
                                <w:sz w:val="21"/>
                                <w:szCs w:val="21"/>
                              </w:rPr>
                            </w:pPr>
                          </w:p>
                          <w:p w14:paraId="7E8781D9" w14:textId="77777777" w:rsidR="009630AA" w:rsidRPr="00F27A2F" w:rsidRDefault="009630AA" w:rsidP="009630AA">
                            <w:pPr>
                              <w:rPr>
                                <w:rFonts w:cs="Arial"/>
                                <w:i/>
                                <w:sz w:val="21"/>
                                <w:szCs w:val="21"/>
                              </w:rPr>
                            </w:pPr>
                          </w:p>
                          <w:p w14:paraId="2F8D651C" w14:textId="77777777" w:rsidR="009630AA" w:rsidRPr="00F27A2F" w:rsidRDefault="009630AA" w:rsidP="009630AA">
                            <w:pPr>
                              <w:rPr>
                                <w:rFonts w:cs="Arial"/>
                                <w:i/>
                                <w:sz w:val="21"/>
                                <w:szCs w:val="21"/>
                              </w:rPr>
                            </w:pPr>
                          </w:p>
                          <w:p w14:paraId="5E6C9FA3" w14:textId="77777777" w:rsidR="009630AA" w:rsidRPr="00F27A2F" w:rsidRDefault="009630AA" w:rsidP="009630AA">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6pt;margin-top:89.7pt;width:482.1pt;height:404.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1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" filled="f" stroked="f">
                <v:textbox>
                  <w:txbxContent>
                    <w:p w14:paraId="3B1EBAC2" w14:textId="77777777" w:rsidR="009630AA" w:rsidRPr="009630AA" w:rsidRDefault="009630AA" w:rsidP="009630AA">
                      <w:pPr>
                        <w:rPr>
                          <w:rFonts w:cs="Arial"/>
                          <w:b/>
                          <w:caps/>
                          <w:sz w:val="28"/>
                          <w:szCs w:val="28"/>
                        </w:rPr>
                      </w:pPr>
                      <w:r w:rsidRPr="009630AA">
                        <w:rPr>
                          <w:rFonts w:cs="Arial"/>
                          <w:b/>
                          <w:caps/>
                          <w:sz w:val="28"/>
                          <w:szCs w:val="28"/>
                        </w:rPr>
                        <w:t>WASHINGTON LOW INCOME ENERGY EFFICIENCY (WALIEE)</w:t>
                      </w:r>
                    </w:p>
                    <w:p w14:paraId="5832DC83" w14:textId="24EF84FC" w:rsidR="009630AA" w:rsidRDefault="009630AA" w:rsidP="009630AA">
                      <w:pPr>
                        <w:rPr>
                          <w:rFonts w:cs="Arial"/>
                          <w:b/>
                          <w:caps/>
                          <w:sz w:val="20"/>
                        </w:rPr>
                      </w:pPr>
                      <w:r>
                        <w:rPr>
                          <w:rFonts w:cs="Arial"/>
                          <w:b/>
                          <w:caps/>
                          <w:sz w:val="20"/>
                        </w:rPr>
                        <w:t xml:space="preserve"> </w:t>
                      </w:r>
                    </w:p>
                    <w:p w14:paraId="2CCAD4B1" w14:textId="77777777" w:rsidR="009630AA" w:rsidRPr="00972DD8" w:rsidRDefault="009630AA" w:rsidP="009630AA">
                      <w:pPr>
                        <w:rPr>
                          <w:rFonts w:cs="Arial"/>
                          <w:b/>
                          <w:caps/>
                          <w:sz w:val="20"/>
                        </w:rPr>
                      </w:pPr>
                      <w:r w:rsidRPr="00972DD8">
                        <w:rPr>
                          <w:rFonts w:cs="Arial"/>
                          <w:b/>
                          <w:caps/>
                          <w:sz w:val="20"/>
                        </w:rPr>
                        <w:t xml:space="preserve">Energy Trust of Oregon </w:t>
                      </w:r>
                    </w:p>
                    <w:p w14:paraId="7C4E6496" w14:textId="085BA1FE" w:rsidR="009630AA" w:rsidRPr="00972DD8" w:rsidRDefault="009630AA" w:rsidP="009630AA">
                      <w:pPr>
                        <w:rPr>
                          <w:rFonts w:cs="Arial"/>
                          <w:b/>
                          <w:caps/>
                          <w:sz w:val="20"/>
                        </w:rPr>
                      </w:pPr>
                      <w:r>
                        <w:rPr>
                          <w:rFonts w:cs="Arial"/>
                          <w:b/>
                          <w:caps/>
                          <w:sz w:val="20"/>
                        </w:rPr>
                        <w:t>April 2</w:t>
                      </w:r>
                      <w:r w:rsidR="002946B8">
                        <w:rPr>
                          <w:rFonts w:cs="Arial"/>
                          <w:b/>
                          <w:caps/>
                          <w:sz w:val="20"/>
                        </w:rPr>
                        <w:t>2</w:t>
                      </w:r>
                      <w:r>
                        <w:rPr>
                          <w:rFonts w:cs="Arial"/>
                          <w:b/>
                          <w:caps/>
                          <w:sz w:val="20"/>
                        </w:rPr>
                        <w:t>, 2016</w:t>
                      </w:r>
                    </w:p>
                    <w:p w14:paraId="6675C9F9" w14:textId="77777777" w:rsidR="009630AA" w:rsidRPr="00F27A2F" w:rsidRDefault="009630AA" w:rsidP="009630AA">
                      <w:pPr>
                        <w:rPr>
                          <w:rFonts w:cs="Arial"/>
                          <w:i/>
                          <w:sz w:val="21"/>
                          <w:szCs w:val="21"/>
                        </w:rPr>
                      </w:pPr>
                    </w:p>
                    <w:p w14:paraId="4FD23C7C" w14:textId="77777777" w:rsidR="009630AA" w:rsidRDefault="009630AA" w:rsidP="009630AA">
                      <w:pPr>
                        <w:rPr>
                          <w:rFonts w:cs="Arial"/>
                          <w:szCs w:val="22"/>
                        </w:rPr>
                      </w:pPr>
                    </w:p>
                    <w:p w14:paraId="4F673185" w14:textId="77777777" w:rsidR="009630AA" w:rsidRPr="00F27A2F" w:rsidRDefault="009630AA" w:rsidP="009630AA">
                      <w:pPr>
                        <w:rPr>
                          <w:rFonts w:cs="Arial"/>
                          <w:i/>
                          <w:sz w:val="21"/>
                          <w:szCs w:val="21"/>
                        </w:rPr>
                      </w:pPr>
                    </w:p>
                    <w:p w14:paraId="44E3984D" w14:textId="77777777" w:rsidR="009630AA" w:rsidRPr="00F27A2F" w:rsidRDefault="009630AA" w:rsidP="009630AA">
                      <w:pPr>
                        <w:rPr>
                          <w:rFonts w:cs="Arial"/>
                          <w:i/>
                          <w:sz w:val="21"/>
                          <w:szCs w:val="21"/>
                        </w:rPr>
                      </w:pPr>
                    </w:p>
                    <w:p w14:paraId="6A56ABC5" w14:textId="77777777" w:rsidR="009630AA" w:rsidRPr="00F27A2F" w:rsidRDefault="009630AA" w:rsidP="009630AA">
                      <w:pPr>
                        <w:rPr>
                          <w:rFonts w:cs="Arial"/>
                          <w:i/>
                          <w:sz w:val="21"/>
                          <w:szCs w:val="21"/>
                        </w:rPr>
                      </w:pPr>
                    </w:p>
                    <w:p w14:paraId="1A0890B1" w14:textId="77777777" w:rsidR="009630AA" w:rsidRPr="00592DD0" w:rsidRDefault="009630AA" w:rsidP="009630AA">
                      <w:pPr>
                        <w:rPr>
                          <w:rFonts w:cs="Arial"/>
                          <w:sz w:val="40"/>
                          <w:szCs w:val="40"/>
                        </w:rPr>
                      </w:pPr>
                    </w:p>
                    <w:p w14:paraId="55A38DE6" w14:textId="77777777" w:rsidR="009630AA" w:rsidRPr="00F27A2F" w:rsidRDefault="009630AA" w:rsidP="009630AA">
                      <w:pPr>
                        <w:rPr>
                          <w:rFonts w:cs="Arial"/>
                          <w:i/>
                          <w:sz w:val="21"/>
                          <w:szCs w:val="21"/>
                        </w:rPr>
                      </w:pPr>
                    </w:p>
                    <w:p w14:paraId="7E8781D9" w14:textId="77777777" w:rsidR="009630AA" w:rsidRPr="00F27A2F" w:rsidRDefault="009630AA" w:rsidP="009630AA">
                      <w:pPr>
                        <w:rPr>
                          <w:rFonts w:cs="Arial"/>
                          <w:i/>
                          <w:sz w:val="21"/>
                          <w:szCs w:val="21"/>
                        </w:rPr>
                      </w:pPr>
                    </w:p>
                    <w:p w14:paraId="2F8D651C" w14:textId="77777777" w:rsidR="009630AA" w:rsidRPr="00F27A2F" w:rsidRDefault="009630AA" w:rsidP="009630AA">
                      <w:pPr>
                        <w:rPr>
                          <w:rFonts w:cs="Arial"/>
                          <w:i/>
                          <w:sz w:val="21"/>
                          <w:szCs w:val="21"/>
                        </w:rPr>
                      </w:pPr>
                    </w:p>
                    <w:p w14:paraId="5E6C9FA3" w14:textId="77777777" w:rsidR="009630AA" w:rsidRPr="00F27A2F" w:rsidRDefault="009630AA" w:rsidP="009630AA">
                      <w:pPr>
                        <w:rPr>
                          <w:rFonts w:cs="Arial"/>
                          <w:sz w:val="21"/>
                          <w:szCs w:val="21"/>
                        </w:rPr>
                      </w:pPr>
                    </w:p>
                  </w:txbxContent>
                </v:textbox>
              </v:shape>
            </w:pict>
          </mc:Fallback>
        </mc:AlternateContent>
      </w:r>
      <w:r w:rsidR="009630AA" w:rsidRPr="009630AA">
        <w:rPr>
          <w:b/>
          <w:sz w:val="48"/>
          <w:szCs w:val="48"/>
        </w:rPr>
        <w:t>NW Natural Washington</w:t>
      </w:r>
    </w:p>
    <w:p w14:paraId="6716CCDD" w14:textId="77777777" w:rsidR="00F530C2" w:rsidRDefault="00F530C2" w:rsidP="009630AA">
      <w:pPr>
        <w:spacing w:line="300" w:lineRule="auto"/>
        <w:outlineLvl w:val="0"/>
        <w:rPr>
          <w:b/>
          <w:sz w:val="48"/>
          <w:szCs w:val="48"/>
        </w:rPr>
      </w:pPr>
    </w:p>
    <w:p w14:paraId="70BE1612" w14:textId="77777777" w:rsidR="00F530C2" w:rsidRDefault="00F530C2" w:rsidP="009630AA">
      <w:pPr>
        <w:spacing w:line="300" w:lineRule="auto"/>
        <w:outlineLvl w:val="0"/>
        <w:rPr>
          <w:b/>
          <w:sz w:val="48"/>
          <w:szCs w:val="48"/>
        </w:rPr>
      </w:pPr>
    </w:p>
    <w:p w14:paraId="47619DEF" w14:textId="77777777" w:rsidR="00F530C2" w:rsidRDefault="00F530C2" w:rsidP="009630AA">
      <w:pPr>
        <w:spacing w:line="300" w:lineRule="auto"/>
        <w:outlineLvl w:val="0"/>
        <w:rPr>
          <w:b/>
          <w:sz w:val="48"/>
          <w:szCs w:val="48"/>
        </w:rPr>
      </w:pPr>
    </w:p>
    <w:p w14:paraId="06F4BB29" w14:textId="77777777" w:rsidR="00F530C2" w:rsidRDefault="00F530C2" w:rsidP="009630AA">
      <w:pPr>
        <w:spacing w:line="300" w:lineRule="auto"/>
        <w:outlineLvl w:val="0"/>
        <w:rPr>
          <w:b/>
          <w:sz w:val="48"/>
          <w:szCs w:val="48"/>
        </w:rPr>
      </w:pPr>
    </w:p>
    <w:p w14:paraId="75BCC57E" w14:textId="77777777" w:rsidR="00F530C2" w:rsidRDefault="00F530C2" w:rsidP="009630AA">
      <w:pPr>
        <w:spacing w:line="300" w:lineRule="auto"/>
        <w:outlineLvl w:val="0"/>
        <w:rPr>
          <w:b/>
          <w:sz w:val="48"/>
          <w:szCs w:val="48"/>
        </w:rPr>
      </w:pPr>
    </w:p>
    <w:p w14:paraId="65F17C6A" w14:textId="77777777" w:rsidR="00F530C2" w:rsidRDefault="00F530C2" w:rsidP="009630AA">
      <w:pPr>
        <w:spacing w:line="300" w:lineRule="auto"/>
        <w:outlineLvl w:val="0"/>
        <w:rPr>
          <w:b/>
          <w:sz w:val="48"/>
          <w:szCs w:val="48"/>
        </w:rPr>
      </w:pPr>
    </w:p>
    <w:p w14:paraId="7C3EE245" w14:textId="77777777" w:rsidR="00F530C2" w:rsidRDefault="00F530C2" w:rsidP="009630AA">
      <w:pPr>
        <w:spacing w:line="300" w:lineRule="auto"/>
        <w:outlineLvl w:val="0"/>
        <w:rPr>
          <w:b/>
          <w:sz w:val="48"/>
          <w:szCs w:val="48"/>
        </w:rPr>
      </w:pPr>
    </w:p>
    <w:p w14:paraId="137B6343" w14:textId="77777777" w:rsidR="00F530C2" w:rsidRDefault="00F530C2" w:rsidP="009630AA">
      <w:pPr>
        <w:spacing w:line="300" w:lineRule="auto"/>
        <w:outlineLvl w:val="0"/>
        <w:rPr>
          <w:b/>
          <w:sz w:val="48"/>
          <w:szCs w:val="48"/>
        </w:rPr>
      </w:pPr>
    </w:p>
    <w:p w14:paraId="7F9BADEB" w14:textId="77777777" w:rsidR="00F530C2" w:rsidRDefault="00F530C2" w:rsidP="009630AA">
      <w:pPr>
        <w:spacing w:line="300" w:lineRule="auto"/>
        <w:outlineLvl w:val="0"/>
        <w:rPr>
          <w:b/>
          <w:sz w:val="48"/>
          <w:szCs w:val="48"/>
        </w:rPr>
      </w:pPr>
    </w:p>
    <w:p w14:paraId="126C1380" w14:textId="77777777" w:rsidR="00F530C2" w:rsidRDefault="00F530C2" w:rsidP="009630AA">
      <w:pPr>
        <w:spacing w:line="300" w:lineRule="auto"/>
        <w:outlineLvl w:val="0"/>
        <w:rPr>
          <w:b/>
          <w:sz w:val="48"/>
          <w:szCs w:val="48"/>
        </w:rPr>
      </w:pPr>
    </w:p>
    <w:p w14:paraId="5734C408" w14:textId="77777777" w:rsidR="00F530C2" w:rsidRDefault="00F530C2" w:rsidP="009630AA">
      <w:pPr>
        <w:spacing w:line="300" w:lineRule="auto"/>
        <w:outlineLvl w:val="0"/>
        <w:rPr>
          <w:b/>
          <w:sz w:val="48"/>
          <w:szCs w:val="48"/>
        </w:rPr>
      </w:pPr>
    </w:p>
    <w:p w14:paraId="1E513908" w14:textId="77777777" w:rsidR="00F530C2" w:rsidRDefault="00F530C2" w:rsidP="009630AA">
      <w:pPr>
        <w:spacing w:line="300" w:lineRule="auto"/>
        <w:outlineLvl w:val="0"/>
        <w:rPr>
          <w:b/>
          <w:sz w:val="48"/>
          <w:szCs w:val="48"/>
        </w:rPr>
      </w:pPr>
    </w:p>
    <w:p w14:paraId="2D059E61" w14:textId="77777777" w:rsidR="00F530C2" w:rsidRDefault="00F530C2" w:rsidP="009630AA">
      <w:pPr>
        <w:spacing w:line="300" w:lineRule="auto"/>
        <w:outlineLvl w:val="0"/>
        <w:rPr>
          <w:b/>
          <w:sz w:val="48"/>
          <w:szCs w:val="48"/>
        </w:rPr>
      </w:pPr>
    </w:p>
    <w:p w14:paraId="4B99CB1A" w14:textId="77777777" w:rsidR="00F530C2" w:rsidRDefault="00F530C2" w:rsidP="009630AA">
      <w:pPr>
        <w:spacing w:line="300" w:lineRule="auto"/>
        <w:outlineLvl w:val="0"/>
        <w:rPr>
          <w:b/>
          <w:sz w:val="48"/>
          <w:szCs w:val="48"/>
        </w:rPr>
      </w:pPr>
    </w:p>
    <w:p w14:paraId="66117272" w14:textId="77777777" w:rsidR="00F530C2" w:rsidRDefault="00F530C2" w:rsidP="009630AA">
      <w:pPr>
        <w:spacing w:line="300" w:lineRule="auto"/>
        <w:outlineLvl w:val="0"/>
        <w:rPr>
          <w:b/>
          <w:sz w:val="48"/>
          <w:szCs w:val="48"/>
        </w:rPr>
      </w:pPr>
    </w:p>
    <w:p w14:paraId="46605CA0" w14:textId="022FE059" w:rsidR="00F530C2" w:rsidRPr="00DB24AD" w:rsidRDefault="00DB24AD" w:rsidP="00DB24AD">
      <w:pPr>
        <w:tabs>
          <w:tab w:val="left" w:pos="3240"/>
        </w:tabs>
        <w:spacing w:line="300" w:lineRule="auto"/>
        <w:outlineLvl w:val="0"/>
        <w:rPr>
          <w:b/>
          <w:sz w:val="24"/>
          <w:szCs w:val="24"/>
        </w:rPr>
      </w:pPr>
      <w:r>
        <w:rPr>
          <w:b/>
          <w:sz w:val="48"/>
          <w:szCs w:val="48"/>
        </w:rPr>
        <w:tab/>
      </w:r>
    </w:p>
    <w:p w14:paraId="790680D5" w14:textId="5D2B74B7" w:rsidR="00D44A04" w:rsidRPr="006C4C4F" w:rsidRDefault="008A4ADB" w:rsidP="00D44A04">
      <w:pPr>
        <w:jc w:val="center"/>
        <w:rPr>
          <w:rFonts w:eastAsia="Calibri" w:cs="Arial"/>
          <w:b/>
          <w:sz w:val="28"/>
          <w:szCs w:val="28"/>
        </w:rPr>
      </w:pPr>
      <w:r>
        <w:rPr>
          <w:rFonts w:eastAsia="Calibri" w:cs="Arial"/>
          <w:b/>
          <w:sz w:val="28"/>
          <w:szCs w:val="28"/>
        </w:rPr>
        <w:lastRenderedPageBreak/>
        <w:t>W</w:t>
      </w:r>
      <w:r w:rsidR="00D44A04" w:rsidRPr="006C4C4F">
        <w:rPr>
          <w:rFonts w:eastAsia="Calibri" w:cs="Arial"/>
          <w:b/>
          <w:sz w:val="28"/>
          <w:szCs w:val="28"/>
        </w:rPr>
        <w:t>ashington Low Income Energy Efficiency Program</w:t>
      </w:r>
    </w:p>
    <w:p w14:paraId="0989636B" w14:textId="77777777" w:rsidR="00D44A04" w:rsidRPr="006C4C4F" w:rsidRDefault="00D44A04" w:rsidP="00D44A04">
      <w:pPr>
        <w:jc w:val="center"/>
        <w:rPr>
          <w:rFonts w:eastAsia="Calibri" w:cs="Arial"/>
          <w:b/>
          <w:sz w:val="28"/>
          <w:szCs w:val="28"/>
        </w:rPr>
      </w:pPr>
      <w:r w:rsidRPr="006C4C4F">
        <w:rPr>
          <w:rFonts w:eastAsia="Calibri" w:cs="Arial"/>
          <w:b/>
          <w:sz w:val="28"/>
          <w:szCs w:val="28"/>
        </w:rPr>
        <w:t>201</w:t>
      </w:r>
      <w:r>
        <w:rPr>
          <w:rFonts w:eastAsia="Calibri" w:cs="Arial"/>
          <w:b/>
          <w:sz w:val="28"/>
          <w:szCs w:val="28"/>
        </w:rPr>
        <w:t>5</w:t>
      </w:r>
      <w:r w:rsidRPr="006C4C4F">
        <w:rPr>
          <w:rFonts w:eastAsia="Calibri" w:cs="Arial"/>
          <w:b/>
          <w:sz w:val="28"/>
          <w:szCs w:val="28"/>
        </w:rPr>
        <w:t xml:space="preserve"> Program Results</w:t>
      </w:r>
    </w:p>
    <w:p w14:paraId="76B7B2E5" w14:textId="77777777" w:rsidR="00D44A04" w:rsidRDefault="00D44A04" w:rsidP="00D44A04">
      <w:pPr>
        <w:spacing w:after="200" w:line="276" w:lineRule="auto"/>
        <w:rPr>
          <w:rFonts w:ascii="Calibri" w:eastAsia="Calibri" w:hAnsi="Calibri"/>
          <w:sz w:val="24"/>
          <w:szCs w:val="24"/>
        </w:rPr>
      </w:pPr>
    </w:p>
    <w:p w14:paraId="0056EFC9" w14:textId="77777777" w:rsidR="00D44A04" w:rsidRPr="006C4C4F" w:rsidRDefault="00D44A04" w:rsidP="00D44A04">
      <w:pPr>
        <w:spacing w:after="200" w:line="276" w:lineRule="auto"/>
        <w:rPr>
          <w:rFonts w:eastAsia="Calibri" w:cs="Arial"/>
          <w:bCs/>
          <w:sz w:val="20"/>
          <w:szCs w:val="24"/>
        </w:rPr>
      </w:pPr>
      <w:r w:rsidRPr="006C4C4F">
        <w:rPr>
          <w:rFonts w:eastAsia="Calibri" w:cs="Arial"/>
          <w:sz w:val="20"/>
          <w:szCs w:val="24"/>
        </w:rPr>
        <w:t>NW</w:t>
      </w:r>
      <w:r>
        <w:rPr>
          <w:rFonts w:eastAsia="Calibri" w:cs="Arial"/>
          <w:sz w:val="20"/>
          <w:szCs w:val="24"/>
        </w:rPr>
        <w:t xml:space="preserve"> </w:t>
      </w:r>
      <w:r w:rsidRPr="006C4C4F">
        <w:rPr>
          <w:rFonts w:eastAsia="Calibri" w:cs="Arial"/>
          <w:sz w:val="20"/>
          <w:szCs w:val="24"/>
        </w:rPr>
        <w:t>N</w:t>
      </w:r>
      <w:r>
        <w:rPr>
          <w:rFonts w:eastAsia="Calibri" w:cs="Arial"/>
          <w:sz w:val="20"/>
          <w:szCs w:val="24"/>
        </w:rPr>
        <w:t xml:space="preserve">atural </w:t>
      </w:r>
      <w:r w:rsidRPr="006C4C4F">
        <w:rPr>
          <w:rFonts w:eastAsia="Calibri" w:cs="Arial"/>
          <w:sz w:val="20"/>
          <w:szCs w:val="24"/>
        </w:rPr>
        <w:t>partners with Clark County’s Community Development Office and Skamania-Klickitat Community Action to administer its Washington L</w:t>
      </w:r>
      <w:r>
        <w:rPr>
          <w:rFonts w:eastAsia="Calibri" w:cs="Arial"/>
          <w:sz w:val="20"/>
          <w:szCs w:val="24"/>
        </w:rPr>
        <w:t>ow Income Energy Efficiency (WA</w:t>
      </w:r>
      <w:r w:rsidRPr="006C4C4F">
        <w:rPr>
          <w:rFonts w:eastAsia="Calibri" w:cs="Arial"/>
          <w:sz w:val="20"/>
          <w:szCs w:val="24"/>
        </w:rPr>
        <w:t>LIEE) program.  While offerings are available in Skamania and Klickitat counties, the agency that serves these counties rarely sees gas customers and did not provide services to any through WALIEE during 201</w:t>
      </w:r>
      <w:r>
        <w:rPr>
          <w:rFonts w:eastAsia="Calibri" w:cs="Arial"/>
          <w:sz w:val="20"/>
          <w:szCs w:val="24"/>
        </w:rPr>
        <w:t>5</w:t>
      </w:r>
      <w:r w:rsidRPr="006C4C4F">
        <w:rPr>
          <w:rFonts w:eastAsia="Calibri" w:cs="Arial"/>
          <w:sz w:val="20"/>
          <w:szCs w:val="24"/>
        </w:rPr>
        <w:t xml:space="preserve">.  Results below are specific to Clark County’s Department of Community Services. </w:t>
      </w:r>
    </w:p>
    <w:p w14:paraId="22399769" w14:textId="77777777" w:rsidR="00D44A04" w:rsidRPr="006C4C4F" w:rsidRDefault="00D44A04" w:rsidP="00D44A04">
      <w:pPr>
        <w:spacing w:after="200" w:line="276" w:lineRule="auto"/>
        <w:rPr>
          <w:rFonts w:eastAsia="Calibri" w:cs="Arial"/>
          <w:sz w:val="20"/>
          <w:szCs w:val="24"/>
        </w:rPr>
      </w:pPr>
      <w:r>
        <w:rPr>
          <w:rFonts w:eastAsia="Calibri" w:cs="Arial"/>
          <w:sz w:val="20"/>
          <w:szCs w:val="24"/>
        </w:rPr>
        <w:t>Historically, t</w:t>
      </w:r>
      <w:r w:rsidRPr="006C4C4F">
        <w:rPr>
          <w:rFonts w:eastAsia="Calibri" w:cs="Arial"/>
          <w:sz w:val="20"/>
          <w:szCs w:val="24"/>
        </w:rPr>
        <w:t>he WALIEE program</w:t>
      </w:r>
      <w:r>
        <w:rPr>
          <w:rFonts w:eastAsia="Calibri" w:cs="Arial"/>
          <w:sz w:val="20"/>
          <w:szCs w:val="24"/>
        </w:rPr>
        <w:t xml:space="preserve"> has</w:t>
      </w:r>
      <w:r w:rsidRPr="006C4C4F">
        <w:rPr>
          <w:rFonts w:eastAsia="Calibri" w:cs="Arial"/>
          <w:sz w:val="20"/>
          <w:szCs w:val="24"/>
        </w:rPr>
        <w:t xml:space="preserve"> reimburse</w:t>
      </w:r>
      <w:r>
        <w:rPr>
          <w:rFonts w:eastAsia="Calibri" w:cs="Arial"/>
          <w:sz w:val="20"/>
          <w:szCs w:val="24"/>
        </w:rPr>
        <w:t>d</w:t>
      </w:r>
      <w:r w:rsidRPr="006C4C4F">
        <w:rPr>
          <w:rFonts w:eastAsia="Calibri" w:cs="Arial"/>
          <w:sz w:val="20"/>
          <w:szCs w:val="24"/>
        </w:rPr>
        <w:t xml:space="preserve"> 90% of all cost-effective m</w:t>
      </w:r>
      <w:r>
        <w:rPr>
          <w:rFonts w:eastAsia="Calibri" w:cs="Arial"/>
          <w:sz w:val="20"/>
          <w:szCs w:val="24"/>
        </w:rPr>
        <w:t>easures up to $3,500 per home.  Additionally, t</w:t>
      </w:r>
      <w:r w:rsidRPr="006C4C4F">
        <w:rPr>
          <w:rFonts w:eastAsia="Calibri" w:cs="Arial"/>
          <w:sz w:val="20"/>
          <w:szCs w:val="24"/>
        </w:rPr>
        <w:t>he agencies are allotted 15% of job costs (up to the cap) for administrative costs and an average of $440 per home for Health, Safety, and Repair</w:t>
      </w:r>
      <w:r>
        <w:rPr>
          <w:rFonts w:eastAsia="Calibri" w:cs="Arial"/>
          <w:sz w:val="20"/>
          <w:szCs w:val="24"/>
        </w:rPr>
        <w:t>s</w:t>
      </w:r>
      <w:r w:rsidRPr="006C4C4F">
        <w:rPr>
          <w:rFonts w:eastAsia="Calibri" w:cs="Arial"/>
          <w:sz w:val="20"/>
          <w:szCs w:val="24"/>
        </w:rPr>
        <w:t xml:space="preserve"> (HSR), which are not subject to cost effectiveness tests. </w:t>
      </w:r>
      <w:r>
        <w:rPr>
          <w:rFonts w:eastAsia="Calibri" w:cs="Arial"/>
          <w:sz w:val="20"/>
          <w:szCs w:val="24"/>
        </w:rPr>
        <w:t>A WA</w:t>
      </w:r>
      <w:r w:rsidRPr="006C4C4F">
        <w:rPr>
          <w:rFonts w:eastAsia="Calibri" w:cs="Arial"/>
          <w:sz w:val="20"/>
          <w:szCs w:val="24"/>
        </w:rPr>
        <w:t>LIEE job could cost the program no more than $4</w:t>
      </w:r>
      <w:r>
        <w:rPr>
          <w:rFonts w:eastAsia="Calibri" w:cs="Arial"/>
          <w:sz w:val="20"/>
          <w:szCs w:val="24"/>
        </w:rPr>
        <w:t>,</w:t>
      </w:r>
      <w:r w:rsidRPr="006C4C4F">
        <w:rPr>
          <w:rFonts w:eastAsia="Calibri" w:cs="Arial"/>
          <w:sz w:val="20"/>
          <w:szCs w:val="24"/>
        </w:rPr>
        <w:t xml:space="preserve">465. </w:t>
      </w:r>
    </w:p>
    <w:p w14:paraId="16726320" w14:textId="77777777" w:rsidR="00D44A04" w:rsidRPr="006C4C4F" w:rsidRDefault="00D44A04" w:rsidP="00D44A04">
      <w:pPr>
        <w:rPr>
          <w:rFonts w:cs="Arial"/>
          <w:b/>
          <w:sz w:val="20"/>
          <w:szCs w:val="24"/>
        </w:rPr>
      </w:pPr>
      <w:r w:rsidRPr="006C4C4F">
        <w:rPr>
          <w:rFonts w:cs="Arial"/>
          <w:b/>
          <w:sz w:val="20"/>
          <w:szCs w:val="24"/>
        </w:rPr>
        <w:t>Measure Analysis:</w:t>
      </w:r>
    </w:p>
    <w:p w14:paraId="3D518B88" w14:textId="77777777" w:rsidR="00D44A04" w:rsidRDefault="00D44A04" w:rsidP="00D44A04">
      <w:pPr>
        <w:spacing w:line="276" w:lineRule="auto"/>
        <w:contextualSpacing/>
        <w:rPr>
          <w:rFonts w:cs="Arial"/>
          <w:sz w:val="20"/>
          <w:szCs w:val="24"/>
        </w:rPr>
      </w:pPr>
      <w:r>
        <w:rPr>
          <w:rFonts w:cs="Arial"/>
          <w:sz w:val="20"/>
          <w:szCs w:val="24"/>
        </w:rPr>
        <w:t xml:space="preserve">The figure below provides a breakdown of weatherization occurrences by measure, as well as the associated annual </w:t>
      </w:r>
      <w:proofErr w:type="spellStart"/>
      <w:r>
        <w:rPr>
          <w:rFonts w:cs="Arial"/>
          <w:sz w:val="20"/>
          <w:szCs w:val="24"/>
        </w:rPr>
        <w:t>therms</w:t>
      </w:r>
      <w:proofErr w:type="spellEnd"/>
      <w:r>
        <w:rPr>
          <w:rFonts w:cs="Arial"/>
          <w:sz w:val="20"/>
          <w:szCs w:val="24"/>
        </w:rPr>
        <w:t xml:space="preserve"> savings. Floor and ceiling insulation are, once again, the most commonly installed measures and achieve the most </w:t>
      </w:r>
      <w:proofErr w:type="spellStart"/>
      <w:r>
        <w:rPr>
          <w:rFonts w:cs="Arial"/>
          <w:sz w:val="20"/>
          <w:szCs w:val="24"/>
        </w:rPr>
        <w:t>therm</w:t>
      </w:r>
      <w:proofErr w:type="spellEnd"/>
      <w:r>
        <w:rPr>
          <w:rFonts w:cs="Arial"/>
          <w:sz w:val="20"/>
          <w:szCs w:val="24"/>
        </w:rPr>
        <w:t xml:space="preserve"> savings in total. </w:t>
      </w:r>
    </w:p>
    <w:p w14:paraId="7C62B020" w14:textId="77777777" w:rsidR="00D44A04" w:rsidRPr="006C4C4F" w:rsidRDefault="00D44A04" w:rsidP="00D44A04">
      <w:pPr>
        <w:rPr>
          <w:rFonts w:cs="Arial"/>
          <w:sz w:val="20"/>
          <w:szCs w:val="24"/>
        </w:rPr>
      </w:pPr>
    </w:p>
    <w:p w14:paraId="710BC604" w14:textId="77777777" w:rsidR="00D44A04" w:rsidRDefault="00D44A04" w:rsidP="00D44A04">
      <w:pPr>
        <w:keepNext/>
        <w:jc w:val="center"/>
      </w:pPr>
      <w:r>
        <w:rPr>
          <w:noProof/>
        </w:rPr>
        <w:drawing>
          <wp:inline distT="0" distB="0" distL="0" distR="0" wp14:anchorId="21CF8B30" wp14:editId="321B669D">
            <wp:extent cx="5897880" cy="3528060"/>
            <wp:effectExtent l="0" t="0" r="26670" b="1524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BB8742C" w14:textId="77777777" w:rsidR="00D44A04" w:rsidRDefault="00D44A04" w:rsidP="00D44A04">
      <w:pPr>
        <w:pStyle w:val="Caption"/>
        <w:jc w:val="center"/>
        <w:rPr>
          <w:sz w:val="24"/>
          <w:szCs w:val="24"/>
        </w:rPr>
      </w:pPr>
      <w:r>
        <w:t xml:space="preserve">Figure </w:t>
      </w:r>
      <w:fldSimple w:instr=" SEQ Figure \* ARABIC ">
        <w:r>
          <w:rPr>
            <w:noProof/>
          </w:rPr>
          <w:t>1</w:t>
        </w:r>
      </w:fldSimple>
      <w:r>
        <w:t>: measure occurrence and savings</w:t>
      </w:r>
    </w:p>
    <w:p w14:paraId="1E4DAB68" w14:textId="77777777" w:rsidR="00D44A04" w:rsidRDefault="00D44A04" w:rsidP="00D44A04"/>
    <w:p w14:paraId="12C0B231" w14:textId="77777777" w:rsidR="00D44A04" w:rsidRDefault="00D44A04" w:rsidP="00D44A04">
      <w:pPr>
        <w:rPr>
          <w:b/>
          <w:sz w:val="24"/>
          <w:szCs w:val="24"/>
        </w:rPr>
        <w:sectPr w:rsidR="00D44A04" w:rsidSect="00D44A04">
          <w:headerReference w:type="default" r:id="rId29"/>
          <w:footerReference w:type="default" r:id="rId30"/>
          <w:pgSz w:w="12240" w:h="15840" w:code="1"/>
          <w:pgMar w:top="1440" w:right="1440" w:bottom="1440" w:left="1440" w:header="720" w:footer="720" w:gutter="0"/>
          <w:cols w:space="720"/>
          <w:titlePg/>
          <w:docGrid w:linePitch="360"/>
        </w:sectPr>
      </w:pPr>
    </w:p>
    <w:p w14:paraId="24B56C28" w14:textId="3624888E" w:rsidR="00D44A04" w:rsidRDefault="00D44A04" w:rsidP="00D44A04">
      <w:pPr>
        <w:rPr>
          <w:rFonts w:cs="Arial"/>
          <w:b/>
          <w:sz w:val="20"/>
        </w:rPr>
      </w:pPr>
      <w:r>
        <w:rPr>
          <w:rFonts w:cs="Arial"/>
          <w:b/>
          <w:sz w:val="20"/>
        </w:rPr>
        <w:lastRenderedPageBreak/>
        <w:t>2012-2015</w:t>
      </w:r>
      <w:r w:rsidRPr="006C4C4F">
        <w:rPr>
          <w:rFonts w:cs="Arial"/>
          <w:b/>
          <w:sz w:val="20"/>
        </w:rPr>
        <w:t xml:space="preserve"> Results:</w:t>
      </w:r>
    </w:p>
    <w:p w14:paraId="5F02F6EC" w14:textId="77777777" w:rsidR="00D44A04" w:rsidRDefault="00D44A04" w:rsidP="00D44A04">
      <w:pPr>
        <w:rPr>
          <w:rFonts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77"/>
        <w:gridCol w:w="1605"/>
        <w:gridCol w:w="1378"/>
        <w:gridCol w:w="1440"/>
        <w:gridCol w:w="1368"/>
      </w:tblGrid>
      <w:tr w:rsidR="00D44A04" w:rsidRPr="00500691" w14:paraId="3873A2B6" w14:textId="77777777" w:rsidTr="00E53654">
        <w:trPr>
          <w:trHeight w:val="400"/>
        </w:trPr>
        <w:tc>
          <w:tcPr>
            <w:tcW w:w="3677" w:type="dxa"/>
            <w:shd w:val="clear" w:color="auto" w:fill="000000"/>
            <w:vAlign w:val="center"/>
          </w:tcPr>
          <w:p w14:paraId="0FC7A503" w14:textId="77777777" w:rsidR="00D44A04" w:rsidRPr="00BF3B4E" w:rsidRDefault="00D44A04" w:rsidP="00E53654">
            <w:pPr>
              <w:rPr>
                <w:rFonts w:cs="Calibri"/>
                <w:b/>
                <w:color w:val="FFFFFF"/>
              </w:rPr>
            </w:pPr>
            <w:r w:rsidRPr="00BF3B4E">
              <w:rPr>
                <w:rFonts w:cs="Calibri"/>
                <w:b/>
                <w:color w:val="FFFFFF"/>
              </w:rPr>
              <w:t>Performance Metric</w:t>
            </w:r>
          </w:p>
        </w:tc>
        <w:tc>
          <w:tcPr>
            <w:tcW w:w="1605" w:type="dxa"/>
            <w:shd w:val="clear" w:color="auto" w:fill="000000"/>
            <w:vAlign w:val="center"/>
          </w:tcPr>
          <w:p w14:paraId="79121F6E" w14:textId="77777777" w:rsidR="00D44A04" w:rsidRPr="00BF3B4E" w:rsidRDefault="00D44A04" w:rsidP="00E53654">
            <w:pPr>
              <w:jc w:val="center"/>
              <w:rPr>
                <w:rFonts w:cs="Calibri"/>
                <w:b/>
                <w:color w:val="FFFFFF"/>
              </w:rPr>
            </w:pPr>
            <w:r>
              <w:rPr>
                <w:rFonts w:cs="Calibri"/>
                <w:b/>
                <w:color w:val="FFFFFF"/>
              </w:rPr>
              <w:t>2015</w:t>
            </w:r>
          </w:p>
        </w:tc>
        <w:tc>
          <w:tcPr>
            <w:tcW w:w="1378" w:type="dxa"/>
            <w:shd w:val="clear" w:color="auto" w:fill="000000"/>
            <w:vAlign w:val="center"/>
          </w:tcPr>
          <w:p w14:paraId="474CB9C5" w14:textId="77777777" w:rsidR="00D44A04" w:rsidRDefault="00D44A04" w:rsidP="00E53654">
            <w:pPr>
              <w:jc w:val="center"/>
              <w:rPr>
                <w:rFonts w:cs="Calibri"/>
                <w:b/>
                <w:color w:val="FFFFFF"/>
              </w:rPr>
            </w:pPr>
            <w:r>
              <w:rPr>
                <w:rFonts w:cs="Calibri"/>
                <w:b/>
                <w:color w:val="FFFFFF"/>
              </w:rPr>
              <w:t>2014</w:t>
            </w:r>
          </w:p>
        </w:tc>
        <w:tc>
          <w:tcPr>
            <w:tcW w:w="1440" w:type="dxa"/>
            <w:shd w:val="clear" w:color="auto" w:fill="000000"/>
            <w:vAlign w:val="center"/>
          </w:tcPr>
          <w:p w14:paraId="657F8950" w14:textId="77777777" w:rsidR="00D44A04" w:rsidRPr="00BF3B4E" w:rsidRDefault="00D44A04" w:rsidP="00E53654">
            <w:pPr>
              <w:jc w:val="center"/>
              <w:rPr>
                <w:rFonts w:cs="Calibri"/>
                <w:b/>
                <w:color w:val="FFFFFF"/>
              </w:rPr>
            </w:pPr>
            <w:r>
              <w:rPr>
                <w:rFonts w:cs="Calibri"/>
                <w:b/>
                <w:color w:val="FFFFFF"/>
              </w:rPr>
              <w:t>2013</w:t>
            </w:r>
          </w:p>
        </w:tc>
        <w:tc>
          <w:tcPr>
            <w:tcW w:w="1368" w:type="dxa"/>
            <w:shd w:val="clear" w:color="auto" w:fill="000000"/>
            <w:vAlign w:val="center"/>
          </w:tcPr>
          <w:p w14:paraId="68C3BE97" w14:textId="77777777" w:rsidR="00D44A04" w:rsidRPr="00BF3B4E" w:rsidRDefault="00D44A04" w:rsidP="00E53654">
            <w:pPr>
              <w:jc w:val="center"/>
              <w:rPr>
                <w:rFonts w:cs="Calibri"/>
                <w:b/>
                <w:color w:val="FFFFFF"/>
              </w:rPr>
            </w:pPr>
            <w:r>
              <w:rPr>
                <w:rFonts w:cs="Calibri"/>
                <w:b/>
                <w:color w:val="FFFFFF"/>
              </w:rPr>
              <w:t>2012</w:t>
            </w:r>
          </w:p>
        </w:tc>
      </w:tr>
      <w:tr w:rsidR="00D44A04" w:rsidRPr="00500691" w14:paraId="02F4DFA0" w14:textId="77777777" w:rsidTr="00E53654">
        <w:trPr>
          <w:trHeight w:val="400"/>
        </w:trPr>
        <w:tc>
          <w:tcPr>
            <w:tcW w:w="3677" w:type="dxa"/>
            <w:vAlign w:val="center"/>
          </w:tcPr>
          <w:p w14:paraId="4736039F" w14:textId="77777777" w:rsidR="00D44A04" w:rsidRPr="00500691" w:rsidRDefault="00D44A04" w:rsidP="00E53654">
            <w:pPr>
              <w:rPr>
                <w:rFonts w:cs="Calibri"/>
              </w:rPr>
            </w:pPr>
            <w:r>
              <w:rPr>
                <w:rFonts w:cs="Calibri"/>
              </w:rPr>
              <w:t>H</w:t>
            </w:r>
            <w:r w:rsidRPr="00500691">
              <w:rPr>
                <w:rFonts w:cs="Calibri"/>
              </w:rPr>
              <w:t>omes served</w:t>
            </w:r>
          </w:p>
        </w:tc>
        <w:tc>
          <w:tcPr>
            <w:tcW w:w="1605" w:type="dxa"/>
            <w:vAlign w:val="center"/>
          </w:tcPr>
          <w:p w14:paraId="7E35CCFD" w14:textId="77777777" w:rsidR="00D44A04" w:rsidRPr="00474E7A" w:rsidRDefault="00D44A04" w:rsidP="00E53654">
            <w:pPr>
              <w:jc w:val="center"/>
              <w:rPr>
                <w:rFonts w:cs="Calibri"/>
              </w:rPr>
            </w:pPr>
            <w:r>
              <w:rPr>
                <w:rFonts w:cs="Calibri"/>
              </w:rPr>
              <w:t>9</w:t>
            </w:r>
          </w:p>
        </w:tc>
        <w:tc>
          <w:tcPr>
            <w:tcW w:w="1378" w:type="dxa"/>
            <w:vAlign w:val="center"/>
          </w:tcPr>
          <w:p w14:paraId="71060B21" w14:textId="77777777" w:rsidR="00D44A04" w:rsidRDefault="00D44A04" w:rsidP="00E53654">
            <w:pPr>
              <w:jc w:val="center"/>
              <w:rPr>
                <w:rFonts w:cs="Calibri"/>
              </w:rPr>
            </w:pPr>
            <w:r>
              <w:rPr>
                <w:rFonts w:cs="Calibri"/>
              </w:rPr>
              <w:t>10</w:t>
            </w:r>
          </w:p>
        </w:tc>
        <w:tc>
          <w:tcPr>
            <w:tcW w:w="1440" w:type="dxa"/>
            <w:vAlign w:val="center"/>
          </w:tcPr>
          <w:p w14:paraId="0FE5EF8C" w14:textId="77777777" w:rsidR="00D44A04" w:rsidRDefault="00D44A04" w:rsidP="00E53654">
            <w:pPr>
              <w:jc w:val="center"/>
              <w:rPr>
                <w:rFonts w:cs="Calibri"/>
              </w:rPr>
            </w:pPr>
            <w:r>
              <w:rPr>
                <w:rFonts w:cs="Calibri"/>
              </w:rPr>
              <w:t>20</w:t>
            </w:r>
          </w:p>
        </w:tc>
        <w:tc>
          <w:tcPr>
            <w:tcW w:w="1368" w:type="dxa"/>
            <w:vAlign w:val="center"/>
          </w:tcPr>
          <w:p w14:paraId="03237966" w14:textId="77777777" w:rsidR="00D44A04" w:rsidRDefault="00D44A04" w:rsidP="00E53654">
            <w:pPr>
              <w:jc w:val="center"/>
              <w:rPr>
                <w:rFonts w:cs="Calibri"/>
              </w:rPr>
            </w:pPr>
            <w:r>
              <w:rPr>
                <w:rFonts w:cs="Calibri"/>
              </w:rPr>
              <w:t>8</w:t>
            </w:r>
          </w:p>
        </w:tc>
      </w:tr>
      <w:tr w:rsidR="00D44A04" w:rsidRPr="00500691" w14:paraId="7C611CF8" w14:textId="77777777" w:rsidTr="00E53654">
        <w:trPr>
          <w:trHeight w:val="400"/>
        </w:trPr>
        <w:tc>
          <w:tcPr>
            <w:tcW w:w="3677" w:type="dxa"/>
            <w:vAlign w:val="center"/>
          </w:tcPr>
          <w:p w14:paraId="0733BEFE" w14:textId="77777777" w:rsidR="00D44A04" w:rsidRPr="00500691" w:rsidRDefault="00D44A04" w:rsidP="00E53654">
            <w:pPr>
              <w:rPr>
                <w:rFonts w:cs="Calibri"/>
              </w:rPr>
            </w:pPr>
            <w:r>
              <w:rPr>
                <w:rFonts w:cs="Calibri"/>
              </w:rPr>
              <w:t>Average Reimbursement p</w:t>
            </w:r>
            <w:r w:rsidRPr="00500691">
              <w:rPr>
                <w:rFonts w:cs="Calibri"/>
              </w:rPr>
              <w:t>er home</w:t>
            </w:r>
            <w:r>
              <w:rPr>
                <w:rStyle w:val="FootnoteReference"/>
                <w:rFonts w:cs="Calibri"/>
              </w:rPr>
              <w:footnoteReference w:id="4"/>
            </w:r>
          </w:p>
        </w:tc>
        <w:tc>
          <w:tcPr>
            <w:tcW w:w="1605" w:type="dxa"/>
            <w:vAlign w:val="center"/>
          </w:tcPr>
          <w:p w14:paraId="6732D3C8" w14:textId="77777777" w:rsidR="00D44A04" w:rsidRPr="00474E7A" w:rsidRDefault="00D44A04" w:rsidP="00E53654">
            <w:pPr>
              <w:jc w:val="center"/>
              <w:rPr>
                <w:rFonts w:cs="Calibri"/>
              </w:rPr>
            </w:pPr>
            <w:r w:rsidRPr="00474E7A">
              <w:rPr>
                <w:rFonts w:cs="Calibri"/>
              </w:rPr>
              <w:t>$</w:t>
            </w:r>
            <w:r>
              <w:rPr>
                <w:rFonts w:cs="Calibri"/>
              </w:rPr>
              <w:t>4,313</w:t>
            </w:r>
          </w:p>
        </w:tc>
        <w:tc>
          <w:tcPr>
            <w:tcW w:w="1378" w:type="dxa"/>
            <w:vAlign w:val="center"/>
          </w:tcPr>
          <w:p w14:paraId="23F39D1B" w14:textId="77777777" w:rsidR="00D44A04" w:rsidRDefault="00D44A04" w:rsidP="00E53654">
            <w:pPr>
              <w:jc w:val="center"/>
              <w:rPr>
                <w:rFonts w:cs="Calibri"/>
              </w:rPr>
            </w:pPr>
            <w:r>
              <w:rPr>
                <w:rFonts w:cs="Calibri"/>
              </w:rPr>
              <w:t>$4,334</w:t>
            </w:r>
          </w:p>
        </w:tc>
        <w:tc>
          <w:tcPr>
            <w:tcW w:w="1440" w:type="dxa"/>
            <w:vAlign w:val="center"/>
          </w:tcPr>
          <w:p w14:paraId="53DEE954" w14:textId="77777777" w:rsidR="00D44A04" w:rsidRDefault="00D44A04" w:rsidP="00E53654">
            <w:pPr>
              <w:jc w:val="center"/>
              <w:rPr>
                <w:rFonts w:cs="Calibri"/>
              </w:rPr>
            </w:pPr>
            <w:r>
              <w:rPr>
                <w:rFonts w:cs="Calibri"/>
              </w:rPr>
              <w:t>$3,984</w:t>
            </w:r>
          </w:p>
        </w:tc>
        <w:tc>
          <w:tcPr>
            <w:tcW w:w="1368" w:type="dxa"/>
            <w:vAlign w:val="center"/>
          </w:tcPr>
          <w:p w14:paraId="29AA1129" w14:textId="77777777" w:rsidR="00D44A04" w:rsidRPr="00500691" w:rsidRDefault="00D44A04" w:rsidP="00E53654">
            <w:pPr>
              <w:jc w:val="center"/>
              <w:rPr>
                <w:rFonts w:cs="Calibri"/>
              </w:rPr>
            </w:pPr>
            <w:r>
              <w:rPr>
                <w:rFonts w:cs="Calibri"/>
              </w:rPr>
              <w:t>$3,845</w:t>
            </w:r>
          </w:p>
        </w:tc>
      </w:tr>
      <w:tr w:rsidR="00D44A04" w:rsidRPr="00500691" w14:paraId="1D2E120D" w14:textId="77777777" w:rsidTr="00E53654">
        <w:trPr>
          <w:trHeight w:val="400"/>
        </w:trPr>
        <w:tc>
          <w:tcPr>
            <w:tcW w:w="3677" w:type="dxa"/>
            <w:vAlign w:val="center"/>
          </w:tcPr>
          <w:p w14:paraId="34A15672" w14:textId="77777777" w:rsidR="00D44A04" w:rsidRPr="00500691" w:rsidRDefault="00D44A04" w:rsidP="00E53654">
            <w:pPr>
              <w:rPr>
                <w:rFonts w:cs="Calibri"/>
              </w:rPr>
            </w:pPr>
            <w:r>
              <w:rPr>
                <w:rFonts w:cs="Calibri"/>
              </w:rPr>
              <w:t>Total Reimbursed</w:t>
            </w:r>
          </w:p>
        </w:tc>
        <w:tc>
          <w:tcPr>
            <w:tcW w:w="1605" w:type="dxa"/>
            <w:vAlign w:val="center"/>
          </w:tcPr>
          <w:p w14:paraId="2C7E3319" w14:textId="77777777" w:rsidR="00D44A04" w:rsidRPr="00474E7A" w:rsidRDefault="00D44A04" w:rsidP="00E53654">
            <w:pPr>
              <w:jc w:val="center"/>
              <w:rPr>
                <w:rFonts w:cs="Calibri"/>
              </w:rPr>
            </w:pPr>
            <w:r w:rsidRPr="00474E7A">
              <w:rPr>
                <w:rFonts w:cs="Calibri"/>
              </w:rPr>
              <w:t>$</w:t>
            </w:r>
            <w:r>
              <w:rPr>
                <w:rFonts w:cs="Calibri"/>
              </w:rPr>
              <w:t>38,817</w:t>
            </w:r>
          </w:p>
        </w:tc>
        <w:tc>
          <w:tcPr>
            <w:tcW w:w="1378" w:type="dxa"/>
            <w:vAlign w:val="center"/>
          </w:tcPr>
          <w:p w14:paraId="007B1E34" w14:textId="77777777" w:rsidR="00D44A04" w:rsidRDefault="00D44A04" w:rsidP="00E53654">
            <w:pPr>
              <w:jc w:val="center"/>
              <w:rPr>
                <w:rFonts w:cs="Calibri"/>
              </w:rPr>
            </w:pPr>
            <w:r>
              <w:rPr>
                <w:rFonts w:cs="Calibri"/>
              </w:rPr>
              <w:t>$43,339</w:t>
            </w:r>
          </w:p>
        </w:tc>
        <w:tc>
          <w:tcPr>
            <w:tcW w:w="1440" w:type="dxa"/>
            <w:vAlign w:val="center"/>
          </w:tcPr>
          <w:p w14:paraId="0E425562" w14:textId="77777777" w:rsidR="00D44A04" w:rsidRDefault="00D44A04" w:rsidP="00E53654">
            <w:pPr>
              <w:jc w:val="center"/>
              <w:rPr>
                <w:rFonts w:cs="Calibri"/>
              </w:rPr>
            </w:pPr>
            <w:r>
              <w:rPr>
                <w:rFonts w:cs="Calibri"/>
              </w:rPr>
              <w:t>$79,677</w:t>
            </w:r>
          </w:p>
        </w:tc>
        <w:tc>
          <w:tcPr>
            <w:tcW w:w="1368" w:type="dxa"/>
            <w:vAlign w:val="center"/>
          </w:tcPr>
          <w:p w14:paraId="21D255B0" w14:textId="77777777" w:rsidR="00D44A04" w:rsidRPr="00500691" w:rsidRDefault="00D44A04" w:rsidP="00E53654">
            <w:pPr>
              <w:jc w:val="center"/>
              <w:rPr>
                <w:rFonts w:cs="Calibri"/>
              </w:rPr>
            </w:pPr>
            <w:r>
              <w:rPr>
                <w:rFonts w:cs="Calibri"/>
              </w:rPr>
              <w:t>$30,761</w:t>
            </w:r>
          </w:p>
        </w:tc>
      </w:tr>
      <w:tr w:rsidR="00D44A04" w:rsidRPr="00500691" w14:paraId="2CAA18A2" w14:textId="77777777" w:rsidTr="00E53654">
        <w:trPr>
          <w:trHeight w:val="400"/>
        </w:trPr>
        <w:tc>
          <w:tcPr>
            <w:tcW w:w="3677" w:type="dxa"/>
            <w:vAlign w:val="center"/>
          </w:tcPr>
          <w:p w14:paraId="0B773509" w14:textId="77777777" w:rsidR="00D44A04" w:rsidRPr="00500691" w:rsidRDefault="00D44A04" w:rsidP="00E53654">
            <w:pPr>
              <w:rPr>
                <w:rFonts w:cs="Calibri"/>
              </w:rPr>
            </w:pPr>
            <w:r>
              <w:rPr>
                <w:rFonts w:cs="Calibri"/>
              </w:rPr>
              <w:t xml:space="preserve">Average estimated </w:t>
            </w:r>
            <w:proofErr w:type="spellStart"/>
            <w:r w:rsidRPr="00500691">
              <w:rPr>
                <w:rFonts w:cs="Calibri"/>
              </w:rPr>
              <w:t>therms</w:t>
            </w:r>
            <w:proofErr w:type="spellEnd"/>
            <w:r w:rsidRPr="00500691">
              <w:rPr>
                <w:rFonts w:cs="Calibri"/>
              </w:rPr>
              <w:t xml:space="preserve"> saved per home</w:t>
            </w:r>
            <w:r>
              <w:rPr>
                <w:rStyle w:val="FootnoteReference"/>
                <w:rFonts w:cs="Calibri"/>
              </w:rPr>
              <w:footnoteReference w:id="5"/>
            </w:r>
          </w:p>
        </w:tc>
        <w:tc>
          <w:tcPr>
            <w:tcW w:w="1605" w:type="dxa"/>
            <w:vAlign w:val="center"/>
          </w:tcPr>
          <w:p w14:paraId="773A4DDB" w14:textId="77777777" w:rsidR="00D44A04" w:rsidRPr="00474E7A" w:rsidRDefault="00D44A04" w:rsidP="00E53654">
            <w:pPr>
              <w:jc w:val="center"/>
              <w:rPr>
                <w:rFonts w:cs="Calibri"/>
              </w:rPr>
            </w:pPr>
            <w:r>
              <w:rPr>
                <w:rFonts w:cs="Calibri"/>
              </w:rPr>
              <w:t>357</w:t>
            </w:r>
          </w:p>
        </w:tc>
        <w:tc>
          <w:tcPr>
            <w:tcW w:w="1378" w:type="dxa"/>
            <w:vAlign w:val="center"/>
          </w:tcPr>
          <w:p w14:paraId="12C9B9DE" w14:textId="77777777" w:rsidR="00D44A04" w:rsidRDefault="00D44A04" w:rsidP="00E53654">
            <w:pPr>
              <w:jc w:val="center"/>
              <w:rPr>
                <w:rFonts w:cs="Calibri"/>
              </w:rPr>
            </w:pPr>
            <w:r>
              <w:rPr>
                <w:rFonts w:cs="Calibri"/>
              </w:rPr>
              <w:t>305</w:t>
            </w:r>
          </w:p>
        </w:tc>
        <w:tc>
          <w:tcPr>
            <w:tcW w:w="1440" w:type="dxa"/>
            <w:vAlign w:val="center"/>
          </w:tcPr>
          <w:p w14:paraId="5FEC39B6" w14:textId="77777777" w:rsidR="00D44A04" w:rsidRDefault="00D44A04" w:rsidP="00E53654">
            <w:pPr>
              <w:jc w:val="center"/>
              <w:rPr>
                <w:rFonts w:cs="Calibri"/>
              </w:rPr>
            </w:pPr>
            <w:r>
              <w:rPr>
                <w:rFonts w:cs="Calibri"/>
              </w:rPr>
              <w:t>351</w:t>
            </w:r>
          </w:p>
        </w:tc>
        <w:tc>
          <w:tcPr>
            <w:tcW w:w="1368" w:type="dxa"/>
            <w:vAlign w:val="center"/>
          </w:tcPr>
          <w:p w14:paraId="046EE093" w14:textId="77777777" w:rsidR="00D44A04" w:rsidRPr="00500691" w:rsidRDefault="00D44A04" w:rsidP="00E53654">
            <w:pPr>
              <w:jc w:val="center"/>
              <w:rPr>
                <w:rFonts w:cs="Calibri"/>
              </w:rPr>
            </w:pPr>
            <w:r>
              <w:rPr>
                <w:rFonts w:cs="Calibri"/>
              </w:rPr>
              <w:t>319</w:t>
            </w:r>
          </w:p>
        </w:tc>
      </w:tr>
      <w:tr w:rsidR="00D44A04" w:rsidRPr="00500691" w14:paraId="14BFD375" w14:textId="77777777" w:rsidTr="00E53654">
        <w:trPr>
          <w:trHeight w:val="400"/>
        </w:trPr>
        <w:tc>
          <w:tcPr>
            <w:tcW w:w="3677" w:type="dxa"/>
            <w:vAlign w:val="center"/>
          </w:tcPr>
          <w:p w14:paraId="147FBF4B" w14:textId="77777777" w:rsidR="00D44A04" w:rsidRPr="00500691" w:rsidRDefault="00D44A04" w:rsidP="00E53654">
            <w:pPr>
              <w:rPr>
                <w:rFonts w:cs="Calibri"/>
              </w:rPr>
            </w:pPr>
            <w:r>
              <w:rPr>
                <w:rFonts w:cs="Calibri"/>
              </w:rPr>
              <w:t xml:space="preserve">Total estimated </w:t>
            </w:r>
            <w:proofErr w:type="spellStart"/>
            <w:r>
              <w:rPr>
                <w:rFonts w:cs="Calibri"/>
              </w:rPr>
              <w:t>therms</w:t>
            </w:r>
            <w:proofErr w:type="spellEnd"/>
            <w:r>
              <w:rPr>
                <w:rFonts w:cs="Calibri"/>
              </w:rPr>
              <w:t xml:space="preserve"> saved</w:t>
            </w:r>
          </w:p>
        </w:tc>
        <w:tc>
          <w:tcPr>
            <w:tcW w:w="1605" w:type="dxa"/>
            <w:vAlign w:val="center"/>
          </w:tcPr>
          <w:p w14:paraId="03DA5BD1" w14:textId="77777777" w:rsidR="00D44A04" w:rsidRPr="00474E7A" w:rsidRDefault="00D44A04" w:rsidP="00E53654">
            <w:pPr>
              <w:jc w:val="center"/>
              <w:rPr>
                <w:rFonts w:cs="Calibri"/>
              </w:rPr>
            </w:pPr>
            <w:r>
              <w:rPr>
                <w:rFonts w:cs="Calibri"/>
              </w:rPr>
              <w:t>3,213</w:t>
            </w:r>
          </w:p>
        </w:tc>
        <w:tc>
          <w:tcPr>
            <w:tcW w:w="1378" w:type="dxa"/>
            <w:vAlign w:val="center"/>
          </w:tcPr>
          <w:p w14:paraId="6B0123E9" w14:textId="77777777" w:rsidR="00D44A04" w:rsidRDefault="00D44A04" w:rsidP="00E53654">
            <w:pPr>
              <w:jc w:val="center"/>
              <w:rPr>
                <w:rFonts w:cs="Calibri"/>
              </w:rPr>
            </w:pPr>
            <w:r>
              <w:rPr>
                <w:rFonts w:cs="Calibri"/>
              </w:rPr>
              <w:t>3,050</w:t>
            </w:r>
          </w:p>
        </w:tc>
        <w:tc>
          <w:tcPr>
            <w:tcW w:w="1440" w:type="dxa"/>
            <w:vAlign w:val="center"/>
          </w:tcPr>
          <w:p w14:paraId="25CB8A52" w14:textId="77777777" w:rsidR="00D44A04" w:rsidRDefault="00D44A04" w:rsidP="00E53654">
            <w:pPr>
              <w:jc w:val="center"/>
              <w:rPr>
                <w:rFonts w:cs="Calibri"/>
              </w:rPr>
            </w:pPr>
            <w:r>
              <w:rPr>
                <w:rFonts w:cs="Calibri"/>
              </w:rPr>
              <w:t>7,026</w:t>
            </w:r>
          </w:p>
        </w:tc>
        <w:tc>
          <w:tcPr>
            <w:tcW w:w="1368" w:type="dxa"/>
            <w:vAlign w:val="center"/>
          </w:tcPr>
          <w:p w14:paraId="0C863C31" w14:textId="77777777" w:rsidR="00D44A04" w:rsidRDefault="00D44A04" w:rsidP="00E53654">
            <w:pPr>
              <w:jc w:val="center"/>
              <w:rPr>
                <w:rFonts w:cs="Calibri"/>
              </w:rPr>
            </w:pPr>
            <w:r>
              <w:rPr>
                <w:rFonts w:cs="Calibri"/>
              </w:rPr>
              <w:t>2,538</w:t>
            </w:r>
          </w:p>
        </w:tc>
      </w:tr>
      <w:tr w:rsidR="00D44A04" w:rsidRPr="00500691" w14:paraId="7839764C" w14:textId="77777777" w:rsidTr="00E53654">
        <w:trPr>
          <w:trHeight w:val="400"/>
        </w:trPr>
        <w:tc>
          <w:tcPr>
            <w:tcW w:w="3677" w:type="dxa"/>
            <w:vAlign w:val="center"/>
          </w:tcPr>
          <w:p w14:paraId="1E1FF710" w14:textId="77777777" w:rsidR="00D44A04" w:rsidRDefault="00D44A04" w:rsidP="00E53654">
            <w:pPr>
              <w:rPr>
                <w:rFonts w:cs="Calibri"/>
              </w:rPr>
            </w:pPr>
            <w:r>
              <w:rPr>
                <w:rFonts w:cs="Calibri"/>
              </w:rPr>
              <w:t xml:space="preserve">Estimated Cost per </w:t>
            </w:r>
            <w:proofErr w:type="spellStart"/>
            <w:r>
              <w:rPr>
                <w:rFonts w:cs="Calibri"/>
              </w:rPr>
              <w:t>Therm</w:t>
            </w:r>
            <w:proofErr w:type="spellEnd"/>
          </w:p>
        </w:tc>
        <w:tc>
          <w:tcPr>
            <w:tcW w:w="1605" w:type="dxa"/>
            <w:vAlign w:val="center"/>
          </w:tcPr>
          <w:p w14:paraId="4B55E632" w14:textId="77777777" w:rsidR="00D44A04" w:rsidRPr="00474E7A" w:rsidRDefault="00D44A04" w:rsidP="00E53654">
            <w:pPr>
              <w:jc w:val="center"/>
              <w:rPr>
                <w:rFonts w:cs="Calibri"/>
              </w:rPr>
            </w:pPr>
            <w:r>
              <w:rPr>
                <w:rFonts w:cs="Calibri"/>
              </w:rPr>
              <w:t>$12</w:t>
            </w:r>
          </w:p>
        </w:tc>
        <w:tc>
          <w:tcPr>
            <w:tcW w:w="1378" w:type="dxa"/>
            <w:vAlign w:val="center"/>
          </w:tcPr>
          <w:p w14:paraId="396CEDA6" w14:textId="77777777" w:rsidR="00D44A04" w:rsidRDefault="00D44A04" w:rsidP="00E53654">
            <w:pPr>
              <w:jc w:val="center"/>
              <w:rPr>
                <w:rFonts w:cs="Calibri"/>
              </w:rPr>
            </w:pPr>
            <w:r>
              <w:rPr>
                <w:rFonts w:cs="Calibri"/>
              </w:rPr>
              <w:t>$14</w:t>
            </w:r>
          </w:p>
        </w:tc>
        <w:tc>
          <w:tcPr>
            <w:tcW w:w="1440" w:type="dxa"/>
            <w:vAlign w:val="center"/>
          </w:tcPr>
          <w:p w14:paraId="22E5B8D9" w14:textId="77777777" w:rsidR="00D44A04" w:rsidRDefault="00D44A04" w:rsidP="00E53654">
            <w:pPr>
              <w:jc w:val="center"/>
              <w:rPr>
                <w:rFonts w:cs="Calibri"/>
              </w:rPr>
            </w:pPr>
            <w:r>
              <w:rPr>
                <w:rFonts w:cs="Calibri"/>
              </w:rPr>
              <w:t>$11</w:t>
            </w:r>
          </w:p>
        </w:tc>
        <w:tc>
          <w:tcPr>
            <w:tcW w:w="1368" w:type="dxa"/>
            <w:vAlign w:val="center"/>
          </w:tcPr>
          <w:p w14:paraId="61F11181" w14:textId="77777777" w:rsidR="00D44A04" w:rsidRDefault="00D44A04" w:rsidP="00E53654">
            <w:pPr>
              <w:jc w:val="center"/>
              <w:rPr>
                <w:rFonts w:cs="Calibri"/>
              </w:rPr>
            </w:pPr>
            <w:r>
              <w:rPr>
                <w:rFonts w:cs="Calibri"/>
              </w:rPr>
              <w:t>$12</w:t>
            </w:r>
          </w:p>
        </w:tc>
      </w:tr>
    </w:tbl>
    <w:p w14:paraId="4F7C4C27" w14:textId="77777777" w:rsidR="00D44A04" w:rsidRPr="006C4C4F" w:rsidRDefault="00D44A04" w:rsidP="00D44A04">
      <w:pPr>
        <w:rPr>
          <w:rFonts w:cs="Arial"/>
          <w:b/>
          <w:sz w:val="20"/>
        </w:rPr>
      </w:pPr>
    </w:p>
    <w:p w14:paraId="6E824876" w14:textId="77777777" w:rsidR="00D44A04" w:rsidRPr="006C4C4F" w:rsidRDefault="00D44A04" w:rsidP="00D44A04">
      <w:pPr>
        <w:rPr>
          <w:rFonts w:cs="Arial"/>
          <w:b/>
          <w:sz w:val="20"/>
        </w:rPr>
      </w:pPr>
    </w:p>
    <w:p w14:paraId="1722BDF9" w14:textId="77777777" w:rsidR="00D44A04" w:rsidRDefault="00D44A04" w:rsidP="00D44A04">
      <w:pPr>
        <w:rPr>
          <w:rFonts w:cs="Arial"/>
          <w:sz w:val="20"/>
        </w:rPr>
      </w:pPr>
      <w:r>
        <w:rPr>
          <w:rFonts w:cs="Arial"/>
          <w:sz w:val="20"/>
        </w:rPr>
        <w:t>Despite a dedication to program production, the chart above reflects a small and steady weatherization program. In 2015 the County and NW Natural worked to identify root issues for meager uptake, present these to the EEAG and implement our recommendations through tariff changes effective January 15, 2016. While the results are expected to impact 2016, the activities to understand and tackle these issues occurred in 2015 and are therefore outlined in this report.</w:t>
      </w:r>
    </w:p>
    <w:p w14:paraId="2ADEAA89" w14:textId="77777777" w:rsidR="00D44A04" w:rsidRDefault="00D44A04" w:rsidP="00D44A04">
      <w:pPr>
        <w:rPr>
          <w:rFonts w:cs="Arial"/>
          <w:sz w:val="20"/>
        </w:rPr>
      </w:pPr>
    </w:p>
    <w:p w14:paraId="3B4122A3" w14:textId="77777777" w:rsidR="00D44A04" w:rsidRDefault="00D44A04" w:rsidP="00D44A04">
      <w:pPr>
        <w:spacing w:after="200" w:line="276" w:lineRule="auto"/>
        <w:rPr>
          <w:rFonts w:cs="Arial"/>
          <w:b/>
          <w:sz w:val="20"/>
        </w:rPr>
      </w:pPr>
    </w:p>
    <w:p w14:paraId="4CDA8B06" w14:textId="77777777" w:rsidR="00D44A04" w:rsidRPr="00EC1361" w:rsidRDefault="00D44A04" w:rsidP="00D44A04">
      <w:pPr>
        <w:spacing w:after="200" w:line="276" w:lineRule="auto"/>
        <w:rPr>
          <w:rFonts w:cs="Arial"/>
          <w:b/>
          <w:sz w:val="20"/>
        </w:rPr>
      </w:pPr>
      <w:r w:rsidRPr="00EC1361">
        <w:rPr>
          <w:rFonts w:cs="Arial"/>
          <w:b/>
          <w:sz w:val="20"/>
        </w:rPr>
        <w:t>Challenge #1: Finding qualified customers and eligible gas homes to weatherize</w:t>
      </w:r>
    </w:p>
    <w:p w14:paraId="77144DC7" w14:textId="77777777" w:rsidR="00D44A04" w:rsidRDefault="00D44A04" w:rsidP="00D44A04">
      <w:pPr>
        <w:spacing w:after="200" w:line="276" w:lineRule="auto"/>
        <w:rPr>
          <w:rFonts w:cs="Arial"/>
          <w:sz w:val="20"/>
        </w:rPr>
      </w:pPr>
      <w:r w:rsidRPr="0057707E">
        <w:rPr>
          <w:rFonts w:cs="Arial"/>
          <w:noProof/>
          <w:sz w:val="20"/>
        </w:rPr>
        <w:drawing>
          <wp:anchor distT="0" distB="0" distL="114300" distR="114300" simplePos="0" relativeHeight="251668482" behindDoc="0" locked="0" layoutInCell="1" allowOverlap="1" wp14:anchorId="603C5506" wp14:editId="0596A5AB">
            <wp:simplePos x="0" y="0"/>
            <wp:positionH relativeFrom="column">
              <wp:posOffset>1760220</wp:posOffset>
            </wp:positionH>
            <wp:positionV relativeFrom="paragraph">
              <wp:posOffset>1905</wp:posOffset>
            </wp:positionV>
            <wp:extent cx="4173220" cy="2948940"/>
            <wp:effectExtent l="0" t="0" r="0" b="3810"/>
            <wp:wrapSquare wrapText="bothSides"/>
            <wp:docPr id="20"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rotWithShape="1">
                    <a:blip r:embed="rId31">
                      <a:extLst>
                        <a:ext uri="{28A0092B-C50C-407E-A947-70E740481C1C}">
                          <a14:useLocalDpi xmlns:a14="http://schemas.microsoft.com/office/drawing/2010/main" val="0"/>
                        </a:ext>
                      </a:extLst>
                    </a:blip>
                    <a:srcRect r="2468" b="-60"/>
                    <a:stretch/>
                  </pic:blipFill>
                  <pic:spPr bwMode="auto">
                    <a:xfrm>
                      <a:off x="0" y="0"/>
                      <a:ext cx="4173220" cy="2948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sz w:val="20"/>
        </w:rPr>
        <w:t xml:space="preserve">With the help of Energy Trust’s program contractor, </w:t>
      </w:r>
      <w:proofErr w:type="spellStart"/>
      <w:r>
        <w:rPr>
          <w:rFonts w:cs="Arial"/>
          <w:sz w:val="20"/>
        </w:rPr>
        <w:t>CLEAResult</w:t>
      </w:r>
      <w:proofErr w:type="spellEnd"/>
      <w:r>
        <w:rPr>
          <w:rFonts w:cs="Arial"/>
          <w:sz w:val="20"/>
        </w:rPr>
        <w:t>, we mined data from NEEA’s 2012 Residential Base Stock Assessment – this revealed substantially fewer old homes and fewer gas heated homes in Clark County, than its Oregon neighbor to the south (Multnomah County). This reduces the eligible participants significantly.</w:t>
      </w:r>
    </w:p>
    <w:p w14:paraId="60F8BB02" w14:textId="77777777" w:rsidR="00D44A04" w:rsidRDefault="00D44A04" w:rsidP="00D44A04">
      <w:pPr>
        <w:pStyle w:val="Caption"/>
      </w:pPr>
    </w:p>
    <w:p w14:paraId="412B3556" w14:textId="77777777" w:rsidR="00D44A04" w:rsidRDefault="00D44A04" w:rsidP="00D44A04">
      <w:pPr>
        <w:pStyle w:val="Caption"/>
        <w:rPr>
          <w:rFonts w:cs="Arial"/>
          <w:sz w:val="20"/>
        </w:rPr>
      </w:pPr>
      <w:r>
        <w:t xml:space="preserve">Figure </w:t>
      </w:r>
      <w:fldSimple w:instr=" SEQ Figure \* ARABIC ">
        <w:r>
          <w:rPr>
            <w:noProof/>
          </w:rPr>
          <w:t>2</w:t>
        </w:r>
      </w:fldSimple>
      <w:r>
        <w:t>: Age of home, WA/OR county comparison</w:t>
      </w:r>
    </w:p>
    <w:p w14:paraId="31A9F684" w14:textId="77777777" w:rsidR="00D44A04" w:rsidRDefault="00D44A04" w:rsidP="00D44A04">
      <w:pPr>
        <w:spacing w:after="200" w:line="276" w:lineRule="auto"/>
        <w:rPr>
          <w:rFonts w:cs="Arial"/>
          <w:sz w:val="20"/>
        </w:rPr>
      </w:pPr>
    </w:p>
    <w:p w14:paraId="170F5D95" w14:textId="77777777" w:rsidR="00D44A04" w:rsidRDefault="00D44A04" w:rsidP="00D44A04">
      <w:pPr>
        <w:spacing w:after="200" w:line="276" w:lineRule="auto"/>
        <w:rPr>
          <w:rFonts w:cs="Arial"/>
          <w:sz w:val="20"/>
        </w:rPr>
        <w:sectPr w:rsidR="00D44A04" w:rsidSect="00002B03">
          <w:pgSz w:w="12240" w:h="15840" w:code="1"/>
          <w:pgMar w:top="1440" w:right="1440" w:bottom="1440" w:left="1440" w:header="720" w:footer="720" w:gutter="0"/>
          <w:cols w:space="720"/>
          <w:docGrid w:linePitch="360"/>
        </w:sectPr>
      </w:pPr>
    </w:p>
    <w:p w14:paraId="22482E54" w14:textId="6E0A2A8D" w:rsidR="00D44A04" w:rsidRDefault="00D44A04" w:rsidP="00D44A04">
      <w:pPr>
        <w:spacing w:after="200" w:line="276" w:lineRule="auto"/>
        <w:rPr>
          <w:rFonts w:cs="Arial"/>
          <w:sz w:val="20"/>
        </w:rPr>
      </w:pPr>
    </w:p>
    <w:p w14:paraId="6062EA5C" w14:textId="77777777" w:rsidR="00D44A04" w:rsidRDefault="00D44A04" w:rsidP="00D44A04">
      <w:pPr>
        <w:keepNext/>
        <w:spacing w:after="200" w:line="276" w:lineRule="auto"/>
        <w:jc w:val="center"/>
      </w:pPr>
      <w:r w:rsidRPr="0057707E">
        <w:rPr>
          <w:rFonts w:cs="Arial"/>
          <w:noProof/>
          <w:sz w:val="20"/>
        </w:rPr>
        <w:drawing>
          <wp:inline distT="0" distB="0" distL="0" distR="0" wp14:anchorId="7F5E4677" wp14:editId="5EC25005">
            <wp:extent cx="4251959" cy="2773680"/>
            <wp:effectExtent l="0" t="0" r="0" b="7620"/>
            <wp:docPr id="2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1959" cy="2773680"/>
                    </a:xfrm>
                    <a:prstGeom prst="rect">
                      <a:avLst/>
                    </a:prstGeom>
                    <a:noFill/>
                    <a:ln>
                      <a:noFill/>
                    </a:ln>
                    <a:extLst/>
                  </pic:spPr>
                </pic:pic>
              </a:graphicData>
            </a:graphic>
          </wp:inline>
        </w:drawing>
      </w:r>
    </w:p>
    <w:p w14:paraId="4DC5C568" w14:textId="77777777" w:rsidR="00D44A04" w:rsidRDefault="00D44A04" w:rsidP="00D44A04">
      <w:pPr>
        <w:pStyle w:val="Caption"/>
        <w:rPr>
          <w:rFonts w:cs="Arial"/>
          <w:sz w:val="20"/>
        </w:rPr>
      </w:pPr>
      <w:r>
        <w:t xml:space="preserve">Figure </w:t>
      </w:r>
      <w:fldSimple w:instr=" SEQ Figure \* ARABIC ">
        <w:r>
          <w:rPr>
            <w:noProof/>
          </w:rPr>
          <w:t>3</w:t>
        </w:r>
      </w:fldSimple>
      <w:r>
        <w:t xml:space="preserve">: </w:t>
      </w:r>
      <w:r w:rsidRPr="00D357DD">
        <w:t>Gas Customers</w:t>
      </w:r>
      <w:r>
        <w:t>, WA/OR coun</w:t>
      </w:r>
      <w:r w:rsidRPr="00D357DD">
        <w:t>ty</w:t>
      </w:r>
      <w:r>
        <w:t xml:space="preserve"> comparison</w:t>
      </w:r>
    </w:p>
    <w:p w14:paraId="3732F588" w14:textId="77777777" w:rsidR="00D44A04" w:rsidRDefault="00D44A04" w:rsidP="00D44A04">
      <w:pPr>
        <w:spacing w:after="200" w:line="276" w:lineRule="auto"/>
        <w:rPr>
          <w:rFonts w:cs="Arial"/>
          <w:b/>
          <w:sz w:val="20"/>
        </w:rPr>
      </w:pPr>
    </w:p>
    <w:p w14:paraId="39023893" w14:textId="77777777" w:rsidR="00D44A04" w:rsidRPr="00EC1361" w:rsidRDefault="00D44A04" w:rsidP="00D44A04">
      <w:pPr>
        <w:spacing w:after="200" w:line="276" w:lineRule="auto"/>
        <w:rPr>
          <w:rFonts w:cs="Arial"/>
          <w:b/>
          <w:sz w:val="20"/>
        </w:rPr>
      </w:pPr>
      <w:r>
        <w:rPr>
          <w:rFonts w:cs="Arial"/>
          <w:b/>
          <w:sz w:val="20"/>
        </w:rPr>
        <w:t xml:space="preserve">Solutions </w:t>
      </w:r>
      <w:r w:rsidRPr="00EC1361">
        <w:rPr>
          <w:rFonts w:cs="Arial"/>
          <w:b/>
          <w:sz w:val="20"/>
        </w:rPr>
        <w:t>#1: Finding qualified customers and eligible gas homes to weatherize</w:t>
      </w:r>
    </w:p>
    <w:p w14:paraId="254134E6" w14:textId="77777777" w:rsidR="00D44A04" w:rsidRPr="00DF7379" w:rsidRDefault="00D44A04" w:rsidP="00D44A04">
      <w:pPr>
        <w:spacing w:after="200" w:line="276" w:lineRule="auto"/>
        <w:rPr>
          <w:rFonts w:cs="Arial"/>
          <w:sz w:val="20"/>
        </w:rPr>
      </w:pPr>
      <w:r>
        <w:rPr>
          <w:rFonts w:cs="Arial"/>
          <w:sz w:val="20"/>
        </w:rPr>
        <w:t xml:space="preserve">Typically weatherization participants enter WALIEE via bill assistance. Two ways to increase WALIEE participation then: (1) help a higher percentage of the bill assistance customers see the value of </w:t>
      </w:r>
      <w:r w:rsidRPr="00DF7379">
        <w:rPr>
          <w:rFonts w:cs="Arial"/>
          <w:sz w:val="20"/>
        </w:rPr>
        <w:t>weatherization, and</w:t>
      </w:r>
      <w:r>
        <w:rPr>
          <w:rFonts w:cs="Arial"/>
          <w:sz w:val="20"/>
        </w:rPr>
        <w:t>/or</w:t>
      </w:r>
      <w:r w:rsidRPr="00DF7379">
        <w:rPr>
          <w:rFonts w:cs="Arial"/>
          <w:sz w:val="20"/>
        </w:rPr>
        <w:t xml:space="preserve"> (2) find additional paths for WALIEE intake.</w:t>
      </w:r>
    </w:p>
    <w:p w14:paraId="519718B2" w14:textId="77777777" w:rsidR="00D44A04" w:rsidRPr="00DF7379" w:rsidRDefault="00D44A04" w:rsidP="00D44A04">
      <w:pPr>
        <w:pStyle w:val="ListParagraph"/>
        <w:numPr>
          <w:ilvl w:val="0"/>
          <w:numId w:val="30"/>
        </w:numPr>
        <w:spacing w:after="200" w:line="276" w:lineRule="auto"/>
        <w:rPr>
          <w:rFonts w:ascii="Arial" w:hAnsi="Arial" w:cs="Arial"/>
          <w:sz w:val="20"/>
        </w:rPr>
      </w:pPr>
      <w:r w:rsidRPr="00DF7379">
        <w:rPr>
          <w:rFonts w:ascii="Arial" w:hAnsi="Arial" w:cs="Arial"/>
          <w:sz w:val="20"/>
        </w:rPr>
        <w:t xml:space="preserve">In its determination to reach more bill assistance customers with long-term help (weatherization), the County worked to educate both the intake workers </w:t>
      </w:r>
      <w:r>
        <w:rPr>
          <w:rFonts w:ascii="Arial" w:hAnsi="Arial" w:cs="Arial"/>
          <w:sz w:val="20"/>
        </w:rPr>
        <w:t xml:space="preserve">from Clark PUD </w:t>
      </w:r>
      <w:r w:rsidRPr="00DF7379">
        <w:rPr>
          <w:rFonts w:ascii="Arial" w:hAnsi="Arial" w:cs="Arial"/>
          <w:sz w:val="20"/>
        </w:rPr>
        <w:t>and the bill assistance recipients through nine group intake sessions</w:t>
      </w:r>
      <w:r>
        <w:rPr>
          <w:rFonts w:ascii="Arial" w:hAnsi="Arial" w:cs="Arial"/>
          <w:sz w:val="20"/>
        </w:rPr>
        <w:t xml:space="preserve"> on the merits of weatherization</w:t>
      </w:r>
      <w:r w:rsidRPr="00DF7379">
        <w:rPr>
          <w:rFonts w:ascii="Arial" w:hAnsi="Arial" w:cs="Arial"/>
          <w:sz w:val="20"/>
        </w:rPr>
        <w:t xml:space="preserve">. Mike Selig was given 20 minutes during group intake to explain what happens during weatherization and the myriad of benefits residents’ experience. </w:t>
      </w:r>
      <w:r>
        <w:rPr>
          <w:rFonts w:ascii="Arial" w:hAnsi="Arial" w:cs="Arial"/>
          <w:sz w:val="20"/>
        </w:rPr>
        <w:t>Approximately 25 households are represented at each group intake.</w:t>
      </w:r>
    </w:p>
    <w:p w14:paraId="2C9B46E6" w14:textId="77777777" w:rsidR="00D44A04" w:rsidRPr="00DF7379" w:rsidRDefault="00D44A04" w:rsidP="00D44A04">
      <w:pPr>
        <w:pStyle w:val="ListParagraph"/>
        <w:numPr>
          <w:ilvl w:val="0"/>
          <w:numId w:val="30"/>
        </w:numPr>
        <w:spacing w:after="200" w:line="276" w:lineRule="auto"/>
        <w:rPr>
          <w:rFonts w:ascii="Arial" w:hAnsi="Arial" w:cs="Arial"/>
          <w:sz w:val="20"/>
        </w:rPr>
      </w:pPr>
      <w:r w:rsidRPr="00DF7379">
        <w:rPr>
          <w:rFonts w:ascii="Arial" w:hAnsi="Arial" w:cs="Arial"/>
          <w:sz w:val="20"/>
        </w:rPr>
        <w:t xml:space="preserve">In addition </w:t>
      </w:r>
      <w:r>
        <w:rPr>
          <w:rFonts w:ascii="Arial" w:hAnsi="Arial" w:cs="Arial"/>
          <w:sz w:val="20"/>
        </w:rPr>
        <w:t>to NW Natural’s standard outreach efforts through bill stuffers and call center hold messaging, we worked with a communications firm to craft an outreach strategy using social media. This effort will target our desired demographic and experiment with different messaging to determine which is most effective. The tariff allows a one-time $11,000 spend which is anticipated to generate nearly 700,000 impressions.</w:t>
      </w:r>
    </w:p>
    <w:p w14:paraId="5BFB9E0D" w14:textId="77777777" w:rsidR="00D44A04" w:rsidRPr="0037233F" w:rsidRDefault="00D44A04" w:rsidP="00D44A04">
      <w:pPr>
        <w:pStyle w:val="ListParagraph"/>
        <w:spacing w:after="200" w:line="276" w:lineRule="auto"/>
        <w:rPr>
          <w:rFonts w:ascii="Arial" w:hAnsi="Arial" w:cs="Arial"/>
          <w:sz w:val="20"/>
          <w:szCs w:val="20"/>
        </w:rPr>
      </w:pPr>
    </w:p>
    <w:p w14:paraId="5EEB30E9" w14:textId="77777777" w:rsidR="00D44A04" w:rsidRPr="00EC1361" w:rsidRDefault="00D44A04" w:rsidP="00D44A04">
      <w:pPr>
        <w:spacing w:after="200" w:line="276" w:lineRule="auto"/>
        <w:rPr>
          <w:rFonts w:cs="Arial"/>
          <w:b/>
          <w:sz w:val="20"/>
        </w:rPr>
      </w:pPr>
      <w:r w:rsidRPr="00EC1361">
        <w:rPr>
          <w:rFonts w:cs="Arial"/>
          <w:b/>
          <w:sz w:val="20"/>
        </w:rPr>
        <w:t>Challenge #2: Finding measures to cost-effectively upgrade in the few homes that</w:t>
      </w:r>
      <w:r w:rsidRPr="00EC1361">
        <w:rPr>
          <w:rFonts w:cs="Arial"/>
          <w:b/>
          <w:i/>
          <w:sz w:val="20"/>
        </w:rPr>
        <w:t xml:space="preserve"> do</w:t>
      </w:r>
      <w:r w:rsidRPr="00EC1361">
        <w:rPr>
          <w:rFonts w:cs="Arial"/>
          <w:b/>
          <w:sz w:val="20"/>
        </w:rPr>
        <w:t xml:space="preserve"> qualify</w:t>
      </w:r>
    </w:p>
    <w:p w14:paraId="7FC052D3" w14:textId="52D8DF7E" w:rsidR="00D44A04" w:rsidRDefault="00D44A04" w:rsidP="00D44A04">
      <w:pPr>
        <w:pStyle w:val="Header"/>
        <w:rPr>
          <w:sz w:val="20"/>
        </w:rPr>
      </w:pPr>
      <w:r>
        <w:rPr>
          <w:rFonts w:cs="Arial"/>
          <w:sz w:val="20"/>
        </w:rPr>
        <w:t xml:space="preserve">Even when eligible customers and homes are identified, with natural gas prices at 15-year lows, it is a challenge to retrofit homes for less cost than the accumulated benefit of the saved energy over the measure life. As seen in Figure 1, only one gas furnace passed the cost effectiveness threshold even though a new </w:t>
      </w:r>
      <w:r w:rsidRPr="00DA3B3B">
        <w:rPr>
          <w:rFonts w:cs="Arial"/>
          <w:sz w:val="20"/>
        </w:rPr>
        <w:t xml:space="preserve">furnace </w:t>
      </w:r>
      <w:r w:rsidRPr="00DA3B3B">
        <w:rPr>
          <w:sz w:val="20"/>
        </w:rPr>
        <w:t xml:space="preserve">is one of the most basic and durable ways to help these customers.  </w:t>
      </w:r>
      <w:r>
        <w:rPr>
          <w:rFonts w:cs="Arial"/>
          <w:sz w:val="20"/>
        </w:rPr>
        <w:t xml:space="preserve">In homes that receive whole-home weatherization, </w:t>
      </w:r>
      <w:r w:rsidRPr="000C0882">
        <w:rPr>
          <w:rFonts w:cs="Arial"/>
          <w:sz w:val="20"/>
        </w:rPr>
        <w:t>the benefits of</w:t>
      </w:r>
      <w:r>
        <w:rPr>
          <w:rFonts w:cs="Arial"/>
          <w:sz w:val="20"/>
        </w:rPr>
        <w:t xml:space="preserve"> these measures</w:t>
      </w:r>
      <w:r w:rsidRPr="000C0882">
        <w:rPr>
          <w:rFonts w:cs="Arial"/>
          <w:sz w:val="20"/>
        </w:rPr>
        <w:t xml:space="preserve"> go</w:t>
      </w:r>
      <w:r>
        <w:rPr>
          <w:rFonts w:cs="Arial"/>
          <w:sz w:val="20"/>
        </w:rPr>
        <w:t xml:space="preserve"> well beyond energy savings.  In well insulated and properly ventilated homes, many forms of </w:t>
      </w:r>
      <w:r w:rsidRPr="000C0882">
        <w:rPr>
          <w:sz w:val="20"/>
        </w:rPr>
        <w:t xml:space="preserve">asthma and allergies </w:t>
      </w:r>
      <w:r>
        <w:rPr>
          <w:sz w:val="20"/>
        </w:rPr>
        <w:t>are avoided (reducing health care costs), utility bills are more affordable</w:t>
      </w:r>
      <w:r w:rsidR="002946B8">
        <w:rPr>
          <w:sz w:val="20"/>
        </w:rPr>
        <w:t>,</w:t>
      </w:r>
      <w:r>
        <w:rPr>
          <w:sz w:val="20"/>
        </w:rPr>
        <w:t xml:space="preserve"> and accidents from </w:t>
      </w:r>
      <w:r w:rsidR="00013CBF">
        <w:rPr>
          <w:sz w:val="20"/>
        </w:rPr>
        <w:t xml:space="preserve">deferred </w:t>
      </w:r>
      <w:r>
        <w:rPr>
          <w:sz w:val="20"/>
        </w:rPr>
        <w:t>maintenance are avoided</w:t>
      </w:r>
      <w:r w:rsidR="002946B8">
        <w:rPr>
          <w:sz w:val="20"/>
        </w:rPr>
        <w:t xml:space="preserve">. </w:t>
      </w:r>
      <w:r w:rsidR="002946B8">
        <w:rPr>
          <w:sz w:val="20"/>
        </w:rPr>
        <w:lastRenderedPageBreak/>
        <w:t>However, the value of the benefits beyond energy savings is</w:t>
      </w:r>
      <w:r>
        <w:rPr>
          <w:sz w:val="20"/>
        </w:rPr>
        <w:t xml:space="preserve"> not represented by the cost-effectiveness tests currently deployed by this program.</w:t>
      </w:r>
    </w:p>
    <w:p w14:paraId="46C46180" w14:textId="77777777" w:rsidR="002946B8" w:rsidRDefault="002946B8" w:rsidP="00D44A04">
      <w:pPr>
        <w:spacing w:after="200" w:line="276" w:lineRule="auto"/>
        <w:rPr>
          <w:rFonts w:cs="Arial"/>
          <w:b/>
          <w:sz w:val="20"/>
        </w:rPr>
      </w:pPr>
    </w:p>
    <w:p w14:paraId="1466D408" w14:textId="77777777" w:rsidR="00D44A04" w:rsidRDefault="00D44A04" w:rsidP="00D44A04">
      <w:pPr>
        <w:spacing w:after="200" w:line="276" w:lineRule="auto"/>
        <w:rPr>
          <w:rFonts w:cs="Arial"/>
          <w:b/>
          <w:sz w:val="20"/>
        </w:rPr>
      </w:pPr>
      <w:r>
        <w:rPr>
          <w:rFonts w:cs="Arial"/>
          <w:b/>
          <w:sz w:val="20"/>
        </w:rPr>
        <w:t>Solutions</w:t>
      </w:r>
      <w:r w:rsidRPr="00DF6E97">
        <w:rPr>
          <w:rFonts w:cs="Arial"/>
          <w:b/>
          <w:sz w:val="20"/>
        </w:rPr>
        <w:t xml:space="preserve"> #2: Finding measures to cost-effectively upgrade in the few homes that</w:t>
      </w:r>
      <w:r w:rsidRPr="00DF6E97">
        <w:rPr>
          <w:rFonts w:cs="Arial"/>
          <w:b/>
          <w:i/>
          <w:sz w:val="20"/>
        </w:rPr>
        <w:t xml:space="preserve"> do</w:t>
      </w:r>
      <w:r w:rsidRPr="00DF6E97">
        <w:rPr>
          <w:rFonts w:cs="Arial"/>
          <w:b/>
          <w:sz w:val="20"/>
        </w:rPr>
        <w:t xml:space="preserve"> qualify</w:t>
      </w:r>
    </w:p>
    <w:p w14:paraId="47E0E403" w14:textId="77777777" w:rsidR="00D44A04" w:rsidRDefault="00D44A04" w:rsidP="00D44A04">
      <w:pPr>
        <w:pStyle w:val="Header"/>
        <w:rPr>
          <w:rFonts w:cs="Arial"/>
          <w:sz w:val="20"/>
        </w:rPr>
      </w:pPr>
      <w:r>
        <w:rPr>
          <w:rFonts w:cs="Arial"/>
          <w:sz w:val="20"/>
        </w:rPr>
        <w:t xml:space="preserve">For </w:t>
      </w:r>
      <w:r w:rsidRPr="001D15B4">
        <w:rPr>
          <w:rFonts w:cs="Arial"/>
          <w:sz w:val="20"/>
        </w:rPr>
        <w:t>2016</w:t>
      </w:r>
      <w:r>
        <w:rPr>
          <w:rFonts w:cs="Arial"/>
          <w:sz w:val="20"/>
        </w:rPr>
        <w:t>,</w:t>
      </w:r>
      <w:r w:rsidRPr="001D15B4">
        <w:rPr>
          <w:rFonts w:cs="Arial"/>
          <w:sz w:val="20"/>
        </w:rPr>
        <w:t xml:space="preserve"> two new </w:t>
      </w:r>
      <w:r>
        <w:rPr>
          <w:rFonts w:cs="Arial"/>
          <w:sz w:val="20"/>
        </w:rPr>
        <w:t xml:space="preserve">measure eligibility </w:t>
      </w:r>
      <w:r w:rsidRPr="001D15B4">
        <w:rPr>
          <w:rFonts w:cs="Arial"/>
          <w:sz w:val="20"/>
        </w:rPr>
        <w:t>m</w:t>
      </w:r>
      <w:r>
        <w:rPr>
          <w:rFonts w:cs="Arial"/>
          <w:sz w:val="20"/>
        </w:rPr>
        <w:t xml:space="preserve">ethods were added to the tariff. In addition to the standard TREAT audit using the Participate Cost Test, the County may use the Department of Commerce’s approved priority lists as outlined in its Weatherization Manual, or a hybrid between the original and the new method. </w:t>
      </w:r>
    </w:p>
    <w:p w14:paraId="691C5D9D" w14:textId="77777777" w:rsidR="002946B8" w:rsidRDefault="002946B8" w:rsidP="00D44A04">
      <w:pPr>
        <w:spacing w:after="200" w:line="276" w:lineRule="auto"/>
        <w:rPr>
          <w:rFonts w:cs="Arial"/>
          <w:b/>
          <w:sz w:val="20"/>
        </w:rPr>
      </w:pPr>
    </w:p>
    <w:p w14:paraId="231DBE48" w14:textId="77777777" w:rsidR="00D44A04" w:rsidRPr="001A6565" w:rsidRDefault="00D44A04" w:rsidP="00D44A04">
      <w:pPr>
        <w:spacing w:after="200" w:line="276" w:lineRule="auto"/>
        <w:rPr>
          <w:rFonts w:cs="Arial"/>
          <w:b/>
          <w:sz w:val="20"/>
        </w:rPr>
      </w:pPr>
      <w:r w:rsidRPr="001A6565">
        <w:rPr>
          <w:rFonts w:cs="Arial"/>
          <w:b/>
          <w:sz w:val="20"/>
        </w:rPr>
        <w:t>Additional agency-facing tariff change for 2016:</w:t>
      </w:r>
    </w:p>
    <w:p w14:paraId="4719946A" w14:textId="77777777" w:rsidR="00D44A04" w:rsidRPr="00BB7683" w:rsidRDefault="00D44A04" w:rsidP="00D44A04">
      <w:pPr>
        <w:spacing w:after="200" w:line="276" w:lineRule="auto"/>
        <w:ind w:left="720"/>
        <w:rPr>
          <w:rFonts w:cs="Arial"/>
          <w:b/>
          <w:sz w:val="20"/>
        </w:rPr>
      </w:pPr>
      <w:r w:rsidRPr="00BB7683">
        <w:rPr>
          <w:rFonts w:cs="Arial"/>
          <w:b/>
          <w:sz w:val="20"/>
        </w:rPr>
        <w:t xml:space="preserve">Increase in the per unit cap: </w:t>
      </w:r>
      <w:r w:rsidRPr="00BB7683">
        <w:rPr>
          <w:rFonts w:cs="Arial"/>
          <w:sz w:val="20"/>
        </w:rPr>
        <w:t xml:space="preserve">The maximum rebate amount per home has been increased to the greater of $5,000 or the average total installed cost of measures as reported by the Agencies for the prior program year. Previously agencies were reimbursed the greater of $3,500 or an amount equal to ninety percent (90%) of the average total installed cost of measures as reported by the Agencies for the prior program year. This will help create better alignment between actual job costs and reimbursed cost which is expected to increase program performance. </w:t>
      </w:r>
    </w:p>
    <w:p w14:paraId="5C862894" w14:textId="77777777" w:rsidR="00D44A04" w:rsidRPr="000A3668" w:rsidRDefault="00D44A04" w:rsidP="00D44A04">
      <w:pPr>
        <w:spacing w:after="200" w:line="276" w:lineRule="auto"/>
        <w:rPr>
          <w:rFonts w:eastAsia="Calibri" w:cs="Arial"/>
          <w:b/>
          <w:sz w:val="20"/>
        </w:rPr>
      </w:pPr>
      <w:r>
        <w:rPr>
          <w:rFonts w:eastAsia="Calibri" w:cs="Arial"/>
          <w:b/>
          <w:sz w:val="20"/>
        </w:rPr>
        <w:t xml:space="preserve">Conclusion: </w:t>
      </w:r>
      <w:r w:rsidRPr="002F10BF">
        <w:rPr>
          <w:rFonts w:eastAsia="Calibri" w:cs="Arial"/>
          <w:sz w:val="20"/>
        </w:rPr>
        <w:t xml:space="preserve">NW Natural is </w:t>
      </w:r>
      <w:r>
        <w:rPr>
          <w:rFonts w:eastAsia="Calibri" w:cs="Arial"/>
          <w:sz w:val="20"/>
        </w:rPr>
        <w:t xml:space="preserve">both grateful for, and </w:t>
      </w:r>
      <w:r w:rsidRPr="002F10BF">
        <w:rPr>
          <w:rFonts w:eastAsia="Calibri" w:cs="Arial"/>
          <w:sz w:val="20"/>
        </w:rPr>
        <w:t xml:space="preserve">impressed </w:t>
      </w:r>
      <w:r>
        <w:rPr>
          <w:rFonts w:eastAsia="Calibri" w:cs="Arial"/>
          <w:sz w:val="20"/>
        </w:rPr>
        <w:t>by,</w:t>
      </w:r>
      <w:r w:rsidRPr="002F10BF">
        <w:rPr>
          <w:rFonts w:eastAsia="Calibri" w:cs="Arial"/>
          <w:sz w:val="20"/>
        </w:rPr>
        <w:t xml:space="preserve"> the dedication and thoughtfulness of the Clark County weatherization staff</w:t>
      </w:r>
      <w:r>
        <w:rPr>
          <w:rFonts w:eastAsia="Calibri" w:cs="Arial"/>
          <w:sz w:val="20"/>
        </w:rPr>
        <w:t xml:space="preserve">. We are so pleased that already in the first quarter 11 homes are either complete or in process of weatherization. We are eager to see the fruits of 2015 efforts continue to ripen as we progress through the year and learn from this first-ever social media outreach effort. </w:t>
      </w:r>
    </w:p>
    <w:p w14:paraId="2CC6DAFF" w14:textId="00E306A0" w:rsidR="00F530C2" w:rsidRDefault="00F530C2" w:rsidP="009630AA">
      <w:pPr>
        <w:spacing w:line="300" w:lineRule="auto"/>
        <w:outlineLvl w:val="0"/>
        <w:rPr>
          <w:b/>
        </w:rPr>
      </w:pPr>
    </w:p>
    <w:p w14:paraId="3C2D9896" w14:textId="77777777" w:rsidR="00D44A04" w:rsidRDefault="00D44A04" w:rsidP="009630AA">
      <w:pPr>
        <w:spacing w:line="300" w:lineRule="auto"/>
        <w:outlineLvl w:val="0"/>
        <w:rPr>
          <w:b/>
        </w:rPr>
      </w:pPr>
    </w:p>
    <w:p w14:paraId="3C437D0C" w14:textId="77777777" w:rsidR="00D44A04" w:rsidRDefault="00D44A04" w:rsidP="009630AA">
      <w:pPr>
        <w:spacing w:line="300" w:lineRule="auto"/>
        <w:outlineLvl w:val="0"/>
        <w:rPr>
          <w:b/>
        </w:rPr>
      </w:pPr>
    </w:p>
    <w:p w14:paraId="042104F0" w14:textId="77777777" w:rsidR="00D44A04" w:rsidRDefault="00D44A04" w:rsidP="009630AA">
      <w:pPr>
        <w:spacing w:line="300" w:lineRule="auto"/>
        <w:outlineLvl w:val="0"/>
        <w:rPr>
          <w:b/>
        </w:rPr>
      </w:pPr>
    </w:p>
    <w:p w14:paraId="01C71AEC" w14:textId="77777777" w:rsidR="00D44A04" w:rsidRDefault="00D44A04" w:rsidP="009630AA">
      <w:pPr>
        <w:spacing w:line="300" w:lineRule="auto"/>
        <w:outlineLvl w:val="0"/>
        <w:rPr>
          <w:b/>
        </w:rPr>
      </w:pPr>
    </w:p>
    <w:p w14:paraId="4E6077E5" w14:textId="77777777" w:rsidR="00D44A04" w:rsidRDefault="00D44A04" w:rsidP="009630AA">
      <w:pPr>
        <w:spacing w:line="300" w:lineRule="auto"/>
        <w:outlineLvl w:val="0"/>
        <w:rPr>
          <w:b/>
        </w:rPr>
      </w:pPr>
    </w:p>
    <w:p w14:paraId="65E473D1" w14:textId="77777777" w:rsidR="00D44A04" w:rsidRDefault="00D44A04" w:rsidP="009630AA">
      <w:pPr>
        <w:spacing w:line="300" w:lineRule="auto"/>
        <w:outlineLvl w:val="0"/>
        <w:rPr>
          <w:b/>
        </w:rPr>
      </w:pPr>
    </w:p>
    <w:p w14:paraId="083C11CA" w14:textId="77777777" w:rsidR="00D44A04" w:rsidRDefault="00D44A04" w:rsidP="009630AA">
      <w:pPr>
        <w:spacing w:line="300" w:lineRule="auto"/>
        <w:outlineLvl w:val="0"/>
        <w:rPr>
          <w:b/>
        </w:rPr>
      </w:pPr>
    </w:p>
    <w:p w14:paraId="03832557" w14:textId="77777777" w:rsidR="00D44A04" w:rsidRDefault="00D44A04" w:rsidP="009630AA">
      <w:pPr>
        <w:spacing w:line="300" w:lineRule="auto"/>
        <w:outlineLvl w:val="0"/>
        <w:rPr>
          <w:b/>
        </w:rPr>
      </w:pPr>
    </w:p>
    <w:p w14:paraId="593C1B7F" w14:textId="77777777" w:rsidR="00D44A04" w:rsidRDefault="00D44A04" w:rsidP="009630AA">
      <w:pPr>
        <w:spacing w:line="300" w:lineRule="auto"/>
        <w:outlineLvl w:val="0"/>
        <w:rPr>
          <w:b/>
        </w:rPr>
      </w:pPr>
    </w:p>
    <w:p w14:paraId="71F7CD5F" w14:textId="77777777" w:rsidR="00D44A04" w:rsidRDefault="00D44A04" w:rsidP="009630AA">
      <w:pPr>
        <w:spacing w:line="300" w:lineRule="auto"/>
        <w:outlineLvl w:val="0"/>
        <w:rPr>
          <w:b/>
        </w:rPr>
      </w:pPr>
    </w:p>
    <w:p w14:paraId="4A8EA77A" w14:textId="77777777" w:rsidR="00D44A04" w:rsidRDefault="00D44A04" w:rsidP="009630AA">
      <w:pPr>
        <w:spacing w:line="300" w:lineRule="auto"/>
        <w:outlineLvl w:val="0"/>
        <w:rPr>
          <w:b/>
        </w:rPr>
      </w:pPr>
    </w:p>
    <w:p w14:paraId="5DBBD7CC" w14:textId="77777777" w:rsidR="00D44A04" w:rsidRDefault="00D44A04" w:rsidP="009630AA">
      <w:pPr>
        <w:spacing w:line="300" w:lineRule="auto"/>
        <w:outlineLvl w:val="0"/>
        <w:rPr>
          <w:b/>
        </w:rPr>
      </w:pPr>
    </w:p>
    <w:p w14:paraId="0A529D35" w14:textId="77777777" w:rsidR="00D44A04" w:rsidRDefault="00D44A04" w:rsidP="009630AA">
      <w:pPr>
        <w:spacing w:line="300" w:lineRule="auto"/>
        <w:outlineLvl w:val="0"/>
        <w:rPr>
          <w:b/>
        </w:rPr>
      </w:pPr>
    </w:p>
    <w:p w14:paraId="1E65A38B" w14:textId="77777777" w:rsidR="00D44A04" w:rsidRDefault="00D44A04" w:rsidP="009630AA">
      <w:pPr>
        <w:spacing w:line="300" w:lineRule="auto"/>
        <w:outlineLvl w:val="0"/>
        <w:rPr>
          <w:b/>
        </w:rPr>
      </w:pPr>
    </w:p>
    <w:p w14:paraId="3C3FC232" w14:textId="77777777" w:rsidR="00D44A04" w:rsidRDefault="00D44A04" w:rsidP="009630AA">
      <w:pPr>
        <w:spacing w:line="300" w:lineRule="auto"/>
        <w:outlineLvl w:val="0"/>
        <w:rPr>
          <w:b/>
        </w:rPr>
      </w:pPr>
    </w:p>
    <w:p w14:paraId="7509C291" w14:textId="77777777" w:rsidR="00D44A04" w:rsidRDefault="00D44A04" w:rsidP="009630AA">
      <w:pPr>
        <w:spacing w:line="300" w:lineRule="auto"/>
        <w:outlineLvl w:val="0"/>
        <w:rPr>
          <w:b/>
        </w:rPr>
      </w:pPr>
    </w:p>
    <w:p w14:paraId="127A1CAE" w14:textId="77777777" w:rsidR="00D44A04" w:rsidRDefault="00D44A04" w:rsidP="009630AA">
      <w:pPr>
        <w:spacing w:line="300" w:lineRule="auto"/>
        <w:outlineLvl w:val="0"/>
        <w:rPr>
          <w:b/>
        </w:rPr>
      </w:pPr>
    </w:p>
    <w:p w14:paraId="71AAF72E" w14:textId="77777777" w:rsidR="00D44A04" w:rsidRDefault="00D44A04" w:rsidP="009630AA">
      <w:pPr>
        <w:spacing w:line="300" w:lineRule="auto"/>
        <w:outlineLvl w:val="0"/>
        <w:rPr>
          <w:b/>
        </w:rPr>
      </w:pPr>
    </w:p>
    <w:p w14:paraId="46D993DA" w14:textId="414D4C7A" w:rsidR="00D44A04" w:rsidRDefault="00D44A04" w:rsidP="009630AA">
      <w:pPr>
        <w:spacing w:line="300" w:lineRule="auto"/>
        <w:outlineLvl w:val="0"/>
        <w:rPr>
          <w:b/>
        </w:rPr>
      </w:pPr>
    </w:p>
    <w:p w14:paraId="2B17190A" w14:textId="77777777" w:rsidR="00002B03" w:rsidRDefault="00002B03" w:rsidP="00486919">
      <w:pPr>
        <w:spacing w:line="300" w:lineRule="auto"/>
        <w:outlineLvl w:val="0"/>
        <w:rPr>
          <w:b/>
          <w:sz w:val="48"/>
          <w:szCs w:val="48"/>
        </w:rPr>
        <w:sectPr w:rsidR="00002B03" w:rsidSect="00002B03">
          <w:pgSz w:w="12240" w:h="15840" w:code="1"/>
          <w:pgMar w:top="1440" w:right="1440" w:bottom="1440" w:left="1440" w:header="720" w:footer="720" w:gutter="0"/>
          <w:cols w:space="720"/>
          <w:docGrid w:linePitch="360"/>
        </w:sectPr>
      </w:pPr>
    </w:p>
    <w:p w14:paraId="5AFD706B" w14:textId="11F2CFB5" w:rsidR="00486919" w:rsidRPr="009630AA" w:rsidRDefault="00486919" w:rsidP="00486919">
      <w:pPr>
        <w:spacing w:line="300" w:lineRule="auto"/>
        <w:outlineLvl w:val="0"/>
        <w:rPr>
          <w:b/>
          <w:sz w:val="48"/>
          <w:szCs w:val="48"/>
        </w:rPr>
      </w:pPr>
      <w:r>
        <w:rPr>
          <w:b/>
          <w:sz w:val="48"/>
          <w:szCs w:val="48"/>
        </w:rPr>
        <w:lastRenderedPageBreak/>
        <w:t>20</w:t>
      </w:r>
      <w:r w:rsidRPr="009630AA">
        <w:rPr>
          <w:b/>
          <w:sz w:val="48"/>
          <w:szCs w:val="48"/>
        </w:rPr>
        <w:t>15 Annual Energy Efficiency Report</w:t>
      </w:r>
    </w:p>
    <w:p w14:paraId="34538BF3" w14:textId="4CEE2DA4" w:rsidR="00486919" w:rsidRDefault="00486919" w:rsidP="00486919">
      <w:pPr>
        <w:spacing w:line="300" w:lineRule="auto"/>
        <w:outlineLvl w:val="0"/>
        <w:rPr>
          <w:b/>
        </w:rPr>
        <w:sectPr w:rsidR="00486919" w:rsidSect="00002B03">
          <w:pgSz w:w="12240" w:h="15840" w:code="1"/>
          <w:pgMar w:top="1440" w:right="1440" w:bottom="1440" w:left="1440" w:header="720" w:footer="720" w:gutter="0"/>
          <w:cols w:space="720"/>
          <w:titlePg/>
          <w:docGrid w:linePitch="360"/>
        </w:sectPr>
      </w:pPr>
      <w:r w:rsidRPr="009630AA">
        <w:rPr>
          <w:noProof/>
        </w:rPr>
        <w:drawing>
          <wp:anchor distT="0" distB="0" distL="114300" distR="114300" simplePos="0" relativeHeight="251676674" behindDoc="0" locked="0" layoutInCell="1" allowOverlap="1" wp14:anchorId="5A1BAA95" wp14:editId="726BFB34">
            <wp:simplePos x="0" y="0"/>
            <wp:positionH relativeFrom="column">
              <wp:posOffset>-434340</wp:posOffset>
            </wp:positionH>
            <wp:positionV relativeFrom="paragraph">
              <wp:posOffset>6977380</wp:posOffset>
            </wp:positionV>
            <wp:extent cx="6864350" cy="74295"/>
            <wp:effectExtent l="0" t="0" r="0" b="1905"/>
            <wp:wrapNone/>
            <wp:docPr id="29"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630AA">
        <w:rPr>
          <w:noProof/>
        </w:rPr>
        <w:drawing>
          <wp:anchor distT="0" distB="0" distL="114300" distR="114300" simplePos="0" relativeHeight="251675650" behindDoc="0" locked="0" layoutInCell="1" allowOverlap="1" wp14:anchorId="3390FB5E" wp14:editId="5C081A31">
            <wp:simplePos x="0" y="0"/>
            <wp:positionH relativeFrom="page">
              <wp:posOffset>419100</wp:posOffset>
            </wp:positionH>
            <wp:positionV relativeFrom="paragraph">
              <wp:posOffset>691515</wp:posOffset>
            </wp:positionV>
            <wp:extent cx="6864350" cy="76200"/>
            <wp:effectExtent l="0" t="0" r="0" b="0"/>
            <wp:wrapNone/>
            <wp:docPr id="30" name="Picture 30"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6200"/>
                    </a:xfrm>
                    <a:prstGeom prst="rect">
                      <a:avLst/>
                    </a:prstGeom>
                    <a:noFill/>
                    <a:ln w="9525">
                      <a:noFill/>
                      <a:miter lim="800000"/>
                      <a:headEnd/>
                      <a:tailEnd/>
                    </a:ln>
                  </pic:spPr>
                </pic:pic>
              </a:graphicData>
            </a:graphic>
          </wp:anchor>
        </w:drawing>
      </w:r>
      <w:r w:rsidRPr="009630AA">
        <w:rPr>
          <w:noProof/>
        </w:rPr>
        <mc:AlternateContent>
          <mc:Choice Requires="wps">
            <w:drawing>
              <wp:anchor distT="0" distB="0" distL="114300" distR="114300" simplePos="0" relativeHeight="251655167" behindDoc="0" locked="0" layoutInCell="1" allowOverlap="1" wp14:anchorId="3DE1A9DC" wp14:editId="51E08363">
                <wp:simplePos x="0" y="0"/>
                <wp:positionH relativeFrom="column">
                  <wp:posOffset>-45720</wp:posOffset>
                </wp:positionH>
                <wp:positionV relativeFrom="paragraph">
                  <wp:posOffset>1139190</wp:posOffset>
                </wp:positionV>
                <wp:extent cx="6122670" cy="51339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C102" w14:textId="107F23D9" w:rsidR="00486919" w:rsidRDefault="00486919" w:rsidP="00486919">
                            <w:pPr>
                              <w:rPr>
                                <w:rFonts w:cs="Arial"/>
                                <w:b/>
                                <w:caps/>
                                <w:sz w:val="28"/>
                                <w:szCs w:val="28"/>
                              </w:rPr>
                            </w:pPr>
                            <w:r>
                              <w:rPr>
                                <w:rFonts w:cs="Arial"/>
                                <w:b/>
                                <w:caps/>
                                <w:sz w:val="28"/>
                                <w:szCs w:val="28"/>
                              </w:rPr>
                              <w:t>NW Natural transactional audit</w:t>
                            </w:r>
                          </w:p>
                          <w:p w14:paraId="465D9DE5" w14:textId="788F0482" w:rsidR="00486919" w:rsidRPr="009630AA" w:rsidRDefault="00486919" w:rsidP="00486919">
                            <w:pPr>
                              <w:rPr>
                                <w:rFonts w:cs="Arial"/>
                                <w:b/>
                                <w:caps/>
                                <w:sz w:val="28"/>
                                <w:szCs w:val="28"/>
                              </w:rPr>
                            </w:pPr>
                            <w:r>
                              <w:rPr>
                                <w:rFonts w:cs="Arial"/>
                                <w:b/>
                                <w:caps/>
                                <w:sz w:val="28"/>
                                <w:szCs w:val="28"/>
                              </w:rPr>
                              <w:t>2015 program costs</w:t>
                            </w:r>
                          </w:p>
                          <w:p w14:paraId="237A522E" w14:textId="77777777" w:rsidR="00486919" w:rsidRDefault="00486919" w:rsidP="00486919">
                            <w:pPr>
                              <w:rPr>
                                <w:rFonts w:cs="Arial"/>
                                <w:b/>
                                <w:caps/>
                                <w:sz w:val="20"/>
                              </w:rPr>
                            </w:pPr>
                            <w:r>
                              <w:rPr>
                                <w:rFonts w:cs="Arial"/>
                                <w:b/>
                                <w:caps/>
                                <w:sz w:val="20"/>
                              </w:rPr>
                              <w:t xml:space="preserve"> </w:t>
                            </w:r>
                          </w:p>
                          <w:p w14:paraId="26AF6A22" w14:textId="736A2965" w:rsidR="00486919" w:rsidRPr="00972DD8" w:rsidRDefault="00486919" w:rsidP="00486919">
                            <w:pPr>
                              <w:rPr>
                                <w:rFonts w:cs="Arial"/>
                                <w:b/>
                                <w:caps/>
                                <w:sz w:val="20"/>
                              </w:rPr>
                            </w:pPr>
                            <w:r>
                              <w:rPr>
                                <w:rFonts w:cs="Arial"/>
                                <w:b/>
                                <w:caps/>
                                <w:sz w:val="20"/>
                              </w:rPr>
                              <w:t>NW NATURAL</w:t>
                            </w:r>
                          </w:p>
                          <w:p w14:paraId="32874F67" w14:textId="0E14CF94" w:rsidR="00486919" w:rsidRPr="00972DD8" w:rsidRDefault="00486919" w:rsidP="00486919">
                            <w:pPr>
                              <w:rPr>
                                <w:rFonts w:cs="Arial"/>
                                <w:b/>
                                <w:caps/>
                                <w:sz w:val="20"/>
                              </w:rPr>
                            </w:pPr>
                            <w:r>
                              <w:rPr>
                                <w:rFonts w:cs="Arial"/>
                                <w:b/>
                                <w:caps/>
                                <w:sz w:val="20"/>
                              </w:rPr>
                              <w:t>April 2</w:t>
                            </w:r>
                            <w:r w:rsidR="002946B8">
                              <w:rPr>
                                <w:rFonts w:cs="Arial"/>
                                <w:b/>
                                <w:caps/>
                                <w:sz w:val="20"/>
                              </w:rPr>
                              <w:t>2</w:t>
                            </w:r>
                            <w:r>
                              <w:rPr>
                                <w:rFonts w:cs="Arial"/>
                                <w:b/>
                                <w:caps/>
                                <w:sz w:val="20"/>
                              </w:rPr>
                              <w:t>, 2016</w:t>
                            </w:r>
                          </w:p>
                          <w:p w14:paraId="0BFDECFA" w14:textId="77777777" w:rsidR="00486919" w:rsidRPr="00F27A2F" w:rsidRDefault="00486919" w:rsidP="00486919">
                            <w:pPr>
                              <w:rPr>
                                <w:rFonts w:cs="Arial"/>
                                <w:i/>
                                <w:sz w:val="21"/>
                                <w:szCs w:val="21"/>
                              </w:rPr>
                            </w:pPr>
                          </w:p>
                          <w:p w14:paraId="2778DC08" w14:textId="77777777" w:rsidR="00486919" w:rsidRDefault="00486919" w:rsidP="00486919">
                            <w:pPr>
                              <w:rPr>
                                <w:rFonts w:cs="Arial"/>
                                <w:szCs w:val="22"/>
                              </w:rPr>
                            </w:pPr>
                          </w:p>
                          <w:p w14:paraId="629DF4FF" w14:textId="77777777" w:rsidR="00486919" w:rsidRPr="00F27A2F" w:rsidRDefault="00486919" w:rsidP="00486919">
                            <w:pPr>
                              <w:rPr>
                                <w:rFonts w:cs="Arial"/>
                                <w:i/>
                                <w:sz w:val="21"/>
                                <w:szCs w:val="21"/>
                              </w:rPr>
                            </w:pPr>
                          </w:p>
                          <w:p w14:paraId="60CCCF86" w14:textId="77777777" w:rsidR="00486919" w:rsidRPr="00F27A2F" w:rsidRDefault="00486919" w:rsidP="00486919">
                            <w:pPr>
                              <w:rPr>
                                <w:rFonts w:cs="Arial"/>
                                <w:i/>
                                <w:sz w:val="21"/>
                                <w:szCs w:val="21"/>
                              </w:rPr>
                            </w:pPr>
                          </w:p>
                          <w:p w14:paraId="2C422F4F" w14:textId="77777777" w:rsidR="00486919" w:rsidRPr="00F27A2F" w:rsidRDefault="00486919" w:rsidP="00486919">
                            <w:pPr>
                              <w:rPr>
                                <w:rFonts w:cs="Arial"/>
                                <w:i/>
                                <w:sz w:val="21"/>
                                <w:szCs w:val="21"/>
                              </w:rPr>
                            </w:pPr>
                          </w:p>
                          <w:p w14:paraId="021DA532" w14:textId="77777777" w:rsidR="00486919" w:rsidRPr="00592DD0" w:rsidRDefault="00486919" w:rsidP="00486919">
                            <w:pPr>
                              <w:rPr>
                                <w:rFonts w:cs="Arial"/>
                                <w:sz w:val="40"/>
                                <w:szCs w:val="40"/>
                              </w:rPr>
                            </w:pPr>
                          </w:p>
                          <w:p w14:paraId="46572B2E" w14:textId="77777777" w:rsidR="00486919" w:rsidRPr="00F27A2F" w:rsidRDefault="00486919" w:rsidP="00486919">
                            <w:pPr>
                              <w:rPr>
                                <w:rFonts w:cs="Arial"/>
                                <w:i/>
                                <w:sz w:val="21"/>
                                <w:szCs w:val="21"/>
                              </w:rPr>
                            </w:pPr>
                          </w:p>
                          <w:p w14:paraId="19207083" w14:textId="77777777" w:rsidR="00486919" w:rsidRPr="00F27A2F" w:rsidRDefault="00486919" w:rsidP="00486919">
                            <w:pPr>
                              <w:rPr>
                                <w:rFonts w:cs="Arial"/>
                                <w:i/>
                                <w:sz w:val="21"/>
                                <w:szCs w:val="21"/>
                              </w:rPr>
                            </w:pPr>
                          </w:p>
                          <w:p w14:paraId="0C89122E" w14:textId="77777777" w:rsidR="00486919" w:rsidRPr="00F27A2F" w:rsidRDefault="00486919" w:rsidP="00486919">
                            <w:pPr>
                              <w:rPr>
                                <w:rFonts w:cs="Arial"/>
                                <w:i/>
                                <w:sz w:val="21"/>
                                <w:szCs w:val="21"/>
                              </w:rPr>
                            </w:pPr>
                          </w:p>
                          <w:p w14:paraId="018B3838" w14:textId="77777777" w:rsidR="00486919" w:rsidRPr="00F27A2F" w:rsidRDefault="00486919" w:rsidP="00486919">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3.6pt;margin-top:89.7pt;width:482.1pt;height:404.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mugIAAMM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" filled="f" stroked="f">
                <v:textbox>
                  <w:txbxContent>
                    <w:p w14:paraId="3F75C102" w14:textId="107F23D9" w:rsidR="00486919" w:rsidRDefault="00486919" w:rsidP="00486919">
                      <w:pPr>
                        <w:rPr>
                          <w:rFonts w:cs="Arial"/>
                          <w:b/>
                          <w:caps/>
                          <w:sz w:val="28"/>
                          <w:szCs w:val="28"/>
                        </w:rPr>
                      </w:pPr>
                      <w:r>
                        <w:rPr>
                          <w:rFonts w:cs="Arial"/>
                          <w:b/>
                          <w:caps/>
                          <w:sz w:val="28"/>
                          <w:szCs w:val="28"/>
                        </w:rPr>
                        <w:t>NW Natural transactional audit</w:t>
                      </w:r>
                    </w:p>
                    <w:p w14:paraId="465D9DE5" w14:textId="788F0482" w:rsidR="00486919" w:rsidRPr="009630AA" w:rsidRDefault="00486919" w:rsidP="00486919">
                      <w:pPr>
                        <w:rPr>
                          <w:rFonts w:cs="Arial"/>
                          <w:b/>
                          <w:caps/>
                          <w:sz w:val="28"/>
                          <w:szCs w:val="28"/>
                        </w:rPr>
                      </w:pPr>
                      <w:r>
                        <w:rPr>
                          <w:rFonts w:cs="Arial"/>
                          <w:b/>
                          <w:caps/>
                          <w:sz w:val="28"/>
                          <w:szCs w:val="28"/>
                        </w:rPr>
                        <w:t>2015 program costs</w:t>
                      </w:r>
                    </w:p>
                    <w:p w14:paraId="237A522E" w14:textId="77777777" w:rsidR="00486919" w:rsidRDefault="00486919" w:rsidP="00486919">
                      <w:pPr>
                        <w:rPr>
                          <w:rFonts w:cs="Arial"/>
                          <w:b/>
                          <w:caps/>
                          <w:sz w:val="20"/>
                        </w:rPr>
                      </w:pPr>
                      <w:r>
                        <w:rPr>
                          <w:rFonts w:cs="Arial"/>
                          <w:b/>
                          <w:caps/>
                          <w:sz w:val="20"/>
                        </w:rPr>
                        <w:t xml:space="preserve"> </w:t>
                      </w:r>
                    </w:p>
                    <w:p w14:paraId="26AF6A22" w14:textId="736A2965" w:rsidR="00486919" w:rsidRPr="00972DD8" w:rsidRDefault="00486919" w:rsidP="00486919">
                      <w:pPr>
                        <w:rPr>
                          <w:rFonts w:cs="Arial"/>
                          <w:b/>
                          <w:caps/>
                          <w:sz w:val="20"/>
                        </w:rPr>
                      </w:pPr>
                      <w:r>
                        <w:rPr>
                          <w:rFonts w:cs="Arial"/>
                          <w:b/>
                          <w:caps/>
                          <w:sz w:val="20"/>
                        </w:rPr>
                        <w:t>NW NATURAL</w:t>
                      </w:r>
                    </w:p>
                    <w:p w14:paraId="32874F67" w14:textId="0E14CF94" w:rsidR="00486919" w:rsidRPr="00972DD8" w:rsidRDefault="00486919" w:rsidP="00486919">
                      <w:pPr>
                        <w:rPr>
                          <w:rFonts w:cs="Arial"/>
                          <w:b/>
                          <w:caps/>
                          <w:sz w:val="20"/>
                        </w:rPr>
                      </w:pPr>
                      <w:r>
                        <w:rPr>
                          <w:rFonts w:cs="Arial"/>
                          <w:b/>
                          <w:caps/>
                          <w:sz w:val="20"/>
                        </w:rPr>
                        <w:t>April 2</w:t>
                      </w:r>
                      <w:r w:rsidR="002946B8">
                        <w:rPr>
                          <w:rFonts w:cs="Arial"/>
                          <w:b/>
                          <w:caps/>
                          <w:sz w:val="20"/>
                        </w:rPr>
                        <w:t>2</w:t>
                      </w:r>
                      <w:r>
                        <w:rPr>
                          <w:rFonts w:cs="Arial"/>
                          <w:b/>
                          <w:caps/>
                          <w:sz w:val="20"/>
                        </w:rPr>
                        <w:t>, 2016</w:t>
                      </w:r>
                    </w:p>
                    <w:p w14:paraId="0BFDECFA" w14:textId="77777777" w:rsidR="00486919" w:rsidRPr="00F27A2F" w:rsidRDefault="00486919" w:rsidP="00486919">
                      <w:pPr>
                        <w:rPr>
                          <w:rFonts w:cs="Arial"/>
                          <w:i/>
                          <w:sz w:val="21"/>
                          <w:szCs w:val="21"/>
                        </w:rPr>
                      </w:pPr>
                    </w:p>
                    <w:p w14:paraId="2778DC08" w14:textId="77777777" w:rsidR="00486919" w:rsidRDefault="00486919" w:rsidP="00486919">
                      <w:pPr>
                        <w:rPr>
                          <w:rFonts w:cs="Arial"/>
                          <w:szCs w:val="22"/>
                        </w:rPr>
                      </w:pPr>
                    </w:p>
                    <w:p w14:paraId="629DF4FF" w14:textId="77777777" w:rsidR="00486919" w:rsidRPr="00F27A2F" w:rsidRDefault="00486919" w:rsidP="00486919">
                      <w:pPr>
                        <w:rPr>
                          <w:rFonts w:cs="Arial"/>
                          <w:i/>
                          <w:sz w:val="21"/>
                          <w:szCs w:val="21"/>
                        </w:rPr>
                      </w:pPr>
                    </w:p>
                    <w:p w14:paraId="60CCCF86" w14:textId="77777777" w:rsidR="00486919" w:rsidRPr="00F27A2F" w:rsidRDefault="00486919" w:rsidP="00486919">
                      <w:pPr>
                        <w:rPr>
                          <w:rFonts w:cs="Arial"/>
                          <w:i/>
                          <w:sz w:val="21"/>
                          <w:szCs w:val="21"/>
                        </w:rPr>
                      </w:pPr>
                    </w:p>
                    <w:p w14:paraId="2C422F4F" w14:textId="77777777" w:rsidR="00486919" w:rsidRPr="00F27A2F" w:rsidRDefault="00486919" w:rsidP="00486919">
                      <w:pPr>
                        <w:rPr>
                          <w:rFonts w:cs="Arial"/>
                          <w:i/>
                          <w:sz w:val="21"/>
                          <w:szCs w:val="21"/>
                        </w:rPr>
                      </w:pPr>
                    </w:p>
                    <w:p w14:paraId="021DA532" w14:textId="77777777" w:rsidR="00486919" w:rsidRPr="00592DD0" w:rsidRDefault="00486919" w:rsidP="00486919">
                      <w:pPr>
                        <w:rPr>
                          <w:rFonts w:cs="Arial"/>
                          <w:sz w:val="40"/>
                          <w:szCs w:val="40"/>
                        </w:rPr>
                      </w:pPr>
                    </w:p>
                    <w:p w14:paraId="46572B2E" w14:textId="77777777" w:rsidR="00486919" w:rsidRPr="00F27A2F" w:rsidRDefault="00486919" w:rsidP="00486919">
                      <w:pPr>
                        <w:rPr>
                          <w:rFonts w:cs="Arial"/>
                          <w:i/>
                          <w:sz w:val="21"/>
                          <w:szCs w:val="21"/>
                        </w:rPr>
                      </w:pPr>
                    </w:p>
                    <w:p w14:paraId="19207083" w14:textId="77777777" w:rsidR="00486919" w:rsidRPr="00F27A2F" w:rsidRDefault="00486919" w:rsidP="00486919">
                      <w:pPr>
                        <w:rPr>
                          <w:rFonts w:cs="Arial"/>
                          <w:i/>
                          <w:sz w:val="21"/>
                          <w:szCs w:val="21"/>
                        </w:rPr>
                      </w:pPr>
                    </w:p>
                    <w:p w14:paraId="0C89122E" w14:textId="77777777" w:rsidR="00486919" w:rsidRPr="00F27A2F" w:rsidRDefault="00486919" w:rsidP="00486919">
                      <w:pPr>
                        <w:rPr>
                          <w:rFonts w:cs="Arial"/>
                          <w:i/>
                          <w:sz w:val="21"/>
                          <w:szCs w:val="21"/>
                        </w:rPr>
                      </w:pPr>
                    </w:p>
                    <w:p w14:paraId="018B3838" w14:textId="77777777" w:rsidR="00486919" w:rsidRPr="00F27A2F" w:rsidRDefault="00486919" w:rsidP="00486919">
                      <w:pPr>
                        <w:rPr>
                          <w:rFonts w:cs="Arial"/>
                          <w:sz w:val="21"/>
                          <w:szCs w:val="21"/>
                        </w:rPr>
                      </w:pPr>
                    </w:p>
                  </w:txbxContent>
                </v:textbox>
              </v:shape>
            </w:pict>
          </mc:Fallback>
        </mc:AlternateContent>
      </w:r>
      <w:r w:rsidRPr="009630AA">
        <w:rPr>
          <w:b/>
          <w:sz w:val="48"/>
          <w:szCs w:val="48"/>
        </w:rPr>
        <w:t>NW Natural Wa</w:t>
      </w:r>
      <w:r w:rsidR="002754AD">
        <w:rPr>
          <w:b/>
          <w:sz w:val="48"/>
          <w:szCs w:val="48"/>
        </w:rPr>
        <w:t>shington</w:t>
      </w:r>
    </w:p>
    <w:p w14:paraId="71BAA996" w14:textId="2AA8BAAA" w:rsidR="00A17EAC" w:rsidRPr="006C4C4F" w:rsidRDefault="00A17EAC" w:rsidP="00A17EAC">
      <w:pPr>
        <w:jc w:val="center"/>
        <w:rPr>
          <w:rFonts w:eastAsia="Calibri" w:cs="Arial"/>
          <w:b/>
          <w:sz w:val="28"/>
          <w:szCs w:val="28"/>
        </w:rPr>
      </w:pPr>
      <w:r>
        <w:rPr>
          <w:rFonts w:eastAsia="Calibri" w:cs="Arial"/>
          <w:b/>
          <w:sz w:val="28"/>
          <w:szCs w:val="28"/>
        </w:rPr>
        <w:lastRenderedPageBreak/>
        <w:t>W</w:t>
      </w:r>
      <w:r w:rsidRPr="006C4C4F">
        <w:rPr>
          <w:rFonts w:eastAsia="Calibri" w:cs="Arial"/>
          <w:b/>
          <w:sz w:val="28"/>
          <w:szCs w:val="28"/>
        </w:rPr>
        <w:t>ashington Energy Efficiency Program</w:t>
      </w:r>
    </w:p>
    <w:p w14:paraId="2108DEB9" w14:textId="66F91054" w:rsidR="00A17EAC" w:rsidRPr="006C4C4F" w:rsidRDefault="00A17EAC" w:rsidP="00A17EAC">
      <w:pPr>
        <w:jc w:val="center"/>
        <w:rPr>
          <w:rFonts w:eastAsia="Calibri" w:cs="Arial"/>
          <w:b/>
          <w:sz w:val="28"/>
          <w:szCs w:val="28"/>
        </w:rPr>
      </w:pPr>
      <w:r w:rsidRPr="006C4C4F">
        <w:rPr>
          <w:rFonts w:eastAsia="Calibri" w:cs="Arial"/>
          <w:b/>
          <w:sz w:val="28"/>
          <w:szCs w:val="28"/>
        </w:rPr>
        <w:t>201</w:t>
      </w:r>
      <w:r>
        <w:rPr>
          <w:rFonts w:eastAsia="Calibri" w:cs="Arial"/>
          <w:b/>
          <w:sz w:val="28"/>
          <w:szCs w:val="28"/>
        </w:rPr>
        <w:t>5</w:t>
      </w:r>
      <w:r w:rsidRPr="006C4C4F">
        <w:rPr>
          <w:rFonts w:eastAsia="Calibri" w:cs="Arial"/>
          <w:b/>
          <w:sz w:val="28"/>
          <w:szCs w:val="28"/>
        </w:rPr>
        <w:t xml:space="preserve"> </w:t>
      </w:r>
      <w:r>
        <w:rPr>
          <w:rFonts w:eastAsia="Calibri" w:cs="Arial"/>
          <w:b/>
          <w:sz w:val="28"/>
          <w:szCs w:val="28"/>
        </w:rPr>
        <w:t>Transactional Audit</w:t>
      </w:r>
      <w:r w:rsidRPr="006C4C4F">
        <w:rPr>
          <w:rFonts w:eastAsia="Calibri" w:cs="Arial"/>
          <w:b/>
          <w:sz w:val="28"/>
          <w:szCs w:val="28"/>
        </w:rPr>
        <w:t xml:space="preserve"> Results</w:t>
      </w:r>
    </w:p>
    <w:p w14:paraId="79D96A09" w14:textId="77777777" w:rsidR="00A17EAC" w:rsidRDefault="00A17EAC" w:rsidP="00486919">
      <w:pPr>
        <w:rPr>
          <w:rFonts w:cs="Arial"/>
          <w:sz w:val="20"/>
        </w:rPr>
      </w:pPr>
    </w:p>
    <w:p w14:paraId="477C425D" w14:textId="77777777" w:rsidR="00A17EAC" w:rsidRDefault="00A17EAC" w:rsidP="00486919">
      <w:pPr>
        <w:rPr>
          <w:rFonts w:cs="Arial"/>
          <w:sz w:val="20"/>
        </w:rPr>
      </w:pPr>
    </w:p>
    <w:p w14:paraId="254CF3EC" w14:textId="6A3C1821" w:rsidR="00486919" w:rsidRPr="00486919" w:rsidRDefault="00486919" w:rsidP="00486919">
      <w:pPr>
        <w:rPr>
          <w:rFonts w:cs="Arial"/>
          <w:sz w:val="20"/>
        </w:rPr>
      </w:pPr>
      <w:r w:rsidRPr="00486919">
        <w:rPr>
          <w:rFonts w:cs="Arial"/>
          <w:sz w:val="20"/>
        </w:rPr>
        <w:t>With the Washington Utilities and Transportation Commission (“WUTC”) review and approval of NW Natural’s (“NW Natural” or “Company”) request for amortization of 2013 energy efficiency program costs (Docket UG-143333), the Commission adopted the recommendation made by Commission Staff that NW Natural conduct a transactional audit of program costs relating to the Energy Trust of Oregon’s (“Energy Trust”) administration of the Company’s Washington energy efficiency programs.  NW Natural agreed to the following audit schedule:</w:t>
      </w:r>
    </w:p>
    <w:p w14:paraId="143670DD" w14:textId="77777777" w:rsidR="00486919" w:rsidRPr="00486919" w:rsidRDefault="00486919" w:rsidP="00486919">
      <w:pPr>
        <w:rPr>
          <w:rFonts w:cs="Arial"/>
          <w:sz w:val="20"/>
        </w:rPr>
      </w:pPr>
    </w:p>
    <w:p w14:paraId="079496BF" w14:textId="77777777" w:rsidR="00486919" w:rsidRPr="00486919" w:rsidRDefault="00486919" w:rsidP="00486919">
      <w:pPr>
        <w:pStyle w:val="ListParagraph"/>
        <w:numPr>
          <w:ilvl w:val="0"/>
          <w:numId w:val="31"/>
        </w:numPr>
        <w:rPr>
          <w:rFonts w:ascii="Arial" w:hAnsi="Arial" w:cs="Arial"/>
          <w:sz w:val="20"/>
          <w:szCs w:val="20"/>
        </w:rPr>
      </w:pPr>
      <w:r w:rsidRPr="00486919">
        <w:rPr>
          <w:rFonts w:ascii="Arial" w:hAnsi="Arial" w:cs="Arial"/>
          <w:sz w:val="20"/>
          <w:szCs w:val="20"/>
        </w:rPr>
        <w:t>By April 1 of each year, NW Natural will select a random sample of prior year program cost transactions from the Energy Trust.  The sample size will be based on the population of transactions.  A summary of the audit process and the Company’s findings or recommendations will be included in the April 25 Annual EE Report.</w:t>
      </w:r>
    </w:p>
    <w:p w14:paraId="6A67C34C" w14:textId="77777777" w:rsidR="00486919" w:rsidRPr="00486919" w:rsidRDefault="00486919" w:rsidP="00486919">
      <w:pPr>
        <w:pStyle w:val="ListParagraph"/>
        <w:rPr>
          <w:rFonts w:ascii="Arial" w:hAnsi="Arial" w:cs="Arial"/>
          <w:sz w:val="20"/>
          <w:szCs w:val="20"/>
        </w:rPr>
      </w:pPr>
    </w:p>
    <w:p w14:paraId="29BC375E" w14:textId="77777777" w:rsidR="00486919" w:rsidRPr="00486919" w:rsidRDefault="00486919" w:rsidP="00486919">
      <w:pPr>
        <w:pStyle w:val="ListParagraph"/>
        <w:numPr>
          <w:ilvl w:val="0"/>
          <w:numId w:val="31"/>
        </w:numPr>
        <w:rPr>
          <w:rFonts w:ascii="Arial" w:hAnsi="Arial" w:cs="Arial"/>
          <w:sz w:val="20"/>
          <w:szCs w:val="20"/>
        </w:rPr>
      </w:pPr>
      <w:r w:rsidRPr="00486919">
        <w:rPr>
          <w:rFonts w:ascii="Arial" w:hAnsi="Arial" w:cs="Arial"/>
          <w:sz w:val="20"/>
          <w:szCs w:val="20"/>
        </w:rPr>
        <w:t>By August 1 of each year, NW Natural will select a random sample of program cost transactions from the Energy Trust for the current year January through June 30 time period.  The sample size will be based on the population of transactions.  A summary of the audit process and the Company’s findings or recommendations will be included in the August 25</w:t>
      </w:r>
      <w:r w:rsidRPr="00486919">
        <w:rPr>
          <w:rFonts w:ascii="Arial" w:hAnsi="Arial" w:cs="Arial"/>
          <w:sz w:val="20"/>
          <w:szCs w:val="20"/>
          <w:vertAlign w:val="superscript"/>
        </w:rPr>
        <w:t>th</w:t>
      </w:r>
      <w:r w:rsidRPr="00486919">
        <w:rPr>
          <w:rFonts w:ascii="Arial" w:hAnsi="Arial" w:cs="Arial"/>
          <w:sz w:val="20"/>
          <w:szCs w:val="20"/>
        </w:rPr>
        <w:t xml:space="preserve"> second quarter EE Report.</w:t>
      </w:r>
    </w:p>
    <w:p w14:paraId="3046E545" w14:textId="77777777" w:rsidR="00486919" w:rsidRPr="00486919" w:rsidRDefault="00486919" w:rsidP="00486919">
      <w:pPr>
        <w:rPr>
          <w:rFonts w:cs="Arial"/>
          <w:sz w:val="20"/>
        </w:rPr>
      </w:pPr>
    </w:p>
    <w:p w14:paraId="706C1CAF" w14:textId="58294B18" w:rsidR="00486919" w:rsidRPr="00486919" w:rsidRDefault="00486919" w:rsidP="00486919">
      <w:pPr>
        <w:rPr>
          <w:rFonts w:cs="Arial"/>
          <w:sz w:val="20"/>
        </w:rPr>
      </w:pPr>
      <w:r w:rsidRPr="00486919">
        <w:rPr>
          <w:rFonts w:cs="Arial"/>
          <w:sz w:val="20"/>
        </w:rPr>
        <w:t>NW Natural’s Internal Audit Department (IA) has completed a review of the Energy Trust expenditures billed for 07/01/2015 – 12/31/2015.</w:t>
      </w:r>
    </w:p>
    <w:p w14:paraId="7E955D88" w14:textId="77777777" w:rsidR="00486919" w:rsidRPr="00486919" w:rsidRDefault="00486919" w:rsidP="00486919">
      <w:pPr>
        <w:rPr>
          <w:rFonts w:cs="Arial"/>
          <w:sz w:val="20"/>
        </w:rPr>
      </w:pPr>
    </w:p>
    <w:p w14:paraId="43322344" w14:textId="6FE2B68A" w:rsidR="00486919" w:rsidRPr="00486919" w:rsidRDefault="00486919" w:rsidP="00486919">
      <w:pPr>
        <w:rPr>
          <w:rFonts w:cs="Arial"/>
          <w:sz w:val="20"/>
        </w:rPr>
      </w:pPr>
      <w:r w:rsidRPr="00486919">
        <w:rPr>
          <w:rFonts w:cs="Arial"/>
          <w:sz w:val="20"/>
        </w:rPr>
        <w:t xml:space="preserve">The assessment consisted of a review of </w:t>
      </w:r>
      <w:r w:rsidR="00D9331C">
        <w:rPr>
          <w:rFonts w:cs="Arial"/>
          <w:sz w:val="20"/>
        </w:rPr>
        <w:t>Energy Trust</w:t>
      </w:r>
      <w:r w:rsidRPr="00486919">
        <w:rPr>
          <w:rFonts w:cs="Arial"/>
          <w:sz w:val="20"/>
        </w:rPr>
        <w:t xml:space="preserve">’s allocation and territory reporting policies, chart of accounts, and Report data relating to program effectiveness.  IA Management and Staff visited the </w:t>
      </w:r>
      <w:r w:rsidR="00D9331C">
        <w:rPr>
          <w:rFonts w:cs="Arial"/>
          <w:sz w:val="20"/>
        </w:rPr>
        <w:t xml:space="preserve">Energy Trust </w:t>
      </w:r>
      <w:r w:rsidRPr="00486919">
        <w:rPr>
          <w:rFonts w:cs="Arial"/>
          <w:sz w:val="20"/>
        </w:rPr>
        <w:t xml:space="preserve">Offices and met with employees.  Additionally, IA obtained the 2015 Financial Statements audited by Moss Adams noting an unqualified opinion, which included a limited review of the internal controls environment as it related to financial reporting. </w:t>
      </w:r>
    </w:p>
    <w:p w14:paraId="757FC117" w14:textId="77777777" w:rsidR="00486919" w:rsidRPr="00486919" w:rsidRDefault="00486919" w:rsidP="00486919">
      <w:pPr>
        <w:rPr>
          <w:rFonts w:cs="Arial"/>
          <w:sz w:val="20"/>
        </w:rPr>
      </w:pPr>
    </w:p>
    <w:p w14:paraId="411F83F2" w14:textId="77777777" w:rsidR="00486919" w:rsidRPr="00486919" w:rsidRDefault="00486919" w:rsidP="00486919">
      <w:pPr>
        <w:rPr>
          <w:rFonts w:cs="Arial"/>
          <w:sz w:val="20"/>
        </w:rPr>
      </w:pPr>
      <w:r w:rsidRPr="00486919">
        <w:rPr>
          <w:rFonts w:cs="Arial"/>
          <w:sz w:val="20"/>
        </w:rPr>
        <w:t xml:space="preserve">Utilizing a statistical sampling model a representative sample of 40 (based on 85% confidence level and a 10% margin of error) transactions were selected for detail review.  </w:t>
      </w:r>
    </w:p>
    <w:p w14:paraId="7115A6AA" w14:textId="77777777" w:rsidR="00486919" w:rsidRPr="00486919" w:rsidRDefault="00486919" w:rsidP="00486919">
      <w:pPr>
        <w:rPr>
          <w:rFonts w:cs="Arial"/>
          <w:sz w:val="20"/>
        </w:rPr>
      </w:pPr>
    </w:p>
    <w:p w14:paraId="66A7BA19" w14:textId="0782202B" w:rsidR="00486919" w:rsidRPr="00486919" w:rsidRDefault="00486919" w:rsidP="00486919">
      <w:pPr>
        <w:rPr>
          <w:rFonts w:cs="Arial"/>
          <w:sz w:val="20"/>
        </w:rPr>
      </w:pPr>
      <w:r w:rsidRPr="00486919">
        <w:rPr>
          <w:rFonts w:cs="Arial"/>
          <w:sz w:val="20"/>
        </w:rPr>
        <w:t>For selected transactions IA verified balances were correctly captured within the proper period, transactions were appropriately classified and coded to NW Natural territories, allocations were completed per E</w:t>
      </w:r>
      <w:r w:rsidR="00D9331C">
        <w:rPr>
          <w:rFonts w:cs="Arial"/>
          <w:sz w:val="20"/>
        </w:rPr>
        <w:t>nergy Trust</w:t>
      </w:r>
      <w:r w:rsidRPr="00486919">
        <w:rPr>
          <w:rFonts w:cs="Arial"/>
          <w:sz w:val="20"/>
        </w:rPr>
        <w:t xml:space="preserve"> policy and were related to NW Natural specific programs and territories, incentive details were properly captured, and management and program expenses appeared appropriate. Lastly, IA verified that programs captured within the detail testing were included within the last available report (Q3’ 2015) and reviewed for program effectiveness.</w:t>
      </w:r>
    </w:p>
    <w:p w14:paraId="4B9B31F7" w14:textId="77777777" w:rsidR="00486919" w:rsidRPr="00486919" w:rsidRDefault="00486919" w:rsidP="00486919">
      <w:pPr>
        <w:rPr>
          <w:rFonts w:cs="Arial"/>
          <w:sz w:val="20"/>
        </w:rPr>
      </w:pPr>
    </w:p>
    <w:p w14:paraId="1BD8A541" w14:textId="77777777" w:rsidR="00486919" w:rsidRPr="00486919" w:rsidRDefault="00486919" w:rsidP="00486919">
      <w:pPr>
        <w:rPr>
          <w:rFonts w:cs="Arial"/>
          <w:sz w:val="20"/>
        </w:rPr>
      </w:pPr>
      <w:r w:rsidRPr="00486919">
        <w:rPr>
          <w:rFonts w:cs="Arial"/>
          <w:sz w:val="20"/>
        </w:rPr>
        <w:t>IA noted no issues as a result of the review.  All expenditures reviewed appear to be appropriate.</w:t>
      </w:r>
    </w:p>
    <w:p w14:paraId="79CE3E76" w14:textId="0E886153" w:rsidR="00F530C2" w:rsidRDefault="00F530C2" w:rsidP="009630AA">
      <w:pPr>
        <w:spacing w:line="300" w:lineRule="auto"/>
        <w:outlineLvl w:val="0"/>
        <w:rPr>
          <w:b/>
        </w:rPr>
      </w:pPr>
    </w:p>
    <w:p w14:paraId="470043C6" w14:textId="57197FE8" w:rsidR="002754AD" w:rsidRDefault="002754AD" w:rsidP="009630AA">
      <w:pPr>
        <w:spacing w:line="300" w:lineRule="auto"/>
        <w:outlineLvl w:val="0"/>
        <w:rPr>
          <w:b/>
        </w:rPr>
      </w:pPr>
    </w:p>
    <w:p w14:paraId="4316A735" w14:textId="77777777" w:rsidR="002754AD" w:rsidRDefault="002754AD" w:rsidP="009630AA">
      <w:pPr>
        <w:spacing w:line="300" w:lineRule="auto"/>
        <w:outlineLvl w:val="0"/>
        <w:rPr>
          <w:b/>
        </w:rPr>
      </w:pPr>
    </w:p>
    <w:p w14:paraId="6DEF95A1" w14:textId="77777777" w:rsidR="002754AD" w:rsidRDefault="002754AD" w:rsidP="009630AA">
      <w:pPr>
        <w:spacing w:line="300" w:lineRule="auto"/>
        <w:outlineLvl w:val="0"/>
        <w:rPr>
          <w:b/>
        </w:rPr>
      </w:pPr>
    </w:p>
    <w:p w14:paraId="2D7930E1" w14:textId="77777777" w:rsidR="002754AD" w:rsidRDefault="002754AD" w:rsidP="009630AA">
      <w:pPr>
        <w:spacing w:line="300" w:lineRule="auto"/>
        <w:outlineLvl w:val="0"/>
        <w:rPr>
          <w:b/>
        </w:rPr>
      </w:pPr>
    </w:p>
    <w:p w14:paraId="0E65DE00" w14:textId="20C117CE" w:rsidR="002754AD" w:rsidRDefault="002754AD" w:rsidP="009630AA">
      <w:pPr>
        <w:spacing w:line="300" w:lineRule="auto"/>
        <w:outlineLvl w:val="0"/>
        <w:rPr>
          <w:b/>
        </w:rPr>
      </w:pPr>
    </w:p>
    <w:p w14:paraId="4887BBE0" w14:textId="3DFFBDC3" w:rsidR="002754AD" w:rsidRDefault="002754AD" w:rsidP="009630AA">
      <w:pPr>
        <w:spacing w:line="300" w:lineRule="auto"/>
        <w:outlineLvl w:val="0"/>
        <w:rPr>
          <w:b/>
        </w:rPr>
      </w:pPr>
    </w:p>
    <w:p w14:paraId="5AF31B15" w14:textId="7DBA117D" w:rsidR="002754AD" w:rsidRDefault="002754AD" w:rsidP="009630AA">
      <w:pPr>
        <w:spacing w:line="300" w:lineRule="auto"/>
        <w:outlineLvl w:val="0"/>
        <w:rPr>
          <w:b/>
        </w:rPr>
      </w:pPr>
    </w:p>
    <w:p w14:paraId="54F31627" w14:textId="57E6AD02" w:rsidR="002754AD" w:rsidRDefault="002754AD" w:rsidP="009630AA">
      <w:pPr>
        <w:spacing w:line="300" w:lineRule="auto"/>
        <w:outlineLvl w:val="0"/>
        <w:rPr>
          <w:b/>
        </w:rPr>
      </w:pPr>
      <w:r>
        <w:rPr>
          <w:b/>
          <w:noProof/>
        </w:rPr>
        <mc:AlternateContent>
          <mc:Choice Requires="wps">
            <w:drawing>
              <wp:anchor distT="0" distB="0" distL="114300" distR="114300" simplePos="0" relativeHeight="251677698" behindDoc="0" locked="0" layoutInCell="1" allowOverlap="1" wp14:anchorId="4787BA98" wp14:editId="7DE8752C">
                <wp:simplePos x="0" y="0"/>
                <wp:positionH relativeFrom="column">
                  <wp:posOffset>2796540</wp:posOffset>
                </wp:positionH>
                <wp:positionV relativeFrom="paragraph">
                  <wp:posOffset>496570</wp:posOffset>
                </wp:positionV>
                <wp:extent cx="358140" cy="2743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5814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1D493" w14:textId="77777777" w:rsidR="002754AD" w:rsidRPr="00A17EAC" w:rsidRDefault="002754AD" w:rsidP="002754AD">
                            <w:pPr>
                              <w:spacing w:line="300" w:lineRule="auto"/>
                              <w:jc w:val="center"/>
                              <w:outlineLvl w:val="0"/>
                              <w:rPr>
                                <w:color w:val="808080" w:themeColor="background1" w:themeShade="80"/>
                              </w:rPr>
                            </w:pPr>
                            <w:r w:rsidRPr="00A17EAC">
                              <w:rPr>
                                <w:color w:val="808080" w:themeColor="background1" w:themeShade="80"/>
                              </w:rPr>
                              <w:t>19</w:t>
                            </w:r>
                          </w:p>
                          <w:p w14:paraId="5A299616" w14:textId="77777777" w:rsidR="002754AD" w:rsidRPr="00A17EAC" w:rsidRDefault="002754AD">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0" type="#_x0000_t202" style="position:absolute;margin-left:220.2pt;margin-top:39.1pt;width:28.2pt;height:21.6pt;z-index:2516776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" fillcolor="white [3201]" stroked="f" strokeweight=".5pt">
                <v:textbox>
                  <w:txbxContent>
                    <w:p w14:paraId="0231D493" w14:textId="77777777" w:rsidR="002754AD" w:rsidRPr="00A17EAC" w:rsidRDefault="002754AD" w:rsidP="002754AD">
                      <w:pPr>
                        <w:spacing w:line="300" w:lineRule="auto"/>
                        <w:jc w:val="center"/>
                        <w:outlineLvl w:val="0"/>
                        <w:rPr>
                          <w:color w:val="808080" w:themeColor="background1" w:themeShade="80"/>
                        </w:rPr>
                      </w:pPr>
                      <w:r w:rsidRPr="00A17EAC">
                        <w:rPr>
                          <w:color w:val="808080" w:themeColor="background1" w:themeShade="80"/>
                        </w:rPr>
                        <w:t>19</w:t>
                      </w:r>
                    </w:p>
                    <w:p w14:paraId="5A299616" w14:textId="77777777" w:rsidR="002754AD" w:rsidRPr="00A17EAC" w:rsidRDefault="002754AD">
                      <w:pPr>
                        <w:rPr>
                          <w:color w:val="808080" w:themeColor="background1" w:themeShade="80"/>
                        </w:rPr>
                      </w:pPr>
                    </w:p>
                  </w:txbxContent>
                </v:textbox>
              </v:shape>
            </w:pict>
          </mc:Fallback>
        </mc:AlternateContent>
      </w:r>
    </w:p>
    <w:sectPr w:rsidR="002754AD" w:rsidSect="008724C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44F20" w14:textId="77777777" w:rsidR="00BC498B" w:rsidRDefault="00BC498B" w:rsidP="003114A3">
      <w:r>
        <w:separator/>
      </w:r>
    </w:p>
  </w:endnote>
  <w:endnote w:type="continuationSeparator" w:id="0">
    <w:p w14:paraId="448EE541" w14:textId="77777777" w:rsidR="00BC498B" w:rsidRDefault="00BC498B" w:rsidP="003114A3">
      <w:r>
        <w:continuationSeparator/>
      </w:r>
    </w:p>
  </w:endnote>
  <w:endnote w:type="continuationNotice" w:id="1">
    <w:p w14:paraId="7D727F9E" w14:textId="77777777" w:rsidR="00BC498B" w:rsidRDefault="00BC4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52365"/>
      <w:docPartObj>
        <w:docPartGallery w:val="Page Numbers (Bottom of Page)"/>
        <w:docPartUnique/>
      </w:docPartObj>
    </w:sdtPr>
    <w:sdtEndPr>
      <w:rPr>
        <w:noProof/>
      </w:rPr>
    </w:sdtEndPr>
    <w:sdtContent>
      <w:p w14:paraId="015F87C2" w14:textId="77777777" w:rsidR="0095404A" w:rsidRDefault="0095404A">
        <w:pPr>
          <w:pStyle w:val="Footer"/>
          <w:jc w:val="center"/>
        </w:pPr>
        <w:r>
          <w:fldChar w:fldCharType="begin"/>
        </w:r>
        <w:r>
          <w:instrText xml:space="preserve"> PAGE   \* MERGEFORMAT </w:instrText>
        </w:r>
        <w:r>
          <w:fldChar w:fldCharType="separate"/>
        </w:r>
        <w:r w:rsidR="005C6C0F">
          <w:rPr>
            <w:noProof/>
          </w:rPr>
          <w:t>12</w:t>
        </w:r>
        <w:r>
          <w:rPr>
            <w:noProof/>
          </w:rPr>
          <w:fldChar w:fldCharType="end"/>
        </w:r>
      </w:p>
    </w:sdtContent>
  </w:sdt>
  <w:p w14:paraId="015F87C3" w14:textId="77777777" w:rsidR="0095404A" w:rsidRDefault="009540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619B7" w14:textId="2BD6F05B" w:rsidR="008A4ADB" w:rsidRDefault="008A4ADB" w:rsidP="008A4ADB">
    <w:pPr>
      <w:pStyle w:val="Footer"/>
      <w:jc w:val="center"/>
    </w:pPr>
  </w:p>
  <w:p w14:paraId="686B5C52" w14:textId="33667FEF" w:rsidR="00D60764" w:rsidRDefault="00D60764" w:rsidP="00D60764">
    <w:pPr>
      <w:pStyle w:val="Footer"/>
      <w:jc w:val="center"/>
      <w:rPr>
        <w:noProof/>
      </w:rPr>
    </w:pPr>
  </w:p>
  <w:p w14:paraId="0BBCBEB7" w14:textId="6D24FD24" w:rsidR="00D44A04" w:rsidRDefault="00D44A04" w:rsidP="00D44A04">
    <w:pPr>
      <w:pStyle w:val="Footer"/>
      <w:jc w:val="center"/>
      <w:rPr>
        <w:noProof/>
      </w:rPr>
    </w:pPr>
  </w:p>
  <w:p w14:paraId="2E36ABE8" w14:textId="77777777" w:rsidR="00D44A04" w:rsidRDefault="00D44A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304944"/>
      <w:docPartObj>
        <w:docPartGallery w:val="Page Numbers (Bottom of Page)"/>
        <w:docPartUnique/>
      </w:docPartObj>
    </w:sdtPr>
    <w:sdtEndPr>
      <w:rPr>
        <w:noProof/>
      </w:rPr>
    </w:sdtEndPr>
    <w:sdtContent>
      <w:p w14:paraId="741BE1DE" w14:textId="77777777" w:rsidR="00D60764" w:rsidRDefault="00D60764" w:rsidP="00D60764">
        <w:pPr>
          <w:pStyle w:val="Footer"/>
          <w:jc w:val="center"/>
          <w:rPr>
            <w:noProof/>
          </w:rPr>
        </w:pPr>
        <w:r>
          <w:fldChar w:fldCharType="begin"/>
        </w:r>
        <w:r>
          <w:instrText xml:space="preserve"> PAGE   \* MERGEFORMAT </w:instrText>
        </w:r>
        <w:r>
          <w:fldChar w:fldCharType="separate"/>
        </w:r>
        <w:r w:rsidR="005C6C0F">
          <w:rPr>
            <w:noProof/>
          </w:rPr>
          <w:t>17</w:t>
        </w:r>
        <w:r>
          <w:rPr>
            <w:noProof/>
          </w:rPr>
          <w:fldChar w:fldCharType="end"/>
        </w:r>
      </w:p>
    </w:sdtContent>
  </w:sdt>
  <w:p w14:paraId="7B384490" w14:textId="6CB8DD60" w:rsidR="00F530C2" w:rsidRDefault="00F530C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77517" w14:textId="77777777" w:rsidR="00BC498B" w:rsidRDefault="00BC498B" w:rsidP="003114A3">
      <w:r>
        <w:separator/>
      </w:r>
    </w:p>
  </w:footnote>
  <w:footnote w:type="continuationSeparator" w:id="0">
    <w:p w14:paraId="0553BE70" w14:textId="77777777" w:rsidR="00BC498B" w:rsidRDefault="00BC498B" w:rsidP="003114A3">
      <w:r>
        <w:continuationSeparator/>
      </w:r>
    </w:p>
  </w:footnote>
  <w:footnote w:type="continuationNotice" w:id="1">
    <w:p w14:paraId="18CFDB97" w14:textId="77777777" w:rsidR="00BC498B" w:rsidRDefault="00BC498B"/>
  </w:footnote>
  <w:footnote w:id="2">
    <w:p w14:paraId="05157C45" w14:textId="3A985116" w:rsidR="0095404A" w:rsidRPr="00D45889" w:rsidRDefault="0095404A">
      <w:pPr>
        <w:pStyle w:val="FootnoteText"/>
        <w:rPr>
          <w:rFonts w:ascii="Arial" w:hAnsi="Arial" w:cs="Arial"/>
          <w:sz w:val="16"/>
          <w:szCs w:val="16"/>
        </w:rPr>
      </w:pPr>
      <w:r w:rsidRPr="00D45889">
        <w:rPr>
          <w:rStyle w:val="FootnoteReference"/>
          <w:rFonts w:ascii="Arial" w:hAnsi="Arial" w:cs="Arial"/>
          <w:sz w:val="16"/>
          <w:szCs w:val="16"/>
        </w:rPr>
        <w:footnoteRef/>
      </w:r>
      <w:r w:rsidRPr="00D45889">
        <w:rPr>
          <w:rFonts w:ascii="Arial" w:hAnsi="Arial" w:cs="Arial"/>
          <w:sz w:val="16"/>
          <w:szCs w:val="16"/>
        </w:rPr>
        <w:t xml:space="preserve"> </w:t>
      </w:r>
      <w:proofErr w:type="gramStart"/>
      <w:r w:rsidRPr="00D45889">
        <w:rPr>
          <w:rFonts w:ascii="Arial" w:hAnsi="Arial" w:cs="Arial"/>
          <w:sz w:val="16"/>
          <w:szCs w:val="16"/>
        </w:rPr>
        <w:t>Achievement of metrics were</w:t>
      </w:r>
      <w:proofErr w:type="gramEnd"/>
      <w:r w:rsidRPr="00D45889">
        <w:rPr>
          <w:rFonts w:ascii="Arial" w:hAnsi="Arial" w:cs="Arial"/>
          <w:sz w:val="16"/>
          <w:szCs w:val="16"/>
        </w:rPr>
        <w:t xml:space="preserve"> calculated excluding spending on Northwest Energy Efficiency Alliance gas efforts in Washington</w:t>
      </w:r>
      <w:r>
        <w:rPr>
          <w:rFonts w:ascii="Arial" w:hAnsi="Arial" w:cs="Arial"/>
          <w:sz w:val="16"/>
          <w:szCs w:val="16"/>
        </w:rPr>
        <w:t>.</w:t>
      </w:r>
      <w:r w:rsidRPr="00D45889">
        <w:rPr>
          <w:rFonts w:ascii="Arial" w:hAnsi="Arial" w:cs="Arial"/>
          <w:sz w:val="16"/>
          <w:szCs w:val="16"/>
        </w:rPr>
        <w:t xml:space="preserve"> </w:t>
      </w:r>
    </w:p>
  </w:footnote>
  <w:footnote w:id="3">
    <w:p w14:paraId="7A1BC086" w14:textId="2414F82A" w:rsidR="0095404A" w:rsidRPr="00D45889" w:rsidRDefault="0095404A" w:rsidP="00D45889">
      <w:pPr>
        <w:spacing w:line="300" w:lineRule="auto"/>
        <w:outlineLvl w:val="0"/>
        <w:rPr>
          <w:rFonts w:cs="Arial"/>
          <w:iCs/>
          <w:sz w:val="16"/>
          <w:szCs w:val="16"/>
        </w:rPr>
      </w:pPr>
      <w:r w:rsidRPr="00D45889">
        <w:rPr>
          <w:rStyle w:val="FootnoteReference"/>
          <w:sz w:val="16"/>
          <w:szCs w:val="16"/>
        </w:rPr>
        <w:footnoteRef/>
      </w:r>
      <w:r w:rsidRPr="00D45889">
        <w:rPr>
          <w:sz w:val="16"/>
          <w:szCs w:val="16"/>
        </w:rPr>
        <w:t xml:space="preserve"> </w:t>
      </w:r>
      <w:r w:rsidRPr="00D45889">
        <w:rPr>
          <w:rFonts w:cs="Arial"/>
          <w:iCs/>
          <w:sz w:val="16"/>
          <w:szCs w:val="16"/>
        </w:rPr>
        <w:t xml:space="preserve">While Energy Trust is required to report the Total Resource Cost benefit cost ratio, it is not included as a performance metric for utility costs at the portfolio level. </w:t>
      </w:r>
    </w:p>
    <w:p w14:paraId="09FB278C" w14:textId="53C44BC8" w:rsidR="0095404A" w:rsidRDefault="0095404A">
      <w:pPr>
        <w:pStyle w:val="FootnoteText"/>
      </w:pPr>
    </w:p>
  </w:footnote>
  <w:footnote w:id="4">
    <w:p w14:paraId="5F84B558" w14:textId="77777777" w:rsidR="00D44A04" w:rsidRDefault="00D44A04" w:rsidP="00D44A04">
      <w:pPr>
        <w:pStyle w:val="FootnoteText"/>
      </w:pPr>
      <w:r>
        <w:rPr>
          <w:rStyle w:val="FootnoteReference"/>
        </w:rPr>
        <w:footnoteRef/>
      </w:r>
      <w:r>
        <w:t xml:space="preserve"> Note, reimbursed costs do not reflect total County cost for home weatherization and repairs – only a portion is paid through WALIEE.</w:t>
      </w:r>
    </w:p>
  </w:footnote>
  <w:footnote w:id="5">
    <w:p w14:paraId="4C1C04EF" w14:textId="69F62076" w:rsidR="00D44A04" w:rsidRDefault="00D44A04" w:rsidP="00D44A04">
      <w:pPr>
        <w:pStyle w:val="FootnoteText"/>
      </w:pPr>
      <w:r>
        <w:rPr>
          <w:rStyle w:val="FootnoteReference"/>
        </w:rPr>
        <w:footnoteRef/>
      </w:r>
      <w:r>
        <w:t xml:space="preserve"> An impact evaluation has not been conducted on these homes so the actual per </w:t>
      </w:r>
      <w:proofErr w:type="spellStart"/>
      <w:r>
        <w:t>therm</w:t>
      </w:r>
      <w:proofErr w:type="spellEnd"/>
      <w:r>
        <w:t xml:space="preserve"> savings has not been verified.  The </w:t>
      </w:r>
      <w:proofErr w:type="spellStart"/>
      <w:r>
        <w:t>therm</w:t>
      </w:r>
      <w:proofErr w:type="spellEnd"/>
      <w:r>
        <w:t xml:space="preserve"> estimates are based on modeling software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F87C0" w14:textId="3FA91E90" w:rsidR="0095404A" w:rsidRPr="00665497" w:rsidRDefault="0095404A" w:rsidP="003114A3">
    <w:pPr>
      <w:pStyle w:val="Header"/>
      <w:pBdr>
        <w:bottom w:val="single" w:sz="4" w:space="0" w:color="auto"/>
      </w:pBdr>
      <w:rPr>
        <w:rFonts w:cs="Arial"/>
        <w:sz w:val="20"/>
      </w:rPr>
    </w:pPr>
    <w:r>
      <w:rPr>
        <w:rFonts w:cs="Arial"/>
        <w:sz w:val="20"/>
      </w:rPr>
      <w:t>2015 Annual</w:t>
    </w:r>
    <w:r w:rsidRPr="00665497">
      <w:rPr>
        <w:rFonts w:cs="Arial"/>
        <w:sz w:val="20"/>
      </w:rPr>
      <w:t xml:space="preserve"> </w:t>
    </w:r>
    <w:r>
      <w:rPr>
        <w:rFonts w:cs="Arial"/>
        <w:sz w:val="20"/>
      </w:rPr>
      <w:t>Report to the Washington Utilities and Transportation Commission</w:t>
    </w:r>
    <w:r w:rsidRPr="00665497">
      <w:rPr>
        <w:rFonts w:cs="Arial"/>
        <w:sz w:val="20"/>
      </w:rPr>
      <w:tab/>
    </w:r>
    <w:r>
      <w:rPr>
        <w:rFonts w:cs="Arial"/>
        <w:sz w:val="20"/>
      </w:rPr>
      <w:t xml:space="preserve">April </w:t>
    </w:r>
    <w:r w:rsidR="00792399">
      <w:rPr>
        <w:rFonts w:cs="Arial"/>
        <w:sz w:val="20"/>
      </w:rPr>
      <w:t>2</w:t>
    </w:r>
    <w:r w:rsidR="00766D06">
      <w:rPr>
        <w:rFonts w:cs="Arial"/>
        <w:sz w:val="20"/>
      </w:rPr>
      <w:t>2</w:t>
    </w:r>
    <w:r>
      <w:rPr>
        <w:rFonts w:cs="Arial"/>
        <w:sz w:val="20"/>
      </w:rPr>
      <w:t>, 2016</w:t>
    </w:r>
  </w:p>
  <w:p w14:paraId="015F87C1" w14:textId="77777777" w:rsidR="0095404A" w:rsidRDefault="00954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A5D9" w14:textId="151B7443" w:rsidR="00D60764" w:rsidRDefault="00D60764" w:rsidP="00D60764">
    <w:pPr>
      <w:pStyle w:val="Footer"/>
      <w:jc w:val="center"/>
      <w:rPr>
        <w:noProof/>
      </w:rPr>
    </w:pPr>
  </w:p>
  <w:p w14:paraId="4D527827" w14:textId="67094065" w:rsidR="00D60764" w:rsidRDefault="00D60764" w:rsidP="00D60764">
    <w:pPr>
      <w:tabs>
        <w:tab w:val="center" w:pos="4680"/>
        <w:tab w:val="right" w:pos="936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AD79" w14:textId="77777777" w:rsidR="009E70CC" w:rsidRPr="00665497" w:rsidRDefault="009E70CC" w:rsidP="009E70CC">
    <w:pPr>
      <w:pStyle w:val="Header"/>
      <w:pBdr>
        <w:bottom w:val="single" w:sz="4" w:space="0" w:color="auto"/>
      </w:pBdr>
      <w:rPr>
        <w:rFonts w:cs="Arial"/>
        <w:sz w:val="20"/>
      </w:rPr>
    </w:pPr>
    <w:r>
      <w:rPr>
        <w:rFonts w:cs="Arial"/>
        <w:sz w:val="20"/>
      </w:rPr>
      <w:t>2015 Annual</w:t>
    </w:r>
    <w:r w:rsidRPr="00665497">
      <w:rPr>
        <w:rFonts w:cs="Arial"/>
        <w:sz w:val="20"/>
      </w:rPr>
      <w:t xml:space="preserve"> </w:t>
    </w:r>
    <w:r>
      <w:rPr>
        <w:rFonts w:cs="Arial"/>
        <w:sz w:val="20"/>
      </w:rPr>
      <w:t>Report to the Washington Utilities and Transportation Commission</w:t>
    </w:r>
    <w:r w:rsidRPr="00665497">
      <w:rPr>
        <w:rFonts w:cs="Arial"/>
        <w:sz w:val="20"/>
      </w:rPr>
      <w:tab/>
    </w:r>
    <w:r>
      <w:rPr>
        <w:rFonts w:cs="Arial"/>
        <w:sz w:val="20"/>
      </w:rPr>
      <w:t>April 22, 2016</w:t>
    </w:r>
  </w:p>
  <w:p w14:paraId="4E0D3C30" w14:textId="353DF48E" w:rsidR="00F530C2" w:rsidRPr="008A33CE" w:rsidRDefault="00F530C2" w:rsidP="008A3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C14"/>
    <w:multiLevelType w:val="hybridMultilevel"/>
    <w:tmpl w:val="D854A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BE431D"/>
    <w:multiLevelType w:val="hybridMultilevel"/>
    <w:tmpl w:val="02E4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E3085E"/>
    <w:multiLevelType w:val="hybridMultilevel"/>
    <w:tmpl w:val="60DE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24B0B"/>
    <w:multiLevelType w:val="hybridMultilevel"/>
    <w:tmpl w:val="9EE2E64E"/>
    <w:lvl w:ilvl="0" w:tplc="A6F0B626">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CA356CE"/>
    <w:multiLevelType w:val="hybridMultilevel"/>
    <w:tmpl w:val="C3B2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B5545"/>
    <w:multiLevelType w:val="hybridMultilevel"/>
    <w:tmpl w:val="ADBEDBCE"/>
    <w:lvl w:ilvl="0" w:tplc="9956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A5D56"/>
    <w:multiLevelType w:val="hybridMultilevel"/>
    <w:tmpl w:val="F6E41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6A0829"/>
    <w:multiLevelType w:val="hybridMultilevel"/>
    <w:tmpl w:val="C3F4DA9C"/>
    <w:lvl w:ilvl="0" w:tplc="6BE46F2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DF05E3"/>
    <w:multiLevelType w:val="hybridMultilevel"/>
    <w:tmpl w:val="BB88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24500"/>
    <w:multiLevelType w:val="hybridMultilevel"/>
    <w:tmpl w:val="7CE4D9AA"/>
    <w:lvl w:ilvl="0" w:tplc="B568DA2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F6181"/>
    <w:multiLevelType w:val="hybridMultilevel"/>
    <w:tmpl w:val="C436DB9C"/>
    <w:lvl w:ilvl="0" w:tplc="396C35DC">
      <w:start w:val="1"/>
      <w:numFmt w:val="bullet"/>
      <w:lvlText w:val=""/>
      <w:lvlJc w:val="left"/>
      <w:pPr>
        <w:ind w:left="720" w:hanging="360"/>
      </w:pPr>
      <w:rPr>
        <w:rFonts w:ascii="Symbol" w:hAnsi="Symbol" w:hint="default"/>
        <w:color w:val="auto"/>
      </w:rPr>
    </w:lvl>
    <w:lvl w:ilvl="1" w:tplc="85580688">
      <w:numFmt w:val="bullet"/>
      <w:lvlText w:val="•"/>
      <w:lvlJc w:val="left"/>
      <w:pPr>
        <w:ind w:left="1800" w:hanging="720"/>
      </w:pPr>
      <w:rPr>
        <w:rFonts w:ascii="Arial" w:eastAsia="Time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00E08"/>
    <w:multiLevelType w:val="hybridMultilevel"/>
    <w:tmpl w:val="1488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9937436"/>
    <w:multiLevelType w:val="hybridMultilevel"/>
    <w:tmpl w:val="357C476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85F90"/>
    <w:multiLevelType w:val="hybridMultilevel"/>
    <w:tmpl w:val="A77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E732C"/>
    <w:multiLevelType w:val="hybridMultilevel"/>
    <w:tmpl w:val="3DF0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D6454"/>
    <w:multiLevelType w:val="hybridMultilevel"/>
    <w:tmpl w:val="ECF415C6"/>
    <w:lvl w:ilvl="0" w:tplc="AEF44144">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CA63EE0"/>
    <w:multiLevelType w:val="hybridMultilevel"/>
    <w:tmpl w:val="F3021D0E"/>
    <w:lvl w:ilvl="0" w:tplc="4F40C7B2">
      <w:start w:val="1"/>
      <w:numFmt w:val="bullet"/>
      <w:lvlText w:val=""/>
      <w:lvlJc w:val="left"/>
      <w:pPr>
        <w:tabs>
          <w:tab w:val="num" w:pos="720"/>
        </w:tabs>
        <w:ind w:left="720" w:hanging="360"/>
      </w:pPr>
      <w:rPr>
        <w:rFonts w:ascii="Symbol" w:hAnsi="Symbol" w:hint="default"/>
        <w:sz w:val="22"/>
        <w:szCs w:val="22"/>
      </w:rPr>
    </w:lvl>
    <w:lvl w:ilvl="1" w:tplc="F7E47B8E">
      <w:start w:val="1"/>
      <w:numFmt w:val="bullet"/>
      <w:lvlText w:val=""/>
      <w:lvlJc w:val="left"/>
      <w:pPr>
        <w:tabs>
          <w:tab w:val="num" w:pos="1260"/>
        </w:tabs>
        <w:ind w:left="1260" w:hanging="18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3950A0"/>
    <w:multiLevelType w:val="hybridMultilevel"/>
    <w:tmpl w:val="955E9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AA0CB6"/>
    <w:multiLevelType w:val="hybridMultilevel"/>
    <w:tmpl w:val="90F6D162"/>
    <w:lvl w:ilvl="0" w:tplc="85580688">
      <w:numFmt w:val="bullet"/>
      <w:lvlText w:val="•"/>
      <w:lvlJc w:val="left"/>
      <w:pPr>
        <w:ind w:left="720" w:hanging="360"/>
      </w:pPr>
      <w:rPr>
        <w:rFonts w:ascii="Arial" w:eastAsia="Times"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372D1"/>
    <w:multiLevelType w:val="hybridMultilevel"/>
    <w:tmpl w:val="19DA0FC0"/>
    <w:lvl w:ilvl="0" w:tplc="95322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490034"/>
    <w:multiLevelType w:val="hybridMultilevel"/>
    <w:tmpl w:val="CDF24340"/>
    <w:lvl w:ilvl="0" w:tplc="FA505D80">
      <w:start w:val="1"/>
      <w:numFmt w:val="bullet"/>
      <w:lvlText w:val="•"/>
      <w:lvlJc w:val="left"/>
      <w:pPr>
        <w:ind w:left="1350" w:hanging="360"/>
      </w:pPr>
      <w:rPr>
        <w:rFonts w:ascii="Arial" w:hAnsi="Arial" w:hint="default"/>
        <w:b/>
      </w:rPr>
    </w:lvl>
    <w:lvl w:ilvl="1" w:tplc="04090001">
      <w:start w:val="1"/>
      <w:numFmt w:val="bullet"/>
      <w:lvlText w:val=""/>
      <w:lvlJc w:val="left"/>
      <w:pPr>
        <w:ind w:left="2070" w:hanging="360"/>
      </w:pPr>
      <w:rPr>
        <w:rFonts w:ascii="Symbol" w:hAnsi="Symbo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7B0508C"/>
    <w:multiLevelType w:val="hybridMultilevel"/>
    <w:tmpl w:val="2CF03EF0"/>
    <w:lvl w:ilvl="0" w:tplc="88B40A08">
      <w:start w:val="201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DD468B"/>
    <w:multiLevelType w:val="hybridMultilevel"/>
    <w:tmpl w:val="58B2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C08CB"/>
    <w:multiLevelType w:val="hybridMultilevel"/>
    <w:tmpl w:val="BE94E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9C201A"/>
    <w:multiLevelType w:val="hybridMultilevel"/>
    <w:tmpl w:val="33CED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8175A4"/>
    <w:multiLevelType w:val="hybridMultilevel"/>
    <w:tmpl w:val="D2EE87CC"/>
    <w:lvl w:ilvl="0" w:tplc="A6F0B626">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678930B5"/>
    <w:multiLevelType w:val="hybridMultilevel"/>
    <w:tmpl w:val="749E3C3A"/>
    <w:lvl w:ilvl="0" w:tplc="A6F0B626">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6BE20FE1"/>
    <w:multiLevelType w:val="hybridMultilevel"/>
    <w:tmpl w:val="C172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5E205E"/>
    <w:multiLevelType w:val="hybridMultilevel"/>
    <w:tmpl w:val="DE1C636E"/>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6"/>
  </w:num>
  <w:num w:numId="4">
    <w:abstractNumId w:val="10"/>
  </w:num>
  <w:num w:numId="5">
    <w:abstractNumId w:val="24"/>
  </w:num>
  <w:num w:numId="6">
    <w:abstractNumId w:val="9"/>
  </w:num>
  <w:num w:numId="7">
    <w:abstractNumId w:val="15"/>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num>
  <w:num w:numId="12">
    <w:abstractNumId w:val="14"/>
  </w:num>
  <w:num w:numId="13">
    <w:abstractNumId w:val="11"/>
  </w:num>
  <w:num w:numId="14">
    <w:abstractNumId w:val="1"/>
  </w:num>
  <w:num w:numId="15">
    <w:abstractNumId w:val="0"/>
  </w:num>
  <w:num w:numId="16">
    <w:abstractNumId w:val="8"/>
  </w:num>
  <w:num w:numId="17">
    <w:abstractNumId w:val="26"/>
  </w:num>
  <w:num w:numId="18">
    <w:abstractNumId w:val="16"/>
  </w:num>
  <w:num w:numId="19">
    <w:abstractNumId w:val="22"/>
  </w:num>
  <w:num w:numId="20">
    <w:abstractNumId w:val="20"/>
  </w:num>
  <w:num w:numId="21">
    <w:abstractNumId w:val="6"/>
  </w:num>
  <w:num w:numId="22">
    <w:abstractNumId w:val="4"/>
  </w:num>
  <w:num w:numId="23">
    <w:abstractNumId w:val="2"/>
  </w:num>
  <w:num w:numId="24">
    <w:abstractNumId w:val="3"/>
  </w:num>
  <w:num w:numId="25">
    <w:abstractNumId w:val="23"/>
  </w:num>
  <w:num w:numId="26">
    <w:abstractNumId w:val="25"/>
  </w:num>
  <w:num w:numId="27">
    <w:abstractNumId w:val="28"/>
  </w:num>
  <w:num w:numId="28">
    <w:abstractNumId w:val="18"/>
  </w:num>
  <w:num w:numId="29">
    <w:abstractNumId w:val="17"/>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A3"/>
    <w:rsid w:val="0000221B"/>
    <w:rsid w:val="00002B03"/>
    <w:rsid w:val="00003540"/>
    <w:rsid w:val="0001034F"/>
    <w:rsid w:val="00013CBF"/>
    <w:rsid w:val="00014FD0"/>
    <w:rsid w:val="000503CC"/>
    <w:rsid w:val="00072E96"/>
    <w:rsid w:val="000761F7"/>
    <w:rsid w:val="000A322F"/>
    <w:rsid w:val="000B1AC8"/>
    <w:rsid w:val="000C7C13"/>
    <w:rsid w:val="000D1008"/>
    <w:rsid w:val="000F756F"/>
    <w:rsid w:val="00110791"/>
    <w:rsid w:val="00110868"/>
    <w:rsid w:val="00114C57"/>
    <w:rsid w:val="00125A00"/>
    <w:rsid w:val="001367EE"/>
    <w:rsid w:val="00143A9C"/>
    <w:rsid w:val="00152B64"/>
    <w:rsid w:val="001650B1"/>
    <w:rsid w:val="00175784"/>
    <w:rsid w:val="00180684"/>
    <w:rsid w:val="00181D14"/>
    <w:rsid w:val="00190E8B"/>
    <w:rsid w:val="001922F9"/>
    <w:rsid w:val="00196124"/>
    <w:rsid w:val="001A1FC2"/>
    <w:rsid w:val="001A7CC7"/>
    <w:rsid w:val="001B5D57"/>
    <w:rsid w:val="001C219A"/>
    <w:rsid w:val="001C379A"/>
    <w:rsid w:val="001C3A16"/>
    <w:rsid w:val="001E0FA8"/>
    <w:rsid w:val="001F0CC5"/>
    <w:rsid w:val="001F4D76"/>
    <w:rsid w:val="0020183E"/>
    <w:rsid w:val="002042D5"/>
    <w:rsid w:val="002047EB"/>
    <w:rsid w:val="00210643"/>
    <w:rsid w:val="00215E21"/>
    <w:rsid w:val="00232E61"/>
    <w:rsid w:val="002465E7"/>
    <w:rsid w:val="002611E8"/>
    <w:rsid w:val="0026428E"/>
    <w:rsid w:val="002675F3"/>
    <w:rsid w:val="00267DD2"/>
    <w:rsid w:val="002754AD"/>
    <w:rsid w:val="00286E3B"/>
    <w:rsid w:val="002914B7"/>
    <w:rsid w:val="002946B8"/>
    <w:rsid w:val="002962FE"/>
    <w:rsid w:val="002A4F4F"/>
    <w:rsid w:val="002A5B4C"/>
    <w:rsid w:val="002B1E0E"/>
    <w:rsid w:val="002C1CB1"/>
    <w:rsid w:val="002D1787"/>
    <w:rsid w:val="002E4D48"/>
    <w:rsid w:val="002E5A77"/>
    <w:rsid w:val="002F7914"/>
    <w:rsid w:val="003114A3"/>
    <w:rsid w:val="003123E9"/>
    <w:rsid w:val="00322CA4"/>
    <w:rsid w:val="00323C30"/>
    <w:rsid w:val="00332885"/>
    <w:rsid w:val="003377D4"/>
    <w:rsid w:val="00346B04"/>
    <w:rsid w:val="0034704D"/>
    <w:rsid w:val="00357870"/>
    <w:rsid w:val="0036566B"/>
    <w:rsid w:val="003800B7"/>
    <w:rsid w:val="00386C35"/>
    <w:rsid w:val="0039066C"/>
    <w:rsid w:val="00391265"/>
    <w:rsid w:val="0039580E"/>
    <w:rsid w:val="00396147"/>
    <w:rsid w:val="003A00AA"/>
    <w:rsid w:val="003A39C7"/>
    <w:rsid w:val="003A3FE9"/>
    <w:rsid w:val="003B24D5"/>
    <w:rsid w:val="003C7A6C"/>
    <w:rsid w:val="003D2175"/>
    <w:rsid w:val="003E6CC4"/>
    <w:rsid w:val="0040275D"/>
    <w:rsid w:val="00402C54"/>
    <w:rsid w:val="00404C4D"/>
    <w:rsid w:val="00416F1C"/>
    <w:rsid w:val="00420A8A"/>
    <w:rsid w:val="00423674"/>
    <w:rsid w:val="00433996"/>
    <w:rsid w:val="004417FA"/>
    <w:rsid w:val="0044746D"/>
    <w:rsid w:val="00463F84"/>
    <w:rsid w:val="004719C5"/>
    <w:rsid w:val="00476720"/>
    <w:rsid w:val="00476970"/>
    <w:rsid w:val="00486919"/>
    <w:rsid w:val="00493A74"/>
    <w:rsid w:val="00496F26"/>
    <w:rsid w:val="004B7EC1"/>
    <w:rsid w:val="004C1D80"/>
    <w:rsid w:val="004D4999"/>
    <w:rsid w:val="004D53BF"/>
    <w:rsid w:val="004D721E"/>
    <w:rsid w:val="004E0EE5"/>
    <w:rsid w:val="004F7378"/>
    <w:rsid w:val="004F77FA"/>
    <w:rsid w:val="00506647"/>
    <w:rsid w:val="005132A2"/>
    <w:rsid w:val="00515071"/>
    <w:rsid w:val="00517F6A"/>
    <w:rsid w:val="005249C1"/>
    <w:rsid w:val="005257BE"/>
    <w:rsid w:val="00527210"/>
    <w:rsid w:val="005309AA"/>
    <w:rsid w:val="00536C40"/>
    <w:rsid w:val="00555F3D"/>
    <w:rsid w:val="0055675B"/>
    <w:rsid w:val="00564CCF"/>
    <w:rsid w:val="00565890"/>
    <w:rsid w:val="005828A0"/>
    <w:rsid w:val="00582A4C"/>
    <w:rsid w:val="00587B1E"/>
    <w:rsid w:val="005904A5"/>
    <w:rsid w:val="005B1EB9"/>
    <w:rsid w:val="005C481C"/>
    <w:rsid w:val="005C4F9D"/>
    <w:rsid w:val="005C5358"/>
    <w:rsid w:val="005C6C0F"/>
    <w:rsid w:val="005E4976"/>
    <w:rsid w:val="00610697"/>
    <w:rsid w:val="006113B9"/>
    <w:rsid w:val="00612A05"/>
    <w:rsid w:val="0061721C"/>
    <w:rsid w:val="006210FA"/>
    <w:rsid w:val="00630A4E"/>
    <w:rsid w:val="00631D3A"/>
    <w:rsid w:val="00645B55"/>
    <w:rsid w:val="00653764"/>
    <w:rsid w:val="006552E7"/>
    <w:rsid w:val="00684816"/>
    <w:rsid w:val="006848C4"/>
    <w:rsid w:val="00696BFD"/>
    <w:rsid w:val="006B4A2B"/>
    <w:rsid w:val="006B537B"/>
    <w:rsid w:val="006B61BE"/>
    <w:rsid w:val="006C0590"/>
    <w:rsid w:val="006D4E8C"/>
    <w:rsid w:val="006E221B"/>
    <w:rsid w:val="006E344F"/>
    <w:rsid w:val="007127BD"/>
    <w:rsid w:val="00720411"/>
    <w:rsid w:val="0072313C"/>
    <w:rsid w:val="0072724F"/>
    <w:rsid w:val="00727FB3"/>
    <w:rsid w:val="00735EE1"/>
    <w:rsid w:val="00745358"/>
    <w:rsid w:val="007565A9"/>
    <w:rsid w:val="00757804"/>
    <w:rsid w:val="00763A49"/>
    <w:rsid w:val="00763FFB"/>
    <w:rsid w:val="00766D06"/>
    <w:rsid w:val="00767A2E"/>
    <w:rsid w:val="007821C5"/>
    <w:rsid w:val="0078270B"/>
    <w:rsid w:val="00783201"/>
    <w:rsid w:val="00792399"/>
    <w:rsid w:val="00792CF1"/>
    <w:rsid w:val="0079408B"/>
    <w:rsid w:val="007941C9"/>
    <w:rsid w:val="0079501F"/>
    <w:rsid w:val="00795923"/>
    <w:rsid w:val="007A3CE1"/>
    <w:rsid w:val="007B3271"/>
    <w:rsid w:val="007B4C66"/>
    <w:rsid w:val="007B652A"/>
    <w:rsid w:val="007C2EE2"/>
    <w:rsid w:val="007D4DE7"/>
    <w:rsid w:val="007D5F2B"/>
    <w:rsid w:val="007E3532"/>
    <w:rsid w:val="007E463C"/>
    <w:rsid w:val="007F0999"/>
    <w:rsid w:val="007F7088"/>
    <w:rsid w:val="00806F8F"/>
    <w:rsid w:val="00817FB3"/>
    <w:rsid w:val="0082236C"/>
    <w:rsid w:val="00826225"/>
    <w:rsid w:val="00830FD5"/>
    <w:rsid w:val="00841A38"/>
    <w:rsid w:val="0084774F"/>
    <w:rsid w:val="0085366B"/>
    <w:rsid w:val="008724CC"/>
    <w:rsid w:val="00893E74"/>
    <w:rsid w:val="008A33CE"/>
    <w:rsid w:val="008A4ADB"/>
    <w:rsid w:val="008D44CE"/>
    <w:rsid w:val="008E1EA2"/>
    <w:rsid w:val="008E4CC2"/>
    <w:rsid w:val="008F0087"/>
    <w:rsid w:val="008F1B68"/>
    <w:rsid w:val="008F273C"/>
    <w:rsid w:val="008F3C2D"/>
    <w:rsid w:val="008F4218"/>
    <w:rsid w:val="009024AC"/>
    <w:rsid w:val="00905D08"/>
    <w:rsid w:val="009135D3"/>
    <w:rsid w:val="0091721A"/>
    <w:rsid w:val="00921BD5"/>
    <w:rsid w:val="00924596"/>
    <w:rsid w:val="00933D4E"/>
    <w:rsid w:val="00935B43"/>
    <w:rsid w:val="00944AFB"/>
    <w:rsid w:val="00946F32"/>
    <w:rsid w:val="009516DB"/>
    <w:rsid w:val="00952CDD"/>
    <w:rsid w:val="0095404A"/>
    <w:rsid w:val="009630AA"/>
    <w:rsid w:val="009655F8"/>
    <w:rsid w:val="009665EF"/>
    <w:rsid w:val="00987D4E"/>
    <w:rsid w:val="00995723"/>
    <w:rsid w:val="009A7C21"/>
    <w:rsid w:val="009B2ECA"/>
    <w:rsid w:val="009C47B5"/>
    <w:rsid w:val="009E475D"/>
    <w:rsid w:val="009E70CC"/>
    <w:rsid w:val="009F2463"/>
    <w:rsid w:val="00A0226E"/>
    <w:rsid w:val="00A03035"/>
    <w:rsid w:val="00A035D9"/>
    <w:rsid w:val="00A07C0F"/>
    <w:rsid w:val="00A12BD6"/>
    <w:rsid w:val="00A17EAC"/>
    <w:rsid w:val="00A26E39"/>
    <w:rsid w:val="00A31753"/>
    <w:rsid w:val="00A35992"/>
    <w:rsid w:val="00A44DF5"/>
    <w:rsid w:val="00A47822"/>
    <w:rsid w:val="00A53481"/>
    <w:rsid w:val="00A74CA4"/>
    <w:rsid w:val="00A76EED"/>
    <w:rsid w:val="00A80EBE"/>
    <w:rsid w:val="00A821EF"/>
    <w:rsid w:val="00A84357"/>
    <w:rsid w:val="00A86187"/>
    <w:rsid w:val="00AA16AC"/>
    <w:rsid w:val="00AB1B54"/>
    <w:rsid w:val="00AB51B6"/>
    <w:rsid w:val="00AD0096"/>
    <w:rsid w:val="00AD0C6A"/>
    <w:rsid w:val="00AE3243"/>
    <w:rsid w:val="00AF16A7"/>
    <w:rsid w:val="00AF19A6"/>
    <w:rsid w:val="00B047DC"/>
    <w:rsid w:val="00B10B81"/>
    <w:rsid w:val="00B17BEF"/>
    <w:rsid w:val="00B43AC0"/>
    <w:rsid w:val="00B66A3B"/>
    <w:rsid w:val="00B7340B"/>
    <w:rsid w:val="00B84935"/>
    <w:rsid w:val="00B93EEF"/>
    <w:rsid w:val="00B97416"/>
    <w:rsid w:val="00BA50F6"/>
    <w:rsid w:val="00BA574F"/>
    <w:rsid w:val="00BC0A77"/>
    <w:rsid w:val="00BC498B"/>
    <w:rsid w:val="00BC5698"/>
    <w:rsid w:val="00BE18D2"/>
    <w:rsid w:val="00BF0623"/>
    <w:rsid w:val="00C0475D"/>
    <w:rsid w:val="00C14265"/>
    <w:rsid w:val="00C1758F"/>
    <w:rsid w:val="00C17BCF"/>
    <w:rsid w:val="00C27098"/>
    <w:rsid w:val="00C3201E"/>
    <w:rsid w:val="00C32C31"/>
    <w:rsid w:val="00C36B5F"/>
    <w:rsid w:val="00C46F9F"/>
    <w:rsid w:val="00C51E4D"/>
    <w:rsid w:val="00C54452"/>
    <w:rsid w:val="00C60203"/>
    <w:rsid w:val="00C750C3"/>
    <w:rsid w:val="00C87990"/>
    <w:rsid w:val="00C90250"/>
    <w:rsid w:val="00C91DC7"/>
    <w:rsid w:val="00C939A4"/>
    <w:rsid w:val="00CA21F7"/>
    <w:rsid w:val="00CA372F"/>
    <w:rsid w:val="00CB01F8"/>
    <w:rsid w:val="00CB089D"/>
    <w:rsid w:val="00CB5CE3"/>
    <w:rsid w:val="00CB61E3"/>
    <w:rsid w:val="00CC0F6E"/>
    <w:rsid w:val="00CC4B9C"/>
    <w:rsid w:val="00CC5D48"/>
    <w:rsid w:val="00CD12EE"/>
    <w:rsid w:val="00CD54F6"/>
    <w:rsid w:val="00CE3B74"/>
    <w:rsid w:val="00CE4285"/>
    <w:rsid w:val="00CE5AD6"/>
    <w:rsid w:val="00CF7288"/>
    <w:rsid w:val="00D035DD"/>
    <w:rsid w:val="00D04181"/>
    <w:rsid w:val="00D07595"/>
    <w:rsid w:val="00D16FFE"/>
    <w:rsid w:val="00D22399"/>
    <w:rsid w:val="00D302BB"/>
    <w:rsid w:val="00D413B5"/>
    <w:rsid w:val="00D44A04"/>
    <w:rsid w:val="00D4539D"/>
    <w:rsid w:val="00D45889"/>
    <w:rsid w:val="00D5544F"/>
    <w:rsid w:val="00D60764"/>
    <w:rsid w:val="00D614AF"/>
    <w:rsid w:val="00D6335F"/>
    <w:rsid w:val="00D6431B"/>
    <w:rsid w:val="00D66647"/>
    <w:rsid w:val="00D66CD9"/>
    <w:rsid w:val="00D70020"/>
    <w:rsid w:val="00D71590"/>
    <w:rsid w:val="00D715C8"/>
    <w:rsid w:val="00D81029"/>
    <w:rsid w:val="00D863C0"/>
    <w:rsid w:val="00D86604"/>
    <w:rsid w:val="00D9331C"/>
    <w:rsid w:val="00DA1EB0"/>
    <w:rsid w:val="00DB24AD"/>
    <w:rsid w:val="00DB2A99"/>
    <w:rsid w:val="00DB4E2A"/>
    <w:rsid w:val="00DB5723"/>
    <w:rsid w:val="00DC2929"/>
    <w:rsid w:val="00DC4D87"/>
    <w:rsid w:val="00DD22BB"/>
    <w:rsid w:val="00DE333E"/>
    <w:rsid w:val="00DE3E2C"/>
    <w:rsid w:val="00DE4CAF"/>
    <w:rsid w:val="00DF53B4"/>
    <w:rsid w:val="00DF597F"/>
    <w:rsid w:val="00E12583"/>
    <w:rsid w:val="00E1455E"/>
    <w:rsid w:val="00E20E78"/>
    <w:rsid w:val="00E260FE"/>
    <w:rsid w:val="00E30B68"/>
    <w:rsid w:val="00E34BC9"/>
    <w:rsid w:val="00E377F4"/>
    <w:rsid w:val="00E405A1"/>
    <w:rsid w:val="00E468DF"/>
    <w:rsid w:val="00E5074F"/>
    <w:rsid w:val="00E51355"/>
    <w:rsid w:val="00E63D22"/>
    <w:rsid w:val="00E64DB4"/>
    <w:rsid w:val="00E96076"/>
    <w:rsid w:val="00EA1FC5"/>
    <w:rsid w:val="00EA7D06"/>
    <w:rsid w:val="00ED46BE"/>
    <w:rsid w:val="00ED4E5E"/>
    <w:rsid w:val="00ED7C5B"/>
    <w:rsid w:val="00F01AEF"/>
    <w:rsid w:val="00F01E7B"/>
    <w:rsid w:val="00F078C9"/>
    <w:rsid w:val="00F23203"/>
    <w:rsid w:val="00F316EC"/>
    <w:rsid w:val="00F32FD6"/>
    <w:rsid w:val="00F34385"/>
    <w:rsid w:val="00F363CF"/>
    <w:rsid w:val="00F367C1"/>
    <w:rsid w:val="00F523D4"/>
    <w:rsid w:val="00F530C2"/>
    <w:rsid w:val="00F57251"/>
    <w:rsid w:val="00F67A91"/>
    <w:rsid w:val="00F7012D"/>
    <w:rsid w:val="00F817DD"/>
    <w:rsid w:val="00F87C0C"/>
    <w:rsid w:val="00F94677"/>
    <w:rsid w:val="00FA3004"/>
    <w:rsid w:val="00FA7240"/>
    <w:rsid w:val="00FB72A3"/>
    <w:rsid w:val="00FC0FD9"/>
    <w:rsid w:val="00FC179C"/>
    <w:rsid w:val="00FD6304"/>
    <w:rsid w:val="00FE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5F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3"/>
    <w:pPr>
      <w:spacing w:after="0" w:line="240" w:lineRule="auto"/>
    </w:pPr>
    <w:rPr>
      <w:rFonts w:ascii="Arial" w:eastAsia="Times" w:hAnsi="Arial" w:cs="Times New Roman"/>
      <w:szCs w:val="20"/>
    </w:rPr>
  </w:style>
  <w:style w:type="paragraph" w:styleId="Heading1">
    <w:name w:val="heading 1"/>
    <w:basedOn w:val="Normal"/>
    <w:next w:val="Normal"/>
    <w:link w:val="Heading1Char"/>
    <w:qFormat/>
    <w:rsid w:val="00564CCF"/>
    <w:pPr>
      <w:keepNext/>
      <w:outlineLvl w:val="0"/>
    </w:pPr>
    <w:rPr>
      <w:b/>
    </w:rPr>
  </w:style>
  <w:style w:type="paragraph" w:styleId="Heading3">
    <w:name w:val="heading 3"/>
    <w:basedOn w:val="Normal"/>
    <w:next w:val="Normal"/>
    <w:link w:val="Heading3Char"/>
    <w:uiPriority w:val="9"/>
    <w:unhideWhenUsed/>
    <w:qFormat/>
    <w:rsid w:val="0075780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14A3"/>
    <w:rPr>
      <w:vertAlign w:val="superscript"/>
    </w:rPr>
  </w:style>
  <w:style w:type="paragraph" w:styleId="FootnoteText">
    <w:name w:val="footnote text"/>
    <w:basedOn w:val="Normal"/>
    <w:link w:val="FootnoteTextChar"/>
    <w:uiPriority w:val="99"/>
    <w:semiHidden/>
    <w:rsid w:val="003114A3"/>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3114A3"/>
    <w:rPr>
      <w:rFonts w:ascii="Times New Roman" w:eastAsia="Times New Roman" w:hAnsi="Times New Roman" w:cs="Times New Roman"/>
      <w:sz w:val="20"/>
      <w:szCs w:val="20"/>
    </w:rPr>
  </w:style>
  <w:style w:type="paragraph" w:styleId="ListParagraph">
    <w:name w:val="List Paragraph"/>
    <w:aliases w:val="bullet,PECI Bullets (Content),PECI Bullets"/>
    <w:basedOn w:val="Normal"/>
    <w:link w:val="ListParagraphChar"/>
    <w:uiPriority w:val="34"/>
    <w:qFormat/>
    <w:rsid w:val="003114A3"/>
    <w:pPr>
      <w:ind w:left="720"/>
      <w:contextualSpacing/>
    </w:pPr>
    <w:rPr>
      <w:rFonts w:ascii="Times New Roman" w:eastAsia="Calibri" w:hAnsi="Times New Roman"/>
      <w:sz w:val="24"/>
      <w:szCs w:val="24"/>
    </w:rPr>
  </w:style>
  <w:style w:type="character" w:customStyle="1" w:styleId="ListParagraphChar">
    <w:name w:val="List Paragraph Char"/>
    <w:aliases w:val="bullet Char,PECI Bullets (Content) Char,PECI Bullets Char"/>
    <w:basedOn w:val="DefaultParagraphFont"/>
    <w:link w:val="ListParagraph"/>
    <w:uiPriority w:val="34"/>
    <w:locked/>
    <w:rsid w:val="003114A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114A3"/>
    <w:rPr>
      <w:rFonts w:ascii="Tahoma" w:hAnsi="Tahoma" w:cs="Tahoma"/>
      <w:sz w:val="16"/>
      <w:szCs w:val="16"/>
    </w:rPr>
  </w:style>
  <w:style w:type="character" w:customStyle="1" w:styleId="BalloonTextChar">
    <w:name w:val="Balloon Text Char"/>
    <w:basedOn w:val="DefaultParagraphFont"/>
    <w:link w:val="BalloonText"/>
    <w:uiPriority w:val="99"/>
    <w:semiHidden/>
    <w:rsid w:val="003114A3"/>
    <w:rPr>
      <w:rFonts w:ascii="Tahoma" w:eastAsia="Times" w:hAnsi="Tahoma" w:cs="Tahoma"/>
      <w:sz w:val="16"/>
      <w:szCs w:val="16"/>
    </w:rPr>
  </w:style>
  <w:style w:type="paragraph" w:styleId="Header">
    <w:name w:val="header"/>
    <w:basedOn w:val="Normal"/>
    <w:link w:val="HeaderChar"/>
    <w:unhideWhenUsed/>
    <w:rsid w:val="003114A3"/>
    <w:pPr>
      <w:tabs>
        <w:tab w:val="center" w:pos="4680"/>
        <w:tab w:val="right" w:pos="9360"/>
      </w:tabs>
    </w:pPr>
  </w:style>
  <w:style w:type="character" w:customStyle="1" w:styleId="HeaderChar">
    <w:name w:val="Header Char"/>
    <w:basedOn w:val="DefaultParagraphFont"/>
    <w:link w:val="Header"/>
    <w:uiPriority w:val="99"/>
    <w:rsid w:val="003114A3"/>
    <w:rPr>
      <w:rFonts w:ascii="Arial" w:eastAsia="Times" w:hAnsi="Arial" w:cs="Times New Roman"/>
      <w:szCs w:val="20"/>
    </w:rPr>
  </w:style>
  <w:style w:type="paragraph" w:styleId="Footer">
    <w:name w:val="footer"/>
    <w:basedOn w:val="Normal"/>
    <w:link w:val="FooterChar"/>
    <w:uiPriority w:val="99"/>
    <w:unhideWhenUsed/>
    <w:rsid w:val="003114A3"/>
    <w:pPr>
      <w:tabs>
        <w:tab w:val="center" w:pos="4680"/>
        <w:tab w:val="right" w:pos="9360"/>
      </w:tabs>
    </w:pPr>
  </w:style>
  <w:style w:type="character" w:customStyle="1" w:styleId="FooterChar">
    <w:name w:val="Footer Char"/>
    <w:basedOn w:val="DefaultParagraphFont"/>
    <w:link w:val="Footer"/>
    <w:uiPriority w:val="99"/>
    <w:rsid w:val="003114A3"/>
    <w:rPr>
      <w:rFonts w:ascii="Arial" w:eastAsia="Times" w:hAnsi="Arial" w:cs="Times New Roman"/>
      <w:szCs w:val="20"/>
    </w:rPr>
  </w:style>
  <w:style w:type="character" w:styleId="CommentReference">
    <w:name w:val="annotation reference"/>
    <w:basedOn w:val="DefaultParagraphFont"/>
    <w:uiPriority w:val="99"/>
    <w:unhideWhenUsed/>
    <w:rsid w:val="00A76EED"/>
    <w:rPr>
      <w:sz w:val="16"/>
      <w:szCs w:val="16"/>
    </w:rPr>
  </w:style>
  <w:style w:type="paragraph" w:styleId="CommentText">
    <w:name w:val="annotation text"/>
    <w:basedOn w:val="Normal"/>
    <w:link w:val="CommentTextChar"/>
    <w:uiPriority w:val="99"/>
    <w:unhideWhenUsed/>
    <w:rsid w:val="00A76EED"/>
    <w:rPr>
      <w:sz w:val="20"/>
    </w:rPr>
  </w:style>
  <w:style w:type="character" w:customStyle="1" w:styleId="CommentTextChar">
    <w:name w:val="Comment Text Char"/>
    <w:basedOn w:val="DefaultParagraphFont"/>
    <w:link w:val="CommentText"/>
    <w:uiPriority w:val="99"/>
    <w:rsid w:val="00A76EE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A76EED"/>
    <w:rPr>
      <w:b/>
      <w:bCs/>
    </w:rPr>
  </w:style>
  <w:style w:type="character" w:customStyle="1" w:styleId="CommentSubjectChar">
    <w:name w:val="Comment Subject Char"/>
    <w:basedOn w:val="CommentTextChar"/>
    <w:link w:val="CommentSubject"/>
    <w:uiPriority w:val="99"/>
    <w:semiHidden/>
    <w:rsid w:val="00A76EED"/>
    <w:rPr>
      <w:rFonts w:ascii="Arial" w:eastAsia="Times" w:hAnsi="Arial" w:cs="Times New Roman"/>
      <w:b/>
      <w:bCs/>
      <w:sz w:val="20"/>
      <w:szCs w:val="20"/>
    </w:rPr>
  </w:style>
  <w:style w:type="paragraph" w:styleId="Revision">
    <w:name w:val="Revision"/>
    <w:hidden/>
    <w:uiPriority w:val="99"/>
    <w:semiHidden/>
    <w:rsid w:val="00DB4E2A"/>
    <w:pPr>
      <w:spacing w:after="0" w:line="240" w:lineRule="auto"/>
    </w:pPr>
    <w:rPr>
      <w:rFonts w:ascii="Arial" w:eastAsia="Times" w:hAnsi="Arial" w:cs="Times New Roman"/>
      <w:szCs w:val="20"/>
    </w:rPr>
  </w:style>
  <w:style w:type="character" w:styleId="Hyperlink">
    <w:name w:val="Hyperlink"/>
    <w:basedOn w:val="DefaultParagraphFont"/>
    <w:uiPriority w:val="99"/>
    <w:unhideWhenUsed/>
    <w:rsid w:val="00D70020"/>
    <w:rPr>
      <w:color w:val="0000FF" w:themeColor="hyperlink"/>
      <w:u w:val="single"/>
    </w:rPr>
  </w:style>
  <w:style w:type="character" w:customStyle="1" w:styleId="Heading1Char">
    <w:name w:val="Heading 1 Char"/>
    <w:basedOn w:val="DefaultParagraphFont"/>
    <w:link w:val="Heading1"/>
    <w:rsid w:val="00564CCF"/>
    <w:rPr>
      <w:rFonts w:ascii="Arial" w:eastAsia="Times" w:hAnsi="Arial" w:cs="Times New Roman"/>
      <w:b/>
      <w:szCs w:val="20"/>
    </w:rPr>
  </w:style>
  <w:style w:type="character" w:styleId="FollowedHyperlink">
    <w:name w:val="FollowedHyperlink"/>
    <w:basedOn w:val="DefaultParagraphFont"/>
    <w:uiPriority w:val="99"/>
    <w:semiHidden/>
    <w:unhideWhenUsed/>
    <w:rsid w:val="00EA7D06"/>
    <w:rPr>
      <w:color w:val="800080" w:themeColor="followedHyperlink"/>
      <w:u w:val="single"/>
    </w:rPr>
  </w:style>
  <w:style w:type="character" w:customStyle="1" w:styleId="Heading3Char">
    <w:name w:val="Heading 3 Char"/>
    <w:basedOn w:val="DefaultParagraphFont"/>
    <w:link w:val="Heading3"/>
    <w:uiPriority w:val="9"/>
    <w:rsid w:val="00757804"/>
    <w:rPr>
      <w:rFonts w:asciiTheme="majorHAnsi" w:eastAsiaTheme="majorEastAsia" w:hAnsiTheme="majorHAnsi" w:cstheme="majorBidi"/>
      <w:color w:val="243F60" w:themeColor="accent1" w:themeShade="7F"/>
      <w:sz w:val="24"/>
      <w:szCs w:val="24"/>
    </w:rPr>
  </w:style>
  <w:style w:type="paragraph" w:customStyle="1" w:styleId="Default">
    <w:name w:val="Default"/>
    <w:basedOn w:val="Normal"/>
    <w:rsid w:val="00FE0CB7"/>
    <w:pPr>
      <w:autoSpaceDE w:val="0"/>
      <w:autoSpaceDN w:val="0"/>
    </w:pPr>
    <w:rPr>
      <w:rFonts w:eastAsia="Calibri" w:cs="Arial"/>
      <w:color w:val="000000"/>
      <w:sz w:val="24"/>
      <w:szCs w:val="24"/>
    </w:rPr>
  </w:style>
  <w:style w:type="paragraph" w:styleId="Caption">
    <w:name w:val="caption"/>
    <w:basedOn w:val="Normal"/>
    <w:next w:val="Normal"/>
    <w:uiPriority w:val="35"/>
    <w:unhideWhenUsed/>
    <w:qFormat/>
    <w:rsid w:val="00D44A0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3"/>
    <w:pPr>
      <w:spacing w:after="0" w:line="240" w:lineRule="auto"/>
    </w:pPr>
    <w:rPr>
      <w:rFonts w:ascii="Arial" w:eastAsia="Times" w:hAnsi="Arial" w:cs="Times New Roman"/>
      <w:szCs w:val="20"/>
    </w:rPr>
  </w:style>
  <w:style w:type="paragraph" w:styleId="Heading1">
    <w:name w:val="heading 1"/>
    <w:basedOn w:val="Normal"/>
    <w:next w:val="Normal"/>
    <w:link w:val="Heading1Char"/>
    <w:qFormat/>
    <w:rsid w:val="00564CCF"/>
    <w:pPr>
      <w:keepNext/>
      <w:outlineLvl w:val="0"/>
    </w:pPr>
    <w:rPr>
      <w:b/>
    </w:rPr>
  </w:style>
  <w:style w:type="paragraph" w:styleId="Heading3">
    <w:name w:val="heading 3"/>
    <w:basedOn w:val="Normal"/>
    <w:next w:val="Normal"/>
    <w:link w:val="Heading3Char"/>
    <w:uiPriority w:val="9"/>
    <w:unhideWhenUsed/>
    <w:qFormat/>
    <w:rsid w:val="0075780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14A3"/>
    <w:rPr>
      <w:vertAlign w:val="superscript"/>
    </w:rPr>
  </w:style>
  <w:style w:type="paragraph" w:styleId="FootnoteText">
    <w:name w:val="footnote text"/>
    <w:basedOn w:val="Normal"/>
    <w:link w:val="FootnoteTextChar"/>
    <w:uiPriority w:val="99"/>
    <w:semiHidden/>
    <w:rsid w:val="003114A3"/>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3114A3"/>
    <w:rPr>
      <w:rFonts w:ascii="Times New Roman" w:eastAsia="Times New Roman" w:hAnsi="Times New Roman" w:cs="Times New Roman"/>
      <w:sz w:val="20"/>
      <w:szCs w:val="20"/>
    </w:rPr>
  </w:style>
  <w:style w:type="paragraph" w:styleId="ListParagraph">
    <w:name w:val="List Paragraph"/>
    <w:aliases w:val="bullet,PECI Bullets (Content),PECI Bullets"/>
    <w:basedOn w:val="Normal"/>
    <w:link w:val="ListParagraphChar"/>
    <w:uiPriority w:val="34"/>
    <w:qFormat/>
    <w:rsid w:val="003114A3"/>
    <w:pPr>
      <w:ind w:left="720"/>
      <w:contextualSpacing/>
    </w:pPr>
    <w:rPr>
      <w:rFonts w:ascii="Times New Roman" w:eastAsia="Calibri" w:hAnsi="Times New Roman"/>
      <w:sz w:val="24"/>
      <w:szCs w:val="24"/>
    </w:rPr>
  </w:style>
  <w:style w:type="character" w:customStyle="1" w:styleId="ListParagraphChar">
    <w:name w:val="List Paragraph Char"/>
    <w:aliases w:val="bullet Char,PECI Bullets (Content) Char,PECI Bullets Char"/>
    <w:basedOn w:val="DefaultParagraphFont"/>
    <w:link w:val="ListParagraph"/>
    <w:uiPriority w:val="34"/>
    <w:locked/>
    <w:rsid w:val="003114A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114A3"/>
    <w:rPr>
      <w:rFonts w:ascii="Tahoma" w:hAnsi="Tahoma" w:cs="Tahoma"/>
      <w:sz w:val="16"/>
      <w:szCs w:val="16"/>
    </w:rPr>
  </w:style>
  <w:style w:type="character" w:customStyle="1" w:styleId="BalloonTextChar">
    <w:name w:val="Balloon Text Char"/>
    <w:basedOn w:val="DefaultParagraphFont"/>
    <w:link w:val="BalloonText"/>
    <w:uiPriority w:val="99"/>
    <w:semiHidden/>
    <w:rsid w:val="003114A3"/>
    <w:rPr>
      <w:rFonts w:ascii="Tahoma" w:eastAsia="Times" w:hAnsi="Tahoma" w:cs="Tahoma"/>
      <w:sz w:val="16"/>
      <w:szCs w:val="16"/>
    </w:rPr>
  </w:style>
  <w:style w:type="paragraph" w:styleId="Header">
    <w:name w:val="header"/>
    <w:basedOn w:val="Normal"/>
    <w:link w:val="HeaderChar"/>
    <w:unhideWhenUsed/>
    <w:rsid w:val="003114A3"/>
    <w:pPr>
      <w:tabs>
        <w:tab w:val="center" w:pos="4680"/>
        <w:tab w:val="right" w:pos="9360"/>
      </w:tabs>
    </w:pPr>
  </w:style>
  <w:style w:type="character" w:customStyle="1" w:styleId="HeaderChar">
    <w:name w:val="Header Char"/>
    <w:basedOn w:val="DefaultParagraphFont"/>
    <w:link w:val="Header"/>
    <w:uiPriority w:val="99"/>
    <w:rsid w:val="003114A3"/>
    <w:rPr>
      <w:rFonts w:ascii="Arial" w:eastAsia="Times" w:hAnsi="Arial" w:cs="Times New Roman"/>
      <w:szCs w:val="20"/>
    </w:rPr>
  </w:style>
  <w:style w:type="paragraph" w:styleId="Footer">
    <w:name w:val="footer"/>
    <w:basedOn w:val="Normal"/>
    <w:link w:val="FooterChar"/>
    <w:uiPriority w:val="99"/>
    <w:unhideWhenUsed/>
    <w:rsid w:val="003114A3"/>
    <w:pPr>
      <w:tabs>
        <w:tab w:val="center" w:pos="4680"/>
        <w:tab w:val="right" w:pos="9360"/>
      </w:tabs>
    </w:pPr>
  </w:style>
  <w:style w:type="character" w:customStyle="1" w:styleId="FooterChar">
    <w:name w:val="Footer Char"/>
    <w:basedOn w:val="DefaultParagraphFont"/>
    <w:link w:val="Footer"/>
    <w:uiPriority w:val="99"/>
    <w:rsid w:val="003114A3"/>
    <w:rPr>
      <w:rFonts w:ascii="Arial" w:eastAsia="Times" w:hAnsi="Arial" w:cs="Times New Roman"/>
      <w:szCs w:val="20"/>
    </w:rPr>
  </w:style>
  <w:style w:type="character" w:styleId="CommentReference">
    <w:name w:val="annotation reference"/>
    <w:basedOn w:val="DefaultParagraphFont"/>
    <w:uiPriority w:val="99"/>
    <w:unhideWhenUsed/>
    <w:rsid w:val="00A76EED"/>
    <w:rPr>
      <w:sz w:val="16"/>
      <w:szCs w:val="16"/>
    </w:rPr>
  </w:style>
  <w:style w:type="paragraph" w:styleId="CommentText">
    <w:name w:val="annotation text"/>
    <w:basedOn w:val="Normal"/>
    <w:link w:val="CommentTextChar"/>
    <w:uiPriority w:val="99"/>
    <w:unhideWhenUsed/>
    <w:rsid w:val="00A76EED"/>
    <w:rPr>
      <w:sz w:val="20"/>
    </w:rPr>
  </w:style>
  <w:style w:type="character" w:customStyle="1" w:styleId="CommentTextChar">
    <w:name w:val="Comment Text Char"/>
    <w:basedOn w:val="DefaultParagraphFont"/>
    <w:link w:val="CommentText"/>
    <w:uiPriority w:val="99"/>
    <w:rsid w:val="00A76EE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A76EED"/>
    <w:rPr>
      <w:b/>
      <w:bCs/>
    </w:rPr>
  </w:style>
  <w:style w:type="character" w:customStyle="1" w:styleId="CommentSubjectChar">
    <w:name w:val="Comment Subject Char"/>
    <w:basedOn w:val="CommentTextChar"/>
    <w:link w:val="CommentSubject"/>
    <w:uiPriority w:val="99"/>
    <w:semiHidden/>
    <w:rsid w:val="00A76EED"/>
    <w:rPr>
      <w:rFonts w:ascii="Arial" w:eastAsia="Times" w:hAnsi="Arial" w:cs="Times New Roman"/>
      <w:b/>
      <w:bCs/>
      <w:sz w:val="20"/>
      <w:szCs w:val="20"/>
    </w:rPr>
  </w:style>
  <w:style w:type="paragraph" w:styleId="Revision">
    <w:name w:val="Revision"/>
    <w:hidden/>
    <w:uiPriority w:val="99"/>
    <w:semiHidden/>
    <w:rsid w:val="00DB4E2A"/>
    <w:pPr>
      <w:spacing w:after="0" w:line="240" w:lineRule="auto"/>
    </w:pPr>
    <w:rPr>
      <w:rFonts w:ascii="Arial" w:eastAsia="Times" w:hAnsi="Arial" w:cs="Times New Roman"/>
      <w:szCs w:val="20"/>
    </w:rPr>
  </w:style>
  <w:style w:type="character" w:styleId="Hyperlink">
    <w:name w:val="Hyperlink"/>
    <w:basedOn w:val="DefaultParagraphFont"/>
    <w:uiPriority w:val="99"/>
    <w:unhideWhenUsed/>
    <w:rsid w:val="00D70020"/>
    <w:rPr>
      <w:color w:val="0000FF" w:themeColor="hyperlink"/>
      <w:u w:val="single"/>
    </w:rPr>
  </w:style>
  <w:style w:type="character" w:customStyle="1" w:styleId="Heading1Char">
    <w:name w:val="Heading 1 Char"/>
    <w:basedOn w:val="DefaultParagraphFont"/>
    <w:link w:val="Heading1"/>
    <w:rsid w:val="00564CCF"/>
    <w:rPr>
      <w:rFonts w:ascii="Arial" w:eastAsia="Times" w:hAnsi="Arial" w:cs="Times New Roman"/>
      <w:b/>
      <w:szCs w:val="20"/>
    </w:rPr>
  </w:style>
  <w:style w:type="character" w:styleId="FollowedHyperlink">
    <w:name w:val="FollowedHyperlink"/>
    <w:basedOn w:val="DefaultParagraphFont"/>
    <w:uiPriority w:val="99"/>
    <w:semiHidden/>
    <w:unhideWhenUsed/>
    <w:rsid w:val="00EA7D06"/>
    <w:rPr>
      <w:color w:val="800080" w:themeColor="followedHyperlink"/>
      <w:u w:val="single"/>
    </w:rPr>
  </w:style>
  <w:style w:type="character" w:customStyle="1" w:styleId="Heading3Char">
    <w:name w:val="Heading 3 Char"/>
    <w:basedOn w:val="DefaultParagraphFont"/>
    <w:link w:val="Heading3"/>
    <w:uiPriority w:val="9"/>
    <w:rsid w:val="00757804"/>
    <w:rPr>
      <w:rFonts w:asciiTheme="majorHAnsi" w:eastAsiaTheme="majorEastAsia" w:hAnsiTheme="majorHAnsi" w:cstheme="majorBidi"/>
      <w:color w:val="243F60" w:themeColor="accent1" w:themeShade="7F"/>
      <w:sz w:val="24"/>
      <w:szCs w:val="24"/>
    </w:rPr>
  </w:style>
  <w:style w:type="paragraph" w:customStyle="1" w:styleId="Default">
    <w:name w:val="Default"/>
    <w:basedOn w:val="Normal"/>
    <w:rsid w:val="00FE0CB7"/>
    <w:pPr>
      <w:autoSpaceDE w:val="0"/>
      <w:autoSpaceDN w:val="0"/>
    </w:pPr>
    <w:rPr>
      <w:rFonts w:eastAsia="Calibri" w:cs="Arial"/>
      <w:color w:val="000000"/>
      <w:sz w:val="24"/>
      <w:szCs w:val="24"/>
    </w:rPr>
  </w:style>
  <w:style w:type="paragraph" w:styleId="Caption">
    <w:name w:val="caption"/>
    <w:basedOn w:val="Normal"/>
    <w:next w:val="Normal"/>
    <w:uiPriority w:val="35"/>
    <w:unhideWhenUsed/>
    <w:qFormat/>
    <w:rsid w:val="00D44A0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3647">
      <w:bodyDiv w:val="1"/>
      <w:marLeft w:val="0"/>
      <w:marRight w:val="0"/>
      <w:marTop w:val="0"/>
      <w:marBottom w:val="0"/>
      <w:divBdr>
        <w:top w:val="none" w:sz="0" w:space="0" w:color="auto"/>
        <w:left w:val="none" w:sz="0" w:space="0" w:color="auto"/>
        <w:bottom w:val="none" w:sz="0" w:space="0" w:color="auto"/>
        <w:right w:val="none" w:sz="0" w:space="0" w:color="auto"/>
      </w:divBdr>
    </w:div>
    <w:div w:id="403725064">
      <w:bodyDiv w:val="1"/>
      <w:marLeft w:val="0"/>
      <w:marRight w:val="0"/>
      <w:marTop w:val="0"/>
      <w:marBottom w:val="0"/>
      <w:divBdr>
        <w:top w:val="none" w:sz="0" w:space="0" w:color="auto"/>
        <w:left w:val="none" w:sz="0" w:space="0" w:color="auto"/>
        <w:bottom w:val="none" w:sz="0" w:space="0" w:color="auto"/>
        <w:right w:val="none" w:sz="0" w:space="0" w:color="auto"/>
      </w:divBdr>
    </w:div>
    <w:div w:id="456802108">
      <w:bodyDiv w:val="1"/>
      <w:marLeft w:val="0"/>
      <w:marRight w:val="0"/>
      <w:marTop w:val="0"/>
      <w:marBottom w:val="0"/>
      <w:divBdr>
        <w:top w:val="none" w:sz="0" w:space="0" w:color="auto"/>
        <w:left w:val="none" w:sz="0" w:space="0" w:color="auto"/>
        <w:bottom w:val="none" w:sz="0" w:space="0" w:color="auto"/>
        <w:right w:val="none" w:sz="0" w:space="0" w:color="auto"/>
      </w:divBdr>
    </w:div>
    <w:div w:id="596139826">
      <w:bodyDiv w:val="1"/>
      <w:marLeft w:val="0"/>
      <w:marRight w:val="0"/>
      <w:marTop w:val="0"/>
      <w:marBottom w:val="0"/>
      <w:divBdr>
        <w:top w:val="none" w:sz="0" w:space="0" w:color="auto"/>
        <w:left w:val="none" w:sz="0" w:space="0" w:color="auto"/>
        <w:bottom w:val="none" w:sz="0" w:space="0" w:color="auto"/>
        <w:right w:val="none" w:sz="0" w:space="0" w:color="auto"/>
      </w:divBdr>
    </w:div>
    <w:div w:id="875965467">
      <w:bodyDiv w:val="1"/>
      <w:marLeft w:val="0"/>
      <w:marRight w:val="0"/>
      <w:marTop w:val="0"/>
      <w:marBottom w:val="0"/>
      <w:divBdr>
        <w:top w:val="none" w:sz="0" w:space="0" w:color="auto"/>
        <w:left w:val="none" w:sz="0" w:space="0" w:color="auto"/>
        <w:bottom w:val="none" w:sz="0" w:space="0" w:color="auto"/>
        <w:right w:val="none" w:sz="0" w:space="0" w:color="auto"/>
      </w:divBdr>
    </w:div>
    <w:div w:id="971713588">
      <w:bodyDiv w:val="1"/>
      <w:marLeft w:val="0"/>
      <w:marRight w:val="0"/>
      <w:marTop w:val="0"/>
      <w:marBottom w:val="0"/>
      <w:divBdr>
        <w:top w:val="none" w:sz="0" w:space="0" w:color="auto"/>
        <w:left w:val="none" w:sz="0" w:space="0" w:color="auto"/>
        <w:bottom w:val="none" w:sz="0" w:space="0" w:color="auto"/>
        <w:right w:val="none" w:sz="0" w:space="0" w:color="auto"/>
      </w:divBdr>
    </w:div>
    <w:div w:id="1081028528">
      <w:bodyDiv w:val="1"/>
      <w:marLeft w:val="0"/>
      <w:marRight w:val="0"/>
      <w:marTop w:val="0"/>
      <w:marBottom w:val="0"/>
      <w:divBdr>
        <w:top w:val="none" w:sz="0" w:space="0" w:color="auto"/>
        <w:left w:val="none" w:sz="0" w:space="0" w:color="auto"/>
        <w:bottom w:val="none" w:sz="0" w:space="0" w:color="auto"/>
        <w:right w:val="none" w:sz="0" w:space="0" w:color="auto"/>
      </w:divBdr>
    </w:div>
    <w:div w:id="1219828340">
      <w:bodyDiv w:val="1"/>
      <w:marLeft w:val="0"/>
      <w:marRight w:val="0"/>
      <w:marTop w:val="0"/>
      <w:marBottom w:val="0"/>
      <w:divBdr>
        <w:top w:val="none" w:sz="0" w:space="0" w:color="auto"/>
        <w:left w:val="none" w:sz="0" w:space="0" w:color="auto"/>
        <w:bottom w:val="none" w:sz="0" w:space="0" w:color="auto"/>
        <w:right w:val="none" w:sz="0" w:space="0" w:color="auto"/>
      </w:divBdr>
    </w:div>
    <w:div w:id="1292712496">
      <w:bodyDiv w:val="1"/>
      <w:marLeft w:val="0"/>
      <w:marRight w:val="0"/>
      <w:marTop w:val="0"/>
      <w:marBottom w:val="0"/>
      <w:divBdr>
        <w:top w:val="none" w:sz="0" w:space="0" w:color="auto"/>
        <w:left w:val="none" w:sz="0" w:space="0" w:color="auto"/>
        <w:bottom w:val="none" w:sz="0" w:space="0" w:color="auto"/>
        <w:right w:val="none" w:sz="0" w:space="0" w:color="auto"/>
      </w:divBdr>
    </w:div>
    <w:div w:id="1469739549">
      <w:bodyDiv w:val="1"/>
      <w:marLeft w:val="0"/>
      <w:marRight w:val="0"/>
      <w:marTop w:val="0"/>
      <w:marBottom w:val="0"/>
      <w:divBdr>
        <w:top w:val="none" w:sz="0" w:space="0" w:color="auto"/>
        <w:left w:val="none" w:sz="0" w:space="0" w:color="auto"/>
        <w:bottom w:val="none" w:sz="0" w:space="0" w:color="auto"/>
        <w:right w:val="none" w:sz="0" w:space="0" w:color="auto"/>
      </w:divBdr>
    </w:div>
    <w:div w:id="1658873223">
      <w:bodyDiv w:val="1"/>
      <w:marLeft w:val="0"/>
      <w:marRight w:val="0"/>
      <w:marTop w:val="0"/>
      <w:marBottom w:val="0"/>
      <w:divBdr>
        <w:top w:val="none" w:sz="0" w:space="0" w:color="auto"/>
        <w:left w:val="none" w:sz="0" w:space="0" w:color="auto"/>
        <w:bottom w:val="none" w:sz="0" w:space="0" w:color="auto"/>
        <w:right w:val="none" w:sz="0" w:space="0" w:color="auto"/>
      </w:divBdr>
    </w:div>
    <w:div w:id="1734891045">
      <w:bodyDiv w:val="1"/>
      <w:marLeft w:val="0"/>
      <w:marRight w:val="0"/>
      <w:marTop w:val="0"/>
      <w:marBottom w:val="0"/>
      <w:divBdr>
        <w:top w:val="none" w:sz="0" w:space="0" w:color="auto"/>
        <w:left w:val="none" w:sz="0" w:space="0" w:color="auto"/>
        <w:bottom w:val="none" w:sz="0" w:space="0" w:color="auto"/>
        <w:right w:val="none" w:sz="0" w:space="0" w:color="auto"/>
      </w:divBdr>
    </w:div>
    <w:div w:id="1932741877">
      <w:bodyDiv w:val="1"/>
      <w:marLeft w:val="0"/>
      <w:marRight w:val="0"/>
      <w:marTop w:val="0"/>
      <w:marBottom w:val="0"/>
      <w:divBdr>
        <w:top w:val="none" w:sz="0" w:space="0" w:color="auto"/>
        <w:left w:val="none" w:sz="0" w:space="0" w:color="auto"/>
        <w:bottom w:val="none" w:sz="0" w:space="0" w:color="auto"/>
        <w:right w:val="none" w:sz="0" w:space="0" w:color="auto"/>
      </w:divBdr>
    </w:div>
    <w:div w:id="1941638111">
      <w:bodyDiv w:val="1"/>
      <w:marLeft w:val="0"/>
      <w:marRight w:val="0"/>
      <w:marTop w:val="0"/>
      <w:marBottom w:val="0"/>
      <w:divBdr>
        <w:top w:val="none" w:sz="0" w:space="0" w:color="auto"/>
        <w:left w:val="none" w:sz="0" w:space="0" w:color="auto"/>
        <w:bottom w:val="none" w:sz="0" w:space="0" w:color="auto"/>
        <w:right w:val="none" w:sz="0" w:space="0" w:color="auto"/>
      </w:divBdr>
    </w:div>
    <w:div w:id="2136605299">
      <w:bodyDiv w:val="1"/>
      <w:marLeft w:val="0"/>
      <w:marRight w:val="0"/>
      <w:marTop w:val="0"/>
      <w:marBottom w:val="0"/>
      <w:divBdr>
        <w:top w:val="none" w:sz="0" w:space="0" w:color="auto"/>
        <w:left w:val="none" w:sz="0" w:space="0" w:color="auto"/>
        <w:bottom w:val="none" w:sz="0" w:space="0" w:color="auto"/>
        <w:right w:val="none" w:sz="0" w:space="0" w:color="auto"/>
      </w:divBdr>
    </w:div>
    <w:div w:id="21458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7.emf"/><Relationship Id="rId28" Type="http://schemas.openxmlformats.org/officeDocument/2006/relationships/chart" Target="charts/chart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n-US"/>
              <a:t>WALIEE 2015</a:t>
            </a:r>
          </a:p>
        </c:rich>
      </c:tx>
      <c:overlay val="0"/>
    </c:title>
    <c:autoTitleDeleted val="0"/>
    <c:plotArea>
      <c:layout/>
      <c:barChart>
        <c:barDir val="col"/>
        <c:grouping val="clustered"/>
        <c:varyColors val="0"/>
        <c:ser>
          <c:idx val="0"/>
          <c:order val="0"/>
          <c:tx>
            <c:strRef>
              <c:f>'CNNLIEEP (2)'!$B$21</c:f>
              <c:strCache>
                <c:ptCount val="1"/>
                <c:pt idx="0">
                  <c:v>Total Job Costs</c:v>
                </c:pt>
              </c:strCache>
            </c:strRef>
          </c:tx>
          <c:invertIfNegative val="0"/>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(2)'!$B$22:$B$28</c:f>
            </c:numRef>
          </c:val>
        </c:ser>
        <c:ser>
          <c:idx val="1"/>
          <c:order val="1"/>
          <c:tx>
            <c:strRef>
              <c:f>'CNNLIEEP (2)'!$C$21</c:f>
              <c:strCache>
                <c:ptCount val="1"/>
                <c:pt idx="0">
                  <c:v>Total Measures</c:v>
                </c:pt>
              </c:strCache>
            </c:strRef>
          </c:tx>
          <c:invertIfNegative val="0"/>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(2)'!$C$22:$C$28</c:f>
            </c:numRef>
          </c:val>
        </c:ser>
        <c:ser>
          <c:idx val="3"/>
          <c:order val="3"/>
          <c:tx>
            <c:strRef>
              <c:f>'CNNLIEEP (2)'!$E$21</c:f>
              <c:strCache>
                <c:ptCount val="1"/>
                <c:pt idx="0">
                  <c:v>Est Therms</c:v>
                </c:pt>
              </c:strCache>
            </c:strRef>
          </c:tx>
          <c:invertIfNegative val="0"/>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(2)'!$E$22:$E$28</c:f>
              <c:numCache>
                <c:formatCode>General</c:formatCode>
                <c:ptCount val="7"/>
                <c:pt idx="0">
                  <c:v>71</c:v>
                </c:pt>
                <c:pt idx="1">
                  <c:v>193</c:v>
                </c:pt>
                <c:pt idx="2">
                  <c:v>364</c:v>
                </c:pt>
                <c:pt idx="3">
                  <c:v>409</c:v>
                </c:pt>
                <c:pt idx="4">
                  <c:v>416</c:v>
                </c:pt>
                <c:pt idx="5">
                  <c:v>803</c:v>
                </c:pt>
                <c:pt idx="6">
                  <c:v>948</c:v>
                </c:pt>
              </c:numCache>
            </c:numRef>
          </c:val>
        </c:ser>
        <c:dLbls>
          <c:showLegendKey val="0"/>
          <c:showVal val="0"/>
          <c:showCatName val="0"/>
          <c:showSerName val="0"/>
          <c:showPercent val="0"/>
          <c:showBubbleSize val="0"/>
        </c:dLbls>
        <c:gapWidth val="150"/>
        <c:axId val="30241152"/>
        <c:axId val="30242688"/>
      </c:barChart>
      <c:lineChart>
        <c:grouping val="standard"/>
        <c:varyColors val="0"/>
        <c:ser>
          <c:idx val="2"/>
          <c:order val="2"/>
          <c:tx>
            <c:strRef>
              <c:f>'CNNLIEEP (2)'!$D$21</c:f>
              <c:strCache>
                <c:ptCount val="1"/>
                <c:pt idx="0">
                  <c:v>Total Jobs</c:v>
                </c:pt>
              </c:strCache>
            </c:strRef>
          </c:tx>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(2)'!$D$22:$D$28</c:f>
              <c:numCache>
                <c:formatCode>General</c:formatCode>
                <c:ptCount val="7"/>
                <c:pt idx="0">
                  <c:v>1</c:v>
                </c:pt>
                <c:pt idx="1">
                  <c:v>1</c:v>
                </c:pt>
                <c:pt idx="2">
                  <c:v>6</c:v>
                </c:pt>
                <c:pt idx="3">
                  <c:v>2</c:v>
                </c:pt>
                <c:pt idx="4">
                  <c:v>4</c:v>
                </c:pt>
                <c:pt idx="5">
                  <c:v>8</c:v>
                </c:pt>
                <c:pt idx="6">
                  <c:v>7</c:v>
                </c:pt>
              </c:numCache>
            </c:numRef>
          </c:val>
          <c:smooth val="0"/>
        </c:ser>
        <c:dLbls>
          <c:showLegendKey val="0"/>
          <c:showVal val="0"/>
          <c:showCatName val="0"/>
          <c:showSerName val="0"/>
          <c:showPercent val="0"/>
          <c:showBubbleSize val="0"/>
        </c:dLbls>
        <c:marker val="1"/>
        <c:smooth val="0"/>
        <c:axId val="30244864"/>
        <c:axId val="30246400"/>
      </c:lineChart>
      <c:catAx>
        <c:axId val="30241152"/>
        <c:scaling>
          <c:orientation val="minMax"/>
        </c:scaling>
        <c:delete val="0"/>
        <c:axPos val="b"/>
        <c:numFmt formatCode="General" sourceLinked="1"/>
        <c:majorTickMark val="none"/>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30242688"/>
        <c:crosses val="autoZero"/>
        <c:auto val="1"/>
        <c:lblAlgn val="ctr"/>
        <c:lblOffset val="100"/>
        <c:noMultiLvlLbl val="0"/>
      </c:catAx>
      <c:valAx>
        <c:axId val="3024268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Total therm savings by measure</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0241152"/>
        <c:crosses val="autoZero"/>
        <c:crossBetween val="between"/>
      </c:valAx>
      <c:catAx>
        <c:axId val="30244864"/>
        <c:scaling>
          <c:orientation val="minMax"/>
        </c:scaling>
        <c:delete val="1"/>
        <c:axPos val="b"/>
        <c:majorTickMark val="out"/>
        <c:minorTickMark val="none"/>
        <c:tickLblPos val="nextTo"/>
        <c:crossAx val="30246400"/>
        <c:crosses val="autoZero"/>
        <c:auto val="1"/>
        <c:lblAlgn val="ctr"/>
        <c:lblOffset val="100"/>
        <c:noMultiLvlLbl val="0"/>
      </c:catAx>
      <c:valAx>
        <c:axId val="30246400"/>
        <c:scaling>
          <c:orientation val="minMax"/>
        </c:scaling>
        <c:delete val="0"/>
        <c:axPos val="r"/>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0244864"/>
        <c:crosses val="max"/>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2014-11-17T08:00:00+00:00</OpenedDate>
    <Date1 xmlns="dc463f71-b30c-4ab2-9473-d307f9d35888">2016-04-22T07:00:00+00:00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143895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7A61093ABC014296FD162118EA6A4E" ma:contentTypeVersion="175" ma:contentTypeDescription="" ma:contentTypeScope="" ma:versionID="91a163f1793baddc5c8fb45c569bb5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9D947-B127-4850-9A53-32E7371CC73A}"/>
</file>

<file path=customXml/itemProps2.xml><?xml version="1.0" encoding="utf-8"?>
<ds:datastoreItem xmlns:ds="http://schemas.openxmlformats.org/officeDocument/2006/customXml" ds:itemID="{21DC86CB-EA6D-4C02-B3FE-B35DB6D5F225}"/>
</file>

<file path=customXml/itemProps3.xml><?xml version="1.0" encoding="utf-8"?>
<ds:datastoreItem xmlns:ds="http://schemas.openxmlformats.org/officeDocument/2006/customXml" ds:itemID="{1AA71C17-FAE6-4AA9-9C22-DFF4E3E80280}"/>
</file>

<file path=customXml/itemProps4.xml><?xml version="1.0" encoding="utf-8"?>
<ds:datastoreItem xmlns:ds="http://schemas.openxmlformats.org/officeDocument/2006/customXml" ds:itemID="{12B133D9-9E09-4941-B421-344CAD22F59A}"/>
</file>

<file path=customXml/itemProps5.xml><?xml version="1.0" encoding="utf-8"?>
<ds:datastoreItem xmlns:ds="http://schemas.openxmlformats.org/officeDocument/2006/customXml" ds:itemID="{3F113D6B-0B9E-42E5-B33A-7278B484502E}"/>
</file>

<file path=docProps/app.xml><?xml version="1.0" encoding="utf-8"?>
<Properties xmlns="http://schemas.openxmlformats.org/officeDocument/2006/extended-properties" xmlns:vt="http://schemas.openxmlformats.org/officeDocument/2006/docPropsVTypes">
  <Template>Normal.dotm</Template>
  <TotalTime>2</TotalTime>
  <Pages>19</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Energy Trust of Oregon</Company>
  <LinksUpToDate>false</LinksUpToDate>
  <CharactersWithSpaces>25326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Thacher</dc:creator>
  <cp:lastModifiedBy>Narayan, Lalin</cp:lastModifiedBy>
  <cp:revision>2</cp:revision>
  <cp:lastPrinted>2016-03-25T17:28:00Z</cp:lastPrinted>
  <dcterms:created xsi:type="dcterms:W3CDTF">2016-04-22T22:12:00Z</dcterms:created>
  <dcterms:modified xsi:type="dcterms:W3CDTF">2016-04-22T22:12:00Z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The annual report for NWN WASHINGTON. Fiscal year is Oct - Sep, so includes Q4 2009 data. </vt:lpwstr>
  </property>
  <property fmtid="{D5CDD505-2E9C-101B-9397-08002B2CF9AE}" pid="3" name="ContentTypeId">
    <vt:lpwstr>0x0101006E56B4D1795A2E4DB2F0B01679ED314A007A7A61093ABC014296FD162118EA6A4E</vt:lpwstr>
  </property>
  <property fmtid="{D5CDD505-2E9C-101B-9397-08002B2CF9AE}" pid="4" name="_dlc_DocIdItemGuid">
    <vt:lpwstr>d4585f71-899a-4057-8b3a-9e1302127c90</vt:lpwstr>
  </property>
  <property fmtid="{D5CDD505-2E9C-101B-9397-08002B2CF9AE}" pid="5" name="_docset_NoMedatataSyncRequired">
    <vt:lpwstr>False</vt:lpwstr>
  </property>
</Properties>
</file>