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366" w:rsidRDefault="00B12366" w:rsidP="00B12366">
      <w:pPr>
        <w:pStyle w:val="IRPtitl"/>
      </w:pPr>
      <w:bookmarkStart w:id="0" w:name="_GoBack"/>
      <w:bookmarkEnd w:id="0"/>
    </w:p>
    <w:p w:rsidR="00045148" w:rsidRPr="00346BC1" w:rsidRDefault="003016D9" w:rsidP="00346BC1">
      <w:pPr>
        <w:pStyle w:val="IRPtitl"/>
        <w:rPr>
          <w:sz w:val="48"/>
          <w:szCs w:val="48"/>
        </w:rPr>
      </w:pPr>
      <w:r w:rsidRPr="001C0B33">
        <w:rPr>
          <w:sz w:val="48"/>
          <w:szCs w:val="48"/>
        </w:rPr>
        <w:t>ELECTRIC ENERGY STORAGE</w:t>
      </w:r>
      <w:r w:rsidR="00045148" w:rsidRPr="001C0B33">
        <w:br/>
      </w:r>
      <w:r w:rsidR="00FA2071">
        <w:rPr>
          <w:noProof/>
          <w:color w:val="FFFFFF" w:themeColor="background1"/>
          <w:lang w:eastAsia="en-US"/>
        </w:rPr>
        <mc:AlternateContent>
          <mc:Choice Requires="wps">
            <w:drawing>
              <wp:anchor distT="0" distB="0" distL="0" distR="182880" simplePos="0" relativeHeight="251661312" behindDoc="0" locked="0" layoutInCell="1" allowOverlap="1">
                <wp:simplePos x="0" y="0"/>
                <wp:positionH relativeFrom="margin">
                  <wp:posOffset>47625</wp:posOffset>
                </wp:positionH>
                <wp:positionV relativeFrom="line">
                  <wp:posOffset>224790</wp:posOffset>
                </wp:positionV>
                <wp:extent cx="2975610" cy="5251450"/>
                <wp:effectExtent l="0" t="0" r="0" b="6350"/>
                <wp:wrapThrough wrapText="right">
                  <wp:wrapPolygon edited="0">
                    <wp:start x="0" y="0"/>
                    <wp:lineTo x="0" y="21522"/>
                    <wp:lineTo x="21388" y="21522"/>
                    <wp:lineTo x="21388"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5251450"/>
                        </a:xfrm>
                        <a:prstGeom prst="rect">
                          <a:avLst/>
                        </a:prstGeom>
                        <a:solidFill>
                          <a:srgbClr val="71BB32"/>
                        </a:solidFill>
                        <a:ln>
                          <a:noFill/>
                        </a:ln>
                        <a:extLst/>
                      </wps:spPr>
                      <wps:txbx>
                        <w:txbxContent>
                          <w:p w:rsidR="00702A09" w:rsidRPr="00771D35" w:rsidRDefault="00702A09" w:rsidP="00601E72">
                            <w:pPr>
                              <w:pStyle w:val="IRPsub1"/>
                              <w:rPr>
                                <w:i w:val="0"/>
                                <w:sz w:val="32"/>
                                <w:szCs w:val="32"/>
                              </w:rPr>
                            </w:pPr>
                            <w:r>
                              <w:rPr>
                                <w:i w:val="0"/>
                                <w:sz w:val="32"/>
                                <w:szCs w:val="32"/>
                              </w:rPr>
                              <w:t>Contents</w:t>
                            </w:r>
                          </w:p>
                          <w:p w:rsidR="00702A09" w:rsidRDefault="00702A09" w:rsidP="00B87A3F">
                            <w:pPr>
                              <w:pStyle w:val="IRPsub1"/>
                              <w:spacing w:before="80" w:after="80"/>
                              <w:rPr>
                                <w:b/>
                                <w:color w:val="02265C"/>
                              </w:rPr>
                            </w:pPr>
                            <w:r>
                              <w:rPr>
                                <w:b/>
                                <w:color w:val="02265C"/>
                              </w:rPr>
                              <w:t>L-2. OVERVIEW</w:t>
                            </w:r>
                          </w:p>
                          <w:p w:rsidR="00702A09" w:rsidRPr="00A006C9" w:rsidRDefault="00702A09" w:rsidP="00F975F8">
                            <w:pPr>
                              <w:pStyle w:val="IRPsub1"/>
                              <w:numPr>
                                <w:ilvl w:val="0"/>
                                <w:numId w:val="36"/>
                              </w:numPr>
                              <w:spacing w:before="80" w:after="80"/>
                              <w:ind w:left="720"/>
                              <w:rPr>
                                <w:color w:val="02265C"/>
                              </w:rPr>
                            </w:pPr>
                            <w:r w:rsidRPr="00A006C9">
                              <w:rPr>
                                <w:color w:val="02265C"/>
                              </w:rPr>
                              <w:t>Recent Industry Developments</w:t>
                            </w:r>
                          </w:p>
                          <w:p w:rsidR="00702A09" w:rsidRPr="00B87A3F" w:rsidRDefault="00702A09" w:rsidP="003745CE">
                            <w:pPr>
                              <w:pStyle w:val="IRPsub1"/>
                              <w:spacing w:before="80" w:after="80"/>
                              <w:rPr>
                                <w:b/>
                                <w:caps/>
                                <w:color w:val="02265C"/>
                              </w:rPr>
                            </w:pPr>
                            <w:r w:rsidRPr="00B87A3F">
                              <w:rPr>
                                <w:b/>
                                <w:caps/>
                                <w:color w:val="02265C"/>
                              </w:rPr>
                              <w:t>L-</w:t>
                            </w:r>
                            <w:r>
                              <w:rPr>
                                <w:b/>
                                <w:caps/>
                                <w:color w:val="02265C"/>
                              </w:rPr>
                              <w:t>6</w:t>
                            </w:r>
                            <w:r w:rsidRPr="00B87A3F">
                              <w:rPr>
                                <w:b/>
                                <w:caps/>
                                <w:color w:val="02265C"/>
                              </w:rPr>
                              <w:t xml:space="preserve">. Potential </w:t>
                            </w:r>
                            <w:r>
                              <w:rPr>
                                <w:b/>
                                <w:caps/>
                                <w:color w:val="02265C"/>
                              </w:rPr>
                              <w:t xml:space="preserve">electricity </w:t>
                            </w:r>
                            <w:r>
                              <w:rPr>
                                <w:b/>
                                <w:caps/>
                                <w:color w:val="02265C"/>
                              </w:rPr>
                              <w:br/>
                              <w:t xml:space="preserve">       </w:t>
                            </w:r>
                            <w:r w:rsidRPr="00B87A3F">
                              <w:rPr>
                                <w:b/>
                                <w:caps/>
                                <w:color w:val="02265C"/>
                              </w:rPr>
                              <w:t xml:space="preserve">Storage </w:t>
                            </w:r>
                            <w:r>
                              <w:rPr>
                                <w:b/>
                                <w:caps/>
                                <w:color w:val="02265C"/>
                              </w:rPr>
                              <w:t xml:space="preserve"> </w:t>
                            </w:r>
                            <w:r w:rsidRPr="00B87A3F">
                              <w:rPr>
                                <w:b/>
                                <w:caps/>
                                <w:color w:val="02265C"/>
                              </w:rPr>
                              <w:t>Services</w:t>
                            </w:r>
                          </w:p>
                          <w:p w:rsidR="00702A09" w:rsidRPr="00B87A3F" w:rsidRDefault="00702A09" w:rsidP="00B87A3F">
                            <w:pPr>
                              <w:pStyle w:val="IRPsub1"/>
                              <w:tabs>
                                <w:tab w:val="left" w:pos="270"/>
                              </w:tabs>
                              <w:spacing w:before="80" w:after="80"/>
                              <w:rPr>
                                <w:b/>
                                <w:caps/>
                                <w:color w:val="02265C"/>
                              </w:rPr>
                            </w:pPr>
                            <w:r>
                              <w:rPr>
                                <w:b/>
                                <w:caps/>
                                <w:color w:val="02265C"/>
                              </w:rPr>
                              <w:t xml:space="preserve">L-11. Energy Storage </w:t>
                            </w:r>
                            <w:r>
                              <w:rPr>
                                <w:b/>
                                <w:caps/>
                                <w:color w:val="02265C"/>
                              </w:rPr>
                              <w:br/>
                              <w:t xml:space="preserve">      </w:t>
                            </w:r>
                            <w:r w:rsidRPr="00B87A3F">
                              <w:rPr>
                                <w:b/>
                                <w:caps/>
                                <w:color w:val="02265C"/>
                              </w:rPr>
                              <w:t>Technologies</w:t>
                            </w:r>
                          </w:p>
                          <w:p w:rsidR="00702A09" w:rsidRPr="00771D35" w:rsidRDefault="00702A09" w:rsidP="00C12FBA">
                            <w:pPr>
                              <w:pStyle w:val="IRPsub1"/>
                              <w:numPr>
                                <w:ilvl w:val="0"/>
                                <w:numId w:val="2"/>
                              </w:numPr>
                              <w:spacing w:before="80" w:after="80"/>
                              <w:rPr>
                                <w:color w:val="02265C"/>
                              </w:rPr>
                            </w:pPr>
                            <w:r>
                              <w:rPr>
                                <w:color w:val="02265C"/>
                              </w:rPr>
                              <w:t>Chemical Storage (Batteries)</w:t>
                            </w:r>
                          </w:p>
                          <w:p w:rsidR="00702A09" w:rsidRDefault="00702A09" w:rsidP="00C12FBA">
                            <w:pPr>
                              <w:pStyle w:val="IRPsub1"/>
                              <w:numPr>
                                <w:ilvl w:val="0"/>
                                <w:numId w:val="2"/>
                              </w:numPr>
                              <w:spacing w:before="80" w:after="80"/>
                              <w:rPr>
                                <w:color w:val="02265C"/>
                              </w:rPr>
                            </w:pPr>
                            <w:r>
                              <w:rPr>
                                <w:color w:val="02265C"/>
                              </w:rPr>
                              <w:t>Mechanical Storage</w:t>
                            </w:r>
                          </w:p>
                          <w:p w:rsidR="00702A09" w:rsidRDefault="00702A09" w:rsidP="00C12FBA">
                            <w:pPr>
                              <w:pStyle w:val="IRPsub1"/>
                              <w:numPr>
                                <w:ilvl w:val="0"/>
                                <w:numId w:val="2"/>
                              </w:numPr>
                              <w:spacing w:before="80" w:after="80"/>
                              <w:rPr>
                                <w:color w:val="02265C"/>
                              </w:rPr>
                            </w:pPr>
                            <w:r>
                              <w:rPr>
                                <w:color w:val="02265C"/>
                              </w:rPr>
                              <w:t>Thermal Storage</w:t>
                            </w:r>
                          </w:p>
                          <w:p w:rsidR="00702A09" w:rsidRPr="003016D9" w:rsidRDefault="00702A09" w:rsidP="003016D9">
                            <w:pPr>
                              <w:pStyle w:val="IRPsub1"/>
                              <w:numPr>
                                <w:ilvl w:val="0"/>
                                <w:numId w:val="2"/>
                              </w:numPr>
                              <w:spacing w:before="80" w:after="80"/>
                              <w:rPr>
                                <w:color w:val="02265C"/>
                              </w:rPr>
                            </w:pPr>
                            <w:r>
                              <w:rPr>
                                <w:color w:val="02265C"/>
                              </w:rPr>
                              <w:t>Bulk Gravitational Storage</w:t>
                            </w:r>
                          </w:p>
                          <w:p w:rsidR="00702A09" w:rsidRPr="00B87A3F" w:rsidRDefault="00702A09" w:rsidP="00B87A3F">
                            <w:pPr>
                              <w:pStyle w:val="IRPsub1"/>
                              <w:spacing w:before="80" w:after="80"/>
                              <w:rPr>
                                <w:b/>
                                <w:caps/>
                                <w:color w:val="02265C"/>
                              </w:rPr>
                            </w:pPr>
                            <w:r>
                              <w:rPr>
                                <w:b/>
                                <w:caps/>
                                <w:color w:val="02265C"/>
                              </w:rPr>
                              <w:t>L-28</w:t>
                            </w:r>
                            <w:r w:rsidRPr="00B87A3F">
                              <w:rPr>
                                <w:b/>
                                <w:caps/>
                                <w:color w:val="02265C"/>
                              </w:rPr>
                              <w:t xml:space="preserve">. Development </w:t>
                            </w:r>
                            <w:r>
                              <w:rPr>
                                <w:b/>
                                <w:caps/>
                                <w:color w:val="02265C"/>
                              </w:rPr>
                              <w:br/>
                              <w:t xml:space="preserve">      </w:t>
                            </w:r>
                            <w:r w:rsidRPr="00B87A3F">
                              <w:rPr>
                                <w:b/>
                                <w:caps/>
                                <w:color w:val="02265C"/>
                              </w:rPr>
                              <w:t>Considerations</w:t>
                            </w:r>
                          </w:p>
                          <w:p w:rsidR="00702A09" w:rsidRPr="00771D35" w:rsidRDefault="00702A09" w:rsidP="00C12FBA">
                            <w:pPr>
                              <w:pStyle w:val="IRPsub1"/>
                              <w:numPr>
                                <w:ilvl w:val="0"/>
                                <w:numId w:val="2"/>
                              </w:numPr>
                              <w:spacing w:before="80" w:after="80"/>
                              <w:rPr>
                                <w:color w:val="02265C"/>
                              </w:rPr>
                            </w:pPr>
                            <w:r>
                              <w:rPr>
                                <w:color w:val="02265C"/>
                              </w:rPr>
                              <w:t>Siting Storage</w:t>
                            </w:r>
                          </w:p>
                          <w:p w:rsidR="00702A09" w:rsidRDefault="00702A09" w:rsidP="00C12FBA">
                            <w:pPr>
                              <w:pStyle w:val="IRPsub1"/>
                              <w:numPr>
                                <w:ilvl w:val="0"/>
                                <w:numId w:val="2"/>
                              </w:numPr>
                              <w:spacing w:before="80" w:after="80"/>
                              <w:rPr>
                                <w:color w:val="02265C"/>
                              </w:rPr>
                            </w:pPr>
                            <w:r>
                              <w:rPr>
                                <w:color w:val="02265C"/>
                              </w:rPr>
                              <w:t>Development Timelines</w:t>
                            </w:r>
                          </w:p>
                          <w:p w:rsidR="00702A09" w:rsidRPr="00B87A3F" w:rsidRDefault="00702A09" w:rsidP="00B87A3F">
                            <w:pPr>
                              <w:pStyle w:val="IRPsub1"/>
                              <w:spacing w:before="80" w:after="80"/>
                              <w:rPr>
                                <w:b/>
                                <w:caps/>
                                <w:color w:val="02265C"/>
                              </w:rPr>
                            </w:pPr>
                            <w:r>
                              <w:rPr>
                                <w:b/>
                                <w:caps/>
                                <w:color w:val="02265C"/>
                              </w:rPr>
                              <w:t>L-31</w:t>
                            </w:r>
                            <w:r w:rsidRPr="00B87A3F">
                              <w:rPr>
                                <w:b/>
                                <w:caps/>
                                <w:color w:val="02265C"/>
                              </w:rPr>
                              <w:t>. PSE Storage Analysis</w:t>
                            </w:r>
                          </w:p>
                          <w:p w:rsidR="00702A09" w:rsidRPr="003016D9" w:rsidRDefault="00702A09" w:rsidP="003016D9">
                            <w:pPr>
                              <w:pStyle w:val="IRPsub1"/>
                              <w:numPr>
                                <w:ilvl w:val="0"/>
                                <w:numId w:val="2"/>
                              </w:numPr>
                              <w:spacing w:before="80" w:after="80"/>
                              <w:rPr>
                                <w:color w:val="02265C"/>
                              </w:rPr>
                            </w:pPr>
                            <w:r>
                              <w:rPr>
                                <w:color w:val="02265C"/>
                              </w:rPr>
                              <w:t>Technologies Modeled</w:t>
                            </w:r>
                          </w:p>
                          <w:p w:rsidR="00702A09" w:rsidRDefault="00702A09" w:rsidP="00C12FBA">
                            <w:pPr>
                              <w:pStyle w:val="IRPsub1"/>
                              <w:numPr>
                                <w:ilvl w:val="0"/>
                                <w:numId w:val="2"/>
                              </w:numPr>
                              <w:spacing w:before="80" w:after="80"/>
                              <w:rPr>
                                <w:color w:val="02265C"/>
                              </w:rPr>
                            </w:pPr>
                            <w:r>
                              <w:rPr>
                                <w:color w:val="02265C"/>
                              </w:rPr>
                              <w:t>Sizing Assumptions</w:t>
                            </w:r>
                          </w:p>
                          <w:p w:rsidR="00702A09" w:rsidRPr="00771D35" w:rsidRDefault="00702A09" w:rsidP="00890FDA">
                            <w:pPr>
                              <w:pStyle w:val="IRPsub1"/>
                              <w:numPr>
                                <w:ilvl w:val="0"/>
                                <w:numId w:val="2"/>
                              </w:numPr>
                              <w:spacing w:before="80" w:after="80"/>
                              <w:rPr>
                                <w:color w:val="02265C"/>
                              </w:rPr>
                            </w:pPr>
                            <w:r>
                              <w:rPr>
                                <w:color w:val="02265C"/>
                              </w:rPr>
                              <w:t>Performance Metrics</w:t>
                            </w:r>
                          </w:p>
                          <w:p w:rsidR="00702A09" w:rsidRDefault="00702A09" w:rsidP="00890FDA">
                            <w:pPr>
                              <w:pStyle w:val="IRPsub1"/>
                              <w:numPr>
                                <w:ilvl w:val="0"/>
                                <w:numId w:val="2"/>
                              </w:numPr>
                              <w:spacing w:before="80" w:after="80"/>
                              <w:rPr>
                                <w:color w:val="02265C"/>
                              </w:rPr>
                            </w:pPr>
                            <w:r>
                              <w:rPr>
                                <w:color w:val="02265C"/>
                              </w:rPr>
                              <w:t>Generic Costs</w:t>
                            </w:r>
                          </w:p>
                          <w:p w:rsidR="00702A09" w:rsidRDefault="00702A09" w:rsidP="00890FDA">
                            <w:pPr>
                              <w:pStyle w:val="IRPsub1"/>
                              <w:numPr>
                                <w:ilvl w:val="0"/>
                                <w:numId w:val="2"/>
                              </w:numPr>
                              <w:spacing w:before="80" w:after="80"/>
                              <w:rPr>
                                <w:color w:val="02265C"/>
                              </w:rPr>
                            </w:pPr>
                            <w:r>
                              <w:rPr>
                                <w:color w:val="02265C"/>
                              </w:rPr>
                              <w:t>Battery System Cost Assumptions</w:t>
                            </w:r>
                          </w:p>
                          <w:p w:rsidR="00702A09" w:rsidRDefault="00702A09" w:rsidP="00890FDA">
                            <w:pPr>
                              <w:pStyle w:val="IRPsub1"/>
                              <w:numPr>
                                <w:ilvl w:val="0"/>
                                <w:numId w:val="2"/>
                              </w:numPr>
                              <w:spacing w:before="80" w:after="80"/>
                              <w:rPr>
                                <w:color w:val="02265C"/>
                              </w:rPr>
                            </w:pPr>
                            <w:r>
                              <w:rPr>
                                <w:color w:val="02265C"/>
                              </w:rPr>
                              <w:t>Methodology</w:t>
                            </w:r>
                          </w:p>
                          <w:p w:rsidR="00702A09" w:rsidRDefault="00702A09" w:rsidP="00890FDA">
                            <w:pPr>
                              <w:pStyle w:val="IRPsub1"/>
                              <w:numPr>
                                <w:ilvl w:val="0"/>
                                <w:numId w:val="2"/>
                              </w:numPr>
                              <w:spacing w:before="80" w:after="80"/>
                              <w:rPr>
                                <w:color w:val="02265C"/>
                              </w:rPr>
                            </w:pPr>
                            <w:r>
                              <w:rPr>
                                <w:color w:val="02265C"/>
                              </w:rPr>
                              <w:t>Pilot Project</w:t>
                            </w:r>
                          </w:p>
                          <w:p w:rsidR="00702A09" w:rsidRDefault="00702A09" w:rsidP="00A42BDB">
                            <w:pPr>
                              <w:pStyle w:val="IRPsub1"/>
                              <w:spacing w:before="80" w:after="80"/>
                              <w:ind w:left="720"/>
                              <w:rPr>
                                <w:color w:val="02265C"/>
                              </w:rPr>
                            </w:pPr>
                          </w:p>
                          <w:p w:rsidR="00702A09" w:rsidRPr="00771D35" w:rsidRDefault="00702A09" w:rsidP="00890FDA">
                            <w:pPr>
                              <w:pStyle w:val="IRPsub1"/>
                              <w:spacing w:before="80" w:after="80"/>
                              <w:rPr>
                                <w:color w:val="02265C"/>
                              </w:rPr>
                            </w:pPr>
                          </w:p>
                          <w:p w:rsidR="00702A09" w:rsidRPr="00771D35" w:rsidRDefault="00702A09" w:rsidP="00B12366">
                            <w:pPr>
                              <w:pStyle w:val="IRPsub1"/>
                              <w:spacing w:before="80" w:after="80"/>
                              <w:ind w:firstLine="270"/>
                              <w:rPr>
                                <w:color w:val="02265C"/>
                              </w:rPr>
                            </w:pPr>
                          </w:p>
                          <w:p w:rsidR="00702A09" w:rsidRPr="00D013FE" w:rsidRDefault="00702A09" w:rsidP="00601E72">
                            <w:pPr>
                              <w:pStyle w:val="IRPsub1"/>
                            </w:pPr>
                          </w:p>
                          <w:p w:rsidR="00702A09" w:rsidRPr="00D013FE" w:rsidRDefault="00702A09" w:rsidP="00601E72">
                            <w:pPr>
                              <w:pStyle w:val="IRPsub1"/>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left:0;text-align:left;margin-left:3.75pt;margin-top:17.7pt;width:234.3pt;height:413.5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" fillcolor="#71bb32" stroked="f">
                <v:textbox inset="14.4pt,7.2pt,,7.2pt">
                  <w:txbxContent>
                    <w:p w:rsidR="00702A09" w:rsidRPr="00771D35" w:rsidRDefault="00702A09" w:rsidP="00601E72">
                      <w:pPr>
                        <w:pStyle w:val="IRPsub1"/>
                        <w:rPr>
                          <w:i w:val="0"/>
                          <w:sz w:val="32"/>
                          <w:szCs w:val="32"/>
                        </w:rPr>
                      </w:pPr>
                      <w:r>
                        <w:rPr>
                          <w:i w:val="0"/>
                          <w:sz w:val="32"/>
                          <w:szCs w:val="32"/>
                        </w:rPr>
                        <w:t>Contents</w:t>
                      </w:r>
                    </w:p>
                    <w:p w:rsidR="00702A09" w:rsidRDefault="00702A09" w:rsidP="00B87A3F">
                      <w:pPr>
                        <w:pStyle w:val="IRPsub1"/>
                        <w:spacing w:before="80" w:after="80"/>
                        <w:rPr>
                          <w:b/>
                          <w:color w:val="02265C"/>
                        </w:rPr>
                      </w:pPr>
                      <w:r>
                        <w:rPr>
                          <w:b/>
                          <w:color w:val="02265C"/>
                        </w:rPr>
                        <w:t>L-2. OVERVIEW</w:t>
                      </w:r>
                    </w:p>
                    <w:p w:rsidR="00702A09" w:rsidRPr="00A006C9" w:rsidRDefault="00702A09" w:rsidP="00F975F8">
                      <w:pPr>
                        <w:pStyle w:val="IRPsub1"/>
                        <w:numPr>
                          <w:ilvl w:val="0"/>
                          <w:numId w:val="36"/>
                        </w:numPr>
                        <w:spacing w:before="80" w:after="80"/>
                        <w:ind w:left="720"/>
                        <w:rPr>
                          <w:color w:val="02265C"/>
                        </w:rPr>
                      </w:pPr>
                      <w:r w:rsidRPr="00A006C9">
                        <w:rPr>
                          <w:color w:val="02265C"/>
                        </w:rPr>
                        <w:t>Recent Industry Developments</w:t>
                      </w:r>
                    </w:p>
                    <w:p w:rsidR="00702A09" w:rsidRPr="00B87A3F" w:rsidRDefault="00702A09" w:rsidP="003745CE">
                      <w:pPr>
                        <w:pStyle w:val="IRPsub1"/>
                        <w:spacing w:before="80" w:after="80"/>
                        <w:rPr>
                          <w:b/>
                          <w:caps/>
                          <w:color w:val="02265C"/>
                        </w:rPr>
                      </w:pPr>
                      <w:r w:rsidRPr="00B87A3F">
                        <w:rPr>
                          <w:b/>
                          <w:caps/>
                          <w:color w:val="02265C"/>
                        </w:rPr>
                        <w:t>L-</w:t>
                      </w:r>
                      <w:r>
                        <w:rPr>
                          <w:b/>
                          <w:caps/>
                          <w:color w:val="02265C"/>
                        </w:rPr>
                        <w:t>6</w:t>
                      </w:r>
                      <w:r w:rsidRPr="00B87A3F">
                        <w:rPr>
                          <w:b/>
                          <w:caps/>
                          <w:color w:val="02265C"/>
                        </w:rPr>
                        <w:t xml:space="preserve">. Potential </w:t>
                      </w:r>
                      <w:r>
                        <w:rPr>
                          <w:b/>
                          <w:caps/>
                          <w:color w:val="02265C"/>
                        </w:rPr>
                        <w:t xml:space="preserve">electricity </w:t>
                      </w:r>
                      <w:r>
                        <w:rPr>
                          <w:b/>
                          <w:caps/>
                          <w:color w:val="02265C"/>
                        </w:rPr>
                        <w:br/>
                        <w:t xml:space="preserve">       </w:t>
                      </w:r>
                      <w:r w:rsidRPr="00B87A3F">
                        <w:rPr>
                          <w:b/>
                          <w:caps/>
                          <w:color w:val="02265C"/>
                        </w:rPr>
                        <w:t xml:space="preserve">Storage </w:t>
                      </w:r>
                      <w:r>
                        <w:rPr>
                          <w:b/>
                          <w:caps/>
                          <w:color w:val="02265C"/>
                        </w:rPr>
                        <w:t xml:space="preserve"> </w:t>
                      </w:r>
                      <w:r w:rsidRPr="00B87A3F">
                        <w:rPr>
                          <w:b/>
                          <w:caps/>
                          <w:color w:val="02265C"/>
                        </w:rPr>
                        <w:t>Services</w:t>
                      </w:r>
                    </w:p>
                    <w:p w:rsidR="00702A09" w:rsidRPr="00B87A3F" w:rsidRDefault="00702A09" w:rsidP="00B87A3F">
                      <w:pPr>
                        <w:pStyle w:val="IRPsub1"/>
                        <w:tabs>
                          <w:tab w:val="left" w:pos="270"/>
                        </w:tabs>
                        <w:spacing w:before="80" w:after="80"/>
                        <w:rPr>
                          <w:b/>
                          <w:caps/>
                          <w:color w:val="02265C"/>
                        </w:rPr>
                      </w:pPr>
                      <w:r>
                        <w:rPr>
                          <w:b/>
                          <w:caps/>
                          <w:color w:val="02265C"/>
                        </w:rPr>
                        <w:t xml:space="preserve">L-11. Energy Storage </w:t>
                      </w:r>
                      <w:r>
                        <w:rPr>
                          <w:b/>
                          <w:caps/>
                          <w:color w:val="02265C"/>
                        </w:rPr>
                        <w:br/>
                        <w:t xml:space="preserve">      </w:t>
                      </w:r>
                      <w:r w:rsidRPr="00B87A3F">
                        <w:rPr>
                          <w:b/>
                          <w:caps/>
                          <w:color w:val="02265C"/>
                        </w:rPr>
                        <w:t>Technologies</w:t>
                      </w:r>
                    </w:p>
                    <w:p w:rsidR="00702A09" w:rsidRPr="00771D35" w:rsidRDefault="00702A09" w:rsidP="00C12FBA">
                      <w:pPr>
                        <w:pStyle w:val="IRPsub1"/>
                        <w:numPr>
                          <w:ilvl w:val="0"/>
                          <w:numId w:val="2"/>
                        </w:numPr>
                        <w:spacing w:before="80" w:after="80"/>
                        <w:rPr>
                          <w:color w:val="02265C"/>
                        </w:rPr>
                      </w:pPr>
                      <w:r>
                        <w:rPr>
                          <w:color w:val="02265C"/>
                        </w:rPr>
                        <w:t>Chemical Storage (Batteries)</w:t>
                      </w:r>
                    </w:p>
                    <w:p w:rsidR="00702A09" w:rsidRDefault="00702A09" w:rsidP="00C12FBA">
                      <w:pPr>
                        <w:pStyle w:val="IRPsub1"/>
                        <w:numPr>
                          <w:ilvl w:val="0"/>
                          <w:numId w:val="2"/>
                        </w:numPr>
                        <w:spacing w:before="80" w:after="80"/>
                        <w:rPr>
                          <w:color w:val="02265C"/>
                        </w:rPr>
                      </w:pPr>
                      <w:r>
                        <w:rPr>
                          <w:color w:val="02265C"/>
                        </w:rPr>
                        <w:t>Mechanical Storage</w:t>
                      </w:r>
                    </w:p>
                    <w:p w:rsidR="00702A09" w:rsidRDefault="00702A09" w:rsidP="00C12FBA">
                      <w:pPr>
                        <w:pStyle w:val="IRPsub1"/>
                        <w:numPr>
                          <w:ilvl w:val="0"/>
                          <w:numId w:val="2"/>
                        </w:numPr>
                        <w:spacing w:before="80" w:after="80"/>
                        <w:rPr>
                          <w:color w:val="02265C"/>
                        </w:rPr>
                      </w:pPr>
                      <w:r>
                        <w:rPr>
                          <w:color w:val="02265C"/>
                        </w:rPr>
                        <w:t>Thermal Storage</w:t>
                      </w:r>
                    </w:p>
                    <w:p w:rsidR="00702A09" w:rsidRPr="003016D9" w:rsidRDefault="00702A09" w:rsidP="003016D9">
                      <w:pPr>
                        <w:pStyle w:val="IRPsub1"/>
                        <w:numPr>
                          <w:ilvl w:val="0"/>
                          <w:numId w:val="2"/>
                        </w:numPr>
                        <w:spacing w:before="80" w:after="80"/>
                        <w:rPr>
                          <w:color w:val="02265C"/>
                        </w:rPr>
                      </w:pPr>
                      <w:r>
                        <w:rPr>
                          <w:color w:val="02265C"/>
                        </w:rPr>
                        <w:t>Bulk Gravitational Storage</w:t>
                      </w:r>
                    </w:p>
                    <w:p w:rsidR="00702A09" w:rsidRPr="00B87A3F" w:rsidRDefault="00702A09" w:rsidP="00B87A3F">
                      <w:pPr>
                        <w:pStyle w:val="IRPsub1"/>
                        <w:spacing w:before="80" w:after="80"/>
                        <w:rPr>
                          <w:b/>
                          <w:caps/>
                          <w:color w:val="02265C"/>
                        </w:rPr>
                      </w:pPr>
                      <w:r>
                        <w:rPr>
                          <w:b/>
                          <w:caps/>
                          <w:color w:val="02265C"/>
                        </w:rPr>
                        <w:t>L-28</w:t>
                      </w:r>
                      <w:r w:rsidRPr="00B87A3F">
                        <w:rPr>
                          <w:b/>
                          <w:caps/>
                          <w:color w:val="02265C"/>
                        </w:rPr>
                        <w:t xml:space="preserve">. Development </w:t>
                      </w:r>
                      <w:r>
                        <w:rPr>
                          <w:b/>
                          <w:caps/>
                          <w:color w:val="02265C"/>
                        </w:rPr>
                        <w:br/>
                        <w:t xml:space="preserve">      </w:t>
                      </w:r>
                      <w:r w:rsidRPr="00B87A3F">
                        <w:rPr>
                          <w:b/>
                          <w:caps/>
                          <w:color w:val="02265C"/>
                        </w:rPr>
                        <w:t>Considerations</w:t>
                      </w:r>
                    </w:p>
                    <w:p w:rsidR="00702A09" w:rsidRPr="00771D35" w:rsidRDefault="00702A09" w:rsidP="00C12FBA">
                      <w:pPr>
                        <w:pStyle w:val="IRPsub1"/>
                        <w:numPr>
                          <w:ilvl w:val="0"/>
                          <w:numId w:val="2"/>
                        </w:numPr>
                        <w:spacing w:before="80" w:after="80"/>
                        <w:rPr>
                          <w:color w:val="02265C"/>
                        </w:rPr>
                      </w:pPr>
                      <w:r>
                        <w:rPr>
                          <w:color w:val="02265C"/>
                        </w:rPr>
                        <w:t>Siting Storage</w:t>
                      </w:r>
                    </w:p>
                    <w:p w:rsidR="00702A09" w:rsidRDefault="00702A09" w:rsidP="00C12FBA">
                      <w:pPr>
                        <w:pStyle w:val="IRPsub1"/>
                        <w:numPr>
                          <w:ilvl w:val="0"/>
                          <w:numId w:val="2"/>
                        </w:numPr>
                        <w:spacing w:before="80" w:after="80"/>
                        <w:rPr>
                          <w:color w:val="02265C"/>
                        </w:rPr>
                      </w:pPr>
                      <w:r>
                        <w:rPr>
                          <w:color w:val="02265C"/>
                        </w:rPr>
                        <w:t>Development Timelines</w:t>
                      </w:r>
                    </w:p>
                    <w:p w:rsidR="00702A09" w:rsidRPr="00B87A3F" w:rsidRDefault="00702A09" w:rsidP="00B87A3F">
                      <w:pPr>
                        <w:pStyle w:val="IRPsub1"/>
                        <w:spacing w:before="80" w:after="80"/>
                        <w:rPr>
                          <w:b/>
                          <w:caps/>
                          <w:color w:val="02265C"/>
                        </w:rPr>
                      </w:pPr>
                      <w:r>
                        <w:rPr>
                          <w:b/>
                          <w:caps/>
                          <w:color w:val="02265C"/>
                        </w:rPr>
                        <w:t>L-31</w:t>
                      </w:r>
                      <w:r w:rsidRPr="00B87A3F">
                        <w:rPr>
                          <w:b/>
                          <w:caps/>
                          <w:color w:val="02265C"/>
                        </w:rPr>
                        <w:t>. PSE Storage Analysis</w:t>
                      </w:r>
                    </w:p>
                    <w:p w:rsidR="00702A09" w:rsidRPr="003016D9" w:rsidRDefault="00702A09" w:rsidP="003016D9">
                      <w:pPr>
                        <w:pStyle w:val="IRPsub1"/>
                        <w:numPr>
                          <w:ilvl w:val="0"/>
                          <w:numId w:val="2"/>
                        </w:numPr>
                        <w:spacing w:before="80" w:after="80"/>
                        <w:rPr>
                          <w:color w:val="02265C"/>
                        </w:rPr>
                      </w:pPr>
                      <w:r>
                        <w:rPr>
                          <w:color w:val="02265C"/>
                        </w:rPr>
                        <w:t>Technologies Modeled</w:t>
                      </w:r>
                    </w:p>
                    <w:p w:rsidR="00702A09" w:rsidRDefault="00702A09" w:rsidP="00C12FBA">
                      <w:pPr>
                        <w:pStyle w:val="IRPsub1"/>
                        <w:numPr>
                          <w:ilvl w:val="0"/>
                          <w:numId w:val="2"/>
                        </w:numPr>
                        <w:spacing w:before="80" w:after="80"/>
                        <w:rPr>
                          <w:color w:val="02265C"/>
                        </w:rPr>
                      </w:pPr>
                      <w:r>
                        <w:rPr>
                          <w:color w:val="02265C"/>
                        </w:rPr>
                        <w:t>Sizing Assumptions</w:t>
                      </w:r>
                    </w:p>
                    <w:p w:rsidR="00702A09" w:rsidRPr="00771D35" w:rsidRDefault="00702A09" w:rsidP="00890FDA">
                      <w:pPr>
                        <w:pStyle w:val="IRPsub1"/>
                        <w:numPr>
                          <w:ilvl w:val="0"/>
                          <w:numId w:val="2"/>
                        </w:numPr>
                        <w:spacing w:before="80" w:after="80"/>
                        <w:rPr>
                          <w:color w:val="02265C"/>
                        </w:rPr>
                      </w:pPr>
                      <w:r>
                        <w:rPr>
                          <w:color w:val="02265C"/>
                        </w:rPr>
                        <w:t>Performance Metrics</w:t>
                      </w:r>
                    </w:p>
                    <w:p w:rsidR="00702A09" w:rsidRDefault="00702A09" w:rsidP="00890FDA">
                      <w:pPr>
                        <w:pStyle w:val="IRPsub1"/>
                        <w:numPr>
                          <w:ilvl w:val="0"/>
                          <w:numId w:val="2"/>
                        </w:numPr>
                        <w:spacing w:before="80" w:after="80"/>
                        <w:rPr>
                          <w:color w:val="02265C"/>
                        </w:rPr>
                      </w:pPr>
                      <w:r>
                        <w:rPr>
                          <w:color w:val="02265C"/>
                        </w:rPr>
                        <w:t>Generic Costs</w:t>
                      </w:r>
                    </w:p>
                    <w:p w:rsidR="00702A09" w:rsidRDefault="00702A09" w:rsidP="00890FDA">
                      <w:pPr>
                        <w:pStyle w:val="IRPsub1"/>
                        <w:numPr>
                          <w:ilvl w:val="0"/>
                          <w:numId w:val="2"/>
                        </w:numPr>
                        <w:spacing w:before="80" w:after="80"/>
                        <w:rPr>
                          <w:color w:val="02265C"/>
                        </w:rPr>
                      </w:pPr>
                      <w:r>
                        <w:rPr>
                          <w:color w:val="02265C"/>
                        </w:rPr>
                        <w:t>Battery System Cost Assumptions</w:t>
                      </w:r>
                    </w:p>
                    <w:p w:rsidR="00702A09" w:rsidRDefault="00702A09" w:rsidP="00890FDA">
                      <w:pPr>
                        <w:pStyle w:val="IRPsub1"/>
                        <w:numPr>
                          <w:ilvl w:val="0"/>
                          <w:numId w:val="2"/>
                        </w:numPr>
                        <w:spacing w:before="80" w:after="80"/>
                        <w:rPr>
                          <w:color w:val="02265C"/>
                        </w:rPr>
                      </w:pPr>
                      <w:r>
                        <w:rPr>
                          <w:color w:val="02265C"/>
                        </w:rPr>
                        <w:t>Methodology</w:t>
                      </w:r>
                    </w:p>
                    <w:p w:rsidR="00702A09" w:rsidRDefault="00702A09" w:rsidP="00890FDA">
                      <w:pPr>
                        <w:pStyle w:val="IRPsub1"/>
                        <w:numPr>
                          <w:ilvl w:val="0"/>
                          <w:numId w:val="2"/>
                        </w:numPr>
                        <w:spacing w:before="80" w:after="80"/>
                        <w:rPr>
                          <w:color w:val="02265C"/>
                        </w:rPr>
                      </w:pPr>
                      <w:r>
                        <w:rPr>
                          <w:color w:val="02265C"/>
                        </w:rPr>
                        <w:t>Pilot Project</w:t>
                      </w:r>
                    </w:p>
                    <w:p w:rsidR="00702A09" w:rsidRDefault="00702A09" w:rsidP="00A42BDB">
                      <w:pPr>
                        <w:pStyle w:val="IRPsub1"/>
                        <w:spacing w:before="80" w:after="80"/>
                        <w:ind w:left="720"/>
                        <w:rPr>
                          <w:color w:val="02265C"/>
                        </w:rPr>
                      </w:pPr>
                    </w:p>
                    <w:p w:rsidR="00702A09" w:rsidRPr="00771D35" w:rsidRDefault="00702A09" w:rsidP="00890FDA">
                      <w:pPr>
                        <w:pStyle w:val="IRPsub1"/>
                        <w:spacing w:before="80" w:after="80"/>
                        <w:rPr>
                          <w:color w:val="02265C"/>
                        </w:rPr>
                      </w:pPr>
                    </w:p>
                    <w:p w:rsidR="00702A09" w:rsidRPr="00771D35" w:rsidRDefault="00702A09" w:rsidP="00B12366">
                      <w:pPr>
                        <w:pStyle w:val="IRPsub1"/>
                        <w:spacing w:before="80" w:after="80"/>
                        <w:ind w:firstLine="270"/>
                        <w:rPr>
                          <w:color w:val="02265C"/>
                        </w:rPr>
                      </w:pPr>
                    </w:p>
                    <w:p w:rsidR="00702A09" w:rsidRPr="00D013FE" w:rsidRDefault="00702A09" w:rsidP="00601E72">
                      <w:pPr>
                        <w:pStyle w:val="IRPsub1"/>
                      </w:pPr>
                    </w:p>
                    <w:p w:rsidR="00702A09" w:rsidRPr="00D013FE" w:rsidRDefault="00702A09" w:rsidP="00601E72">
                      <w:pPr>
                        <w:pStyle w:val="IRPsub1"/>
                      </w:pPr>
                    </w:p>
                  </w:txbxContent>
                </v:textbox>
                <w10:wrap type="through" side="right" anchorx="margin" anchory="line"/>
              </v:shape>
            </w:pict>
          </mc:Fallback>
        </mc:AlternateContent>
      </w:r>
    </w:p>
    <w:p w:rsidR="003016D9" w:rsidRPr="001C0B33" w:rsidRDefault="003016D9" w:rsidP="003016D9">
      <w:pPr>
        <w:pStyle w:val="IRPseriftextbig"/>
      </w:pPr>
      <w:r w:rsidRPr="001C0B33">
        <w:t>The electric energy storage industry has made significant progress in recent years. This year, for the first time, PSE mo</w:t>
      </w:r>
      <w:r w:rsidRPr="0010292E">
        <w:t>dels two types of storage technology in</w:t>
      </w:r>
      <w:r w:rsidRPr="001C0B33">
        <w:t xml:space="preserve"> the IRP analysis: lithium-ion batteries and pumped hydro. In addition, </w:t>
      </w:r>
      <w:r w:rsidR="00DF5C90">
        <w:t>the</w:t>
      </w:r>
      <w:r w:rsidRPr="001C0B33">
        <w:t xml:space="preserve"> </w:t>
      </w:r>
      <w:r w:rsidR="00E42DC3">
        <w:t>c</w:t>
      </w:r>
      <w:r w:rsidRPr="001C0B33">
        <w:t xml:space="preserve">ompany is </w:t>
      </w:r>
      <w:r w:rsidRPr="00A35826">
        <w:t xml:space="preserve">developing </w:t>
      </w:r>
      <w:r w:rsidR="00DF5C90">
        <w:t>a</w:t>
      </w:r>
      <w:r w:rsidR="0095113E" w:rsidRPr="00A35826">
        <w:t xml:space="preserve"> </w:t>
      </w:r>
      <w:r w:rsidRPr="00A35826">
        <w:t>pilot project</w:t>
      </w:r>
      <w:r w:rsidRPr="001C0B33">
        <w:t xml:space="preserve"> to test the benefits of battery storage to both the generation and the transmission and distribution functions of the company. This appendix delivers an overview of energy storage technologies, the services they can provide and key development considerations. It presents the assumptions and methodology of our </w:t>
      </w:r>
      <w:r w:rsidR="00644A9A" w:rsidRPr="00644A9A">
        <w:t xml:space="preserve">energy </w:t>
      </w:r>
      <w:r w:rsidR="00E42DC3">
        <w:t xml:space="preserve">storage </w:t>
      </w:r>
      <w:r w:rsidR="00644A9A" w:rsidRPr="00644A9A">
        <w:t>flexibility analysis</w:t>
      </w:r>
      <w:r w:rsidR="00E42DC3">
        <w:t>,</w:t>
      </w:r>
      <w:r w:rsidRPr="001C0B33">
        <w:t xml:space="preserve"> and </w:t>
      </w:r>
      <w:r w:rsidRPr="00A35826">
        <w:t>it describes PSE’s pilot project</w:t>
      </w:r>
      <w:r w:rsidRPr="001C0B33">
        <w:t xml:space="preserve">. </w:t>
      </w:r>
    </w:p>
    <w:p w:rsidR="00F71BD6" w:rsidRDefault="00F71BD6" w:rsidP="00CA3E66">
      <w:pPr>
        <w:pStyle w:val="IRPsecthead2sans"/>
      </w:pPr>
    </w:p>
    <w:p w:rsidR="00E060C3" w:rsidRDefault="00E060C3">
      <w:pPr>
        <w:rPr>
          <w:rFonts w:ascii="Arial" w:hAnsi="Arial" w:cs="Arial"/>
          <w:b/>
          <w:color w:val="006C71"/>
          <w:sz w:val="32"/>
          <w:szCs w:val="32"/>
        </w:rPr>
      </w:pPr>
      <w:r>
        <w:br w:type="page"/>
      </w:r>
    </w:p>
    <w:p w:rsidR="003016D9" w:rsidRPr="001C0B33" w:rsidRDefault="00A960CB" w:rsidP="00CA3E66">
      <w:pPr>
        <w:pStyle w:val="IRPsecthead2sans"/>
      </w:pPr>
      <w:r>
        <w:lastRenderedPageBreak/>
        <w:br/>
      </w:r>
      <w:r w:rsidR="00CA3E66">
        <w:t>OVERVIEW</w:t>
      </w:r>
    </w:p>
    <w:p w:rsidR="00CA3E66" w:rsidRDefault="00CA3E66" w:rsidP="003016D9">
      <w:pPr>
        <w:pStyle w:val="IRPsanstext"/>
      </w:pPr>
    </w:p>
    <w:p w:rsidR="003016D9" w:rsidRPr="001C0B33" w:rsidRDefault="003016D9" w:rsidP="003016D9">
      <w:pPr>
        <w:pStyle w:val="IRPsanstext"/>
      </w:pPr>
      <w:r w:rsidRPr="001C0B33">
        <w:t xml:space="preserve">Electric energy storage (also simply called “energy storage”) encompasses </w:t>
      </w:r>
      <w:r w:rsidR="003F12F4">
        <w:t xml:space="preserve">a </w:t>
      </w:r>
      <w:r w:rsidRPr="001C0B33">
        <w:t xml:space="preserve">wide range of technologies that are capable of shifting </w:t>
      </w:r>
      <w:r w:rsidR="003F12F4" w:rsidRPr="001C0B33">
        <w:t>energy</w:t>
      </w:r>
      <w:r w:rsidR="003F12F4">
        <w:t xml:space="preserve"> usage </w:t>
      </w:r>
      <w:r w:rsidRPr="001C0B33">
        <w:t>from one time period to another. Th</w:t>
      </w:r>
      <w:r w:rsidR="003F12F4">
        <w:t>ese technologies</w:t>
      </w:r>
      <w:r w:rsidRPr="001C0B33">
        <w:t xml:space="preserve"> could deliver important benefits to electric utilities and their customers, since the electric system currently operates on “just-in-time” delivery</w:t>
      </w:r>
      <w:r w:rsidR="00396DDB">
        <w:t>.</w:t>
      </w:r>
      <w:r w:rsidRPr="001C0B33">
        <w:t xml:space="preserve"> Generation and load must be perfectly balanced at all times to ensure power quality and reliability. Strategically placed energy storage resources have the potential to increase efficiency and reliability, to balance supply and demand, to provide backup power when primary sources are interrupted and to assist with the integration of intermittent renewable generation. Energy storage is capable of benef</w:t>
      </w:r>
      <w:r w:rsidR="00233794">
        <w:t xml:space="preserve">iting all parts of the system – </w:t>
      </w:r>
      <w:r w:rsidRPr="001C0B33">
        <w:t>generation, transmission and distribution</w:t>
      </w:r>
      <w:r w:rsidR="00233794">
        <w:t xml:space="preserve"> – </w:t>
      </w:r>
      <w:r w:rsidR="003F12F4">
        <w:t>as well as</w:t>
      </w:r>
      <w:r w:rsidRPr="001C0B33">
        <w:t xml:space="preserve"> customers</w:t>
      </w:r>
      <w:r w:rsidR="003F12F4">
        <w:t xml:space="preserve"> (see Figure L-1)</w:t>
      </w:r>
      <w:r w:rsidRPr="001C0B33">
        <w:t xml:space="preserve">. </w:t>
      </w:r>
    </w:p>
    <w:p w:rsidR="003016D9" w:rsidRPr="001C0B33" w:rsidRDefault="003016D9" w:rsidP="003016D9">
      <w:pPr>
        <w:pStyle w:val="IRPsanstext"/>
      </w:pPr>
    </w:p>
    <w:p w:rsidR="003016D9" w:rsidRPr="001C0B33" w:rsidRDefault="00CA3E66" w:rsidP="003016D9">
      <w:pPr>
        <w:pStyle w:val="IRPsanstext"/>
      </w:pPr>
      <w:r>
        <w:t>Throughout</w:t>
      </w:r>
      <w:r w:rsidR="003016D9" w:rsidRPr="001C0B33">
        <w:t xml:space="preserve"> this appendix, energy storage resources will be described </w:t>
      </w:r>
      <w:r>
        <w:t>in terms of</w:t>
      </w:r>
      <w:r w:rsidR="003016D9" w:rsidRPr="001C0B33">
        <w:t xml:space="preserve"> their nameplate power rating and their energy storage capacity. For example, a 10 MW/20 MWh storage system is capable of delivering 10 megawatts of AC power for two hours, for a total of 20 megawatt-hours of energy delivered to the grid</w:t>
      </w:r>
      <w:r w:rsidR="00E42DC3">
        <w:t xml:space="preserve"> </w:t>
      </w:r>
      <w:r w:rsidR="00E42DC3" w:rsidRPr="00C46E79">
        <w:t>(10MW x 2 hours</w:t>
      </w:r>
      <w:r w:rsidR="00E42DC3">
        <w:t xml:space="preserve"> = 20 MWhs)</w:t>
      </w:r>
      <w:r w:rsidR="003016D9" w:rsidRPr="001C0B33">
        <w:t>. Systems can be as large as pumped hydropower facilities that provide hundreds of megawatts of power for many hours or as small as off-grid battery systems that support electric service for small</w:t>
      </w:r>
      <w:r w:rsidR="00233794">
        <w:t>, remote</w:t>
      </w:r>
      <w:r w:rsidR="003016D9" w:rsidRPr="001C0B33">
        <w:t xml:space="preserve"> residences and facilities. This flexibility is one of its attractive qualities. </w:t>
      </w:r>
    </w:p>
    <w:p w:rsidR="003016D9" w:rsidRPr="001C0B33" w:rsidRDefault="003016D9" w:rsidP="003016D9">
      <w:pPr>
        <w:pStyle w:val="IRPsanstext"/>
      </w:pPr>
    </w:p>
    <w:p w:rsidR="003016D9" w:rsidRPr="001C0B33" w:rsidRDefault="003016D9" w:rsidP="00233794">
      <w:pPr>
        <w:pStyle w:val="IRPFigureSub"/>
      </w:pPr>
      <w:r w:rsidRPr="001C0B33">
        <w:t>Figure L-1</w:t>
      </w:r>
      <w:r w:rsidR="00233794">
        <w:t>:</w:t>
      </w:r>
      <w:r w:rsidRPr="001C0B33">
        <w:t xml:space="preserve">  Overview of Energy Storage Roles on the Electric Grid </w:t>
      </w:r>
    </w:p>
    <w:p w:rsidR="00890FDA" w:rsidRPr="001C0B33" w:rsidRDefault="00890FDA" w:rsidP="00C12FBA">
      <w:pPr>
        <w:pStyle w:val="IRPsanstext"/>
      </w:pPr>
    </w:p>
    <w:p w:rsidR="003016D9" w:rsidRPr="001C0B33" w:rsidRDefault="003016D9">
      <w:r w:rsidRPr="001C0B33">
        <w:rPr>
          <w:rFonts w:ascii="Trebuchet MS" w:hAnsi="Trebuchet MS"/>
          <w:noProof/>
          <w:lang w:eastAsia="en-US"/>
        </w:rPr>
        <w:drawing>
          <wp:inline distT="0" distB="0" distL="0" distR="0">
            <wp:extent cx="4848225" cy="2892205"/>
            <wp:effectExtent l="0" t="0" r="0" b="381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8544" cy="2898361"/>
                    </a:xfrm>
                    <a:prstGeom prst="rect">
                      <a:avLst/>
                    </a:prstGeom>
                    <a:noFill/>
                  </pic:spPr>
                </pic:pic>
              </a:graphicData>
            </a:graphic>
          </wp:inline>
        </w:drawing>
      </w:r>
    </w:p>
    <w:p w:rsidR="003016D9" w:rsidRPr="001C0B33" w:rsidRDefault="003016D9" w:rsidP="00AC723E">
      <w:pPr>
        <w:pStyle w:val="IRPfooter"/>
        <w:rPr>
          <w:i w:val="0"/>
        </w:rPr>
      </w:pPr>
      <w:r w:rsidRPr="001C0B33">
        <w:t>Source: EPRI</w:t>
      </w:r>
      <w:r w:rsidRPr="001C0B33">
        <w:br w:type="page"/>
      </w:r>
    </w:p>
    <w:p w:rsidR="003016D9" w:rsidRPr="001C0B33" w:rsidRDefault="003016D9" w:rsidP="003016D9">
      <w:pPr>
        <w:pStyle w:val="IRPtitl"/>
      </w:pPr>
    </w:p>
    <w:p w:rsidR="003016D9" w:rsidRPr="00BA0875" w:rsidRDefault="003016D9" w:rsidP="003016D9">
      <w:pPr>
        <w:pStyle w:val="IRPtitl"/>
        <w:rPr>
          <w:color w:val="auto"/>
        </w:rPr>
      </w:pPr>
      <w:r w:rsidRPr="00BA0875">
        <w:rPr>
          <w:color w:val="auto"/>
        </w:rPr>
        <w:t>R</w:t>
      </w:r>
      <w:r w:rsidR="00BA0875">
        <w:rPr>
          <w:color w:val="auto"/>
        </w:rPr>
        <w:t xml:space="preserve">ecent Industry Developments </w:t>
      </w:r>
    </w:p>
    <w:p w:rsidR="00BA0875" w:rsidRDefault="00BA0875" w:rsidP="003016D9">
      <w:pPr>
        <w:pStyle w:val="IRPsanstext"/>
      </w:pPr>
    </w:p>
    <w:p w:rsidR="003016D9" w:rsidRPr="001C0B33" w:rsidRDefault="003016D9" w:rsidP="003016D9">
      <w:pPr>
        <w:pStyle w:val="IRPsanstext"/>
      </w:pPr>
      <w:r w:rsidRPr="001C0B33">
        <w:t>The energy storage industry has made significant progress since PSE’s last IRP. Among the most notable developments are the following.</w:t>
      </w:r>
    </w:p>
    <w:p w:rsidR="003016D9" w:rsidRPr="001C0B33" w:rsidRDefault="003016D9" w:rsidP="003016D9">
      <w:pPr>
        <w:pStyle w:val="IRPsanstext"/>
      </w:pPr>
    </w:p>
    <w:p w:rsidR="003016D9" w:rsidRPr="001C0B33" w:rsidRDefault="003016D9" w:rsidP="003016D9">
      <w:pPr>
        <w:pStyle w:val="IRPsanstext"/>
        <w:numPr>
          <w:ilvl w:val="0"/>
          <w:numId w:val="19"/>
        </w:numPr>
      </w:pPr>
      <w:r w:rsidRPr="001C0B33">
        <w:t>The U.S. installed 61.9 MW of battery energy storage resources in 2014, up 40 percent from 2013, and 180 individual installations were completed.  2015 is expected to be the biggest year in the market’s history with 220 MW of deployments, twice the capacity installed in 2013 and 2014 combined.</w:t>
      </w:r>
      <w:r w:rsidRPr="001C0B33">
        <w:rPr>
          <w:rStyle w:val="FootnoteReference"/>
          <w:rFonts w:asciiTheme="majorHAnsi" w:hAnsiTheme="majorHAnsi"/>
        </w:rPr>
        <w:footnoteReference w:id="1"/>
      </w:r>
    </w:p>
    <w:p w:rsidR="003016D9" w:rsidRPr="001C0B33" w:rsidRDefault="003016D9" w:rsidP="003016D9">
      <w:pPr>
        <w:pStyle w:val="IRPsanstext"/>
        <w:numPr>
          <w:ilvl w:val="0"/>
          <w:numId w:val="19"/>
        </w:numPr>
      </w:pPr>
      <w:r w:rsidRPr="001C0B33">
        <w:t xml:space="preserve">Southern California Edison (SCE) procured 250 MW of storage, more than 5 times the requirement mandated by the California </w:t>
      </w:r>
      <w:r w:rsidR="00DF053B" w:rsidRPr="001C0B33">
        <w:t>Public</w:t>
      </w:r>
      <w:r w:rsidRPr="001C0B33">
        <w:t xml:space="preserve"> Utilities Commission (CPUC) Storage Decision.</w:t>
      </w:r>
      <w:r w:rsidRPr="001C0B33">
        <w:rPr>
          <w:rStyle w:val="FootnoteReference"/>
          <w:rFonts w:asciiTheme="majorHAnsi" w:hAnsiTheme="majorHAnsi"/>
        </w:rPr>
        <w:footnoteReference w:id="2"/>
      </w:r>
      <w:r w:rsidRPr="001C0B33">
        <w:t xml:space="preserve"> SCE’s technology picks ranged from distributed batteries and ice-making air conditioners to the world’s largest proposed lithium-ion battery (100 MW/400 MWh). Many of these systems won’t be built for several years, but SCE expects that they “will contribute towards grid optimization, greenhouse gas reduction or renewable integration,” according to testimony before CPUC.</w:t>
      </w:r>
      <w:r w:rsidRPr="001C0B33">
        <w:rPr>
          <w:rStyle w:val="FootnoteReference"/>
          <w:rFonts w:asciiTheme="majorHAnsi" w:hAnsiTheme="majorHAnsi"/>
        </w:rPr>
        <w:footnoteReference w:id="3"/>
      </w:r>
    </w:p>
    <w:p w:rsidR="00233794" w:rsidRDefault="003016D9" w:rsidP="003016D9">
      <w:pPr>
        <w:pStyle w:val="IRPsanstext"/>
        <w:numPr>
          <w:ilvl w:val="0"/>
          <w:numId w:val="19"/>
        </w:numPr>
      </w:pPr>
      <w:r w:rsidRPr="001C0B33">
        <w:t>Hawaiian Electric Co. launched one of the biggest energy storage requests for proposals for “one or more large-scale energy storage systems able to store 60 to 200 megawatts for up to 30 minutes.” The utility seeks at least 60 MW, potentially spread among several separate projects, to help integrate renewable resources, improve reliability and provide auxiliary services to help operate the grid, such as sub-second frequency response and minute-to-minute load following.</w:t>
      </w:r>
      <w:r w:rsidRPr="001C0B33">
        <w:rPr>
          <w:rStyle w:val="FootnoteReference"/>
          <w:rFonts w:asciiTheme="majorHAnsi" w:hAnsiTheme="majorHAnsi"/>
        </w:rPr>
        <w:footnoteReference w:id="4"/>
      </w:r>
    </w:p>
    <w:p w:rsidR="00233794" w:rsidRDefault="00233794">
      <w:pPr>
        <w:rPr>
          <w:rFonts w:ascii="Arial" w:hAnsi="Arial"/>
        </w:rPr>
      </w:pPr>
      <w:r>
        <w:br w:type="page"/>
      </w:r>
    </w:p>
    <w:p w:rsidR="003016D9" w:rsidRPr="001C0B33" w:rsidRDefault="003016D9" w:rsidP="00233794">
      <w:pPr>
        <w:pStyle w:val="IRPsanstext"/>
        <w:ind w:left="720"/>
      </w:pPr>
    </w:p>
    <w:p w:rsidR="003016D9" w:rsidRPr="001C0B33" w:rsidRDefault="003016D9" w:rsidP="003016D9">
      <w:pPr>
        <w:pStyle w:val="IRPsanstext"/>
        <w:numPr>
          <w:ilvl w:val="0"/>
          <w:numId w:val="19"/>
        </w:numPr>
      </w:pPr>
      <w:r w:rsidRPr="001C0B33">
        <w:t>Pacific Gas &amp; Electric (PG&amp;E) issued a request for offers (RFO) in December 2014, pursuant to the CPUC Storage Decision, for up to 74 MW of energy storage resources. Up to 50 MW would be transmission-connected and 24 MW would be distribution-connected. Expected benefits include grid optimization, renewable resource integration and/or a reduction in greenhouse gas emissions. Optimization benefits could include peak reduction, contribution to reliability needs, or deferral of transmission and distribution investments.</w:t>
      </w:r>
      <w:r w:rsidRPr="001C0B33">
        <w:rPr>
          <w:rStyle w:val="FootnoteReference"/>
          <w:rFonts w:asciiTheme="majorHAnsi" w:hAnsiTheme="majorHAnsi"/>
        </w:rPr>
        <w:footnoteReference w:id="5"/>
      </w:r>
      <w:r w:rsidRPr="001C0B33">
        <w:t xml:space="preserve"> In its RFO, PG&amp;E stated that the company is soliciting new energy storage systems that would enable it "to defer otherwise necessary investments at up to 5 distribution substations."</w:t>
      </w:r>
      <w:r w:rsidRPr="001C0B33">
        <w:rPr>
          <w:rStyle w:val="FootnoteReference"/>
          <w:rFonts w:asciiTheme="majorHAnsi" w:hAnsiTheme="majorHAnsi"/>
        </w:rPr>
        <w:footnoteReference w:id="6"/>
      </w:r>
    </w:p>
    <w:p w:rsidR="003016D9" w:rsidRPr="001C0B33" w:rsidRDefault="003016D9" w:rsidP="003016D9">
      <w:pPr>
        <w:pStyle w:val="IRPsanstext"/>
        <w:numPr>
          <w:ilvl w:val="0"/>
          <w:numId w:val="19"/>
        </w:numPr>
      </w:pPr>
      <w:r w:rsidRPr="001C0B33">
        <w:t>New York regulators approved Con Edison’s proposed plan to defer $1 billion in substation upgrades with 52 MW of nontraditional customer- and utility-side solutions by 2018. The program allows Con Edison (ConEd) to procure market-based distributed energy resource solutions like energy efficiency, energy storage, di</w:t>
      </w:r>
      <w:r w:rsidR="00E42DC3">
        <w:t>stributed generation and demand-</w:t>
      </w:r>
      <w:r w:rsidRPr="001C0B33">
        <w:t xml:space="preserve">response to reduce load on specific feeders. In February 2014, ConEd introduced a demand management program that includes incentives of $2,100 per </w:t>
      </w:r>
      <w:r w:rsidR="00233794">
        <w:t>kW</w:t>
      </w:r>
      <w:r w:rsidRPr="001C0B33">
        <w:t xml:space="preserve"> for battery storage systems sited on customer premises that charge during off-peak hours and discharge during peak periods.</w:t>
      </w:r>
    </w:p>
    <w:p w:rsidR="003016D9" w:rsidRPr="001C0B33" w:rsidRDefault="003016D9" w:rsidP="003016D9">
      <w:pPr>
        <w:pStyle w:val="IRPsanstext"/>
        <w:numPr>
          <w:ilvl w:val="0"/>
          <w:numId w:val="19"/>
        </w:numPr>
      </w:pPr>
      <w:r w:rsidRPr="001C0B33">
        <w:t xml:space="preserve">Oncor released a report concluding that </w:t>
      </w:r>
      <w:r w:rsidR="003F12F4">
        <w:t>t</w:t>
      </w:r>
      <w:r w:rsidRPr="001C0B33">
        <w:t>he Electric Reliability Council of Texas (ERCOT) would see net benefits of up to 5 gigawatts from “grid-integrated, distributed electricity storage” if b</w:t>
      </w:r>
      <w:r w:rsidR="00233794">
        <w:t>attery prices fall to $350 per k</w:t>
      </w:r>
      <w:r w:rsidRPr="001C0B33">
        <w:t>Wh. The analysis assumes the capture of as much benefit as possible by integrating the value from increased customer reliability, improved T&amp;D systems and wholesale power market transactions. As a transmission and distribution utility, Oncor is not allowed to put generat</w:t>
      </w:r>
      <w:r w:rsidR="00233794">
        <w:t xml:space="preserve">ion assets into its rate base. </w:t>
      </w:r>
      <w:r w:rsidRPr="001C0B33">
        <w:t>This report and the legislative efforts it provokes may challenge the conventional separation of transmission and distribution (T&amp;D) from generation.</w:t>
      </w:r>
    </w:p>
    <w:p w:rsidR="00233794" w:rsidRDefault="003016D9" w:rsidP="003016D9">
      <w:pPr>
        <w:pStyle w:val="IRPsanstext"/>
        <w:numPr>
          <w:ilvl w:val="0"/>
          <w:numId w:val="19"/>
        </w:numPr>
      </w:pPr>
      <w:r w:rsidRPr="001C0B33">
        <w:t>Tesla broke ground on its $5 billion “gigafactory” setting the stage to potentially double global production of lithium-ion batteries by approximately 2020. Most of the output will go to electric vehicles (EVs), but about 15 GWh per year is expected to reach the power grid market. Asian competitors (or partners) like Panasonic, LG Chem, NEC/A123 and a host of Chinese contenders continue pushing the volume of lithium-ion battery manufacturing up and costs down.</w:t>
      </w:r>
    </w:p>
    <w:p w:rsidR="00233794" w:rsidRDefault="00233794">
      <w:pPr>
        <w:rPr>
          <w:rFonts w:ascii="Arial" w:hAnsi="Arial"/>
        </w:rPr>
      </w:pPr>
      <w:r>
        <w:br w:type="page"/>
      </w:r>
    </w:p>
    <w:p w:rsidR="003016D9" w:rsidRPr="001C0B33" w:rsidRDefault="003016D9" w:rsidP="00233794">
      <w:pPr>
        <w:pStyle w:val="IRPsanstext"/>
        <w:ind w:left="720"/>
      </w:pPr>
    </w:p>
    <w:p w:rsidR="003016D9" w:rsidRPr="001C0B33" w:rsidRDefault="003016D9" w:rsidP="003016D9">
      <w:pPr>
        <w:pStyle w:val="IRPsanstext"/>
        <w:numPr>
          <w:ilvl w:val="0"/>
          <w:numId w:val="19"/>
        </w:numPr>
      </w:pPr>
      <w:r w:rsidRPr="001C0B33">
        <w:t>Snohomish PUD energized the first grid-scale battery system in Washington in late 2014. The 0.5 MW lithium-ion system is located in the Hardeson Substation in Everett. It will serve as a testing ground for developing the Modular Energy Storage Architecture (MESA) standards, as well as for improving reliability and integrating renewable energy. Performance tes</w:t>
      </w:r>
      <w:r w:rsidR="0010292E">
        <w:t>ting and use case analysis began</w:t>
      </w:r>
      <w:r w:rsidRPr="001C0B33">
        <w:t xml:space="preserve"> in early 2015. </w:t>
      </w:r>
    </w:p>
    <w:p w:rsidR="003016D9" w:rsidRPr="001C0B33" w:rsidRDefault="003016D9" w:rsidP="003016D9">
      <w:pPr>
        <w:pStyle w:val="IRPsanstext"/>
        <w:numPr>
          <w:ilvl w:val="0"/>
          <w:numId w:val="19"/>
        </w:numPr>
      </w:pPr>
      <w:r w:rsidRPr="001C0B33">
        <w:t xml:space="preserve">Avista deployed a 1 MW battery system at the Schweitzer Engineering Labs (SEL) factory site. </w:t>
      </w:r>
      <w:r w:rsidR="0010292E" w:rsidRPr="0010292E">
        <w:t>Commissioning was completed in June 2015.</w:t>
      </w:r>
      <w:r w:rsidR="0010292E" w:rsidRPr="001C0B33">
        <w:t xml:space="preserve"> </w:t>
      </w:r>
      <w:r w:rsidRPr="001C0B33">
        <w:t>The goal is to demonstrate providing ba</w:t>
      </w:r>
      <w:r w:rsidR="00DF053B">
        <w:t xml:space="preserve">ckup power (outage mitigation), </w:t>
      </w:r>
      <w:r w:rsidRPr="001C0B33">
        <w:t>microgrid operation, peaking capacity, grid flexibility, volt/VAR control, and to demonstrate voltage regulation as part of a conservation voltage reduction scheme.</w:t>
      </w:r>
      <w:r w:rsidRPr="001C0B33">
        <w:rPr>
          <w:rStyle w:val="FootnoteReference"/>
          <w:rFonts w:asciiTheme="majorHAnsi" w:hAnsiTheme="majorHAnsi"/>
        </w:rPr>
        <w:footnoteReference w:id="7"/>
      </w:r>
      <w:r w:rsidRPr="001C0B33">
        <w:t xml:space="preserve"> </w:t>
      </w:r>
    </w:p>
    <w:p w:rsidR="003016D9" w:rsidRPr="001C0B33" w:rsidRDefault="003016D9" w:rsidP="003016D9">
      <w:pPr>
        <w:pStyle w:val="IRPsanstext"/>
        <w:numPr>
          <w:ilvl w:val="0"/>
          <w:numId w:val="19"/>
        </w:numPr>
      </w:pPr>
      <w:r w:rsidRPr="001C0B33">
        <w:t>Some notable failures also took place. Several battery storage companies and integrators went into bankruptcy; however, many</w:t>
      </w:r>
      <w:r w:rsidR="00E42DC3">
        <w:t xml:space="preserve"> reemerged after being</w:t>
      </w:r>
      <w:r w:rsidRPr="001C0B33">
        <w:t xml:space="preserve"> purchased by other compan</w:t>
      </w:r>
      <w:r w:rsidR="00E42DC3">
        <w:t xml:space="preserve">ies or reorganized. </w:t>
      </w:r>
      <w:r w:rsidRPr="001C0B33">
        <w:t>The industry is still young, and it has many nascent players with technologies and business models that are in various stages of development.</w:t>
      </w:r>
    </w:p>
    <w:p w:rsidR="003016D9" w:rsidRPr="001C0B33" w:rsidRDefault="003016D9" w:rsidP="003016D9">
      <w:pPr>
        <w:pStyle w:val="IRPsanstext"/>
        <w:numPr>
          <w:ilvl w:val="0"/>
          <w:numId w:val="19"/>
        </w:numPr>
      </w:pPr>
      <w:r w:rsidRPr="001C0B33">
        <w:t>MESA, the Modular Energy Storage Architecture standards group of which PSE is a founding member, launched in October 2014. MESA has proposed a draft specification for communication protocols between energy storage components</w:t>
      </w:r>
      <w:r w:rsidR="003F12F4">
        <w:t xml:space="preserve">. </w:t>
      </w:r>
      <w:r w:rsidRPr="001C0B33">
        <w:t xml:space="preserve">Underwriters Laboratories (UL) </w:t>
      </w:r>
      <w:r w:rsidR="00E42DC3">
        <w:t xml:space="preserve">has also </w:t>
      </w:r>
      <w:r w:rsidRPr="001C0B33">
        <w:t>proposed a set of standards</w:t>
      </w:r>
      <w:r w:rsidR="00E42DC3">
        <w:t xml:space="preserve"> for grid electric storage, and</w:t>
      </w:r>
      <w:r w:rsidRPr="001C0B33">
        <w:t xml:space="preserve"> work continues on integrating storage with smart inverters for grid management.</w:t>
      </w:r>
    </w:p>
    <w:p w:rsidR="003016D9" w:rsidRPr="001C0B33" w:rsidRDefault="003016D9" w:rsidP="003016D9">
      <w:pPr>
        <w:pStyle w:val="IRPfooter"/>
        <w:ind w:left="720"/>
        <w:rPr>
          <w:rFonts w:ascii="Arial" w:hAnsi="Arial"/>
        </w:rPr>
      </w:pPr>
    </w:p>
    <w:p w:rsidR="003016D9" w:rsidRPr="001C0B33" w:rsidRDefault="003016D9" w:rsidP="003016D9">
      <w:pPr>
        <w:pStyle w:val="IRPtitl"/>
      </w:pPr>
    </w:p>
    <w:p w:rsidR="00233794" w:rsidRDefault="00233794">
      <w:pPr>
        <w:rPr>
          <w:rFonts w:ascii="Arial" w:hAnsi="Arial" w:cs="Arial"/>
          <w:b/>
          <w:color w:val="156570"/>
          <w:sz w:val="32"/>
          <w:szCs w:val="32"/>
        </w:rPr>
      </w:pPr>
      <w:r>
        <w:rPr>
          <w:b/>
        </w:rPr>
        <w:br w:type="page"/>
      </w:r>
    </w:p>
    <w:p w:rsidR="003016D9" w:rsidRPr="00BA0875" w:rsidRDefault="00B9497D" w:rsidP="00E42DC3">
      <w:pPr>
        <w:pStyle w:val="IRPtitl"/>
        <w:ind w:left="0" w:firstLine="0"/>
        <w:rPr>
          <w:b/>
        </w:rPr>
      </w:pPr>
      <w:r>
        <w:rPr>
          <w:b/>
        </w:rPr>
        <w:lastRenderedPageBreak/>
        <w:br/>
      </w:r>
      <w:r w:rsidR="003016D9" w:rsidRPr="00BA0875">
        <w:rPr>
          <w:b/>
        </w:rPr>
        <w:t>POTENTIAL ELECTRICITY STORAGE SERVICES</w:t>
      </w:r>
    </w:p>
    <w:p w:rsidR="003016D9" w:rsidRPr="001C0B33" w:rsidRDefault="003016D9" w:rsidP="003016D9">
      <w:pPr>
        <w:pStyle w:val="IRPsanstext"/>
      </w:pPr>
    </w:p>
    <w:p w:rsidR="003016D9" w:rsidRPr="001C0B33" w:rsidRDefault="003016D9" w:rsidP="003016D9">
      <w:pPr>
        <w:pStyle w:val="IRPsanstext"/>
      </w:pPr>
      <w:r w:rsidRPr="001C0B33">
        <w:t xml:space="preserve">Terminology and definitions for the grid services that energy storage may provide are not yet uniform, but the 2013 U.S. Department of Energy DOE/EPRI </w:t>
      </w:r>
      <w:r w:rsidR="003F12F4">
        <w:t xml:space="preserve">Electricity Storage </w:t>
      </w:r>
      <w:r w:rsidRPr="001C0B33">
        <w:t>Handbook provides the following list</w:t>
      </w:r>
      <w:r w:rsidR="003F12F4">
        <w:t xml:space="preserve"> (Figure L-2)</w:t>
      </w:r>
      <w:r w:rsidRPr="001C0B33">
        <w:t>.</w:t>
      </w:r>
      <w:bookmarkStart w:id="1" w:name="_Toc373771815"/>
      <w:bookmarkStart w:id="2" w:name="_Toc402942652"/>
      <w:r w:rsidRPr="001C0B33">
        <w:t xml:space="preserve"> </w:t>
      </w:r>
    </w:p>
    <w:p w:rsidR="003016D9" w:rsidRPr="001C0B33" w:rsidRDefault="003016D9" w:rsidP="003016D9">
      <w:pPr>
        <w:pStyle w:val="IRPsanstext"/>
        <w:rPr>
          <w:szCs w:val="22"/>
        </w:rPr>
      </w:pPr>
    </w:p>
    <w:p w:rsidR="003016D9" w:rsidRPr="001C0B33" w:rsidRDefault="003016D9" w:rsidP="00F975F8">
      <w:pPr>
        <w:pStyle w:val="IRPFigureSub"/>
        <w:spacing w:after="120"/>
      </w:pPr>
      <w:r w:rsidRPr="001C0B33">
        <w:t>Figure L-2</w:t>
      </w:r>
      <w:r w:rsidR="00233794">
        <w:t xml:space="preserve">: </w:t>
      </w:r>
      <w:r w:rsidRPr="001C0B33">
        <w:t>Energy Storage Grid Services</w:t>
      </w:r>
      <w:bookmarkEnd w:id="1"/>
      <w:bookmarkEnd w:id="2"/>
    </w:p>
    <w:tbl>
      <w:tblPr>
        <w:tblStyle w:val="TableGrid"/>
        <w:tblW w:w="8640" w:type="dxa"/>
        <w:tblInd w:w="108" w:type="dxa"/>
        <w:tblLayout w:type="fixed"/>
        <w:tblLook w:val="04A0" w:firstRow="1" w:lastRow="0" w:firstColumn="1" w:lastColumn="0" w:noHBand="0" w:noVBand="1"/>
      </w:tblPr>
      <w:tblGrid>
        <w:gridCol w:w="3960"/>
        <w:gridCol w:w="360"/>
        <w:gridCol w:w="4320"/>
      </w:tblGrid>
      <w:tr w:rsidR="001C0B33" w:rsidRPr="001C0B33">
        <w:trPr>
          <w:trHeight w:val="300"/>
        </w:trPr>
        <w:tc>
          <w:tcPr>
            <w:tcW w:w="3960" w:type="dxa"/>
            <w:shd w:val="clear" w:color="auto" w:fill="156570"/>
            <w:noWrap/>
          </w:tcPr>
          <w:p w:rsidR="001C0B33" w:rsidRPr="00233794" w:rsidRDefault="001C0B33" w:rsidP="001C0B33">
            <w:pPr>
              <w:pStyle w:val="IRPsanstext"/>
              <w:rPr>
                <w:b/>
                <w:color w:val="FFFFFF" w:themeColor="background1"/>
              </w:rPr>
            </w:pPr>
            <w:r w:rsidRPr="00233794">
              <w:rPr>
                <w:b/>
                <w:color w:val="FFFFFF" w:themeColor="background1"/>
              </w:rPr>
              <w:t>Bulk Energy Services</w:t>
            </w:r>
          </w:p>
        </w:tc>
        <w:tc>
          <w:tcPr>
            <w:tcW w:w="360" w:type="dxa"/>
          </w:tcPr>
          <w:p w:rsidR="001C0B33" w:rsidRPr="001C0B33" w:rsidRDefault="001C0B33" w:rsidP="001C0B33">
            <w:pPr>
              <w:pStyle w:val="IRPsanstext"/>
            </w:pPr>
          </w:p>
        </w:tc>
        <w:tc>
          <w:tcPr>
            <w:tcW w:w="4320" w:type="dxa"/>
            <w:shd w:val="clear" w:color="auto" w:fill="156570"/>
            <w:noWrap/>
          </w:tcPr>
          <w:p w:rsidR="001C0B33" w:rsidRPr="00233794" w:rsidRDefault="001C0B33" w:rsidP="001C0B33">
            <w:pPr>
              <w:pStyle w:val="IRPsanstext"/>
              <w:rPr>
                <w:b/>
                <w:color w:val="FFFFFF" w:themeColor="background1"/>
              </w:rPr>
            </w:pPr>
            <w:r w:rsidRPr="00233794">
              <w:rPr>
                <w:b/>
                <w:color w:val="FFFFFF" w:themeColor="background1"/>
              </w:rPr>
              <w:t>Transmission Infrastructure Services</w:t>
            </w:r>
          </w:p>
        </w:tc>
      </w:tr>
      <w:tr w:rsidR="001C0B33" w:rsidRPr="001C0B33">
        <w:trPr>
          <w:trHeight w:val="300"/>
        </w:trPr>
        <w:tc>
          <w:tcPr>
            <w:tcW w:w="3960" w:type="dxa"/>
            <w:noWrap/>
          </w:tcPr>
          <w:p w:rsidR="001C0B33" w:rsidRPr="001C0B33" w:rsidRDefault="001C0B33" w:rsidP="001C0B33">
            <w:pPr>
              <w:pStyle w:val="IRPsanstext"/>
              <w:rPr>
                <w:color w:val="000000"/>
              </w:rPr>
            </w:pPr>
            <w:r w:rsidRPr="001C0B33">
              <w:rPr>
                <w:color w:val="000000"/>
              </w:rPr>
              <w:t>Electric Energy Time-shift (Arbitrage)</w:t>
            </w: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Transmission Upgrade Deferral</w:t>
            </w:r>
          </w:p>
        </w:tc>
      </w:tr>
      <w:tr w:rsidR="001C0B33" w:rsidRPr="001C0B33">
        <w:trPr>
          <w:trHeight w:val="300"/>
        </w:trPr>
        <w:tc>
          <w:tcPr>
            <w:tcW w:w="3960" w:type="dxa"/>
            <w:noWrap/>
          </w:tcPr>
          <w:p w:rsidR="001C0B33" w:rsidRPr="001C0B33" w:rsidRDefault="001C0B33" w:rsidP="001C0B33">
            <w:pPr>
              <w:pStyle w:val="IRPsanstext"/>
              <w:rPr>
                <w:color w:val="000000"/>
              </w:rPr>
            </w:pPr>
            <w:r w:rsidRPr="001C0B33">
              <w:rPr>
                <w:color w:val="000000"/>
              </w:rPr>
              <w:t>Electric Supply Capacity</w:t>
            </w: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Transmission Congestion Relief</w:t>
            </w:r>
          </w:p>
        </w:tc>
      </w:tr>
      <w:tr w:rsidR="001C0B33" w:rsidRPr="001C0B33">
        <w:trPr>
          <w:trHeight w:val="300"/>
        </w:trPr>
        <w:tc>
          <w:tcPr>
            <w:tcW w:w="3960" w:type="dxa"/>
            <w:noWrap/>
          </w:tcPr>
          <w:p w:rsidR="001C0B33" w:rsidRPr="001C0B33" w:rsidRDefault="001C0B33" w:rsidP="001C0B33">
            <w:pPr>
              <w:pStyle w:val="IRPsanstext"/>
              <w:rPr>
                <w:color w:val="000000"/>
              </w:rPr>
            </w:pPr>
            <w:r w:rsidRPr="001C0B33">
              <w:rPr>
                <w:color w:val="000000"/>
              </w:rPr>
              <w:t>Avoided Renewable Curtailment</w:t>
            </w: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p>
        </w:tc>
      </w:tr>
      <w:tr w:rsidR="001C0B33" w:rsidRPr="001C0B33">
        <w:trPr>
          <w:trHeight w:val="300"/>
        </w:trPr>
        <w:tc>
          <w:tcPr>
            <w:tcW w:w="3960" w:type="dxa"/>
            <w:shd w:val="clear" w:color="auto" w:fill="156570"/>
            <w:noWrap/>
          </w:tcPr>
          <w:p w:rsidR="001C0B33" w:rsidRPr="00233794" w:rsidRDefault="001C0B33" w:rsidP="001C0B33">
            <w:pPr>
              <w:pStyle w:val="IRPsanstext"/>
              <w:rPr>
                <w:b/>
                <w:color w:val="FFFFFF" w:themeColor="background1"/>
              </w:rPr>
            </w:pPr>
            <w:r w:rsidRPr="00233794">
              <w:rPr>
                <w:b/>
                <w:color w:val="FFFFFF" w:themeColor="background1"/>
              </w:rPr>
              <w:t>Ancillary Services</w:t>
            </w:r>
          </w:p>
        </w:tc>
        <w:tc>
          <w:tcPr>
            <w:tcW w:w="360" w:type="dxa"/>
          </w:tcPr>
          <w:p w:rsidR="001C0B33" w:rsidRPr="001C0B33" w:rsidRDefault="001C0B33" w:rsidP="001C0B33">
            <w:pPr>
              <w:pStyle w:val="IRPsanstext"/>
            </w:pPr>
          </w:p>
        </w:tc>
        <w:tc>
          <w:tcPr>
            <w:tcW w:w="4320" w:type="dxa"/>
            <w:shd w:val="clear" w:color="auto" w:fill="156570"/>
            <w:noWrap/>
          </w:tcPr>
          <w:p w:rsidR="001C0B33" w:rsidRPr="00233794" w:rsidRDefault="001C0B33" w:rsidP="001C0B33">
            <w:pPr>
              <w:pStyle w:val="IRPsanstext"/>
              <w:rPr>
                <w:b/>
                <w:color w:val="FFFFFF" w:themeColor="background1"/>
              </w:rPr>
            </w:pPr>
            <w:r w:rsidRPr="00233794">
              <w:rPr>
                <w:b/>
                <w:color w:val="FFFFFF" w:themeColor="background1"/>
              </w:rPr>
              <w:t>Distribution Infrastructure Services</w:t>
            </w:r>
          </w:p>
        </w:tc>
      </w:tr>
      <w:tr w:rsidR="001C0B33" w:rsidRPr="001C0B33">
        <w:trPr>
          <w:trHeight w:val="300"/>
        </w:trPr>
        <w:tc>
          <w:tcPr>
            <w:tcW w:w="3960" w:type="dxa"/>
            <w:noWrap/>
          </w:tcPr>
          <w:p w:rsidR="001C0B33" w:rsidRPr="001C0B33" w:rsidRDefault="001C0B33" w:rsidP="001C0B33">
            <w:pPr>
              <w:pStyle w:val="IRPsanstext"/>
              <w:rPr>
                <w:color w:val="000000"/>
              </w:rPr>
            </w:pPr>
            <w:r w:rsidRPr="001C0B33">
              <w:rPr>
                <w:color w:val="000000"/>
              </w:rPr>
              <w:t>Regulation</w:t>
            </w: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Distribution Upgrade Deferral</w:t>
            </w:r>
          </w:p>
        </w:tc>
      </w:tr>
      <w:tr w:rsidR="001C0B33" w:rsidRPr="001C0B33">
        <w:trPr>
          <w:trHeight w:val="300"/>
        </w:trPr>
        <w:tc>
          <w:tcPr>
            <w:tcW w:w="3960" w:type="dxa"/>
            <w:noWrap/>
          </w:tcPr>
          <w:p w:rsidR="001C0B33" w:rsidRPr="001C0B33" w:rsidRDefault="001C0B33" w:rsidP="001C0B33">
            <w:pPr>
              <w:pStyle w:val="IRPsanstext"/>
              <w:rPr>
                <w:color w:val="000000"/>
              </w:rPr>
            </w:pPr>
            <w:r w:rsidRPr="001C0B33">
              <w:rPr>
                <w:color w:val="000000"/>
              </w:rPr>
              <w:t>Spinning, Non-spinning and Supplemental Reserves</w:t>
            </w: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Voltage Support</w:t>
            </w:r>
          </w:p>
        </w:tc>
      </w:tr>
      <w:tr w:rsidR="001C0B33" w:rsidRPr="001C0B33">
        <w:trPr>
          <w:trHeight w:val="300"/>
        </w:trPr>
        <w:tc>
          <w:tcPr>
            <w:tcW w:w="3960" w:type="dxa"/>
            <w:noWrap/>
          </w:tcPr>
          <w:p w:rsidR="001C0B33" w:rsidRPr="001C0B33" w:rsidRDefault="001C0B33" w:rsidP="001C0B33">
            <w:pPr>
              <w:pStyle w:val="IRPsanstext"/>
              <w:rPr>
                <w:color w:val="000000"/>
              </w:rPr>
            </w:pPr>
            <w:r w:rsidRPr="001C0B33">
              <w:rPr>
                <w:color w:val="000000"/>
              </w:rPr>
              <w:t>Voltage Support</w:t>
            </w: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Outage Mitigation</w:t>
            </w:r>
          </w:p>
        </w:tc>
      </w:tr>
      <w:tr w:rsidR="001C0B33" w:rsidRPr="001C0B33">
        <w:trPr>
          <w:trHeight w:val="300"/>
        </w:trPr>
        <w:tc>
          <w:tcPr>
            <w:tcW w:w="3960" w:type="dxa"/>
            <w:tcBorders>
              <w:bottom w:val="single" w:sz="4" w:space="0" w:color="auto"/>
            </w:tcBorders>
            <w:noWrap/>
          </w:tcPr>
          <w:p w:rsidR="001C0B33" w:rsidRPr="001C0B33" w:rsidRDefault="001C0B33" w:rsidP="001C0B33">
            <w:pPr>
              <w:pStyle w:val="IRPsanstext"/>
              <w:rPr>
                <w:color w:val="000000"/>
              </w:rPr>
            </w:pPr>
            <w:r w:rsidRPr="001C0B33">
              <w:rPr>
                <w:color w:val="000000"/>
              </w:rPr>
              <w:t>Black Start</w:t>
            </w:r>
          </w:p>
        </w:tc>
        <w:tc>
          <w:tcPr>
            <w:tcW w:w="360" w:type="dxa"/>
            <w:tcBorders>
              <w:bottom w:val="single" w:sz="4" w:space="0" w:color="auto"/>
            </w:tcBorders>
          </w:tcPr>
          <w:p w:rsidR="001C0B33" w:rsidRPr="001C0B33" w:rsidRDefault="001C0B33" w:rsidP="001C0B33">
            <w:pPr>
              <w:pStyle w:val="IRPsanstext"/>
            </w:pPr>
          </w:p>
        </w:tc>
        <w:tc>
          <w:tcPr>
            <w:tcW w:w="4320" w:type="dxa"/>
            <w:shd w:val="clear" w:color="auto" w:fill="156570"/>
            <w:noWrap/>
          </w:tcPr>
          <w:p w:rsidR="001C0B33" w:rsidRPr="00233794" w:rsidRDefault="001C0B33" w:rsidP="001C0B33">
            <w:pPr>
              <w:pStyle w:val="IRPsanstext"/>
              <w:rPr>
                <w:b/>
                <w:color w:val="FFFFFF" w:themeColor="background1"/>
              </w:rPr>
            </w:pPr>
            <w:r w:rsidRPr="00233794">
              <w:rPr>
                <w:b/>
                <w:color w:val="FFFFFF" w:themeColor="background1"/>
              </w:rPr>
              <w:t>Customer Energy Management Services</w:t>
            </w:r>
          </w:p>
        </w:tc>
      </w:tr>
      <w:tr w:rsidR="001C0B33" w:rsidRPr="001C0B33">
        <w:trPr>
          <w:trHeight w:val="300"/>
        </w:trPr>
        <w:tc>
          <w:tcPr>
            <w:tcW w:w="3960" w:type="dxa"/>
            <w:tcBorders>
              <w:top w:val="single" w:sz="4" w:space="0" w:color="auto"/>
            </w:tcBorders>
            <w:noWrap/>
          </w:tcPr>
          <w:p w:rsidR="001C0B33" w:rsidRPr="001C0B33" w:rsidRDefault="001C0B33" w:rsidP="001C0B33">
            <w:pPr>
              <w:pStyle w:val="IRPsanstext"/>
              <w:rPr>
                <w:color w:val="000000"/>
              </w:rPr>
            </w:pPr>
          </w:p>
        </w:tc>
        <w:tc>
          <w:tcPr>
            <w:tcW w:w="360" w:type="dxa"/>
            <w:tcBorders>
              <w:top w:val="single" w:sz="4" w:space="0" w:color="auto"/>
            </w:tcBorders>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Power Quality</w:t>
            </w:r>
          </w:p>
        </w:tc>
      </w:tr>
      <w:tr w:rsidR="001C0B33" w:rsidRPr="001C0B33">
        <w:trPr>
          <w:trHeight w:val="300"/>
        </w:trPr>
        <w:tc>
          <w:tcPr>
            <w:tcW w:w="3960" w:type="dxa"/>
            <w:noWrap/>
          </w:tcPr>
          <w:p w:rsidR="001C0B33" w:rsidRPr="001C0B33" w:rsidRDefault="001C0B33" w:rsidP="001C0B33">
            <w:pPr>
              <w:pStyle w:val="IRPsanstext"/>
              <w:rPr>
                <w:color w:val="000000"/>
              </w:rPr>
            </w:pP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Power Reliability</w:t>
            </w:r>
          </w:p>
        </w:tc>
      </w:tr>
      <w:tr w:rsidR="001C0B33" w:rsidRPr="001C0B33">
        <w:trPr>
          <w:trHeight w:val="300"/>
        </w:trPr>
        <w:tc>
          <w:tcPr>
            <w:tcW w:w="3960" w:type="dxa"/>
            <w:noWrap/>
          </w:tcPr>
          <w:p w:rsidR="001C0B33" w:rsidRPr="001C0B33" w:rsidRDefault="001C0B33" w:rsidP="001C0B33">
            <w:pPr>
              <w:pStyle w:val="IRPsanstext"/>
              <w:rPr>
                <w:color w:val="000000"/>
              </w:rPr>
            </w:pP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Retail Electric Energy Time-shift</w:t>
            </w:r>
          </w:p>
        </w:tc>
      </w:tr>
      <w:tr w:rsidR="001C0B33" w:rsidRPr="001C0B33">
        <w:trPr>
          <w:trHeight w:val="300"/>
        </w:trPr>
        <w:tc>
          <w:tcPr>
            <w:tcW w:w="3960" w:type="dxa"/>
            <w:tcBorders>
              <w:bottom w:val="single" w:sz="4" w:space="0" w:color="auto"/>
            </w:tcBorders>
            <w:noWrap/>
          </w:tcPr>
          <w:p w:rsidR="001C0B33" w:rsidRPr="001C0B33" w:rsidRDefault="001C0B33" w:rsidP="001C0B33">
            <w:pPr>
              <w:pStyle w:val="IRPsanstext"/>
              <w:rPr>
                <w:color w:val="000000"/>
              </w:rPr>
            </w:pPr>
          </w:p>
        </w:tc>
        <w:tc>
          <w:tcPr>
            <w:tcW w:w="360" w:type="dxa"/>
            <w:tcBorders>
              <w:bottom w:val="single" w:sz="4" w:space="0" w:color="auto"/>
            </w:tcBorders>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Demand Charge Management</w:t>
            </w:r>
          </w:p>
        </w:tc>
      </w:tr>
    </w:tbl>
    <w:p w:rsidR="00233794" w:rsidRDefault="00233794" w:rsidP="00CC5634">
      <w:pPr>
        <w:pStyle w:val="IRPfooter"/>
        <w:rPr>
          <w:sz w:val="8"/>
        </w:rPr>
      </w:pPr>
    </w:p>
    <w:p w:rsidR="001C0B33" w:rsidRPr="001C0B33" w:rsidRDefault="001C0B33" w:rsidP="00F975F8">
      <w:pPr>
        <w:pStyle w:val="IRPfooter"/>
        <w:spacing w:before="120"/>
      </w:pPr>
      <w:r w:rsidRPr="001C0B33">
        <w:t>Source: DOE/EPRI Electricity Storage Handbook in Collaboration with NRECA</w:t>
      </w:r>
    </w:p>
    <w:p w:rsidR="003016D9" w:rsidRPr="001C0B33" w:rsidRDefault="003016D9" w:rsidP="003016D9">
      <w:pPr>
        <w:pStyle w:val="IRPfooter"/>
        <w:rPr>
          <w:rFonts w:ascii="Arial" w:hAnsi="Arial"/>
        </w:rPr>
      </w:pPr>
    </w:p>
    <w:p w:rsidR="00233794" w:rsidRDefault="003F12F4" w:rsidP="00CC5634">
      <w:pPr>
        <w:pStyle w:val="IRPsanstext"/>
      </w:pPr>
      <w:r w:rsidRPr="001C0B33">
        <w:t>These applications, how they relate to PSE and some of the potential challenges to adoption are described below.</w:t>
      </w:r>
      <w:r>
        <w:t xml:space="preserve"> </w:t>
      </w:r>
      <w:r w:rsidR="00CC5634">
        <w:t>I</w:t>
      </w:r>
      <w:r w:rsidR="00CC5634" w:rsidRPr="00881CB3">
        <w:t xml:space="preserve">t </w:t>
      </w:r>
      <w:r w:rsidR="00CC5634">
        <w:t>is important to note that not all of the</w:t>
      </w:r>
      <w:r w:rsidR="00CC5634" w:rsidRPr="00881CB3">
        <w:t xml:space="preserve"> services </w:t>
      </w:r>
      <w:r w:rsidR="00CC5634">
        <w:t xml:space="preserve">described below </w:t>
      </w:r>
      <w:r w:rsidR="00CC5634" w:rsidRPr="00881CB3">
        <w:t>have been demonstrated in c</w:t>
      </w:r>
      <w:r w:rsidR="00CC5634">
        <w:t xml:space="preserve">ommercial or utility settings. </w:t>
      </w:r>
      <w:r w:rsidR="00CC5634" w:rsidRPr="006A108D">
        <w:t>The ability of a single storage resource to provide these services</w:t>
      </w:r>
      <w:r w:rsidR="00CC5634" w:rsidRPr="006A108D" w:rsidDel="00BC18DD">
        <w:t xml:space="preserve"> </w:t>
      </w:r>
      <w:r w:rsidR="00CC5634" w:rsidRPr="006A108D">
        <w:t xml:space="preserve">depends on </w:t>
      </w:r>
      <w:r w:rsidR="00CC5634">
        <w:t>many factors</w:t>
      </w:r>
      <w:r w:rsidR="00CC5634" w:rsidRPr="006A108D">
        <w:t xml:space="preserve">, </w:t>
      </w:r>
      <w:r w:rsidR="00CC5634">
        <w:t>among them:</w:t>
      </w:r>
      <w:r w:rsidR="00CC5634" w:rsidRPr="006A108D">
        <w:t xml:space="preserve"> </w:t>
      </w:r>
    </w:p>
    <w:p w:rsidR="00CC5634" w:rsidRDefault="00CC5634" w:rsidP="00CC5634">
      <w:pPr>
        <w:pStyle w:val="IRPsanstext"/>
      </w:pPr>
    </w:p>
    <w:p w:rsidR="00CC5634" w:rsidRPr="00942AD9" w:rsidRDefault="00CC5634" w:rsidP="00CC5634">
      <w:pPr>
        <w:pStyle w:val="IRPsanstext"/>
        <w:numPr>
          <w:ilvl w:val="0"/>
          <w:numId w:val="21"/>
        </w:numPr>
      </w:pPr>
      <w:r w:rsidRPr="00942AD9">
        <w:t xml:space="preserve">minimum required energy storage power (MW) and energy (MWh), </w:t>
      </w:r>
    </w:p>
    <w:p w:rsidR="00CC5634" w:rsidRPr="00942AD9" w:rsidRDefault="00CC5634" w:rsidP="00CC5634">
      <w:pPr>
        <w:pStyle w:val="IRPsanstext"/>
        <w:numPr>
          <w:ilvl w:val="0"/>
          <w:numId w:val="21"/>
        </w:numPr>
      </w:pPr>
      <w:r w:rsidRPr="00942AD9">
        <w:t xml:space="preserve">location requirements, </w:t>
      </w:r>
    </w:p>
    <w:p w:rsidR="00CC5634" w:rsidRPr="00942AD9" w:rsidRDefault="00CC5634" w:rsidP="00CC5634">
      <w:pPr>
        <w:pStyle w:val="IRPsanstext"/>
        <w:numPr>
          <w:ilvl w:val="0"/>
          <w:numId w:val="21"/>
        </w:numPr>
      </w:pPr>
      <w:r w:rsidRPr="00942AD9">
        <w:t xml:space="preserve">availability requirements (both frequency and duration), and </w:t>
      </w:r>
    </w:p>
    <w:p w:rsidR="00CC5634" w:rsidRPr="00942AD9" w:rsidRDefault="00CC5634" w:rsidP="00CC5634">
      <w:pPr>
        <w:pStyle w:val="IRPsanstext"/>
        <w:numPr>
          <w:ilvl w:val="0"/>
          <w:numId w:val="21"/>
        </w:numPr>
      </w:pPr>
      <w:r w:rsidRPr="00942AD9">
        <w:t>system pe</w:t>
      </w:r>
      <w:r>
        <w:t>rformance characteristics (</w:t>
      </w:r>
      <w:r w:rsidRPr="00942AD9">
        <w:t>response time, ramp rate, etc.)</w:t>
      </w:r>
      <w:r>
        <w:t>.</w:t>
      </w:r>
      <w:r w:rsidRPr="00942AD9">
        <w:t xml:space="preserve"> </w:t>
      </w:r>
    </w:p>
    <w:p w:rsidR="00CC5634" w:rsidRDefault="00CC5634" w:rsidP="00CC5634">
      <w:pPr>
        <w:pStyle w:val="IRPsanstext"/>
      </w:pPr>
    </w:p>
    <w:p w:rsidR="00CC5634" w:rsidRDefault="00CC5634" w:rsidP="00CC5634">
      <w:pPr>
        <w:pStyle w:val="IRPsanstext"/>
      </w:pPr>
      <w:r w:rsidRPr="00881CB3">
        <w:t xml:space="preserve">Moreover, </w:t>
      </w:r>
      <w:r>
        <w:t xml:space="preserve">using storage </w:t>
      </w:r>
      <w:r w:rsidRPr="00881CB3">
        <w:t>to p</w:t>
      </w:r>
      <w:r>
        <w:t>rovide multiple grid services</w:t>
      </w:r>
      <w:r w:rsidRPr="00881CB3">
        <w:t xml:space="preserve"> can be </w:t>
      </w:r>
      <w:r>
        <w:t>complicated</w:t>
      </w:r>
      <w:r w:rsidRPr="00881CB3">
        <w:t xml:space="preserve">, </w:t>
      </w:r>
      <w:r>
        <w:t>since use for some</w:t>
      </w:r>
      <w:r w:rsidRPr="00881CB3">
        <w:t xml:space="preserve"> services </w:t>
      </w:r>
      <w:r>
        <w:t>can exclude use</w:t>
      </w:r>
      <w:r w:rsidRPr="00881CB3">
        <w:t xml:space="preserve"> </w:t>
      </w:r>
      <w:r>
        <w:t>for other services</w:t>
      </w:r>
      <w:r w:rsidRPr="00881CB3">
        <w:t xml:space="preserve">. For example, an energy storage </w:t>
      </w:r>
      <w:r>
        <w:t>system that provides</w:t>
      </w:r>
      <w:r w:rsidRPr="00881CB3">
        <w:t xml:space="preserve"> transmission reliability service must reserve its </w:t>
      </w:r>
      <w:r>
        <w:t xml:space="preserve">storage </w:t>
      </w:r>
      <w:r w:rsidRPr="00881CB3">
        <w:t xml:space="preserve">capacity </w:t>
      </w:r>
      <w:r>
        <w:t>for contingency needs during certain time periods, rendering it unavailable for other uses during those periods. Detailed modeling is required to evaluate storage resources intended for multiple uses.</w:t>
      </w:r>
    </w:p>
    <w:p w:rsidR="00CC5634" w:rsidRPr="008E5195" w:rsidRDefault="00362E46" w:rsidP="00D25EF7">
      <w:pPr>
        <w:pStyle w:val="IRPsanstext"/>
        <w:rPr>
          <w:b/>
          <w:color w:val="156570"/>
        </w:rPr>
      </w:pPr>
      <w:r>
        <w:rPr>
          <w:b/>
          <w:color w:val="156570"/>
          <w:sz w:val="28"/>
          <w:szCs w:val="28"/>
        </w:rPr>
        <w:lastRenderedPageBreak/>
        <w:br/>
      </w:r>
      <w:r w:rsidR="008E5195" w:rsidRPr="008E5195">
        <w:rPr>
          <w:b/>
          <w:color w:val="156570"/>
          <w:sz w:val="28"/>
          <w:szCs w:val="28"/>
        </w:rPr>
        <w:t>Bulk Energy Services.</w:t>
      </w:r>
      <w:r w:rsidR="008E5195">
        <w:rPr>
          <w:b/>
          <w:color w:val="156570"/>
        </w:rPr>
        <w:t xml:space="preserve"> </w:t>
      </w:r>
      <w:r w:rsidR="00CC5634">
        <w:t>The term “bulk energy services” refers to all of the ways that</w:t>
      </w:r>
      <w:r w:rsidR="00CC5634">
        <w:rPr>
          <w:b/>
        </w:rPr>
        <w:t xml:space="preserve"> </w:t>
      </w:r>
      <w:r w:rsidR="00CC5634" w:rsidRPr="004848F6">
        <w:t xml:space="preserve">energy storage </w:t>
      </w:r>
      <w:r w:rsidR="00CC5634">
        <w:t xml:space="preserve">is used </w:t>
      </w:r>
      <w:r w:rsidR="00CC5634" w:rsidRPr="004848F6">
        <w:t xml:space="preserve">to avoid </w:t>
      </w:r>
      <w:r w:rsidR="00CC5634">
        <w:t xml:space="preserve">the need to generate additional electricity. </w:t>
      </w:r>
    </w:p>
    <w:p w:rsidR="00CC5634" w:rsidRDefault="00CC5634" w:rsidP="00CC5634">
      <w:pPr>
        <w:pStyle w:val="IRPsanstext"/>
      </w:pPr>
    </w:p>
    <w:p w:rsidR="00CC5634" w:rsidRDefault="00CC5634" w:rsidP="00E61D26">
      <w:pPr>
        <w:pStyle w:val="IRPsanstext"/>
        <w:ind w:left="540"/>
      </w:pPr>
      <w:r w:rsidRPr="003745CE">
        <w:rPr>
          <w:b/>
          <w:caps/>
        </w:rPr>
        <w:t>Electric Energy Time-shift (Arbitrage)</w:t>
      </w:r>
      <w:r>
        <w:rPr>
          <w:b/>
        </w:rPr>
        <w:t xml:space="preserve">. </w:t>
      </w:r>
      <w:r>
        <w:t xml:space="preserve"> In this application, storage resources stockpile energy for later use, typically charging</w:t>
      </w:r>
      <w:r w:rsidRPr="004848F6">
        <w:t xml:space="preserve"> when</w:t>
      </w:r>
      <w:r>
        <w:t xml:space="preserve"> the cost of electricity is low</w:t>
      </w:r>
      <w:r w:rsidRPr="004848F6">
        <w:t xml:space="preserve"> and </w:t>
      </w:r>
      <w:r>
        <w:t>discharging</w:t>
      </w:r>
      <w:r w:rsidRPr="004848F6">
        <w:t xml:space="preserve"> when the cost of electricity is high.  </w:t>
      </w:r>
    </w:p>
    <w:p w:rsidR="00CC5634" w:rsidRPr="003F7527" w:rsidRDefault="00CC5634" w:rsidP="00E61D26">
      <w:pPr>
        <w:pStyle w:val="IRPsanstext"/>
        <w:ind w:left="540"/>
      </w:pPr>
    </w:p>
    <w:p w:rsidR="00CC5634" w:rsidRPr="009C45BF" w:rsidRDefault="00CC5634" w:rsidP="00E61D26">
      <w:pPr>
        <w:pStyle w:val="IRPsanstext"/>
        <w:ind w:left="540"/>
      </w:pPr>
      <w:r w:rsidRPr="003745CE">
        <w:rPr>
          <w:b/>
          <w:caps/>
        </w:rPr>
        <w:t>Electric Supply Capacity.</w:t>
      </w:r>
      <w:r>
        <w:t xml:space="preserve">  In this application, storage resources serve as generation supply capacity resources, similar to peaking plants. </w:t>
      </w:r>
      <w:r w:rsidRPr="004848F6">
        <w:t xml:space="preserve">Historically, </w:t>
      </w:r>
      <w:r>
        <w:t xml:space="preserve">peak load demands – rather than economic conditions – have driven </w:t>
      </w:r>
      <w:r w:rsidRPr="004848F6">
        <w:t>decision</w:t>
      </w:r>
      <w:r>
        <w:t>s on</w:t>
      </w:r>
      <w:r w:rsidRPr="004848F6">
        <w:t xml:space="preserve"> </w:t>
      </w:r>
      <w:r>
        <w:t xml:space="preserve">when to </w:t>
      </w:r>
      <w:r w:rsidRPr="004848F6">
        <w:t xml:space="preserve">build </w:t>
      </w:r>
      <w:r>
        <w:t>new power plants.</w:t>
      </w:r>
      <w:r w:rsidRPr="004848F6">
        <w:t xml:space="preserve"> If energy storage can provide </w:t>
      </w:r>
      <w:r>
        <w:t>reliable peaking capacity</w:t>
      </w:r>
      <w:r w:rsidRPr="004848F6">
        <w:t xml:space="preserve">, it </w:t>
      </w:r>
      <w:r>
        <w:t>may enable utilities to postpone or eliminate the need for new peaking power plants</w:t>
      </w:r>
      <w:r w:rsidRPr="004848F6">
        <w:t xml:space="preserve">. </w:t>
      </w:r>
      <w:r>
        <w:t>PSE also refers to this service as “Energy Supply Capacity Value.”</w:t>
      </w:r>
    </w:p>
    <w:p w:rsidR="00CC5634" w:rsidRDefault="00CC5634" w:rsidP="00E61D26">
      <w:pPr>
        <w:pStyle w:val="IRPsanstext"/>
        <w:ind w:left="540"/>
      </w:pPr>
    </w:p>
    <w:p w:rsidR="00CC5634" w:rsidRPr="00531824" w:rsidRDefault="00CC5634" w:rsidP="00E61D26">
      <w:pPr>
        <w:pStyle w:val="IRPsanstext"/>
        <w:ind w:left="540"/>
      </w:pPr>
      <w:r w:rsidRPr="003745CE">
        <w:rPr>
          <w:b/>
          <w:caps/>
        </w:rPr>
        <w:t>Avoided Renewable Curtailment.</w:t>
      </w:r>
      <w:r>
        <w:t xml:space="preserve"> When renewable resources like wind continue to produce power even when there is no demand for it, energy storage can store this energy for release when it’s needed. In addition to time-shifting, this enables utilities to avoid renewables curtailments that result in </w:t>
      </w:r>
      <w:r w:rsidRPr="0092738F">
        <w:t>the loss of production tax credits (PTCs) and renewable energy credits (REC</w:t>
      </w:r>
      <w:r>
        <w:t>s)</w:t>
      </w:r>
      <w:r w:rsidRPr="0092738F">
        <w:t>.</w:t>
      </w:r>
    </w:p>
    <w:p w:rsidR="00CC5634" w:rsidRDefault="00CC5634" w:rsidP="00CC5634"/>
    <w:p w:rsidR="00CC5634" w:rsidRPr="00E40E4B" w:rsidRDefault="003745CE" w:rsidP="00CC5634">
      <w:pPr>
        <w:pStyle w:val="IRPsanstext"/>
        <w:rPr>
          <w:rFonts w:cs="Arial"/>
          <w:shd w:val="clear" w:color="auto" w:fill="FFFFFF"/>
        </w:rPr>
      </w:pPr>
      <w:r>
        <w:rPr>
          <w:b/>
          <w:color w:val="156570"/>
          <w:sz w:val="28"/>
          <w:szCs w:val="28"/>
        </w:rPr>
        <w:t>Ancillary S</w:t>
      </w:r>
      <w:r w:rsidR="008E5195" w:rsidRPr="008E5195">
        <w:rPr>
          <w:b/>
          <w:color w:val="156570"/>
          <w:sz w:val="28"/>
          <w:szCs w:val="28"/>
        </w:rPr>
        <w:t>ervices.</w:t>
      </w:r>
      <w:r w:rsidR="008E5195" w:rsidRPr="00B70084">
        <w:t xml:space="preserve"> </w:t>
      </w:r>
      <w:r w:rsidR="00CC5634">
        <w:t>Ancillary s</w:t>
      </w:r>
      <w:r w:rsidR="00CC5634" w:rsidRPr="00AA3F84">
        <w:t>ervices</w:t>
      </w:r>
      <w:r w:rsidR="00CC5634" w:rsidRPr="00B70084">
        <w:t xml:space="preserve"> are defined as </w:t>
      </w:r>
      <w:r w:rsidR="00CC5634" w:rsidRPr="00B70084">
        <w:rPr>
          <w:shd w:val="clear" w:color="auto" w:fill="FFFFFF"/>
        </w:rPr>
        <w:t xml:space="preserve">"those services necessary to support the transmission of electric power from seller to purchaser given the obligations of control areas and transmitting utilities within those control areas to maintain reliable operations of the </w:t>
      </w:r>
      <w:r w:rsidR="00CC5634" w:rsidRPr="00E40E4B">
        <w:rPr>
          <w:rFonts w:cs="Arial"/>
          <w:shd w:val="clear" w:color="auto" w:fill="FFFFFF"/>
        </w:rPr>
        <w:t>interconnected transmission system."</w:t>
      </w:r>
      <w:r w:rsidR="00CC5634" w:rsidRPr="00E40E4B">
        <w:rPr>
          <w:rStyle w:val="FootnoteReference"/>
          <w:rFonts w:cs="Arial"/>
          <w:color w:val="000000"/>
          <w:shd w:val="clear" w:color="auto" w:fill="FFFFFF"/>
        </w:rPr>
        <w:footnoteReference w:id="8"/>
      </w:r>
      <w:r w:rsidR="00CC5634" w:rsidRPr="00E40E4B">
        <w:rPr>
          <w:rFonts w:cs="Arial"/>
          <w:shd w:val="clear" w:color="auto" w:fill="FFFFFF"/>
        </w:rPr>
        <w:t xml:space="preserve">  In other words, these services support the reliable delivery of power and energy over the high voltage transmission system.</w:t>
      </w:r>
    </w:p>
    <w:p w:rsidR="00CC5634" w:rsidRPr="00E40E4B" w:rsidRDefault="00CC5634" w:rsidP="00CC5634">
      <w:pPr>
        <w:pStyle w:val="IRPsanstext"/>
        <w:rPr>
          <w:rStyle w:val="Heading5Char"/>
          <w:rFonts w:hint="eastAsia"/>
        </w:rPr>
      </w:pPr>
    </w:p>
    <w:p w:rsidR="00CC5634" w:rsidRPr="00E40E4B" w:rsidRDefault="00CC5634" w:rsidP="00E61D26">
      <w:pPr>
        <w:pStyle w:val="IRPsanstext"/>
        <w:tabs>
          <w:tab w:val="left" w:pos="540"/>
        </w:tabs>
        <w:ind w:left="540"/>
        <w:rPr>
          <w:rFonts w:cs="Arial"/>
        </w:rPr>
      </w:pPr>
      <w:r w:rsidRPr="003745CE">
        <w:rPr>
          <w:rStyle w:val="Heading5Char"/>
          <w:rFonts w:ascii="Arial" w:hAnsi="Arial" w:cs="Arial"/>
          <w:b/>
          <w:caps/>
          <w:color w:val="auto"/>
        </w:rPr>
        <w:t>Regu</w:t>
      </w:r>
      <w:r w:rsidR="00E61D26">
        <w:rPr>
          <w:rStyle w:val="Heading5Char"/>
          <w:rFonts w:ascii="Arial" w:hAnsi="Arial" w:cs="Arial"/>
          <w:b/>
          <w:caps/>
          <w:color w:val="auto"/>
        </w:rPr>
        <w:t>lation (or Frequency Regulation</w:t>
      </w:r>
      <w:r w:rsidRPr="003745CE">
        <w:rPr>
          <w:rStyle w:val="Heading5Char"/>
          <w:rFonts w:ascii="Arial" w:hAnsi="Arial" w:cs="Arial"/>
          <w:b/>
          <w:caps/>
          <w:color w:val="auto"/>
        </w:rPr>
        <w:t>)</w:t>
      </w:r>
      <w:r w:rsidR="00E61D26">
        <w:rPr>
          <w:rStyle w:val="Heading5Char"/>
          <w:rFonts w:ascii="Arial" w:hAnsi="Arial" w:cs="Arial"/>
          <w:b/>
          <w:caps/>
          <w:color w:val="auto"/>
        </w:rPr>
        <w:t>.</w:t>
      </w:r>
      <w:r w:rsidRPr="00E40E4B">
        <w:rPr>
          <w:rFonts w:cs="Arial"/>
        </w:rPr>
        <w:t xml:space="preserve"> Regulation ensures the balance of electricity supply and demand at all times, particularly over short time frames (from seconds to minutes).  Because energy storage can both charge and discharge power, it can help manage grid frequency. Many storage technologies can do this faster and more accurately than other regulating resources. Federal Energy Regulatory Commission (FERC) Order 755 </w:t>
      </w:r>
      <w:r w:rsidR="003F12F4">
        <w:rPr>
          <w:rFonts w:cs="Arial"/>
        </w:rPr>
        <w:t>requires</w:t>
      </w:r>
      <w:r w:rsidRPr="00E40E4B">
        <w:rPr>
          <w:rFonts w:cs="Arial"/>
        </w:rPr>
        <w:t xml:space="preserve"> that ISOs implement mechanisms to pay for regulation resources based on how responsive they are to control signals.  Under the new rules, storage resources with high-speed ramping capabilities receive greater financial compensation than slower storage or conventional resources.</w:t>
      </w:r>
    </w:p>
    <w:p w:rsidR="00CC5634" w:rsidRPr="00E40E4B" w:rsidRDefault="00CC5634" w:rsidP="00E61D26">
      <w:pPr>
        <w:pStyle w:val="IRPsanstext"/>
        <w:tabs>
          <w:tab w:val="left" w:pos="540"/>
        </w:tabs>
        <w:ind w:left="540"/>
        <w:rPr>
          <w:rStyle w:val="Heading5Char"/>
          <w:rFonts w:hint="eastAsia"/>
        </w:rPr>
      </w:pPr>
    </w:p>
    <w:p w:rsidR="00CC5634" w:rsidRPr="00E40E4B" w:rsidRDefault="00A960CB" w:rsidP="00E61D26">
      <w:pPr>
        <w:pStyle w:val="IRPsanstext"/>
        <w:tabs>
          <w:tab w:val="left" w:pos="540"/>
        </w:tabs>
        <w:ind w:left="540"/>
        <w:rPr>
          <w:rFonts w:cs="Arial"/>
        </w:rPr>
      </w:pPr>
      <w:r>
        <w:rPr>
          <w:rStyle w:val="Heading5Char"/>
          <w:rFonts w:ascii="Arial" w:hAnsi="Arial" w:cs="Arial"/>
          <w:b/>
          <w:color w:val="auto"/>
        </w:rPr>
        <w:lastRenderedPageBreak/>
        <w:br/>
      </w:r>
      <w:r w:rsidR="00CC5634" w:rsidRPr="003745CE">
        <w:rPr>
          <w:rStyle w:val="Heading5Char"/>
          <w:rFonts w:ascii="Arial" w:hAnsi="Arial" w:cs="Arial"/>
          <w:b/>
          <w:caps/>
          <w:color w:val="auto"/>
        </w:rPr>
        <w:t>Spinning Reserves, Non-spinning Reserves, and Supplemental Reserves.</w:t>
      </w:r>
      <w:r w:rsidR="00CC5634" w:rsidRPr="00E40E4B">
        <w:rPr>
          <w:rFonts w:cs="Arial"/>
        </w:rPr>
        <w:t xml:space="preserve"> Generation capacity over and above customer demand is reserved for use in the event of contingency events like unplanned outages. “Spinning” reserves are generators that are turned on, idling, waiting for the signal to go. Many storage technologies can be synchronized to grid frequency through their power electronics, so they can provide a service equivalent to spinning reserves with minimal to zero standby losses (unlike the idling generators). Energy storage is also capable of providing non-spinning or supplemental reserves, but these services are easier for traditional generators to accomplish cost-effectively.</w:t>
      </w:r>
    </w:p>
    <w:p w:rsidR="00CC5634" w:rsidRPr="00E40E4B" w:rsidRDefault="00CC5634" w:rsidP="00E61D26">
      <w:pPr>
        <w:pStyle w:val="IRPsanstext"/>
        <w:tabs>
          <w:tab w:val="left" w:pos="540"/>
        </w:tabs>
        <w:ind w:left="540"/>
        <w:rPr>
          <w:rStyle w:val="Heading5Char"/>
          <w:rFonts w:hint="eastAsia"/>
        </w:rPr>
      </w:pPr>
    </w:p>
    <w:p w:rsidR="00CC5634" w:rsidRPr="00E40E4B" w:rsidRDefault="00CC5634" w:rsidP="00E61D26">
      <w:pPr>
        <w:pStyle w:val="IRPsanstext"/>
        <w:tabs>
          <w:tab w:val="left" w:pos="540"/>
        </w:tabs>
        <w:ind w:left="540"/>
        <w:rPr>
          <w:rFonts w:cs="Arial"/>
        </w:rPr>
      </w:pPr>
      <w:r w:rsidRPr="003745CE">
        <w:rPr>
          <w:rStyle w:val="Heading5Char"/>
          <w:rFonts w:ascii="Arial" w:hAnsi="Arial" w:cs="Arial"/>
          <w:b/>
          <w:caps/>
          <w:color w:val="auto"/>
        </w:rPr>
        <w:t>Voltage Support.</w:t>
      </w:r>
      <w:r w:rsidRPr="00E40E4B">
        <w:rPr>
          <w:rFonts w:cs="Arial"/>
        </w:rPr>
        <w:t xml:space="preserve"> This ancillary service is used to maintain transmission voltage within an acceptable range. Advanced power electronics give storage resources with four-quadrant inverters the capability to inject VARs and correct suboptimal or excessive voltage; however, a number of other devices are capable of providing voltage support at low cost, so the value of this service for energy storage is considered to be low.</w:t>
      </w:r>
    </w:p>
    <w:p w:rsidR="00CC5634" w:rsidRPr="00E40E4B" w:rsidRDefault="00CC5634" w:rsidP="00E61D26">
      <w:pPr>
        <w:pStyle w:val="IRPsanstext"/>
        <w:tabs>
          <w:tab w:val="left" w:pos="540"/>
        </w:tabs>
        <w:ind w:left="540"/>
        <w:rPr>
          <w:rStyle w:val="Heading5Char"/>
          <w:rFonts w:hint="eastAsia"/>
        </w:rPr>
      </w:pPr>
    </w:p>
    <w:p w:rsidR="00CC5634" w:rsidRPr="0010292E" w:rsidRDefault="00CC5634" w:rsidP="00E61D26">
      <w:pPr>
        <w:pStyle w:val="IRPsanstext"/>
        <w:tabs>
          <w:tab w:val="left" w:pos="540"/>
        </w:tabs>
        <w:ind w:left="540"/>
        <w:rPr>
          <w:rFonts w:cs="Arial"/>
        </w:rPr>
      </w:pPr>
      <w:r w:rsidRPr="003745CE">
        <w:rPr>
          <w:rStyle w:val="Heading5Char"/>
          <w:rFonts w:ascii="Arial" w:hAnsi="Arial" w:cs="Arial"/>
          <w:b/>
          <w:caps/>
          <w:color w:val="auto"/>
        </w:rPr>
        <w:t>Black Start.</w:t>
      </w:r>
      <w:r w:rsidRPr="00E40E4B">
        <w:rPr>
          <w:rFonts w:cs="Arial"/>
        </w:rPr>
        <w:t xml:space="preserve"> </w:t>
      </w:r>
      <w:r w:rsidRPr="0010292E">
        <w:rPr>
          <w:rFonts w:cs="Arial"/>
        </w:rPr>
        <w:t xml:space="preserve">This service, typically provided by generators, restores the electric grid following a blackout. While energy storage could theoretically provide this service, black start </w:t>
      </w:r>
      <w:r w:rsidR="002852B2">
        <w:rPr>
          <w:rFonts w:cs="Arial"/>
        </w:rPr>
        <w:t>is of minimal value to PSE</w:t>
      </w:r>
      <w:r w:rsidR="00233794">
        <w:rPr>
          <w:rFonts w:cs="Arial"/>
        </w:rPr>
        <w:t>,</w:t>
      </w:r>
      <w:r w:rsidRPr="0010292E">
        <w:rPr>
          <w:rFonts w:cs="Arial"/>
        </w:rPr>
        <w:t xml:space="preserve"> because of its many </w:t>
      </w:r>
      <w:r w:rsidR="00F25D56">
        <w:rPr>
          <w:rFonts w:cs="Arial"/>
        </w:rPr>
        <w:t xml:space="preserve">other </w:t>
      </w:r>
      <w:r w:rsidRPr="0010292E">
        <w:rPr>
          <w:rFonts w:cs="Arial"/>
        </w:rPr>
        <w:t xml:space="preserve">low-cost, black start-capable generation resources. </w:t>
      </w:r>
    </w:p>
    <w:p w:rsidR="00CC5634" w:rsidRPr="0010292E" w:rsidRDefault="00CC5634" w:rsidP="00E61D26">
      <w:pPr>
        <w:pStyle w:val="IRPsanstext"/>
        <w:tabs>
          <w:tab w:val="left" w:pos="0"/>
        </w:tabs>
        <w:rPr>
          <w:rFonts w:cs="Arial"/>
        </w:rPr>
      </w:pPr>
      <w:r w:rsidRPr="0010292E">
        <w:rPr>
          <w:rFonts w:cs="Arial"/>
        </w:rPr>
        <w:br/>
        <w:t>PSE’s Open Access Transmission Tariff illustrates the relative cost for PSE to provide ancillary services:</w:t>
      </w:r>
    </w:p>
    <w:p w:rsidR="00E060C3" w:rsidRDefault="00F42452">
      <w:pPr>
        <w:pStyle w:val="IRPFigureSub"/>
        <w:spacing w:after="120"/>
        <w:rPr>
          <w:rFonts w:cs="Arial"/>
        </w:rPr>
      </w:pPr>
      <w:r>
        <w:t>Figure L-3:</w:t>
      </w:r>
      <w:r w:rsidRPr="000F10E2">
        <w:t xml:space="preserve"> </w:t>
      </w:r>
      <w:r w:rsidR="008D062C">
        <w:t>PSE Open Access Transmission Tariff</w:t>
      </w:r>
    </w:p>
    <w:tbl>
      <w:tblPr>
        <w:tblStyle w:val="TableGrid"/>
        <w:tblW w:w="0" w:type="auto"/>
        <w:tblInd w:w="108" w:type="dxa"/>
        <w:tblLook w:val="04A0" w:firstRow="1" w:lastRow="0" w:firstColumn="1" w:lastColumn="0" w:noHBand="0" w:noVBand="1"/>
      </w:tblPr>
      <w:tblGrid>
        <w:gridCol w:w="6480"/>
        <w:gridCol w:w="2160"/>
      </w:tblGrid>
      <w:tr w:rsidR="00CC5634" w:rsidRPr="0010292E">
        <w:tc>
          <w:tcPr>
            <w:tcW w:w="6480" w:type="dxa"/>
            <w:tcBorders>
              <w:top w:val="single" w:sz="4" w:space="0" w:color="auto"/>
              <w:left w:val="single" w:sz="4" w:space="0" w:color="auto"/>
              <w:bottom w:val="single" w:sz="4" w:space="0" w:color="auto"/>
              <w:right w:val="single" w:sz="4" w:space="0" w:color="auto"/>
            </w:tcBorders>
            <w:shd w:val="clear" w:color="auto" w:fill="156570"/>
          </w:tcPr>
          <w:p w:rsidR="00CC5634" w:rsidRPr="0010292E" w:rsidRDefault="00CC5634" w:rsidP="00CC5634">
            <w:pPr>
              <w:pStyle w:val="IRPsanstext"/>
              <w:rPr>
                <w:rFonts w:cs="Arial"/>
                <w:b/>
                <w:color w:val="FFFFFF" w:themeColor="background1"/>
                <w:szCs w:val="22"/>
              </w:rPr>
            </w:pPr>
            <w:r w:rsidRPr="0010292E">
              <w:rPr>
                <w:rFonts w:cs="Arial"/>
                <w:b/>
                <w:color w:val="FFFFFF" w:themeColor="background1"/>
                <w:szCs w:val="22"/>
              </w:rPr>
              <w:t>Service</w:t>
            </w:r>
          </w:p>
        </w:tc>
        <w:tc>
          <w:tcPr>
            <w:tcW w:w="2160" w:type="dxa"/>
            <w:tcBorders>
              <w:top w:val="single" w:sz="4" w:space="0" w:color="auto"/>
              <w:left w:val="single" w:sz="4" w:space="0" w:color="auto"/>
              <w:bottom w:val="single" w:sz="4" w:space="0" w:color="auto"/>
              <w:right w:val="single" w:sz="4" w:space="0" w:color="auto"/>
            </w:tcBorders>
            <w:shd w:val="clear" w:color="auto" w:fill="156570"/>
          </w:tcPr>
          <w:p w:rsidR="00CC5634" w:rsidRPr="0010292E" w:rsidRDefault="00233794" w:rsidP="00CC5634">
            <w:pPr>
              <w:pStyle w:val="IRPsanstext"/>
              <w:rPr>
                <w:rFonts w:cs="Arial"/>
                <w:b/>
                <w:color w:val="FFFFFF" w:themeColor="background1"/>
                <w:szCs w:val="22"/>
              </w:rPr>
            </w:pPr>
            <w:r>
              <w:rPr>
                <w:rFonts w:cs="Arial"/>
                <w:b/>
                <w:color w:val="FFFFFF" w:themeColor="background1"/>
                <w:szCs w:val="22"/>
              </w:rPr>
              <w:t>Rate ($/k</w:t>
            </w:r>
            <w:r w:rsidR="00CC5634" w:rsidRPr="0010292E">
              <w:rPr>
                <w:rFonts w:cs="Arial"/>
                <w:b/>
                <w:color w:val="FFFFFF" w:themeColor="background1"/>
                <w:szCs w:val="22"/>
              </w:rPr>
              <w:t>W-yr)</w:t>
            </w:r>
          </w:p>
        </w:tc>
      </w:tr>
      <w:tr w:rsidR="00CC5634" w:rsidRPr="0010292E">
        <w:tc>
          <w:tcPr>
            <w:tcW w:w="6480" w:type="dxa"/>
            <w:tcBorders>
              <w:top w:val="single" w:sz="4" w:space="0" w:color="auto"/>
            </w:tcBorders>
          </w:tcPr>
          <w:p w:rsidR="00CC5634" w:rsidRPr="0010292E" w:rsidRDefault="00CC5634" w:rsidP="00CC5634">
            <w:pPr>
              <w:pStyle w:val="IRPsanstext"/>
              <w:rPr>
                <w:rFonts w:cs="Arial"/>
                <w:szCs w:val="22"/>
              </w:rPr>
            </w:pPr>
            <w:r w:rsidRPr="0010292E">
              <w:rPr>
                <w:rFonts w:cs="Arial"/>
                <w:szCs w:val="22"/>
              </w:rPr>
              <w:t xml:space="preserve">Reactive Supply and Voltage Control </w:t>
            </w:r>
          </w:p>
        </w:tc>
        <w:tc>
          <w:tcPr>
            <w:tcW w:w="2160" w:type="dxa"/>
            <w:tcBorders>
              <w:top w:val="single" w:sz="4" w:space="0" w:color="auto"/>
            </w:tcBorders>
          </w:tcPr>
          <w:p w:rsidR="00CC5634" w:rsidRPr="0010292E" w:rsidRDefault="00CC5634" w:rsidP="00CC5634">
            <w:pPr>
              <w:pStyle w:val="IRPsanstext"/>
              <w:rPr>
                <w:rFonts w:cs="Arial"/>
                <w:szCs w:val="22"/>
              </w:rPr>
            </w:pPr>
            <w:r w:rsidRPr="0010292E">
              <w:rPr>
                <w:rFonts w:cs="Arial"/>
                <w:szCs w:val="22"/>
              </w:rPr>
              <w:t>$0.07533</w:t>
            </w:r>
          </w:p>
        </w:tc>
      </w:tr>
      <w:tr w:rsidR="00CC5634" w:rsidRPr="0010292E">
        <w:tc>
          <w:tcPr>
            <w:tcW w:w="6480" w:type="dxa"/>
          </w:tcPr>
          <w:p w:rsidR="00CC5634" w:rsidRPr="0010292E" w:rsidRDefault="00CC5634" w:rsidP="00CC5634">
            <w:pPr>
              <w:pStyle w:val="IRPsanstext"/>
              <w:rPr>
                <w:rFonts w:cs="Arial"/>
                <w:szCs w:val="22"/>
              </w:rPr>
            </w:pPr>
            <w:r w:rsidRPr="0010292E">
              <w:rPr>
                <w:rFonts w:cs="Arial"/>
                <w:szCs w:val="22"/>
              </w:rPr>
              <w:t>Regulation and Frequency Response</w:t>
            </w:r>
          </w:p>
        </w:tc>
        <w:tc>
          <w:tcPr>
            <w:tcW w:w="2160" w:type="dxa"/>
          </w:tcPr>
          <w:p w:rsidR="00CC5634" w:rsidRPr="0010292E" w:rsidRDefault="00CC5634" w:rsidP="00CC5634">
            <w:pPr>
              <w:pStyle w:val="IRPsanstext"/>
              <w:rPr>
                <w:rFonts w:cs="Arial"/>
                <w:szCs w:val="22"/>
              </w:rPr>
            </w:pPr>
            <w:r w:rsidRPr="0010292E">
              <w:rPr>
                <w:rFonts w:cs="Arial"/>
                <w:szCs w:val="22"/>
              </w:rPr>
              <w:t>$126.00</w:t>
            </w:r>
          </w:p>
        </w:tc>
      </w:tr>
      <w:tr w:rsidR="00CC5634" w:rsidRPr="0010292E">
        <w:tc>
          <w:tcPr>
            <w:tcW w:w="6480" w:type="dxa"/>
          </w:tcPr>
          <w:p w:rsidR="00CC5634" w:rsidRPr="0010292E" w:rsidRDefault="00CC5634" w:rsidP="00CC5634">
            <w:pPr>
              <w:pStyle w:val="IRPsanstext"/>
              <w:rPr>
                <w:rFonts w:cs="Arial"/>
                <w:szCs w:val="22"/>
              </w:rPr>
            </w:pPr>
            <w:r w:rsidRPr="0010292E">
              <w:rPr>
                <w:rFonts w:cs="Arial"/>
                <w:szCs w:val="22"/>
              </w:rPr>
              <w:t xml:space="preserve">Operating Reserve – Spinning </w:t>
            </w:r>
          </w:p>
        </w:tc>
        <w:tc>
          <w:tcPr>
            <w:tcW w:w="2160" w:type="dxa"/>
          </w:tcPr>
          <w:p w:rsidR="00CC5634" w:rsidRPr="0010292E" w:rsidRDefault="00CC5634" w:rsidP="00CC5634">
            <w:pPr>
              <w:pStyle w:val="IRPsanstext"/>
              <w:rPr>
                <w:rFonts w:cs="Arial"/>
                <w:szCs w:val="22"/>
              </w:rPr>
            </w:pPr>
            <w:r w:rsidRPr="0010292E">
              <w:rPr>
                <w:rFonts w:cs="Arial"/>
                <w:szCs w:val="22"/>
              </w:rPr>
              <w:t>$111.00</w:t>
            </w:r>
          </w:p>
        </w:tc>
      </w:tr>
      <w:tr w:rsidR="00CC5634" w:rsidRPr="0010292E">
        <w:tc>
          <w:tcPr>
            <w:tcW w:w="6480" w:type="dxa"/>
          </w:tcPr>
          <w:p w:rsidR="00CC5634" w:rsidRPr="0010292E" w:rsidRDefault="00CC5634" w:rsidP="00CC5634">
            <w:pPr>
              <w:pStyle w:val="IRPsanstext"/>
              <w:rPr>
                <w:rFonts w:cs="Arial"/>
                <w:szCs w:val="22"/>
              </w:rPr>
            </w:pPr>
            <w:r w:rsidRPr="0010292E">
              <w:rPr>
                <w:rFonts w:cs="Arial"/>
                <w:szCs w:val="22"/>
              </w:rPr>
              <w:t xml:space="preserve">Operating Reserve – Supplemental </w:t>
            </w:r>
          </w:p>
        </w:tc>
        <w:tc>
          <w:tcPr>
            <w:tcW w:w="2160" w:type="dxa"/>
          </w:tcPr>
          <w:p w:rsidR="00CC5634" w:rsidRPr="0010292E" w:rsidRDefault="00CC5634" w:rsidP="00CC5634">
            <w:pPr>
              <w:pStyle w:val="IRPsanstext"/>
              <w:rPr>
                <w:rFonts w:cs="Arial"/>
                <w:szCs w:val="22"/>
              </w:rPr>
            </w:pPr>
            <w:r w:rsidRPr="0010292E">
              <w:rPr>
                <w:rFonts w:cs="Arial"/>
                <w:szCs w:val="22"/>
              </w:rPr>
              <w:t>$108.00</w:t>
            </w:r>
          </w:p>
        </w:tc>
      </w:tr>
    </w:tbl>
    <w:p w:rsidR="0038519F" w:rsidRPr="0010292E" w:rsidRDefault="0038519F" w:rsidP="00CC5634">
      <w:pPr>
        <w:pStyle w:val="IRPsanstext"/>
        <w:rPr>
          <w:rFonts w:cs="Arial"/>
        </w:rPr>
      </w:pPr>
    </w:p>
    <w:p w:rsidR="0038519F" w:rsidRDefault="0038519F" w:rsidP="0038519F">
      <w:pPr>
        <w:pStyle w:val="IRPtitl"/>
      </w:pPr>
    </w:p>
    <w:p w:rsidR="00233794" w:rsidRDefault="00233794">
      <w:pPr>
        <w:rPr>
          <w:rFonts w:ascii="Arial" w:hAnsi="Arial"/>
          <w:b/>
          <w:color w:val="156570"/>
          <w:sz w:val="28"/>
          <w:szCs w:val="28"/>
        </w:rPr>
      </w:pPr>
      <w:r>
        <w:rPr>
          <w:b/>
          <w:color w:val="156570"/>
          <w:sz w:val="28"/>
          <w:szCs w:val="28"/>
        </w:rPr>
        <w:br w:type="page"/>
      </w:r>
    </w:p>
    <w:p w:rsidR="0038519F" w:rsidRPr="00497145" w:rsidRDefault="00362E46" w:rsidP="0038519F">
      <w:pPr>
        <w:pStyle w:val="IRPsanstext"/>
      </w:pPr>
      <w:r>
        <w:rPr>
          <w:b/>
          <w:color w:val="156570"/>
          <w:sz w:val="28"/>
          <w:szCs w:val="28"/>
        </w:rPr>
        <w:lastRenderedPageBreak/>
        <w:br/>
      </w:r>
      <w:r w:rsidR="008E5195" w:rsidRPr="008E5195">
        <w:rPr>
          <w:b/>
          <w:color w:val="156570"/>
          <w:sz w:val="28"/>
          <w:szCs w:val="28"/>
        </w:rPr>
        <w:t>Transmission Infrastructure Services.</w:t>
      </w:r>
      <w:r w:rsidR="008E5195">
        <w:t xml:space="preserve"> </w:t>
      </w:r>
      <w:r w:rsidR="0038519F">
        <w:t>These services relate to reliability and economics;</w:t>
      </w:r>
      <w:r w:rsidR="0038519F" w:rsidRPr="00497145">
        <w:t xml:space="preserve"> </w:t>
      </w:r>
      <w:r w:rsidR="0038519F">
        <w:t xml:space="preserve">they </w:t>
      </w:r>
      <w:r w:rsidR="0038519F" w:rsidRPr="00497145">
        <w:t>enable the electric transmission system to operate more optimally</w:t>
      </w:r>
      <w:r w:rsidR="0038519F">
        <w:t xml:space="preserve"> and efficiently</w:t>
      </w:r>
      <w:r w:rsidR="0038519F" w:rsidRPr="00497145">
        <w:t>.</w:t>
      </w:r>
    </w:p>
    <w:p w:rsidR="0038519F" w:rsidRPr="00497145" w:rsidRDefault="0038519F" w:rsidP="0038519F">
      <w:pPr>
        <w:pStyle w:val="IRPsanstext"/>
        <w:rPr>
          <w:rStyle w:val="Heading5Char"/>
          <w:rFonts w:hint="eastAsia"/>
        </w:rPr>
      </w:pPr>
    </w:p>
    <w:p w:rsidR="0038519F" w:rsidRPr="0038519F" w:rsidRDefault="0038519F" w:rsidP="00E61D26">
      <w:pPr>
        <w:pStyle w:val="IRPsanstext"/>
        <w:ind w:left="540"/>
        <w:rPr>
          <w:rFonts w:cs="Arial"/>
          <w:b/>
          <w:i/>
          <w:szCs w:val="22"/>
        </w:rPr>
      </w:pPr>
      <w:r w:rsidRPr="003745CE">
        <w:rPr>
          <w:rFonts w:cs="Arial"/>
          <w:b/>
          <w:caps/>
        </w:rPr>
        <w:t>Transmission Investment Deferral.</w:t>
      </w:r>
      <w:r w:rsidRPr="0038519F">
        <w:rPr>
          <w:rStyle w:val="Heading5Char"/>
          <w:rFonts w:ascii="Arial" w:hAnsi="Arial" w:cs="Arial"/>
          <w:sz w:val="22"/>
          <w:szCs w:val="22"/>
        </w:rPr>
        <w:t xml:space="preserve"> </w:t>
      </w:r>
      <w:r w:rsidRPr="0038519F">
        <w:rPr>
          <w:rFonts w:cs="Arial"/>
          <w:szCs w:val="22"/>
        </w:rPr>
        <w:t xml:space="preserve"> When a generation resource like energy storage or demand-side resources can cost-effectively defer capital expenditure in the transmission system, it’s called “transmission investment deferral.” Transmission resources are sized to handle peak capacity during normal operation with all elements in service, but it must be designed to meet capacity requirements even when portions of the network are out of service. It is possible to use energy storage to address capacity constraints created by periods of peak demand or specific contingencies</w:t>
      </w:r>
      <w:r w:rsidR="00396DDB">
        <w:rPr>
          <w:rFonts w:cs="Arial"/>
          <w:szCs w:val="22"/>
        </w:rPr>
        <w:t>;</w:t>
      </w:r>
      <w:r w:rsidRPr="0038519F">
        <w:rPr>
          <w:rFonts w:cs="Arial"/>
          <w:szCs w:val="22"/>
        </w:rPr>
        <w:t xml:space="preserve"> however, this is difficult due to the networked nature of the transmission system and storage specifications such as location, sizing, regulatory requirements and system controls. Also, deferring investment in transmission capacity projects is not always the best solution, since these projects usually increase system reliability and this is a valuable benefit. Radial transmission lines, where the battery could provide backup power, are a major exception. </w:t>
      </w:r>
    </w:p>
    <w:p w:rsidR="0038519F" w:rsidRPr="0038519F" w:rsidRDefault="0038519F" w:rsidP="00E61D26">
      <w:pPr>
        <w:pStyle w:val="IRPsanstext"/>
        <w:ind w:left="540"/>
        <w:rPr>
          <w:rStyle w:val="Heading5Char"/>
          <w:rFonts w:hint="eastAsia"/>
        </w:rPr>
      </w:pPr>
    </w:p>
    <w:p w:rsidR="0038519F" w:rsidRPr="0038519F" w:rsidRDefault="0038519F" w:rsidP="00E61D26">
      <w:pPr>
        <w:pStyle w:val="IRPsanstext"/>
        <w:ind w:left="540"/>
        <w:rPr>
          <w:rFonts w:cs="Arial"/>
          <w:szCs w:val="22"/>
        </w:rPr>
      </w:pPr>
      <w:r w:rsidRPr="003745CE">
        <w:rPr>
          <w:rStyle w:val="Heading5Char"/>
          <w:rFonts w:ascii="Arial" w:hAnsi="Arial" w:cs="Arial"/>
          <w:b/>
          <w:caps/>
          <w:color w:val="auto"/>
          <w:szCs w:val="22"/>
        </w:rPr>
        <w:t>Transmission Congestion Relief.</w:t>
      </w:r>
      <w:r w:rsidRPr="0038519F">
        <w:rPr>
          <w:rFonts w:cs="Arial"/>
          <w:szCs w:val="22"/>
        </w:rPr>
        <w:t xml:space="preserve">  This refers to using storage resources in a geographic area where locational marginal price</w:t>
      </w:r>
      <w:r w:rsidRPr="0038519F">
        <w:rPr>
          <w:rFonts w:cs="Arial"/>
          <w:i/>
          <w:szCs w:val="22"/>
        </w:rPr>
        <w:t xml:space="preserve"> (LMP)</w:t>
      </w:r>
      <w:r w:rsidRPr="0038519F">
        <w:rPr>
          <w:rFonts w:cs="Arial"/>
          <w:szCs w:val="22"/>
        </w:rPr>
        <w:t xml:space="preserve"> is jointly defined by the wholesale market price of energy and the amount of location-specific congestion in the electric system. The storage resource would optimize its dispatch based on an hourly LMP price signal. Since the Pacific Northwest does not use locational marginal pricing, it was not modeled in this analysis. </w:t>
      </w:r>
    </w:p>
    <w:p w:rsidR="00362E46" w:rsidRDefault="00362E46">
      <w:pPr>
        <w:rPr>
          <w:rFonts w:ascii="Arial" w:hAnsi="Arial" w:cs="Arial"/>
        </w:rPr>
      </w:pPr>
      <w:r>
        <w:rPr>
          <w:rFonts w:cs="Arial"/>
        </w:rPr>
        <w:br w:type="page"/>
      </w:r>
    </w:p>
    <w:p w:rsidR="0038519F" w:rsidRPr="0038519F" w:rsidRDefault="0038519F" w:rsidP="0038519F">
      <w:pPr>
        <w:pStyle w:val="IRPsanstext"/>
        <w:rPr>
          <w:rFonts w:cs="Arial"/>
        </w:rPr>
      </w:pPr>
    </w:p>
    <w:p w:rsidR="0038519F" w:rsidRPr="0038519F" w:rsidRDefault="008E5195" w:rsidP="0038519F">
      <w:pPr>
        <w:pStyle w:val="IRPsanstext"/>
        <w:rPr>
          <w:rFonts w:cs="Arial"/>
        </w:rPr>
      </w:pPr>
      <w:r w:rsidRPr="008E5195">
        <w:rPr>
          <w:rFonts w:cs="Arial"/>
          <w:b/>
          <w:color w:val="156570"/>
          <w:sz w:val="28"/>
          <w:szCs w:val="28"/>
        </w:rPr>
        <w:t xml:space="preserve">Distribution </w:t>
      </w:r>
      <w:r w:rsidR="00DF053B" w:rsidRPr="008E5195">
        <w:rPr>
          <w:rFonts w:cs="Arial"/>
          <w:b/>
          <w:color w:val="156570"/>
          <w:sz w:val="28"/>
          <w:szCs w:val="28"/>
        </w:rPr>
        <w:t>Infrastructure</w:t>
      </w:r>
      <w:r w:rsidRPr="008E5195">
        <w:rPr>
          <w:rFonts w:cs="Arial"/>
          <w:b/>
          <w:color w:val="156570"/>
          <w:sz w:val="28"/>
          <w:szCs w:val="28"/>
        </w:rPr>
        <w:t xml:space="preserve"> Services.</w:t>
      </w:r>
      <w:r>
        <w:rPr>
          <w:rFonts w:cs="Arial"/>
        </w:rPr>
        <w:t xml:space="preserve"> </w:t>
      </w:r>
      <w:r w:rsidR="0038519F" w:rsidRPr="0038519F">
        <w:rPr>
          <w:rFonts w:cs="Arial"/>
        </w:rPr>
        <w:t xml:space="preserve">These services support the physical infrastructure of the distribution system that connects distribution substations to customer meters.   </w:t>
      </w:r>
    </w:p>
    <w:p w:rsidR="0038519F" w:rsidRPr="0038519F" w:rsidRDefault="0038519F" w:rsidP="0038519F">
      <w:pPr>
        <w:pStyle w:val="IRPsanstext"/>
        <w:rPr>
          <w:rStyle w:val="Heading5Char"/>
          <w:rFonts w:hint="eastAsia"/>
        </w:rPr>
      </w:pPr>
    </w:p>
    <w:p w:rsidR="0038519F" w:rsidRPr="0038519F" w:rsidRDefault="0038519F" w:rsidP="00E61D26">
      <w:pPr>
        <w:pStyle w:val="IRPsanstext"/>
        <w:ind w:left="540"/>
        <w:rPr>
          <w:rFonts w:cs="Arial"/>
        </w:rPr>
      </w:pPr>
      <w:r w:rsidRPr="003745CE">
        <w:rPr>
          <w:rStyle w:val="Heading5Char"/>
          <w:rFonts w:ascii="Arial" w:hAnsi="Arial" w:cs="Arial"/>
          <w:b/>
          <w:caps/>
          <w:color w:val="auto"/>
        </w:rPr>
        <w:t>Distribution Investment Deferral.</w:t>
      </w:r>
      <w:r w:rsidRPr="003745CE">
        <w:rPr>
          <w:rStyle w:val="Heading5Char"/>
          <w:rFonts w:ascii="Arial" w:hAnsi="Arial" w:cs="Arial"/>
          <w:caps/>
        </w:rPr>
        <w:t xml:space="preserve"> </w:t>
      </w:r>
      <w:r w:rsidRPr="0038519F">
        <w:rPr>
          <w:rStyle w:val="Heading5Char"/>
          <w:rFonts w:ascii="Arial" w:hAnsi="Arial" w:cs="Arial"/>
        </w:rPr>
        <w:t>This</w:t>
      </w:r>
      <w:r w:rsidRPr="0038519F">
        <w:rPr>
          <w:rFonts w:cs="Arial"/>
        </w:rPr>
        <w:t xml:space="preserve"> is similar to transmission investment deferral, but specific to the distribution system.  To relieve overloaded distribution transformers, particularly high-cost substation transformers, energy storage can charge during low load periods and “peak shave” the highest load periods. This may postpone the need for a distribution investment. However, an energy storage system may be limited in its ability to deliver the operational flexibility and reliability improvements that traditional distribution infrastructure provides. For example, using storage to defer a new substation may make it harder to take existing substations offline for maintenance or in response to unplanned outages. For each candidate system, the tradeoffs between reliability, operational flexibility, capacity and cost need to be studied.</w:t>
      </w:r>
    </w:p>
    <w:p w:rsidR="0038519F" w:rsidRPr="0038519F" w:rsidRDefault="0038519F" w:rsidP="00E61D26">
      <w:pPr>
        <w:pStyle w:val="IRPsanstext"/>
        <w:ind w:left="540"/>
        <w:rPr>
          <w:rStyle w:val="Heading5Char"/>
          <w:rFonts w:hint="eastAsia"/>
        </w:rPr>
      </w:pPr>
    </w:p>
    <w:p w:rsidR="0038519F" w:rsidRPr="0038519F" w:rsidRDefault="0038519F" w:rsidP="00E61D26">
      <w:pPr>
        <w:pStyle w:val="IRPsanstext"/>
        <w:ind w:left="540"/>
        <w:rPr>
          <w:rFonts w:cs="Arial"/>
        </w:rPr>
      </w:pPr>
      <w:r w:rsidRPr="003745CE">
        <w:rPr>
          <w:rStyle w:val="Heading5Char"/>
          <w:rFonts w:ascii="Arial" w:hAnsi="Arial" w:cs="Arial"/>
          <w:b/>
          <w:caps/>
          <w:color w:val="000000" w:themeColor="text1"/>
        </w:rPr>
        <w:t>Distribution Voltage Support.</w:t>
      </w:r>
      <w:r w:rsidRPr="003745CE">
        <w:rPr>
          <w:rFonts w:cs="Arial"/>
          <w:caps/>
        </w:rPr>
        <w:t xml:space="preserve"> </w:t>
      </w:r>
      <w:r w:rsidRPr="0038519F">
        <w:rPr>
          <w:rFonts w:cs="Arial"/>
        </w:rPr>
        <w:t xml:space="preserve">This service maintains power voltage within acceptable bounds, as defined by ANSI standards (+/- 5 percent of nominal).  A storage system could provide voltage support on distribution lines and support a conservation voltage reduction scheme, but the value of this service for energy storage is considered low, because other devices are capable of providing low-cost voltage support. </w:t>
      </w:r>
    </w:p>
    <w:p w:rsidR="0038519F" w:rsidRPr="0038519F" w:rsidRDefault="0038519F" w:rsidP="00E61D26">
      <w:pPr>
        <w:pStyle w:val="IRPsanstext"/>
        <w:ind w:left="540"/>
        <w:rPr>
          <w:rFonts w:cs="Arial"/>
        </w:rPr>
      </w:pPr>
    </w:p>
    <w:p w:rsidR="0038519F" w:rsidRPr="0038519F" w:rsidRDefault="0038519F" w:rsidP="00E61D26">
      <w:pPr>
        <w:pStyle w:val="IRPsanstext"/>
        <w:ind w:left="540"/>
        <w:rPr>
          <w:rFonts w:cs="Arial"/>
        </w:rPr>
      </w:pPr>
      <w:r w:rsidRPr="003745CE">
        <w:rPr>
          <w:rFonts w:cs="Arial"/>
          <w:b/>
          <w:caps/>
        </w:rPr>
        <w:t>Outage Mitigation.</w:t>
      </w:r>
      <w:r w:rsidRPr="0038519F">
        <w:rPr>
          <w:rFonts w:cs="Arial"/>
          <w:b/>
        </w:rPr>
        <w:t xml:space="preserve"> </w:t>
      </w:r>
      <w:r w:rsidRPr="0038519F">
        <w:rPr>
          <w:rFonts w:cs="Arial"/>
        </w:rPr>
        <w:t>When properly designed for this capability,</w:t>
      </w:r>
      <w:r w:rsidRPr="0038519F">
        <w:rPr>
          <w:rFonts w:cs="Arial"/>
          <w:b/>
        </w:rPr>
        <w:t xml:space="preserve"> </w:t>
      </w:r>
      <w:r w:rsidRPr="0038519F">
        <w:rPr>
          <w:rFonts w:cs="Arial"/>
        </w:rPr>
        <w:t xml:space="preserve">storage resources can provide backup power to the distribution system for a limited time during some outages. For example, if a distribution line had a planned or unplanned outage and a storage resource on the load side of that outage was available for discharge, customers could continue to have electric service during the first few hours of an outage. Complex technical issues need to be addressed and solved regarding the stability, power flow, protection and operation of </w:t>
      </w:r>
      <w:r w:rsidRPr="0038519F">
        <w:rPr>
          <w:rFonts w:cs="Arial"/>
          <w:color w:val="000000" w:themeColor="text1"/>
        </w:rPr>
        <w:t>the “islanded” system</w:t>
      </w:r>
      <w:r w:rsidRPr="0038519F">
        <w:rPr>
          <w:rFonts w:cs="Arial"/>
        </w:rPr>
        <w:t xml:space="preserve">, especially as the storage capacity grows.  </w:t>
      </w:r>
    </w:p>
    <w:p w:rsidR="0038519F" w:rsidRPr="0038519F" w:rsidRDefault="0038519F" w:rsidP="0038519F">
      <w:pPr>
        <w:pStyle w:val="IRPsanstext"/>
        <w:rPr>
          <w:rFonts w:cs="Arial"/>
        </w:rPr>
      </w:pPr>
    </w:p>
    <w:p w:rsidR="0038519F" w:rsidRDefault="008E5195" w:rsidP="0038519F">
      <w:pPr>
        <w:pStyle w:val="IRPsanstext"/>
      </w:pPr>
      <w:r w:rsidRPr="008E5195">
        <w:rPr>
          <w:rFonts w:cs="Arial"/>
          <w:b/>
          <w:color w:val="156570"/>
          <w:sz w:val="28"/>
          <w:szCs w:val="28"/>
        </w:rPr>
        <w:t>Customer Energy Management.</w:t>
      </w:r>
      <w:r>
        <w:rPr>
          <w:rFonts w:cs="Arial"/>
        </w:rPr>
        <w:t xml:space="preserve"> </w:t>
      </w:r>
      <w:r w:rsidR="0038519F" w:rsidRPr="0038519F">
        <w:rPr>
          <w:rFonts w:cs="Arial"/>
        </w:rPr>
        <w:t>Although not a part of this study, storage resources placed on the customer side of the meter can also provide direct benefits to customers, such as increased power quality, reliability, the ability to shift consumption to hours with lower energy rates and demand charge</w:t>
      </w:r>
      <w:r w:rsidR="00D56DB1">
        <w:rPr>
          <w:rFonts w:cs="Arial"/>
        </w:rPr>
        <w:t>s</w:t>
      </w:r>
      <w:r w:rsidR="0038519F" w:rsidRPr="0038519F">
        <w:rPr>
          <w:rFonts w:cs="Arial"/>
        </w:rPr>
        <w:t xml:space="preserve">.  </w:t>
      </w:r>
      <w:r w:rsidR="0038519F" w:rsidRPr="0038519F">
        <w:rPr>
          <w:rFonts w:cs="Arial"/>
        </w:rPr>
        <w:br/>
      </w:r>
      <w:r w:rsidR="00CC5634" w:rsidRPr="0097287B">
        <w:t xml:space="preserve"> </w:t>
      </w:r>
    </w:p>
    <w:p w:rsidR="0038519F" w:rsidRDefault="0038519F">
      <w:pPr>
        <w:rPr>
          <w:rFonts w:ascii="Arial" w:hAnsi="Arial"/>
        </w:rPr>
      </w:pPr>
      <w:r>
        <w:br w:type="page"/>
      </w:r>
    </w:p>
    <w:p w:rsidR="008E5195" w:rsidRPr="00BA0875" w:rsidRDefault="00E61D26" w:rsidP="008E5195">
      <w:pPr>
        <w:pStyle w:val="IRPtitl"/>
        <w:ind w:left="0" w:firstLine="0"/>
        <w:rPr>
          <w:b/>
        </w:rPr>
      </w:pPr>
      <w:r>
        <w:rPr>
          <w:color w:val="auto"/>
          <w:sz w:val="20"/>
          <w:szCs w:val="20"/>
        </w:rPr>
        <w:lastRenderedPageBreak/>
        <w:br/>
      </w:r>
      <w:r>
        <w:rPr>
          <w:color w:val="auto"/>
          <w:sz w:val="20"/>
          <w:szCs w:val="20"/>
        </w:rPr>
        <w:br/>
      </w:r>
      <w:r w:rsidR="008E5195" w:rsidRPr="00BA0875">
        <w:rPr>
          <w:b/>
        </w:rPr>
        <w:t>ENERGY STORAGE TECHNOLOGIES</w:t>
      </w:r>
    </w:p>
    <w:p w:rsidR="008E5195" w:rsidRDefault="008E5195" w:rsidP="008E5195">
      <w:pPr>
        <w:pStyle w:val="IRPsanstext"/>
        <w:rPr>
          <w:rFonts w:cs="Arial"/>
          <w:b/>
          <w:color w:val="3366FF"/>
        </w:rPr>
      </w:pPr>
    </w:p>
    <w:p w:rsidR="008E5195" w:rsidRDefault="008E5195" w:rsidP="008E5195">
      <w:pPr>
        <w:spacing w:line="300" w:lineRule="auto"/>
        <w:rPr>
          <w:rFonts w:ascii="Arial" w:hAnsi="Arial" w:cs="Arial"/>
        </w:rPr>
      </w:pPr>
      <w:r w:rsidRPr="0010292E">
        <w:rPr>
          <w:rFonts w:ascii="Arial" w:hAnsi="Arial" w:cs="Arial"/>
        </w:rPr>
        <w:t>Energy storage encompasses a wide range of technologies and resource capabilities, and these differ in terms of cycle life, system life, efficiency, size and other characteristics.</w:t>
      </w:r>
      <w:bookmarkStart w:id="3" w:name="_Ref402510519"/>
      <w:bookmarkStart w:id="4" w:name="_Toc402942659"/>
    </w:p>
    <w:p w:rsidR="00F71BD6" w:rsidRPr="0010292E" w:rsidRDefault="00F71BD6" w:rsidP="008E5195">
      <w:pPr>
        <w:spacing w:line="300" w:lineRule="auto"/>
        <w:rPr>
          <w:rFonts w:ascii="Arial" w:hAnsi="Arial" w:cs="Arial"/>
        </w:rPr>
      </w:pPr>
    </w:p>
    <w:bookmarkEnd w:id="3"/>
    <w:bookmarkEnd w:id="4"/>
    <w:p w:rsidR="008E5195" w:rsidRPr="000F10E2" w:rsidRDefault="008E5195" w:rsidP="00F71BD6">
      <w:pPr>
        <w:pStyle w:val="IRPFigureSub"/>
        <w:spacing w:after="120"/>
      </w:pPr>
      <w:r>
        <w:t>Figure L-</w:t>
      </w:r>
      <w:r w:rsidR="008D062C">
        <w:t>4</w:t>
      </w:r>
      <w:r w:rsidR="00233794">
        <w:t>:</w:t>
      </w:r>
      <w:r w:rsidRPr="000F10E2">
        <w:t xml:space="preserve"> Energy Storage Technology Classes</w:t>
      </w:r>
    </w:p>
    <w:tbl>
      <w:tblPr>
        <w:tblStyle w:val="LightList1"/>
        <w:tblW w:w="8640" w:type="dxa"/>
        <w:tblInd w:w="108" w:type="dxa"/>
        <w:tblLook w:val="04A0" w:firstRow="1" w:lastRow="0" w:firstColumn="1" w:lastColumn="0" w:noHBand="0" w:noVBand="1"/>
      </w:tblPr>
      <w:tblGrid>
        <w:gridCol w:w="3960"/>
        <w:gridCol w:w="4680"/>
      </w:tblGrid>
      <w:tr w:rsidR="008E5195" w:rsidRPr="00C03FE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shd w:val="clear" w:color="auto" w:fill="156570"/>
          </w:tcPr>
          <w:p w:rsidR="008E5195" w:rsidRPr="008E5195" w:rsidRDefault="008E5195" w:rsidP="008E5195">
            <w:pPr>
              <w:pStyle w:val="IRPsanstext"/>
              <w:ind w:right="-548"/>
            </w:pPr>
            <w:r w:rsidRPr="008E5195">
              <w:t>Technology Class</w:t>
            </w:r>
          </w:p>
        </w:tc>
        <w:tc>
          <w:tcPr>
            <w:tcW w:w="4680" w:type="dxa"/>
            <w:shd w:val="clear" w:color="auto" w:fill="156570"/>
          </w:tcPr>
          <w:p w:rsidR="008E5195" w:rsidRPr="008E5195" w:rsidRDefault="008E5195" w:rsidP="008E5195">
            <w:pPr>
              <w:pStyle w:val="IRPsanstext"/>
              <w:cnfStyle w:val="100000000000" w:firstRow="1" w:lastRow="0" w:firstColumn="0" w:lastColumn="0" w:oddVBand="0" w:evenVBand="0" w:oddHBand="0" w:evenHBand="0" w:firstRowFirstColumn="0" w:firstRowLastColumn="0" w:lastRowFirstColumn="0" w:lastRowLastColumn="0"/>
            </w:pPr>
            <w:r w:rsidRPr="008E5195">
              <w:t>Examples</w:t>
            </w:r>
          </w:p>
        </w:tc>
      </w:tr>
      <w:tr w:rsidR="008E5195" w:rsidRPr="00C03F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tcPr>
          <w:p w:rsidR="008E5195" w:rsidRPr="008E5195" w:rsidRDefault="008E5195" w:rsidP="008E5195">
            <w:pPr>
              <w:pStyle w:val="IRPsanstext"/>
            </w:pPr>
            <w:r w:rsidRPr="008E5195">
              <w:t>Chemical Storage</w:t>
            </w:r>
          </w:p>
        </w:tc>
        <w:tc>
          <w:tcPr>
            <w:tcW w:w="4680" w:type="dxa"/>
          </w:tcPr>
          <w:p w:rsidR="008E5195" w:rsidRPr="008E5195" w:rsidRDefault="008E5195" w:rsidP="008E5195">
            <w:pPr>
              <w:pStyle w:val="IRPsanstext"/>
              <w:cnfStyle w:val="000000100000" w:firstRow="0" w:lastRow="0" w:firstColumn="0" w:lastColumn="0" w:oddVBand="0" w:evenVBand="0" w:oddHBand="1" w:evenHBand="0" w:firstRowFirstColumn="0" w:firstRowLastColumn="0" w:lastRowFirstColumn="0" w:lastRowLastColumn="0"/>
            </w:pPr>
            <w:r w:rsidRPr="008E5195">
              <w:t>Batteries</w:t>
            </w:r>
          </w:p>
        </w:tc>
      </w:tr>
      <w:tr w:rsidR="008E5195" w:rsidRPr="00C03FE4">
        <w:trPr>
          <w:trHeight w:val="20"/>
        </w:trPr>
        <w:tc>
          <w:tcPr>
            <w:cnfStyle w:val="001000000000" w:firstRow="0" w:lastRow="0" w:firstColumn="1" w:lastColumn="0" w:oddVBand="0" w:evenVBand="0" w:oddHBand="0" w:evenHBand="0" w:firstRowFirstColumn="0" w:firstRowLastColumn="0" w:lastRowFirstColumn="0" w:lastRowLastColumn="0"/>
            <w:tcW w:w="3960" w:type="dxa"/>
          </w:tcPr>
          <w:p w:rsidR="008E5195" w:rsidRPr="008E5195" w:rsidRDefault="008E5195" w:rsidP="008E5195">
            <w:pPr>
              <w:pStyle w:val="IRPsanstext"/>
            </w:pPr>
            <w:r w:rsidRPr="008E5195">
              <w:t>Mechanical Storage</w:t>
            </w:r>
          </w:p>
        </w:tc>
        <w:tc>
          <w:tcPr>
            <w:tcW w:w="4680" w:type="dxa"/>
          </w:tcPr>
          <w:p w:rsidR="008E5195" w:rsidRPr="008E5195" w:rsidRDefault="008E5195" w:rsidP="008E5195">
            <w:pPr>
              <w:pStyle w:val="IRPsanstext"/>
              <w:cnfStyle w:val="000000000000" w:firstRow="0" w:lastRow="0" w:firstColumn="0" w:lastColumn="0" w:oddVBand="0" w:evenVBand="0" w:oddHBand="0" w:evenHBand="0" w:firstRowFirstColumn="0" w:firstRowLastColumn="0" w:lastRowFirstColumn="0" w:lastRowLastColumn="0"/>
            </w:pPr>
            <w:r w:rsidRPr="008E5195">
              <w:t>Flywheels, Compressed Air</w:t>
            </w:r>
          </w:p>
        </w:tc>
      </w:tr>
      <w:tr w:rsidR="008E5195" w:rsidRPr="000F10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tcPr>
          <w:p w:rsidR="008E5195" w:rsidRPr="008E5195" w:rsidRDefault="008E5195" w:rsidP="008E5195">
            <w:pPr>
              <w:pStyle w:val="IRPsanstext"/>
            </w:pPr>
            <w:r w:rsidRPr="008E5195">
              <w:t>Thermal Storage</w:t>
            </w:r>
          </w:p>
        </w:tc>
        <w:tc>
          <w:tcPr>
            <w:tcW w:w="4680" w:type="dxa"/>
          </w:tcPr>
          <w:p w:rsidR="008E5195" w:rsidRPr="008E5195" w:rsidRDefault="008E5195" w:rsidP="008E5195">
            <w:pPr>
              <w:pStyle w:val="IRPsanstext"/>
              <w:cnfStyle w:val="000000100000" w:firstRow="0" w:lastRow="0" w:firstColumn="0" w:lastColumn="0" w:oddVBand="0" w:evenVBand="0" w:oddHBand="1" w:evenHBand="0" w:firstRowFirstColumn="0" w:firstRowLastColumn="0" w:lastRowFirstColumn="0" w:lastRowLastColumn="0"/>
            </w:pPr>
            <w:r w:rsidRPr="008E5195">
              <w:t>Ice, Molten Salt, Hot Water</w:t>
            </w:r>
          </w:p>
        </w:tc>
      </w:tr>
      <w:tr w:rsidR="008E5195" w:rsidRPr="000F10E2">
        <w:trPr>
          <w:trHeight w:val="20"/>
        </w:trPr>
        <w:tc>
          <w:tcPr>
            <w:cnfStyle w:val="001000000000" w:firstRow="0" w:lastRow="0" w:firstColumn="1" w:lastColumn="0" w:oddVBand="0" w:evenVBand="0" w:oddHBand="0" w:evenHBand="0" w:firstRowFirstColumn="0" w:firstRowLastColumn="0" w:lastRowFirstColumn="0" w:lastRowLastColumn="0"/>
            <w:tcW w:w="3960" w:type="dxa"/>
          </w:tcPr>
          <w:p w:rsidR="008E5195" w:rsidRPr="008E5195" w:rsidRDefault="008E5195" w:rsidP="008E5195">
            <w:pPr>
              <w:pStyle w:val="IRPsanstext"/>
            </w:pPr>
            <w:r w:rsidRPr="008E5195">
              <w:t>Bulk Gravitational Storage</w:t>
            </w:r>
          </w:p>
        </w:tc>
        <w:tc>
          <w:tcPr>
            <w:tcW w:w="4680" w:type="dxa"/>
          </w:tcPr>
          <w:p w:rsidR="008E5195" w:rsidRPr="008E5195" w:rsidRDefault="008E5195" w:rsidP="008E5195">
            <w:pPr>
              <w:pStyle w:val="IRPsanstext"/>
              <w:cnfStyle w:val="000000000000" w:firstRow="0" w:lastRow="0" w:firstColumn="0" w:lastColumn="0" w:oddVBand="0" w:evenVBand="0" w:oddHBand="0" w:evenHBand="0" w:firstRowFirstColumn="0" w:firstRowLastColumn="0" w:lastRowFirstColumn="0" w:lastRowLastColumn="0"/>
            </w:pPr>
            <w:r w:rsidRPr="008E5195">
              <w:t>Pumped Hydropower, Gravel</w:t>
            </w:r>
          </w:p>
        </w:tc>
      </w:tr>
    </w:tbl>
    <w:p w:rsidR="008E5195" w:rsidRPr="000F10E2" w:rsidRDefault="008E5195" w:rsidP="008E5195">
      <w:pPr>
        <w:pStyle w:val="IRPsanstext"/>
      </w:pPr>
    </w:p>
    <w:p w:rsidR="008E5195" w:rsidRPr="000F10E2" w:rsidRDefault="008E5195" w:rsidP="008E5195">
      <w:pPr>
        <w:pStyle w:val="IRPsanstext"/>
        <w:rPr>
          <w:szCs w:val="22"/>
        </w:rPr>
      </w:pPr>
      <w:r>
        <w:rPr>
          <w:szCs w:val="22"/>
        </w:rPr>
        <w:t>Although</w:t>
      </w:r>
      <w:r w:rsidRPr="000F10E2">
        <w:rPr>
          <w:szCs w:val="22"/>
        </w:rPr>
        <w:t xml:space="preserve"> battery technology</w:t>
      </w:r>
      <w:r>
        <w:rPr>
          <w:szCs w:val="22"/>
        </w:rPr>
        <w:t xml:space="preserve"> has attracted a great deal of industry attention in recent years</w:t>
      </w:r>
      <w:r w:rsidRPr="000F10E2">
        <w:rPr>
          <w:szCs w:val="22"/>
        </w:rPr>
        <w:t xml:space="preserve">, pumped hydro </w:t>
      </w:r>
      <w:r>
        <w:rPr>
          <w:szCs w:val="22"/>
        </w:rPr>
        <w:t xml:space="preserve">technology </w:t>
      </w:r>
      <w:r w:rsidRPr="000F10E2">
        <w:rPr>
          <w:szCs w:val="22"/>
        </w:rPr>
        <w:t xml:space="preserve">still </w:t>
      </w:r>
      <w:r>
        <w:rPr>
          <w:szCs w:val="22"/>
        </w:rPr>
        <w:t>supplies the vast majority of grid-</w:t>
      </w:r>
      <w:r w:rsidRPr="000F10E2">
        <w:rPr>
          <w:szCs w:val="22"/>
        </w:rPr>
        <w:t>c</w:t>
      </w:r>
      <w:r>
        <w:rPr>
          <w:szCs w:val="22"/>
        </w:rPr>
        <w:t>onnected energy storage (97.</w:t>
      </w:r>
      <w:r w:rsidR="008326CD">
        <w:rPr>
          <w:szCs w:val="22"/>
        </w:rPr>
        <w:t>5</w:t>
      </w:r>
      <w:r>
        <w:rPr>
          <w:szCs w:val="22"/>
        </w:rPr>
        <w:t xml:space="preserve"> percent). T</w:t>
      </w:r>
      <w:r w:rsidRPr="000F10E2">
        <w:rPr>
          <w:szCs w:val="22"/>
        </w:rPr>
        <w:t>he remainin</w:t>
      </w:r>
      <w:r>
        <w:rPr>
          <w:szCs w:val="22"/>
        </w:rPr>
        <w:t>g categories combined comprise</w:t>
      </w:r>
      <w:r w:rsidRPr="000F10E2">
        <w:rPr>
          <w:szCs w:val="22"/>
        </w:rPr>
        <w:t xml:space="preserve"> only 2.</w:t>
      </w:r>
      <w:r w:rsidR="00F06A3A">
        <w:rPr>
          <w:szCs w:val="22"/>
        </w:rPr>
        <w:t>5</w:t>
      </w:r>
      <w:r>
        <w:rPr>
          <w:szCs w:val="22"/>
        </w:rPr>
        <w:t xml:space="preserve"> percent</w:t>
      </w:r>
      <w:r w:rsidRPr="000F10E2">
        <w:rPr>
          <w:szCs w:val="22"/>
        </w:rPr>
        <w:t xml:space="preserve"> of installed capacity</w:t>
      </w:r>
      <w:r>
        <w:rPr>
          <w:szCs w:val="22"/>
        </w:rPr>
        <w:t>, as the chart below illustrates</w:t>
      </w:r>
      <w:r w:rsidRPr="000F10E2">
        <w:rPr>
          <w:szCs w:val="22"/>
        </w:rPr>
        <w:t>.</w:t>
      </w:r>
    </w:p>
    <w:p w:rsidR="004A6361" w:rsidRDefault="004A6361" w:rsidP="008E5195">
      <w:pPr>
        <w:pStyle w:val="IRPsanstext"/>
      </w:pPr>
    </w:p>
    <w:p w:rsidR="003E265A" w:rsidRDefault="008E5195" w:rsidP="009D7D9D">
      <w:pPr>
        <w:pStyle w:val="IRPFigureSub"/>
      </w:pPr>
      <w:r w:rsidRPr="000253F2">
        <w:t>Figure L-</w:t>
      </w:r>
      <w:r w:rsidR="008D062C">
        <w:t>5</w:t>
      </w:r>
      <w:r w:rsidR="00233794">
        <w:t xml:space="preserve">: </w:t>
      </w:r>
      <w:r w:rsidRPr="000253F2">
        <w:t xml:space="preserve">Installed Grid-connected Energy Storage in MW, by Technology, as of </w:t>
      </w:r>
      <w:r w:rsidR="00F06A3A">
        <w:t>8/2015</w:t>
      </w:r>
      <w:r w:rsidR="0010292E">
        <w:rPr>
          <w:rStyle w:val="FootnoteReference"/>
        </w:rPr>
        <w:footnoteReference w:id="9"/>
      </w:r>
    </w:p>
    <w:p w:rsidR="008E5195" w:rsidRDefault="00F06A3A" w:rsidP="008E5195">
      <w:pPr>
        <w:pStyle w:val="Caption"/>
        <w:spacing w:line="300" w:lineRule="auto"/>
        <w:rPr>
          <w:rFonts w:asciiTheme="majorHAnsi" w:hAnsiTheme="majorHAnsi"/>
          <w:color w:val="auto"/>
        </w:rPr>
      </w:pPr>
      <w:bookmarkStart w:id="5" w:name="_Toc402942653"/>
      <w:r w:rsidRPr="00A960CB">
        <w:rPr>
          <w:rFonts w:ascii="Arial" w:hAnsi="Arial"/>
          <w:b w:val="0"/>
          <w:noProof/>
        </w:rPr>
        <w:drawing>
          <wp:inline distT="0" distB="0" distL="0" distR="0">
            <wp:extent cx="5486400" cy="2781300"/>
            <wp:effectExtent l="0" t="0" r="2540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E5195" w:rsidRPr="008E5195" w:rsidRDefault="008E5195" w:rsidP="008E5195">
      <w:pPr>
        <w:pStyle w:val="IRPfooter"/>
        <w:rPr>
          <w:color w:val="000000" w:themeColor="text1"/>
        </w:rPr>
      </w:pPr>
      <w:r w:rsidRPr="008E5195">
        <w:rPr>
          <w:color w:val="000000" w:themeColor="text1"/>
        </w:rPr>
        <w:t xml:space="preserve"> </w:t>
      </w:r>
      <w:bookmarkEnd w:id="5"/>
    </w:p>
    <w:p w:rsidR="008E5195" w:rsidRPr="003745CE" w:rsidRDefault="003E265A" w:rsidP="008E5195">
      <w:pPr>
        <w:pStyle w:val="IRPsanstext"/>
      </w:pPr>
      <w:r w:rsidRPr="003745CE">
        <w:t xml:space="preserve">*Batteries include </w:t>
      </w:r>
      <w:r w:rsidR="008E5195" w:rsidRPr="003745CE">
        <w:t xml:space="preserve">Lithium-ion, </w:t>
      </w:r>
      <w:r w:rsidRPr="003745CE">
        <w:t xml:space="preserve">Flow, </w:t>
      </w:r>
      <w:r w:rsidR="008E5195" w:rsidRPr="003745CE">
        <w:t>Sodium Sulfur, Nickel Cadmium, Lead Acid, Electrochemical Capacitors and Ultra</w:t>
      </w:r>
      <w:r w:rsidRPr="003745CE">
        <w:t>capacitor</w:t>
      </w:r>
      <w:r w:rsidR="008E5195" w:rsidRPr="003745CE">
        <w:t xml:space="preserve"> Batteries</w:t>
      </w:r>
      <w:r w:rsidR="008E5195" w:rsidRPr="003745CE">
        <w:rPr>
          <w:sz w:val="32"/>
        </w:rPr>
        <w:br w:type="page"/>
      </w:r>
    </w:p>
    <w:p w:rsidR="008E5195" w:rsidRPr="008E5195" w:rsidRDefault="00A960CB" w:rsidP="008E5195">
      <w:pPr>
        <w:pStyle w:val="IRPsanstext"/>
        <w:rPr>
          <w:rFonts w:cs="Arial"/>
        </w:rPr>
      </w:pPr>
      <w:r>
        <w:rPr>
          <w:rFonts w:cs="Arial"/>
          <w:sz w:val="32"/>
          <w:szCs w:val="32"/>
        </w:rPr>
        <w:lastRenderedPageBreak/>
        <w:br/>
      </w:r>
      <w:r w:rsidR="008E5195" w:rsidRPr="008E5195">
        <w:rPr>
          <w:rFonts w:cs="Arial"/>
          <w:sz w:val="32"/>
          <w:szCs w:val="32"/>
        </w:rPr>
        <w:t>Chemical Storage (Batteries)</w:t>
      </w:r>
    </w:p>
    <w:p w:rsidR="008E5195" w:rsidRPr="008E5195" w:rsidRDefault="008E5195" w:rsidP="008E5195">
      <w:pPr>
        <w:pStyle w:val="IRPsanstext"/>
        <w:rPr>
          <w:rFonts w:cs="Arial"/>
        </w:rPr>
      </w:pPr>
    </w:p>
    <w:p w:rsidR="008E5195" w:rsidRPr="008E5195" w:rsidRDefault="008E5195" w:rsidP="008E5195">
      <w:pPr>
        <w:pStyle w:val="IRPsanstext"/>
        <w:rPr>
          <w:rFonts w:cs="Arial"/>
        </w:rPr>
      </w:pPr>
      <w:r w:rsidRPr="008E5195">
        <w:rPr>
          <w:rFonts w:cs="Arial"/>
        </w:rPr>
        <w:t xml:space="preserve">This class of energy storage includes the following chemistries: advanced lead acid, lithium-ion, sodium-based, nickel-based, flow batteries and electrochemical capacitors. Technologies are further divided into sub-categories based on the specific chemical composition of the main components (anode, cathode, separator, electrolyte, etc.). Each class and sub-category is at a different stage of commercial maturity and has unique power and energy characteristics that make it more or less appropriate for specific grid support applications. </w:t>
      </w:r>
    </w:p>
    <w:p w:rsidR="008E5195" w:rsidRPr="008E5195" w:rsidRDefault="008E5195" w:rsidP="008E5195">
      <w:pPr>
        <w:pStyle w:val="IRPsanstext"/>
        <w:rPr>
          <w:rFonts w:cs="Arial"/>
          <w:b/>
          <w:color w:val="3366FF"/>
        </w:rPr>
      </w:pPr>
    </w:p>
    <w:p w:rsidR="008E5195" w:rsidRPr="008E5195" w:rsidRDefault="008E5195" w:rsidP="008E5195">
      <w:pPr>
        <w:pStyle w:val="IRPsanstext"/>
        <w:rPr>
          <w:rFonts w:cs="Arial"/>
        </w:rPr>
      </w:pPr>
      <w:r w:rsidRPr="008E5195">
        <w:rPr>
          <w:rFonts w:cs="Arial"/>
          <w:b/>
          <w:color w:val="156570"/>
          <w:sz w:val="28"/>
          <w:szCs w:val="28"/>
        </w:rPr>
        <w:t>Advanced Lead Acid.</w:t>
      </w:r>
      <w:r w:rsidRPr="008E5195">
        <w:rPr>
          <w:rFonts w:cs="Arial"/>
          <w:b/>
        </w:rPr>
        <w:t xml:space="preserve"> </w:t>
      </w:r>
      <w:r w:rsidRPr="008E5195">
        <w:rPr>
          <w:rFonts w:cs="Arial"/>
        </w:rPr>
        <w:t>Invented in the 19th century, lead acid batteries are the most fully developed and commercially mature type of rechargeable battery. They are widely used in both mobile applications like cars and boats and stationary consumer applications like UPS units and off-grid PV. However, several issues have prevented widespread adoption for utility-scale grid applications. These include short cycle life, slow charging rates and high maintenance requirements.</w:t>
      </w:r>
      <w:r w:rsidRPr="008E5195">
        <w:rPr>
          <w:rStyle w:val="FootnoteReference"/>
          <w:rFonts w:cs="Arial"/>
        </w:rPr>
        <w:footnoteReference w:id="10"/>
      </w:r>
      <w:r w:rsidRPr="008E5195">
        <w:rPr>
          <w:rFonts w:cs="Arial"/>
        </w:rPr>
        <w:t xml:space="preserve">  The DOE Energy Storage Database identifies </w:t>
      </w:r>
      <w:r w:rsidR="00DF5C90">
        <w:rPr>
          <w:rFonts w:cs="Arial"/>
        </w:rPr>
        <w:t>13</w:t>
      </w:r>
      <w:r w:rsidR="00A61DF0" w:rsidRPr="008E5195">
        <w:rPr>
          <w:rFonts w:cs="Arial"/>
        </w:rPr>
        <w:t xml:space="preserve"> </w:t>
      </w:r>
      <w:r w:rsidRPr="008E5195">
        <w:rPr>
          <w:rFonts w:cs="Arial"/>
        </w:rPr>
        <w:t>operational projects that have a power rating greater than 1 MW. These perform a variety of services including peak shaving, on-site power, ancillary services, ramping and renewables capacity firming.</w:t>
      </w:r>
    </w:p>
    <w:p w:rsidR="008E5195" w:rsidRPr="008E5195" w:rsidRDefault="008E5195" w:rsidP="008E5195">
      <w:pPr>
        <w:pStyle w:val="IRPsanstext"/>
        <w:rPr>
          <w:rFonts w:cs="Arial"/>
          <w:i/>
        </w:rPr>
      </w:pPr>
    </w:p>
    <w:p w:rsidR="008E5195" w:rsidRPr="008E5195" w:rsidRDefault="009D7D9D" w:rsidP="008E5195">
      <w:pPr>
        <w:pStyle w:val="IRPsanstext"/>
        <w:rPr>
          <w:rFonts w:cs="Arial"/>
          <w:b/>
        </w:rPr>
      </w:pPr>
      <w:r w:rsidRPr="001A1722">
        <w:rPr>
          <w:rFonts w:cs="Arial"/>
          <w:b/>
          <w:i/>
        </w:rPr>
        <w:t>Technical D</w:t>
      </w:r>
      <w:r w:rsidR="008E5195" w:rsidRPr="001A1722">
        <w:rPr>
          <w:rFonts w:cs="Arial"/>
          <w:b/>
          <w:i/>
        </w:rPr>
        <w:t>etails</w:t>
      </w:r>
      <w:r w:rsidRPr="001A1722">
        <w:rPr>
          <w:rFonts w:cs="Arial"/>
          <w:b/>
          <w:i/>
        </w:rPr>
        <w:t>:</w:t>
      </w:r>
      <w:r>
        <w:rPr>
          <w:rFonts w:cs="Arial"/>
          <w:b/>
        </w:rPr>
        <w:t xml:space="preserve"> </w:t>
      </w:r>
      <w:r w:rsidR="008E5195" w:rsidRPr="008E5195">
        <w:rPr>
          <w:rFonts w:cs="Arial"/>
        </w:rPr>
        <w:t xml:space="preserve">Lead acid batteries rely on a positive, lead-dioxide electrode reacting with a negative, metallic lead electrode through a sulfuric acid electrolyte. Ongoing research and development have produced several proprietary technologies in two categories: advanced lead acid and lead acid carbon. </w:t>
      </w:r>
    </w:p>
    <w:p w:rsidR="008E5195" w:rsidRPr="008E5195" w:rsidRDefault="008E5195" w:rsidP="008E5195">
      <w:pPr>
        <w:pStyle w:val="IRPsanstext"/>
        <w:rPr>
          <w:rFonts w:cs="Arial"/>
        </w:rPr>
      </w:pPr>
    </w:p>
    <w:p w:rsidR="008E5195" w:rsidRPr="008E5195" w:rsidRDefault="008E5195" w:rsidP="008E5195">
      <w:pPr>
        <w:pStyle w:val="IRPsanstext"/>
        <w:rPr>
          <w:rFonts w:cs="Arial"/>
        </w:rPr>
      </w:pPr>
      <w:r w:rsidRPr="008E5195">
        <w:rPr>
          <w:rFonts w:cs="Arial"/>
        </w:rPr>
        <w:t>Advanced lead acid batteries incorporate a variety of technological enhancements. Companies such as GS Yuasa and Hitachi are improving system response times with incremental technology enhancements like valve-regulation, solid state electrolyte-electrode configurations and anode electrodes that include capacitors.</w:t>
      </w:r>
      <w:r w:rsidRPr="008E5195">
        <w:rPr>
          <w:rStyle w:val="FootnoteReference"/>
          <w:rFonts w:cs="Arial"/>
        </w:rPr>
        <w:footnoteReference w:id="11"/>
      </w:r>
    </w:p>
    <w:p w:rsidR="008E5195" w:rsidRPr="008E5195" w:rsidRDefault="008E5195" w:rsidP="008E5195">
      <w:pPr>
        <w:pStyle w:val="IRPsanstext"/>
        <w:rPr>
          <w:rFonts w:cs="Arial"/>
        </w:rPr>
      </w:pPr>
    </w:p>
    <w:p w:rsidR="009D7D9D" w:rsidRDefault="008E5195" w:rsidP="008E5195">
      <w:pPr>
        <w:pStyle w:val="IRPsanstext"/>
        <w:rPr>
          <w:rFonts w:cs="Arial"/>
        </w:rPr>
      </w:pPr>
      <w:r w:rsidRPr="008E5195">
        <w:rPr>
          <w:rFonts w:cs="Arial"/>
        </w:rPr>
        <w:t>While technologically distinct, lead acid carbon is considered a type of advanced lead acid battery.</w:t>
      </w:r>
      <w:r w:rsidRPr="008E5195">
        <w:rPr>
          <w:rStyle w:val="FootnoteReference"/>
          <w:rFonts w:cs="Arial"/>
        </w:rPr>
        <w:footnoteReference w:id="12"/>
      </w:r>
      <w:r w:rsidRPr="008E5195">
        <w:rPr>
          <w:rFonts w:cs="Arial"/>
        </w:rPr>
        <w:t xml:space="preserve"> Lead acid carbon batteries add carbon to one or both electrodes. This addresses two major barriers that have limited adoption of lead acid technology: 1) a tendency for sulfate to accumulate on the negative electrode surface which leads to large decreases in capacity and cycle life, and 2) slow charge/discharge rates. Adding carbon reduces sulfate accumulation and allows faster charge and discharge with no apparent detrimental effects.</w:t>
      </w:r>
      <w:r w:rsidRPr="008E5195">
        <w:rPr>
          <w:rStyle w:val="FootnoteReference"/>
          <w:rFonts w:cs="Arial"/>
        </w:rPr>
        <w:footnoteReference w:id="13"/>
      </w:r>
      <w:r w:rsidRPr="008E5195">
        <w:rPr>
          <w:rFonts w:cs="Arial"/>
        </w:rPr>
        <w:t xml:space="preserve">  </w:t>
      </w:r>
    </w:p>
    <w:p w:rsidR="009D7D9D" w:rsidRDefault="009D7D9D" w:rsidP="008E5195">
      <w:pPr>
        <w:pStyle w:val="IRPsanstext"/>
        <w:rPr>
          <w:rFonts w:cs="Arial"/>
        </w:rPr>
      </w:pPr>
    </w:p>
    <w:p w:rsidR="009D7D9D" w:rsidRDefault="009D7D9D" w:rsidP="008E5195">
      <w:pPr>
        <w:pStyle w:val="IRPsanstext"/>
        <w:rPr>
          <w:rFonts w:cs="Arial"/>
        </w:rPr>
      </w:pPr>
    </w:p>
    <w:p w:rsidR="00F71BD6" w:rsidRDefault="00F71BD6" w:rsidP="008E5195">
      <w:pPr>
        <w:pStyle w:val="IRPsanstext"/>
        <w:rPr>
          <w:rFonts w:cs="Arial"/>
        </w:rPr>
      </w:pPr>
    </w:p>
    <w:p w:rsidR="008E5195" w:rsidRPr="008E5195" w:rsidRDefault="008E5195" w:rsidP="008E5195">
      <w:pPr>
        <w:pStyle w:val="IRPsanstext"/>
        <w:rPr>
          <w:rFonts w:cs="Arial"/>
        </w:rPr>
      </w:pPr>
      <w:r w:rsidRPr="008E5195">
        <w:rPr>
          <w:rFonts w:cs="Arial"/>
        </w:rPr>
        <w:t>Research and development by Xtreme Power (now Younicos), Axion Power and Ecoult/East Penn has led to several utility-scale deployments ranging from 1 MW to 36 MW.</w:t>
      </w:r>
      <w:r w:rsidRPr="008E5195">
        <w:rPr>
          <w:rStyle w:val="FootnoteReference"/>
          <w:rFonts w:cs="Arial"/>
        </w:rPr>
        <w:footnoteReference w:id="14"/>
      </w:r>
      <w:r w:rsidRPr="008E5195">
        <w:rPr>
          <w:rFonts w:cs="Arial"/>
        </w:rPr>
        <w:t xml:space="preserve"> Improvements in maintenance requirements, cycle life and charging rates are allowing lead acid carbon systems to perform </w:t>
      </w:r>
      <w:r w:rsidR="009D7D9D">
        <w:rPr>
          <w:rFonts w:cs="Arial"/>
        </w:rPr>
        <w:t>a variety of</w:t>
      </w:r>
      <w:r w:rsidRPr="008E5195">
        <w:rPr>
          <w:rFonts w:cs="Arial"/>
        </w:rPr>
        <w:t xml:space="preserve"> grid services that w</w:t>
      </w:r>
      <w:r w:rsidR="009D7D9D">
        <w:rPr>
          <w:rFonts w:cs="Arial"/>
        </w:rPr>
        <w:t>ere not economic</w:t>
      </w:r>
      <w:r w:rsidRPr="008E5195">
        <w:rPr>
          <w:rFonts w:cs="Arial"/>
        </w:rPr>
        <w:t xml:space="preserve"> with standard lead acid batteries. </w:t>
      </w:r>
    </w:p>
    <w:p w:rsidR="008E5195" w:rsidRPr="008E5195" w:rsidRDefault="008E5195" w:rsidP="008E5195">
      <w:pPr>
        <w:pStyle w:val="IRPsanstext"/>
        <w:rPr>
          <w:rFonts w:cs="Arial"/>
        </w:rPr>
      </w:pPr>
    </w:p>
    <w:p w:rsidR="008E5195" w:rsidRPr="008E5195" w:rsidRDefault="008E5195" w:rsidP="008E5195">
      <w:pPr>
        <w:pStyle w:val="IRPsanstext"/>
        <w:rPr>
          <w:rFonts w:cs="Arial"/>
          <w:b/>
        </w:rPr>
      </w:pPr>
      <w:r w:rsidRPr="008E5195">
        <w:rPr>
          <w:rFonts w:cs="Arial"/>
        </w:rPr>
        <w:t>Downsides to lead acid technology include its low power and energy density compared to other batteries, limited life ranges of approximately 6 to 15 years, and toxic lead electrodes and sulfur electrolytes which require special handling and recycling.</w:t>
      </w:r>
      <w:r w:rsidRPr="008E5195">
        <w:rPr>
          <w:rStyle w:val="FootnoteReference"/>
          <w:rFonts w:cs="Arial"/>
          <w:b/>
        </w:rPr>
        <w:footnoteReference w:id="15"/>
      </w:r>
    </w:p>
    <w:p w:rsidR="008E5195" w:rsidRPr="008E5195" w:rsidRDefault="008E5195" w:rsidP="008E5195">
      <w:pPr>
        <w:pStyle w:val="IRPsanstext"/>
        <w:rPr>
          <w:rFonts w:cs="Arial"/>
          <w:i/>
        </w:rPr>
      </w:pPr>
    </w:p>
    <w:p w:rsidR="008E5195" w:rsidRPr="008E5195" w:rsidRDefault="008E5195" w:rsidP="008E5195">
      <w:pPr>
        <w:pStyle w:val="IRPsanstext"/>
        <w:rPr>
          <w:rFonts w:cs="Arial"/>
          <w:b/>
        </w:rPr>
      </w:pPr>
      <w:r w:rsidRPr="001A1722">
        <w:rPr>
          <w:rFonts w:cs="Arial"/>
          <w:b/>
          <w:i/>
        </w:rPr>
        <w:t>Deployments</w:t>
      </w:r>
      <w:r w:rsidR="009D7D9D" w:rsidRPr="001A1722">
        <w:rPr>
          <w:rFonts w:cs="Arial"/>
          <w:b/>
          <w:i/>
        </w:rPr>
        <w:t>:</w:t>
      </w:r>
      <w:r w:rsidR="009D7D9D">
        <w:rPr>
          <w:rFonts w:cs="Arial"/>
          <w:b/>
        </w:rPr>
        <w:t xml:space="preserve"> </w:t>
      </w:r>
      <w:r w:rsidRPr="008E5195">
        <w:rPr>
          <w:rFonts w:cs="Arial"/>
        </w:rPr>
        <w:t xml:space="preserve">Deployments total </w:t>
      </w:r>
      <w:r w:rsidR="006D5598">
        <w:rPr>
          <w:rFonts w:cs="Arial"/>
        </w:rPr>
        <w:t>88</w:t>
      </w:r>
      <w:r w:rsidR="006D5598" w:rsidRPr="008E5195">
        <w:rPr>
          <w:rFonts w:cs="Arial"/>
        </w:rPr>
        <w:t xml:space="preserve"> </w:t>
      </w:r>
      <w:r w:rsidRPr="008E5195">
        <w:rPr>
          <w:rFonts w:cs="Arial"/>
        </w:rPr>
        <w:t>MW/</w:t>
      </w:r>
      <w:r w:rsidR="006D5598">
        <w:rPr>
          <w:rFonts w:cs="Arial"/>
        </w:rPr>
        <w:t>79</w:t>
      </w:r>
      <w:r w:rsidR="006D5598" w:rsidRPr="008E5195">
        <w:rPr>
          <w:rFonts w:cs="Arial"/>
        </w:rPr>
        <w:t xml:space="preserve"> </w:t>
      </w:r>
      <w:r w:rsidRPr="008E5195">
        <w:rPr>
          <w:rFonts w:cs="Arial"/>
        </w:rPr>
        <w:t xml:space="preserve">MWh in </w:t>
      </w:r>
      <w:r w:rsidR="006D5598">
        <w:rPr>
          <w:rFonts w:cs="Arial"/>
        </w:rPr>
        <w:t>44</w:t>
      </w:r>
      <w:r w:rsidR="006D5598" w:rsidRPr="008E5195">
        <w:rPr>
          <w:rFonts w:cs="Arial"/>
        </w:rPr>
        <w:t xml:space="preserve"> </w:t>
      </w:r>
      <w:r w:rsidRPr="008E5195">
        <w:rPr>
          <w:rFonts w:cs="Arial"/>
        </w:rPr>
        <w:t>proje</w:t>
      </w:r>
      <w:r w:rsidR="00233794">
        <w:rPr>
          <w:rFonts w:cs="Arial"/>
        </w:rPr>
        <w:t xml:space="preserve">cts. Capacities range from </w:t>
      </w:r>
      <w:r w:rsidR="00CC7992">
        <w:rPr>
          <w:rFonts w:cs="Arial"/>
        </w:rPr>
        <w:t xml:space="preserve">2 </w:t>
      </w:r>
      <w:r w:rsidR="00233794">
        <w:rPr>
          <w:rFonts w:cs="Arial"/>
        </w:rPr>
        <w:t>kW/</w:t>
      </w:r>
      <w:r w:rsidR="00B259D2">
        <w:rPr>
          <w:rFonts w:cs="Arial"/>
        </w:rPr>
        <w:t>10</w:t>
      </w:r>
      <w:r w:rsidR="006D5598">
        <w:rPr>
          <w:rFonts w:cs="Arial"/>
        </w:rPr>
        <w:t xml:space="preserve"> </w:t>
      </w:r>
      <w:r w:rsidR="00233794">
        <w:rPr>
          <w:rFonts w:cs="Arial"/>
        </w:rPr>
        <w:t>k</w:t>
      </w:r>
      <w:r w:rsidRPr="008E5195">
        <w:rPr>
          <w:rFonts w:cs="Arial"/>
        </w:rPr>
        <w:t>Wh to 36 MW/24 MWh.  Figure L-</w:t>
      </w:r>
      <w:r w:rsidR="00004846">
        <w:rPr>
          <w:rFonts w:cs="Arial"/>
        </w:rPr>
        <w:t>6</w:t>
      </w:r>
      <w:r w:rsidR="00004846" w:rsidRPr="008E5195">
        <w:rPr>
          <w:rFonts w:cs="Arial"/>
        </w:rPr>
        <w:t xml:space="preserve"> </w:t>
      </w:r>
      <w:r w:rsidRPr="008E5195">
        <w:rPr>
          <w:rFonts w:cs="Arial"/>
        </w:rPr>
        <w:t>describes the five largest installations.</w:t>
      </w:r>
    </w:p>
    <w:p w:rsidR="008E5195" w:rsidRDefault="008E5195" w:rsidP="008E5195"/>
    <w:p w:rsidR="008E5195" w:rsidRPr="000253F2" w:rsidRDefault="008E5195" w:rsidP="00FD5630">
      <w:pPr>
        <w:pStyle w:val="IRPFigureSub"/>
        <w:spacing w:after="120"/>
      </w:pPr>
      <w:bookmarkStart w:id="6" w:name="_Toc402942661"/>
      <w:r w:rsidRPr="000253F2">
        <w:t>Figure L-</w:t>
      </w:r>
      <w:r w:rsidR="008D062C">
        <w:t>6</w:t>
      </w:r>
      <w:r w:rsidR="009D7D9D">
        <w:t xml:space="preserve">: </w:t>
      </w:r>
      <w:r w:rsidRPr="000253F2">
        <w:t>Five Largest Operational Lead Acid Energy Storage Projects</w:t>
      </w:r>
      <w:bookmarkEnd w:id="6"/>
      <w:r w:rsidR="0068203F">
        <w:rPr>
          <w:rStyle w:val="FootnoteReference"/>
        </w:rPr>
        <w:footnoteReference w:id="16"/>
      </w:r>
    </w:p>
    <w:tbl>
      <w:tblPr>
        <w:tblStyle w:val="TableGrid"/>
        <w:tblW w:w="8596" w:type="dxa"/>
        <w:jc w:val="center"/>
        <w:tblInd w:w="363" w:type="dxa"/>
        <w:tblLayout w:type="fixed"/>
        <w:tblLook w:val="04A0" w:firstRow="1" w:lastRow="0" w:firstColumn="1" w:lastColumn="0" w:noHBand="0" w:noVBand="1"/>
      </w:tblPr>
      <w:tblGrid>
        <w:gridCol w:w="2206"/>
        <w:gridCol w:w="1822"/>
        <w:gridCol w:w="1688"/>
        <w:gridCol w:w="1530"/>
        <w:gridCol w:w="1350"/>
      </w:tblGrid>
      <w:tr w:rsidR="008E5195" w:rsidRPr="000F10E2">
        <w:trPr>
          <w:trHeight w:val="144"/>
          <w:jc w:val="center"/>
        </w:trPr>
        <w:tc>
          <w:tcPr>
            <w:tcW w:w="859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noWrap/>
            <w:vAlign w:val="center"/>
          </w:tcPr>
          <w:p w:rsidR="008E5195" w:rsidRPr="008E5195" w:rsidRDefault="008E5195" w:rsidP="007F7A43">
            <w:pPr>
              <w:keepNext/>
              <w:keepLines/>
              <w:spacing w:before="120" w:after="120" w:line="300" w:lineRule="auto"/>
              <w:jc w:val="center"/>
              <w:rPr>
                <w:rFonts w:ascii="Arial" w:hAnsi="Arial" w:cs="Arial"/>
                <w:b/>
                <w:color w:val="FFFFFF" w:themeColor="background1"/>
              </w:rPr>
            </w:pPr>
            <w:r w:rsidRPr="008E5195">
              <w:rPr>
                <w:rFonts w:ascii="Arial" w:hAnsi="Arial" w:cs="Arial"/>
                <w:b/>
                <w:color w:val="FFFFFF" w:themeColor="background1"/>
              </w:rPr>
              <w:t>Five Largest Operational Lead Acid Energy Storage Projects, by Energy Rating</w:t>
            </w:r>
          </w:p>
        </w:tc>
      </w:tr>
      <w:tr w:rsidR="008E5195" w:rsidRPr="000F10E2">
        <w:trPr>
          <w:trHeight w:val="576"/>
          <w:jc w:val="center"/>
        </w:trPr>
        <w:tc>
          <w:tcPr>
            <w:tcW w:w="2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570"/>
            <w:noWrap/>
            <w:vAlign w:val="center"/>
          </w:tcPr>
          <w:p w:rsidR="008E5195" w:rsidRPr="008E5195" w:rsidRDefault="008E5195" w:rsidP="008E5195">
            <w:pPr>
              <w:keepNext/>
              <w:keepLines/>
              <w:spacing w:before="60" w:after="60" w:line="300" w:lineRule="auto"/>
              <w:rPr>
                <w:rFonts w:ascii="Arial" w:hAnsi="Arial" w:cs="Arial"/>
                <w:b/>
                <w:color w:val="FFFFFF" w:themeColor="background1"/>
              </w:rPr>
            </w:pPr>
            <w:r w:rsidRPr="008E5195">
              <w:rPr>
                <w:rFonts w:ascii="Arial" w:hAnsi="Arial" w:cs="Arial"/>
                <w:b/>
                <w:color w:val="FFFFFF" w:themeColor="background1"/>
              </w:rPr>
              <w:t>Owner / Project</w:t>
            </w:r>
          </w:p>
        </w:tc>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570"/>
            <w:noWrap/>
            <w:vAlign w:val="center"/>
          </w:tcPr>
          <w:p w:rsidR="008E5195" w:rsidRPr="008E5195" w:rsidRDefault="008E5195" w:rsidP="008E5195">
            <w:pPr>
              <w:keepNext/>
              <w:keepLines/>
              <w:spacing w:before="60" w:after="60" w:line="300" w:lineRule="auto"/>
              <w:rPr>
                <w:rFonts w:ascii="Arial" w:hAnsi="Arial" w:cs="Arial"/>
                <w:b/>
                <w:color w:val="FFFFFF" w:themeColor="background1"/>
              </w:rPr>
            </w:pPr>
            <w:r w:rsidRPr="008E5195">
              <w:rPr>
                <w:rFonts w:ascii="Arial" w:hAnsi="Arial" w:cs="Arial"/>
                <w:b/>
                <w:color w:val="FFFFFF" w:themeColor="background1"/>
              </w:rPr>
              <w:t>Power / Energy (Duration)</w:t>
            </w:r>
          </w:p>
        </w:tc>
        <w:tc>
          <w:tcPr>
            <w:tcW w:w="1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570"/>
            <w:noWrap/>
            <w:vAlign w:val="center"/>
          </w:tcPr>
          <w:p w:rsidR="008E5195" w:rsidRPr="008E5195" w:rsidRDefault="008E5195" w:rsidP="008E5195">
            <w:pPr>
              <w:keepNext/>
              <w:keepLines/>
              <w:spacing w:before="60" w:after="60" w:line="300" w:lineRule="auto"/>
              <w:rPr>
                <w:rFonts w:ascii="Arial" w:hAnsi="Arial" w:cs="Arial"/>
                <w:b/>
                <w:color w:val="FFFFFF" w:themeColor="background1"/>
              </w:rPr>
            </w:pPr>
            <w:r w:rsidRPr="008E5195">
              <w:rPr>
                <w:rFonts w:ascii="Arial" w:hAnsi="Arial" w:cs="Arial"/>
                <w:b/>
                <w:color w:val="FFFFFF" w:themeColor="background1"/>
              </w:rPr>
              <w:t>Technology</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570"/>
            <w:noWrap/>
            <w:vAlign w:val="center"/>
          </w:tcPr>
          <w:p w:rsidR="008E5195" w:rsidRPr="008E5195" w:rsidRDefault="008E5195" w:rsidP="008E5195">
            <w:pPr>
              <w:keepNext/>
              <w:keepLines/>
              <w:spacing w:before="60" w:after="60" w:line="300" w:lineRule="auto"/>
              <w:rPr>
                <w:rFonts w:ascii="Arial" w:hAnsi="Arial" w:cs="Arial"/>
                <w:b/>
                <w:color w:val="FFFFFF" w:themeColor="background1"/>
              </w:rPr>
            </w:pPr>
            <w:r w:rsidRPr="008E5195">
              <w:rPr>
                <w:rFonts w:ascii="Arial" w:hAnsi="Arial" w:cs="Arial"/>
                <w:b/>
                <w:color w:val="FFFFFF" w:themeColor="background1"/>
              </w:rPr>
              <w:t>Location</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570"/>
          </w:tcPr>
          <w:p w:rsidR="008E5195" w:rsidRPr="008E5195" w:rsidRDefault="008E5195" w:rsidP="008E5195">
            <w:pPr>
              <w:keepNext/>
              <w:keepLines/>
              <w:spacing w:before="60" w:after="60" w:line="300" w:lineRule="auto"/>
              <w:rPr>
                <w:rFonts w:ascii="Arial" w:hAnsi="Arial" w:cs="Arial"/>
                <w:b/>
                <w:color w:val="FFFFFF" w:themeColor="background1"/>
              </w:rPr>
            </w:pPr>
            <w:r w:rsidRPr="008E5195">
              <w:rPr>
                <w:rFonts w:ascii="Arial" w:hAnsi="Arial" w:cs="Arial"/>
                <w:b/>
                <w:color w:val="FFFFFF" w:themeColor="background1"/>
              </w:rPr>
              <w:t>Primary Function</w:t>
            </w:r>
          </w:p>
        </w:tc>
      </w:tr>
      <w:tr w:rsidR="008E5195" w:rsidRPr="000F10E2">
        <w:trPr>
          <w:trHeight w:val="495"/>
          <w:jc w:val="center"/>
        </w:trPr>
        <w:tc>
          <w:tcPr>
            <w:tcW w:w="2206" w:type="dxa"/>
            <w:tcBorders>
              <w:top w:val="single" w:sz="4" w:space="0" w:color="FFFFFF" w:themeColor="background1"/>
            </w:tcBorders>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Duke Energy / Notrees</w:t>
            </w:r>
          </w:p>
        </w:tc>
        <w:tc>
          <w:tcPr>
            <w:tcW w:w="1822" w:type="dxa"/>
            <w:tcBorders>
              <w:top w:val="single" w:sz="4" w:space="0" w:color="FFFFFF" w:themeColor="background1"/>
            </w:tcBorders>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36 MW / 24 MWh (40 min</w:t>
            </w:r>
            <w:r w:rsidR="00BE6C41">
              <w:rPr>
                <w:rFonts w:ascii="Arial" w:hAnsi="Arial" w:cs="Arial"/>
              </w:rPr>
              <w:t>ute</w:t>
            </w:r>
            <w:r w:rsidRPr="008E5195">
              <w:rPr>
                <w:rFonts w:ascii="Arial" w:hAnsi="Arial" w:cs="Arial"/>
              </w:rPr>
              <w:t>)</w:t>
            </w:r>
          </w:p>
        </w:tc>
        <w:tc>
          <w:tcPr>
            <w:tcW w:w="1688" w:type="dxa"/>
            <w:tcBorders>
              <w:top w:val="single" w:sz="4" w:space="0" w:color="FFFFFF" w:themeColor="background1"/>
            </w:tcBorders>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Advanced lead acid</w:t>
            </w:r>
          </w:p>
        </w:tc>
        <w:tc>
          <w:tcPr>
            <w:tcW w:w="1530" w:type="dxa"/>
            <w:tcBorders>
              <w:top w:val="single" w:sz="4" w:space="0" w:color="FFFFFF" w:themeColor="background1"/>
            </w:tcBorders>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Goldsmith, TX</w:t>
            </w:r>
          </w:p>
        </w:tc>
        <w:tc>
          <w:tcPr>
            <w:tcW w:w="1350" w:type="dxa"/>
            <w:tcBorders>
              <w:top w:val="single" w:sz="4" w:space="0" w:color="FFFFFF" w:themeColor="background1"/>
            </w:tcBorders>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Renewables capacity firming</w:t>
            </w:r>
          </w:p>
        </w:tc>
      </w:tr>
      <w:tr w:rsidR="008E5195" w:rsidRPr="000F10E2">
        <w:trPr>
          <w:trHeight w:val="495"/>
          <w:jc w:val="center"/>
        </w:trPr>
        <w:tc>
          <w:tcPr>
            <w:tcW w:w="2206"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Kuroshio Power / Shiura Wind Park</w:t>
            </w:r>
          </w:p>
        </w:tc>
        <w:tc>
          <w:tcPr>
            <w:tcW w:w="1822"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4.5 MW / 10.5 MWh (2.3 hour)</w:t>
            </w:r>
          </w:p>
        </w:tc>
        <w:tc>
          <w:tcPr>
            <w:tcW w:w="1688"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Valve regulated lead acid</w:t>
            </w:r>
          </w:p>
        </w:tc>
        <w:tc>
          <w:tcPr>
            <w:tcW w:w="1530"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Aomori, Japan</w:t>
            </w:r>
          </w:p>
        </w:tc>
        <w:tc>
          <w:tcPr>
            <w:tcW w:w="1350" w:type="dxa"/>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Renewables capacity firming</w:t>
            </w:r>
          </w:p>
        </w:tc>
      </w:tr>
      <w:tr w:rsidR="008E5195" w:rsidRPr="000F10E2">
        <w:trPr>
          <w:trHeight w:val="260"/>
          <w:jc w:val="center"/>
        </w:trPr>
        <w:tc>
          <w:tcPr>
            <w:tcW w:w="2206"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color w:val="000000"/>
                <w:shd w:val="clear" w:color="auto" w:fill="FFFFFF"/>
              </w:rPr>
              <w:t>Shonai Wind Power Generation Co.</w:t>
            </w:r>
            <w:r w:rsidRPr="008E5195">
              <w:rPr>
                <w:rFonts w:ascii="Arial" w:hAnsi="Arial" w:cs="Arial"/>
              </w:rPr>
              <w:t xml:space="preserve"> / Yuza Wind Farm Battery</w:t>
            </w:r>
          </w:p>
        </w:tc>
        <w:tc>
          <w:tcPr>
            <w:tcW w:w="1822"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4.5 MW / 10.5 MWh (2.3 hour)</w:t>
            </w:r>
          </w:p>
        </w:tc>
        <w:tc>
          <w:tcPr>
            <w:tcW w:w="1688"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Valve regulated lead acid</w:t>
            </w:r>
          </w:p>
        </w:tc>
        <w:tc>
          <w:tcPr>
            <w:tcW w:w="1530"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Yamagata, Japan</w:t>
            </w:r>
          </w:p>
        </w:tc>
        <w:tc>
          <w:tcPr>
            <w:tcW w:w="1350" w:type="dxa"/>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Renewables capacity firming</w:t>
            </w:r>
          </w:p>
        </w:tc>
      </w:tr>
      <w:tr w:rsidR="008E5195" w:rsidRPr="000F10E2">
        <w:trPr>
          <w:trHeight w:val="495"/>
          <w:jc w:val="center"/>
        </w:trPr>
        <w:tc>
          <w:tcPr>
            <w:tcW w:w="2206"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color w:val="000000"/>
                <w:shd w:val="clear" w:color="auto" w:fill="FFFFFF"/>
              </w:rPr>
              <w:t>First Wind LLC</w:t>
            </w:r>
            <w:r w:rsidRPr="008E5195">
              <w:rPr>
                <w:rFonts w:ascii="Arial" w:hAnsi="Arial" w:cs="Arial"/>
              </w:rPr>
              <w:t xml:space="preserve"> / Kaheawa Wind Project II</w:t>
            </w:r>
          </w:p>
        </w:tc>
        <w:tc>
          <w:tcPr>
            <w:tcW w:w="1822" w:type="dxa"/>
            <w:noWrap/>
            <w:vAlign w:val="center"/>
          </w:tcPr>
          <w:p w:rsidR="008E5195" w:rsidRPr="008E5195" w:rsidRDefault="00A26598" w:rsidP="00B45219">
            <w:pPr>
              <w:keepNext/>
              <w:keepLines/>
              <w:spacing w:before="60" w:after="60" w:line="276" w:lineRule="auto"/>
              <w:rPr>
                <w:rFonts w:ascii="Arial" w:hAnsi="Arial" w:cs="Arial"/>
              </w:rPr>
            </w:pPr>
            <w:r>
              <w:rPr>
                <w:rFonts w:ascii="Arial" w:hAnsi="Arial" w:cs="Arial"/>
              </w:rPr>
              <w:t xml:space="preserve">10 MW / 7.5 </w:t>
            </w:r>
            <w:r w:rsidR="008E5195" w:rsidRPr="008E5195">
              <w:rPr>
                <w:rFonts w:ascii="Arial" w:hAnsi="Arial" w:cs="Arial"/>
              </w:rPr>
              <w:t>MWh (45 min</w:t>
            </w:r>
            <w:r w:rsidR="00BE6C41">
              <w:rPr>
                <w:rFonts w:ascii="Arial" w:hAnsi="Arial" w:cs="Arial"/>
              </w:rPr>
              <w:t>ute</w:t>
            </w:r>
            <w:r w:rsidR="008E5195" w:rsidRPr="008E5195">
              <w:rPr>
                <w:rFonts w:ascii="Arial" w:hAnsi="Arial" w:cs="Arial"/>
              </w:rPr>
              <w:t>)</w:t>
            </w:r>
          </w:p>
        </w:tc>
        <w:tc>
          <w:tcPr>
            <w:tcW w:w="1688"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Advanced lead acid</w:t>
            </w:r>
          </w:p>
        </w:tc>
        <w:tc>
          <w:tcPr>
            <w:tcW w:w="1530"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Maalaea, HI</w:t>
            </w:r>
          </w:p>
        </w:tc>
        <w:tc>
          <w:tcPr>
            <w:tcW w:w="1350" w:type="dxa"/>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Renewables capacity firming</w:t>
            </w:r>
          </w:p>
        </w:tc>
      </w:tr>
      <w:tr w:rsidR="0002366B" w:rsidRPr="008E5195" w:rsidDel="007539DA">
        <w:trPr>
          <w:trHeight w:val="496"/>
          <w:jc w:val="center"/>
        </w:trPr>
        <w:tc>
          <w:tcPr>
            <w:tcW w:w="2206" w:type="dxa"/>
            <w:noWrap/>
            <w:vAlign w:val="center"/>
          </w:tcPr>
          <w:p w:rsidR="0002366B" w:rsidRPr="008E5195" w:rsidDel="007539DA" w:rsidRDefault="0002366B" w:rsidP="002D57A3">
            <w:pPr>
              <w:keepNext/>
              <w:keepLines/>
              <w:spacing w:before="60" w:after="60" w:line="276" w:lineRule="auto"/>
              <w:rPr>
                <w:rFonts w:ascii="Arial" w:hAnsi="Arial" w:cs="Arial"/>
              </w:rPr>
            </w:pPr>
            <w:r>
              <w:rPr>
                <w:rFonts w:ascii="Arial" w:hAnsi="Arial" w:cs="Arial"/>
              </w:rPr>
              <w:t>GridSolar Boothbay Pilot Project: BESS</w:t>
            </w:r>
          </w:p>
        </w:tc>
        <w:tc>
          <w:tcPr>
            <w:tcW w:w="1822" w:type="dxa"/>
            <w:noWrap/>
            <w:vAlign w:val="center"/>
          </w:tcPr>
          <w:p w:rsidR="0002366B" w:rsidRPr="008E5195" w:rsidDel="007539DA" w:rsidRDefault="00BB48C2" w:rsidP="002D57A3">
            <w:pPr>
              <w:keepNext/>
              <w:keepLines/>
              <w:spacing w:before="60" w:after="60" w:line="276" w:lineRule="auto"/>
              <w:rPr>
                <w:rFonts w:ascii="Arial" w:hAnsi="Arial" w:cs="Arial"/>
              </w:rPr>
            </w:pPr>
            <w:r>
              <w:rPr>
                <w:rFonts w:ascii="Arial" w:hAnsi="Arial" w:cs="Arial"/>
              </w:rPr>
              <w:t>0.5 MW</w:t>
            </w:r>
            <w:r w:rsidR="0002366B">
              <w:rPr>
                <w:rFonts w:ascii="Arial" w:hAnsi="Arial" w:cs="Arial"/>
              </w:rPr>
              <w:t xml:space="preserve"> / </w:t>
            </w:r>
            <w:r w:rsidR="005E15B9">
              <w:rPr>
                <w:rFonts w:ascii="Arial" w:hAnsi="Arial" w:cs="Arial"/>
              </w:rPr>
              <w:t>3 MWh (6 hour</w:t>
            </w:r>
            <w:r w:rsidR="0002366B">
              <w:rPr>
                <w:rFonts w:ascii="Arial" w:hAnsi="Arial" w:cs="Arial"/>
              </w:rPr>
              <w:t>)</w:t>
            </w:r>
          </w:p>
        </w:tc>
        <w:tc>
          <w:tcPr>
            <w:tcW w:w="1688" w:type="dxa"/>
            <w:noWrap/>
            <w:vAlign w:val="center"/>
          </w:tcPr>
          <w:p w:rsidR="0002366B" w:rsidRPr="008E5195" w:rsidDel="007539DA" w:rsidRDefault="0002366B" w:rsidP="002D57A3">
            <w:pPr>
              <w:keepNext/>
              <w:keepLines/>
              <w:spacing w:before="60" w:after="60" w:line="276" w:lineRule="auto"/>
              <w:rPr>
                <w:rFonts w:ascii="Arial" w:hAnsi="Arial" w:cs="Arial"/>
              </w:rPr>
            </w:pPr>
            <w:r>
              <w:rPr>
                <w:rFonts w:ascii="Arial" w:hAnsi="Arial" w:cs="Arial"/>
              </w:rPr>
              <w:t>Valve regulated lead acid</w:t>
            </w:r>
          </w:p>
        </w:tc>
        <w:tc>
          <w:tcPr>
            <w:tcW w:w="1530" w:type="dxa"/>
            <w:noWrap/>
            <w:vAlign w:val="center"/>
          </w:tcPr>
          <w:p w:rsidR="0002366B" w:rsidRPr="008E5195" w:rsidDel="007539DA" w:rsidRDefault="0002366B" w:rsidP="002D57A3">
            <w:pPr>
              <w:keepNext/>
              <w:keepLines/>
              <w:spacing w:before="60" w:after="60" w:line="276" w:lineRule="auto"/>
              <w:rPr>
                <w:rFonts w:ascii="Arial" w:hAnsi="Arial" w:cs="Arial"/>
              </w:rPr>
            </w:pPr>
            <w:r>
              <w:rPr>
                <w:rFonts w:ascii="Arial" w:hAnsi="Arial" w:cs="Arial"/>
              </w:rPr>
              <w:t>Boothbay, ME</w:t>
            </w:r>
          </w:p>
        </w:tc>
        <w:tc>
          <w:tcPr>
            <w:tcW w:w="1350" w:type="dxa"/>
          </w:tcPr>
          <w:p w:rsidR="0002366B" w:rsidRPr="008E5195" w:rsidDel="007539DA" w:rsidRDefault="002F0D14" w:rsidP="002D57A3">
            <w:pPr>
              <w:keepNext/>
              <w:keepLines/>
              <w:spacing w:before="60" w:after="60" w:line="276" w:lineRule="auto"/>
              <w:rPr>
                <w:rFonts w:ascii="Arial" w:hAnsi="Arial" w:cs="Arial"/>
              </w:rPr>
            </w:pPr>
            <w:r>
              <w:rPr>
                <w:rFonts w:ascii="Arial" w:hAnsi="Arial" w:cs="Arial"/>
              </w:rPr>
              <w:t>Energy t</w:t>
            </w:r>
            <w:r w:rsidR="0002366B">
              <w:rPr>
                <w:rFonts w:ascii="Arial" w:hAnsi="Arial" w:cs="Arial"/>
              </w:rPr>
              <w:t xml:space="preserve">ime shift, </w:t>
            </w:r>
            <w:r>
              <w:rPr>
                <w:rFonts w:ascii="Arial" w:hAnsi="Arial" w:cs="Arial"/>
              </w:rPr>
              <w:t>supply capacity</w:t>
            </w:r>
          </w:p>
        </w:tc>
      </w:tr>
    </w:tbl>
    <w:p w:rsidR="008E5195" w:rsidRDefault="008E5195" w:rsidP="00B45219">
      <w:pPr>
        <w:pStyle w:val="IRPsanstext"/>
      </w:pPr>
    </w:p>
    <w:p w:rsidR="008E5195" w:rsidRDefault="008E5195" w:rsidP="00B45219">
      <w:pPr>
        <w:pStyle w:val="IRPsanstext"/>
      </w:pPr>
      <w:r>
        <w:t>L</w:t>
      </w:r>
      <w:r w:rsidRPr="000F10E2">
        <w:t xml:space="preserve">ead acid deployments </w:t>
      </w:r>
      <w:r>
        <w:t xml:space="preserve">of </w:t>
      </w:r>
      <w:r w:rsidR="0006240E">
        <w:t>11</w:t>
      </w:r>
      <w:r w:rsidR="00D677F2">
        <w:t xml:space="preserve"> </w:t>
      </w:r>
      <w:r w:rsidRPr="000F10E2">
        <w:t>MW/</w:t>
      </w:r>
      <w:r w:rsidR="0006240E">
        <w:t>13</w:t>
      </w:r>
      <w:r w:rsidR="00D677F2">
        <w:t xml:space="preserve"> </w:t>
      </w:r>
      <w:r w:rsidRPr="000F10E2">
        <w:t>MWh are eithe</w:t>
      </w:r>
      <w:r>
        <w:t xml:space="preserve">r planned or under construction. </w:t>
      </w:r>
      <w:r w:rsidR="00D677F2">
        <w:t xml:space="preserve">Nine </w:t>
      </w:r>
      <w:r w:rsidRPr="000F10E2">
        <w:t xml:space="preserve">MW of </w:t>
      </w:r>
      <w:r>
        <w:t>these</w:t>
      </w:r>
      <w:r w:rsidRPr="000F10E2">
        <w:t xml:space="preserve"> are from </w:t>
      </w:r>
      <w:r>
        <w:t>3</w:t>
      </w:r>
      <w:r w:rsidRPr="000F10E2">
        <w:t xml:space="preserve"> projects.</w:t>
      </w:r>
      <w:r w:rsidRPr="000F10E2">
        <w:rPr>
          <w:rStyle w:val="FootnoteReference"/>
          <w:rFonts w:asciiTheme="majorHAnsi" w:hAnsiTheme="majorHAnsi"/>
        </w:rPr>
        <w:footnoteReference w:id="17"/>
      </w:r>
      <w:r w:rsidRPr="000F10E2">
        <w:t xml:space="preserve"> </w:t>
      </w:r>
    </w:p>
    <w:p w:rsidR="00B4500B" w:rsidRDefault="00B4500B" w:rsidP="008E5195">
      <w:pPr>
        <w:pStyle w:val="IRPsanstext"/>
        <w:rPr>
          <w:rFonts w:cs="Arial"/>
          <w:b/>
          <w:color w:val="156570"/>
          <w:sz w:val="28"/>
        </w:rPr>
      </w:pPr>
    </w:p>
    <w:p w:rsidR="002769B3" w:rsidRDefault="002769B3" w:rsidP="008E5195">
      <w:pPr>
        <w:pStyle w:val="IRPsanstext"/>
        <w:rPr>
          <w:rFonts w:cs="Arial"/>
          <w:b/>
          <w:color w:val="156570"/>
          <w:sz w:val="28"/>
        </w:rPr>
      </w:pPr>
    </w:p>
    <w:p w:rsidR="008E5195" w:rsidRDefault="008E5195" w:rsidP="008E5195">
      <w:pPr>
        <w:pStyle w:val="IRPsanstext"/>
        <w:rPr>
          <w:szCs w:val="22"/>
        </w:rPr>
      </w:pPr>
      <w:r w:rsidRPr="00E40E4B">
        <w:rPr>
          <w:rFonts w:cs="Arial"/>
          <w:b/>
          <w:color w:val="156570"/>
          <w:sz w:val="28"/>
        </w:rPr>
        <w:t>Lithium-ion.</w:t>
      </w:r>
      <w:r>
        <w:rPr>
          <w:rFonts w:ascii="Times New Roman" w:hAnsi="Times New Roman"/>
          <w:b/>
          <w:color w:val="3366FF"/>
          <w:sz w:val="28"/>
        </w:rPr>
        <w:t xml:space="preserve"> </w:t>
      </w:r>
      <w:r w:rsidRPr="000F10E2">
        <w:rPr>
          <w:szCs w:val="22"/>
        </w:rPr>
        <w:t xml:space="preserve">First </w:t>
      </w:r>
      <w:r>
        <w:rPr>
          <w:szCs w:val="22"/>
        </w:rPr>
        <w:t>commercialized in 1991, lithium-</w:t>
      </w:r>
      <w:r w:rsidRPr="000F10E2">
        <w:rPr>
          <w:szCs w:val="22"/>
        </w:rPr>
        <w:t xml:space="preserve">ion batteries have experienced tremendous </w:t>
      </w:r>
      <w:r>
        <w:rPr>
          <w:szCs w:val="22"/>
        </w:rPr>
        <w:t>research and development investment</w:t>
      </w:r>
      <w:r w:rsidRPr="000F10E2">
        <w:rPr>
          <w:szCs w:val="22"/>
        </w:rPr>
        <w:t xml:space="preserve"> and publicity in the last few years due to their high energy density, voltage ratings, c</w:t>
      </w:r>
      <w:r>
        <w:rPr>
          <w:szCs w:val="22"/>
        </w:rPr>
        <w:t>ycle life and efficiency</w:t>
      </w:r>
      <w:r w:rsidRPr="000F10E2">
        <w:rPr>
          <w:szCs w:val="22"/>
        </w:rPr>
        <w:t xml:space="preserve">.  They have been the preferred </w:t>
      </w:r>
      <w:r>
        <w:rPr>
          <w:szCs w:val="22"/>
        </w:rPr>
        <w:t xml:space="preserve">battery </w:t>
      </w:r>
      <w:r w:rsidRPr="000F10E2">
        <w:rPr>
          <w:szCs w:val="22"/>
        </w:rPr>
        <w:t>technology f</w:t>
      </w:r>
      <w:r>
        <w:rPr>
          <w:szCs w:val="22"/>
        </w:rPr>
        <w:t xml:space="preserve">or portable electronic devices and electric vehicles, </w:t>
      </w:r>
      <w:r w:rsidRPr="000F10E2">
        <w:rPr>
          <w:szCs w:val="22"/>
        </w:rPr>
        <w:t xml:space="preserve">and now </w:t>
      </w:r>
      <w:r>
        <w:rPr>
          <w:szCs w:val="22"/>
        </w:rPr>
        <w:t xml:space="preserve">they </w:t>
      </w:r>
      <w:r w:rsidRPr="000F10E2">
        <w:rPr>
          <w:szCs w:val="22"/>
        </w:rPr>
        <w:t xml:space="preserve">are being scaled up and deployed for </w:t>
      </w:r>
      <w:r>
        <w:rPr>
          <w:szCs w:val="22"/>
        </w:rPr>
        <w:t>utility grid services.  A</w:t>
      </w:r>
      <w:r w:rsidRPr="000F10E2">
        <w:rPr>
          <w:szCs w:val="22"/>
        </w:rPr>
        <w:t xml:space="preserve">pproximately 70 systems with power ratings </w:t>
      </w:r>
      <w:r w:rsidR="004A2B6E">
        <w:rPr>
          <w:szCs w:val="22"/>
        </w:rPr>
        <w:t>of</w:t>
      </w:r>
      <w:r w:rsidRPr="000F10E2">
        <w:rPr>
          <w:szCs w:val="22"/>
        </w:rPr>
        <w:t xml:space="preserve"> 1</w:t>
      </w:r>
      <w:r>
        <w:rPr>
          <w:szCs w:val="22"/>
        </w:rPr>
        <w:t xml:space="preserve"> </w:t>
      </w:r>
      <w:r w:rsidRPr="000F10E2">
        <w:rPr>
          <w:szCs w:val="22"/>
        </w:rPr>
        <w:t xml:space="preserve">MW </w:t>
      </w:r>
      <w:r w:rsidR="004A2B6E">
        <w:rPr>
          <w:szCs w:val="22"/>
        </w:rPr>
        <w:t xml:space="preserve">or greater </w:t>
      </w:r>
      <w:r>
        <w:rPr>
          <w:szCs w:val="22"/>
        </w:rPr>
        <w:t xml:space="preserve">are </w:t>
      </w:r>
      <w:r w:rsidRPr="000F10E2">
        <w:rPr>
          <w:szCs w:val="22"/>
        </w:rPr>
        <w:t xml:space="preserve">currently </w:t>
      </w:r>
      <w:r>
        <w:rPr>
          <w:szCs w:val="22"/>
        </w:rPr>
        <w:t>in operation around the world. Because it can adapt</w:t>
      </w:r>
      <w:r w:rsidRPr="000F10E2">
        <w:rPr>
          <w:szCs w:val="22"/>
        </w:rPr>
        <w:t xml:space="preserve"> to a range of power and energy ratings</w:t>
      </w:r>
      <w:r>
        <w:rPr>
          <w:szCs w:val="22"/>
        </w:rPr>
        <w:t>, this technology can</w:t>
      </w:r>
      <w:r w:rsidRPr="000F10E2">
        <w:rPr>
          <w:szCs w:val="22"/>
        </w:rPr>
        <w:t xml:space="preserve"> perform a</w:t>
      </w:r>
      <w:r>
        <w:rPr>
          <w:szCs w:val="22"/>
        </w:rPr>
        <w:t xml:space="preserve"> wide variety of services. Grid-</w:t>
      </w:r>
      <w:r w:rsidRPr="000F10E2">
        <w:rPr>
          <w:szCs w:val="22"/>
        </w:rPr>
        <w:t>scale units range from small</w:t>
      </w:r>
      <w:r>
        <w:rPr>
          <w:szCs w:val="22"/>
        </w:rPr>
        <w:t>, regulation pilot projects of</w:t>
      </w:r>
      <w:r w:rsidRPr="000F10E2">
        <w:rPr>
          <w:szCs w:val="22"/>
        </w:rPr>
        <w:t xml:space="preserve"> 1</w:t>
      </w:r>
      <w:r>
        <w:rPr>
          <w:szCs w:val="22"/>
        </w:rPr>
        <w:t xml:space="preserve"> </w:t>
      </w:r>
      <w:r w:rsidRPr="000F10E2">
        <w:rPr>
          <w:szCs w:val="22"/>
        </w:rPr>
        <w:t>MW/0.5</w:t>
      </w:r>
      <w:r>
        <w:rPr>
          <w:szCs w:val="22"/>
        </w:rPr>
        <w:t xml:space="preserve"> </w:t>
      </w:r>
      <w:r w:rsidRPr="000F10E2">
        <w:rPr>
          <w:szCs w:val="22"/>
        </w:rPr>
        <w:t>MWh (30 min</w:t>
      </w:r>
      <w:r w:rsidR="00BE6C41">
        <w:rPr>
          <w:szCs w:val="22"/>
        </w:rPr>
        <w:t>ute</w:t>
      </w:r>
      <w:r w:rsidRPr="000F10E2">
        <w:rPr>
          <w:szCs w:val="22"/>
        </w:rPr>
        <w:t xml:space="preserve"> duration) to large 8</w:t>
      </w:r>
      <w:r>
        <w:rPr>
          <w:szCs w:val="22"/>
        </w:rPr>
        <w:t xml:space="preserve"> </w:t>
      </w:r>
      <w:r w:rsidRPr="000F10E2">
        <w:rPr>
          <w:szCs w:val="22"/>
        </w:rPr>
        <w:t>MW/32</w:t>
      </w:r>
      <w:r>
        <w:rPr>
          <w:szCs w:val="22"/>
        </w:rPr>
        <w:t xml:space="preserve"> MWh (4 </w:t>
      </w:r>
      <w:r w:rsidR="00BE6C41">
        <w:rPr>
          <w:szCs w:val="22"/>
        </w:rPr>
        <w:t>hour</w:t>
      </w:r>
      <w:r w:rsidR="00BE6C41" w:rsidRPr="000F10E2">
        <w:rPr>
          <w:szCs w:val="22"/>
        </w:rPr>
        <w:t xml:space="preserve"> </w:t>
      </w:r>
      <w:r w:rsidRPr="000F10E2">
        <w:rPr>
          <w:szCs w:val="22"/>
        </w:rPr>
        <w:t>duration) and 32</w:t>
      </w:r>
      <w:r>
        <w:rPr>
          <w:szCs w:val="22"/>
        </w:rPr>
        <w:t xml:space="preserve"> </w:t>
      </w:r>
      <w:r w:rsidRPr="000F10E2">
        <w:rPr>
          <w:szCs w:val="22"/>
        </w:rPr>
        <w:t>MW/8</w:t>
      </w:r>
      <w:r>
        <w:rPr>
          <w:szCs w:val="22"/>
        </w:rPr>
        <w:t xml:space="preserve"> </w:t>
      </w:r>
      <w:r w:rsidRPr="000F10E2">
        <w:rPr>
          <w:szCs w:val="22"/>
        </w:rPr>
        <w:t>MWh (15 min</w:t>
      </w:r>
      <w:r w:rsidR="00BE6C41">
        <w:rPr>
          <w:szCs w:val="22"/>
        </w:rPr>
        <w:t>ute</w:t>
      </w:r>
      <w:r w:rsidRPr="000F10E2">
        <w:rPr>
          <w:szCs w:val="22"/>
        </w:rPr>
        <w:t xml:space="preserve"> duration) systems </w:t>
      </w:r>
      <w:r>
        <w:rPr>
          <w:szCs w:val="22"/>
        </w:rPr>
        <w:t xml:space="preserve">that perform </w:t>
      </w:r>
      <w:r w:rsidRPr="000F10E2">
        <w:rPr>
          <w:szCs w:val="22"/>
        </w:rPr>
        <w:t xml:space="preserve">ramp control and wind and solar </w:t>
      </w:r>
      <w:r>
        <w:rPr>
          <w:szCs w:val="22"/>
        </w:rPr>
        <w:t>integration</w:t>
      </w:r>
      <w:r w:rsidRPr="000F10E2">
        <w:rPr>
          <w:szCs w:val="22"/>
        </w:rPr>
        <w:t>.</w:t>
      </w:r>
      <w:r w:rsidRPr="000F10E2">
        <w:rPr>
          <w:rStyle w:val="FootnoteReference"/>
          <w:rFonts w:asciiTheme="majorHAnsi" w:hAnsiTheme="majorHAnsi"/>
          <w:szCs w:val="22"/>
        </w:rPr>
        <w:footnoteReference w:id="18"/>
      </w:r>
    </w:p>
    <w:p w:rsidR="008E5195" w:rsidRPr="000F10E2" w:rsidRDefault="008E5195" w:rsidP="008E5195">
      <w:pPr>
        <w:pStyle w:val="IRPsanstext"/>
        <w:rPr>
          <w:szCs w:val="22"/>
        </w:rPr>
      </w:pPr>
    </w:p>
    <w:p w:rsidR="00E40E4B" w:rsidRPr="009D7D9D" w:rsidRDefault="008E5195" w:rsidP="00E40E4B">
      <w:pPr>
        <w:pStyle w:val="IRPsanstext"/>
        <w:rPr>
          <w:b/>
        </w:rPr>
      </w:pPr>
      <w:r w:rsidRPr="001A1722">
        <w:rPr>
          <w:b/>
          <w:i/>
        </w:rPr>
        <w:t>Technical Details</w:t>
      </w:r>
      <w:r w:rsidR="009D7D9D" w:rsidRPr="001A1722">
        <w:rPr>
          <w:b/>
          <w:i/>
        </w:rPr>
        <w:t>:</w:t>
      </w:r>
      <w:r w:rsidR="009D7D9D">
        <w:rPr>
          <w:b/>
        </w:rPr>
        <w:t xml:space="preserve"> </w:t>
      </w:r>
      <w:r w:rsidR="00E40E4B" w:rsidRPr="00E40E4B">
        <w:t>Lithium-ion is a broad technology class that includes many sub-types. Sub-type classifications generally refer to the cathode material.</w:t>
      </w:r>
      <w:r w:rsidR="00E40E4B" w:rsidRPr="00E40E4B">
        <w:rPr>
          <w:rStyle w:val="FootnoteReference"/>
          <w:rFonts w:cs="Arial"/>
        </w:rPr>
        <w:footnoteReference w:id="19"/>
      </w:r>
      <w:r w:rsidR="00E40E4B" w:rsidRPr="00E40E4B">
        <w:t xml:space="preserve"> Some common chemistries are compared in Figure L-</w:t>
      </w:r>
      <w:r w:rsidR="00004846">
        <w:t>7</w:t>
      </w:r>
      <w:r w:rsidR="00E40E4B" w:rsidRPr="00E40E4B">
        <w:t>.</w:t>
      </w:r>
    </w:p>
    <w:p w:rsidR="00E40E4B" w:rsidRPr="00E40E4B" w:rsidRDefault="00E40E4B" w:rsidP="00E40E4B">
      <w:pPr>
        <w:pStyle w:val="IRPsanstext"/>
      </w:pPr>
    </w:p>
    <w:p w:rsidR="00E40E4B" w:rsidRPr="00E40E4B" w:rsidRDefault="00E40E4B" w:rsidP="00FD5630">
      <w:pPr>
        <w:pStyle w:val="IRPFigureSub"/>
        <w:spacing w:after="120"/>
      </w:pPr>
      <w:bookmarkStart w:id="7" w:name="_Toc402942662"/>
      <w:r w:rsidRPr="00E40E4B">
        <w:t>Figure L-</w:t>
      </w:r>
      <w:r w:rsidR="00004846">
        <w:t>7</w:t>
      </w:r>
      <w:r w:rsidR="009D7D9D">
        <w:t xml:space="preserve">: </w:t>
      </w:r>
      <w:r w:rsidRPr="00E40E4B">
        <w:t>Comparison of Lithium-ion Chemistries</w:t>
      </w:r>
      <w:r w:rsidRPr="00E40E4B">
        <w:rPr>
          <w:rStyle w:val="FootnoteReference"/>
          <w:rFonts w:cs="Arial"/>
          <w:szCs w:val="20"/>
        </w:rPr>
        <w:footnoteReference w:id="20"/>
      </w:r>
      <w:bookmarkEnd w:id="7"/>
    </w:p>
    <w:tbl>
      <w:tblPr>
        <w:tblStyle w:val="TableGrid"/>
        <w:tblW w:w="0" w:type="auto"/>
        <w:jc w:val="center"/>
        <w:tblInd w:w="162" w:type="dxa"/>
        <w:tblLook w:val="04A0" w:firstRow="1" w:lastRow="0" w:firstColumn="1" w:lastColumn="0" w:noHBand="0" w:noVBand="1"/>
      </w:tblPr>
      <w:tblGrid>
        <w:gridCol w:w="2092"/>
        <w:gridCol w:w="817"/>
        <w:gridCol w:w="900"/>
        <w:gridCol w:w="817"/>
        <w:gridCol w:w="621"/>
        <w:gridCol w:w="729"/>
        <w:gridCol w:w="2718"/>
      </w:tblGrid>
      <w:tr w:rsidR="005D5F41" w:rsidRPr="00E40E4B">
        <w:trPr>
          <w:jc w:val="center"/>
        </w:trPr>
        <w:tc>
          <w:tcPr>
            <w:tcW w:w="2097" w:type="dxa"/>
            <w:vMerge w:val="restart"/>
            <w:tcBorders>
              <w:top w:val="single" w:sz="4" w:space="0" w:color="auto"/>
              <w:left w:val="single" w:sz="4" w:space="0" w:color="auto"/>
              <w:bottom w:val="single" w:sz="4" w:space="0" w:color="auto"/>
              <w:right w:val="single" w:sz="4" w:space="0" w:color="auto"/>
            </w:tcBorders>
            <w:shd w:val="clear" w:color="auto" w:fill="156570"/>
            <w:vAlign w:val="center"/>
          </w:tcPr>
          <w:p w:rsidR="00E40E4B" w:rsidRPr="00A21A60" w:rsidRDefault="00E40E4B" w:rsidP="00E40E4B">
            <w:pPr>
              <w:pStyle w:val="IRPsanstext"/>
              <w:rPr>
                <w:b/>
                <w:color w:val="FFFFFF" w:themeColor="background1"/>
              </w:rPr>
            </w:pPr>
            <w:r w:rsidRPr="00A21A60">
              <w:rPr>
                <w:b/>
                <w:color w:val="FFFFFF" w:themeColor="background1"/>
              </w:rPr>
              <w:t>Chemistry (Shorthand)</w:t>
            </w:r>
          </w:p>
        </w:tc>
        <w:tc>
          <w:tcPr>
            <w:tcW w:w="810"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rsidR="00E40E4B" w:rsidRPr="00A21A60" w:rsidRDefault="00E40E4B" w:rsidP="009D7D9D">
            <w:pPr>
              <w:pStyle w:val="IRPsanstext"/>
              <w:jc w:val="center"/>
              <w:rPr>
                <w:b/>
                <w:color w:val="FFFFFF" w:themeColor="background1"/>
              </w:rPr>
            </w:pPr>
            <w:r w:rsidRPr="00A21A60">
              <w:rPr>
                <w:b/>
                <w:color w:val="FFFFFF" w:themeColor="background1"/>
              </w:rPr>
              <w:t>Safety</w:t>
            </w:r>
          </w:p>
        </w:tc>
        <w:tc>
          <w:tcPr>
            <w:tcW w:w="900"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rsidR="00E40E4B" w:rsidRPr="00A21A60" w:rsidRDefault="00E40E4B" w:rsidP="009D7D9D">
            <w:pPr>
              <w:pStyle w:val="IRPsanstext"/>
              <w:jc w:val="center"/>
              <w:rPr>
                <w:b/>
                <w:color w:val="FFFFFF" w:themeColor="background1"/>
              </w:rPr>
            </w:pPr>
            <w:r w:rsidRPr="00A21A60">
              <w:rPr>
                <w:b/>
                <w:color w:val="FFFFFF" w:themeColor="background1"/>
              </w:rPr>
              <w:t>Energy</w:t>
            </w:r>
          </w:p>
        </w:tc>
        <w:tc>
          <w:tcPr>
            <w:tcW w:w="810"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rsidR="00E40E4B" w:rsidRPr="00A21A60" w:rsidRDefault="00E40E4B" w:rsidP="009D7D9D">
            <w:pPr>
              <w:pStyle w:val="IRPsanstext"/>
              <w:jc w:val="center"/>
              <w:rPr>
                <w:b/>
                <w:color w:val="FFFFFF" w:themeColor="background1"/>
              </w:rPr>
            </w:pPr>
            <w:r w:rsidRPr="00A21A60">
              <w:rPr>
                <w:b/>
                <w:color w:val="FFFFFF" w:themeColor="background1"/>
              </w:rPr>
              <w:t>Power</w:t>
            </w:r>
          </w:p>
        </w:tc>
        <w:tc>
          <w:tcPr>
            <w:tcW w:w="621"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rsidR="00E40E4B" w:rsidRPr="00A21A60" w:rsidRDefault="00E40E4B" w:rsidP="009D7D9D">
            <w:pPr>
              <w:pStyle w:val="IRPsanstext"/>
              <w:jc w:val="center"/>
              <w:rPr>
                <w:b/>
                <w:color w:val="FFFFFF" w:themeColor="background1"/>
              </w:rPr>
            </w:pPr>
            <w:r w:rsidRPr="00A21A60">
              <w:rPr>
                <w:b/>
                <w:color w:val="FFFFFF" w:themeColor="background1"/>
              </w:rPr>
              <w:t>Life</w:t>
            </w:r>
          </w:p>
        </w:tc>
        <w:tc>
          <w:tcPr>
            <w:tcW w:w="729"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rsidR="00E40E4B" w:rsidRPr="00A21A60" w:rsidRDefault="005D5F41" w:rsidP="009D7D9D">
            <w:pPr>
              <w:pStyle w:val="IRPsanstext"/>
              <w:jc w:val="center"/>
              <w:rPr>
                <w:b/>
                <w:color w:val="FFFFFF" w:themeColor="background1"/>
              </w:rPr>
            </w:pPr>
            <w:r w:rsidRPr="00A21A60">
              <w:rPr>
                <w:b/>
                <w:color w:val="FFFFFF" w:themeColor="background1"/>
              </w:rPr>
              <w:t>Cost</w:t>
            </w:r>
          </w:p>
        </w:tc>
        <w:tc>
          <w:tcPr>
            <w:tcW w:w="2727" w:type="dxa"/>
            <w:vMerge w:val="restart"/>
            <w:tcBorders>
              <w:top w:val="single" w:sz="4" w:space="0" w:color="auto"/>
              <w:left w:val="single" w:sz="4" w:space="0" w:color="auto"/>
              <w:bottom w:val="single" w:sz="4" w:space="0" w:color="auto"/>
              <w:right w:val="single" w:sz="4" w:space="0" w:color="auto"/>
            </w:tcBorders>
            <w:shd w:val="clear" w:color="auto" w:fill="156570"/>
            <w:vAlign w:val="center"/>
          </w:tcPr>
          <w:p w:rsidR="00E40E4B" w:rsidRPr="00A21A60" w:rsidRDefault="00E40E4B" w:rsidP="00E40E4B">
            <w:pPr>
              <w:pStyle w:val="IRPsanstext"/>
              <w:rPr>
                <w:b/>
                <w:color w:val="FFFFFF" w:themeColor="background1"/>
              </w:rPr>
            </w:pPr>
            <w:r w:rsidRPr="00A21A60">
              <w:rPr>
                <w:b/>
                <w:color w:val="FFFFFF" w:themeColor="background1"/>
              </w:rPr>
              <w:t>Summary</w:t>
            </w:r>
          </w:p>
        </w:tc>
      </w:tr>
      <w:tr w:rsidR="00E40E4B" w:rsidRPr="00E40E4B">
        <w:trPr>
          <w:jc w:val="center"/>
        </w:trPr>
        <w:tc>
          <w:tcPr>
            <w:tcW w:w="2097" w:type="dxa"/>
            <w:vMerge/>
            <w:tcBorders>
              <w:top w:val="single" w:sz="4" w:space="0" w:color="FFFFFF" w:themeColor="background1"/>
              <w:left w:val="single" w:sz="4" w:space="0" w:color="auto"/>
              <w:right w:val="single" w:sz="4" w:space="0" w:color="auto"/>
            </w:tcBorders>
            <w:shd w:val="clear" w:color="auto" w:fill="156570"/>
            <w:vAlign w:val="center"/>
          </w:tcPr>
          <w:p w:rsidR="00E40E4B" w:rsidRPr="00E40E4B" w:rsidRDefault="00E40E4B" w:rsidP="00E40E4B">
            <w:pPr>
              <w:pStyle w:val="IRPsanstext"/>
            </w:pPr>
          </w:p>
        </w:tc>
        <w:tc>
          <w:tcPr>
            <w:tcW w:w="3870" w:type="dxa"/>
            <w:gridSpan w:val="5"/>
            <w:tcBorders>
              <w:top w:val="single" w:sz="4" w:space="0" w:color="auto"/>
              <w:left w:val="single" w:sz="4" w:space="0" w:color="auto"/>
              <w:bottom w:val="single" w:sz="4" w:space="0" w:color="auto"/>
              <w:right w:val="single" w:sz="4" w:space="0" w:color="auto"/>
            </w:tcBorders>
            <w:shd w:val="clear" w:color="auto" w:fill="156570"/>
            <w:vAlign w:val="center"/>
          </w:tcPr>
          <w:p w:rsidR="00E40E4B" w:rsidRPr="00A21A60" w:rsidRDefault="00E40E4B" w:rsidP="00A21A60">
            <w:pPr>
              <w:pStyle w:val="IRPsanstext"/>
              <w:jc w:val="center"/>
              <w:rPr>
                <w:b/>
              </w:rPr>
            </w:pPr>
            <w:r w:rsidRPr="00A21A60">
              <w:rPr>
                <w:b/>
                <w:color w:val="FFFFFF" w:themeColor="background1"/>
              </w:rPr>
              <w:t>Scale 1-5 with 5 Best</w:t>
            </w:r>
          </w:p>
        </w:tc>
        <w:tc>
          <w:tcPr>
            <w:tcW w:w="2727" w:type="dxa"/>
            <w:vMerge/>
            <w:tcBorders>
              <w:top w:val="single" w:sz="4" w:space="0" w:color="auto"/>
              <w:left w:val="single" w:sz="4" w:space="0" w:color="auto"/>
              <w:bottom w:val="single" w:sz="4" w:space="0" w:color="auto"/>
              <w:right w:val="single" w:sz="4" w:space="0" w:color="auto"/>
            </w:tcBorders>
            <w:shd w:val="clear" w:color="auto" w:fill="156570"/>
          </w:tcPr>
          <w:p w:rsidR="00E40E4B" w:rsidRPr="00E40E4B" w:rsidRDefault="00E40E4B" w:rsidP="00E40E4B">
            <w:pPr>
              <w:pStyle w:val="IRPsanstext"/>
            </w:pPr>
          </w:p>
        </w:tc>
      </w:tr>
      <w:tr w:rsidR="005D5F41" w:rsidRPr="00E40E4B">
        <w:trPr>
          <w:jc w:val="center"/>
        </w:trPr>
        <w:tc>
          <w:tcPr>
            <w:tcW w:w="2097" w:type="dxa"/>
            <w:shd w:val="clear" w:color="auto" w:fill="auto"/>
            <w:vAlign w:val="center"/>
          </w:tcPr>
          <w:p w:rsidR="00E40E4B" w:rsidRPr="00E40E4B" w:rsidRDefault="00E40E4B" w:rsidP="00E40E4B">
            <w:pPr>
              <w:pStyle w:val="IRPsanstext"/>
              <w:spacing w:line="276" w:lineRule="auto"/>
            </w:pPr>
            <w:r w:rsidRPr="00E40E4B">
              <w:t>Lithium Manganese Oxide (LMO)</w:t>
            </w:r>
          </w:p>
        </w:tc>
        <w:tc>
          <w:tcPr>
            <w:tcW w:w="810" w:type="dxa"/>
            <w:tcBorders>
              <w:top w:val="single" w:sz="4" w:space="0" w:color="auto"/>
            </w:tcBorders>
            <w:shd w:val="clear" w:color="auto" w:fill="auto"/>
            <w:vAlign w:val="center"/>
          </w:tcPr>
          <w:p w:rsidR="00E40E4B" w:rsidRPr="00E40E4B" w:rsidRDefault="00E40E4B" w:rsidP="005D5F41">
            <w:pPr>
              <w:pStyle w:val="IRPsanstext"/>
              <w:spacing w:line="276" w:lineRule="auto"/>
              <w:jc w:val="center"/>
            </w:pPr>
            <w:r w:rsidRPr="00E40E4B">
              <w:t>3</w:t>
            </w:r>
          </w:p>
        </w:tc>
        <w:tc>
          <w:tcPr>
            <w:tcW w:w="900" w:type="dxa"/>
            <w:tcBorders>
              <w:top w:val="single" w:sz="4" w:space="0" w:color="auto"/>
            </w:tcBorders>
            <w:shd w:val="clear" w:color="auto" w:fill="auto"/>
            <w:vAlign w:val="center"/>
          </w:tcPr>
          <w:p w:rsidR="00E40E4B" w:rsidRPr="00E40E4B" w:rsidRDefault="00E40E4B" w:rsidP="005D5F41">
            <w:pPr>
              <w:pStyle w:val="IRPsanstext"/>
              <w:spacing w:line="276" w:lineRule="auto"/>
              <w:jc w:val="center"/>
            </w:pPr>
            <w:r w:rsidRPr="00E40E4B">
              <w:t>4</w:t>
            </w:r>
          </w:p>
        </w:tc>
        <w:tc>
          <w:tcPr>
            <w:tcW w:w="810" w:type="dxa"/>
            <w:tcBorders>
              <w:top w:val="single" w:sz="4" w:space="0" w:color="auto"/>
            </w:tcBorders>
            <w:shd w:val="clear" w:color="auto" w:fill="auto"/>
            <w:vAlign w:val="center"/>
          </w:tcPr>
          <w:p w:rsidR="00E40E4B" w:rsidRPr="00E40E4B" w:rsidRDefault="00E40E4B" w:rsidP="005D5F41">
            <w:pPr>
              <w:pStyle w:val="IRPsanstext"/>
              <w:spacing w:line="276" w:lineRule="auto"/>
              <w:jc w:val="center"/>
            </w:pPr>
            <w:r w:rsidRPr="00E40E4B">
              <w:t>3</w:t>
            </w:r>
          </w:p>
        </w:tc>
        <w:tc>
          <w:tcPr>
            <w:tcW w:w="621" w:type="dxa"/>
            <w:tcBorders>
              <w:top w:val="single" w:sz="4" w:space="0" w:color="auto"/>
            </w:tcBorders>
            <w:shd w:val="clear" w:color="auto" w:fill="auto"/>
            <w:vAlign w:val="center"/>
          </w:tcPr>
          <w:p w:rsidR="00E40E4B" w:rsidRPr="00E40E4B" w:rsidRDefault="00E40E4B" w:rsidP="005D5F41">
            <w:pPr>
              <w:pStyle w:val="IRPsanstext"/>
              <w:spacing w:line="276" w:lineRule="auto"/>
              <w:jc w:val="center"/>
            </w:pPr>
            <w:r w:rsidRPr="00E40E4B">
              <w:t>3</w:t>
            </w:r>
          </w:p>
        </w:tc>
        <w:tc>
          <w:tcPr>
            <w:tcW w:w="729" w:type="dxa"/>
            <w:tcBorders>
              <w:top w:val="single" w:sz="4" w:space="0" w:color="auto"/>
            </w:tcBorders>
            <w:shd w:val="clear" w:color="auto" w:fill="auto"/>
            <w:vAlign w:val="center"/>
          </w:tcPr>
          <w:p w:rsidR="00E40E4B" w:rsidRPr="00E40E4B" w:rsidRDefault="00E40E4B" w:rsidP="005D5F41">
            <w:pPr>
              <w:pStyle w:val="IRPsanstext"/>
              <w:spacing w:line="276" w:lineRule="auto"/>
              <w:jc w:val="center"/>
            </w:pPr>
            <w:r w:rsidRPr="00E40E4B">
              <w:t>4</w:t>
            </w:r>
          </w:p>
        </w:tc>
        <w:tc>
          <w:tcPr>
            <w:tcW w:w="2727" w:type="dxa"/>
            <w:tcBorders>
              <w:top w:val="single" w:sz="4" w:space="0" w:color="auto"/>
            </w:tcBorders>
            <w:shd w:val="clear" w:color="auto" w:fill="auto"/>
          </w:tcPr>
          <w:p w:rsidR="00E40E4B" w:rsidRPr="00E40E4B" w:rsidRDefault="00E40E4B" w:rsidP="00E40E4B">
            <w:pPr>
              <w:pStyle w:val="IRPsanstext"/>
              <w:spacing w:line="276" w:lineRule="auto"/>
            </w:pPr>
            <w:r w:rsidRPr="00E40E4B">
              <w:t>Versatile technology with good overall performance &amp; cost</w:t>
            </w:r>
          </w:p>
        </w:tc>
      </w:tr>
      <w:tr w:rsidR="005D5F41" w:rsidRPr="00E40E4B">
        <w:trPr>
          <w:jc w:val="center"/>
        </w:trPr>
        <w:tc>
          <w:tcPr>
            <w:tcW w:w="2097" w:type="dxa"/>
            <w:vAlign w:val="center"/>
          </w:tcPr>
          <w:p w:rsidR="00E40E4B" w:rsidRPr="00E40E4B" w:rsidRDefault="00E40E4B" w:rsidP="00E40E4B">
            <w:pPr>
              <w:pStyle w:val="IRPsanstext"/>
              <w:spacing w:line="276" w:lineRule="auto"/>
            </w:pPr>
            <w:r w:rsidRPr="00E40E4B">
              <w:t>Lithium Iron Phosphate (LFP)</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3</w:t>
            </w:r>
          </w:p>
        </w:tc>
        <w:tc>
          <w:tcPr>
            <w:tcW w:w="900" w:type="dxa"/>
            <w:shd w:val="clear" w:color="auto" w:fill="FFFFFF" w:themeFill="background1"/>
            <w:vAlign w:val="center"/>
          </w:tcPr>
          <w:p w:rsidR="00E40E4B" w:rsidRPr="00E40E4B" w:rsidRDefault="00E40E4B" w:rsidP="005D5F41">
            <w:pPr>
              <w:pStyle w:val="IRPsanstext"/>
              <w:spacing w:line="276" w:lineRule="auto"/>
              <w:jc w:val="center"/>
            </w:pPr>
            <w:r w:rsidRPr="00E40E4B">
              <w:t>3</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621"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729" w:type="dxa"/>
            <w:shd w:val="clear" w:color="auto" w:fill="FFFFFF" w:themeFill="background1"/>
            <w:vAlign w:val="center"/>
          </w:tcPr>
          <w:p w:rsidR="00E40E4B" w:rsidRPr="00E40E4B" w:rsidRDefault="00E40E4B" w:rsidP="005D5F41">
            <w:pPr>
              <w:pStyle w:val="IRPsanstext"/>
              <w:spacing w:line="276" w:lineRule="auto"/>
              <w:jc w:val="center"/>
            </w:pPr>
            <w:r w:rsidRPr="00E40E4B">
              <w:t>3</w:t>
            </w:r>
          </w:p>
        </w:tc>
        <w:tc>
          <w:tcPr>
            <w:tcW w:w="2727" w:type="dxa"/>
          </w:tcPr>
          <w:p w:rsidR="00E40E4B" w:rsidRPr="00E40E4B" w:rsidRDefault="00E40E4B" w:rsidP="00E40E4B">
            <w:pPr>
              <w:pStyle w:val="IRPsanstext"/>
              <w:spacing w:line="276" w:lineRule="auto"/>
            </w:pPr>
            <w:r w:rsidRPr="00E40E4B">
              <w:t>Similar to LMO, but slightly more power &amp; less energy</w:t>
            </w:r>
          </w:p>
        </w:tc>
      </w:tr>
      <w:tr w:rsidR="005D5F41" w:rsidRPr="00E40E4B">
        <w:trPr>
          <w:jc w:val="center"/>
        </w:trPr>
        <w:tc>
          <w:tcPr>
            <w:tcW w:w="2097" w:type="dxa"/>
            <w:vAlign w:val="center"/>
          </w:tcPr>
          <w:p w:rsidR="00E40E4B" w:rsidRPr="00E40E4B" w:rsidRDefault="00E40E4B" w:rsidP="00E40E4B">
            <w:pPr>
              <w:pStyle w:val="IRPsanstext"/>
              <w:spacing w:line="276" w:lineRule="auto"/>
            </w:pPr>
            <w:r w:rsidRPr="00E40E4B">
              <w:t>Lithium Nickel Cobalt Aluminum (NCA)</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1</w:t>
            </w:r>
          </w:p>
        </w:tc>
        <w:tc>
          <w:tcPr>
            <w:tcW w:w="900" w:type="dxa"/>
            <w:shd w:val="clear" w:color="auto" w:fill="FFFFFF" w:themeFill="background1"/>
            <w:vAlign w:val="center"/>
          </w:tcPr>
          <w:p w:rsidR="00E40E4B" w:rsidRPr="00E40E4B" w:rsidRDefault="00E40E4B" w:rsidP="005D5F41">
            <w:pPr>
              <w:pStyle w:val="IRPsanstext"/>
              <w:spacing w:line="276" w:lineRule="auto"/>
              <w:jc w:val="center"/>
            </w:pPr>
            <w:r w:rsidRPr="00E40E4B">
              <w:t>3</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621"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729" w:type="dxa"/>
            <w:shd w:val="clear" w:color="auto" w:fill="FFFFFF" w:themeFill="background1"/>
            <w:vAlign w:val="center"/>
          </w:tcPr>
          <w:p w:rsidR="00E40E4B" w:rsidRPr="00E40E4B" w:rsidRDefault="00E40E4B" w:rsidP="005D5F41">
            <w:pPr>
              <w:pStyle w:val="IRPsanstext"/>
              <w:spacing w:line="276" w:lineRule="auto"/>
              <w:jc w:val="center"/>
            </w:pPr>
            <w:r w:rsidRPr="00E40E4B">
              <w:t>2</w:t>
            </w:r>
          </w:p>
        </w:tc>
        <w:tc>
          <w:tcPr>
            <w:tcW w:w="2727" w:type="dxa"/>
          </w:tcPr>
          <w:p w:rsidR="00E40E4B" w:rsidRPr="00E40E4B" w:rsidRDefault="00E40E4B" w:rsidP="00E40E4B">
            <w:pPr>
              <w:pStyle w:val="IRPsanstext"/>
              <w:spacing w:line="276" w:lineRule="auto"/>
            </w:pPr>
            <w:r w:rsidRPr="00E40E4B">
              <w:t>Good for power application</w:t>
            </w:r>
            <w:r w:rsidR="00233794">
              <w:t>s; poor safety &amp; high cost per k</w:t>
            </w:r>
            <w:r w:rsidRPr="00E40E4B">
              <w:t>Wh</w:t>
            </w:r>
          </w:p>
        </w:tc>
      </w:tr>
      <w:tr w:rsidR="005D5F41" w:rsidRPr="00E40E4B">
        <w:trPr>
          <w:jc w:val="center"/>
        </w:trPr>
        <w:tc>
          <w:tcPr>
            <w:tcW w:w="2097" w:type="dxa"/>
            <w:vAlign w:val="center"/>
          </w:tcPr>
          <w:p w:rsidR="00E40E4B" w:rsidRPr="00E40E4B" w:rsidRDefault="00E40E4B" w:rsidP="00E40E4B">
            <w:pPr>
              <w:pStyle w:val="IRPsanstext"/>
              <w:spacing w:line="276" w:lineRule="auto"/>
            </w:pPr>
            <w:r w:rsidRPr="00E40E4B">
              <w:t>Lithium Titanate (LTO)</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5</w:t>
            </w:r>
          </w:p>
        </w:tc>
        <w:tc>
          <w:tcPr>
            <w:tcW w:w="900" w:type="dxa"/>
            <w:shd w:val="clear" w:color="auto" w:fill="FFFFFF" w:themeFill="background1"/>
            <w:vAlign w:val="center"/>
          </w:tcPr>
          <w:p w:rsidR="00E40E4B" w:rsidRPr="00E40E4B" w:rsidRDefault="00E40E4B" w:rsidP="005D5F41">
            <w:pPr>
              <w:pStyle w:val="IRPsanstext"/>
              <w:spacing w:line="276" w:lineRule="auto"/>
              <w:jc w:val="center"/>
            </w:pPr>
            <w:r w:rsidRPr="00E40E4B">
              <w:t>2</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5</w:t>
            </w:r>
          </w:p>
        </w:tc>
        <w:tc>
          <w:tcPr>
            <w:tcW w:w="621" w:type="dxa"/>
            <w:shd w:val="clear" w:color="auto" w:fill="FFFFFF" w:themeFill="background1"/>
            <w:vAlign w:val="center"/>
          </w:tcPr>
          <w:p w:rsidR="00E40E4B" w:rsidRPr="00E40E4B" w:rsidRDefault="00E40E4B" w:rsidP="005D5F41">
            <w:pPr>
              <w:pStyle w:val="IRPsanstext"/>
              <w:spacing w:line="276" w:lineRule="auto"/>
              <w:jc w:val="center"/>
            </w:pPr>
            <w:r w:rsidRPr="00E40E4B">
              <w:t>5</w:t>
            </w:r>
          </w:p>
        </w:tc>
        <w:tc>
          <w:tcPr>
            <w:tcW w:w="729" w:type="dxa"/>
            <w:shd w:val="clear" w:color="auto" w:fill="FFFFFF" w:themeFill="background1"/>
            <w:vAlign w:val="center"/>
          </w:tcPr>
          <w:p w:rsidR="00E40E4B" w:rsidRPr="00E40E4B" w:rsidRDefault="00E40E4B" w:rsidP="005D5F41">
            <w:pPr>
              <w:pStyle w:val="IRPsanstext"/>
              <w:spacing w:line="276" w:lineRule="auto"/>
              <w:jc w:val="center"/>
            </w:pPr>
            <w:r w:rsidRPr="00E40E4B">
              <w:t>2</w:t>
            </w:r>
          </w:p>
        </w:tc>
        <w:tc>
          <w:tcPr>
            <w:tcW w:w="2727" w:type="dxa"/>
          </w:tcPr>
          <w:p w:rsidR="00E40E4B" w:rsidRPr="00E40E4B" w:rsidRDefault="00E40E4B" w:rsidP="00E40E4B">
            <w:pPr>
              <w:pStyle w:val="IRPsanstext"/>
              <w:spacing w:line="276" w:lineRule="auto"/>
            </w:pPr>
            <w:r w:rsidRPr="00E40E4B">
              <w:t>Excellent pow</w:t>
            </w:r>
            <w:r w:rsidR="00233794">
              <w:t>er &amp; cycle life; high cost per k</w:t>
            </w:r>
            <w:r w:rsidRPr="00E40E4B">
              <w:t>Wh</w:t>
            </w:r>
          </w:p>
        </w:tc>
      </w:tr>
      <w:tr w:rsidR="005D5F41" w:rsidRPr="00E40E4B">
        <w:trPr>
          <w:jc w:val="center"/>
        </w:trPr>
        <w:tc>
          <w:tcPr>
            <w:tcW w:w="2097" w:type="dxa"/>
            <w:vAlign w:val="center"/>
          </w:tcPr>
          <w:p w:rsidR="00E40E4B" w:rsidRPr="00E40E4B" w:rsidRDefault="00E40E4B" w:rsidP="00E40E4B">
            <w:pPr>
              <w:pStyle w:val="IRPsanstext"/>
              <w:spacing w:line="276" w:lineRule="auto"/>
            </w:pPr>
            <w:r w:rsidRPr="00E40E4B">
              <w:t>Lithium Nickel Manganese Cobalt (NMC)</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3</w:t>
            </w:r>
          </w:p>
        </w:tc>
        <w:tc>
          <w:tcPr>
            <w:tcW w:w="900"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621"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729"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2727" w:type="dxa"/>
          </w:tcPr>
          <w:p w:rsidR="00E40E4B" w:rsidRPr="00E40E4B" w:rsidRDefault="00E40E4B" w:rsidP="00E40E4B">
            <w:pPr>
              <w:pStyle w:val="IRPsanstext"/>
              <w:spacing w:line="276" w:lineRule="auto"/>
            </w:pPr>
            <w:r w:rsidRPr="00E40E4B">
              <w:t>Versatile technology with good overall performance &amp; cost</w:t>
            </w:r>
          </w:p>
        </w:tc>
      </w:tr>
    </w:tbl>
    <w:p w:rsidR="00E40E4B" w:rsidRDefault="00E40E4B" w:rsidP="00E40E4B">
      <w:pPr>
        <w:pStyle w:val="IRPsanstext"/>
      </w:pPr>
    </w:p>
    <w:p w:rsidR="00E40E4B" w:rsidRPr="00E40E4B" w:rsidRDefault="00E40E4B" w:rsidP="00E40E4B">
      <w:pPr>
        <w:pStyle w:val="IRPsanstext"/>
      </w:pPr>
      <w:r w:rsidRPr="00E40E4B">
        <w:t xml:space="preserve">Lithium-ion technologies are </w:t>
      </w:r>
      <w:r w:rsidR="00444A0E">
        <w:t>also</w:t>
      </w:r>
      <w:r w:rsidRPr="00E40E4B">
        <w:t xml:space="preserve"> divided by cell shape: cylindrical, prismatic or laminate. Cylindrical cells have high potential capacity, lower cost and good structural strength.  Prismatic cells have a smaller footprint, so they are used when space is limited (as in mobile phones). Laminate cells are flexible and safer than the other shapes.</w:t>
      </w:r>
      <w:r w:rsidRPr="00E40E4B">
        <w:rPr>
          <w:rStyle w:val="FootnoteReference"/>
          <w:rFonts w:cs="Arial"/>
        </w:rPr>
        <w:footnoteReference w:id="21"/>
      </w:r>
      <w:r w:rsidRPr="00E40E4B">
        <w:t xml:space="preserve"> </w:t>
      </w:r>
    </w:p>
    <w:p w:rsidR="00FD5630" w:rsidRDefault="00FD5630" w:rsidP="00E40E4B">
      <w:pPr>
        <w:pStyle w:val="IRPsanstext"/>
      </w:pPr>
    </w:p>
    <w:p w:rsidR="00E40E4B" w:rsidRPr="00E40E4B" w:rsidRDefault="006B32DD" w:rsidP="00E40E4B">
      <w:pPr>
        <w:pStyle w:val="IRPsanstext"/>
      </w:pPr>
      <w:r>
        <w:lastRenderedPageBreak/>
        <w:br/>
      </w:r>
      <w:r w:rsidR="00E40E4B" w:rsidRPr="00E40E4B">
        <w:t>Lithium-ion battery advantages include high energy density, high power, high efficiency, low self-discharge, lack of cell “memory” and fast response time; challenges include short cycle life, high cost, heat management issues, flammability and narrow operating temperatures.</w:t>
      </w:r>
      <w:r w:rsidR="00E40E4B" w:rsidRPr="00E40E4B">
        <w:rPr>
          <w:rStyle w:val="FootnoteReference"/>
          <w:rFonts w:cs="Arial"/>
        </w:rPr>
        <w:footnoteReference w:id="22"/>
      </w:r>
    </w:p>
    <w:p w:rsidR="00E40E4B" w:rsidRPr="00E40E4B" w:rsidRDefault="00E40E4B" w:rsidP="00E40E4B">
      <w:pPr>
        <w:pStyle w:val="IRPsanstext"/>
        <w:rPr>
          <w:i/>
        </w:rPr>
      </w:pPr>
    </w:p>
    <w:p w:rsidR="00DF5C90" w:rsidRDefault="00E40E4B" w:rsidP="00E40E4B">
      <w:pPr>
        <w:pStyle w:val="IRPsanstext"/>
      </w:pPr>
      <w:r w:rsidRPr="001A1722">
        <w:rPr>
          <w:b/>
          <w:i/>
        </w:rPr>
        <w:t>Deployments</w:t>
      </w:r>
      <w:r w:rsidR="00A21A60" w:rsidRPr="001A1722">
        <w:rPr>
          <w:b/>
          <w:i/>
        </w:rPr>
        <w:t>:</w:t>
      </w:r>
      <w:r w:rsidR="00A21A60">
        <w:rPr>
          <w:b/>
        </w:rPr>
        <w:t xml:space="preserve"> </w:t>
      </w:r>
      <w:r w:rsidRPr="00E40E4B">
        <w:t>Approximately</w:t>
      </w:r>
      <w:r w:rsidR="00D42E45">
        <w:t xml:space="preserve"> </w:t>
      </w:r>
      <w:r w:rsidR="00351CE7">
        <w:t>312</w:t>
      </w:r>
      <w:r w:rsidRPr="00E40E4B">
        <w:t xml:space="preserve"> MW/</w:t>
      </w:r>
      <w:r w:rsidR="00351CE7">
        <w:t>333</w:t>
      </w:r>
      <w:r w:rsidR="00D42E45" w:rsidRPr="00E40E4B">
        <w:t xml:space="preserve"> </w:t>
      </w:r>
      <w:r w:rsidRPr="00E40E4B">
        <w:t xml:space="preserve">MWh of lithium-ion projects are currently in operation, and </w:t>
      </w:r>
      <w:r w:rsidR="00D42E45">
        <w:t>- more than 70</w:t>
      </w:r>
      <w:r w:rsidRPr="00E40E4B">
        <w:t xml:space="preserve"> projects have power ratings of 1 MW or larger. These utility-scale systems can be separated into two categories: high power, short duration projects that perform frequency regulation and high energy projects that help to integrate intermittent renewable generation.</w:t>
      </w:r>
    </w:p>
    <w:p w:rsidR="00FC5F32" w:rsidRPr="00DF5C90" w:rsidRDefault="00FC5F32" w:rsidP="00E40E4B">
      <w:pPr>
        <w:pStyle w:val="IRPsanstext"/>
      </w:pPr>
    </w:p>
    <w:p w:rsidR="00E40E4B" w:rsidRPr="00E40E4B" w:rsidRDefault="00E40E4B" w:rsidP="00E40E4B">
      <w:pPr>
        <w:pStyle w:val="IRPsanstext"/>
      </w:pPr>
    </w:p>
    <w:p w:rsidR="00E40E4B" w:rsidRPr="00F71BD6" w:rsidRDefault="00E40E4B" w:rsidP="00F71BD6">
      <w:pPr>
        <w:pStyle w:val="IRPFigureSub"/>
        <w:spacing w:after="120"/>
        <w:rPr>
          <w:rStyle w:val="Hyperlink"/>
          <w:i w:val="0"/>
          <w:szCs w:val="20"/>
        </w:rPr>
      </w:pPr>
      <w:bookmarkStart w:id="8" w:name="_Toc402942663"/>
      <w:r w:rsidRPr="00E40E4B">
        <w:t>Figure L-</w:t>
      </w:r>
      <w:r w:rsidR="00004846">
        <w:t>8</w:t>
      </w:r>
      <w:r w:rsidR="00A21A60">
        <w:t>:</w:t>
      </w:r>
      <w:r w:rsidRPr="00E40E4B">
        <w:t xml:space="preserve"> </w:t>
      </w:r>
      <w:r w:rsidR="00A21A60">
        <w:t xml:space="preserve"> </w:t>
      </w:r>
      <w:r w:rsidRPr="00CA3E66">
        <w:t>Five Largest Operational Lithium-ion Energy Storage Projects</w:t>
      </w:r>
      <w:bookmarkEnd w:id="8"/>
      <w:r w:rsidR="0068203F">
        <w:rPr>
          <w:rStyle w:val="FootnoteReference"/>
        </w:rPr>
        <w:footnoteReference w:id="23"/>
      </w:r>
    </w:p>
    <w:tbl>
      <w:tblPr>
        <w:tblStyle w:val="TableGrid"/>
        <w:tblW w:w="8595" w:type="dxa"/>
        <w:jc w:val="center"/>
        <w:tblLayout w:type="fixed"/>
        <w:tblLook w:val="04A0" w:firstRow="1" w:lastRow="0" w:firstColumn="1" w:lastColumn="0" w:noHBand="0" w:noVBand="1"/>
      </w:tblPr>
      <w:tblGrid>
        <w:gridCol w:w="2498"/>
        <w:gridCol w:w="1710"/>
        <w:gridCol w:w="1440"/>
        <w:gridCol w:w="1440"/>
        <w:gridCol w:w="1507"/>
      </w:tblGrid>
      <w:tr w:rsidR="00E40E4B" w:rsidRPr="00E40E4B">
        <w:trPr>
          <w:trHeight w:val="440"/>
          <w:jc w:val="center"/>
        </w:trPr>
        <w:tc>
          <w:tcPr>
            <w:tcW w:w="8595" w:type="dxa"/>
            <w:gridSpan w:val="5"/>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595959" w:themeFill="text1" w:themeFillTint="A6"/>
            <w:noWrap/>
            <w:vAlign w:val="center"/>
          </w:tcPr>
          <w:p w:rsidR="00E40E4B" w:rsidRPr="00E40E4B" w:rsidRDefault="00E40E4B" w:rsidP="007F7A43">
            <w:pPr>
              <w:pStyle w:val="IRPsanstext"/>
              <w:spacing w:line="276" w:lineRule="auto"/>
              <w:jc w:val="center"/>
              <w:rPr>
                <w:b/>
                <w:color w:val="F2F2F2" w:themeColor="background1" w:themeShade="F2"/>
              </w:rPr>
            </w:pPr>
            <w:r w:rsidRPr="00E40E4B">
              <w:rPr>
                <w:b/>
                <w:color w:val="F2F2F2" w:themeColor="background1" w:themeShade="F2"/>
              </w:rPr>
              <w:t>Five Largest Operational Lithium-ion Energy Storage Projects, by Energy Rating</w:t>
            </w:r>
          </w:p>
        </w:tc>
      </w:tr>
      <w:tr w:rsidR="00E40E4B" w:rsidRPr="00E40E4B">
        <w:trPr>
          <w:trHeight w:val="576"/>
          <w:jc w:val="center"/>
        </w:trPr>
        <w:tc>
          <w:tcPr>
            <w:tcW w:w="2498"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156570"/>
            <w:noWrap/>
            <w:vAlign w:val="center"/>
          </w:tcPr>
          <w:p w:rsidR="00E40E4B" w:rsidRPr="00E40E4B" w:rsidRDefault="00E40E4B" w:rsidP="00E40E4B">
            <w:pPr>
              <w:pStyle w:val="IRPsanstext"/>
              <w:spacing w:line="276" w:lineRule="auto"/>
              <w:rPr>
                <w:b/>
                <w:color w:val="F2F2F2" w:themeColor="background1" w:themeShade="F2"/>
              </w:rPr>
            </w:pPr>
            <w:r w:rsidRPr="00E40E4B">
              <w:rPr>
                <w:b/>
                <w:color w:val="F2F2F2" w:themeColor="background1" w:themeShade="F2"/>
              </w:rPr>
              <w:t>Owner / Project</w:t>
            </w:r>
          </w:p>
        </w:tc>
        <w:tc>
          <w:tcPr>
            <w:tcW w:w="1710"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156570"/>
            <w:noWrap/>
            <w:vAlign w:val="center"/>
          </w:tcPr>
          <w:p w:rsidR="00E40E4B" w:rsidRPr="00E40E4B" w:rsidRDefault="00E40E4B" w:rsidP="00E40E4B">
            <w:pPr>
              <w:pStyle w:val="IRPsanstext"/>
              <w:spacing w:line="276" w:lineRule="auto"/>
              <w:rPr>
                <w:b/>
                <w:color w:val="F2F2F2" w:themeColor="background1" w:themeShade="F2"/>
              </w:rPr>
            </w:pPr>
            <w:r w:rsidRPr="00E40E4B">
              <w:rPr>
                <w:b/>
                <w:color w:val="F2F2F2" w:themeColor="background1" w:themeShade="F2"/>
              </w:rPr>
              <w:t>Power / Energy (Duration)</w:t>
            </w:r>
          </w:p>
        </w:tc>
        <w:tc>
          <w:tcPr>
            <w:tcW w:w="1440"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156570"/>
            <w:noWrap/>
            <w:vAlign w:val="center"/>
          </w:tcPr>
          <w:p w:rsidR="00E40E4B" w:rsidRPr="00E40E4B" w:rsidRDefault="00E40E4B" w:rsidP="00E40E4B">
            <w:pPr>
              <w:pStyle w:val="IRPsanstext"/>
              <w:spacing w:line="276" w:lineRule="auto"/>
              <w:rPr>
                <w:b/>
                <w:color w:val="F2F2F2" w:themeColor="background1" w:themeShade="F2"/>
              </w:rPr>
            </w:pPr>
            <w:r w:rsidRPr="00E40E4B">
              <w:rPr>
                <w:b/>
                <w:color w:val="F2F2F2" w:themeColor="background1" w:themeShade="F2"/>
              </w:rPr>
              <w:t>Technology</w:t>
            </w:r>
          </w:p>
        </w:tc>
        <w:tc>
          <w:tcPr>
            <w:tcW w:w="1440"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156570"/>
            <w:noWrap/>
            <w:vAlign w:val="center"/>
          </w:tcPr>
          <w:p w:rsidR="00E40E4B" w:rsidRPr="00E40E4B" w:rsidRDefault="00E40E4B" w:rsidP="00E40E4B">
            <w:pPr>
              <w:pStyle w:val="IRPsanstext"/>
              <w:spacing w:line="276" w:lineRule="auto"/>
              <w:rPr>
                <w:b/>
                <w:color w:val="F2F2F2" w:themeColor="background1" w:themeShade="F2"/>
              </w:rPr>
            </w:pPr>
            <w:r w:rsidRPr="00E40E4B">
              <w:rPr>
                <w:b/>
                <w:color w:val="F2F2F2" w:themeColor="background1" w:themeShade="F2"/>
              </w:rPr>
              <w:t>Location</w:t>
            </w:r>
          </w:p>
        </w:tc>
        <w:tc>
          <w:tcPr>
            <w:tcW w:w="1507"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156570"/>
          </w:tcPr>
          <w:p w:rsidR="00E40E4B" w:rsidRPr="00E40E4B" w:rsidRDefault="00E40E4B" w:rsidP="00E40E4B">
            <w:pPr>
              <w:pStyle w:val="IRPsanstext"/>
              <w:spacing w:line="276" w:lineRule="auto"/>
              <w:rPr>
                <w:b/>
                <w:color w:val="F2F2F2" w:themeColor="background1" w:themeShade="F2"/>
              </w:rPr>
            </w:pPr>
            <w:r w:rsidRPr="00E40E4B">
              <w:rPr>
                <w:b/>
                <w:color w:val="F2F2F2" w:themeColor="background1" w:themeShade="F2"/>
              </w:rPr>
              <w:t>Primary Function</w:t>
            </w:r>
          </w:p>
        </w:tc>
      </w:tr>
      <w:tr w:rsidR="00E40E4B" w:rsidRPr="00E40E4B">
        <w:trPr>
          <w:trHeight w:val="495"/>
          <w:jc w:val="center"/>
        </w:trPr>
        <w:tc>
          <w:tcPr>
            <w:tcW w:w="2498" w:type="dxa"/>
            <w:tcBorders>
              <w:top w:val="single" w:sz="4" w:space="0" w:color="FFFFFF" w:themeColor="background1"/>
            </w:tcBorders>
            <w:noWrap/>
            <w:vAlign w:val="center"/>
          </w:tcPr>
          <w:p w:rsidR="00E40E4B" w:rsidRPr="00E40E4B" w:rsidRDefault="00E40E4B" w:rsidP="00B45219">
            <w:pPr>
              <w:pStyle w:val="IRPsanstext"/>
              <w:spacing w:line="276" w:lineRule="auto"/>
            </w:pPr>
            <w:r w:rsidRPr="00E40E4B">
              <w:rPr>
                <w:color w:val="000000"/>
                <w:shd w:val="clear" w:color="auto" w:fill="FFFFFF"/>
              </w:rPr>
              <w:t>State Grid Corporation of China</w:t>
            </w:r>
            <w:r w:rsidRPr="00E40E4B">
              <w:t xml:space="preserve"> / Zhangbei National Wind and Solar Energy Storage and Transmission Project</w:t>
            </w:r>
          </w:p>
        </w:tc>
        <w:tc>
          <w:tcPr>
            <w:tcW w:w="1710" w:type="dxa"/>
            <w:tcBorders>
              <w:top w:val="single" w:sz="4" w:space="0" w:color="FFFFFF" w:themeColor="background1"/>
            </w:tcBorders>
            <w:noWrap/>
            <w:vAlign w:val="center"/>
          </w:tcPr>
          <w:p w:rsidR="00E40E4B" w:rsidRPr="00E40E4B" w:rsidRDefault="00E40E4B" w:rsidP="00B45219">
            <w:pPr>
              <w:pStyle w:val="IRPsanstext"/>
              <w:spacing w:line="276" w:lineRule="auto"/>
            </w:pPr>
            <w:r w:rsidRPr="00E40E4B">
              <w:t>6 MW / 36 MWh (6 hour)</w:t>
            </w:r>
          </w:p>
        </w:tc>
        <w:tc>
          <w:tcPr>
            <w:tcW w:w="1440" w:type="dxa"/>
            <w:tcBorders>
              <w:top w:val="single" w:sz="4" w:space="0" w:color="FFFFFF" w:themeColor="background1"/>
            </w:tcBorders>
            <w:noWrap/>
            <w:vAlign w:val="center"/>
          </w:tcPr>
          <w:p w:rsidR="00E40E4B" w:rsidRPr="00E40E4B" w:rsidRDefault="00E40E4B" w:rsidP="00B45219">
            <w:pPr>
              <w:pStyle w:val="IRPsanstext"/>
              <w:spacing w:line="276" w:lineRule="auto"/>
            </w:pPr>
            <w:r w:rsidRPr="00E40E4B">
              <w:t>Lithium-ion-phosphate</w:t>
            </w:r>
          </w:p>
        </w:tc>
        <w:tc>
          <w:tcPr>
            <w:tcW w:w="1440" w:type="dxa"/>
            <w:tcBorders>
              <w:top w:val="single" w:sz="4" w:space="0" w:color="FFFFFF" w:themeColor="background1"/>
            </w:tcBorders>
            <w:noWrap/>
            <w:vAlign w:val="center"/>
          </w:tcPr>
          <w:p w:rsidR="00E40E4B" w:rsidRPr="00E40E4B" w:rsidRDefault="00E40E4B" w:rsidP="00B45219">
            <w:pPr>
              <w:pStyle w:val="IRPsanstext"/>
              <w:spacing w:line="276" w:lineRule="auto"/>
            </w:pPr>
            <w:r w:rsidRPr="00E40E4B">
              <w:rPr>
                <w:color w:val="000000"/>
                <w:shd w:val="clear" w:color="auto" w:fill="FFFFFF"/>
              </w:rPr>
              <w:t>Hebei</w:t>
            </w:r>
            <w:r w:rsidRPr="00E40E4B">
              <w:rPr>
                <w:rStyle w:val="apple-converted-space"/>
                <w:rFonts w:cs="Arial"/>
                <w:color w:val="000000"/>
                <w:shd w:val="clear" w:color="auto" w:fill="FFFFFF"/>
              </w:rPr>
              <w:t xml:space="preserve">, </w:t>
            </w:r>
            <w:r w:rsidRPr="00E40E4B">
              <w:rPr>
                <w:color w:val="000000"/>
                <w:shd w:val="clear" w:color="auto" w:fill="FFFFFF"/>
              </w:rPr>
              <w:t>China</w:t>
            </w:r>
          </w:p>
        </w:tc>
        <w:tc>
          <w:tcPr>
            <w:tcW w:w="1507" w:type="dxa"/>
            <w:tcBorders>
              <w:top w:val="single" w:sz="4" w:space="0" w:color="FFFFFF" w:themeColor="background1"/>
            </w:tcBorders>
          </w:tcPr>
          <w:p w:rsidR="00E40E4B" w:rsidRPr="00E40E4B" w:rsidRDefault="00E40E4B" w:rsidP="00B45219">
            <w:pPr>
              <w:pStyle w:val="IRPsanstext"/>
              <w:spacing w:line="276" w:lineRule="auto"/>
            </w:pPr>
            <w:r w:rsidRPr="00E40E4B">
              <w:t>Renewable generation shifting</w:t>
            </w:r>
          </w:p>
        </w:tc>
      </w:tr>
      <w:tr w:rsidR="00E40E4B" w:rsidRPr="00E40E4B">
        <w:trPr>
          <w:trHeight w:val="495"/>
          <w:jc w:val="center"/>
        </w:trPr>
        <w:tc>
          <w:tcPr>
            <w:tcW w:w="2498" w:type="dxa"/>
            <w:noWrap/>
            <w:vAlign w:val="center"/>
          </w:tcPr>
          <w:p w:rsidR="00E40E4B" w:rsidRPr="00E40E4B" w:rsidRDefault="00E40E4B" w:rsidP="00B45219">
            <w:pPr>
              <w:pStyle w:val="IRPsanstext"/>
              <w:spacing w:line="276" w:lineRule="auto"/>
            </w:pPr>
            <w:r w:rsidRPr="00E40E4B">
              <w:t>Southern California Edison / Tehachapi Wind Energy Storage Project</w:t>
            </w:r>
          </w:p>
        </w:tc>
        <w:tc>
          <w:tcPr>
            <w:tcW w:w="1710" w:type="dxa"/>
            <w:noWrap/>
            <w:vAlign w:val="center"/>
          </w:tcPr>
          <w:p w:rsidR="00E40E4B" w:rsidRPr="00E40E4B" w:rsidRDefault="00E40E4B" w:rsidP="00B45219">
            <w:pPr>
              <w:pStyle w:val="IRPsanstext"/>
              <w:spacing w:line="276" w:lineRule="auto"/>
            </w:pPr>
            <w:r w:rsidRPr="00E40E4B">
              <w:t>8 MW / 32 MWh (4 hour)</w:t>
            </w:r>
          </w:p>
        </w:tc>
        <w:tc>
          <w:tcPr>
            <w:tcW w:w="1440" w:type="dxa"/>
            <w:noWrap/>
            <w:vAlign w:val="center"/>
          </w:tcPr>
          <w:p w:rsidR="00E40E4B" w:rsidRPr="00E40E4B" w:rsidRDefault="00E40E4B" w:rsidP="00B45219">
            <w:pPr>
              <w:pStyle w:val="IRPsanstext"/>
              <w:spacing w:line="276" w:lineRule="auto"/>
            </w:pPr>
            <w:r w:rsidRPr="00E40E4B">
              <w:t>Lithium-ion</w:t>
            </w:r>
          </w:p>
        </w:tc>
        <w:tc>
          <w:tcPr>
            <w:tcW w:w="1440" w:type="dxa"/>
            <w:noWrap/>
            <w:vAlign w:val="center"/>
          </w:tcPr>
          <w:p w:rsidR="00E40E4B" w:rsidRPr="00E40E4B" w:rsidRDefault="00E40E4B" w:rsidP="00B45219">
            <w:pPr>
              <w:pStyle w:val="IRPsanstext"/>
              <w:spacing w:line="276" w:lineRule="auto"/>
            </w:pPr>
            <w:r w:rsidRPr="00E40E4B">
              <w:rPr>
                <w:color w:val="000000"/>
                <w:shd w:val="clear" w:color="auto" w:fill="FFFFFF"/>
              </w:rPr>
              <w:t>Tehachapi, CA</w:t>
            </w:r>
          </w:p>
        </w:tc>
        <w:tc>
          <w:tcPr>
            <w:tcW w:w="1507" w:type="dxa"/>
          </w:tcPr>
          <w:p w:rsidR="00E40E4B" w:rsidRPr="00E40E4B" w:rsidRDefault="00E40E4B" w:rsidP="00B45219">
            <w:pPr>
              <w:pStyle w:val="IRPsanstext"/>
              <w:spacing w:line="276" w:lineRule="auto"/>
            </w:pPr>
            <w:r w:rsidRPr="00E40E4B">
              <w:t>Renewable generation shifting</w:t>
            </w:r>
          </w:p>
        </w:tc>
      </w:tr>
      <w:tr w:rsidR="00E40E4B" w:rsidRPr="00E40E4B">
        <w:trPr>
          <w:trHeight w:val="496"/>
          <w:jc w:val="center"/>
        </w:trPr>
        <w:tc>
          <w:tcPr>
            <w:tcW w:w="2498" w:type="dxa"/>
            <w:noWrap/>
            <w:vAlign w:val="center"/>
          </w:tcPr>
          <w:p w:rsidR="00E40E4B" w:rsidRPr="00E40E4B" w:rsidRDefault="00E40E4B" w:rsidP="00B45219">
            <w:pPr>
              <w:pStyle w:val="IRPsanstext"/>
              <w:spacing w:line="276" w:lineRule="auto"/>
            </w:pPr>
            <w:r w:rsidRPr="00E40E4B">
              <w:rPr>
                <w:color w:val="000000"/>
                <w:shd w:val="clear" w:color="auto" w:fill="FFFFFF"/>
              </w:rPr>
              <w:t>State Grid Corporation of China</w:t>
            </w:r>
            <w:r w:rsidRPr="00E40E4B">
              <w:t xml:space="preserve"> / Zhangbei National Wind and Solar Energy Storage and Transmission Project</w:t>
            </w:r>
          </w:p>
        </w:tc>
        <w:tc>
          <w:tcPr>
            <w:tcW w:w="1710" w:type="dxa"/>
            <w:noWrap/>
            <w:vAlign w:val="center"/>
          </w:tcPr>
          <w:p w:rsidR="00E40E4B" w:rsidRPr="00E40E4B" w:rsidRDefault="00E40E4B" w:rsidP="00B45219">
            <w:pPr>
              <w:pStyle w:val="IRPsanstext"/>
              <w:spacing w:line="276" w:lineRule="auto"/>
            </w:pPr>
            <w:r w:rsidRPr="00E40E4B">
              <w:t>4 MW / 16 MWh (4 hour)</w:t>
            </w:r>
          </w:p>
        </w:tc>
        <w:tc>
          <w:tcPr>
            <w:tcW w:w="1440" w:type="dxa"/>
            <w:noWrap/>
            <w:vAlign w:val="center"/>
          </w:tcPr>
          <w:p w:rsidR="00E40E4B" w:rsidRPr="00E40E4B" w:rsidRDefault="001A1722" w:rsidP="00B45219">
            <w:pPr>
              <w:pStyle w:val="IRPsanstext"/>
              <w:spacing w:line="276" w:lineRule="auto"/>
            </w:pPr>
            <w:r>
              <w:t>Lithium-i</w:t>
            </w:r>
            <w:r w:rsidR="00E40E4B" w:rsidRPr="00E40E4B">
              <w:t>on-phosphate</w:t>
            </w:r>
          </w:p>
        </w:tc>
        <w:tc>
          <w:tcPr>
            <w:tcW w:w="1440" w:type="dxa"/>
            <w:noWrap/>
            <w:vAlign w:val="center"/>
          </w:tcPr>
          <w:p w:rsidR="00E40E4B" w:rsidRPr="00E40E4B" w:rsidRDefault="00E40E4B" w:rsidP="00B45219">
            <w:pPr>
              <w:pStyle w:val="IRPsanstext"/>
              <w:spacing w:line="276" w:lineRule="auto"/>
            </w:pPr>
            <w:r w:rsidRPr="00E40E4B">
              <w:rPr>
                <w:color w:val="000000"/>
                <w:shd w:val="clear" w:color="auto" w:fill="FFFFFF"/>
              </w:rPr>
              <w:t>Hebei</w:t>
            </w:r>
            <w:r w:rsidRPr="00E40E4B">
              <w:rPr>
                <w:rStyle w:val="apple-converted-space"/>
                <w:rFonts w:cs="Arial"/>
                <w:color w:val="000000"/>
                <w:shd w:val="clear" w:color="auto" w:fill="FFFFFF"/>
              </w:rPr>
              <w:t xml:space="preserve">, </w:t>
            </w:r>
            <w:r w:rsidRPr="00E40E4B">
              <w:rPr>
                <w:color w:val="000000"/>
                <w:shd w:val="clear" w:color="auto" w:fill="FFFFFF"/>
              </w:rPr>
              <w:t>China</w:t>
            </w:r>
          </w:p>
        </w:tc>
        <w:tc>
          <w:tcPr>
            <w:tcW w:w="1507" w:type="dxa"/>
          </w:tcPr>
          <w:p w:rsidR="00E40E4B" w:rsidRPr="00E40E4B" w:rsidRDefault="00E40E4B" w:rsidP="00B45219">
            <w:pPr>
              <w:pStyle w:val="IRPsanstext"/>
              <w:spacing w:line="276" w:lineRule="auto"/>
            </w:pPr>
            <w:r w:rsidRPr="00E40E4B">
              <w:t>Renewable generation shifting</w:t>
            </w:r>
          </w:p>
        </w:tc>
      </w:tr>
      <w:tr w:rsidR="008935D4" w:rsidRPr="00E40E4B">
        <w:trPr>
          <w:trHeight w:val="495"/>
          <w:jc w:val="center"/>
        </w:trPr>
        <w:tc>
          <w:tcPr>
            <w:tcW w:w="2498" w:type="dxa"/>
            <w:noWrap/>
            <w:vAlign w:val="center"/>
          </w:tcPr>
          <w:p w:rsidR="008935D4" w:rsidRDefault="008935D4" w:rsidP="00B45219">
            <w:pPr>
              <w:pStyle w:val="IRPsanstext"/>
              <w:spacing w:line="276" w:lineRule="auto"/>
              <w:rPr>
                <w:color w:val="000000"/>
                <w:shd w:val="clear" w:color="auto" w:fill="FFFFFF"/>
              </w:rPr>
            </w:pPr>
            <w:r>
              <w:rPr>
                <w:color w:val="000000"/>
                <w:shd w:val="clear" w:color="auto" w:fill="FFFFFF"/>
              </w:rPr>
              <w:t>Hawaii Renewable Partners / Hawi Wind Farm BESS</w:t>
            </w:r>
          </w:p>
        </w:tc>
        <w:tc>
          <w:tcPr>
            <w:tcW w:w="1710" w:type="dxa"/>
            <w:noWrap/>
            <w:vAlign w:val="center"/>
          </w:tcPr>
          <w:p w:rsidR="008935D4" w:rsidRDefault="005E15B9" w:rsidP="00B45219">
            <w:pPr>
              <w:pStyle w:val="IRPsanstext"/>
              <w:spacing w:line="276" w:lineRule="auto"/>
            </w:pPr>
            <w:r>
              <w:t>1 MW / 15 MWh (15 hour</w:t>
            </w:r>
            <w:r w:rsidR="008935D4">
              <w:t>)</w:t>
            </w:r>
          </w:p>
        </w:tc>
        <w:tc>
          <w:tcPr>
            <w:tcW w:w="1440" w:type="dxa"/>
            <w:noWrap/>
            <w:vAlign w:val="center"/>
          </w:tcPr>
          <w:p w:rsidR="008935D4" w:rsidRDefault="008935D4" w:rsidP="00B45219">
            <w:pPr>
              <w:pStyle w:val="IRPsanstext"/>
              <w:spacing w:line="276" w:lineRule="auto"/>
            </w:pPr>
            <w:r>
              <w:t>Lithium-ion</w:t>
            </w:r>
          </w:p>
        </w:tc>
        <w:tc>
          <w:tcPr>
            <w:tcW w:w="1440" w:type="dxa"/>
            <w:noWrap/>
            <w:vAlign w:val="center"/>
          </w:tcPr>
          <w:p w:rsidR="008935D4" w:rsidRDefault="0002366B" w:rsidP="00B45219">
            <w:pPr>
              <w:pStyle w:val="IRPsanstext"/>
              <w:spacing w:line="276" w:lineRule="auto"/>
              <w:rPr>
                <w:color w:val="000000"/>
                <w:shd w:val="clear" w:color="auto" w:fill="FFFFFF"/>
              </w:rPr>
            </w:pPr>
            <w:r>
              <w:rPr>
                <w:color w:val="000000"/>
                <w:shd w:val="clear" w:color="auto" w:fill="FFFFFF"/>
              </w:rPr>
              <w:t>Hawaii</w:t>
            </w:r>
          </w:p>
        </w:tc>
        <w:tc>
          <w:tcPr>
            <w:tcW w:w="1507" w:type="dxa"/>
          </w:tcPr>
          <w:p w:rsidR="008935D4" w:rsidRDefault="009D3F80" w:rsidP="00B45219">
            <w:pPr>
              <w:pStyle w:val="IRPsanstext"/>
              <w:spacing w:line="276" w:lineRule="auto"/>
            </w:pPr>
            <w:r>
              <w:t>Renewables capacity f</w:t>
            </w:r>
            <w:r w:rsidR="0002366B">
              <w:t>irming</w:t>
            </w:r>
          </w:p>
        </w:tc>
      </w:tr>
      <w:tr w:rsidR="009D3F80" w:rsidRPr="00E40E4B">
        <w:trPr>
          <w:trHeight w:val="495"/>
          <w:jc w:val="center"/>
        </w:trPr>
        <w:tc>
          <w:tcPr>
            <w:tcW w:w="2498" w:type="dxa"/>
            <w:noWrap/>
            <w:vAlign w:val="center"/>
          </w:tcPr>
          <w:p w:rsidR="009D3F80" w:rsidRPr="00E40E4B" w:rsidDel="008935D4" w:rsidRDefault="009D3F80" w:rsidP="00B45219">
            <w:pPr>
              <w:pStyle w:val="IRPsanstext"/>
              <w:spacing w:line="276" w:lineRule="auto"/>
              <w:rPr>
                <w:color w:val="000000"/>
                <w:shd w:val="clear" w:color="auto" w:fill="FFFFFF"/>
              </w:rPr>
            </w:pPr>
            <w:r>
              <w:rPr>
                <w:color w:val="000000"/>
                <w:shd w:val="clear" w:color="auto" w:fill="FFFFFF"/>
              </w:rPr>
              <w:t>Invenergy / Grand Ridge Energy Storage</w:t>
            </w:r>
          </w:p>
        </w:tc>
        <w:tc>
          <w:tcPr>
            <w:tcW w:w="1710" w:type="dxa"/>
            <w:noWrap/>
            <w:vAlign w:val="center"/>
          </w:tcPr>
          <w:p w:rsidR="009D3F80" w:rsidRDefault="009D3F80" w:rsidP="00B45219">
            <w:pPr>
              <w:pStyle w:val="IRPsanstext"/>
              <w:spacing w:line="276" w:lineRule="auto"/>
            </w:pPr>
            <w:r>
              <w:t>31.5 MW / 12.08 MWh</w:t>
            </w:r>
          </w:p>
          <w:p w:rsidR="009D3F80" w:rsidRPr="00E40E4B" w:rsidDel="008935D4" w:rsidRDefault="009D3F80" w:rsidP="00B45219">
            <w:pPr>
              <w:pStyle w:val="IRPsanstext"/>
              <w:spacing w:line="276" w:lineRule="auto"/>
            </w:pPr>
            <w:r>
              <w:t>(23 minute)</w:t>
            </w:r>
          </w:p>
        </w:tc>
        <w:tc>
          <w:tcPr>
            <w:tcW w:w="1440" w:type="dxa"/>
            <w:noWrap/>
            <w:vAlign w:val="center"/>
          </w:tcPr>
          <w:p w:rsidR="009D3F80" w:rsidRPr="00E40E4B" w:rsidDel="008935D4" w:rsidRDefault="009D3F80" w:rsidP="00B45219">
            <w:pPr>
              <w:pStyle w:val="IRPsanstext"/>
              <w:spacing w:line="276" w:lineRule="auto"/>
            </w:pPr>
            <w:r>
              <w:t>Lithium-ion-phosphate</w:t>
            </w:r>
          </w:p>
        </w:tc>
        <w:tc>
          <w:tcPr>
            <w:tcW w:w="1440" w:type="dxa"/>
            <w:noWrap/>
            <w:vAlign w:val="center"/>
          </w:tcPr>
          <w:p w:rsidR="009D3F80" w:rsidRPr="00E40E4B" w:rsidDel="008935D4" w:rsidRDefault="009D3F80" w:rsidP="00B45219">
            <w:pPr>
              <w:pStyle w:val="IRPsanstext"/>
              <w:spacing w:line="276" w:lineRule="auto"/>
              <w:rPr>
                <w:color w:val="000000"/>
                <w:shd w:val="clear" w:color="auto" w:fill="FFFFFF"/>
              </w:rPr>
            </w:pPr>
            <w:r>
              <w:rPr>
                <w:color w:val="000000"/>
                <w:shd w:val="clear" w:color="auto" w:fill="FFFFFF"/>
              </w:rPr>
              <w:t>Marseilles, IL</w:t>
            </w:r>
          </w:p>
        </w:tc>
        <w:tc>
          <w:tcPr>
            <w:tcW w:w="1507" w:type="dxa"/>
          </w:tcPr>
          <w:p w:rsidR="009D3F80" w:rsidRPr="00E40E4B" w:rsidDel="008935D4" w:rsidRDefault="009D3F80" w:rsidP="00B45219">
            <w:pPr>
              <w:pStyle w:val="IRPsanstext"/>
              <w:spacing w:line="276" w:lineRule="auto"/>
            </w:pPr>
            <w:r>
              <w:t>Frequency regulation</w:t>
            </w:r>
          </w:p>
        </w:tc>
      </w:tr>
    </w:tbl>
    <w:p w:rsidR="00E40E4B" w:rsidRDefault="00E40E4B" w:rsidP="00E40E4B">
      <w:pPr>
        <w:pStyle w:val="IRPsanstext"/>
      </w:pPr>
    </w:p>
    <w:p w:rsidR="00E40E4B" w:rsidRDefault="00E40E4B" w:rsidP="00E40E4B">
      <w:pPr>
        <w:pStyle w:val="IRPsanstext"/>
      </w:pPr>
      <w:r w:rsidRPr="00CA3E66">
        <w:t xml:space="preserve">There are more than </w:t>
      </w:r>
      <w:r w:rsidR="002F0D14" w:rsidRPr="00CA3E66">
        <w:t>4</w:t>
      </w:r>
      <w:r w:rsidR="002F0D14">
        <w:t>5</w:t>
      </w:r>
      <w:r w:rsidR="002F0D14" w:rsidRPr="00CA3E66">
        <w:t xml:space="preserve"> </w:t>
      </w:r>
      <w:r w:rsidRPr="00CA3E66">
        <w:t xml:space="preserve">lithium-ion projects with anticipated power ratings greater than 1 MW either planned or under construction, totaling </w:t>
      </w:r>
      <w:r w:rsidR="002F0D14">
        <w:t>355</w:t>
      </w:r>
      <w:r w:rsidR="002F0D14" w:rsidRPr="00CA3E66">
        <w:t xml:space="preserve"> </w:t>
      </w:r>
      <w:r w:rsidRPr="00CA3E66">
        <w:t>MW.</w:t>
      </w:r>
      <w:r w:rsidRPr="00CA3E66">
        <w:rPr>
          <w:rStyle w:val="FootnoteReference"/>
          <w:rFonts w:cs="Arial"/>
        </w:rPr>
        <w:footnoteReference w:id="24"/>
      </w:r>
      <w:r w:rsidRPr="00CA3E66">
        <w:t xml:space="preserve"> </w:t>
      </w:r>
    </w:p>
    <w:p w:rsidR="00FD5630" w:rsidRDefault="00FD5630" w:rsidP="00E40E4B">
      <w:pPr>
        <w:pStyle w:val="IRPsanstext"/>
        <w:rPr>
          <w:rFonts w:cs="Arial"/>
          <w:b/>
          <w:color w:val="156570"/>
          <w:sz w:val="28"/>
          <w:szCs w:val="28"/>
        </w:rPr>
      </w:pPr>
    </w:p>
    <w:p w:rsidR="00DF5C90" w:rsidRDefault="00DF5C90">
      <w:pPr>
        <w:rPr>
          <w:rFonts w:ascii="Arial" w:hAnsi="Arial" w:cs="Arial"/>
          <w:b/>
          <w:color w:val="156570"/>
          <w:sz w:val="28"/>
          <w:szCs w:val="28"/>
        </w:rPr>
      </w:pPr>
      <w:r>
        <w:rPr>
          <w:rFonts w:cs="Arial"/>
          <w:b/>
          <w:color w:val="156570"/>
          <w:sz w:val="28"/>
          <w:szCs w:val="28"/>
        </w:rPr>
        <w:br w:type="page"/>
      </w:r>
    </w:p>
    <w:p w:rsidR="00E40E4B" w:rsidRPr="00E40E4B" w:rsidRDefault="00A960CB" w:rsidP="00E40E4B">
      <w:pPr>
        <w:pStyle w:val="IRPsanstext"/>
        <w:rPr>
          <w:rFonts w:cs="Arial"/>
        </w:rPr>
      </w:pPr>
      <w:r>
        <w:rPr>
          <w:rFonts w:cs="Arial"/>
          <w:b/>
          <w:color w:val="156570"/>
          <w:sz w:val="28"/>
          <w:szCs w:val="28"/>
        </w:rPr>
        <w:lastRenderedPageBreak/>
        <w:br/>
      </w:r>
      <w:r w:rsidR="00E40E4B" w:rsidRPr="00893878">
        <w:rPr>
          <w:rFonts w:cs="Arial"/>
          <w:b/>
          <w:color w:val="156570"/>
          <w:sz w:val="28"/>
          <w:szCs w:val="28"/>
        </w:rPr>
        <w:t>Sodium Sulfur.</w:t>
      </w:r>
      <w:r w:rsidR="00E40E4B" w:rsidRPr="00E40E4B">
        <w:rPr>
          <w:rFonts w:cs="Arial"/>
        </w:rPr>
        <w:t xml:space="preserve"> Sodium sulfur (NaS) battery technology was invented by Ford Motors in the 1960s, but research, development and deployment by Japanese companies like NGK Insulators and Tokyo Electric Power Company over the past 25 years have established NaS as a commercially viable technology for fixed, grid-connected applications. Commercial</w:t>
      </w:r>
      <w:r w:rsidR="00233794">
        <w:rPr>
          <w:rFonts w:cs="Arial"/>
        </w:rPr>
        <w:t>ly deployed systems in the 400 k</w:t>
      </w:r>
      <w:r w:rsidR="00E40E4B" w:rsidRPr="00E40E4B">
        <w:rPr>
          <w:rFonts w:cs="Arial"/>
        </w:rPr>
        <w:t>W to 34 MW power rating range (and system duration of roughly 6 hours) provide numerous high-energy grid support applications.</w:t>
      </w:r>
      <w:r w:rsidR="00E40E4B" w:rsidRPr="00E40E4B">
        <w:rPr>
          <w:rStyle w:val="FootnoteReference"/>
          <w:rFonts w:cs="Arial"/>
        </w:rPr>
        <w:footnoteReference w:id="25"/>
      </w:r>
    </w:p>
    <w:p w:rsidR="00E40E4B" w:rsidRPr="00E40E4B" w:rsidRDefault="00E40E4B" w:rsidP="00E40E4B">
      <w:pPr>
        <w:pStyle w:val="IRPsanstext"/>
        <w:rPr>
          <w:rFonts w:cs="Arial"/>
          <w:i/>
        </w:rPr>
      </w:pPr>
    </w:p>
    <w:p w:rsidR="00E40E4B" w:rsidRPr="00893878" w:rsidRDefault="00E40E4B" w:rsidP="00E40E4B">
      <w:pPr>
        <w:pStyle w:val="IRPsanstext"/>
        <w:rPr>
          <w:rFonts w:cs="Arial"/>
          <w:b/>
        </w:rPr>
      </w:pPr>
      <w:r w:rsidRPr="001A1722">
        <w:rPr>
          <w:rFonts w:cs="Arial"/>
          <w:b/>
          <w:i/>
        </w:rPr>
        <w:t>Technical Details</w:t>
      </w:r>
      <w:r w:rsidR="00A21A60" w:rsidRPr="001A1722">
        <w:rPr>
          <w:rFonts w:cs="Arial"/>
          <w:b/>
          <w:i/>
        </w:rPr>
        <w:t xml:space="preserve">: </w:t>
      </w:r>
      <w:r w:rsidRPr="00E40E4B">
        <w:rPr>
          <w:rFonts w:cs="Arial"/>
        </w:rPr>
        <w:t>Sodium sulfur batteries use a positive electrode of molten sulfur, a negative electrode of molten sodium and a solid beta alumina ceramic electrolyte that separates the electrodes. Batteries require charge/discharge operating temperatures between 300-350°C, so each unit has a built in heating element. High operating temperatures and hazardous materials require the systems to include safety features like fused electrical isolation, hermetically-sealed cells, sand surrounding cells to mitigate fire and a battery management system that monitors cell block voltages and temperatures.</w:t>
      </w:r>
      <w:r w:rsidR="003E65A6">
        <w:rPr>
          <w:rFonts w:cs="Arial"/>
        </w:rPr>
        <w:t xml:space="preserve"> </w:t>
      </w:r>
      <w:r w:rsidRPr="00E40E4B">
        <w:rPr>
          <w:rFonts w:cs="Arial"/>
        </w:rPr>
        <w:t>Ty</w:t>
      </w:r>
      <w:r w:rsidR="00233794">
        <w:rPr>
          <w:rFonts w:cs="Arial"/>
        </w:rPr>
        <w:t>pical units are composed of 50 k</w:t>
      </w:r>
      <w:r w:rsidRPr="00E40E4B">
        <w:rPr>
          <w:rFonts w:cs="Arial"/>
        </w:rPr>
        <w:t>W modules that are available in multiples of 1 MW/~6 MWh (approximately 6 hour duration). Units are combined in parallel to create large-scale systems, typically between 2 and 10 MW.</w:t>
      </w:r>
      <w:r w:rsidRPr="00E40E4B">
        <w:rPr>
          <w:rStyle w:val="FootnoteReference"/>
          <w:rFonts w:cs="Arial"/>
        </w:rPr>
        <w:footnoteReference w:id="26"/>
      </w:r>
    </w:p>
    <w:p w:rsidR="00E40E4B" w:rsidRPr="00E40E4B" w:rsidRDefault="00E40E4B" w:rsidP="00E40E4B">
      <w:pPr>
        <w:pStyle w:val="IRPsanstext"/>
        <w:rPr>
          <w:rFonts w:cs="Arial"/>
        </w:rPr>
      </w:pPr>
    </w:p>
    <w:p w:rsidR="00E40E4B" w:rsidRPr="00E40E4B" w:rsidRDefault="00E40E4B" w:rsidP="00E40E4B">
      <w:pPr>
        <w:pStyle w:val="IRPsanstext"/>
        <w:rPr>
          <w:rFonts w:cs="Arial"/>
        </w:rPr>
      </w:pPr>
      <w:r w:rsidRPr="00E40E4B">
        <w:rPr>
          <w:rFonts w:cs="Arial"/>
        </w:rPr>
        <w:t>The advantages of sodium sulfur are its high power and long duration, extensive deployment history and commercial maturity. Downsides include risk of fire, round-trip efficiencies of 70 percent to 90 percent, and potentially high self-discharge/parasitic load values of 0.05 percent to 20 percent due to the internal heating requirements.</w:t>
      </w:r>
      <w:r w:rsidRPr="00E40E4B">
        <w:rPr>
          <w:rStyle w:val="FootnoteReference"/>
          <w:rFonts w:cs="Arial"/>
        </w:rPr>
        <w:footnoteReference w:id="27"/>
      </w:r>
      <w:r w:rsidRPr="00E40E4B">
        <w:rPr>
          <w:rFonts w:cs="Arial"/>
        </w:rPr>
        <w:t xml:space="preserve"> NaS is much less efficient for infrequent </w:t>
      </w:r>
      <w:r w:rsidR="00AC723E" w:rsidRPr="00E40E4B">
        <w:rPr>
          <w:rFonts w:cs="Arial"/>
        </w:rPr>
        <w:t>cycling</w:t>
      </w:r>
      <w:r w:rsidRPr="00E40E4B">
        <w:rPr>
          <w:rFonts w:cs="Arial"/>
        </w:rPr>
        <w:t xml:space="preserve"> applications because the internal heating element continually consumes energy.</w:t>
      </w:r>
    </w:p>
    <w:p w:rsidR="00E40E4B" w:rsidRPr="00E40E4B" w:rsidRDefault="00E40E4B" w:rsidP="00E40E4B">
      <w:pPr>
        <w:pStyle w:val="IRPsanstext"/>
        <w:rPr>
          <w:rFonts w:cs="Arial"/>
        </w:rPr>
      </w:pPr>
    </w:p>
    <w:p w:rsidR="00E40E4B" w:rsidRPr="00A21A60" w:rsidRDefault="00E40E4B" w:rsidP="00E40E4B">
      <w:pPr>
        <w:pStyle w:val="IRPsanstext"/>
        <w:rPr>
          <w:rFonts w:cs="Arial"/>
          <w:b/>
        </w:rPr>
      </w:pPr>
      <w:r w:rsidRPr="001A1722">
        <w:rPr>
          <w:rFonts w:cs="Arial"/>
          <w:b/>
          <w:i/>
        </w:rPr>
        <w:t>Deployments</w:t>
      </w:r>
      <w:r w:rsidR="00A21A60" w:rsidRPr="001A1722">
        <w:rPr>
          <w:rFonts w:cs="Arial"/>
          <w:b/>
          <w:i/>
        </w:rPr>
        <w:t>:</w:t>
      </w:r>
      <w:r w:rsidR="00A21A60">
        <w:rPr>
          <w:rFonts w:cs="Arial"/>
          <w:b/>
        </w:rPr>
        <w:t xml:space="preserve"> </w:t>
      </w:r>
      <w:r w:rsidRPr="00E40E4B">
        <w:rPr>
          <w:rFonts w:cs="Arial"/>
        </w:rPr>
        <w:t xml:space="preserve">To date about </w:t>
      </w:r>
      <w:r w:rsidR="0006240E">
        <w:rPr>
          <w:rFonts w:cs="Arial"/>
        </w:rPr>
        <w:t>98.1</w:t>
      </w:r>
      <w:r w:rsidR="0006240E" w:rsidRPr="00E40E4B">
        <w:rPr>
          <w:rFonts w:cs="Arial"/>
        </w:rPr>
        <w:t xml:space="preserve"> </w:t>
      </w:r>
      <w:r w:rsidRPr="00E40E4B">
        <w:rPr>
          <w:rFonts w:cs="Arial"/>
        </w:rPr>
        <w:t>MW/</w:t>
      </w:r>
      <w:r w:rsidR="0006240E">
        <w:rPr>
          <w:rFonts w:cs="Arial"/>
        </w:rPr>
        <w:t xml:space="preserve">640 </w:t>
      </w:r>
      <w:r w:rsidRPr="00E40E4B">
        <w:rPr>
          <w:rFonts w:cs="Arial"/>
        </w:rPr>
        <w:t xml:space="preserve">MWh of sodium sulfur technology is deployed at approximately </w:t>
      </w:r>
      <w:r w:rsidR="0006240E">
        <w:rPr>
          <w:rFonts w:cs="Arial"/>
        </w:rPr>
        <w:t>26</w:t>
      </w:r>
      <w:r w:rsidR="0006240E" w:rsidRPr="00E40E4B">
        <w:rPr>
          <w:rFonts w:cs="Arial"/>
        </w:rPr>
        <w:t xml:space="preserve"> </w:t>
      </w:r>
      <w:r w:rsidRPr="00E40E4B">
        <w:rPr>
          <w:rFonts w:cs="Arial"/>
        </w:rPr>
        <w:t>sites globally, with sy</w:t>
      </w:r>
      <w:r w:rsidR="00233794">
        <w:rPr>
          <w:rFonts w:cs="Arial"/>
        </w:rPr>
        <w:t>stems ranging in size from 400 k</w:t>
      </w:r>
      <w:r w:rsidRPr="00E40E4B">
        <w:rPr>
          <w:rFonts w:cs="Arial"/>
        </w:rPr>
        <w:t xml:space="preserve">W to 34 MW. Most installations are in Japan, but </w:t>
      </w:r>
      <w:r w:rsidR="00335153" w:rsidRPr="00E40E4B">
        <w:rPr>
          <w:rFonts w:cs="Arial"/>
        </w:rPr>
        <w:t>1</w:t>
      </w:r>
      <w:r w:rsidR="00335153">
        <w:rPr>
          <w:rFonts w:cs="Arial"/>
        </w:rPr>
        <w:t>0</w:t>
      </w:r>
      <w:r w:rsidR="00335153" w:rsidRPr="00E40E4B">
        <w:rPr>
          <w:rFonts w:cs="Arial"/>
        </w:rPr>
        <w:t xml:space="preserve"> </w:t>
      </w:r>
      <w:r w:rsidRPr="00E40E4B">
        <w:rPr>
          <w:rFonts w:cs="Arial"/>
        </w:rPr>
        <w:t>systems have been commissioned in the U.S. in the past 10 years. Peak shifting is the most frequent application, but specified services include renewables capacity firming, transmission and distribution upgrade deferral, frequency regulation and electric supply reserve capacity.</w:t>
      </w:r>
    </w:p>
    <w:p w:rsidR="00893878" w:rsidRDefault="00893878">
      <w:pPr>
        <w:rPr>
          <w:rFonts w:ascii="Arial" w:hAnsi="Arial" w:cs="Arial"/>
        </w:rPr>
      </w:pPr>
      <w:bookmarkStart w:id="9" w:name="_Toc402942664"/>
    </w:p>
    <w:p w:rsidR="00A21A60" w:rsidRDefault="00A21A60">
      <w:pPr>
        <w:rPr>
          <w:rFonts w:ascii="Arial" w:hAnsi="Arial" w:cs="Arial"/>
        </w:rPr>
      </w:pPr>
      <w:r>
        <w:rPr>
          <w:rFonts w:cs="Arial"/>
        </w:rPr>
        <w:br w:type="page"/>
      </w:r>
    </w:p>
    <w:p w:rsidR="00893878" w:rsidRDefault="00893878" w:rsidP="00E40E4B">
      <w:pPr>
        <w:pStyle w:val="IRPsanstext"/>
        <w:rPr>
          <w:rFonts w:cs="Arial"/>
        </w:rPr>
      </w:pPr>
    </w:p>
    <w:p w:rsidR="00893878" w:rsidRPr="00E40E4B" w:rsidRDefault="00E40E4B" w:rsidP="00FD5630">
      <w:pPr>
        <w:pStyle w:val="IRPFigureSub"/>
        <w:spacing w:after="120"/>
      </w:pPr>
      <w:r w:rsidRPr="00E40E4B">
        <w:t>Figure L-</w:t>
      </w:r>
      <w:r w:rsidR="00004846">
        <w:t>9</w:t>
      </w:r>
      <w:r w:rsidR="00A21A60">
        <w:t xml:space="preserve">: </w:t>
      </w:r>
      <w:r w:rsidRPr="00E40E4B">
        <w:t>Five Largest Operational Sodium Sulfur Energy Storage Projects</w:t>
      </w:r>
      <w:bookmarkEnd w:id="9"/>
      <w:r w:rsidR="0068203F">
        <w:rPr>
          <w:rStyle w:val="FootnoteReference"/>
        </w:rPr>
        <w:footnoteReference w:id="28"/>
      </w:r>
    </w:p>
    <w:tbl>
      <w:tblPr>
        <w:tblStyle w:val="TableGrid"/>
        <w:tblW w:w="8550" w:type="dxa"/>
        <w:jc w:val="center"/>
        <w:tblInd w:w="276" w:type="dxa"/>
        <w:tblLayout w:type="fixed"/>
        <w:tblLook w:val="04A0" w:firstRow="1" w:lastRow="0" w:firstColumn="1" w:lastColumn="0" w:noHBand="0" w:noVBand="1"/>
      </w:tblPr>
      <w:tblGrid>
        <w:gridCol w:w="2502"/>
        <w:gridCol w:w="1773"/>
        <w:gridCol w:w="1440"/>
        <w:gridCol w:w="1350"/>
        <w:gridCol w:w="1485"/>
      </w:tblGrid>
      <w:tr w:rsidR="00E40E4B" w:rsidRPr="00E40E4B">
        <w:trPr>
          <w:trHeight w:val="404"/>
          <w:jc w:val="center"/>
        </w:trPr>
        <w:tc>
          <w:tcPr>
            <w:tcW w:w="8550" w:type="dxa"/>
            <w:gridSpan w:val="5"/>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rsidR="00E40E4B" w:rsidRPr="00E40E4B" w:rsidRDefault="00E40E4B" w:rsidP="007F7A43">
            <w:pPr>
              <w:pStyle w:val="IRPsanstext"/>
              <w:jc w:val="center"/>
              <w:rPr>
                <w:rFonts w:cs="Arial"/>
                <w:b/>
                <w:color w:val="FFFFFF" w:themeColor="background1"/>
              </w:rPr>
            </w:pPr>
            <w:r w:rsidRPr="00E40E4B">
              <w:rPr>
                <w:rFonts w:cs="Arial"/>
                <w:b/>
                <w:color w:val="FFFFFF" w:themeColor="background1"/>
              </w:rPr>
              <w:t>Five Largest Operational Sodium Sulfur Energy Storage Projects</w:t>
            </w:r>
          </w:p>
        </w:tc>
      </w:tr>
      <w:tr w:rsidR="00893878" w:rsidRPr="00E40E4B">
        <w:trPr>
          <w:trHeight w:val="576"/>
          <w:jc w:val="center"/>
        </w:trPr>
        <w:tc>
          <w:tcPr>
            <w:tcW w:w="2502"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E40E4B" w:rsidRPr="00E40E4B" w:rsidRDefault="00E40E4B" w:rsidP="00E40E4B">
            <w:pPr>
              <w:pStyle w:val="IRPsanstext"/>
              <w:rPr>
                <w:rFonts w:cs="Arial"/>
                <w:b/>
                <w:color w:val="FFFFFF" w:themeColor="background1"/>
              </w:rPr>
            </w:pPr>
            <w:r w:rsidRPr="00E40E4B">
              <w:rPr>
                <w:rFonts w:cs="Arial"/>
                <w:b/>
                <w:color w:val="FFFFFF" w:themeColor="background1"/>
              </w:rPr>
              <w:t>Owner / Project</w:t>
            </w:r>
          </w:p>
        </w:tc>
        <w:tc>
          <w:tcPr>
            <w:tcW w:w="1773"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E40E4B" w:rsidRPr="00E40E4B" w:rsidRDefault="00E40E4B" w:rsidP="00E40E4B">
            <w:pPr>
              <w:pStyle w:val="IRPsanstext"/>
              <w:rPr>
                <w:rFonts w:cs="Arial"/>
                <w:b/>
                <w:color w:val="FFFFFF" w:themeColor="background1"/>
              </w:rPr>
            </w:pPr>
            <w:r w:rsidRPr="00E40E4B">
              <w:rPr>
                <w:rFonts w:cs="Arial"/>
                <w:b/>
                <w:color w:val="FFFFFF" w:themeColor="background1"/>
              </w:rPr>
              <w:t>Power / Energy (Duration)</w:t>
            </w:r>
          </w:p>
        </w:tc>
        <w:tc>
          <w:tcPr>
            <w:tcW w:w="144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E40E4B" w:rsidRPr="00E40E4B" w:rsidRDefault="00E40E4B" w:rsidP="00E40E4B">
            <w:pPr>
              <w:pStyle w:val="IRPsanstext"/>
              <w:rPr>
                <w:rFonts w:cs="Arial"/>
                <w:b/>
                <w:color w:val="FFFFFF" w:themeColor="background1"/>
              </w:rPr>
            </w:pPr>
            <w:r w:rsidRPr="00E40E4B">
              <w:rPr>
                <w:rFonts w:cs="Arial"/>
                <w:b/>
                <w:color w:val="FFFFFF" w:themeColor="background1"/>
              </w:rPr>
              <w:t>Technology</w:t>
            </w:r>
          </w:p>
        </w:tc>
        <w:tc>
          <w:tcPr>
            <w:tcW w:w="135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E40E4B" w:rsidRPr="00E40E4B" w:rsidRDefault="00E40E4B" w:rsidP="00E40E4B">
            <w:pPr>
              <w:pStyle w:val="IRPsanstext"/>
              <w:rPr>
                <w:rFonts w:cs="Arial"/>
                <w:b/>
                <w:color w:val="FFFFFF" w:themeColor="background1"/>
              </w:rPr>
            </w:pPr>
            <w:r w:rsidRPr="00E40E4B">
              <w:rPr>
                <w:rFonts w:cs="Arial"/>
                <w:b/>
                <w:color w:val="FFFFFF" w:themeColor="background1"/>
              </w:rPr>
              <w:t>Location</w:t>
            </w:r>
          </w:p>
        </w:tc>
        <w:tc>
          <w:tcPr>
            <w:tcW w:w="1485" w:type="dxa"/>
            <w:tcBorders>
              <w:top w:val="single" w:sz="4" w:space="0" w:color="auto"/>
              <w:left w:val="single" w:sz="4" w:space="0" w:color="auto"/>
              <w:bottom w:val="single" w:sz="4" w:space="0" w:color="auto"/>
              <w:right w:val="single" w:sz="4" w:space="0" w:color="auto"/>
            </w:tcBorders>
            <w:shd w:val="clear" w:color="auto" w:fill="156570"/>
          </w:tcPr>
          <w:p w:rsidR="00E40E4B" w:rsidRPr="00E40E4B" w:rsidRDefault="00E40E4B" w:rsidP="00E40E4B">
            <w:pPr>
              <w:pStyle w:val="IRPsanstext"/>
              <w:rPr>
                <w:rFonts w:cs="Arial"/>
                <w:b/>
                <w:color w:val="FFFFFF" w:themeColor="background1"/>
              </w:rPr>
            </w:pPr>
            <w:r w:rsidRPr="00E40E4B">
              <w:rPr>
                <w:rFonts w:cs="Arial"/>
                <w:b/>
                <w:color w:val="FFFFFF" w:themeColor="background1"/>
              </w:rPr>
              <w:t>Primary Function</w:t>
            </w:r>
          </w:p>
        </w:tc>
      </w:tr>
      <w:tr w:rsidR="00893878" w:rsidRPr="00E40E4B">
        <w:trPr>
          <w:trHeight w:val="495"/>
          <w:jc w:val="center"/>
        </w:trPr>
        <w:tc>
          <w:tcPr>
            <w:tcW w:w="2502" w:type="dxa"/>
            <w:tcBorders>
              <w:top w:val="single" w:sz="4" w:space="0" w:color="auto"/>
            </w:tcBorders>
            <w:noWrap/>
            <w:vAlign w:val="center"/>
          </w:tcPr>
          <w:p w:rsidR="00E40E4B" w:rsidRPr="00E40E4B" w:rsidRDefault="00E40E4B" w:rsidP="00B45219">
            <w:pPr>
              <w:pStyle w:val="IRPsanstext"/>
              <w:spacing w:line="276" w:lineRule="auto"/>
              <w:rPr>
                <w:rFonts w:cs="Arial"/>
              </w:rPr>
            </w:pPr>
            <w:r w:rsidRPr="00E40E4B">
              <w:rPr>
                <w:rFonts w:cs="Arial"/>
              </w:rPr>
              <w:t>Japan Wind Development / Rokkasho Village Wind Farm</w:t>
            </w:r>
          </w:p>
        </w:tc>
        <w:tc>
          <w:tcPr>
            <w:tcW w:w="1773" w:type="dxa"/>
            <w:tcBorders>
              <w:top w:val="single" w:sz="4" w:space="0" w:color="auto"/>
            </w:tcBorders>
            <w:noWrap/>
            <w:vAlign w:val="center"/>
          </w:tcPr>
          <w:p w:rsidR="00E40E4B" w:rsidRPr="00E40E4B" w:rsidRDefault="00E40E4B" w:rsidP="00B45219">
            <w:pPr>
              <w:pStyle w:val="IRPsanstext"/>
              <w:spacing w:line="276" w:lineRule="auto"/>
              <w:rPr>
                <w:rFonts w:cs="Arial"/>
              </w:rPr>
            </w:pPr>
            <w:r w:rsidRPr="00E40E4B">
              <w:rPr>
                <w:rFonts w:cs="Arial"/>
              </w:rPr>
              <w:t>34 MW / 238 MWh   (7 hour)</w:t>
            </w:r>
          </w:p>
        </w:tc>
        <w:tc>
          <w:tcPr>
            <w:tcW w:w="1440" w:type="dxa"/>
            <w:tcBorders>
              <w:top w:val="single" w:sz="4" w:space="0" w:color="auto"/>
            </w:tcBorders>
            <w:noWrap/>
            <w:vAlign w:val="center"/>
          </w:tcPr>
          <w:p w:rsidR="00E40E4B" w:rsidRPr="00E40E4B" w:rsidRDefault="00E40E4B" w:rsidP="00B45219">
            <w:pPr>
              <w:pStyle w:val="IRPsanstext"/>
              <w:spacing w:line="276" w:lineRule="auto"/>
              <w:rPr>
                <w:rFonts w:cs="Arial"/>
              </w:rPr>
            </w:pPr>
            <w:r w:rsidRPr="00E40E4B">
              <w:rPr>
                <w:rFonts w:cs="Arial"/>
              </w:rPr>
              <w:t>Sodium sulfur</w:t>
            </w:r>
          </w:p>
        </w:tc>
        <w:tc>
          <w:tcPr>
            <w:tcW w:w="1350" w:type="dxa"/>
            <w:tcBorders>
              <w:top w:val="single" w:sz="4" w:space="0" w:color="auto"/>
            </w:tcBorders>
            <w:noWrap/>
            <w:vAlign w:val="center"/>
          </w:tcPr>
          <w:p w:rsidR="00E40E4B" w:rsidRPr="00E40E4B" w:rsidRDefault="00E40E4B" w:rsidP="00B45219">
            <w:pPr>
              <w:pStyle w:val="IRPsanstext"/>
              <w:spacing w:line="276" w:lineRule="auto"/>
              <w:rPr>
                <w:rFonts w:cs="Arial"/>
              </w:rPr>
            </w:pPr>
            <w:r w:rsidRPr="00E40E4B">
              <w:rPr>
                <w:rFonts w:cs="Arial"/>
              </w:rPr>
              <w:t>Rokkasho Village, Japan</w:t>
            </w:r>
          </w:p>
        </w:tc>
        <w:tc>
          <w:tcPr>
            <w:tcW w:w="1485" w:type="dxa"/>
            <w:tcBorders>
              <w:top w:val="single" w:sz="4" w:space="0" w:color="auto"/>
            </w:tcBorders>
            <w:vAlign w:val="center"/>
          </w:tcPr>
          <w:p w:rsidR="00E40E4B" w:rsidRPr="00E40E4B" w:rsidRDefault="00E40E4B" w:rsidP="00B45219">
            <w:pPr>
              <w:pStyle w:val="IRPsanstext"/>
              <w:spacing w:line="276" w:lineRule="auto"/>
              <w:rPr>
                <w:rFonts w:cs="Arial"/>
              </w:rPr>
            </w:pPr>
            <w:r w:rsidRPr="00E40E4B">
              <w:rPr>
                <w:rFonts w:cs="Arial"/>
              </w:rPr>
              <w:t>Renewable generation shifting</w:t>
            </w:r>
          </w:p>
        </w:tc>
      </w:tr>
      <w:tr w:rsidR="00893878" w:rsidRPr="00E40E4B">
        <w:trPr>
          <w:trHeight w:val="495"/>
          <w:jc w:val="center"/>
        </w:trPr>
        <w:tc>
          <w:tcPr>
            <w:tcW w:w="2502" w:type="dxa"/>
            <w:noWrap/>
            <w:vAlign w:val="center"/>
          </w:tcPr>
          <w:p w:rsidR="00E40E4B" w:rsidRPr="00E40E4B" w:rsidRDefault="00E40E4B" w:rsidP="00B45219">
            <w:pPr>
              <w:pStyle w:val="IRPsanstext"/>
              <w:spacing w:line="276" w:lineRule="auto"/>
              <w:rPr>
                <w:rFonts w:cs="Arial"/>
              </w:rPr>
            </w:pPr>
            <w:r w:rsidRPr="00E40E4B">
              <w:rPr>
                <w:rFonts w:cs="Arial"/>
                <w:color w:val="000000"/>
                <w:shd w:val="clear" w:color="auto" w:fill="FFFFFF"/>
              </w:rPr>
              <w:t>Tokyo Metropolitan Government</w:t>
            </w:r>
            <w:r w:rsidRPr="00E40E4B">
              <w:rPr>
                <w:rFonts w:cs="Arial"/>
              </w:rPr>
              <w:t xml:space="preserve"> / Morigasaki Water Reclamation Center</w:t>
            </w:r>
          </w:p>
        </w:tc>
        <w:tc>
          <w:tcPr>
            <w:tcW w:w="1773" w:type="dxa"/>
            <w:noWrap/>
            <w:vAlign w:val="center"/>
          </w:tcPr>
          <w:p w:rsidR="00E40E4B" w:rsidRPr="00E40E4B" w:rsidRDefault="00E40E4B" w:rsidP="00B45219">
            <w:pPr>
              <w:pStyle w:val="IRPsanstext"/>
              <w:spacing w:line="276" w:lineRule="auto"/>
              <w:rPr>
                <w:rFonts w:cs="Arial"/>
              </w:rPr>
            </w:pPr>
            <w:r w:rsidRPr="00E40E4B">
              <w:rPr>
                <w:rFonts w:cs="Arial"/>
              </w:rPr>
              <w:t>8 MW / 58 MWh (7.25 hour)</w:t>
            </w:r>
          </w:p>
        </w:tc>
        <w:tc>
          <w:tcPr>
            <w:tcW w:w="1440" w:type="dxa"/>
            <w:noWrap/>
            <w:vAlign w:val="center"/>
          </w:tcPr>
          <w:p w:rsidR="00E40E4B" w:rsidRPr="00E40E4B" w:rsidRDefault="00E40E4B" w:rsidP="00B45219">
            <w:pPr>
              <w:pStyle w:val="IRPsanstext"/>
              <w:spacing w:line="276" w:lineRule="auto"/>
              <w:rPr>
                <w:rFonts w:cs="Arial"/>
              </w:rPr>
            </w:pPr>
            <w:r w:rsidRPr="00E40E4B">
              <w:rPr>
                <w:rFonts w:cs="Arial"/>
              </w:rPr>
              <w:t>Sodium sulfur</w:t>
            </w:r>
          </w:p>
        </w:tc>
        <w:tc>
          <w:tcPr>
            <w:tcW w:w="1350" w:type="dxa"/>
            <w:noWrap/>
            <w:vAlign w:val="center"/>
          </w:tcPr>
          <w:p w:rsidR="00E40E4B" w:rsidRPr="00E40E4B" w:rsidRDefault="00E40E4B" w:rsidP="00B45219">
            <w:pPr>
              <w:pStyle w:val="IRPsanstext"/>
              <w:spacing w:line="276" w:lineRule="auto"/>
              <w:rPr>
                <w:rFonts w:cs="Arial"/>
              </w:rPr>
            </w:pPr>
            <w:r w:rsidRPr="00E40E4B">
              <w:rPr>
                <w:rFonts w:cs="Arial"/>
                <w:color w:val="000000"/>
                <w:shd w:val="clear" w:color="auto" w:fill="FFFFFF"/>
              </w:rPr>
              <w:t>Tokyo</w:t>
            </w:r>
            <w:r w:rsidRPr="00E40E4B">
              <w:rPr>
                <w:rFonts w:cs="Arial"/>
                <w:color w:val="000000"/>
              </w:rPr>
              <w:t xml:space="preserve">, </w:t>
            </w:r>
            <w:r w:rsidRPr="00E40E4B">
              <w:rPr>
                <w:rFonts w:cs="Arial"/>
                <w:color w:val="000000"/>
                <w:shd w:val="clear" w:color="auto" w:fill="FFFFFF"/>
              </w:rPr>
              <w:t>Japan</w:t>
            </w:r>
          </w:p>
        </w:tc>
        <w:tc>
          <w:tcPr>
            <w:tcW w:w="1485" w:type="dxa"/>
            <w:vAlign w:val="center"/>
          </w:tcPr>
          <w:p w:rsidR="00E40E4B" w:rsidRPr="00E40E4B" w:rsidRDefault="00E40E4B" w:rsidP="00B45219">
            <w:pPr>
              <w:pStyle w:val="IRPsanstext"/>
              <w:spacing w:line="276" w:lineRule="auto"/>
              <w:rPr>
                <w:rFonts w:cs="Arial"/>
              </w:rPr>
            </w:pPr>
            <w:r w:rsidRPr="00E40E4B">
              <w:rPr>
                <w:rFonts w:cs="Arial"/>
              </w:rPr>
              <w:t>Load leveling</w:t>
            </w:r>
          </w:p>
        </w:tc>
      </w:tr>
      <w:tr w:rsidR="00893878" w:rsidRPr="00E40E4B">
        <w:trPr>
          <w:trHeight w:val="496"/>
          <w:jc w:val="center"/>
        </w:trPr>
        <w:tc>
          <w:tcPr>
            <w:tcW w:w="2502" w:type="dxa"/>
            <w:noWrap/>
            <w:vAlign w:val="center"/>
          </w:tcPr>
          <w:p w:rsidR="00E40E4B" w:rsidRPr="00E40E4B" w:rsidRDefault="00E40E4B" w:rsidP="00B45219">
            <w:pPr>
              <w:pStyle w:val="IRPsanstext"/>
              <w:spacing w:line="276" w:lineRule="auto"/>
              <w:rPr>
                <w:rFonts w:cs="Arial"/>
              </w:rPr>
            </w:pPr>
            <w:r w:rsidRPr="00E40E4B">
              <w:rPr>
                <w:rFonts w:cs="Arial"/>
              </w:rPr>
              <w:t>Hitachi / Automotive Plant ESS</w:t>
            </w:r>
          </w:p>
        </w:tc>
        <w:tc>
          <w:tcPr>
            <w:tcW w:w="1773" w:type="dxa"/>
            <w:noWrap/>
            <w:vAlign w:val="center"/>
          </w:tcPr>
          <w:p w:rsidR="00E40E4B" w:rsidRPr="00E40E4B" w:rsidRDefault="00E40E4B" w:rsidP="00B45219">
            <w:pPr>
              <w:pStyle w:val="IRPsanstext"/>
              <w:spacing w:line="276" w:lineRule="auto"/>
              <w:rPr>
                <w:rFonts w:cs="Arial"/>
              </w:rPr>
            </w:pPr>
            <w:r w:rsidRPr="00E40E4B">
              <w:rPr>
                <w:rFonts w:cs="Arial"/>
              </w:rPr>
              <w:t>9.6 MW / 57.6 MWh (6 hour)</w:t>
            </w:r>
          </w:p>
        </w:tc>
        <w:tc>
          <w:tcPr>
            <w:tcW w:w="1440" w:type="dxa"/>
            <w:noWrap/>
            <w:vAlign w:val="center"/>
          </w:tcPr>
          <w:p w:rsidR="00E40E4B" w:rsidRPr="00E40E4B" w:rsidRDefault="00E40E4B" w:rsidP="00B45219">
            <w:pPr>
              <w:pStyle w:val="IRPsanstext"/>
              <w:spacing w:line="276" w:lineRule="auto"/>
              <w:rPr>
                <w:rFonts w:cs="Arial"/>
              </w:rPr>
            </w:pPr>
            <w:r w:rsidRPr="00E40E4B">
              <w:rPr>
                <w:rFonts w:cs="Arial"/>
              </w:rPr>
              <w:t>Sodium sulfur</w:t>
            </w:r>
          </w:p>
        </w:tc>
        <w:tc>
          <w:tcPr>
            <w:tcW w:w="1350" w:type="dxa"/>
            <w:noWrap/>
            <w:vAlign w:val="center"/>
          </w:tcPr>
          <w:p w:rsidR="00E40E4B" w:rsidRPr="00E40E4B" w:rsidRDefault="00E40E4B" w:rsidP="00B45219">
            <w:pPr>
              <w:pStyle w:val="IRPsanstext"/>
              <w:spacing w:line="276" w:lineRule="auto"/>
              <w:rPr>
                <w:rFonts w:cs="Arial"/>
              </w:rPr>
            </w:pPr>
            <w:r w:rsidRPr="00E40E4B">
              <w:rPr>
                <w:rFonts w:cs="Arial"/>
                <w:color w:val="000000"/>
                <w:shd w:val="clear" w:color="auto" w:fill="FFFFFF"/>
              </w:rPr>
              <w:t>Ibaraki, Japan</w:t>
            </w:r>
          </w:p>
        </w:tc>
        <w:tc>
          <w:tcPr>
            <w:tcW w:w="1485" w:type="dxa"/>
            <w:vAlign w:val="center"/>
          </w:tcPr>
          <w:p w:rsidR="00E40E4B" w:rsidRPr="00E40E4B" w:rsidRDefault="00E40E4B" w:rsidP="00B45219">
            <w:pPr>
              <w:pStyle w:val="IRPsanstext"/>
              <w:spacing w:line="276" w:lineRule="auto"/>
              <w:rPr>
                <w:rFonts w:cs="Arial"/>
              </w:rPr>
            </w:pPr>
            <w:r w:rsidRPr="00E40E4B">
              <w:rPr>
                <w:rFonts w:cs="Arial"/>
              </w:rPr>
              <w:t>Load leveling</w:t>
            </w:r>
          </w:p>
        </w:tc>
      </w:tr>
      <w:tr w:rsidR="00893878" w:rsidRPr="00E40E4B">
        <w:trPr>
          <w:trHeight w:val="495"/>
          <w:jc w:val="center"/>
        </w:trPr>
        <w:tc>
          <w:tcPr>
            <w:tcW w:w="2502" w:type="dxa"/>
            <w:noWrap/>
            <w:vAlign w:val="center"/>
          </w:tcPr>
          <w:p w:rsidR="00E40E4B" w:rsidRPr="00E40E4B" w:rsidRDefault="00E40E4B" w:rsidP="00B45219">
            <w:pPr>
              <w:pStyle w:val="IRPsanstext"/>
              <w:spacing w:line="276" w:lineRule="auto"/>
              <w:rPr>
                <w:rFonts w:cs="Arial"/>
              </w:rPr>
            </w:pPr>
            <w:r w:rsidRPr="00E40E4B">
              <w:rPr>
                <w:rFonts w:cs="Arial"/>
                <w:color w:val="000000"/>
                <w:shd w:val="clear" w:color="auto" w:fill="FFFFFF"/>
              </w:rPr>
              <w:t>Abu Dhabi Water &amp; Electricity Authority /</w:t>
            </w:r>
            <w:r w:rsidRPr="00E40E4B">
              <w:rPr>
                <w:rFonts w:cs="Arial"/>
              </w:rPr>
              <w:t xml:space="preserve"> BESS</w:t>
            </w:r>
          </w:p>
        </w:tc>
        <w:tc>
          <w:tcPr>
            <w:tcW w:w="1773" w:type="dxa"/>
            <w:noWrap/>
            <w:vAlign w:val="center"/>
          </w:tcPr>
          <w:p w:rsidR="00E40E4B" w:rsidRPr="00E40E4B" w:rsidRDefault="00E40E4B" w:rsidP="00B45219">
            <w:pPr>
              <w:pStyle w:val="IRPsanstext"/>
              <w:spacing w:line="276" w:lineRule="auto"/>
              <w:rPr>
                <w:rFonts w:cs="Arial"/>
              </w:rPr>
            </w:pPr>
            <w:r w:rsidRPr="00E40E4B">
              <w:rPr>
                <w:rFonts w:cs="Arial"/>
              </w:rPr>
              <w:t>8 MW / 48 MWh       (6 hour)</w:t>
            </w:r>
          </w:p>
        </w:tc>
        <w:tc>
          <w:tcPr>
            <w:tcW w:w="1440" w:type="dxa"/>
            <w:noWrap/>
            <w:vAlign w:val="center"/>
          </w:tcPr>
          <w:p w:rsidR="00E40E4B" w:rsidRPr="00E40E4B" w:rsidRDefault="00E40E4B" w:rsidP="00B45219">
            <w:pPr>
              <w:pStyle w:val="IRPsanstext"/>
              <w:spacing w:line="276" w:lineRule="auto"/>
              <w:rPr>
                <w:rFonts w:cs="Arial"/>
              </w:rPr>
            </w:pPr>
            <w:r w:rsidRPr="00E40E4B">
              <w:rPr>
                <w:rFonts w:cs="Arial"/>
              </w:rPr>
              <w:t>Sodium sulfur</w:t>
            </w:r>
          </w:p>
        </w:tc>
        <w:tc>
          <w:tcPr>
            <w:tcW w:w="1350" w:type="dxa"/>
            <w:noWrap/>
            <w:vAlign w:val="center"/>
          </w:tcPr>
          <w:p w:rsidR="00E40E4B" w:rsidRPr="00E40E4B" w:rsidRDefault="00E40E4B" w:rsidP="00B45219">
            <w:pPr>
              <w:pStyle w:val="IRPsanstext"/>
              <w:spacing w:line="276" w:lineRule="auto"/>
              <w:rPr>
                <w:rFonts w:cs="Arial"/>
              </w:rPr>
            </w:pPr>
            <w:r w:rsidRPr="00E40E4B">
              <w:rPr>
                <w:rFonts w:cs="Arial"/>
                <w:color w:val="000000"/>
                <w:shd w:val="clear" w:color="auto" w:fill="FFFFFF"/>
              </w:rPr>
              <w:t>Abu Dhabi, United Arab Emirates</w:t>
            </w:r>
          </w:p>
        </w:tc>
        <w:tc>
          <w:tcPr>
            <w:tcW w:w="1485" w:type="dxa"/>
            <w:vAlign w:val="center"/>
          </w:tcPr>
          <w:p w:rsidR="00E40E4B" w:rsidRPr="00E40E4B" w:rsidRDefault="00E40E4B" w:rsidP="00B45219">
            <w:pPr>
              <w:pStyle w:val="IRPsanstext"/>
              <w:spacing w:line="276" w:lineRule="auto"/>
              <w:rPr>
                <w:rFonts w:cs="Arial"/>
              </w:rPr>
            </w:pPr>
            <w:r w:rsidRPr="00E40E4B">
              <w:rPr>
                <w:rFonts w:cs="Arial"/>
              </w:rPr>
              <w:t>Load leveling</w:t>
            </w:r>
          </w:p>
        </w:tc>
      </w:tr>
      <w:tr w:rsidR="00893878" w:rsidRPr="00E40E4B">
        <w:trPr>
          <w:trHeight w:val="496"/>
          <w:jc w:val="center"/>
        </w:trPr>
        <w:tc>
          <w:tcPr>
            <w:tcW w:w="2502" w:type="dxa"/>
            <w:noWrap/>
            <w:vAlign w:val="center"/>
          </w:tcPr>
          <w:p w:rsidR="00E40E4B" w:rsidRPr="00E40E4B" w:rsidRDefault="00E40E4B" w:rsidP="00B45219">
            <w:pPr>
              <w:pStyle w:val="IRPsanstext"/>
              <w:spacing w:line="276" w:lineRule="auto"/>
              <w:rPr>
                <w:rFonts w:cs="Arial"/>
              </w:rPr>
            </w:pPr>
            <w:r w:rsidRPr="00E40E4B">
              <w:rPr>
                <w:rFonts w:cs="Arial"/>
              </w:rPr>
              <w:t>American Electric Power / Presidio ESS</w:t>
            </w:r>
          </w:p>
        </w:tc>
        <w:tc>
          <w:tcPr>
            <w:tcW w:w="1773" w:type="dxa"/>
            <w:noWrap/>
            <w:vAlign w:val="center"/>
          </w:tcPr>
          <w:p w:rsidR="00E40E4B" w:rsidRPr="00E40E4B" w:rsidRDefault="00E40E4B" w:rsidP="00B45219">
            <w:pPr>
              <w:pStyle w:val="IRPsanstext"/>
              <w:spacing w:line="276" w:lineRule="auto"/>
              <w:rPr>
                <w:rFonts w:cs="Arial"/>
              </w:rPr>
            </w:pPr>
            <w:r w:rsidRPr="00E40E4B">
              <w:rPr>
                <w:rFonts w:cs="Arial"/>
              </w:rPr>
              <w:t>4 MW / 32 MWh      (8 hour)</w:t>
            </w:r>
          </w:p>
        </w:tc>
        <w:tc>
          <w:tcPr>
            <w:tcW w:w="1440" w:type="dxa"/>
            <w:noWrap/>
            <w:vAlign w:val="center"/>
          </w:tcPr>
          <w:p w:rsidR="00E40E4B" w:rsidRPr="00E40E4B" w:rsidRDefault="00E40E4B" w:rsidP="00B45219">
            <w:pPr>
              <w:pStyle w:val="IRPsanstext"/>
              <w:spacing w:line="276" w:lineRule="auto"/>
              <w:rPr>
                <w:rFonts w:cs="Arial"/>
              </w:rPr>
            </w:pPr>
            <w:r w:rsidRPr="00E40E4B">
              <w:rPr>
                <w:rFonts w:cs="Arial"/>
              </w:rPr>
              <w:t>Sodium sulfur</w:t>
            </w:r>
          </w:p>
        </w:tc>
        <w:tc>
          <w:tcPr>
            <w:tcW w:w="1350" w:type="dxa"/>
            <w:noWrap/>
            <w:vAlign w:val="center"/>
          </w:tcPr>
          <w:p w:rsidR="00E40E4B" w:rsidRPr="00E40E4B" w:rsidRDefault="00E40E4B" w:rsidP="00B45219">
            <w:pPr>
              <w:pStyle w:val="IRPsanstext"/>
              <w:spacing w:line="276" w:lineRule="auto"/>
              <w:rPr>
                <w:rFonts w:cs="Arial"/>
              </w:rPr>
            </w:pPr>
            <w:r w:rsidRPr="00E40E4B">
              <w:rPr>
                <w:rFonts w:cs="Arial"/>
                <w:color w:val="000000"/>
                <w:shd w:val="clear" w:color="auto" w:fill="FFFFFF"/>
              </w:rPr>
              <w:t>Presidio, TX</w:t>
            </w:r>
          </w:p>
        </w:tc>
        <w:tc>
          <w:tcPr>
            <w:tcW w:w="1485" w:type="dxa"/>
            <w:vAlign w:val="center"/>
          </w:tcPr>
          <w:p w:rsidR="00E40E4B" w:rsidRPr="00E40E4B" w:rsidRDefault="00E40E4B" w:rsidP="00B45219">
            <w:pPr>
              <w:pStyle w:val="IRPsanstext"/>
              <w:spacing w:line="276" w:lineRule="auto"/>
              <w:rPr>
                <w:rFonts w:cs="Arial"/>
              </w:rPr>
            </w:pPr>
            <w:r w:rsidRPr="00E40E4B">
              <w:rPr>
                <w:rFonts w:cs="Arial"/>
              </w:rPr>
              <w:t>Ancillary services</w:t>
            </w:r>
          </w:p>
        </w:tc>
      </w:tr>
    </w:tbl>
    <w:p w:rsidR="00E40E4B" w:rsidRPr="00E40E4B" w:rsidRDefault="00E40E4B" w:rsidP="00B45219">
      <w:pPr>
        <w:pStyle w:val="IRPsanstext"/>
      </w:pPr>
    </w:p>
    <w:p w:rsidR="00E40E4B" w:rsidRPr="005D5F41" w:rsidRDefault="00E40E4B" w:rsidP="00893878">
      <w:pPr>
        <w:pStyle w:val="IRPsanstext"/>
      </w:pPr>
      <w:r w:rsidRPr="005D5F41">
        <w:t>The DOE Global Energy Storage Database lists three deployments that are planned o</w:t>
      </w:r>
      <w:r w:rsidR="00893878" w:rsidRPr="005D5F41">
        <w:t xml:space="preserve">r under construction. </w:t>
      </w:r>
      <w:r w:rsidRPr="005D5F41">
        <w:t>All three are for Italian utility TERNA and they total 35 MW/278 MWh.</w:t>
      </w:r>
    </w:p>
    <w:p w:rsidR="00B45219" w:rsidRPr="00B45219" w:rsidRDefault="00B45219" w:rsidP="00893878">
      <w:pPr>
        <w:pStyle w:val="IRPsanstext"/>
      </w:pPr>
    </w:p>
    <w:p w:rsidR="00893878" w:rsidRPr="00B45219" w:rsidRDefault="001A1722" w:rsidP="00B45219">
      <w:pPr>
        <w:pStyle w:val="IRPsanstext"/>
        <w:rPr>
          <w:b/>
          <w:color w:val="156570"/>
          <w:sz w:val="28"/>
          <w:szCs w:val="28"/>
        </w:rPr>
      </w:pPr>
      <w:r>
        <w:rPr>
          <w:b/>
          <w:color w:val="156570"/>
          <w:sz w:val="28"/>
          <w:szCs w:val="28"/>
        </w:rPr>
        <w:t>Sodium Nickel C</w:t>
      </w:r>
      <w:r w:rsidR="00893878" w:rsidRPr="00893878">
        <w:rPr>
          <w:b/>
          <w:color w:val="156570"/>
          <w:sz w:val="28"/>
          <w:szCs w:val="28"/>
        </w:rPr>
        <w:t>hloride.</w:t>
      </w:r>
      <w:r w:rsidR="00893878" w:rsidRPr="00893878">
        <w:t xml:space="preserve"> Sodium nickel chloride batteries (NaNiCl</w:t>
      </w:r>
      <w:r w:rsidR="00893878" w:rsidRPr="00893878">
        <w:rPr>
          <w:vertAlign w:val="subscript"/>
        </w:rPr>
        <w:t>2</w:t>
      </w:r>
      <w:r w:rsidR="00893878" w:rsidRPr="00893878">
        <w:t>) are also referred to as ZEBRA (Zero Emissions Battery Research). Their operating characteristics are similar to those of sodium sulfur, but this technology is still in a demonstration and limited deployment stage. GE and FIAMM have currently deployed about 15 installations with po</w:t>
      </w:r>
      <w:r w:rsidR="00233794">
        <w:t>wer ratings that range from 20 kW/70 k</w:t>
      </w:r>
      <w:r w:rsidR="00893878" w:rsidRPr="00893878">
        <w:t xml:space="preserve">Wh (3.5 </w:t>
      </w:r>
      <w:r w:rsidR="003E65A6">
        <w:t>hour</w:t>
      </w:r>
      <w:r w:rsidR="003E65A6" w:rsidRPr="00893878">
        <w:t xml:space="preserve"> </w:t>
      </w:r>
      <w:r w:rsidR="00893878" w:rsidRPr="00893878">
        <w:t xml:space="preserve">duration) to 1 MW/2 MWh (2 </w:t>
      </w:r>
      <w:r w:rsidR="003E65A6">
        <w:t>hour</w:t>
      </w:r>
      <w:r w:rsidR="003E65A6" w:rsidRPr="00893878">
        <w:t xml:space="preserve"> </w:t>
      </w:r>
      <w:r w:rsidR="00893878" w:rsidRPr="00893878">
        <w:t>duration). These systems are used primarily for integrating renewable generation, providing voltage support, load following and frequency regulation.</w:t>
      </w:r>
    </w:p>
    <w:p w:rsidR="00893878" w:rsidRPr="00893878" w:rsidRDefault="00893878" w:rsidP="00893878">
      <w:pPr>
        <w:pStyle w:val="IRPsanstext"/>
        <w:rPr>
          <w:rFonts w:cs="Arial"/>
        </w:rPr>
      </w:pPr>
      <w:r w:rsidRPr="00893878">
        <w:rPr>
          <w:rFonts w:cs="Arial"/>
        </w:rPr>
        <w:t xml:space="preserve"> </w:t>
      </w:r>
    </w:p>
    <w:p w:rsidR="00893878" w:rsidRPr="00893878" w:rsidRDefault="00893878" w:rsidP="00893878">
      <w:pPr>
        <w:pStyle w:val="IRPsanstext"/>
        <w:rPr>
          <w:rFonts w:cs="Arial"/>
          <w:b/>
        </w:rPr>
      </w:pPr>
      <w:r w:rsidRPr="001A1722">
        <w:rPr>
          <w:rFonts w:cs="Arial"/>
          <w:b/>
          <w:i/>
        </w:rPr>
        <w:t>Technical Details</w:t>
      </w:r>
      <w:r w:rsidR="00A21A60" w:rsidRPr="001A1722">
        <w:rPr>
          <w:rFonts w:cs="Arial"/>
          <w:b/>
          <w:i/>
        </w:rPr>
        <w:t xml:space="preserve">: </w:t>
      </w:r>
      <w:r w:rsidRPr="00893878">
        <w:rPr>
          <w:rFonts w:cs="Arial"/>
        </w:rPr>
        <w:t>In sodium nickel chloride batteries, the cathode is composed of nickel-chloride instead of sulfur. These require operating temperatures between 260°C and 350°C and therefore must have internal thermal management capability. Able to withstand limited overcharging, they are potentially safer than sodium sulfur, and they have a higher cell</w:t>
      </w:r>
      <w:r w:rsidR="00233794">
        <w:rPr>
          <w:rFonts w:cs="Arial"/>
        </w:rPr>
        <w:t xml:space="preserve"> voltage. Typical cells are 20 k</w:t>
      </w:r>
      <w:r w:rsidRPr="00893878">
        <w:rPr>
          <w:rFonts w:cs="Arial"/>
        </w:rPr>
        <w:t>Wh, so system power and energy ratings are also easier to customize to a given application than sodium sulfur.</w:t>
      </w:r>
      <w:r w:rsidRPr="00893878">
        <w:rPr>
          <w:rStyle w:val="FootnoteReference"/>
          <w:rFonts w:cs="Arial"/>
        </w:rPr>
        <w:footnoteReference w:id="29"/>
      </w:r>
    </w:p>
    <w:p w:rsidR="00893878" w:rsidRPr="00893878" w:rsidRDefault="00893878" w:rsidP="00893878">
      <w:pPr>
        <w:pStyle w:val="IRPsanstext"/>
        <w:rPr>
          <w:rFonts w:cs="Arial"/>
        </w:rPr>
      </w:pPr>
    </w:p>
    <w:p w:rsidR="00A21A60" w:rsidRDefault="00A21A60" w:rsidP="00893878">
      <w:pPr>
        <w:pStyle w:val="IRPsanstext"/>
        <w:rPr>
          <w:rFonts w:cs="Arial"/>
        </w:rPr>
      </w:pPr>
    </w:p>
    <w:p w:rsidR="00A21A60" w:rsidRDefault="00A21A60" w:rsidP="00893878">
      <w:pPr>
        <w:pStyle w:val="IRPsanstext"/>
        <w:rPr>
          <w:rFonts w:cs="Arial"/>
        </w:rPr>
      </w:pPr>
    </w:p>
    <w:p w:rsidR="007F7A43" w:rsidRDefault="007F7A43" w:rsidP="00893878">
      <w:pPr>
        <w:pStyle w:val="IRPsanstext"/>
        <w:rPr>
          <w:rFonts w:cs="Arial"/>
        </w:rPr>
      </w:pPr>
    </w:p>
    <w:p w:rsidR="00893878" w:rsidRPr="00893878" w:rsidRDefault="00893878" w:rsidP="00893878">
      <w:pPr>
        <w:pStyle w:val="IRPsanstext"/>
        <w:rPr>
          <w:rFonts w:cs="Arial"/>
        </w:rPr>
      </w:pPr>
      <w:r w:rsidRPr="00893878">
        <w:rPr>
          <w:rFonts w:cs="Arial"/>
        </w:rPr>
        <w:t>Sodium nickel chloride advantages include scalability, the ability to operate in a wide temperature range (-40°C to 60°C),</w:t>
      </w:r>
      <w:r w:rsidRPr="00893878">
        <w:rPr>
          <w:rStyle w:val="FootnoteReference"/>
          <w:rFonts w:cs="Arial"/>
        </w:rPr>
        <w:footnoteReference w:id="30"/>
      </w:r>
      <w:r w:rsidRPr="00893878">
        <w:rPr>
          <w:rFonts w:cs="Arial"/>
        </w:rPr>
        <w:t xml:space="preserve"> long cycle life, and easy recycling of battery materials.</w:t>
      </w:r>
      <w:r w:rsidRPr="00893878">
        <w:rPr>
          <w:rStyle w:val="FootnoteReference"/>
          <w:rFonts w:cs="Arial"/>
        </w:rPr>
        <w:footnoteReference w:id="31"/>
      </w:r>
      <w:r w:rsidRPr="00893878">
        <w:rPr>
          <w:rFonts w:cs="Arial"/>
        </w:rPr>
        <w:t xml:space="preserve">  Disadvantages include lack of maturity, commercial deployments, high cost and thermal management.</w:t>
      </w:r>
      <w:r w:rsidRPr="00893878">
        <w:rPr>
          <w:rStyle w:val="FootnoteReference"/>
          <w:rFonts w:cs="Arial"/>
        </w:rPr>
        <w:footnoteReference w:id="32"/>
      </w:r>
    </w:p>
    <w:p w:rsidR="00893878" w:rsidRPr="00893878" w:rsidRDefault="00893878" w:rsidP="00893878">
      <w:pPr>
        <w:pStyle w:val="IRPsanstext"/>
        <w:rPr>
          <w:rFonts w:cs="Arial"/>
        </w:rPr>
      </w:pPr>
    </w:p>
    <w:p w:rsidR="00893878" w:rsidRPr="00A21A60" w:rsidRDefault="00893878" w:rsidP="00893878">
      <w:pPr>
        <w:pStyle w:val="IRPsanstext"/>
        <w:rPr>
          <w:rFonts w:cs="Arial"/>
          <w:b/>
        </w:rPr>
      </w:pPr>
      <w:r w:rsidRPr="001A1722">
        <w:rPr>
          <w:rFonts w:cs="Arial"/>
          <w:b/>
          <w:i/>
        </w:rPr>
        <w:t>Deployments</w:t>
      </w:r>
      <w:r w:rsidR="00A21A60" w:rsidRPr="001A1722">
        <w:rPr>
          <w:rFonts w:cs="Arial"/>
          <w:b/>
          <w:i/>
        </w:rPr>
        <w:t>:</w:t>
      </w:r>
      <w:r w:rsidR="00A21A60">
        <w:rPr>
          <w:rFonts w:cs="Arial"/>
          <w:b/>
        </w:rPr>
        <w:t xml:space="preserve"> </w:t>
      </w:r>
      <w:r w:rsidRPr="00893878">
        <w:rPr>
          <w:rFonts w:cs="Arial"/>
        </w:rPr>
        <w:t xml:space="preserve">Approximately </w:t>
      </w:r>
      <w:r w:rsidR="00EC5756">
        <w:rPr>
          <w:rFonts w:cs="Arial"/>
        </w:rPr>
        <w:t>3.4</w:t>
      </w:r>
      <w:r w:rsidRPr="00893878">
        <w:rPr>
          <w:rFonts w:cs="Arial"/>
        </w:rPr>
        <w:t xml:space="preserve"> MW/</w:t>
      </w:r>
      <w:r w:rsidR="00EC5756">
        <w:rPr>
          <w:rFonts w:cs="Arial"/>
        </w:rPr>
        <w:t>6.4</w:t>
      </w:r>
      <w:r w:rsidRPr="00893878">
        <w:rPr>
          <w:rFonts w:cs="Arial"/>
        </w:rPr>
        <w:t xml:space="preserve"> MWh of sodium nickel chloride installations are operating around the world.</w:t>
      </w:r>
      <w:r w:rsidRPr="00893878">
        <w:rPr>
          <w:rStyle w:val="FootnoteReference"/>
          <w:rFonts w:cs="Arial"/>
        </w:rPr>
        <w:footnoteReference w:id="33"/>
      </w:r>
      <w:r w:rsidRPr="00893878">
        <w:rPr>
          <w:rFonts w:cs="Arial"/>
        </w:rPr>
        <w:t xml:space="preserve">  </w:t>
      </w:r>
    </w:p>
    <w:p w:rsidR="00893878" w:rsidRPr="00893878" w:rsidRDefault="00893878" w:rsidP="00893878">
      <w:pPr>
        <w:pStyle w:val="IRPsanstext"/>
        <w:rPr>
          <w:rFonts w:cs="Arial"/>
          <w:b/>
        </w:rPr>
      </w:pPr>
    </w:p>
    <w:p w:rsidR="00893878" w:rsidRPr="00893878" w:rsidRDefault="00893878" w:rsidP="007F7A43">
      <w:pPr>
        <w:pStyle w:val="IRPFigureSub"/>
        <w:spacing w:after="120"/>
      </w:pPr>
      <w:bookmarkStart w:id="10" w:name="_Toc402942665"/>
      <w:r w:rsidRPr="00893878">
        <w:t>Figure L-</w:t>
      </w:r>
      <w:r w:rsidR="00004846">
        <w:t>10</w:t>
      </w:r>
      <w:r w:rsidR="00CA3E66">
        <w:t xml:space="preserve">: </w:t>
      </w:r>
      <w:r w:rsidRPr="00893878">
        <w:t>Five Largest Operational Sodium Nickel Chloride Energy Storage Projects</w:t>
      </w:r>
      <w:bookmarkEnd w:id="10"/>
      <w:r w:rsidR="0068203F">
        <w:rPr>
          <w:rStyle w:val="FootnoteReference"/>
        </w:rPr>
        <w:footnoteReference w:id="34"/>
      </w:r>
    </w:p>
    <w:tbl>
      <w:tblPr>
        <w:tblStyle w:val="TableGrid"/>
        <w:tblW w:w="8482" w:type="dxa"/>
        <w:jc w:val="center"/>
        <w:tblInd w:w="161" w:type="dxa"/>
        <w:tblLayout w:type="fixed"/>
        <w:tblLook w:val="04A0" w:firstRow="1" w:lastRow="0" w:firstColumn="1" w:lastColumn="0" w:noHBand="0" w:noVBand="1"/>
      </w:tblPr>
      <w:tblGrid>
        <w:gridCol w:w="2059"/>
        <w:gridCol w:w="1800"/>
        <w:gridCol w:w="1530"/>
        <w:gridCol w:w="1800"/>
        <w:gridCol w:w="1293"/>
      </w:tblGrid>
      <w:tr w:rsidR="00893878" w:rsidRPr="00893878">
        <w:trPr>
          <w:trHeight w:val="144"/>
          <w:jc w:val="center"/>
        </w:trPr>
        <w:tc>
          <w:tcPr>
            <w:tcW w:w="8482" w:type="dxa"/>
            <w:gridSpan w:val="5"/>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rsidR="00893878" w:rsidRPr="00893878" w:rsidRDefault="00893878" w:rsidP="007F7A43">
            <w:pPr>
              <w:pStyle w:val="IRPsanstext"/>
              <w:jc w:val="center"/>
              <w:rPr>
                <w:b/>
                <w:color w:val="FFFFFF" w:themeColor="background1"/>
              </w:rPr>
            </w:pPr>
            <w:r w:rsidRPr="00893878">
              <w:rPr>
                <w:b/>
                <w:color w:val="FFFFFF" w:themeColor="background1"/>
              </w:rPr>
              <w:t>Five Largest Operational Sodium Nickel Chloride Energy Storage Projects</w:t>
            </w:r>
          </w:p>
        </w:tc>
      </w:tr>
      <w:tr w:rsidR="00893878" w:rsidRPr="00893878">
        <w:trPr>
          <w:trHeight w:val="576"/>
          <w:jc w:val="center"/>
        </w:trPr>
        <w:tc>
          <w:tcPr>
            <w:tcW w:w="2059"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893878" w:rsidRDefault="00893878" w:rsidP="00893878">
            <w:pPr>
              <w:pStyle w:val="IRPsanstext"/>
              <w:rPr>
                <w:rFonts w:cs="Arial"/>
                <w:b/>
                <w:color w:val="FFFFFF" w:themeColor="background1"/>
              </w:rPr>
            </w:pPr>
            <w:r w:rsidRPr="00893878">
              <w:rPr>
                <w:rFonts w:cs="Arial"/>
                <w:b/>
                <w:color w:val="FFFFFF" w:themeColor="background1"/>
              </w:rPr>
              <w:t>Owner / Project</w:t>
            </w:r>
          </w:p>
        </w:tc>
        <w:tc>
          <w:tcPr>
            <w:tcW w:w="180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893878" w:rsidRDefault="00893878" w:rsidP="00893878">
            <w:pPr>
              <w:pStyle w:val="IRPsanstext"/>
              <w:rPr>
                <w:rFonts w:cs="Arial"/>
                <w:b/>
                <w:color w:val="FFFFFF" w:themeColor="background1"/>
              </w:rPr>
            </w:pPr>
            <w:r w:rsidRPr="00893878">
              <w:rPr>
                <w:rFonts w:cs="Arial"/>
                <w:b/>
                <w:color w:val="FFFFFF" w:themeColor="background1"/>
              </w:rPr>
              <w:t>Power / Energy (Duration)</w:t>
            </w:r>
          </w:p>
        </w:tc>
        <w:tc>
          <w:tcPr>
            <w:tcW w:w="153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893878" w:rsidRDefault="00893878" w:rsidP="00893878">
            <w:pPr>
              <w:pStyle w:val="IRPsanstext"/>
              <w:rPr>
                <w:rFonts w:cs="Arial"/>
                <w:b/>
                <w:color w:val="FFFFFF" w:themeColor="background1"/>
              </w:rPr>
            </w:pPr>
            <w:r w:rsidRPr="00893878">
              <w:rPr>
                <w:rFonts w:cs="Arial"/>
                <w:b/>
                <w:color w:val="FFFFFF" w:themeColor="background1"/>
              </w:rPr>
              <w:t>Technology</w:t>
            </w:r>
          </w:p>
        </w:tc>
        <w:tc>
          <w:tcPr>
            <w:tcW w:w="180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893878" w:rsidRDefault="00893878" w:rsidP="00893878">
            <w:pPr>
              <w:pStyle w:val="IRPsanstext"/>
              <w:rPr>
                <w:rFonts w:cs="Arial"/>
                <w:b/>
                <w:color w:val="FFFFFF" w:themeColor="background1"/>
              </w:rPr>
            </w:pPr>
            <w:r w:rsidRPr="00893878">
              <w:rPr>
                <w:rFonts w:cs="Arial"/>
                <w:b/>
                <w:color w:val="FFFFFF" w:themeColor="background1"/>
              </w:rPr>
              <w:t>Location</w:t>
            </w:r>
          </w:p>
        </w:tc>
        <w:tc>
          <w:tcPr>
            <w:tcW w:w="1293" w:type="dxa"/>
            <w:tcBorders>
              <w:top w:val="single" w:sz="4" w:space="0" w:color="auto"/>
              <w:left w:val="single" w:sz="4" w:space="0" w:color="auto"/>
              <w:bottom w:val="single" w:sz="4" w:space="0" w:color="auto"/>
              <w:right w:val="single" w:sz="4" w:space="0" w:color="auto"/>
            </w:tcBorders>
            <w:shd w:val="clear" w:color="auto" w:fill="156570"/>
          </w:tcPr>
          <w:p w:rsidR="00893878" w:rsidRPr="00893878" w:rsidRDefault="00893878" w:rsidP="00893878">
            <w:pPr>
              <w:pStyle w:val="IRPsanstext"/>
              <w:rPr>
                <w:rFonts w:cs="Arial"/>
                <w:b/>
                <w:color w:val="FFFFFF" w:themeColor="background1"/>
              </w:rPr>
            </w:pPr>
            <w:r w:rsidRPr="00893878">
              <w:rPr>
                <w:rFonts w:cs="Arial"/>
                <w:b/>
                <w:color w:val="FFFFFF" w:themeColor="background1"/>
              </w:rPr>
              <w:t>Primary Function</w:t>
            </w:r>
          </w:p>
        </w:tc>
      </w:tr>
      <w:tr w:rsidR="00893878" w:rsidRPr="00893878">
        <w:trPr>
          <w:trHeight w:val="495"/>
          <w:jc w:val="center"/>
        </w:trPr>
        <w:tc>
          <w:tcPr>
            <w:tcW w:w="2059" w:type="dxa"/>
            <w:tcBorders>
              <w:top w:val="single" w:sz="4" w:space="0" w:color="auto"/>
            </w:tcBorders>
            <w:noWrap/>
            <w:vAlign w:val="center"/>
          </w:tcPr>
          <w:p w:rsidR="00893878" w:rsidRPr="00893878" w:rsidRDefault="00893878" w:rsidP="00B45219">
            <w:pPr>
              <w:pStyle w:val="IRPsanstext"/>
              <w:spacing w:line="276" w:lineRule="auto"/>
              <w:rPr>
                <w:rFonts w:cs="Arial"/>
              </w:rPr>
            </w:pPr>
            <w:r w:rsidRPr="00893878">
              <w:rPr>
                <w:rFonts w:cs="Arial"/>
              </w:rPr>
              <w:t>Wind Energy Institute of Canada / Durathon Battery</w:t>
            </w:r>
          </w:p>
        </w:tc>
        <w:tc>
          <w:tcPr>
            <w:tcW w:w="1800" w:type="dxa"/>
            <w:tcBorders>
              <w:top w:val="single" w:sz="4" w:space="0" w:color="auto"/>
            </w:tcBorders>
            <w:noWrap/>
            <w:vAlign w:val="center"/>
          </w:tcPr>
          <w:p w:rsidR="00893878" w:rsidRPr="00893878" w:rsidRDefault="00893878" w:rsidP="00B45219">
            <w:pPr>
              <w:pStyle w:val="IRPsanstext"/>
              <w:spacing w:line="276" w:lineRule="auto"/>
              <w:rPr>
                <w:rFonts w:cs="Arial"/>
              </w:rPr>
            </w:pPr>
            <w:r w:rsidRPr="00893878">
              <w:rPr>
                <w:rFonts w:cs="Arial"/>
              </w:rPr>
              <w:t xml:space="preserve">1 MW / 2 MWh </w:t>
            </w:r>
            <w:r w:rsidR="00A26598">
              <w:rPr>
                <w:rFonts w:cs="Arial"/>
              </w:rPr>
              <w:t xml:space="preserve"> </w:t>
            </w:r>
            <w:r w:rsidRPr="00893878">
              <w:rPr>
                <w:rFonts w:cs="Arial"/>
              </w:rPr>
              <w:t>(2 hour)</w:t>
            </w:r>
          </w:p>
        </w:tc>
        <w:tc>
          <w:tcPr>
            <w:tcW w:w="1530" w:type="dxa"/>
            <w:tcBorders>
              <w:top w:val="single" w:sz="4" w:space="0" w:color="auto"/>
            </w:tcBorders>
            <w:noWrap/>
            <w:vAlign w:val="center"/>
          </w:tcPr>
          <w:p w:rsidR="00893878" w:rsidRPr="00893878" w:rsidRDefault="00893878" w:rsidP="00B45219">
            <w:pPr>
              <w:pStyle w:val="IRPsanstext"/>
              <w:spacing w:line="276" w:lineRule="auto"/>
              <w:rPr>
                <w:rFonts w:cs="Arial"/>
              </w:rPr>
            </w:pPr>
            <w:r w:rsidRPr="00893878">
              <w:rPr>
                <w:rFonts w:cs="Arial"/>
              </w:rPr>
              <w:t>Sodium nickel chloride</w:t>
            </w:r>
          </w:p>
        </w:tc>
        <w:tc>
          <w:tcPr>
            <w:tcW w:w="1800" w:type="dxa"/>
            <w:tcBorders>
              <w:top w:val="single" w:sz="4" w:space="0" w:color="auto"/>
            </w:tcBorders>
            <w:noWrap/>
            <w:vAlign w:val="center"/>
          </w:tcPr>
          <w:p w:rsidR="00893878" w:rsidRPr="00893878" w:rsidRDefault="00893878" w:rsidP="00B45219">
            <w:pPr>
              <w:pStyle w:val="IRPsanstext"/>
              <w:spacing w:line="276" w:lineRule="auto"/>
              <w:rPr>
                <w:rFonts w:cs="Arial"/>
              </w:rPr>
            </w:pPr>
            <w:r w:rsidRPr="00893878">
              <w:rPr>
                <w:rFonts w:cs="Arial"/>
              </w:rPr>
              <w:t>Prince Edward Island, Canada</w:t>
            </w:r>
          </w:p>
        </w:tc>
        <w:tc>
          <w:tcPr>
            <w:tcW w:w="1293" w:type="dxa"/>
            <w:tcBorders>
              <w:top w:val="single" w:sz="4" w:space="0" w:color="auto"/>
            </w:tcBorders>
            <w:vAlign w:val="center"/>
          </w:tcPr>
          <w:p w:rsidR="00893878" w:rsidRPr="00893878" w:rsidRDefault="00893878" w:rsidP="00B45219">
            <w:pPr>
              <w:pStyle w:val="IRPsanstext"/>
              <w:spacing w:line="276" w:lineRule="auto"/>
              <w:rPr>
                <w:rFonts w:cs="Arial"/>
              </w:rPr>
            </w:pPr>
            <w:r w:rsidRPr="00893878">
              <w:rPr>
                <w:rFonts w:cs="Arial"/>
              </w:rPr>
              <w:t>Renewable generation shifting</w:t>
            </w:r>
          </w:p>
        </w:tc>
      </w:tr>
      <w:tr w:rsidR="00893878" w:rsidRPr="00893878">
        <w:trPr>
          <w:trHeight w:val="495"/>
          <w:jc w:val="center"/>
        </w:trPr>
        <w:tc>
          <w:tcPr>
            <w:tcW w:w="2059" w:type="dxa"/>
            <w:noWrap/>
            <w:vAlign w:val="center"/>
          </w:tcPr>
          <w:p w:rsidR="00893878" w:rsidRPr="00893878" w:rsidRDefault="00893878" w:rsidP="00B45219">
            <w:pPr>
              <w:pStyle w:val="IRPsanstext"/>
              <w:spacing w:line="276" w:lineRule="auto"/>
              <w:rPr>
                <w:rFonts w:cs="Arial"/>
              </w:rPr>
            </w:pPr>
            <w:r w:rsidRPr="00893878">
              <w:rPr>
                <w:rFonts w:cs="Arial"/>
              </w:rPr>
              <w:t>General Electric /  Wind Durathon Battery Project</w:t>
            </w:r>
          </w:p>
        </w:tc>
        <w:tc>
          <w:tcPr>
            <w:tcW w:w="1800" w:type="dxa"/>
            <w:noWrap/>
            <w:vAlign w:val="center"/>
          </w:tcPr>
          <w:p w:rsidR="00893878" w:rsidRPr="00893878" w:rsidRDefault="00893878" w:rsidP="00B45219">
            <w:pPr>
              <w:pStyle w:val="IRPsanstext"/>
              <w:spacing w:line="276" w:lineRule="auto"/>
              <w:rPr>
                <w:rFonts w:cs="Arial"/>
              </w:rPr>
            </w:pPr>
            <w:r w:rsidRPr="00893878">
              <w:rPr>
                <w:rFonts w:cs="Arial"/>
              </w:rPr>
              <w:t>0.3 MW / 1.2 MWh (4 hour)</w:t>
            </w:r>
          </w:p>
        </w:tc>
        <w:tc>
          <w:tcPr>
            <w:tcW w:w="1530" w:type="dxa"/>
            <w:noWrap/>
            <w:vAlign w:val="center"/>
          </w:tcPr>
          <w:p w:rsidR="00893878" w:rsidRPr="00893878" w:rsidRDefault="00893878" w:rsidP="00B45219">
            <w:pPr>
              <w:pStyle w:val="IRPsanstext"/>
              <w:spacing w:line="276" w:lineRule="auto"/>
              <w:rPr>
                <w:rFonts w:cs="Arial"/>
              </w:rPr>
            </w:pPr>
            <w:r w:rsidRPr="00893878">
              <w:rPr>
                <w:rFonts w:cs="Arial"/>
              </w:rPr>
              <w:t>Sodium nickel chloride</w:t>
            </w:r>
          </w:p>
        </w:tc>
        <w:tc>
          <w:tcPr>
            <w:tcW w:w="1800" w:type="dxa"/>
            <w:noWrap/>
            <w:vAlign w:val="center"/>
          </w:tcPr>
          <w:p w:rsidR="00893878" w:rsidRPr="00893878" w:rsidRDefault="00893878" w:rsidP="00B45219">
            <w:pPr>
              <w:pStyle w:val="IRPsanstext"/>
              <w:spacing w:line="276" w:lineRule="auto"/>
              <w:rPr>
                <w:rFonts w:cs="Arial"/>
              </w:rPr>
            </w:pPr>
            <w:r w:rsidRPr="00893878">
              <w:rPr>
                <w:rFonts w:cs="Arial"/>
                <w:color w:val="000000"/>
                <w:shd w:val="clear" w:color="auto" w:fill="FFFFFF"/>
              </w:rPr>
              <w:t>Tehachapi, TX</w:t>
            </w:r>
          </w:p>
        </w:tc>
        <w:tc>
          <w:tcPr>
            <w:tcW w:w="1293" w:type="dxa"/>
            <w:vAlign w:val="center"/>
          </w:tcPr>
          <w:p w:rsidR="00893878" w:rsidRPr="00893878" w:rsidRDefault="00893878" w:rsidP="00B45219">
            <w:pPr>
              <w:pStyle w:val="IRPsanstext"/>
              <w:spacing w:line="276" w:lineRule="auto"/>
              <w:rPr>
                <w:rFonts w:cs="Arial"/>
              </w:rPr>
            </w:pPr>
            <w:r w:rsidRPr="00893878">
              <w:rPr>
                <w:rFonts w:cs="Arial"/>
              </w:rPr>
              <w:t>Renewable generation shifting</w:t>
            </w:r>
          </w:p>
        </w:tc>
      </w:tr>
      <w:tr w:rsidR="00EC5756" w:rsidRPr="00893878">
        <w:trPr>
          <w:trHeight w:val="496"/>
          <w:jc w:val="center"/>
        </w:trPr>
        <w:tc>
          <w:tcPr>
            <w:tcW w:w="2059" w:type="dxa"/>
            <w:noWrap/>
            <w:vAlign w:val="center"/>
          </w:tcPr>
          <w:p w:rsidR="00EC5756" w:rsidRPr="00893878" w:rsidRDefault="00DF5C90" w:rsidP="00B45219">
            <w:pPr>
              <w:pStyle w:val="IRPsanstext"/>
              <w:spacing w:line="276" w:lineRule="auto"/>
              <w:rPr>
                <w:rFonts w:cs="Arial"/>
                <w:color w:val="000000"/>
                <w:shd w:val="clear" w:color="auto" w:fill="FFFFFF"/>
              </w:rPr>
            </w:pPr>
            <w:r>
              <w:rPr>
                <w:rFonts w:cs="Arial"/>
                <w:color w:val="000000"/>
                <w:shd w:val="clear" w:color="auto" w:fill="FFFFFF"/>
              </w:rPr>
              <w:t>PDE Inc.</w:t>
            </w:r>
            <w:r w:rsidR="00EC5756">
              <w:rPr>
                <w:rFonts w:cs="Arial"/>
                <w:color w:val="000000"/>
                <w:shd w:val="clear" w:color="auto" w:fill="FFFFFF"/>
              </w:rPr>
              <w:t xml:space="preserve"> / 29 Palms Durathon Battery Project</w:t>
            </w:r>
          </w:p>
        </w:tc>
        <w:tc>
          <w:tcPr>
            <w:tcW w:w="1800" w:type="dxa"/>
            <w:noWrap/>
            <w:vAlign w:val="center"/>
          </w:tcPr>
          <w:p w:rsidR="00EC5756" w:rsidRPr="00893878" w:rsidRDefault="00EC5756" w:rsidP="00B45219">
            <w:pPr>
              <w:pStyle w:val="IRPsanstext"/>
              <w:spacing w:line="276" w:lineRule="auto"/>
              <w:rPr>
                <w:rFonts w:cs="Arial"/>
              </w:rPr>
            </w:pPr>
            <w:r>
              <w:rPr>
                <w:rFonts w:cs="Arial"/>
              </w:rPr>
              <w:t>0.5 MW / 1 MWh (2 hour)</w:t>
            </w:r>
          </w:p>
        </w:tc>
        <w:tc>
          <w:tcPr>
            <w:tcW w:w="1530" w:type="dxa"/>
            <w:noWrap/>
            <w:vAlign w:val="center"/>
          </w:tcPr>
          <w:p w:rsidR="00EC5756" w:rsidRPr="00893878" w:rsidRDefault="00EC5756" w:rsidP="00B45219">
            <w:pPr>
              <w:pStyle w:val="IRPsanstext"/>
              <w:spacing w:line="276" w:lineRule="auto"/>
              <w:rPr>
                <w:rFonts w:cs="Arial"/>
              </w:rPr>
            </w:pPr>
            <w:r>
              <w:rPr>
                <w:rFonts w:cs="Arial"/>
              </w:rPr>
              <w:t>Sodium nickel chloride</w:t>
            </w:r>
          </w:p>
        </w:tc>
        <w:tc>
          <w:tcPr>
            <w:tcW w:w="1800" w:type="dxa"/>
            <w:noWrap/>
            <w:vAlign w:val="center"/>
          </w:tcPr>
          <w:p w:rsidR="00EC5756" w:rsidRPr="00893878" w:rsidRDefault="00EC5756" w:rsidP="00B45219">
            <w:pPr>
              <w:pStyle w:val="IRPsanstext"/>
              <w:spacing w:line="276" w:lineRule="auto"/>
              <w:rPr>
                <w:rFonts w:cs="Arial"/>
                <w:color w:val="000000"/>
                <w:shd w:val="clear" w:color="auto" w:fill="FFFFFF"/>
              </w:rPr>
            </w:pPr>
            <w:r>
              <w:rPr>
                <w:rFonts w:cs="Arial"/>
                <w:color w:val="000000"/>
                <w:shd w:val="clear" w:color="auto" w:fill="FFFFFF"/>
              </w:rPr>
              <w:t>Palm Springs, CA</w:t>
            </w:r>
          </w:p>
        </w:tc>
        <w:tc>
          <w:tcPr>
            <w:tcW w:w="1293" w:type="dxa"/>
            <w:vAlign w:val="center"/>
          </w:tcPr>
          <w:p w:rsidR="00EC5756" w:rsidRPr="00893878" w:rsidRDefault="00EC5756" w:rsidP="00B45219">
            <w:pPr>
              <w:pStyle w:val="IRPsanstext"/>
              <w:spacing w:line="276" w:lineRule="auto"/>
              <w:rPr>
                <w:rFonts w:cs="Arial"/>
              </w:rPr>
            </w:pPr>
            <w:r>
              <w:rPr>
                <w:rFonts w:cs="Arial"/>
              </w:rPr>
              <w:t>Microgrid</w:t>
            </w:r>
          </w:p>
        </w:tc>
      </w:tr>
      <w:tr w:rsidR="00893878" w:rsidRPr="00893878">
        <w:trPr>
          <w:trHeight w:val="496"/>
          <w:jc w:val="center"/>
        </w:trPr>
        <w:tc>
          <w:tcPr>
            <w:tcW w:w="2059" w:type="dxa"/>
            <w:noWrap/>
            <w:vAlign w:val="center"/>
          </w:tcPr>
          <w:p w:rsidR="00893878" w:rsidRPr="00893878" w:rsidRDefault="00893878" w:rsidP="00B45219">
            <w:pPr>
              <w:pStyle w:val="IRPsanstext"/>
              <w:spacing w:line="276" w:lineRule="auto"/>
              <w:rPr>
                <w:rFonts w:cs="Arial"/>
              </w:rPr>
            </w:pPr>
            <w:r w:rsidRPr="00893878">
              <w:rPr>
                <w:rFonts w:cs="Arial"/>
                <w:color w:val="000000"/>
                <w:shd w:val="clear" w:color="auto" w:fill="FFFFFF"/>
              </w:rPr>
              <w:t>Western Power Distribution /</w:t>
            </w:r>
            <w:r w:rsidRPr="00893878">
              <w:rPr>
                <w:rFonts w:cs="Arial"/>
              </w:rPr>
              <w:t xml:space="preserve"> Falcon Project</w:t>
            </w:r>
          </w:p>
        </w:tc>
        <w:tc>
          <w:tcPr>
            <w:tcW w:w="1800" w:type="dxa"/>
            <w:noWrap/>
            <w:vAlign w:val="center"/>
          </w:tcPr>
          <w:p w:rsidR="00893878" w:rsidRPr="00893878" w:rsidRDefault="00893878" w:rsidP="00B45219">
            <w:pPr>
              <w:pStyle w:val="IRPsanstext"/>
              <w:spacing w:line="276" w:lineRule="auto"/>
              <w:rPr>
                <w:rFonts w:cs="Arial"/>
              </w:rPr>
            </w:pPr>
            <w:r w:rsidRPr="00893878">
              <w:rPr>
                <w:rFonts w:cs="Arial"/>
              </w:rPr>
              <w:t>0.25 MW / 0.5 MWh (2 hour)</w:t>
            </w:r>
          </w:p>
        </w:tc>
        <w:tc>
          <w:tcPr>
            <w:tcW w:w="1530" w:type="dxa"/>
            <w:noWrap/>
            <w:vAlign w:val="center"/>
          </w:tcPr>
          <w:p w:rsidR="00893878" w:rsidRPr="00893878" w:rsidRDefault="00893878" w:rsidP="00B45219">
            <w:pPr>
              <w:pStyle w:val="IRPsanstext"/>
              <w:spacing w:line="276" w:lineRule="auto"/>
              <w:rPr>
                <w:rFonts w:cs="Arial"/>
              </w:rPr>
            </w:pPr>
            <w:r w:rsidRPr="00893878">
              <w:rPr>
                <w:rFonts w:cs="Arial"/>
              </w:rPr>
              <w:t>Sodium nickel chloride</w:t>
            </w:r>
          </w:p>
        </w:tc>
        <w:tc>
          <w:tcPr>
            <w:tcW w:w="1800" w:type="dxa"/>
            <w:noWrap/>
            <w:vAlign w:val="center"/>
          </w:tcPr>
          <w:p w:rsidR="00893878" w:rsidRPr="00893878" w:rsidRDefault="00893878" w:rsidP="00B45219">
            <w:pPr>
              <w:pStyle w:val="IRPsanstext"/>
              <w:spacing w:line="276" w:lineRule="auto"/>
              <w:rPr>
                <w:rFonts w:cs="Arial"/>
              </w:rPr>
            </w:pPr>
            <w:r w:rsidRPr="00893878">
              <w:rPr>
                <w:rFonts w:cs="Arial"/>
                <w:color w:val="000000"/>
                <w:shd w:val="clear" w:color="auto" w:fill="FFFFFF"/>
              </w:rPr>
              <w:t>Milton Keynes, United Kingdom</w:t>
            </w:r>
          </w:p>
        </w:tc>
        <w:tc>
          <w:tcPr>
            <w:tcW w:w="1293" w:type="dxa"/>
            <w:vAlign w:val="center"/>
          </w:tcPr>
          <w:p w:rsidR="00893878" w:rsidRPr="00893878" w:rsidRDefault="00893878" w:rsidP="00B45219">
            <w:pPr>
              <w:pStyle w:val="IRPsanstext"/>
              <w:spacing w:line="276" w:lineRule="auto"/>
              <w:rPr>
                <w:rFonts w:cs="Arial"/>
              </w:rPr>
            </w:pPr>
            <w:r w:rsidRPr="00893878">
              <w:rPr>
                <w:rFonts w:cs="Arial"/>
              </w:rPr>
              <w:t>T&amp;D upgrade deferral</w:t>
            </w:r>
          </w:p>
        </w:tc>
      </w:tr>
      <w:tr w:rsidR="00893878" w:rsidRPr="00893878">
        <w:trPr>
          <w:trHeight w:val="495"/>
          <w:jc w:val="center"/>
        </w:trPr>
        <w:tc>
          <w:tcPr>
            <w:tcW w:w="2059" w:type="dxa"/>
            <w:noWrap/>
            <w:vAlign w:val="center"/>
          </w:tcPr>
          <w:p w:rsidR="00893878" w:rsidRPr="00893878" w:rsidRDefault="00893878" w:rsidP="00B45219">
            <w:pPr>
              <w:pStyle w:val="IRPsanstext"/>
              <w:spacing w:line="276" w:lineRule="auto"/>
              <w:rPr>
                <w:rFonts w:cs="Arial"/>
              </w:rPr>
            </w:pPr>
            <w:r w:rsidRPr="00893878">
              <w:rPr>
                <w:rFonts w:cs="Arial"/>
                <w:color w:val="000000"/>
                <w:shd w:val="clear" w:color="auto" w:fill="FFFFFF"/>
              </w:rPr>
              <w:t>Duke Energy</w:t>
            </w:r>
            <w:r w:rsidRPr="00893878">
              <w:rPr>
                <w:rFonts w:cs="Arial"/>
              </w:rPr>
              <w:t xml:space="preserve">  / Rankin Substation ESS</w:t>
            </w:r>
          </w:p>
        </w:tc>
        <w:tc>
          <w:tcPr>
            <w:tcW w:w="1800" w:type="dxa"/>
            <w:noWrap/>
            <w:vAlign w:val="center"/>
          </w:tcPr>
          <w:p w:rsidR="00893878" w:rsidRPr="00893878" w:rsidRDefault="00893878" w:rsidP="00B45219">
            <w:pPr>
              <w:pStyle w:val="IRPsanstext"/>
              <w:spacing w:line="276" w:lineRule="auto"/>
              <w:rPr>
                <w:rFonts w:cs="Arial"/>
              </w:rPr>
            </w:pPr>
            <w:r w:rsidRPr="00893878">
              <w:rPr>
                <w:rFonts w:cs="Arial"/>
              </w:rPr>
              <w:t xml:space="preserve">0.4 MW / </w:t>
            </w:r>
            <w:r w:rsidR="00EC5756">
              <w:rPr>
                <w:rFonts w:cs="Arial"/>
              </w:rPr>
              <w:t>0</w:t>
            </w:r>
            <w:r w:rsidRPr="00893878">
              <w:rPr>
                <w:rFonts w:cs="Arial"/>
              </w:rPr>
              <w:t>.3 MWh (42 min</w:t>
            </w:r>
            <w:r w:rsidR="00BE6C41">
              <w:rPr>
                <w:rFonts w:cs="Arial"/>
              </w:rPr>
              <w:t>utes</w:t>
            </w:r>
            <w:r w:rsidRPr="00893878">
              <w:rPr>
                <w:rFonts w:cs="Arial"/>
              </w:rPr>
              <w:t>)</w:t>
            </w:r>
          </w:p>
        </w:tc>
        <w:tc>
          <w:tcPr>
            <w:tcW w:w="1530" w:type="dxa"/>
            <w:noWrap/>
            <w:vAlign w:val="center"/>
          </w:tcPr>
          <w:p w:rsidR="00893878" w:rsidRPr="00893878" w:rsidRDefault="00893878" w:rsidP="00B45219">
            <w:pPr>
              <w:pStyle w:val="IRPsanstext"/>
              <w:spacing w:line="276" w:lineRule="auto"/>
              <w:rPr>
                <w:rFonts w:cs="Arial"/>
              </w:rPr>
            </w:pPr>
            <w:r w:rsidRPr="00893878">
              <w:rPr>
                <w:rFonts w:cs="Arial"/>
              </w:rPr>
              <w:t>Sodium nickel chloride</w:t>
            </w:r>
          </w:p>
        </w:tc>
        <w:tc>
          <w:tcPr>
            <w:tcW w:w="1800" w:type="dxa"/>
            <w:noWrap/>
            <w:vAlign w:val="center"/>
          </w:tcPr>
          <w:p w:rsidR="00893878" w:rsidRPr="00893878" w:rsidRDefault="00893878" w:rsidP="00B45219">
            <w:pPr>
              <w:pStyle w:val="IRPsanstext"/>
              <w:spacing w:line="276" w:lineRule="auto"/>
              <w:rPr>
                <w:rFonts w:cs="Arial"/>
              </w:rPr>
            </w:pPr>
            <w:r w:rsidRPr="00893878">
              <w:rPr>
                <w:rFonts w:cs="Arial"/>
                <w:color w:val="000000"/>
                <w:shd w:val="clear" w:color="auto" w:fill="FFFFFF"/>
              </w:rPr>
              <w:t>Mount Holly, NC</w:t>
            </w:r>
          </w:p>
        </w:tc>
        <w:tc>
          <w:tcPr>
            <w:tcW w:w="1293" w:type="dxa"/>
            <w:vAlign w:val="center"/>
          </w:tcPr>
          <w:p w:rsidR="00893878" w:rsidRPr="00893878" w:rsidRDefault="00893878" w:rsidP="00B45219">
            <w:pPr>
              <w:pStyle w:val="IRPsanstext"/>
              <w:spacing w:line="276" w:lineRule="auto"/>
              <w:rPr>
                <w:rFonts w:cs="Arial"/>
              </w:rPr>
            </w:pPr>
            <w:r w:rsidRPr="00893878">
              <w:rPr>
                <w:rFonts w:cs="Arial"/>
                <w:color w:val="000000"/>
                <w:shd w:val="clear" w:color="auto" w:fill="FFFFFF"/>
              </w:rPr>
              <w:t>Renewablecapacity firming</w:t>
            </w:r>
          </w:p>
        </w:tc>
      </w:tr>
    </w:tbl>
    <w:p w:rsidR="00893878" w:rsidRPr="00893878" w:rsidRDefault="00893878" w:rsidP="00893878">
      <w:pPr>
        <w:pStyle w:val="IRPsanstext"/>
        <w:rPr>
          <w:rFonts w:cs="Arial"/>
        </w:rPr>
      </w:pPr>
    </w:p>
    <w:p w:rsidR="00893878" w:rsidRPr="00893878" w:rsidRDefault="00893878" w:rsidP="00B45219">
      <w:pPr>
        <w:pStyle w:val="IRPsanstext"/>
      </w:pPr>
      <w:r w:rsidRPr="00893878">
        <w:t xml:space="preserve">A half dozen deployments are </w:t>
      </w:r>
      <w:r w:rsidR="00C92A09">
        <w:t>planned</w:t>
      </w:r>
      <w:r w:rsidR="00C92A09" w:rsidRPr="00893878">
        <w:t xml:space="preserve"> </w:t>
      </w:r>
      <w:r w:rsidRPr="00893878">
        <w:t>or under construction in</w:t>
      </w:r>
      <w:r w:rsidR="00C92A09">
        <w:t xml:space="preserve"> the United States,</w:t>
      </w:r>
      <w:r w:rsidR="00DF5C90">
        <w:t xml:space="preserve"> Italy</w:t>
      </w:r>
      <w:r w:rsidRPr="00893878">
        <w:t xml:space="preserve"> </w:t>
      </w:r>
      <w:r w:rsidR="00C92A09">
        <w:t>and the Maldives</w:t>
      </w:r>
      <w:r w:rsidRPr="00893878">
        <w:t>.</w:t>
      </w:r>
      <w:r w:rsidRPr="00893878">
        <w:rPr>
          <w:rStyle w:val="FootnoteReference"/>
          <w:rFonts w:cs="Arial"/>
        </w:rPr>
        <w:footnoteReference w:id="35"/>
      </w:r>
      <w:r w:rsidR="00C92A09">
        <w:t xml:space="preserve"> While most of these systems are planned to be rated at 100</w:t>
      </w:r>
      <w:r w:rsidR="00245EDA">
        <w:t xml:space="preserve"> kW to </w:t>
      </w:r>
      <w:r w:rsidR="00C92A09">
        <w:t>400 kW, two Italian installations are planned to be rated at 1 MW and 4 MW.</w:t>
      </w:r>
    </w:p>
    <w:p w:rsidR="00893878" w:rsidRDefault="00893878">
      <w:pPr>
        <w:rPr>
          <w:rFonts w:ascii="Arial" w:hAnsi="Arial" w:cs="Arial"/>
        </w:rPr>
      </w:pPr>
    </w:p>
    <w:p w:rsidR="00B45219" w:rsidRDefault="00B45219">
      <w:pPr>
        <w:rPr>
          <w:rFonts w:ascii="Arial" w:hAnsi="Arial" w:cs="Arial"/>
          <w:b/>
          <w:color w:val="156570"/>
          <w:sz w:val="28"/>
        </w:rPr>
      </w:pPr>
      <w:r>
        <w:rPr>
          <w:rFonts w:cs="Arial"/>
          <w:b/>
          <w:color w:val="156570"/>
          <w:sz w:val="28"/>
        </w:rPr>
        <w:br w:type="page"/>
      </w:r>
    </w:p>
    <w:p w:rsidR="00346BC1" w:rsidRDefault="00346BC1" w:rsidP="00893878">
      <w:pPr>
        <w:pStyle w:val="IRPsanstext"/>
        <w:rPr>
          <w:rFonts w:cs="Arial"/>
          <w:b/>
          <w:color w:val="156570"/>
          <w:sz w:val="28"/>
        </w:rPr>
      </w:pPr>
    </w:p>
    <w:p w:rsidR="00893878" w:rsidRDefault="00893878" w:rsidP="00893878">
      <w:pPr>
        <w:pStyle w:val="IRPsanstext"/>
      </w:pPr>
      <w:r w:rsidRPr="00893878">
        <w:rPr>
          <w:rFonts w:cs="Arial"/>
          <w:b/>
          <w:color w:val="156570"/>
          <w:sz w:val="28"/>
        </w:rPr>
        <w:t>Nickel-based.</w:t>
      </w:r>
      <w:r>
        <w:t xml:space="preserve"> </w:t>
      </w:r>
      <w:r w:rsidRPr="000F10E2">
        <w:t>The two main sub-technologies in the nickel-based family are nick</w:t>
      </w:r>
      <w:r>
        <w:t xml:space="preserve">el </w:t>
      </w:r>
      <w:r w:rsidRPr="000F10E2">
        <w:t>cadmium (NiCd), which has been in commercial use since 1915, and nickel metal hydride (NiMH), which became available around 1995. Nickel-based batteries are primarily used in portable elec</w:t>
      </w:r>
      <w:r>
        <w:t>tronics and electric vehicles due</w:t>
      </w:r>
      <w:r w:rsidRPr="000F10E2">
        <w:t xml:space="preserve"> to their high power density, cycle life and r</w:t>
      </w:r>
      <w:r>
        <w:t>ound-trip efficiency. O</w:t>
      </w:r>
      <w:r w:rsidRPr="000F10E2">
        <w:t xml:space="preserve">nly two operational projects </w:t>
      </w:r>
      <w:r>
        <w:t>have</w:t>
      </w:r>
      <w:r w:rsidRPr="000F10E2">
        <w:t xml:space="preserve"> energy </w:t>
      </w:r>
      <w:r>
        <w:t xml:space="preserve">ratings </w:t>
      </w:r>
      <w:r w:rsidRPr="000F10E2">
        <w:t>greater than 1</w:t>
      </w:r>
      <w:r>
        <w:t xml:space="preserve"> MWh.</w:t>
      </w:r>
      <w:r w:rsidRPr="000F10E2">
        <w:t xml:space="preserve"> </w:t>
      </w:r>
      <w:r>
        <w:t>One</w:t>
      </w:r>
      <w:r w:rsidRPr="000F10E2">
        <w:t xml:space="preserve"> of </w:t>
      </w:r>
      <w:r>
        <w:t>them</w:t>
      </w:r>
      <w:r w:rsidRPr="000F10E2">
        <w:t xml:space="preserve"> provides electric supply reserve capacity in Alaska</w:t>
      </w:r>
      <w:r>
        <w:t>,</w:t>
      </w:r>
      <w:r w:rsidRPr="000F10E2">
        <w:t xml:space="preserve"> and the other performs renewab</w:t>
      </w:r>
      <w:r>
        <w:t>le capacity firming on Bonaire I</w:t>
      </w:r>
      <w:r w:rsidRPr="000F10E2">
        <w:t>sland.  Although Sandia states that “Nickel-cadmium and nickel metal hydride batteries are mature and suitable for niche applications,”</w:t>
      </w:r>
      <w:r w:rsidRPr="000F10E2">
        <w:rPr>
          <w:rStyle w:val="FootnoteReference"/>
          <w:rFonts w:asciiTheme="majorHAnsi" w:hAnsiTheme="majorHAnsi"/>
        </w:rPr>
        <w:footnoteReference w:id="36"/>
      </w:r>
      <w:r>
        <w:t xml:space="preserve"> the fact that so few grid-</w:t>
      </w:r>
      <w:r w:rsidRPr="000F10E2">
        <w:t xml:space="preserve">scale deployments exist suggests that nickel-based technology is not </w:t>
      </w:r>
      <w:r>
        <w:t>yet</w:t>
      </w:r>
      <w:r w:rsidRPr="000F10E2">
        <w:t xml:space="preserve"> competitive with other battery types. </w:t>
      </w:r>
    </w:p>
    <w:p w:rsidR="00893878" w:rsidRPr="000F10E2" w:rsidRDefault="00893878" w:rsidP="00893878">
      <w:pPr>
        <w:pStyle w:val="IRPsanstext"/>
        <w:rPr>
          <w:highlight w:val="yellow"/>
        </w:rPr>
      </w:pPr>
    </w:p>
    <w:p w:rsidR="00893878" w:rsidRPr="00893878" w:rsidRDefault="00893878" w:rsidP="00893878">
      <w:pPr>
        <w:pStyle w:val="IRPsanstext"/>
        <w:rPr>
          <w:b/>
        </w:rPr>
      </w:pPr>
      <w:r w:rsidRPr="001A1722">
        <w:rPr>
          <w:b/>
          <w:i/>
        </w:rPr>
        <w:t>Technical Details</w:t>
      </w:r>
      <w:r w:rsidR="00A21A60" w:rsidRPr="001A1722">
        <w:rPr>
          <w:b/>
          <w:i/>
        </w:rPr>
        <w:t>:</w:t>
      </w:r>
      <w:r w:rsidR="00A21A60">
        <w:rPr>
          <w:b/>
        </w:rPr>
        <w:t xml:space="preserve"> </w:t>
      </w:r>
      <w:r w:rsidRPr="000F10E2">
        <w:t>All nickel</w:t>
      </w:r>
      <w:r>
        <w:t>-based</w:t>
      </w:r>
      <w:r w:rsidRPr="000F10E2">
        <w:t xml:space="preserve"> batteries employ </w:t>
      </w:r>
      <w:r>
        <w:t>a cathode of nickel hydroxide. S</w:t>
      </w:r>
      <w:r w:rsidRPr="000F10E2">
        <w:t>ub-categories</w:t>
      </w:r>
      <w:r>
        <w:t xml:space="preserve"> are classified by </w:t>
      </w:r>
      <w:r w:rsidRPr="000F10E2">
        <w:t>anode composition</w:t>
      </w:r>
      <w:r>
        <w:t xml:space="preserve">: nickel </w:t>
      </w:r>
      <w:r w:rsidRPr="000F10E2">
        <w:t>cadmium, nickel iro</w:t>
      </w:r>
      <w:r>
        <w:t>n, nickel zinc, nickel hydrogen</w:t>
      </w:r>
      <w:r w:rsidRPr="000F10E2">
        <w:t xml:space="preserve"> and nickel metal hydride. The </w:t>
      </w:r>
      <w:r>
        <w:t>first three use a metallic anode</w:t>
      </w:r>
      <w:r w:rsidR="003E65A6">
        <w:t>;</w:t>
      </w:r>
      <w:r>
        <w:t xml:space="preserve"> the last two have anodes that store</w:t>
      </w:r>
      <w:r w:rsidRPr="000F10E2">
        <w:t xml:space="preserve"> hydrogen.  </w:t>
      </w:r>
    </w:p>
    <w:p w:rsidR="00893878" w:rsidRPr="000F10E2" w:rsidRDefault="00893878" w:rsidP="00893878">
      <w:pPr>
        <w:pStyle w:val="IRPsanstext"/>
      </w:pPr>
    </w:p>
    <w:p w:rsidR="00893878" w:rsidRPr="000F10E2" w:rsidRDefault="00893878" w:rsidP="00893878">
      <w:pPr>
        <w:pStyle w:val="IRPsanstext"/>
      </w:pPr>
      <w:r w:rsidRPr="000F10E2">
        <w:t>Ni</w:t>
      </w:r>
      <w:r>
        <w:t>ckel cadmium chemistry is a low-</w:t>
      </w:r>
      <w:r w:rsidRPr="000F10E2">
        <w:t>cost, mature technology with high energy density, but the toxicity of cadmium necessitate</w:t>
      </w:r>
      <w:r>
        <w:t xml:space="preserve">d a search for alternatives. </w:t>
      </w:r>
      <w:r w:rsidRPr="000F10E2">
        <w:t>Nickel metal hydride was developed in response. The metal hydride chemistry is safer and has a higher specific energy than nickel cadmium, but it charges slower and does not withstand very low operating temperatures.</w:t>
      </w:r>
      <w:r w:rsidRPr="000F10E2">
        <w:rPr>
          <w:rStyle w:val="FootnoteReference"/>
          <w:rFonts w:asciiTheme="majorHAnsi" w:hAnsiTheme="majorHAnsi"/>
        </w:rPr>
        <w:footnoteReference w:id="37"/>
      </w:r>
      <w:r>
        <w:t xml:space="preserve"> N</w:t>
      </w:r>
      <w:r w:rsidRPr="000F10E2">
        <w:t>ickel metal hydride</w:t>
      </w:r>
      <w:r>
        <w:t>’s safety</w:t>
      </w:r>
      <w:r w:rsidRPr="000F10E2">
        <w:t xml:space="preserve"> made it the battery of choice for electric a</w:t>
      </w:r>
      <w:r>
        <w:t>nd hybrid vehicles, but lithium-</w:t>
      </w:r>
      <w:r w:rsidRPr="000F10E2">
        <w:t>ion is challenging this status.</w:t>
      </w:r>
      <w:r>
        <w:t xml:space="preserve"> </w:t>
      </w:r>
      <w:r w:rsidRPr="000F10E2">
        <w:t>Other nickel chemistries are in the research and development phase.</w:t>
      </w:r>
    </w:p>
    <w:p w:rsidR="00893878" w:rsidRDefault="00893878" w:rsidP="00893878">
      <w:pPr>
        <w:pStyle w:val="IRPsanstext"/>
        <w:rPr>
          <w:i/>
        </w:rPr>
      </w:pPr>
    </w:p>
    <w:p w:rsidR="00893878" w:rsidRPr="00893878" w:rsidRDefault="00893878" w:rsidP="00893878">
      <w:pPr>
        <w:pStyle w:val="IRPsanstext"/>
        <w:rPr>
          <w:b/>
        </w:rPr>
      </w:pPr>
      <w:r w:rsidRPr="001A1722">
        <w:rPr>
          <w:b/>
          <w:i/>
        </w:rPr>
        <w:t>Deployments</w:t>
      </w:r>
      <w:r w:rsidR="00A21A60" w:rsidRPr="001A1722">
        <w:rPr>
          <w:b/>
          <w:i/>
        </w:rPr>
        <w:t>:</w:t>
      </w:r>
      <w:r w:rsidR="00A21A60">
        <w:rPr>
          <w:b/>
        </w:rPr>
        <w:t xml:space="preserve"> </w:t>
      </w:r>
      <w:r>
        <w:t>D</w:t>
      </w:r>
      <w:r w:rsidRPr="000F10E2">
        <w:t>eployments of nickel</w:t>
      </w:r>
      <w:r>
        <w:t>-</w:t>
      </w:r>
      <w:r w:rsidRPr="000F10E2">
        <w:t>based batteries total 3</w:t>
      </w:r>
      <w:r w:rsidR="00C92A09">
        <w:t>0.4</w:t>
      </w:r>
      <w:r>
        <w:t xml:space="preserve"> </w:t>
      </w:r>
      <w:r w:rsidRPr="000F10E2">
        <w:t>MW/</w:t>
      </w:r>
      <w:r w:rsidR="00C92A09">
        <w:t>7</w:t>
      </w:r>
      <w:r w:rsidRPr="000F10E2">
        <w:t>.9</w:t>
      </w:r>
      <w:r>
        <w:t xml:space="preserve"> </w:t>
      </w:r>
      <w:r w:rsidRPr="000F10E2">
        <w:t>MWh, of which 27MW/</w:t>
      </w:r>
      <w:r>
        <w:t xml:space="preserve"> </w:t>
      </w:r>
      <w:r w:rsidRPr="000F10E2">
        <w:t>6.8MW</w:t>
      </w:r>
      <w:r>
        <w:t>h is installed in one project. Figure L-</w:t>
      </w:r>
      <w:r w:rsidR="00004846">
        <w:t xml:space="preserve">11 </w:t>
      </w:r>
      <w:r>
        <w:t>shows the three largest nickel-</w:t>
      </w:r>
      <w:r w:rsidRPr="000F10E2">
        <w:t xml:space="preserve">based </w:t>
      </w:r>
      <w:r>
        <w:t xml:space="preserve">energy storage </w:t>
      </w:r>
      <w:r w:rsidRPr="000F10E2">
        <w:t xml:space="preserve">projects on the DOE Global Energy Storage Database that are </w:t>
      </w:r>
      <w:r>
        <w:t>not owned by</w:t>
      </w:r>
      <w:r w:rsidRPr="000F10E2">
        <w:t xml:space="preserve"> private citizens. </w:t>
      </w:r>
    </w:p>
    <w:p w:rsidR="00893878" w:rsidRDefault="00893878">
      <w:pPr>
        <w:rPr>
          <w:rFonts w:ascii="Arial" w:hAnsi="Arial"/>
        </w:rPr>
      </w:pPr>
      <w:r>
        <w:br w:type="page"/>
      </w:r>
    </w:p>
    <w:p w:rsidR="00893878" w:rsidRDefault="00893878" w:rsidP="00893878">
      <w:pPr>
        <w:pStyle w:val="IRPsanstext"/>
      </w:pPr>
    </w:p>
    <w:p w:rsidR="00893878" w:rsidRPr="007F7A43" w:rsidRDefault="00A21A60" w:rsidP="00A960CB">
      <w:pPr>
        <w:pStyle w:val="IRPFigureSub"/>
        <w:spacing w:after="120"/>
      </w:pPr>
      <w:bookmarkStart w:id="11" w:name="_Toc402942666"/>
      <w:r>
        <w:t>Figure L-</w:t>
      </w:r>
      <w:r w:rsidR="00004846">
        <w:t>11</w:t>
      </w:r>
      <w:r>
        <w:t xml:space="preserve">: </w:t>
      </w:r>
      <w:r w:rsidR="00893878" w:rsidRPr="00584A02">
        <w:t>Three Largest Nickel-based Energy Storage Projects</w:t>
      </w:r>
      <w:bookmarkEnd w:id="11"/>
      <w:r w:rsidR="0068203F">
        <w:rPr>
          <w:rStyle w:val="FootnoteReference"/>
        </w:rPr>
        <w:footnoteReference w:id="38"/>
      </w:r>
    </w:p>
    <w:tbl>
      <w:tblPr>
        <w:tblStyle w:val="TableGrid"/>
        <w:tblW w:w="8708" w:type="dxa"/>
        <w:jc w:val="center"/>
        <w:tblInd w:w="141" w:type="dxa"/>
        <w:tblLayout w:type="fixed"/>
        <w:tblLook w:val="04A0" w:firstRow="1" w:lastRow="0" w:firstColumn="1" w:lastColumn="0" w:noHBand="0" w:noVBand="1"/>
      </w:tblPr>
      <w:tblGrid>
        <w:gridCol w:w="2464"/>
        <w:gridCol w:w="1980"/>
        <w:gridCol w:w="1350"/>
        <w:gridCol w:w="1350"/>
        <w:gridCol w:w="1564"/>
      </w:tblGrid>
      <w:tr w:rsidR="00893878" w:rsidRPr="000F10E2">
        <w:trPr>
          <w:trHeight w:val="314"/>
          <w:jc w:val="center"/>
        </w:trPr>
        <w:tc>
          <w:tcPr>
            <w:tcW w:w="8708" w:type="dxa"/>
            <w:gridSpan w:val="5"/>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rsidR="00893878" w:rsidRPr="000F10E2" w:rsidRDefault="00893878" w:rsidP="007F7A43">
            <w:pPr>
              <w:pStyle w:val="IRPsanstext"/>
              <w:spacing w:line="276" w:lineRule="auto"/>
              <w:jc w:val="center"/>
              <w:rPr>
                <w:b/>
                <w:color w:val="FFFFFF" w:themeColor="background1"/>
              </w:rPr>
            </w:pPr>
            <w:r w:rsidRPr="000F10E2">
              <w:rPr>
                <w:b/>
                <w:color w:val="FFFFFF" w:themeColor="background1"/>
              </w:rPr>
              <w:t>Th</w:t>
            </w:r>
            <w:r>
              <w:rPr>
                <w:b/>
                <w:color w:val="FFFFFF" w:themeColor="background1"/>
              </w:rPr>
              <w:t>ree Largest Operational Nickel-b</w:t>
            </w:r>
            <w:r w:rsidRPr="000F10E2">
              <w:rPr>
                <w:b/>
                <w:color w:val="FFFFFF" w:themeColor="background1"/>
              </w:rPr>
              <w:t>ased Energy Storage Projects</w:t>
            </w:r>
          </w:p>
        </w:tc>
      </w:tr>
      <w:tr w:rsidR="00893878" w:rsidRPr="000F10E2">
        <w:trPr>
          <w:trHeight w:val="576"/>
          <w:jc w:val="center"/>
        </w:trPr>
        <w:tc>
          <w:tcPr>
            <w:tcW w:w="2464"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B45219">
            <w:pPr>
              <w:pStyle w:val="IRPsanstext"/>
              <w:spacing w:line="276" w:lineRule="auto"/>
              <w:rPr>
                <w:b/>
                <w:color w:val="FFFFFF" w:themeColor="background1"/>
              </w:rPr>
            </w:pPr>
            <w:r w:rsidRPr="000F10E2">
              <w:rPr>
                <w:b/>
                <w:color w:val="FFFFFF" w:themeColor="background1"/>
              </w:rPr>
              <w:t>Owner / Project</w:t>
            </w:r>
          </w:p>
        </w:tc>
        <w:tc>
          <w:tcPr>
            <w:tcW w:w="198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B45219">
            <w:pPr>
              <w:pStyle w:val="IRPsanstext"/>
              <w:spacing w:line="276" w:lineRule="auto"/>
              <w:rPr>
                <w:b/>
                <w:color w:val="FFFFFF" w:themeColor="background1"/>
              </w:rPr>
            </w:pPr>
            <w:r w:rsidRPr="000F10E2">
              <w:rPr>
                <w:b/>
                <w:color w:val="FFFFFF" w:themeColor="background1"/>
              </w:rPr>
              <w:t>Power / Energy (Duration)</w:t>
            </w:r>
          </w:p>
        </w:tc>
        <w:tc>
          <w:tcPr>
            <w:tcW w:w="135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B45219">
            <w:pPr>
              <w:pStyle w:val="IRPsanstext"/>
              <w:spacing w:line="276" w:lineRule="auto"/>
              <w:rPr>
                <w:b/>
                <w:color w:val="FFFFFF" w:themeColor="background1"/>
              </w:rPr>
            </w:pPr>
            <w:r w:rsidRPr="000F10E2">
              <w:rPr>
                <w:b/>
                <w:color w:val="FFFFFF" w:themeColor="background1"/>
              </w:rPr>
              <w:t>Technology</w:t>
            </w:r>
          </w:p>
        </w:tc>
        <w:tc>
          <w:tcPr>
            <w:tcW w:w="135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B45219">
            <w:pPr>
              <w:pStyle w:val="IRPsanstext"/>
              <w:spacing w:line="276" w:lineRule="auto"/>
              <w:rPr>
                <w:b/>
                <w:color w:val="FFFFFF" w:themeColor="background1"/>
              </w:rPr>
            </w:pPr>
            <w:r w:rsidRPr="000F10E2">
              <w:rPr>
                <w:b/>
                <w:color w:val="FFFFFF" w:themeColor="background1"/>
              </w:rPr>
              <w:t>Location</w:t>
            </w:r>
          </w:p>
        </w:tc>
        <w:tc>
          <w:tcPr>
            <w:tcW w:w="1564" w:type="dxa"/>
            <w:tcBorders>
              <w:top w:val="single" w:sz="4" w:space="0" w:color="auto"/>
              <w:left w:val="single" w:sz="4" w:space="0" w:color="auto"/>
              <w:bottom w:val="single" w:sz="4" w:space="0" w:color="auto"/>
              <w:right w:val="single" w:sz="4" w:space="0" w:color="auto"/>
            </w:tcBorders>
            <w:shd w:val="clear" w:color="auto" w:fill="156570"/>
          </w:tcPr>
          <w:p w:rsidR="00893878" w:rsidRPr="000F10E2" w:rsidRDefault="00893878" w:rsidP="00B45219">
            <w:pPr>
              <w:pStyle w:val="IRPsanstext"/>
              <w:spacing w:line="276" w:lineRule="auto"/>
              <w:rPr>
                <w:b/>
                <w:color w:val="FFFFFF" w:themeColor="background1"/>
              </w:rPr>
            </w:pPr>
            <w:r w:rsidRPr="000F10E2">
              <w:rPr>
                <w:b/>
                <w:color w:val="FFFFFF" w:themeColor="background1"/>
              </w:rPr>
              <w:t>Primary Function</w:t>
            </w:r>
          </w:p>
        </w:tc>
      </w:tr>
      <w:tr w:rsidR="00893878" w:rsidRPr="000F10E2">
        <w:trPr>
          <w:trHeight w:val="495"/>
          <w:jc w:val="center"/>
        </w:trPr>
        <w:tc>
          <w:tcPr>
            <w:tcW w:w="2464" w:type="dxa"/>
            <w:tcBorders>
              <w:top w:val="single" w:sz="4" w:space="0" w:color="auto"/>
            </w:tcBorders>
            <w:noWrap/>
            <w:vAlign w:val="center"/>
          </w:tcPr>
          <w:p w:rsidR="00893878" w:rsidRPr="000F10E2" w:rsidRDefault="00893878" w:rsidP="00B45219">
            <w:pPr>
              <w:pStyle w:val="IRPsanstext"/>
              <w:spacing w:line="276" w:lineRule="auto"/>
            </w:pPr>
            <w:r w:rsidRPr="000F10E2">
              <w:t>Golden Valley Electric Association / Battery Energy Storage System</w:t>
            </w:r>
          </w:p>
        </w:tc>
        <w:tc>
          <w:tcPr>
            <w:tcW w:w="1980" w:type="dxa"/>
            <w:tcBorders>
              <w:top w:val="single" w:sz="4" w:space="0" w:color="auto"/>
            </w:tcBorders>
            <w:noWrap/>
            <w:vAlign w:val="center"/>
          </w:tcPr>
          <w:p w:rsidR="00893878" w:rsidRPr="000F10E2" w:rsidRDefault="00893878" w:rsidP="00B45219">
            <w:pPr>
              <w:pStyle w:val="IRPsanstext"/>
              <w:spacing w:line="276" w:lineRule="auto"/>
            </w:pPr>
            <w:r w:rsidRPr="000F10E2">
              <w:t>27 MW / 6.75 MWh (15 min</w:t>
            </w:r>
            <w:r w:rsidR="00BE6C41">
              <w:t>utes</w:t>
            </w:r>
            <w:r w:rsidRPr="000F10E2">
              <w:t>)</w:t>
            </w:r>
          </w:p>
        </w:tc>
        <w:tc>
          <w:tcPr>
            <w:tcW w:w="1350" w:type="dxa"/>
            <w:tcBorders>
              <w:top w:val="single" w:sz="4" w:space="0" w:color="auto"/>
            </w:tcBorders>
            <w:noWrap/>
            <w:vAlign w:val="center"/>
          </w:tcPr>
          <w:p w:rsidR="00893878" w:rsidRPr="000F10E2" w:rsidRDefault="00893878" w:rsidP="00B45219">
            <w:pPr>
              <w:pStyle w:val="IRPsanstext"/>
              <w:spacing w:line="276" w:lineRule="auto"/>
            </w:pPr>
            <w:r w:rsidRPr="000F10E2">
              <w:rPr>
                <w:rFonts w:cs="Arial"/>
                <w:color w:val="000000"/>
                <w:shd w:val="clear" w:color="auto" w:fill="FFFFFF"/>
              </w:rPr>
              <w:t>Nickel cadmium</w:t>
            </w:r>
          </w:p>
        </w:tc>
        <w:tc>
          <w:tcPr>
            <w:tcW w:w="1350" w:type="dxa"/>
            <w:tcBorders>
              <w:top w:val="single" w:sz="4" w:space="0" w:color="auto"/>
            </w:tcBorders>
            <w:noWrap/>
            <w:vAlign w:val="center"/>
          </w:tcPr>
          <w:p w:rsidR="00893878" w:rsidRPr="000F10E2" w:rsidRDefault="00893878" w:rsidP="00B45219">
            <w:pPr>
              <w:pStyle w:val="IRPsanstext"/>
              <w:spacing w:line="276" w:lineRule="auto"/>
            </w:pPr>
            <w:r w:rsidRPr="000F10E2">
              <w:rPr>
                <w:rFonts w:cs="Arial"/>
                <w:color w:val="000000"/>
                <w:shd w:val="clear" w:color="auto" w:fill="FFFFFF"/>
              </w:rPr>
              <w:t>Fairbanks, AK</w:t>
            </w:r>
          </w:p>
        </w:tc>
        <w:tc>
          <w:tcPr>
            <w:tcW w:w="1564" w:type="dxa"/>
            <w:tcBorders>
              <w:top w:val="single" w:sz="4" w:space="0" w:color="auto"/>
            </w:tcBorders>
            <w:vAlign w:val="center"/>
          </w:tcPr>
          <w:p w:rsidR="00893878" w:rsidRPr="000F10E2" w:rsidRDefault="00893878" w:rsidP="00B45219">
            <w:pPr>
              <w:pStyle w:val="IRPsanstext"/>
              <w:spacing w:line="276" w:lineRule="auto"/>
            </w:pPr>
            <w:r w:rsidRPr="000F10E2">
              <w:rPr>
                <w:rFonts w:cs="Arial"/>
                <w:color w:val="000000"/>
                <w:shd w:val="clear" w:color="auto" w:fill="FFFFFF"/>
              </w:rPr>
              <w:t>Electric Supply Reserve - Spinning</w:t>
            </w:r>
          </w:p>
        </w:tc>
      </w:tr>
      <w:tr w:rsidR="00893878" w:rsidRPr="000F10E2">
        <w:trPr>
          <w:trHeight w:val="495"/>
          <w:jc w:val="center"/>
        </w:trPr>
        <w:tc>
          <w:tcPr>
            <w:tcW w:w="2464"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EcoPower Bonaire BV</w:t>
            </w:r>
            <w:r w:rsidRPr="000F10E2">
              <w:t xml:space="preserve"> / Bonaire Wind-Diesel Hybrid</w:t>
            </w:r>
          </w:p>
        </w:tc>
        <w:tc>
          <w:tcPr>
            <w:tcW w:w="1980" w:type="dxa"/>
            <w:noWrap/>
            <w:vAlign w:val="center"/>
          </w:tcPr>
          <w:p w:rsidR="00893878" w:rsidRPr="000F10E2" w:rsidRDefault="00893878" w:rsidP="00B45219">
            <w:pPr>
              <w:pStyle w:val="IRPsanstext"/>
              <w:spacing w:line="276" w:lineRule="auto"/>
            </w:pPr>
            <w:r w:rsidRPr="000F10E2">
              <w:t>3 MW / 0.25 MWh (5 min</w:t>
            </w:r>
            <w:r w:rsidR="00BE6C41">
              <w:t>utes</w:t>
            </w:r>
            <w:r w:rsidRPr="000F10E2">
              <w:t>)</w:t>
            </w:r>
          </w:p>
        </w:tc>
        <w:tc>
          <w:tcPr>
            <w:tcW w:w="1350"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Nickel cadmium</w:t>
            </w:r>
          </w:p>
        </w:tc>
        <w:tc>
          <w:tcPr>
            <w:tcW w:w="1350"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Bonaire, Netherlands</w:t>
            </w:r>
          </w:p>
        </w:tc>
        <w:tc>
          <w:tcPr>
            <w:tcW w:w="1564" w:type="dxa"/>
            <w:vAlign w:val="center"/>
          </w:tcPr>
          <w:p w:rsidR="00893878" w:rsidRPr="000F10E2" w:rsidRDefault="00893878" w:rsidP="00B45219">
            <w:pPr>
              <w:pStyle w:val="IRPsanstext"/>
              <w:spacing w:line="276" w:lineRule="auto"/>
            </w:pPr>
            <w:r w:rsidRPr="000F10E2">
              <w:rPr>
                <w:rFonts w:cs="Arial"/>
                <w:color w:val="000000"/>
                <w:shd w:val="clear" w:color="auto" w:fill="FFFFFF"/>
              </w:rPr>
              <w:t>Renewables capacity firming</w:t>
            </w:r>
          </w:p>
        </w:tc>
      </w:tr>
      <w:tr w:rsidR="00893878" w:rsidRPr="000F10E2">
        <w:trPr>
          <w:trHeight w:val="496"/>
          <w:jc w:val="center"/>
        </w:trPr>
        <w:tc>
          <w:tcPr>
            <w:tcW w:w="2464" w:type="dxa"/>
            <w:noWrap/>
            <w:vAlign w:val="center"/>
          </w:tcPr>
          <w:p w:rsidR="00893878" w:rsidRPr="000F10E2" w:rsidRDefault="00893878" w:rsidP="00B45219">
            <w:pPr>
              <w:pStyle w:val="IRPsanstext"/>
              <w:spacing w:line="276" w:lineRule="auto"/>
            </w:pPr>
            <w:r w:rsidRPr="000F10E2">
              <w:t xml:space="preserve">Okinawa Electric Power Company / Minami Daito Island </w:t>
            </w:r>
          </w:p>
        </w:tc>
        <w:tc>
          <w:tcPr>
            <w:tcW w:w="1980" w:type="dxa"/>
            <w:noWrap/>
            <w:vAlign w:val="center"/>
          </w:tcPr>
          <w:p w:rsidR="00893878" w:rsidRPr="000F10E2" w:rsidRDefault="001B46D9" w:rsidP="00B45219">
            <w:pPr>
              <w:pStyle w:val="IRPsanstext"/>
              <w:spacing w:line="276" w:lineRule="auto"/>
            </w:pPr>
            <w:r>
              <w:t xml:space="preserve">0.3 MW / 0.08 </w:t>
            </w:r>
            <w:r w:rsidR="00893878" w:rsidRPr="000F10E2">
              <w:t>MWh (15 min</w:t>
            </w:r>
            <w:r w:rsidR="00BE6C41">
              <w:t>utes</w:t>
            </w:r>
            <w:r w:rsidR="00893878" w:rsidRPr="000F10E2">
              <w:t>)</w:t>
            </w:r>
          </w:p>
        </w:tc>
        <w:tc>
          <w:tcPr>
            <w:tcW w:w="1350"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Nickel metal hydride</w:t>
            </w:r>
          </w:p>
        </w:tc>
        <w:tc>
          <w:tcPr>
            <w:tcW w:w="1350"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Okinawa, Japan</w:t>
            </w:r>
          </w:p>
        </w:tc>
        <w:tc>
          <w:tcPr>
            <w:tcW w:w="1564" w:type="dxa"/>
            <w:vAlign w:val="center"/>
          </w:tcPr>
          <w:p w:rsidR="00893878" w:rsidRPr="000F10E2" w:rsidRDefault="00893878" w:rsidP="00B45219">
            <w:pPr>
              <w:pStyle w:val="IRPsanstext"/>
              <w:spacing w:line="276" w:lineRule="auto"/>
            </w:pPr>
            <w:r w:rsidRPr="000F10E2">
              <w:t>Frequency regulation</w:t>
            </w:r>
          </w:p>
        </w:tc>
      </w:tr>
    </w:tbl>
    <w:p w:rsidR="00893878" w:rsidRDefault="00893878" w:rsidP="00893878">
      <w:pPr>
        <w:pStyle w:val="IRPsanstext"/>
      </w:pPr>
    </w:p>
    <w:p w:rsidR="00893878" w:rsidRDefault="00893878" w:rsidP="00893878">
      <w:pPr>
        <w:pStyle w:val="IRPsanstext"/>
      </w:pPr>
      <w:r w:rsidRPr="000F10E2">
        <w:t>According to the DOE Global Energy Storage Database, there are no megawatt scale nickel-based projects currently planned or under construction.</w:t>
      </w:r>
    </w:p>
    <w:p w:rsidR="00B45219" w:rsidRPr="000F10E2" w:rsidRDefault="00B45219" w:rsidP="00893878">
      <w:pPr>
        <w:pStyle w:val="IRPsanstext"/>
      </w:pPr>
    </w:p>
    <w:p w:rsidR="00893878" w:rsidRDefault="00893878" w:rsidP="00893878">
      <w:pPr>
        <w:pStyle w:val="IRPsanstext"/>
      </w:pPr>
      <w:r w:rsidRPr="00B45219">
        <w:rPr>
          <w:rFonts w:cs="Arial"/>
          <w:b/>
          <w:color w:val="156570"/>
          <w:sz w:val="28"/>
        </w:rPr>
        <w:t>Flow Batteries.</w:t>
      </w:r>
      <w:r>
        <w:rPr>
          <w:rFonts w:ascii="Times New Roman" w:hAnsi="Times New Roman"/>
          <w:b/>
          <w:color w:val="3366FF"/>
          <w:sz w:val="28"/>
        </w:rPr>
        <w:t xml:space="preserve"> </w:t>
      </w:r>
      <w:r w:rsidRPr="000F10E2">
        <w:t xml:space="preserve">Flow batteries are fundamentally different than other types of electrochemical storage because the </w:t>
      </w:r>
      <w:r>
        <w:t xml:space="preserve">systems’ </w:t>
      </w:r>
      <w:r w:rsidRPr="000F10E2">
        <w:t xml:space="preserve">power and energy </w:t>
      </w:r>
      <w:r>
        <w:t>components are separate</w:t>
      </w:r>
      <w:r w:rsidRPr="000F10E2">
        <w:t xml:space="preserve">. This feature allows </w:t>
      </w:r>
      <w:r>
        <w:t xml:space="preserve">flow </w:t>
      </w:r>
      <w:r w:rsidRPr="000F10E2">
        <w:t>systems to be tailored to specific applications and constraints. A number of megawatt-scale demonstration projects are testing the deep dis</w:t>
      </w:r>
      <w:r>
        <w:t>charge ability, long cycle life</w:t>
      </w:r>
      <w:r w:rsidRPr="000F10E2">
        <w:t xml:space="preserve"> and easy scalability tha</w:t>
      </w:r>
      <w:r>
        <w:t xml:space="preserve">t characterize flow batteries. </w:t>
      </w:r>
      <w:r w:rsidRPr="000F10E2">
        <w:t>Some chemistries have been more extensively dev</w:t>
      </w:r>
      <w:r>
        <w:t>eloped and deployed than others;</w:t>
      </w:r>
      <w:r w:rsidRPr="000F10E2">
        <w:t xml:space="preserve"> maturity ranges from development stage (</w:t>
      </w:r>
      <w:r>
        <w:t>for iron-chromium and</w:t>
      </w:r>
      <w:r w:rsidRPr="000F10E2">
        <w:t xml:space="preserve"> zinc-bromine) to pre-commercial (</w:t>
      </w:r>
      <w:r>
        <w:t>for vanadium). P</w:t>
      </w:r>
      <w:r w:rsidRPr="000F10E2">
        <w:t xml:space="preserve">rojects </w:t>
      </w:r>
      <w:r>
        <w:t>in operation range</w:t>
      </w:r>
      <w:r w:rsidRPr="000F10E2">
        <w:t xml:space="preserve"> from 5</w:t>
      </w:r>
      <w:r>
        <w:t xml:space="preserve"> </w:t>
      </w:r>
      <w:r w:rsidRPr="000F10E2">
        <w:t>MW/10</w:t>
      </w:r>
      <w:r w:rsidR="00233794">
        <w:t xml:space="preserve"> MWh (2 </w:t>
      </w:r>
      <w:r w:rsidR="003E65A6">
        <w:t xml:space="preserve">hour </w:t>
      </w:r>
      <w:r w:rsidR="00233794">
        <w:t xml:space="preserve">duration) to </w:t>
      </w:r>
      <w:r w:rsidR="0060738B">
        <w:t xml:space="preserve">3 </w:t>
      </w:r>
      <w:r w:rsidR="00233794">
        <w:t>k</w:t>
      </w:r>
      <w:r w:rsidRPr="000F10E2">
        <w:t>W/</w:t>
      </w:r>
      <w:r w:rsidR="000965B4">
        <w:t>8</w:t>
      </w:r>
      <w:r>
        <w:t xml:space="preserve"> </w:t>
      </w:r>
      <w:r w:rsidR="0060738B">
        <w:t xml:space="preserve">kWh </w:t>
      </w:r>
      <w:r>
        <w:t>(</w:t>
      </w:r>
      <w:r w:rsidR="00A94700">
        <w:t xml:space="preserve">2 </w:t>
      </w:r>
      <w:r w:rsidR="003E65A6">
        <w:t>hour</w:t>
      </w:r>
      <w:r w:rsidR="0060738B">
        <w:t>, 40 minute</w:t>
      </w:r>
      <w:r w:rsidR="003E65A6">
        <w:t xml:space="preserve"> </w:t>
      </w:r>
      <w:r>
        <w:t xml:space="preserve">duration). </w:t>
      </w:r>
      <w:r w:rsidR="00342397">
        <w:t xml:space="preserve">The larger projects </w:t>
      </w:r>
      <w:r w:rsidRPr="000F10E2">
        <w:t xml:space="preserve">are focused on integrating renewables, </w:t>
      </w:r>
      <w:r w:rsidR="00342397">
        <w:t>while many of the</w:t>
      </w:r>
      <w:r w:rsidRPr="000F10E2">
        <w:t xml:space="preserve"> smaller pilots are testing for peak shaving and ancillary services as well.</w:t>
      </w:r>
      <w:r w:rsidRPr="000F10E2">
        <w:rPr>
          <w:rStyle w:val="FootnoteReference"/>
          <w:rFonts w:asciiTheme="majorHAnsi" w:hAnsiTheme="majorHAnsi"/>
        </w:rPr>
        <w:footnoteReference w:id="39"/>
      </w:r>
      <w:r w:rsidRPr="000F10E2">
        <w:t xml:space="preserve">  </w:t>
      </w:r>
    </w:p>
    <w:p w:rsidR="00893878" w:rsidRPr="000F10E2" w:rsidRDefault="00893878" w:rsidP="00893878">
      <w:pPr>
        <w:pStyle w:val="IRPsanstext"/>
      </w:pPr>
    </w:p>
    <w:p w:rsidR="00893878" w:rsidRPr="00B45219" w:rsidRDefault="00893878" w:rsidP="00893878">
      <w:pPr>
        <w:pStyle w:val="IRPsanstext"/>
        <w:rPr>
          <w:b/>
        </w:rPr>
      </w:pPr>
      <w:r w:rsidRPr="001A1722">
        <w:rPr>
          <w:b/>
          <w:i/>
        </w:rPr>
        <w:t>Technical Details</w:t>
      </w:r>
      <w:r w:rsidR="00A21A60" w:rsidRPr="001A1722">
        <w:rPr>
          <w:b/>
          <w:i/>
        </w:rPr>
        <w:t>:</w:t>
      </w:r>
      <w:r w:rsidR="00A21A60">
        <w:rPr>
          <w:b/>
        </w:rPr>
        <w:t xml:space="preserve"> </w:t>
      </w:r>
      <w:r>
        <w:t>O</w:t>
      </w:r>
      <w:r w:rsidRPr="000F10E2">
        <w:t>ne or both of</w:t>
      </w:r>
      <w:r>
        <w:t xml:space="preserve"> a flow battery’s</w:t>
      </w:r>
      <w:r w:rsidRPr="000F10E2">
        <w:t xml:space="preserve"> active materials </w:t>
      </w:r>
      <w:r>
        <w:t xml:space="preserve">is </w:t>
      </w:r>
      <w:r w:rsidRPr="000F10E2">
        <w:t>in solution in the</w:t>
      </w:r>
      <w:r>
        <w:t xml:space="preserve"> electrolyte at any given time.</w:t>
      </w:r>
      <w:r w:rsidRPr="000F10E2">
        <w:t xml:space="preserve"> In traditional flow batteries, the </w:t>
      </w:r>
      <w:r>
        <w:t xml:space="preserve">electrolyte </w:t>
      </w:r>
      <w:r w:rsidRPr="000F10E2">
        <w:t xml:space="preserve">solution is stored in </w:t>
      </w:r>
      <w:r>
        <w:t>separate</w:t>
      </w:r>
      <w:r w:rsidRPr="000F10E2">
        <w:t xml:space="preserve"> containers and pumped to the cell stack and electrodes where an oxidation-reduction reaction occurs. This allows the electrolyte tanks (energy) and cell stack (power)</w:t>
      </w:r>
      <w:r>
        <w:t xml:space="preserve"> to be sized separately</w:t>
      </w:r>
      <w:r w:rsidRPr="000F10E2">
        <w:t xml:space="preserve">, which </w:t>
      </w:r>
      <w:r>
        <w:t>makes these systems very flexible</w:t>
      </w:r>
      <w:r w:rsidRPr="000F10E2">
        <w:t>.</w:t>
      </w:r>
      <w:r w:rsidRPr="000F10E2">
        <w:rPr>
          <w:rStyle w:val="FootnoteReference"/>
          <w:rFonts w:asciiTheme="majorHAnsi" w:hAnsiTheme="majorHAnsi"/>
        </w:rPr>
        <w:footnoteReference w:id="40"/>
      </w:r>
    </w:p>
    <w:p w:rsidR="00893878" w:rsidRPr="000F10E2" w:rsidRDefault="00893878" w:rsidP="00893878">
      <w:pPr>
        <w:pStyle w:val="IRPsanstext"/>
      </w:pPr>
    </w:p>
    <w:p w:rsidR="00B45219" w:rsidRPr="00A21A60" w:rsidRDefault="00B45219" w:rsidP="00A21A60">
      <w:pPr>
        <w:rPr>
          <w:rFonts w:ascii="Arial" w:hAnsi="Arial"/>
        </w:rPr>
      </w:pPr>
      <w:r>
        <w:br w:type="page"/>
      </w:r>
    </w:p>
    <w:p w:rsidR="000E0213" w:rsidRDefault="000E0213" w:rsidP="00893878">
      <w:pPr>
        <w:pStyle w:val="IRPsanstext"/>
      </w:pPr>
    </w:p>
    <w:p w:rsidR="00893878" w:rsidRPr="000F10E2" w:rsidRDefault="00893878" w:rsidP="00893878">
      <w:pPr>
        <w:pStyle w:val="IRPsanstext"/>
      </w:pPr>
      <w:r w:rsidRPr="000F10E2">
        <w:t>Several chemist</w:t>
      </w:r>
      <w:r>
        <w:t>ries have proven technically</w:t>
      </w:r>
      <w:r w:rsidRPr="000F10E2">
        <w:t xml:space="preserve"> feasible</w:t>
      </w:r>
      <w:r>
        <w:t>,</w:t>
      </w:r>
      <w:r w:rsidRPr="000F10E2">
        <w:t xml:space="preserve"> including vanadium-vanadium (V</w:t>
      </w:r>
      <w:r w:rsidRPr="000F10E2">
        <w:rPr>
          <w:vertAlign w:val="superscript"/>
        </w:rPr>
        <w:t>n+</w:t>
      </w:r>
      <w:r>
        <w:t>), iron-chromium (Fe-Cr)</w:t>
      </w:r>
      <w:r w:rsidRPr="000F10E2">
        <w:t xml:space="preserve"> and zinc-bromine (ZnBr</w:t>
      </w:r>
      <w:r w:rsidRPr="000F10E2">
        <w:rPr>
          <w:vertAlign w:val="subscript"/>
        </w:rPr>
        <w:t>2</w:t>
      </w:r>
      <w:r w:rsidRPr="000F10E2">
        <w:t xml:space="preserve">). Iron-chromium’s advantages are a very safe electrolyte and </w:t>
      </w:r>
      <w:r>
        <w:t>abundant and low-</w:t>
      </w:r>
      <w:r w:rsidRPr="000F10E2">
        <w:t>cost materials.</w:t>
      </w:r>
      <w:r w:rsidRPr="000F10E2">
        <w:rPr>
          <w:rStyle w:val="FootnoteReference"/>
          <w:rFonts w:asciiTheme="majorHAnsi" w:hAnsiTheme="majorHAnsi"/>
        </w:rPr>
        <w:footnoteReference w:id="41"/>
      </w:r>
      <w:r w:rsidRPr="000F10E2">
        <w:t xml:space="preserve"> Vanadium </w:t>
      </w:r>
      <w:r>
        <w:t>uses</w:t>
      </w:r>
      <w:r w:rsidRPr="000F10E2">
        <w:t xml:space="preserve"> ions of the same metal on both sides of the reaction, </w:t>
      </w:r>
      <w:r>
        <w:t>which prevents</w:t>
      </w:r>
      <w:r w:rsidRPr="000F10E2">
        <w:t xml:space="preserve"> the crossover degradation that occurs in other flow batteries as ions try to cross the cell membrane.</w:t>
      </w:r>
      <w:r w:rsidRPr="000F10E2">
        <w:rPr>
          <w:rStyle w:val="FootnoteReference"/>
          <w:rFonts w:asciiTheme="majorHAnsi" w:hAnsiTheme="majorHAnsi"/>
        </w:rPr>
        <w:footnoteReference w:id="42"/>
      </w:r>
      <w:r w:rsidRPr="000F10E2">
        <w:t xml:space="preserve"> Zinc-bromine combines</w:t>
      </w:r>
      <w:r>
        <w:t xml:space="preserve"> the</w:t>
      </w:r>
      <w:r w:rsidRPr="000F10E2">
        <w:t xml:space="preserve"> features of a conventional battery and flow battery: One electrolyte is stored in an external tank and the other is stored internally in the electrochemical cell. The zinc-bromine chemistry allows higher power and energy densities than other flow batteries but bromine is </w:t>
      </w:r>
      <w:r>
        <w:t xml:space="preserve">also </w:t>
      </w:r>
      <w:r w:rsidRPr="000F10E2">
        <w:t xml:space="preserve">corrosive </w:t>
      </w:r>
      <w:r>
        <w:t xml:space="preserve">and </w:t>
      </w:r>
      <w:r w:rsidRPr="000F10E2">
        <w:t>can lead to component degradation and failure.</w:t>
      </w:r>
      <w:r w:rsidRPr="000F10E2">
        <w:rPr>
          <w:rStyle w:val="FootnoteReference"/>
          <w:rFonts w:asciiTheme="majorHAnsi" w:hAnsiTheme="majorHAnsi"/>
        </w:rPr>
        <w:footnoteReference w:id="43"/>
      </w:r>
      <w:r w:rsidRPr="000F10E2">
        <w:t xml:space="preserve">  </w:t>
      </w:r>
    </w:p>
    <w:p w:rsidR="00893878" w:rsidRDefault="00893878" w:rsidP="00893878">
      <w:pPr>
        <w:pStyle w:val="IRPsanstext"/>
        <w:rPr>
          <w:i/>
        </w:rPr>
      </w:pPr>
    </w:p>
    <w:p w:rsidR="00893878" w:rsidRPr="00A21A60" w:rsidRDefault="00893878" w:rsidP="00893878">
      <w:pPr>
        <w:pStyle w:val="IRPsanstext"/>
        <w:rPr>
          <w:b/>
        </w:rPr>
      </w:pPr>
      <w:r w:rsidRPr="001A1722">
        <w:rPr>
          <w:b/>
          <w:i/>
        </w:rPr>
        <w:t>Deployments</w:t>
      </w:r>
      <w:r w:rsidR="00A21A60" w:rsidRPr="001A1722">
        <w:rPr>
          <w:b/>
          <w:i/>
        </w:rPr>
        <w:t>:</w:t>
      </w:r>
      <w:r w:rsidR="00A21A60">
        <w:rPr>
          <w:b/>
        </w:rPr>
        <w:t xml:space="preserve"> </w:t>
      </w:r>
      <w:r w:rsidRPr="000F10E2">
        <w:t>Vanadium flow batteries are the most mature and commercially deployed systems</w:t>
      </w:r>
      <w:r>
        <w:t>, a</w:t>
      </w:r>
      <w:r w:rsidRPr="000F10E2">
        <w:t xml:space="preserve">s </w:t>
      </w:r>
      <w:r>
        <w:t xml:space="preserve">can be seen </w:t>
      </w:r>
      <w:r w:rsidRPr="000F10E2">
        <w:t xml:space="preserve">in </w:t>
      </w:r>
      <w:r>
        <w:t>Figure L-</w:t>
      </w:r>
      <w:r w:rsidR="00004846">
        <w:t>12</w:t>
      </w:r>
      <w:r w:rsidRPr="000F10E2">
        <w:t xml:space="preserve">.  Of the approximately </w:t>
      </w:r>
      <w:r w:rsidR="00A94700">
        <w:t xml:space="preserve">20 </w:t>
      </w:r>
      <w:r w:rsidRPr="000F10E2">
        <w:t>MW/4</w:t>
      </w:r>
      <w:r w:rsidR="00A94700">
        <w:t>7</w:t>
      </w:r>
      <w:r>
        <w:t xml:space="preserve"> </w:t>
      </w:r>
      <w:r w:rsidRPr="000F10E2">
        <w:t xml:space="preserve">MWh of flow battery capacity installed globally, </w:t>
      </w:r>
      <w:r w:rsidR="00A94700">
        <w:t xml:space="preserve">19 </w:t>
      </w:r>
      <w:r w:rsidRPr="000F10E2">
        <w:t>MW/4</w:t>
      </w:r>
      <w:r w:rsidR="00A94700">
        <w:t>5</w:t>
      </w:r>
      <w:r>
        <w:t xml:space="preserve"> </w:t>
      </w:r>
      <w:r w:rsidRPr="000F10E2">
        <w:t>MWh are vanadium batteries</w:t>
      </w:r>
      <w:r>
        <w:t>.</w:t>
      </w:r>
    </w:p>
    <w:p w:rsidR="00B45219" w:rsidRPr="00B45219" w:rsidRDefault="00B45219" w:rsidP="00893878">
      <w:pPr>
        <w:pStyle w:val="IRPsanstext"/>
        <w:rPr>
          <w:b/>
        </w:rPr>
      </w:pPr>
    </w:p>
    <w:p w:rsidR="00B45219" w:rsidRPr="000E0213" w:rsidRDefault="00893878" w:rsidP="000E0213">
      <w:pPr>
        <w:pStyle w:val="IRPFigureSub"/>
        <w:spacing w:after="120"/>
      </w:pPr>
      <w:bookmarkStart w:id="12" w:name="_Toc402942667"/>
      <w:r w:rsidRPr="00584A02">
        <w:t>Figure L-</w:t>
      </w:r>
      <w:r w:rsidR="00004846" w:rsidRPr="00584A02">
        <w:t>1</w:t>
      </w:r>
      <w:r w:rsidR="00004846">
        <w:t>2</w:t>
      </w:r>
      <w:r w:rsidR="00A21A60">
        <w:t xml:space="preserve">: </w:t>
      </w:r>
      <w:r w:rsidRPr="00CA3E66">
        <w:t>Five Largest Operational Flow Battery Energy Storage Projects</w:t>
      </w:r>
      <w:r w:rsidRPr="00CA3E66">
        <w:rPr>
          <w:rStyle w:val="FootnoteReference"/>
          <w:rFonts w:asciiTheme="majorHAnsi" w:hAnsiTheme="majorHAnsi"/>
        </w:rPr>
        <w:footnoteReference w:id="44"/>
      </w:r>
      <w:bookmarkEnd w:id="12"/>
    </w:p>
    <w:tbl>
      <w:tblPr>
        <w:tblStyle w:val="TableGrid"/>
        <w:tblW w:w="8708" w:type="dxa"/>
        <w:jc w:val="center"/>
        <w:tblLayout w:type="fixed"/>
        <w:tblLook w:val="04A0" w:firstRow="1" w:lastRow="0" w:firstColumn="1" w:lastColumn="0" w:noHBand="0" w:noVBand="1"/>
      </w:tblPr>
      <w:tblGrid>
        <w:gridCol w:w="2318"/>
        <w:gridCol w:w="1710"/>
        <w:gridCol w:w="1350"/>
        <w:gridCol w:w="1170"/>
        <w:gridCol w:w="2160"/>
      </w:tblGrid>
      <w:tr w:rsidR="00893878" w:rsidRPr="000F10E2">
        <w:trPr>
          <w:trHeight w:val="422"/>
          <w:jc w:val="center"/>
        </w:trPr>
        <w:tc>
          <w:tcPr>
            <w:tcW w:w="8708" w:type="dxa"/>
            <w:gridSpan w:val="5"/>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rsidR="00893878" w:rsidRPr="000F10E2" w:rsidRDefault="00893878" w:rsidP="000E0213">
            <w:pPr>
              <w:pStyle w:val="IRPsanstext"/>
              <w:jc w:val="center"/>
              <w:rPr>
                <w:b/>
                <w:color w:val="FFFFFF" w:themeColor="background1"/>
              </w:rPr>
            </w:pPr>
            <w:r w:rsidRPr="000F10E2">
              <w:rPr>
                <w:b/>
                <w:color w:val="FFFFFF" w:themeColor="background1"/>
              </w:rPr>
              <w:t>Five Largest Operational Flow Battery Energy Storage Projects</w:t>
            </w:r>
          </w:p>
        </w:tc>
      </w:tr>
      <w:tr w:rsidR="00B45219" w:rsidRPr="000F10E2">
        <w:trPr>
          <w:trHeight w:val="576"/>
          <w:jc w:val="center"/>
        </w:trPr>
        <w:tc>
          <w:tcPr>
            <w:tcW w:w="2318"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Owner / Project</w:t>
            </w:r>
          </w:p>
        </w:tc>
        <w:tc>
          <w:tcPr>
            <w:tcW w:w="171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Power / Energy (Duration)</w:t>
            </w:r>
          </w:p>
        </w:tc>
        <w:tc>
          <w:tcPr>
            <w:tcW w:w="135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Technology</w:t>
            </w:r>
          </w:p>
        </w:tc>
        <w:tc>
          <w:tcPr>
            <w:tcW w:w="117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Location</w:t>
            </w:r>
          </w:p>
        </w:tc>
        <w:tc>
          <w:tcPr>
            <w:tcW w:w="2160" w:type="dxa"/>
            <w:tcBorders>
              <w:top w:val="single" w:sz="4" w:space="0" w:color="auto"/>
              <w:left w:val="single" w:sz="4" w:space="0" w:color="auto"/>
              <w:bottom w:val="single" w:sz="4" w:space="0" w:color="auto"/>
              <w:right w:val="single" w:sz="4" w:space="0" w:color="auto"/>
            </w:tcBorders>
            <w:shd w:val="clear" w:color="auto" w:fill="156570"/>
            <w:vAlign w:val="center"/>
          </w:tcPr>
          <w:p w:rsidR="00893878" w:rsidRPr="000F10E2" w:rsidRDefault="00893878" w:rsidP="00893878">
            <w:pPr>
              <w:pStyle w:val="IRPsanstext"/>
              <w:rPr>
                <w:b/>
                <w:color w:val="FFFFFF" w:themeColor="background1"/>
              </w:rPr>
            </w:pPr>
            <w:r w:rsidRPr="000F10E2">
              <w:rPr>
                <w:b/>
                <w:color w:val="FFFFFF" w:themeColor="background1"/>
              </w:rPr>
              <w:t>Primary Function</w:t>
            </w:r>
          </w:p>
        </w:tc>
      </w:tr>
      <w:tr w:rsidR="00B45219" w:rsidRPr="000F10E2">
        <w:trPr>
          <w:trHeight w:val="495"/>
          <w:jc w:val="center"/>
        </w:trPr>
        <w:tc>
          <w:tcPr>
            <w:tcW w:w="2318" w:type="dxa"/>
            <w:tcBorders>
              <w:top w:val="single" w:sz="4" w:space="0" w:color="auto"/>
            </w:tcBorders>
            <w:noWrap/>
            <w:vAlign w:val="center"/>
          </w:tcPr>
          <w:p w:rsidR="00893878" w:rsidRPr="000F10E2" w:rsidRDefault="00893878" w:rsidP="00B45219">
            <w:pPr>
              <w:pStyle w:val="IRPsanstext"/>
              <w:spacing w:line="276" w:lineRule="auto"/>
              <w:rPr>
                <w:rFonts w:cs="Arial"/>
                <w:color w:val="000000"/>
                <w:shd w:val="clear" w:color="auto" w:fill="FFFFFF"/>
              </w:rPr>
            </w:pPr>
            <w:r w:rsidRPr="000F10E2">
              <w:rPr>
                <w:color w:val="000000"/>
              </w:rPr>
              <w:t xml:space="preserve">GuoDian LongYuan (Shenyang) Wind Power Co. / </w:t>
            </w:r>
            <w:r w:rsidRPr="000F10E2">
              <w:rPr>
                <w:rFonts w:cs="Arial"/>
                <w:color w:val="000000"/>
                <w:shd w:val="clear" w:color="auto" w:fill="FFFFFF"/>
              </w:rPr>
              <w:t>GuoDian LongYuan Wind Farm VFB</w:t>
            </w:r>
          </w:p>
        </w:tc>
        <w:tc>
          <w:tcPr>
            <w:tcW w:w="1710" w:type="dxa"/>
            <w:tcBorders>
              <w:top w:val="single" w:sz="4" w:space="0" w:color="auto"/>
            </w:tcBorders>
            <w:noWrap/>
            <w:vAlign w:val="center"/>
          </w:tcPr>
          <w:p w:rsidR="00893878" w:rsidRPr="000F10E2" w:rsidRDefault="00893878" w:rsidP="00B45219">
            <w:pPr>
              <w:pStyle w:val="IRPsanstext"/>
              <w:spacing w:line="276" w:lineRule="auto"/>
            </w:pPr>
            <w:r w:rsidRPr="000F10E2">
              <w:t xml:space="preserve">5 MW / 10 MWh </w:t>
            </w:r>
            <w:r>
              <w:t xml:space="preserve"> </w:t>
            </w:r>
            <w:r w:rsidRPr="000F10E2">
              <w:t>(2 hour)</w:t>
            </w:r>
          </w:p>
        </w:tc>
        <w:tc>
          <w:tcPr>
            <w:tcW w:w="1350" w:type="dxa"/>
            <w:tcBorders>
              <w:top w:val="single" w:sz="4" w:space="0" w:color="auto"/>
            </w:tcBorders>
            <w:noWrap/>
            <w:vAlign w:val="center"/>
          </w:tcPr>
          <w:p w:rsidR="00893878" w:rsidRPr="000F10E2" w:rsidRDefault="00893878" w:rsidP="00B45219">
            <w:pPr>
              <w:pStyle w:val="IRPsanstext"/>
              <w:spacing w:line="276" w:lineRule="auto"/>
            </w:pPr>
            <w:r w:rsidRPr="000F10E2">
              <w:t>Vanadium redox</w:t>
            </w:r>
          </w:p>
        </w:tc>
        <w:tc>
          <w:tcPr>
            <w:tcW w:w="1170" w:type="dxa"/>
            <w:tcBorders>
              <w:top w:val="single" w:sz="4" w:space="0" w:color="auto"/>
            </w:tcBorders>
            <w:noWrap/>
            <w:vAlign w:val="center"/>
          </w:tcPr>
          <w:p w:rsidR="00893878" w:rsidRPr="000F10E2" w:rsidRDefault="00893878" w:rsidP="00B45219">
            <w:pPr>
              <w:pStyle w:val="IRPsanstext"/>
              <w:spacing w:line="276" w:lineRule="auto"/>
            </w:pPr>
            <w:r w:rsidRPr="000F10E2">
              <w:rPr>
                <w:rFonts w:cs="Arial"/>
                <w:color w:val="000000"/>
                <w:shd w:val="clear" w:color="auto" w:fill="FFFFFF"/>
              </w:rPr>
              <w:t>Liaoning,</w:t>
            </w:r>
            <w:r w:rsidRPr="000F10E2">
              <w:rPr>
                <w:rStyle w:val="apple-converted-space"/>
                <w:rFonts w:asciiTheme="majorHAnsi" w:hAnsiTheme="majorHAnsi" w:cs="Arial"/>
                <w:color w:val="000000"/>
                <w:shd w:val="clear" w:color="auto" w:fill="FFFFFF"/>
              </w:rPr>
              <w:t xml:space="preserve"> </w:t>
            </w:r>
            <w:r w:rsidRPr="000F10E2">
              <w:rPr>
                <w:rFonts w:cs="Arial"/>
                <w:color w:val="000000"/>
                <w:shd w:val="clear" w:color="auto" w:fill="FFFFFF"/>
              </w:rPr>
              <w:t>China</w:t>
            </w:r>
          </w:p>
        </w:tc>
        <w:tc>
          <w:tcPr>
            <w:tcW w:w="2160" w:type="dxa"/>
            <w:tcBorders>
              <w:top w:val="single" w:sz="4" w:space="0" w:color="auto"/>
            </w:tcBorders>
            <w:vAlign w:val="center"/>
          </w:tcPr>
          <w:p w:rsidR="00893878" w:rsidRPr="000F10E2" w:rsidRDefault="00893878" w:rsidP="00B45219">
            <w:pPr>
              <w:pStyle w:val="IRPsanstext"/>
              <w:spacing w:line="276" w:lineRule="auto"/>
            </w:pPr>
            <w:r w:rsidRPr="000F10E2">
              <w:t>Renewable generation shifting</w:t>
            </w:r>
          </w:p>
        </w:tc>
      </w:tr>
      <w:tr w:rsidR="00B45219" w:rsidRPr="000F10E2">
        <w:trPr>
          <w:trHeight w:val="495"/>
          <w:jc w:val="center"/>
        </w:trPr>
        <w:tc>
          <w:tcPr>
            <w:tcW w:w="2318" w:type="dxa"/>
            <w:tcBorders>
              <w:top w:val="nil"/>
            </w:tcBorders>
            <w:noWrap/>
            <w:vAlign w:val="center"/>
          </w:tcPr>
          <w:p w:rsidR="00893878" w:rsidRPr="000F10E2" w:rsidRDefault="00893878" w:rsidP="00B45219">
            <w:pPr>
              <w:pStyle w:val="IRPsanstext"/>
              <w:spacing w:line="276" w:lineRule="auto"/>
            </w:pPr>
            <w:r w:rsidRPr="000F10E2">
              <w:rPr>
                <w:rFonts w:cs="Arial"/>
                <w:color w:val="000000"/>
                <w:shd w:val="clear" w:color="auto" w:fill="FFFFFF"/>
              </w:rPr>
              <w:t>State Grid Corporation of China</w:t>
            </w:r>
            <w:r w:rsidRPr="000F10E2">
              <w:t xml:space="preserve"> / Zhangbei National Wind and Solar Energy Storage and Transmission Project</w:t>
            </w:r>
          </w:p>
        </w:tc>
        <w:tc>
          <w:tcPr>
            <w:tcW w:w="1710" w:type="dxa"/>
            <w:tcBorders>
              <w:top w:val="nil"/>
            </w:tcBorders>
            <w:noWrap/>
            <w:vAlign w:val="center"/>
          </w:tcPr>
          <w:p w:rsidR="00893878" w:rsidRPr="000F10E2" w:rsidRDefault="00893878" w:rsidP="00B45219">
            <w:pPr>
              <w:pStyle w:val="IRPsanstext"/>
              <w:spacing w:line="276" w:lineRule="auto"/>
            </w:pPr>
            <w:r w:rsidRPr="000F10E2">
              <w:t xml:space="preserve">2 MW / 8 MWh </w:t>
            </w:r>
            <w:r>
              <w:t xml:space="preserve">   </w:t>
            </w:r>
            <w:r w:rsidRPr="000F10E2">
              <w:t>(4 hour)</w:t>
            </w:r>
          </w:p>
        </w:tc>
        <w:tc>
          <w:tcPr>
            <w:tcW w:w="1350" w:type="dxa"/>
            <w:tcBorders>
              <w:top w:val="nil"/>
            </w:tcBorders>
            <w:noWrap/>
            <w:vAlign w:val="center"/>
          </w:tcPr>
          <w:p w:rsidR="00893878" w:rsidRPr="000F10E2" w:rsidRDefault="00893878" w:rsidP="00B45219">
            <w:pPr>
              <w:pStyle w:val="IRPsanstext"/>
              <w:spacing w:line="276" w:lineRule="auto"/>
            </w:pPr>
            <w:r w:rsidRPr="000F10E2">
              <w:t>Vanadium redox</w:t>
            </w:r>
          </w:p>
        </w:tc>
        <w:tc>
          <w:tcPr>
            <w:tcW w:w="1170" w:type="dxa"/>
            <w:tcBorders>
              <w:top w:val="nil"/>
            </w:tcBorders>
            <w:noWrap/>
            <w:vAlign w:val="center"/>
          </w:tcPr>
          <w:p w:rsidR="00893878" w:rsidRPr="000F10E2" w:rsidRDefault="00893878" w:rsidP="00B45219">
            <w:pPr>
              <w:pStyle w:val="IRPsanstext"/>
              <w:spacing w:line="276" w:lineRule="auto"/>
            </w:pPr>
            <w:r w:rsidRPr="000F10E2">
              <w:t>Hebei, China</w:t>
            </w:r>
          </w:p>
        </w:tc>
        <w:tc>
          <w:tcPr>
            <w:tcW w:w="2160" w:type="dxa"/>
            <w:tcBorders>
              <w:top w:val="nil"/>
            </w:tcBorders>
            <w:vAlign w:val="center"/>
          </w:tcPr>
          <w:p w:rsidR="00893878" w:rsidRPr="000F10E2" w:rsidRDefault="00893878" w:rsidP="00B45219">
            <w:pPr>
              <w:pStyle w:val="IRPsanstext"/>
              <w:spacing w:line="276" w:lineRule="auto"/>
            </w:pPr>
            <w:r w:rsidRPr="000F10E2">
              <w:t>Renewable generation shifting</w:t>
            </w:r>
          </w:p>
        </w:tc>
      </w:tr>
      <w:tr w:rsidR="00B45219" w:rsidRPr="000F10E2">
        <w:trPr>
          <w:trHeight w:val="495"/>
          <w:jc w:val="center"/>
        </w:trPr>
        <w:tc>
          <w:tcPr>
            <w:tcW w:w="2318" w:type="dxa"/>
            <w:noWrap/>
            <w:vAlign w:val="center"/>
          </w:tcPr>
          <w:p w:rsidR="00893878" w:rsidRPr="000F10E2" w:rsidRDefault="00893878" w:rsidP="00B45219">
            <w:pPr>
              <w:pStyle w:val="IRPsanstext"/>
              <w:spacing w:line="276" w:lineRule="auto"/>
            </w:pPr>
            <w:r w:rsidRPr="000F10E2">
              <w:t>J-Power / Tomamae Wind Farm</w:t>
            </w:r>
          </w:p>
        </w:tc>
        <w:tc>
          <w:tcPr>
            <w:tcW w:w="1710" w:type="dxa"/>
            <w:noWrap/>
            <w:vAlign w:val="center"/>
          </w:tcPr>
          <w:p w:rsidR="00893878" w:rsidRPr="000F10E2" w:rsidRDefault="00893878" w:rsidP="00B45219">
            <w:pPr>
              <w:pStyle w:val="IRPsanstext"/>
              <w:spacing w:line="276" w:lineRule="auto"/>
            </w:pPr>
            <w:r w:rsidRPr="000F10E2">
              <w:t>4 MW / 6 MWh (1.5 hour)</w:t>
            </w:r>
          </w:p>
        </w:tc>
        <w:tc>
          <w:tcPr>
            <w:tcW w:w="1350" w:type="dxa"/>
            <w:noWrap/>
            <w:vAlign w:val="center"/>
          </w:tcPr>
          <w:p w:rsidR="00893878" w:rsidRPr="000F10E2" w:rsidRDefault="00893878" w:rsidP="00B45219">
            <w:pPr>
              <w:pStyle w:val="IRPsanstext"/>
              <w:spacing w:line="276" w:lineRule="auto"/>
            </w:pPr>
            <w:r w:rsidRPr="000F10E2">
              <w:t>Vanadium redox</w:t>
            </w:r>
          </w:p>
        </w:tc>
        <w:tc>
          <w:tcPr>
            <w:tcW w:w="1170"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Hokkaido, Japan</w:t>
            </w:r>
          </w:p>
        </w:tc>
        <w:tc>
          <w:tcPr>
            <w:tcW w:w="2160" w:type="dxa"/>
            <w:vAlign w:val="center"/>
          </w:tcPr>
          <w:p w:rsidR="00893878" w:rsidRPr="000F10E2" w:rsidRDefault="00893878" w:rsidP="00B45219">
            <w:pPr>
              <w:pStyle w:val="IRPsanstext"/>
              <w:spacing w:line="276" w:lineRule="auto"/>
            </w:pPr>
            <w:r w:rsidRPr="000F10E2">
              <w:rPr>
                <w:rFonts w:cs="Arial"/>
                <w:color w:val="000000"/>
                <w:shd w:val="clear" w:color="auto" w:fill="FFFFFF"/>
              </w:rPr>
              <w:t>Renewables capacity firming</w:t>
            </w:r>
          </w:p>
        </w:tc>
      </w:tr>
      <w:tr w:rsidR="00B45219" w:rsidRPr="000F10E2">
        <w:trPr>
          <w:trHeight w:val="496"/>
          <w:jc w:val="center"/>
        </w:trPr>
        <w:tc>
          <w:tcPr>
            <w:tcW w:w="2318"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Sumitomo Electric Industries</w:t>
            </w:r>
            <w:r w:rsidRPr="000F10E2">
              <w:t xml:space="preserve">  / Yokohama Works VRB</w:t>
            </w:r>
          </w:p>
        </w:tc>
        <w:tc>
          <w:tcPr>
            <w:tcW w:w="1710" w:type="dxa"/>
            <w:noWrap/>
            <w:vAlign w:val="center"/>
          </w:tcPr>
          <w:p w:rsidR="00893878" w:rsidRPr="000F10E2" w:rsidRDefault="00893878" w:rsidP="00B45219">
            <w:pPr>
              <w:pStyle w:val="IRPsanstext"/>
              <w:spacing w:line="276" w:lineRule="auto"/>
            </w:pPr>
            <w:r w:rsidRPr="000F10E2">
              <w:t>1 MW / 5 MWh</w:t>
            </w:r>
            <w:r>
              <w:t xml:space="preserve">   </w:t>
            </w:r>
            <w:r w:rsidRPr="000F10E2">
              <w:t xml:space="preserve"> (5 hour)</w:t>
            </w:r>
          </w:p>
        </w:tc>
        <w:tc>
          <w:tcPr>
            <w:tcW w:w="1350" w:type="dxa"/>
            <w:noWrap/>
            <w:vAlign w:val="center"/>
          </w:tcPr>
          <w:p w:rsidR="00893878" w:rsidRPr="000F10E2" w:rsidRDefault="00893878" w:rsidP="00B45219">
            <w:pPr>
              <w:pStyle w:val="IRPsanstext"/>
              <w:spacing w:line="276" w:lineRule="auto"/>
            </w:pPr>
            <w:r w:rsidRPr="000F10E2">
              <w:t>Vanadium redox</w:t>
            </w:r>
          </w:p>
        </w:tc>
        <w:tc>
          <w:tcPr>
            <w:tcW w:w="1170" w:type="dxa"/>
            <w:noWrap/>
            <w:vAlign w:val="center"/>
          </w:tcPr>
          <w:p w:rsidR="00893878" w:rsidRPr="000F10E2" w:rsidRDefault="001A1722" w:rsidP="00B45219">
            <w:pPr>
              <w:pStyle w:val="IRPsanstext"/>
              <w:spacing w:line="276" w:lineRule="auto"/>
            </w:pPr>
            <w:r>
              <w:rPr>
                <w:rFonts w:cs="Arial"/>
                <w:color w:val="000000"/>
                <w:shd w:val="clear" w:color="auto" w:fill="FFFFFF"/>
              </w:rPr>
              <w:t>Kanagawa</w:t>
            </w:r>
            <w:r w:rsidR="00893878" w:rsidRPr="000F10E2">
              <w:rPr>
                <w:rFonts w:cs="Arial"/>
                <w:color w:val="000000"/>
                <w:shd w:val="clear" w:color="auto" w:fill="FFFFFF"/>
              </w:rPr>
              <w:t xml:space="preserve"> Japan</w:t>
            </w:r>
          </w:p>
        </w:tc>
        <w:tc>
          <w:tcPr>
            <w:tcW w:w="2160" w:type="dxa"/>
            <w:vAlign w:val="center"/>
          </w:tcPr>
          <w:p w:rsidR="00893878" w:rsidRPr="000F10E2" w:rsidRDefault="00893878" w:rsidP="00B45219">
            <w:pPr>
              <w:pStyle w:val="IRPsanstext"/>
              <w:spacing w:line="276" w:lineRule="auto"/>
            </w:pPr>
            <w:r w:rsidRPr="000F10E2">
              <w:t>Renewable generation shifting</w:t>
            </w:r>
          </w:p>
        </w:tc>
      </w:tr>
      <w:tr w:rsidR="00B45219" w:rsidRPr="000F10E2">
        <w:trPr>
          <w:trHeight w:val="495"/>
          <w:jc w:val="center"/>
        </w:trPr>
        <w:tc>
          <w:tcPr>
            <w:tcW w:w="2318"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Prudent Energy</w:t>
            </w:r>
            <w:r w:rsidRPr="000F10E2">
              <w:t xml:space="preserve">  / Gills Onions VRB</w:t>
            </w:r>
          </w:p>
        </w:tc>
        <w:tc>
          <w:tcPr>
            <w:tcW w:w="1710" w:type="dxa"/>
            <w:noWrap/>
            <w:vAlign w:val="center"/>
          </w:tcPr>
          <w:p w:rsidR="00893878" w:rsidRPr="000F10E2" w:rsidRDefault="00893878" w:rsidP="00B45219">
            <w:pPr>
              <w:pStyle w:val="IRPsanstext"/>
              <w:spacing w:line="276" w:lineRule="auto"/>
            </w:pPr>
            <w:r w:rsidRPr="000F10E2">
              <w:t>0.6 MW / 3.6 MWh (6 hour)</w:t>
            </w:r>
          </w:p>
        </w:tc>
        <w:tc>
          <w:tcPr>
            <w:tcW w:w="1350" w:type="dxa"/>
            <w:noWrap/>
            <w:vAlign w:val="center"/>
          </w:tcPr>
          <w:p w:rsidR="00893878" w:rsidRPr="000F10E2" w:rsidRDefault="00893878" w:rsidP="00B45219">
            <w:pPr>
              <w:pStyle w:val="IRPsanstext"/>
              <w:spacing w:line="276" w:lineRule="auto"/>
            </w:pPr>
            <w:r w:rsidRPr="000F10E2">
              <w:t>Vanadium redox</w:t>
            </w:r>
          </w:p>
        </w:tc>
        <w:tc>
          <w:tcPr>
            <w:tcW w:w="1170" w:type="dxa"/>
            <w:noWrap/>
            <w:vAlign w:val="center"/>
          </w:tcPr>
          <w:p w:rsidR="00893878" w:rsidRPr="000F10E2" w:rsidRDefault="00893878" w:rsidP="00B45219">
            <w:pPr>
              <w:pStyle w:val="IRPsanstext"/>
              <w:spacing w:line="276" w:lineRule="auto"/>
            </w:pPr>
            <w:r w:rsidRPr="000F10E2">
              <w:t>Oxnard, CA</w:t>
            </w:r>
          </w:p>
        </w:tc>
        <w:tc>
          <w:tcPr>
            <w:tcW w:w="2160" w:type="dxa"/>
            <w:vAlign w:val="center"/>
          </w:tcPr>
          <w:p w:rsidR="00893878" w:rsidRPr="000F10E2" w:rsidRDefault="00893878" w:rsidP="00B45219">
            <w:pPr>
              <w:pStyle w:val="IRPsanstext"/>
              <w:spacing w:line="276" w:lineRule="auto"/>
            </w:pPr>
            <w:r>
              <w:rPr>
                <w:rFonts w:cs="Arial"/>
                <w:color w:val="000000"/>
                <w:shd w:val="clear" w:color="auto" w:fill="FFFFFF"/>
              </w:rPr>
              <w:t>Grid-connected commercial (reliability &amp; q</w:t>
            </w:r>
            <w:r w:rsidRPr="000F10E2">
              <w:rPr>
                <w:rFonts w:cs="Arial"/>
                <w:color w:val="000000"/>
                <w:shd w:val="clear" w:color="auto" w:fill="FFFFFF"/>
              </w:rPr>
              <w:t>uality)</w:t>
            </w:r>
          </w:p>
        </w:tc>
      </w:tr>
    </w:tbl>
    <w:p w:rsidR="00B45219" w:rsidRDefault="00B45219" w:rsidP="00893878">
      <w:pPr>
        <w:pStyle w:val="IRPsanstext"/>
      </w:pPr>
    </w:p>
    <w:p w:rsidR="00893878" w:rsidRPr="000F10E2" w:rsidRDefault="00362E46" w:rsidP="00893878">
      <w:pPr>
        <w:pStyle w:val="IRPsanstext"/>
      </w:pPr>
      <w:r>
        <w:lastRenderedPageBreak/>
        <w:br/>
      </w:r>
      <w:r w:rsidR="00893878">
        <w:t>Worldwide, a</w:t>
      </w:r>
      <w:r w:rsidR="00893878" w:rsidRPr="000F10E2">
        <w:t xml:space="preserve">pproximately </w:t>
      </w:r>
      <w:r w:rsidR="00B259D2">
        <w:t xml:space="preserve">56 </w:t>
      </w:r>
      <w:r w:rsidR="00893878" w:rsidRPr="000F10E2">
        <w:t>MW/</w:t>
      </w:r>
      <w:r w:rsidR="00B259D2">
        <w:t xml:space="preserve">228 </w:t>
      </w:r>
      <w:r w:rsidR="00893878" w:rsidRPr="000F10E2">
        <w:t xml:space="preserve">MWh of </w:t>
      </w:r>
      <w:r w:rsidR="00B259D2">
        <w:t xml:space="preserve">operational flow battery </w:t>
      </w:r>
      <w:r w:rsidR="00893878" w:rsidRPr="000F10E2">
        <w:t>deployments ar</w:t>
      </w:r>
      <w:r w:rsidR="00893878">
        <w:t>e planned or under construction</w:t>
      </w:r>
      <w:r w:rsidR="00893878" w:rsidRPr="000F10E2">
        <w:t>.</w:t>
      </w:r>
      <w:r w:rsidR="00893878" w:rsidRPr="000F10E2">
        <w:rPr>
          <w:rStyle w:val="FootnoteReference"/>
          <w:rFonts w:asciiTheme="majorHAnsi" w:hAnsiTheme="majorHAnsi"/>
        </w:rPr>
        <w:footnoteReference w:id="45"/>
      </w:r>
      <w:r w:rsidR="00893878" w:rsidRPr="000F10E2">
        <w:t xml:space="preserve"> </w:t>
      </w:r>
    </w:p>
    <w:p w:rsidR="00B45219" w:rsidRDefault="00B45219" w:rsidP="00893878">
      <w:pPr>
        <w:pStyle w:val="IRPsanstext"/>
      </w:pPr>
    </w:p>
    <w:p w:rsidR="00893878" w:rsidRPr="0084585D" w:rsidRDefault="00893878" w:rsidP="00893878">
      <w:pPr>
        <w:pStyle w:val="IRPsanstext"/>
      </w:pPr>
      <w:r w:rsidRPr="00B45219">
        <w:rPr>
          <w:rFonts w:cs="Arial"/>
          <w:b/>
          <w:color w:val="156570"/>
          <w:sz w:val="28"/>
        </w:rPr>
        <w:t>Supercapacitors.</w:t>
      </w:r>
      <w:r>
        <w:t xml:space="preserve"> </w:t>
      </w:r>
      <w:r w:rsidRPr="0084585D">
        <w:t>Also called electrochemical double-layer capacitors and ultracapacitors, this technology class bridges the gap between batteries and traditional capacitors</w:t>
      </w:r>
      <w:r>
        <w:t>; it</w:t>
      </w:r>
      <w:r w:rsidRPr="0084585D">
        <w:t xml:space="preserve"> stores energy electrostatically.  Supercapacitors are characte</w:t>
      </w:r>
      <w:r>
        <w:t>rized by low internal resistance, which</w:t>
      </w:r>
      <w:r w:rsidRPr="0084585D">
        <w:t xml:space="preserve"> allows rapid charging and discharging, very high power density (but</w:t>
      </w:r>
      <w:r>
        <w:t xml:space="preserve"> low energy density)</w:t>
      </w:r>
      <w:r w:rsidRPr="0084585D">
        <w:t xml:space="preserve"> and high cycle life.</w:t>
      </w:r>
      <w:r w:rsidRPr="000F10E2">
        <w:rPr>
          <w:rStyle w:val="FootnoteReference"/>
          <w:rFonts w:asciiTheme="majorHAnsi" w:hAnsiTheme="majorHAnsi"/>
        </w:rPr>
        <w:footnoteReference w:id="46"/>
      </w:r>
      <w:r w:rsidRPr="0084585D">
        <w:t xml:space="preserve">  Current deployments are primarily used in voltage support, ramping and regenerative braking in transportation applications</w:t>
      </w:r>
      <w:r>
        <w:t>.</w:t>
      </w:r>
      <w:r w:rsidRPr="0084585D">
        <w:t xml:space="preserve"> </w:t>
      </w:r>
      <w:r>
        <w:t>Most are</w:t>
      </w:r>
      <w:r w:rsidRPr="0084585D">
        <w:t xml:space="preserve"> between 300</w:t>
      </w:r>
      <w:r w:rsidR="00233794">
        <w:t xml:space="preserve"> k</w:t>
      </w:r>
      <w:r w:rsidRPr="0084585D">
        <w:t>W/3</w:t>
      </w:r>
      <w:r w:rsidR="00233794">
        <w:t xml:space="preserve"> k</w:t>
      </w:r>
      <w:r w:rsidRPr="0084585D">
        <w:t>Wh and 1</w:t>
      </w:r>
      <w:r w:rsidR="00233794">
        <w:t xml:space="preserve"> MW/17 k</w:t>
      </w:r>
      <w:r w:rsidRPr="0084585D">
        <w:t>Wh. The technology is still considered to be in demonstration phase.</w:t>
      </w:r>
      <w:r w:rsidRPr="000F10E2">
        <w:rPr>
          <w:rStyle w:val="FootnoteReference"/>
          <w:rFonts w:asciiTheme="majorHAnsi" w:hAnsiTheme="majorHAnsi"/>
        </w:rPr>
        <w:footnoteReference w:id="47"/>
      </w:r>
      <w:r w:rsidRPr="0084585D">
        <w:t xml:space="preserve"> </w:t>
      </w:r>
    </w:p>
    <w:p w:rsidR="00893878" w:rsidRPr="000F10E2" w:rsidRDefault="00893878" w:rsidP="00893878">
      <w:pPr>
        <w:pStyle w:val="IRPsanstext"/>
      </w:pPr>
    </w:p>
    <w:p w:rsidR="00893878" w:rsidRPr="00B45219" w:rsidRDefault="00893878" w:rsidP="00893878">
      <w:pPr>
        <w:pStyle w:val="IRPsanstext"/>
        <w:rPr>
          <w:b/>
        </w:rPr>
      </w:pPr>
      <w:r w:rsidRPr="001A1722">
        <w:rPr>
          <w:b/>
          <w:i/>
        </w:rPr>
        <w:t>Technical Details</w:t>
      </w:r>
      <w:r w:rsidR="00A21A60" w:rsidRPr="001A1722">
        <w:rPr>
          <w:b/>
          <w:i/>
        </w:rPr>
        <w:t>:</w:t>
      </w:r>
      <w:r w:rsidR="00A21A60">
        <w:rPr>
          <w:b/>
        </w:rPr>
        <w:t xml:space="preserve"> </w:t>
      </w:r>
      <w:r w:rsidRPr="004D1DBA">
        <w:t>Supercapacitors use carbon electrodes with very high surface area to create a solid-liquid interface that allows electricity to be stored by the separation of charge, rather than through chemical transformation like traditional batteries.</w:t>
      </w:r>
      <w:r w:rsidRPr="000F10E2">
        <w:rPr>
          <w:rStyle w:val="FootnoteReference"/>
          <w:rFonts w:asciiTheme="majorHAnsi" w:hAnsiTheme="majorHAnsi"/>
        </w:rPr>
        <w:footnoteReference w:id="48"/>
      </w:r>
      <w:r w:rsidRPr="004D1DBA">
        <w:t xml:space="preserve">   Advantages of supercapacitors include high power density (40-120kW/l), very fast response time (&lt;1 sec</w:t>
      </w:r>
      <w:r w:rsidR="00BE6C41">
        <w:t>onds</w:t>
      </w:r>
      <w:r w:rsidRPr="004D1DBA">
        <w:t>), high efficiency (80</w:t>
      </w:r>
      <w:r>
        <w:t xml:space="preserve"> percent to </w:t>
      </w:r>
      <w:r w:rsidRPr="004D1DBA">
        <w:t>98</w:t>
      </w:r>
      <w:r>
        <w:t xml:space="preserve"> percent</w:t>
      </w:r>
      <w:r w:rsidRPr="004D1DBA">
        <w:t>), and high cycle life (10k-100k).</w:t>
      </w:r>
      <w:r w:rsidRPr="000F10E2">
        <w:rPr>
          <w:rStyle w:val="FootnoteReference"/>
          <w:rFonts w:asciiTheme="majorHAnsi" w:hAnsiTheme="majorHAnsi"/>
        </w:rPr>
        <w:footnoteReference w:id="49"/>
      </w:r>
      <w:r>
        <w:t xml:space="preserve"> D</w:t>
      </w:r>
      <w:r w:rsidRPr="004D1DBA">
        <w:t xml:space="preserve">isadvantages include low specific energy (30Wh/kg) and corresponding high cost per kWh.  </w:t>
      </w:r>
    </w:p>
    <w:p w:rsidR="00893878" w:rsidRPr="000F10E2" w:rsidRDefault="00893878" w:rsidP="00893878">
      <w:pPr>
        <w:pStyle w:val="IRPsanstext"/>
      </w:pPr>
    </w:p>
    <w:p w:rsidR="00893878" w:rsidRPr="00B45219" w:rsidRDefault="00893878" w:rsidP="00893878">
      <w:pPr>
        <w:pStyle w:val="IRPsanstext"/>
        <w:rPr>
          <w:b/>
        </w:rPr>
      </w:pPr>
      <w:r w:rsidRPr="001A1722">
        <w:rPr>
          <w:b/>
          <w:i/>
        </w:rPr>
        <w:t>Deployments</w:t>
      </w:r>
      <w:r w:rsidR="00A21A60" w:rsidRPr="001A1722">
        <w:rPr>
          <w:b/>
          <w:i/>
        </w:rPr>
        <w:t>:</w:t>
      </w:r>
      <w:r w:rsidR="00A21A60">
        <w:rPr>
          <w:b/>
        </w:rPr>
        <w:t xml:space="preserve"> </w:t>
      </w:r>
      <w:r w:rsidR="000965B4">
        <w:t>Fourteen</w:t>
      </w:r>
      <w:r w:rsidR="000965B4" w:rsidRPr="004D1DBA">
        <w:t xml:space="preserve"> </w:t>
      </w:r>
      <w:r w:rsidRPr="004D1DBA">
        <w:t>operational deployments</w:t>
      </w:r>
      <w:r>
        <w:t xml:space="preserve"> are</w:t>
      </w:r>
      <w:r w:rsidRPr="004D1DBA">
        <w:t xml:space="preserve"> listed </w:t>
      </w:r>
      <w:r>
        <w:t>in</w:t>
      </w:r>
      <w:r w:rsidRPr="004D1DBA">
        <w:t xml:space="preserve"> the DOE</w:t>
      </w:r>
      <w:r>
        <w:t xml:space="preserve"> Global Energy Storage Database;</w:t>
      </w:r>
      <w:r w:rsidRPr="004D1DBA">
        <w:t xml:space="preserve"> 11 </w:t>
      </w:r>
      <w:r>
        <w:t>are rated</w:t>
      </w:r>
      <w:r w:rsidRPr="004D1DBA">
        <w:t xml:space="preserve"> 1</w:t>
      </w:r>
      <w:r>
        <w:t xml:space="preserve"> </w:t>
      </w:r>
      <w:r w:rsidRPr="004D1DBA">
        <w:t>MW or greater. Total installed capacity is approximately 21.</w:t>
      </w:r>
      <w:r w:rsidR="00A53831">
        <w:t xml:space="preserve">5 </w:t>
      </w:r>
      <w:r w:rsidRPr="004D1DBA">
        <w:t>MW/0.1</w:t>
      </w:r>
      <w:r>
        <w:t xml:space="preserve"> </w:t>
      </w:r>
      <w:r w:rsidRPr="004D1DBA">
        <w:t>MWh</w:t>
      </w:r>
      <w:r>
        <w:t>,</w:t>
      </w:r>
      <w:r w:rsidRPr="004D1DBA">
        <w:t xml:space="preserve"> and the largest projects are summarized in </w:t>
      </w:r>
      <w:r>
        <w:t>Figure L-</w:t>
      </w:r>
      <w:r w:rsidR="00004846">
        <w:t>13</w:t>
      </w:r>
      <w:r w:rsidRPr="004D1DBA">
        <w:t>.</w:t>
      </w:r>
      <w:r>
        <w:t xml:space="preserve">  </w:t>
      </w:r>
      <w:r w:rsidRPr="00FE0BAA">
        <w:t>Supercapacitors installed as standalone energy storage systems focus almost exclusively on providing near-instantaneous voltage ramping and regenerative braking for trains.</w:t>
      </w:r>
    </w:p>
    <w:p w:rsidR="00B45219" w:rsidRDefault="00B45219">
      <w:pPr>
        <w:rPr>
          <w:rFonts w:ascii="Arial" w:hAnsi="Arial"/>
        </w:rPr>
      </w:pPr>
      <w:bookmarkStart w:id="13" w:name="_Toc402942668"/>
      <w:r>
        <w:br w:type="page"/>
      </w:r>
    </w:p>
    <w:p w:rsidR="00B4500B" w:rsidRDefault="00B4500B" w:rsidP="00893878">
      <w:pPr>
        <w:pStyle w:val="IRPsanstext"/>
      </w:pPr>
    </w:p>
    <w:p w:rsidR="00B4500B" w:rsidRPr="00584A02" w:rsidRDefault="00893878" w:rsidP="000E0213">
      <w:pPr>
        <w:pStyle w:val="IRPFigureSub"/>
        <w:spacing w:after="120"/>
      </w:pPr>
      <w:r>
        <w:t>Figure L-</w:t>
      </w:r>
      <w:r w:rsidR="00004846">
        <w:t>13</w:t>
      </w:r>
      <w:r w:rsidR="00A21A60">
        <w:t xml:space="preserve">: </w:t>
      </w:r>
      <w:r w:rsidRPr="00584A02">
        <w:t>Five Largest Operational Supercapacitor Energy Storage Projects</w:t>
      </w:r>
      <w:bookmarkEnd w:id="13"/>
      <w:r w:rsidR="0068203F">
        <w:rPr>
          <w:rStyle w:val="FootnoteReference"/>
        </w:rPr>
        <w:footnoteReference w:id="50"/>
      </w:r>
    </w:p>
    <w:tbl>
      <w:tblPr>
        <w:tblStyle w:val="TableGrid"/>
        <w:tblW w:w="8490" w:type="dxa"/>
        <w:jc w:val="center"/>
        <w:tblInd w:w="1152" w:type="dxa"/>
        <w:tblLayout w:type="fixed"/>
        <w:tblLook w:val="04A0" w:firstRow="1" w:lastRow="0" w:firstColumn="1" w:lastColumn="0" w:noHBand="0" w:noVBand="1"/>
      </w:tblPr>
      <w:tblGrid>
        <w:gridCol w:w="2304"/>
        <w:gridCol w:w="1761"/>
        <w:gridCol w:w="1530"/>
        <w:gridCol w:w="1350"/>
        <w:gridCol w:w="1545"/>
      </w:tblGrid>
      <w:tr w:rsidR="00893878" w:rsidRPr="000F10E2">
        <w:trPr>
          <w:trHeight w:val="404"/>
          <w:jc w:val="center"/>
        </w:trPr>
        <w:tc>
          <w:tcPr>
            <w:tcW w:w="8490" w:type="dxa"/>
            <w:gridSpan w:val="5"/>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rsidR="00893878" w:rsidRPr="000F10E2" w:rsidRDefault="00893878" w:rsidP="000E0213">
            <w:pPr>
              <w:pStyle w:val="IRPsanstext"/>
              <w:jc w:val="center"/>
              <w:rPr>
                <w:b/>
                <w:color w:val="FFFFFF" w:themeColor="background1"/>
              </w:rPr>
            </w:pPr>
            <w:r w:rsidRPr="000F10E2">
              <w:rPr>
                <w:b/>
                <w:color w:val="FFFFFF" w:themeColor="background1"/>
              </w:rPr>
              <w:t>Five Largest Operational Supercapacitor Energy Storage Projects</w:t>
            </w:r>
          </w:p>
        </w:tc>
      </w:tr>
      <w:tr w:rsidR="00B4500B" w:rsidRPr="000F10E2">
        <w:trPr>
          <w:trHeight w:val="576"/>
          <w:jc w:val="center"/>
        </w:trPr>
        <w:tc>
          <w:tcPr>
            <w:tcW w:w="2304"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Owner / Project</w:t>
            </w:r>
          </w:p>
        </w:tc>
        <w:tc>
          <w:tcPr>
            <w:tcW w:w="1761"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Power / Energy (Duration)</w:t>
            </w:r>
          </w:p>
        </w:tc>
        <w:tc>
          <w:tcPr>
            <w:tcW w:w="153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Technology</w:t>
            </w:r>
          </w:p>
        </w:tc>
        <w:tc>
          <w:tcPr>
            <w:tcW w:w="135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Location</w:t>
            </w:r>
          </w:p>
        </w:tc>
        <w:tc>
          <w:tcPr>
            <w:tcW w:w="1545" w:type="dxa"/>
            <w:tcBorders>
              <w:top w:val="single" w:sz="4" w:space="0" w:color="auto"/>
              <w:left w:val="single" w:sz="4" w:space="0" w:color="auto"/>
              <w:bottom w:val="single" w:sz="4" w:space="0" w:color="auto"/>
              <w:right w:val="single" w:sz="4" w:space="0" w:color="auto"/>
            </w:tcBorders>
            <w:shd w:val="clear" w:color="auto" w:fill="156570"/>
          </w:tcPr>
          <w:p w:rsidR="00893878" w:rsidRPr="000F10E2" w:rsidRDefault="00893878" w:rsidP="00893878">
            <w:pPr>
              <w:pStyle w:val="IRPsanstext"/>
              <w:rPr>
                <w:b/>
                <w:color w:val="FFFFFF" w:themeColor="background1"/>
              </w:rPr>
            </w:pPr>
            <w:r w:rsidRPr="000F10E2">
              <w:rPr>
                <w:b/>
                <w:color w:val="FFFFFF" w:themeColor="background1"/>
              </w:rPr>
              <w:t>Primary Function</w:t>
            </w:r>
          </w:p>
        </w:tc>
      </w:tr>
      <w:tr w:rsidR="00B4500B" w:rsidRPr="000F10E2">
        <w:trPr>
          <w:trHeight w:val="495"/>
          <w:jc w:val="center"/>
        </w:trPr>
        <w:tc>
          <w:tcPr>
            <w:tcW w:w="2304" w:type="dxa"/>
            <w:tcBorders>
              <w:top w:val="single" w:sz="4" w:space="0" w:color="auto"/>
            </w:tcBorders>
            <w:noWrap/>
            <w:vAlign w:val="center"/>
          </w:tcPr>
          <w:p w:rsidR="00893878" w:rsidRPr="000F10E2" w:rsidRDefault="00893878" w:rsidP="00B4500B">
            <w:pPr>
              <w:pStyle w:val="IRPsanstext"/>
              <w:spacing w:line="276" w:lineRule="auto"/>
            </w:pPr>
            <w:r w:rsidRPr="000F10E2">
              <w:rPr>
                <w:rFonts w:cs="Arial"/>
                <w:color w:val="000000"/>
                <w:shd w:val="clear" w:color="auto" w:fill="FFFFFF"/>
              </w:rPr>
              <w:t>Electrical Power worX</w:t>
            </w:r>
            <w:r w:rsidRPr="000F10E2">
              <w:t xml:space="preserve"> / LIRR Malverne WESS: Ioxus</w:t>
            </w:r>
            <w:r w:rsidRPr="000F10E2">
              <w:rPr>
                <w:rFonts w:cs="Arial"/>
                <w:color w:val="000000"/>
                <w:shd w:val="clear" w:color="auto" w:fill="FFFFFF"/>
              </w:rPr>
              <w:t xml:space="preserve"> </w:t>
            </w:r>
          </w:p>
        </w:tc>
        <w:tc>
          <w:tcPr>
            <w:tcW w:w="1761" w:type="dxa"/>
            <w:tcBorders>
              <w:top w:val="single" w:sz="4" w:space="0" w:color="auto"/>
            </w:tcBorders>
            <w:noWrap/>
            <w:vAlign w:val="center"/>
          </w:tcPr>
          <w:p w:rsidR="00893878" w:rsidRPr="000F10E2" w:rsidRDefault="00893878" w:rsidP="00B4500B">
            <w:pPr>
              <w:pStyle w:val="IRPsanstext"/>
              <w:spacing w:line="276" w:lineRule="auto"/>
            </w:pPr>
            <w:r w:rsidRPr="000F10E2">
              <w:t>1 MW / 16 kWh (1 min</w:t>
            </w:r>
            <w:r w:rsidR="00BE6C41">
              <w:t>ute</w:t>
            </w:r>
            <w:r w:rsidRPr="000F10E2">
              <w:t>)</w:t>
            </w:r>
          </w:p>
        </w:tc>
        <w:tc>
          <w:tcPr>
            <w:tcW w:w="1530" w:type="dxa"/>
            <w:tcBorders>
              <w:top w:val="single" w:sz="4" w:space="0" w:color="auto"/>
            </w:tcBorders>
            <w:noWrap/>
            <w:vAlign w:val="center"/>
          </w:tcPr>
          <w:p w:rsidR="00893878" w:rsidRPr="000F10E2" w:rsidRDefault="00893878" w:rsidP="00B4500B">
            <w:pPr>
              <w:pStyle w:val="IRPsanstext"/>
              <w:spacing w:line="276" w:lineRule="auto"/>
            </w:pPr>
            <w:r w:rsidRPr="000F10E2">
              <w:t>Ultracapacitor</w:t>
            </w:r>
          </w:p>
        </w:tc>
        <w:tc>
          <w:tcPr>
            <w:tcW w:w="1350" w:type="dxa"/>
            <w:tcBorders>
              <w:top w:val="single" w:sz="4" w:space="0" w:color="auto"/>
            </w:tcBorders>
            <w:noWrap/>
            <w:vAlign w:val="center"/>
          </w:tcPr>
          <w:p w:rsidR="00893878" w:rsidRPr="000F10E2" w:rsidRDefault="00893878" w:rsidP="00B4500B">
            <w:pPr>
              <w:pStyle w:val="IRPsanstext"/>
              <w:spacing w:line="276" w:lineRule="auto"/>
            </w:pPr>
            <w:r w:rsidRPr="000F10E2">
              <w:rPr>
                <w:rFonts w:cs="Arial"/>
                <w:color w:val="000000"/>
                <w:shd w:val="clear" w:color="auto" w:fill="FFFFFF"/>
              </w:rPr>
              <w:t>Malverne, NY</w:t>
            </w:r>
          </w:p>
        </w:tc>
        <w:tc>
          <w:tcPr>
            <w:tcW w:w="1545" w:type="dxa"/>
            <w:tcBorders>
              <w:top w:val="single" w:sz="4" w:space="0" w:color="auto"/>
            </w:tcBorders>
            <w:vAlign w:val="center"/>
          </w:tcPr>
          <w:p w:rsidR="00893878" w:rsidRPr="000F10E2" w:rsidRDefault="00893878" w:rsidP="00B4500B">
            <w:pPr>
              <w:pStyle w:val="IRPsanstext"/>
              <w:spacing w:line="276" w:lineRule="auto"/>
            </w:pPr>
            <w:r w:rsidRPr="000F10E2">
              <w:rPr>
                <w:rFonts w:cs="Arial"/>
                <w:color w:val="000000"/>
                <w:shd w:val="clear" w:color="auto" w:fill="FFFFFF"/>
              </w:rPr>
              <w:t>Transportation Services</w:t>
            </w:r>
          </w:p>
        </w:tc>
      </w:tr>
      <w:tr w:rsidR="00B4500B" w:rsidRPr="000F10E2">
        <w:trPr>
          <w:trHeight w:val="495"/>
          <w:jc w:val="center"/>
        </w:trPr>
        <w:tc>
          <w:tcPr>
            <w:tcW w:w="2304" w:type="dxa"/>
            <w:noWrap/>
            <w:vAlign w:val="center"/>
          </w:tcPr>
          <w:p w:rsidR="00893878" w:rsidRPr="000F10E2" w:rsidRDefault="00893878" w:rsidP="00B4500B">
            <w:pPr>
              <w:pStyle w:val="IRPsanstext"/>
              <w:spacing w:line="276" w:lineRule="auto"/>
            </w:pPr>
            <w:r w:rsidRPr="000F10E2">
              <w:rPr>
                <w:rFonts w:cs="Arial"/>
                <w:color w:val="000000"/>
                <w:shd w:val="clear" w:color="auto" w:fill="FFFFFF"/>
              </w:rPr>
              <w:t>Electrical Power worX</w:t>
            </w:r>
            <w:r w:rsidRPr="000F10E2">
              <w:t xml:space="preserve"> / LIRR Malverne WESS: Maxwell</w:t>
            </w:r>
          </w:p>
        </w:tc>
        <w:tc>
          <w:tcPr>
            <w:tcW w:w="1761" w:type="dxa"/>
            <w:noWrap/>
            <w:vAlign w:val="center"/>
          </w:tcPr>
          <w:p w:rsidR="00893878" w:rsidRPr="000F10E2" w:rsidRDefault="00893878" w:rsidP="00B4500B">
            <w:pPr>
              <w:pStyle w:val="IRPsanstext"/>
              <w:spacing w:line="276" w:lineRule="auto"/>
            </w:pPr>
            <w:r w:rsidRPr="000F10E2">
              <w:t>1 MW / 16 kWh (1 min</w:t>
            </w:r>
            <w:r w:rsidR="00BE6C41">
              <w:t>ute</w:t>
            </w:r>
            <w:r w:rsidRPr="000F10E2">
              <w:t>)</w:t>
            </w:r>
          </w:p>
        </w:tc>
        <w:tc>
          <w:tcPr>
            <w:tcW w:w="1530" w:type="dxa"/>
            <w:noWrap/>
            <w:vAlign w:val="center"/>
          </w:tcPr>
          <w:p w:rsidR="00893878" w:rsidRPr="000F10E2" w:rsidRDefault="00893878" w:rsidP="00B4500B">
            <w:pPr>
              <w:pStyle w:val="IRPsanstext"/>
              <w:spacing w:line="276" w:lineRule="auto"/>
            </w:pPr>
            <w:r w:rsidRPr="000F10E2">
              <w:t>Ultracapacitor</w:t>
            </w:r>
          </w:p>
        </w:tc>
        <w:tc>
          <w:tcPr>
            <w:tcW w:w="1350" w:type="dxa"/>
            <w:noWrap/>
            <w:vAlign w:val="center"/>
          </w:tcPr>
          <w:p w:rsidR="00893878" w:rsidRPr="000F10E2" w:rsidRDefault="00893878" w:rsidP="00B4500B">
            <w:pPr>
              <w:pStyle w:val="IRPsanstext"/>
              <w:spacing w:line="276" w:lineRule="auto"/>
            </w:pPr>
            <w:r w:rsidRPr="000F10E2">
              <w:rPr>
                <w:rFonts w:cs="Arial"/>
                <w:color w:val="000000"/>
                <w:shd w:val="clear" w:color="auto" w:fill="FFFFFF"/>
              </w:rPr>
              <w:t>Malverne, NY</w:t>
            </w:r>
          </w:p>
        </w:tc>
        <w:tc>
          <w:tcPr>
            <w:tcW w:w="1545" w:type="dxa"/>
            <w:vAlign w:val="center"/>
          </w:tcPr>
          <w:p w:rsidR="00893878" w:rsidRPr="000F10E2" w:rsidRDefault="00893878" w:rsidP="00B4500B">
            <w:pPr>
              <w:pStyle w:val="IRPsanstext"/>
              <w:spacing w:line="276" w:lineRule="auto"/>
            </w:pPr>
            <w:r w:rsidRPr="000F10E2">
              <w:rPr>
                <w:rFonts w:cs="Arial"/>
                <w:color w:val="000000"/>
                <w:shd w:val="clear" w:color="auto" w:fill="FFFFFF"/>
              </w:rPr>
              <w:t>Transportation Services</w:t>
            </w:r>
          </w:p>
        </w:tc>
      </w:tr>
      <w:tr w:rsidR="00B4500B" w:rsidRPr="000F10E2">
        <w:trPr>
          <w:trHeight w:val="496"/>
          <w:jc w:val="center"/>
        </w:trPr>
        <w:tc>
          <w:tcPr>
            <w:tcW w:w="2304" w:type="dxa"/>
            <w:noWrap/>
            <w:vAlign w:val="center"/>
          </w:tcPr>
          <w:p w:rsidR="00893878" w:rsidRPr="000F10E2" w:rsidRDefault="00893878" w:rsidP="00B4500B">
            <w:pPr>
              <w:pStyle w:val="IRPsanstext"/>
              <w:spacing w:line="276" w:lineRule="auto"/>
            </w:pPr>
            <w:r w:rsidRPr="000F10E2">
              <w:rPr>
                <w:rFonts w:cs="Arial"/>
                <w:color w:val="000000"/>
                <w:shd w:val="clear" w:color="auto" w:fill="FFFFFF"/>
              </w:rPr>
              <w:t xml:space="preserve">Incheon Transit Corporation / </w:t>
            </w:r>
            <w:r w:rsidRPr="000F10E2">
              <w:t>Incheon Line 1 - Technopark Station</w:t>
            </w:r>
          </w:p>
        </w:tc>
        <w:tc>
          <w:tcPr>
            <w:tcW w:w="1761" w:type="dxa"/>
            <w:noWrap/>
            <w:vAlign w:val="center"/>
          </w:tcPr>
          <w:p w:rsidR="00893878" w:rsidRPr="000F10E2" w:rsidRDefault="001B46D9" w:rsidP="00A53831">
            <w:pPr>
              <w:pStyle w:val="IRPsanstext"/>
              <w:spacing w:line="276" w:lineRule="auto"/>
            </w:pPr>
            <w:r>
              <w:t xml:space="preserve">2.3 MW / 13 </w:t>
            </w:r>
            <w:r w:rsidR="00893878" w:rsidRPr="000F10E2">
              <w:t>kWh (</w:t>
            </w:r>
            <w:r w:rsidR="00A53831">
              <w:t>33</w:t>
            </w:r>
            <w:r w:rsidR="00A53831" w:rsidRPr="000F10E2">
              <w:t xml:space="preserve"> </w:t>
            </w:r>
            <w:r w:rsidR="00893878" w:rsidRPr="000F10E2">
              <w:t>sec</w:t>
            </w:r>
            <w:r w:rsidR="00BE6C41">
              <w:t>onds</w:t>
            </w:r>
            <w:r w:rsidR="00893878" w:rsidRPr="000F10E2">
              <w:t>)</w:t>
            </w:r>
          </w:p>
        </w:tc>
        <w:tc>
          <w:tcPr>
            <w:tcW w:w="1530" w:type="dxa"/>
            <w:noWrap/>
            <w:vAlign w:val="center"/>
          </w:tcPr>
          <w:p w:rsidR="00893878" w:rsidRPr="000F10E2" w:rsidRDefault="00893878" w:rsidP="00B4500B">
            <w:pPr>
              <w:pStyle w:val="IRPsanstext"/>
              <w:spacing w:line="276" w:lineRule="auto"/>
            </w:pPr>
            <w:r w:rsidRPr="000F10E2">
              <w:t>Ultracapacitor</w:t>
            </w:r>
          </w:p>
        </w:tc>
        <w:tc>
          <w:tcPr>
            <w:tcW w:w="1350" w:type="dxa"/>
            <w:noWrap/>
            <w:vAlign w:val="center"/>
          </w:tcPr>
          <w:p w:rsidR="00893878" w:rsidRPr="000F10E2" w:rsidRDefault="00893878" w:rsidP="00B4500B">
            <w:pPr>
              <w:pStyle w:val="IRPsanstext"/>
              <w:spacing w:line="276" w:lineRule="auto"/>
            </w:pPr>
            <w:r w:rsidRPr="000F10E2">
              <w:rPr>
                <w:rFonts w:cs="Arial"/>
                <w:color w:val="000000"/>
                <w:shd w:val="clear" w:color="auto" w:fill="FFFFFF"/>
              </w:rPr>
              <w:t>Incheon, South Korea</w:t>
            </w:r>
          </w:p>
        </w:tc>
        <w:tc>
          <w:tcPr>
            <w:tcW w:w="1545" w:type="dxa"/>
            <w:vAlign w:val="center"/>
          </w:tcPr>
          <w:p w:rsidR="00893878" w:rsidRPr="000F10E2" w:rsidRDefault="00893878" w:rsidP="00B4500B">
            <w:pPr>
              <w:pStyle w:val="IRPsanstext"/>
              <w:spacing w:line="276" w:lineRule="auto"/>
            </w:pPr>
            <w:r w:rsidRPr="000F10E2">
              <w:rPr>
                <w:rFonts w:cs="Arial"/>
                <w:color w:val="000000"/>
                <w:shd w:val="clear" w:color="auto" w:fill="FFFFFF"/>
              </w:rPr>
              <w:t>Transportation Services</w:t>
            </w:r>
          </w:p>
        </w:tc>
      </w:tr>
      <w:tr w:rsidR="00B4500B" w:rsidRPr="000F10E2">
        <w:trPr>
          <w:trHeight w:val="656"/>
          <w:jc w:val="center"/>
        </w:trPr>
        <w:tc>
          <w:tcPr>
            <w:tcW w:w="2304" w:type="dxa"/>
            <w:noWrap/>
            <w:vAlign w:val="center"/>
          </w:tcPr>
          <w:p w:rsidR="00893878" w:rsidRPr="000F10E2" w:rsidRDefault="00893878" w:rsidP="00B4500B">
            <w:pPr>
              <w:pStyle w:val="IRPsanstext"/>
              <w:spacing w:line="276" w:lineRule="auto"/>
            </w:pPr>
            <w:r w:rsidRPr="000F10E2">
              <w:rPr>
                <w:rFonts w:cs="Arial"/>
                <w:color w:val="000000"/>
                <w:shd w:val="clear" w:color="auto" w:fill="FFFFFF"/>
              </w:rPr>
              <w:t>Seoul Metro</w:t>
            </w:r>
            <w:r w:rsidRPr="000F10E2">
              <w:t xml:space="preserve"> / Seoul Line 2 - Seocho Station</w:t>
            </w:r>
          </w:p>
        </w:tc>
        <w:tc>
          <w:tcPr>
            <w:tcW w:w="1761" w:type="dxa"/>
            <w:noWrap/>
            <w:vAlign w:val="center"/>
          </w:tcPr>
          <w:p w:rsidR="00893878" w:rsidRPr="000F10E2" w:rsidRDefault="00893878" w:rsidP="00A53831">
            <w:pPr>
              <w:pStyle w:val="IRPsanstext"/>
              <w:spacing w:line="276" w:lineRule="auto"/>
            </w:pPr>
            <w:r w:rsidRPr="000F10E2">
              <w:t>2.3 MW / 13 kWh (</w:t>
            </w:r>
            <w:r w:rsidR="00A53831">
              <w:t>33</w:t>
            </w:r>
            <w:r w:rsidR="00A53831" w:rsidRPr="000F10E2">
              <w:t xml:space="preserve"> </w:t>
            </w:r>
            <w:r w:rsidRPr="000F10E2">
              <w:t>sec</w:t>
            </w:r>
            <w:r w:rsidR="00BE6C41">
              <w:t>onds</w:t>
            </w:r>
            <w:r w:rsidRPr="000F10E2">
              <w:t>)</w:t>
            </w:r>
          </w:p>
        </w:tc>
        <w:tc>
          <w:tcPr>
            <w:tcW w:w="1530" w:type="dxa"/>
            <w:noWrap/>
            <w:vAlign w:val="center"/>
          </w:tcPr>
          <w:p w:rsidR="00893878" w:rsidRPr="000F10E2" w:rsidRDefault="00893878" w:rsidP="00B4500B">
            <w:pPr>
              <w:pStyle w:val="IRPsanstext"/>
              <w:spacing w:line="276" w:lineRule="auto"/>
            </w:pPr>
            <w:r w:rsidRPr="000F10E2">
              <w:t>Ultracapacitor</w:t>
            </w:r>
          </w:p>
        </w:tc>
        <w:tc>
          <w:tcPr>
            <w:tcW w:w="1350" w:type="dxa"/>
            <w:noWrap/>
            <w:vAlign w:val="center"/>
          </w:tcPr>
          <w:p w:rsidR="00893878" w:rsidRPr="000F10E2" w:rsidRDefault="00893878" w:rsidP="00B4500B">
            <w:pPr>
              <w:pStyle w:val="IRPsanstext"/>
              <w:spacing w:line="276" w:lineRule="auto"/>
            </w:pPr>
            <w:r w:rsidRPr="000F10E2">
              <w:t>Seoul, South Korea</w:t>
            </w:r>
          </w:p>
        </w:tc>
        <w:tc>
          <w:tcPr>
            <w:tcW w:w="1545" w:type="dxa"/>
            <w:vAlign w:val="center"/>
          </w:tcPr>
          <w:p w:rsidR="00893878" w:rsidRPr="000F10E2" w:rsidRDefault="00893878" w:rsidP="00B4500B">
            <w:pPr>
              <w:pStyle w:val="IRPsanstext"/>
              <w:spacing w:line="276" w:lineRule="auto"/>
            </w:pPr>
            <w:r w:rsidRPr="000F10E2">
              <w:rPr>
                <w:rFonts w:cs="Arial"/>
                <w:color w:val="000000"/>
                <w:shd w:val="clear" w:color="auto" w:fill="FFFFFF"/>
              </w:rPr>
              <w:t>Transportation Services</w:t>
            </w:r>
          </w:p>
        </w:tc>
      </w:tr>
      <w:tr w:rsidR="00B4500B" w:rsidRPr="000F10E2">
        <w:trPr>
          <w:trHeight w:val="496"/>
          <w:jc w:val="center"/>
        </w:trPr>
        <w:tc>
          <w:tcPr>
            <w:tcW w:w="2304" w:type="dxa"/>
            <w:noWrap/>
            <w:vAlign w:val="center"/>
          </w:tcPr>
          <w:p w:rsidR="00893878" w:rsidRPr="000F10E2" w:rsidRDefault="00893878" w:rsidP="00B4500B">
            <w:pPr>
              <w:pStyle w:val="IRPsanstext"/>
              <w:spacing w:line="276" w:lineRule="auto"/>
            </w:pPr>
            <w:r w:rsidRPr="000F10E2">
              <w:rPr>
                <w:rFonts w:cs="Arial"/>
                <w:color w:val="000000"/>
                <w:shd w:val="clear" w:color="auto" w:fill="FFFFFF"/>
              </w:rPr>
              <w:t>Seoul Metro</w:t>
            </w:r>
            <w:r w:rsidRPr="000F10E2">
              <w:t xml:space="preserve"> / Seoul Line 4 - Ssangmun Station</w:t>
            </w:r>
          </w:p>
        </w:tc>
        <w:tc>
          <w:tcPr>
            <w:tcW w:w="1761" w:type="dxa"/>
            <w:noWrap/>
            <w:vAlign w:val="center"/>
          </w:tcPr>
          <w:p w:rsidR="00893878" w:rsidRPr="000F10E2" w:rsidRDefault="00893878" w:rsidP="00A53831">
            <w:pPr>
              <w:pStyle w:val="IRPsanstext"/>
              <w:spacing w:line="276" w:lineRule="auto"/>
            </w:pPr>
            <w:r w:rsidRPr="000F10E2">
              <w:t>2.3 MW / 13 kWh (</w:t>
            </w:r>
            <w:r w:rsidR="00A53831">
              <w:t>33</w:t>
            </w:r>
            <w:r w:rsidR="00A53831" w:rsidRPr="000F10E2">
              <w:t xml:space="preserve"> </w:t>
            </w:r>
            <w:r w:rsidRPr="000F10E2">
              <w:t>sec</w:t>
            </w:r>
            <w:r w:rsidR="00BE6C41">
              <w:t>onds</w:t>
            </w:r>
            <w:r w:rsidRPr="000F10E2">
              <w:t>)</w:t>
            </w:r>
          </w:p>
        </w:tc>
        <w:tc>
          <w:tcPr>
            <w:tcW w:w="1530" w:type="dxa"/>
            <w:noWrap/>
            <w:vAlign w:val="center"/>
          </w:tcPr>
          <w:p w:rsidR="00893878" w:rsidRPr="000F10E2" w:rsidRDefault="00893878" w:rsidP="00B4500B">
            <w:pPr>
              <w:pStyle w:val="IRPsanstext"/>
              <w:spacing w:line="276" w:lineRule="auto"/>
            </w:pPr>
            <w:r w:rsidRPr="000F10E2">
              <w:t>Ultracapacitor</w:t>
            </w:r>
          </w:p>
        </w:tc>
        <w:tc>
          <w:tcPr>
            <w:tcW w:w="1350" w:type="dxa"/>
            <w:noWrap/>
            <w:vAlign w:val="center"/>
          </w:tcPr>
          <w:p w:rsidR="00893878" w:rsidRPr="000F10E2" w:rsidRDefault="00893878" w:rsidP="00B4500B">
            <w:pPr>
              <w:pStyle w:val="IRPsanstext"/>
              <w:spacing w:line="276" w:lineRule="auto"/>
            </w:pPr>
            <w:r w:rsidRPr="000F10E2">
              <w:t>Seoul, South Korea</w:t>
            </w:r>
          </w:p>
        </w:tc>
        <w:tc>
          <w:tcPr>
            <w:tcW w:w="1545" w:type="dxa"/>
            <w:vAlign w:val="center"/>
          </w:tcPr>
          <w:p w:rsidR="00893878" w:rsidRPr="000F10E2" w:rsidRDefault="00893878" w:rsidP="00B4500B">
            <w:pPr>
              <w:pStyle w:val="IRPsanstext"/>
              <w:spacing w:line="276" w:lineRule="auto"/>
            </w:pPr>
            <w:r w:rsidRPr="000F10E2">
              <w:rPr>
                <w:rFonts w:cs="Arial"/>
                <w:color w:val="000000"/>
                <w:shd w:val="clear" w:color="auto" w:fill="FFFFFF"/>
              </w:rPr>
              <w:t>Transportation Services</w:t>
            </w:r>
          </w:p>
        </w:tc>
      </w:tr>
    </w:tbl>
    <w:p w:rsidR="00893878" w:rsidRPr="00F53E23" w:rsidRDefault="00893878" w:rsidP="00893878">
      <w:pPr>
        <w:pStyle w:val="IRPsanstext"/>
      </w:pPr>
    </w:p>
    <w:p w:rsidR="00893878" w:rsidRDefault="00A53831" w:rsidP="00893878">
      <w:pPr>
        <w:pStyle w:val="IRPsanstext"/>
      </w:pPr>
      <w:r>
        <w:t>According to the DOE Global Energy Storage Database, 56</w:t>
      </w:r>
      <w:r w:rsidR="00233794">
        <w:t xml:space="preserve"> MW/</w:t>
      </w:r>
      <w:r>
        <w:t xml:space="preserve">452 </w:t>
      </w:r>
      <w:r w:rsidR="00233794">
        <w:t>k</w:t>
      </w:r>
      <w:r w:rsidR="00893878" w:rsidRPr="00FE0BAA">
        <w:t>Wh of additional deployments are planned or under construction.</w:t>
      </w:r>
      <w:r w:rsidR="00893878" w:rsidRPr="000F10E2">
        <w:rPr>
          <w:rStyle w:val="FootnoteReference"/>
          <w:rFonts w:asciiTheme="majorHAnsi" w:hAnsiTheme="majorHAnsi"/>
        </w:rPr>
        <w:footnoteReference w:id="51"/>
      </w:r>
      <w:r w:rsidR="00893878" w:rsidRPr="00FE0BAA">
        <w:t xml:space="preserve">  </w:t>
      </w:r>
    </w:p>
    <w:p w:rsidR="00893878" w:rsidRDefault="00893878" w:rsidP="00893878">
      <w:pPr>
        <w:pStyle w:val="IRPsanstext"/>
      </w:pPr>
    </w:p>
    <w:p w:rsidR="00B4500B" w:rsidRPr="00FE0BAA" w:rsidRDefault="00B4500B" w:rsidP="00893878">
      <w:pPr>
        <w:pStyle w:val="IRPsanstext"/>
      </w:pPr>
    </w:p>
    <w:p w:rsidR="00B4500B" w:rsidRDefault="00B4500B">
      <w:pPr>
        <w:rPr>
          <w:rFonts w:ascii="Arial" w:hAnsi="Arial"/>
          <w:sz w:val="32"/>
          <w:szCs w:val="32"/>
        </w:rPr>
      </w:pPr>
      <w:r>
        <w:rPr>
          <w:sz w:val="32"/>
          <w:szCs w:val="32"/>
        </w:rPr>
        <w:br w:type="page"/>
      </w:r>
    </w:p>
    <w:p w:rsidR="00B4500B" w:rsidRDefault="00B4500B" w:rsidP="00B4500B">
      <w:pPr>
        <w:pStyle w:val="IRPsanstext"/>
        <w:rPr>
          <w:sz w:val="32"/>
          <w:szCs w:val="32"/>
        </w:rPr>
      </w:pPr>
    </w:p>
    <w:p w:rsidR="00B4500B" w:rsidRPr="00B4500B" w:rsidRDefault="00B4500B" w:rsidP="00B4500B">
      <w:pPr>
        <w:pStyle w:val="IRPsanstext"/>
        <w:rPr>
          <w:sz w:val="32"/>
          <w:szCs w:val="32"/>
        </w:rPr>
      </w:pPr>
      <w:r w:rsidRPr="00B4500B">
        <w:rPr>
          <w:sz w:val="32"/>
          <w:szCs w:val="32"/>
        </w:rPr>
        <w:t>Mechanical Storage</w:t>
      </w:r>
    </w:p>
    <w:p w:rsidR="00B4500B" w:rsidRPr="00B4500B" w:rsidRDefault="00B4500B" w:rsidP="00B4500B">
      <w:pPr>
        <w:pStyle w:val="IRPsanstext"/>
      </w:pPr>
    </w:p>
    <w:p w:rsidR="00B4500B" w:rsidRPr="00B4500B" w:rsidRDefault="00B4500B" w:rsidP="00B4500B">
      <w:pPr>
        <w:pStyle w:val="IRPsanstext"/>
      </w:pPr>
      <w:r w:rsidRPr="00B4500B">
        <w:t xml:space="preserve">Mechanical storage technologies use compressed air and flywheels to store energy. </w:t>
      </w:r>
    </w:p>
    <w:p w:rsidR="00B4500B" w:rsidRPr="00B4500B" w:rsidRDefault="00B4500B" w:rsidP="00B4500B">
      <w:pPr>
        <w:pStyle w:val="IRPsanstext"/>
      </w:pPr>
    </w:p>
    <w:p w:rsidR="00B4500B" w:rsidRPr="00B4500B" w:rsidRDefault="00B4500B" w:rsidP="00B4500B">
      <w:pPr>
        <w:pStyle w:val="IRPsanstext"/>
      </w:pPr>
      <w:r w:rsidRPr="00B4500B">
        <w:rPr>
          <w:b/>
          <w:color w:val="156570"/>
          <w:sz w:val="28"/>
          <w:szCs w:val="28"/>
        </w:rPr>
        <w:t>Compressed Air.</w:t>
      </w:r>
      <w:r w:rsidRPr="00B4500B">
        <w:t xml:space="preserve"> Compressed air energy storage (CAES) resources compress air and store it in a reservoir, typically underground caverns or above-ground storage pipes or tanks. Underground facilities are considered less expensive than aboveground and can operate for between 8 and 26 hours; however, siting underground compressed air storage facilities requires finding geologically suitable caverns.</w:t>
      </w:r>
      <w:r w:rsidRPr="00377E3D">
        <w:rPr>
          <w:vertAlign w:val="superscript"/>
        </w:rPr>
        <w:footnoteReference w:id="52"/>
      </w:r>
      <w:r w:rsidRPr="00B4500B">
        <w:t xml:space="preserve"> Above-ground facilities are more modular and less location-sensitive. According to the DOE, the typical above-ground compressed air storage facility is in the 3 MW to 50 MW power range, with durations of two to six hours;</w:t>
      </w:r>
      <w:r w:rsidRPr="00377E3D">
        <w:rPr>
          <w:vertAlign w:val="superscript"/>
        </w:rPr>
        <w:footnoteReference w:id="53"/>
      </w:r>
      <w:r w:rsidRPr="00B4500B">
        <w:t xml:space="preserve"> however, the additional incremental cost is significant. DOE cites cost of between $4,900 and $5,000 per MW for a 50 MW/5 hour above-ground system.</w:t>
      </w:r>
      <w:r w:rsidRPr="00377E3D">
        <w:rPr>
          <w:vertAlign w:val="superscript"/>
        </w:rPr>
        <w:footnoteReference w:id="54"/>
      </w:r>
      <w:r w:rsidRPr="00B4500B">
        <w:t xml:space="preserve"> Figure L-</w:t>
      </w:r>
      <w:r w:rsidR="00004846" w:rsidRPr="00B4500B">
        <w:t>1</w:t>
      </w:r>
      <w:r w:rsidR="00004846">
        <w:t>4</w:t>
      </w:r>
      <w:r w:rsidR="00004846" w:rsidRPr="00B4500B">
        <w:t xml:space="preserve"> </w:t>
      </w:r>
      <w:r w:rsidRPr="00B4500B">
        <w:t>shows operational compressed air storage facilities.</w:t>
      </w:r>
      <w:bookmarkStart w:id="14" w:name="_Ref400975167"/>
      <w:bookmarkStart w:id="15" w:name="_Toc402942669"/>
    </w:p>
    <w:p w:rsidR="00B4500B" w:rsidRPr="00B4500B" w:rsidRDefault="00B4500B" w:rsidP="00B4500B">
      <w:pPr>
        <w:pStyle w:val="IRPsanstext"/>
      </w:pPr>
    </w:p>
    <w:bookmarkEnd w:id="14"/>
    <w:bookmarkEnd w:id="15"/>
    <w:p w:rsidR="00B4500B" w:rsidRPr="00B4500B" w:rsidRDefault="00B4500B" w:rsidP="000E0213">
      <w:pPr>
        <w:pStyle w:val="IRPFigureSub"/>
        <w:spacing w:after="120"/>
      </w:pPr>
      <w:r w:rsidRPr="00B4500B">
        <w:t>Figure L-</w:t>
      </w:r>
      <w:r w:rsidR="00004846" w:rsidRPr="00B4500B">
        <w:t>1</w:t>
      </w:r>
      <w:r w:rsidR="00004846">
        <w:t>4</w:t>
      </w:r>
      <w:r w:rsidR="00A21A60">
        <w:t xml:space="preserve">: </w:t>
      </w:r>
      <w:r w:rsidRPr="00B4500B">
        <w:t>Five Largest Operational Compressed Air Storage Facilities</w:t>
      </w:r>
      <w:r w:rsidR="0068203F">
        <w:rPr>
          <w:rStyle w:val="FootnoteReference"/>
        </w:rPr>
        <w:footnoteReference w:id="55"/>
      </w:r>
    </w:p>
    <w:tbl>
      <w:tblPr>
        <w:tblStyle w:val="LightList-Accent1"/>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070"/>
        <w:gridCol w:w="1440"/>
        <w:gridCol w:w="1530"/>
        <w:gridCol w:w="1350"/>
      </w:tblGrid>
      <w:tr w:rsidR="00B4500B" w:rsidRPr="00B45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shd w:val="clear" w:color="auto" w:fill="156570"/>
            <w:vAlign w:val="center"/>
          </w:tcPr>
          <w:p w:rsidR="00B4500B" w:rsidRPr="00B4500B" w:rsidRDefault="00B4500B" w:rsidP="00B4500B">
            <w:pPr>
              <w:pStyle w:val="IRPsanstext"/>
            </w:pPr>
            <w:r w:rsidRPr="00B4500B">
              <w:t>Owner / Project</w:t>
            </w:r>
          </w:p>
        </w:tc>
        <w:tc>
          <w:tcPr>
            <w:tcW w:w="207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Nominal Power / Energy (Duration)</w:t>
            </w:r>
          </w:p>
        </w:tc>
        <w:tc>
          <w:tcPr>
            <w:tcW w:w="144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Technology</w:t>
            </w:r>
          </w:p>
        </w:tc>
        <w:tc>
          <w:tcPr>
            <w:tcW w:w="153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Location</w:t>
            </w:r>
          </w:p>
        </w:tc>
        <w:tc>
          <w:tcPr>
            <w:tcW w:w="135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Primary Function</w:t>
            </w:r>
          </w:p>
        </w:tc>
      </w:tr>
      <w:tr w:rsidR="0028121D"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vAlign w:val="center"/>
          </w:tcPr>
          <w:p w:rsidR="0028121D" w:rsidRPr="00B4500B" w:rsidRDefault="0028121D" w:rsidP="007E7743">
            <w:pPr>
              <w:pStyle w:val="IRPsanstext"/>
              <w:spacing w:line="276" w:lineRule="auto"/>
              <w:rPr>
                <w:b w:val="0"/>
              </w:rPr>
            </w:pPr>
            <w:r w:rsidRPr="00B4500B">
              <w:rPr>
                <w:b w:val="0"/>
              </w:rPr>
              <w:t>E. ON / Kraftwerk Huntorf</w:t>
            </w:r>
          </w:p>
        </w:tc>
        <w:tc>
          <w:tcPr>
            <w:tcW w:w="207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321 MW / 642 MWh (2 hours)</w:t>
            </w:r>
          </w:p>
        </w:tc>
        <w:tc>
          <w:tcPr>
            <w:tcW w:w="144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In-ground natural gas combustion</w:t>
            </w:r>
          </w:p>
        </w:tc>
        <w:tc>
          <w:tcPr>
            <w:tcW w:w="153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Elsfleth, Germany</w:t>
            </w:r>
          </w:p>
        </w:tc>
        <w:tc>
          <w:tcPr>
            <w:tcW w:w="1350" w:type="dxa"/>
            <w:tcBorders>
              <w:top w:val="single" w:sz="4" w:space="0" w:color="auto"/>
              <w:bottom w:val="single" w:sz="4" w:space="0" w:color="auto"/>
              <w:right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Electric energy time-shift</w:t>
            </w:r>
          </w:p>
        </w:tc>
      </w:tr>
      <w:tr w:rsidR="0028121D" w:rsidRPr="00B4500B">
        <w:tc>
          <w:tcPr>
            <w:cnfStyle w:val="001000000000" w:firstRow="0" w:lastRow="0" w:firstColumn="1" w:lastColumn="0" w:oddVBand="0" w:evenVBand="0" w:oddHBand="0" w:evenHBand="0" w:firstRowFirstColumn="0" w:firstRowLastColumn="0" w:lastRowFirstColumn="0" w:lastRowLastColumn="0"/>
            <w:tcW w:w="2250" w:type="dxa"/>
            <w:vAlign w:val="center"/>
          </w:tcPr>
          <w:p w:rsidR="0028121D" w:rsidRPr="00B4500B" w:rsidRDefault="0028121D" w:rsidP="002D57A3">
            <w:pPr>
              <w:pStyle w:val="IRPsanstext"/>
              <w:spacing w:line="276" w:lineRule="auto"/>
              <w:rPr>
                <w:b w:val="0"/>
              </w:rPr>
            </w:pPr>
            <w:r w:rsidRPr="00B4500B">
              <w:rPr>
                <w:b w:val="0"/>
              </w:rPr>
              <w:t>PowerSouth Utility Cooperative / McIntosh CAES Plant</w:t>
            </w:r>
          </w:p>
        </w:tc>
        <w:tc>
          <w:tcPr>
            <w:tcW w:w="2070" w:type="dxa"/>
            <w:vAlign w:val="center"/>
          </w:tcPr>
          <w:p w:rsidR="0028121D" w:rsidRPr="00B4500B" w:rsidRDefault="0028121D" w:rsidP="002D57A3">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110 MW / 2,860 MWh (26 hours)</w:t>
            </w:r>
          </w:p>
        </w:tc>
        <w:tc>
          <w:tcPr>
            <w:tcW w:w="1440" w:type="dxa"/>
            <w:vAlign w:val="center"/>
          </w:tcPr>
          <w:p w:rsidR="0028121D" w:rsidRPr="00B4500B" w:rsidRDefault="0028121D" w:rsidP="002D57A3">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In-ground natural gas combustion</w:t>
            </w:r>
          </w:p>
        </w:tc>
        <w:tc>
          <w:tcPr>
            <w:tcW w:w="1530" w:type="dxa"/>
            <w:vAlign w:val="center"/>
          </w:tcPr>
          <w:p w:rsidR="0028121D" w:rsidRPr="00B4500B" w:rsidRDefault="0028121D" w:rsidP="002D57A3">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McIntosh, AL</w:t>
            </w:r>
          </w:p>
        </w:tc>
        <w:tc>
          <w:tcPr>
            <w:tcW w:w="1350" w:type="dxa"/>
            <w:vAlign w:val="center"/>
          </w:tcPr>
          <w:p w:rsidR="0028121D" w:rsidRPr="00B4500B" w:rsidRDefault="0028121D" w:rsidP="002D57A3">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Electric energy time-shift</w:t>
            </w:r>
          </w:p>
        </w:tc>
      </w:tr>
      <w:tr w:rsidR="0028121D"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vAlign w:val="center"/>
          </w:tcPr>
          <w:p w:rsidR="0028121D" w:rsidRPr="00B4500B" w:rsidRDefault="0028121D" w:rsidP="007E7743">
            <w:pPr>
              <w:pStyle w:val="IRPsanstext"/>
              <w:spacing w:line="276" w:lineRule="auto"/>
              <w:rPr>
                <w:b w:val="0"/>
              </w:rPr>
            </w:pPr>
            <w:r w:rsidRPr="00B4500B">
              <w:rPr>
                <w:b w:val="0"/>
              </w:rPr>
              <w:t>General Compression, Inc. / Texas Dispatchable Wind</w:t>
            </w:r>
          </w:p>
        </w:tc>
        <w:tc>
          <w:tcPr>
            <w:tcW w:w="207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2 MW / 500 MWh (250 hours)</w:t>
            </w:r>
          </w:p>
        </w:tc>
        <w:tc>
          <w:tcPr>
            <w:tcW w:w="144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In-ground iso-thermal</w:t>
            </w:r>
          </w:p>
        </w:tc>
        <w:tc>
          <w:tcPr>
            <w:tcW w:w="153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Seminole, TX</w:t>
            </w:r>
          </w:p>
        </w:tc>
        <w:tc>
          <w:tcPr>
            <w:tcW w:w="1350" w:type="dxa"/>
            <w:tcBorders>
              <w:top w:val="single" w:sz="4" w:space="0" w:color="auto"/>
              <w:bottom w:val="single" w:sz="4" w:space="0" w:color="auto"/>
              <w:right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Renewable generation shifting</w:t>
            </w:r>
          </w:p>
        </w:tc>
      </w:tr>
      <w:tr w:rsidR="0028121D" w:rsidRPr="00B4500B">
        <w:tc>
          <w:tcPr>
            <w:cnfStyle w:val="001000000000" w:firstRow="0" w:lastRow="0" w:firstColumn="1" w:lastColumn="0" w:oddVBand="0" w:evenVBand="0" w:oddHBand="0" w:evenHBand="0" w:firstRowFirstColumn="0" w:firstRowLastColumn="0" w:lastRowFirstColumn="0" w:lastRowLastColumn="0"/>
            <w:tcW w:w="2250" w:type="dxa"/>
            <w:vAlign w:val="center"/>
          </w:tcPr>
          <w:p w:rsidR="0028121D" w:rsidRPr="00B4500B" w:rsidRDefault="0028121D" w:rsidP="00B4500B">
            <w:pPr>
              <w:pStyle w:val="IRPsanstext"/>
              <w:spacing w:line="276" w:lineRule="auto"/>
              <w:rPr>
                <w:b w:val="0"/>
              </w:rPr>
            </w:pPr>
            <w:r w:rsidRPr="00B4500B">
              <w:rPr>
                <w:b w:val="0"/>
              </w:rPr>
              <w:t>SustainX Inc. / Isothermal Compressed Air Energy Storage</w:t>
            </w:r>
          </w:p>
        </w:tc>
        <w:tc>
          <w:tcPr>
            <w:tcW w:w="2070" w:type="dxa"/>
            <w:vAlign w:val="center"/>
          </w:tcPr>
          <w:p w:rsidR="0028121D" w:rsidRPr="00B4500B" w:rsidRDefault="0028121D"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1.5 MW / 1.5 MWh (1 hour)</w:t>
            </w:r>
          </w:p>
        </w:tc>
        <w:tc>
          <w:tcPr>
            <w:tcW w:w="1440" w:type="dxa"/>
            <w:vAlign w:val="center"/>
          </w:tcPr>
          <w:p w:rsidR="0028121D" w:rsidRPr="00B4500B" w:rsidRDefault="0028121D"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 xml:space="preserve">Modular </w:t>
            </w:r>
            <w:r>
              <w:t xml:space="preserve">   </w:t>
            </w:r>
            <w:r w:rsidRPr="00B4500B">
              <w:t>iso-thermal</w:t>
            </w:r>
          </w:p>
        </w:tc>
        <w:tc>
          <w:tcPr>
            <w:tcW w:w="1530" w:type="dxa"/>
            <w:vAlign w:val="center"/>
          </w:tcPr>
          <w:p w:rsidR="0028121D" w:rsidRPr="00B4500B" w:rsidRDefault="0028121D"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Seabrook, NH</w:t>
            </w:r>
          </w:p>
        </w:tc>
        <w:tc>
          <w:tcPr>
            <w:tcW w:w="1350" w:type="dxa"/>
            <w:vAlign w:val="center"/>
          </w:tcPr>
          <w:p w:rsidR="0028121D" w:rsidRPr="00B4500B" w:rsidRDefault="0028121D"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Renewable generation shifting</w:t>
            </w:r>
          </w:p>
        </w:tc>
      </w:tr>
      <w:tr w:rsidR="0028121D"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vAlign w:val="center"/>
          </w:tcPr>
          <w:p w:rsidR="0028121D" w:rsidRPr="00B4500B" w:rsidRDefault="0028121D" w:rsidP="007E7743">
            <w:pPr>
              <w:pStyle w:val="IRPsanstext"/>
              <w:spacing w:line="276" w:lineRule="auto"/>
              <w:rPr>
                <w:b w:val="0"/>
              </w:rPr>
            </w:pPr>
            <w:r w:rsidRPr="00B4500B">
              <w:rPr>
                <w:b w:val="0"/>
              </w:rPr>
              <w:t>Highview Power Storage / Pilot Plant</w:t>
            </w:r>
          </w:p>
        </w:tc>
        <w:tc>
          <w:tcPr>
            <w:tcW w:w="207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.35 MW / 2.45 MWh (7 hours)</w:t>
            </w:r>
          </w:p>
        </w:tc>
        <w:tc>
          <w:tcPr>
            <w:tcW w:w="144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Modular</w:t>
            </w:r>
          </w:p>
        </w:tc>
        <w:tc>
          <w:tcPr>
            <w:tcW w:w="153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Slough, United Kingdom</w:t>
            </w:r>
          </w:p>
        </w:tc>
        <w:tc>
          <w:tcPr>
            <w:tcW w:w="1350" w:type="dxa"/>
            <w:tcBorders>
              <w:top w:val="single" w:sz="4" w:space="0" w:color="auto"/>
              <w:bottom w:val="single" w:sz="4" w:space="0" w:color="auto"/>
              <w:right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Renewable generation shifting</w:t>
            </w:r>
          </w:p>
        </w:tc>
      </w:tr>
    </w:tbl>
    <w:p w:rsidR="00B4500B" w:rsidRDefault="00B4500B" w:rsidP="00B4500B">
      <w:pPr>
        <w:pStyle w:val="IRPsanstext"/>
      </w:pPr>
    </w:p>
    <w:p w:rsidR="00B4500B" w:rsidRDefault="00B4500B">
      <w:pPr>
        <w:rPr>
          <w:rFonts w:ascii="Arial" w:hAnsi="Arial"/>
        </w:rPr>
      </w:pPr>
      <w:r>
        <w:br w:type="page"/>
      </w:r>
    </w:p>
    <w:p w:rsidR="00B4500B" w:rsidRPr="00B4500B" w:rsidRDefault="00B4500B" w:rsidP="00B4500B">
      <w:pPr>
        <w:pStyle w:val="IRPsanstext"/>
      </w:pPr>
      <w:r w:rsidRPr="00B4500B">
        <w:lastRenderedPageBreak/>
        <w:tab/>
      </w:r>
    </w:p>
    <w:p w:rsidR="00B4500B" w:rsidRPr="00B4500B" w:rsidRDefault="00B4500B" w:rsidP="00B4500B">
      <w:pPr>
        <w:pStyle w:val="IRPsanstext"/>
      </w:pPr>
      <w:r w:rsidRPr="00B4500B">
        <w:rPr>
          <w:b/>
          <w:color w:val="156570"/>
          <w:sz w:val="28"/>
          <w:szCs w:val="28"/>
        </w:rPr>
        <w:t>Flywheels.</w:t>
      </w:r>
      <w:r w:rsidRPr="00B4500B">
        <w:t xml:space="preserve"> Flywheels are the other mechanical energy storage technology. They accelerate a rotor (flywheel) to a very high speed in a very low-friction environment. The spinning mass stores potential energy to be discharged as necessary. Flywheels are modular and ca</w:t>
      </w:r>
      <w:r w:rsidR="00233794">
        <w:t>n range from 22 k</w:t>
      </w:r>
      <w:r w:rsidRPr="00B4500B">
        <w:t>W in siz</w:t>
      </w:r>
      <w:r w:rsidR="00233794">
        <w:t>e (Stornetic’s EnWheel) to 160 k</w:t>
      </w:r>
      <w:r w:rsidRPr="00B4500B">
        <w:t xml:space="preserve">W (Beacon Power). </w:t>
      </w:r>
    </w:p>
    <w:p w:rsidR="00B4500B" w:rsidRPr="00B4500B" w:rsidRDefault="00B4500B" w:rsidP="00B4500B">
      <w:pPr>
        <w:pStyle w:val="IRPsanstext"/>
      </w:pPr>
    </w:p>
    <w:p w:rsidR="00B4500B" w:rsidRPr="00B4500B" w:rsidRDefault="00B4500B" w:rsidP="00B4500B">
      <w:pPr>
        <w:pStyle w:val="IRPsanstext"/>
      </w:pPr>
      <w:r w:rsidRPr="00B4500B">
        <w:t>Flywheels are best for short-duration, high power, high-cycle applications. They also have a much longer cycle life than other storage alternatives.  Flywheels are less heat sensitive than batteries and they last longer (up to 20 years guaranteed performance). Power grid uses include voltage/VAR support and frequency regulation. Primary competitors to flywheels are supercapacitors or ultracapacitors.</w:t>
      </w:r>
    </w:p>
    <w:p w:rsidR="00B4500B" w:rsidRPr="00B4500B" w:rsidRDefault="00B4500B" w:rsidP="00B4500B">
      <w:pPr>
        <w:pStyle w:val="IRPsanstext"/>
      </w:pPr>
      <w:bookmarkStart w:id="16" w:name="_Toc402942670"/>
    </w:p>
    <w:p w:rsidR="00B4500B" w:rsidRPr="00B4500B" w:rsidRDefault="00B4500B" w:rsidP="004740F8">
      <w:pPr>
        <w:pStyle w:val="IRPFigureSub"/>
        <w:spacing w:after="120"/>
      </w:pPr>
      <w:r w:rsidRPr="00B4500B">
        <w:t>Figure L-</w:t>
      </w:r>
      <w:r w:rsidR="00004846" w:rsidRPr="00B4500B">
        <w:t>1</w:t>
      </w:r>
      <w:r w:rsidR="00004846">
        <w:t>5</w:t>
      </w:r>
      <w:r w:rsidR="00A21A60">
        <w:t xml:space="preserve">: </w:t>
      </w:r>
      <w:r w:rsidRPr="00B4500B">
        <w:t>Five Largest Operational Flywheel Facilities</w:t>
      </w:r>
      <w:bookmarkEnd w:id="16"/>
      <w:r w:rsidR="0068203F">
        <w:rPr>
          <w:rStyle w:val="FootnoteReference"/>
        </w:rPr>
        <w:footnoteReference w:id="56"/>
      </w:r>
    </w:p>
    <w:tbl>
      <w:tblPr>
        <w:tblStyle w:val="LightList-Accent1"/>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2070"/>
        <w:gridCol w:w="1890"/>
        <w:gridCol w:w="1440"/>
      </w:tblGrid>
      <w:tr w:rsidR="00B4500B" w:rsidRPr="00B45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bottom w:val="single" w:sz="4" w:space="0" w:color="auto"/>
            </w:tcBorders>
            <w:shd w:val="clear" w:color="auto" w:fill="156570"/>
            <w:vAlign w:val="center"/>
          </w:tcPr>
          <w:p w:rsidR="00B4500B" w:rsidRPr="00B4500B" w:rsidRDefault="00B4500B" w:rsidP="00B4500B">
            <w:pPr>
              <w:pStyle w:val="IRPsanstext"/>
            </w:pPr>
            <w:r w:rsidRPr="00B4500B">
              <w:t>Owner / Project</w:t>
            </w:r>
          </w:p>
        </w:tc>
        <w:tc>
          <w:tcPr>
            <w:tcW w:w="207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Nominal Power / Energy (Duration)</w:t>
            </w:r>
          </w:p>
        </w:tc>
        <w:tc>
          <w:tcPr>
            <w:tcW w:w="189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Location</w:t>
            </w:r>
          </w:p>
        </w:tc>
        <w:tc>
          <w:tcPr>
            <w:tcW w:w="144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Primary Function</w:t>
            </w:r>
          </w:p>
        </w:tc>
      </w:tr>
      <w:tr w:rsidR="00B4500B"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tcBorders>
            <w:vAlign w:val="center"/>
          </w:tcPr>
          <w:p w:rsidR="00B4500B" w:rsidRPr="00B4500B" w:rsidRDefault="00B4500B" w:rsidP="00B4500B">
            <w:pPr>
              <w:pStyle w:val="IRPsanstext"/>
              <w:spacing w:line="276" w:lineRule="auto"/>
              <w:ind w:left="-18"/>
              <w:rPr>
                <w:b w:val="0"/>
              </w:rPr>
            </w:pPr>
            <w:r w:rsidRPr="00B4500B">
              <w:rPr>
                <w:b w:val="0"/>
              </w:rPr>
              <w:t>European Fusion Development Agreement / EFDA JET Fusion Flywheel</w:t>
            </w:r>
          </w:p>
        </w:tc>
        <w:tc>
          <w:tcPr>
            <w:tcW w:w="2070" w:type="dxa"/>
            <w:tcBorders>
              <w:top w:val="single" w:sz="4" w:space="0" w:color="auto"/>
              <w:bottom w:val="single" w:sz="4" w:space="0" w:color="auto"/>
            </w:tcBorders>
            <w:vAlign w:val="center"/>
          </w:tcPr>
          <w:p w:rsidR="00B4500B" w:rsidRPr="00B4500B" w:rsidRDefault="00B4500B" w:rsidP="0028121D">
            <w:pPr>
              <w:pStyle w:val="IRPsanstext"/>
              <w:spacing w:line="276" w:lineRule="auto"/>
              <w:ind w:left="-18"/>
              <w:cnfStyle w:val="000000100000" w:firstRow="0" w:lastRow="0" w:firstColumn="0" w:lastColumn="0" w:oddVBand="0" w:evenVBand="0" w:oddHBand="1" w:evenHBand="0" w:firstRowFirstColumn="0" w:firstRowLastColumn="0" w:lastRowFirstColumn="0" w:lastRowLastColumn="0"/>
            </w:pPr>
            <w:r w:rsidRPr="00B4500B">
              <w:t>400 MW / 3.3 MWh (</w:t>
            </w:r>
            <w:r w:rsidR="0028121D">
              <w:t>50</w:t>
            </w:r>
            <w:r w:rsidR="0028121D" w:rsidRPr="00B4500B">
              <w:t xml:space="preserve"> </w:t>
            </w:r>
            <w:r w:rsidRPr="00B4500B">
              <w:t>sec</w:t>
            </w:r>
            <w:r w:rsidR="00BE6C41">
              <w:t>onds</w:t>
            </w:r>
            <w:r w:rsidRPr="00B4500B">
              <w:t>)</w:t>
            </w:r>
          </w:p>
        </w:tc>
        <w:tc>
          <w:tcPr>
            <w:tcW w:w="1890" w:type="dxa"/>
            <w:tcBorders>
              <w:top w:val="single" w:sz="4" w:space="0" w:color="auto"/>
              <w:bottom w:val="single" w:sz="4" w:space="0" w:color="auto"/>
            </w:tcBorders>
            <w:vAlign w:val="center"/>
          </w:tcPr>
          <w:p w:rsidR="00B4500B" w:rsidRPr="00B4500B" w:rsidRDefault="00B4500B" w:rsidP="00B4500B">
            <w:pPr>
              <w:pStyle w:val="IRPsanstext"/>
              <w:spacing w:line="276" w:lineRule="auto"/>
              <w:ind w:left="-18"/>
              <w:cnfStyle w:val="000000100000" w:firstRow="0" w:lastRow="0" w:firstColumn="0" w:lastColumn="0" w:oddVBand="0" w:evenVBand="0" w:oddHBand="1" w:evenHBand="0" w:firstRowFirstColumn="0" w:firstRowLastColumn="0" w:lastRowFirstColumn="0" w:lastRowLastColumn="0"/>
            </w:pPr>
            <w:r w:rsidRPr="00B4500B">
              <w:t>Abingdon, United Kingdom</w:t>
            </w:r>
          </w:p>
        </w:tc>
        <w:tc>
          <w:tcPr>
            <w:tcW w:w="1440" w:type="dxa"/>
            <w:tcBorders>
              <w:top w:val="single" w:sz="4" w:space="0" w:color="auto"/>
              <w:bottom w:val="single" w:sz="4" w:space="0" w:color="auto"/>
              <w:right w:val="single" w:sz="4" w:space="0" w:color="auto"/>
            </w:tcBorders>
            <w:vAlign w:val="center"/>
          </w:tcPr>
          <w:p w:rsidR="00B4500B" w:rsidRPr="00B4500B" w:rsidRDefault="00B4500B" w:rsidP="00B4500B">
            <w:pPr>
              <w:pStyle w:val="IRPsanstext"/>
              <w:spacing w:line="276" w:lineRule="auto"/>
              <w:ind w:left="-108"/>
              <w:cnfStyle w:val="000000100000" w:firstRow="0" w:lastRow="0" w:firstColumn="0" w:lastColumn="0" w:oddVBand="0" w:evenVBand="0" w:oddHBand="1" w:evenHBand="0" w:firstRowFirstColumn="0" w:firstRowLastColumn="0" w:lastRowFirstColumn="0" w:lastRowLastColumn="0"/>
            </w:pPr>
            <w:r w:rsidRPr="00B4500B">
              <w:t>Onsite power</w:t>
            </w:r>
          </w:p>
        </w:tc>
      </w:tr>
      <w:tr w:rsidR="00B4500B" w:rsidRPr="00B4500B">
        <w:tc>
          <w:tcPr>
            <w:cnfStyle w:val="001000000000" w:firstRow="0" w:lastRow="0" w:firstColumn="1" w:lastColumn="0" w:oddVBand="0" w:evenVBand="0" w:oddHBand="0" w:evenHBand="0" w:firstRowFirstColumn="0" w:firstRowLastColumn="0" w:lastRowFirstColumn="0" w:lastRowLastColumn="0"/>
            <w:tcW w:w="3240" w:type="dxa"/>
            <w:vAlign w:val="center"/>
          </w:tcPr>
          <w:p w:rsidR="00B4500B" w:rsidRPr="00B4500B" w:rsidRDefault="00B4500B" w:rsidP="00B4500B">
            <w:pPr>
              <w:pStyle w:val="IRPsanstext"/>
              <w:spacing w:line="276" w:lineRule="auto"/>
              <w:rPr>
                <w:b w:val="0"/>
              </w:rPr>
            </w:pPr>
            <w:r w:rsidRPr="00B4500B">
              <w:rPr>
                <w:b w:val="0"/>
              </w:rPr>
              <w:t>Max Planck Institute, EURATOM Association / ASDEX-Upgrade Pulsed Power Supply System</w:t>
            </w:r>
          </w:p>
        </w:tc>
        <w:tc>
          <w:tcPr>
            <w:tcW w:w="2070" w:type="dxa"/>
            <w:vAlign w:val="center"/>
          </w:tcPr>
          <w:p w:rsidR="00B4500B" w:rsidRPr="00B4500B" w:rsidRDefault="00B4500B" w:rsidP="0028121D">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387 MW / 0.</w:t>
            </w:r>
            <w:r w:rsidR="0028121D">
              <w:t>77</w:t>
            </w:r>
            <w:r w:rsidR="0028121D" w:rsidRPr="00B4500B">
              <w:t xml:space="preserve"> </w:t>
            </w:r>
            <w:r w:rsidRPr="00B4500B">
              <w:t>MWh (</w:t>
            </w:r>
            <w:r w:rsidR="0028121D">
              <w:t>12</w:t>
            </w:r>
            <w:r w:rsidR="0028121D" w:rsidRPr="00B4500B">
              <w:t xml:space="preserve"> </w:t>
            </w:r>
            <w:r w:rsidRPr="00B4500B">
              <w:t>sec</w:t>
            </w:r>
            <w:r w:rsidR="00BE6C41">
              <w:t>onds</w:t>
            </w:r>
            <w:r w:rsidRPr="00B4500B">
              <w:t>)</w:t>
            </w:r>
          </w:p>
        </w:tc>
        <w:tc>
          <w:tcPr>
            <w:tcW w:w="1890" w:type="dxa"/>
            <w:vAlign w:val="center"/>
          </w:tcPr>
          <w:p w:rsidR="00B4500B" w:rsidRPr="00B4500B" w:rsidRDefault="00B4500B"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Bavaria, Germany</w:t>
            </w:r>
          </w:p>
        </w:tc>
        <w:tc>
          <w:tcPr>
            <w:tcW w:w="1440" w:type="dxa"/>
            <w:vAlign w:val="center"/>
          </w:tcPr>
          <w:p w:rsidR="00B4500B" w:rsidRPr="00B4500B" w:rsidRDefault="00B4500B"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Onsite power</w:t>
            </w:r>
          </w:p>
        </w:tc>
      </w:tr>
      <w:tr w:rsidR="00B4500B"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tcBorders>
            <w:vAlign w:val="center"/>
          </w:tcPr>
          <w:p w:rsidR="00B4500B" w:rsidRPr="00B4500B" w:rsidRDefault="00B4500B" w:rsidP="00B4500B">
            <w:pPr>
              <w:pStyle w:val="IRPsanstext"/>
              <w:spacing w:line="276" w:lineRule="auto"/>
              <w:rPr>
                <w:b w:val="0"/>
              </w:rPr>
            </w:pPr>
            <w:r w:rsidRPr="00B4500B">
              <w:rPr>
                <w:b w:val="0"/>
              </w:rPr>
              <w:t xml:space="preserve">Spindle Grid Regulation, LLC / Beacon Power 20 MW Flywheel Plant </w:t>
            </w:r>
          </w:p>
        </w:tc>
        <w:tc>
          <w:tcPr>
            <w:tcW w:w="2070" w:type="dxa"/>
            <w:tcBorders>
              <w:top w:val="single" w:sz="4" w:space="0" w:color="auto"/>
              <w:bottom w:val="single" w:sz="4" w:space="0" w:color="auto"/>
            </w:tcBorders>
            <w:vAlign w:val="center"/>
          </w:tcPr>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20 MW / 5 MWh   (15 min</w:t>
            </w:r>
            <w:r w:rsidR="00BE6C41">
              <w:t>utes</w:t>
            </w:r>
            <w:r w:rsidRPr="00B4500B">
              <w:t>)</w:t>
            </w:r>
          </w:p>
        </w:tc>
        <w:tc>
          <w:tcPr>
            <w:tcW w:w="1890" w:type="dxa"/>
            <w:tcBorders>
              <w:top w:val="single" w:sz="4" w:space="0" w:color="auto"/>
              <w:bottom w:val="single" w:sz="4" w:space="0" w:color="auto"/>
            </w:tcBorders>
            <w:vAlign w:val="center"/>
          </w:tcPr>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Stephentown, NY</w:t>
            </w:r>
          </w:p>
        </w:tc>
        <w:tc>
          <w:tcPr>
            <w:tcW w:w="1440" w:type="dxa"/>
            <w:tcBorders>
              <w:top w:val="single" w:sz="4" w:space="0" w:color="auto"/>
              <w:bottom w:val="single" w:sz="4" w:space="0" w:color="auto"/>
              <w:right w:val="single" w:sz="4" w:space="0" w:color="auto"/>
            </w:tcBorders>
            <w:vAlign w:val="center"/>
          </w:tcPr>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Frequency regulation</w:t>
            </w:r>
          </w:p>
        </w:tc>
      </w:tr>
      <w:tr w:rsidR="00B4500B" w:rsidRPr="00B4500B">
        <w:tc>
          <w:tcPr>
            <w:cnfStyle w:val="001000000000" w:firstRow="0" w:lastRow="0" w:firstColumn="1" w:lastColumn="0" w:oddVBand="0" w:evenVBand="0" w:oddHBand="0" w:evenHBand="0" w:firstRowFirstColumn="0" w:firstRowLastColumn="0" w:lastRowFirstColumn="0" w:lastRowLastColumn="0"/>
            <w:tcW w:w="3240" w:type="dxa"/>
            <w:vAlign w:val="center"/>
          </w:tcPr>
          <w:p w:rsidR="00B4500B" w:rsidRPr="00B4500B" w:rsidRDefault="00B4500B" w:rsidP="00B4500B">
            <w:pPr>
              <w:pStyle w:val="IRPsanstext"/>
              <w:spacing w:line="276" w:lineRule="auto"/>
              <w:rPr>
                <w:b w:val="0"/>
              </w:rPr>
            </w:pPr>
            <w:r w:rsidRPr="00B4500B">
              <w:rPr>
                <w:b w:val="0"/>
              </w:rPr>
              <w:t xml:space="preserve">Spindle Grid Regulation, LLC / Beacon Power 20 MW Flywheel Plant </w:t>
            </w:r>
          </w:p>
        </w:tc>
        <w:tc>
          <w:tcPr>
            <w:tcW w:w="2070" w:type="dxa"/>
            <w:vAlign w:val="center"/>
          </w:tcPr>
          <w:p w:rsidR="00B4500B" w:rsidRPr="00B4500B" w:rsidRDefault="00B4500B"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20 MW / 5 MWh   (15 min</w:t>
            </w:r>
            <w:r w:rsidR="00BE6C41">
              <w:t>utes</w:t>
            </w:r>
            <w:r w:rsidRPr="00B4500B">
              <w:t>)</w:t>
            </w:r>
          </w:p>
        </w:tc>
        <w:tc>
          <w:tcPr>
            <w:tcW w:w="1890" w:type="dxa"/>
            <w:vAlign w:val="center"/>
          </w:tcPr>
          <w:p w:rsidR="00B4500B" w:rsidRPr="00B4500B" w:rsidRDefault="00B4500B"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Hazle Township, PA</w:t>
            </w:r>
          </w:p>
        </w:tc>
        <w:tc>
          <w:tcPr>
            <w:tcW w:w="1440" w:type="dxa"/>
            <w:vAlign w:val="center"/>
          </w:tcPr>
          <w:p w:rsidR="00B4500B" w:rsidRPr="00B4500B" w:rsidRDefault="00B4500B"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Frequency regulation</w:t>
            </w:r>
          </w:p>
        </w:tc>
      </w:tr>
      <w:tr w:rsidR="00B4500B"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tcBorders>
            <w:vAlign w:val="center"/>
          </w:tcPr>
          <w:p w:rsidR="00B4500B" w:rsidRPr="00B4500B" w:rsidRDefault="00B4500B" w:rsidP="00B4500B">
            <w:pPr>
              <w:pStyle w:val="IRPsanstext"/>
              <w:spacing w:line="276" w:lineRule="auto"/>
              <w:rPr>
                <w:b w:val="0"/>
              </w:rPr>
            </w:pPr>
            <w:r w:rsidRPr="00B4500B">
              <w:rPr>
                <w:b w:val="0"/>
              </w:rPr>
              <w:t>NRStor Inc. / Minto Flywheel Energy Storage Project</w:t>
            </w:r>
          </w:p>
        </w:tc>
        <w:tc>
          <w:tcPr>
            <w:tcW w:w="2070" w:type="dxa"/>
            <w:tcBorders>
              <w:top w:val="single" w:sz="4" w:space="0" w:color="auto"/>
              <w:bottom w:val="single" w:sz="4" w:space="0" w:color="auto"/>
            </w:tcBorders>
            <w:vAlign w:val="center"/>
          </w:tcPr>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 xml:space="preserve">2 MW / 0.5 MWh </w:t>
            </w:r>
          </w:p>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(15 min</w:t>
            </w:r>
            <w:r w:rsidR="00BE6C41">
              <w:t>utes</w:t>
            </w:r>
            <w:r w:rsidRPr="00B4500B">
              <w:t>)</w:t>
            </w:r>
          </w:p>
        </w:tc>
        <w:tc>
          <w:tcPr>
            <w:tcW w:w="1890" w:type="dxa"/>
            <w:tcBorders>
              <w:top w:val="single" w:sz="4" w:space="0" w:color="auto"/>
              <w:bottom w:val="single" w:sz="4" w:space="0" w:color="auto"/>
            </w:tcBorders>
            <w:vAlign w:val="center"/>
          </w:tcPr>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Ontario, Canada</w:t>
            </w:r>
          </w:p>
        </w:tc>
        <w:tc>
          <w:tcPr>
            <w:tcW w:w="1440" w:type="dxa"/>
            <w:tcBorders>
              <w:top w:val="single" w:sz="4" w:space="0" w:color="auto"/>
              <w:bottom w:val="single" w:sz="4" w:space="0" w:color="auto"/>
              <w:right w:val="single" w:sz="4" w:space="0" w:color="auto"/>
            </w:tcBorders>
            <w:vAlign w:val="center"/>
          </w:tcPr>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Frequency regulation</w:t>
            </w:r>
          </w:p>
        </w:tc>
      </w:tr>
    </w:tbl>
    <w:p w:rsidR="00B4500B" w:rsidRPr="00B4500B" w:rsidRDefault="00B4500B" w:rsidP="00B4500B">
      <w:pPr>
        <w:pStyle w:val="IRPsanstext"/>
      </w:pPr>
    </w:p>
    <w:p w:rsidR="00B4500B" w:rsidRPr="00B4500B" w:rsidRDefault="00B4500B" w:rsidP="00B4500B">
      <w:pPr>
        <w:pStyle w:val="IRPsanstext"/>
      </w:pPr>
    </w:p>
    <w:p w:rsidR="00E949CD" w:rsidRDefault="00E949CD">
      <w:pPr>
        <w:rPr>
          <w:rFonts w:ascii="Arial" w:hAnsi="Arial" w:cs="Arial"/>
          <w:sz w:val="32"/>
          <w:szCs w:val="32"/>
        </w:rPr>
      </w:pPr>
      <w:r>
        <w:rPr>
          <w:rFonts w:cs="Arial"/>
          <w:sz w:val="32"/>
          <w:szCs w:val="32"/>
        </w:rPr>
        <w:br w:type="page"/>
      </w:r>
    </w:p>
    <w:p w:rsidR="00A960CB" w:rsidRDefault="00A960CB" w:rsidP="00B4500B">
      <w:pPr>
        <w:pStyle w:val="IRPsanstext"/>
        <w:rPr>
          <w:rFonts w:cs="Arial"/>
          <w:sz w:val="32"/>
          <w:szCs w:val="32"/>
        </w:rPr>
      </w:pPr>
    </w:p>
    <w:p w:rsidR="00B4500B" w:rsidRPr="00B4500B" w:rsidRDefault="00B4500B" w:rsidP="00B4500B">
      <w:pPr>
        <w:pStyle w:val="IRPsanstext"/>
        <w:rPr>
          <w:rFonts w:cs="Arial"/>
          <w:sz w:val="32"/>
          <w:szCs w:val="32"/>
        </w:rPr>
      </w:pPr>
      <w:r w:rsidRPr="00B4500B">
        <w:rPr>
          <w:rFonts w:cs="Arial"/>
          <w:sz w:val="32"/>
          <w:szCs w:val="32"/>
        </w:rPr>
        <w:t>Thermal Storage</w:t>
      </w:r>
    </w:p>
    <w:p w:rsidR="00B4500B" w:rsidRPr="00B4500B" w:rsidRDefault="00B4500B" w:rsidP="00B4500B">
      <w:pPr>
        <w:pStyle w:val="IRPsanstext"/>
        <w:rPr>
          <w:rFonts w:cs="Arial"/>
        </w:rPr>
      </w:pPr>
    </w:p>
    <w:p w:rsidR="00B4500B" w:rsidRPr="00B4500B" w:rsidRDefault="00B4500B" w:rsidP="00B4500B">
      <w:pPr>
        <w:pStyle w:val="IRPsanstext"/>
        <w:rPr>
          <w:rFonts w:cs="Arial"/>
        </w:rPr>
      </w:pPr>
      <w:r w:rsidRPr="00B4500B">
        <w:rPr>
          <w:rFonts w:cs="Arial"/>
        </w:rPr>
        <w:t>Thermal storage comes in many forms; the most well-known bulk thermal storage solution is molten salt. Paired with solar thermal generation plants, molten salt thermal storage is used to improve the dispatchability of concentrated solar power (CSP) facilities. The stored energy powers steam turbines to continue generation after the solar day has ended. Because PSE has no thermal solar generating facilities and no plans to acquire such, this technology is not explored further in this assessment.</w:t>
      </w:r>
    </w:p>
    <w:p w:rsidR="000F150A" w:rsidRDefault="000F150A" w:rsidP="000F150A">
      <w:pPr>
        <w:pStyle w:val="IRPFigureSub"/>
      </w:pPr>
      <w:bookmarkStart w:id="17" w:name="_Toc414365361"/>
    </w:p>
    <w:p w:rsidR="000F150A" w:rsidRPr="004740F8" w:rsidRDefault="00B4500B" w:rsidP="004740F8">
      <w:pPr>
        <w:pStyle w:val="IRPFigureSub"/>
        <w:spacing w:after="120"/>
        <w:rPr>
          <w:szCs w:val="20"/>
          <w:highlight w:val="yellow"/>
        </w:rPr>
      </w:pPr>
      <w:r w:rsidRPr="00B4500B">
        <w:t>Figure L-</w:t>
      </w:r>
      <w:r w:rsidR="00004846" w:rsidRPr="00B4500B">
        <w:t>1</w:t>
      </w:r>
      <w:r w:rsidR="00004846">
        <w:t>6</w:t>
      </w:r>
      <w:r w:rsidR="00A21A60">
        <w:rPr>
          <w:szCs w:val="20"/>
        </w:rPr>
        <w:t xml:space="preserve">: </w:t>
      </w:r>
      <w:r w:rsidRPr="00B4500B">
        <w:t>Five Largest Operational Bulk Thermal Storage Facilities</w:t>
      </w:r>
      <w:bookmarkEnd w:id="17"/>
      <w:r w:rsidR="0068203F">
        <w:rPr>
          <w:rStyle w:val="FootnoteReference"/>
        </w:rPr>
        <w:footnoteReference w:id="57"/>
      </w:r>
    </w:p>
    <w:tbl>
      <w:tblPr>
        <w:tblStyle w:val="LightList-Accent1"/>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160"/>
        <w:gridCol w:w="1350"/>
        <w:gridCol w:w="1260"/>
        <w:gridCol w:w="1620"/>
      </w:tblGrid>
      <w:tr w:rsidR="000F150A" w:rsidRPr="00B45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shd w:val="clear" w:color="auto" w:fill="156570"/>
            <w:vAlign w:val="center"/>
          </w:tcPr>
          <w:p w:rsidR="00B4500B" w:rsidRPr="00B4500B" w:rsidRDefault="00B4500B" w:rsidP="000F150A">
            <w:pPr>
              <w:pStyle w:val="IRPsanstext"/>
              <w:rPr>
                <w:rFonts w:cs="Arial"/>
                <w:szCs w:val="22"/>
              </w:rPr>
            </w:pPr>
            <w:r w:rsidRPr="00B4500B">
              <w:rPr>
                <w:rFonts w:cs="Arial"/>
                <w:szCs w:val="22"/>
              </w:rPr>
              <w:t>Owner / Project</w:t>
            </w:r>
          </w:p>
        </w:tc>
        <w:tc>
          <w:tcPr>
            <w:tcW w:w="2160" w:type="dxa"/>
            <w:tcBorders>
              <w:bottom w:val="single" w:sz="4" w:space="0" w:color="auto"/>
            </w:tcBorders>
            <w:shd w:val="clear" w:color="auto" w:fill="156570"/>
            <w:vAlign w:val="center"/>
          </w:tcPr>
          <w:p w:rsidR="00B4500B" w:rsidRPr="00B4500B" w:rsidRDefault="00B4500B" w:rsidP="000F150A">
            <w:pPr>
              <w:pStyle w:val="IRPsanstext"/>
              <w:cnfStyle w:val="100000000000" w:firstRow="1" w:lastRow="0" w:firstColumn="0" w:lastColumn="0" w:oddVBand="0" w:evenVBand="0" w:oddHBand="0" w:evenHBand="0" w:firstRowFirstColumn="0" w:firstRowLastColumn="0" w:lastRowFirstColumn="0" w:lastRowLastColumn="0"/>
              <w:rPr>
                <w:rFonts w:cs="Arial"/>
                <w:szCs w:val="22"/>
              </w:rPr>
            </w:pPr>
            <w:r w:rsidRPr="00B4500B">
              <w:rPr>
                <w:rFonts w:cs="Arial"/>
                <w:szCs w:val="22"/>
              </w:rPr>
              <w:t>Nominal Power / Energy (Duration)</w:t>
            </w:r>
          </w:p>
        </w:tc>
        <w:tc>
          <w:tcPr>
            <w:tcW w:w="1350" w:type="dxa"/>
            <w:tcBorders>
              <w:bottom w:val="single" w:sz="4" w:space="0" w:color="auto"/>
            </w:tcBorders>
            <w:shd w:val="clear" w:color="auto" w:fill="156570"/>
            <w:vAlign w:val="center"/>
          </w:tcPr>
          <w:p w:rsidR="00B4500B" w:rsidRPr="00B4500B" w:rsidRDefault="00B4500B" w:rsidP="000F150A">
            <w:pPr>
              <w:pStyle w:val="IRPsanstext"/>
              <w:cnfStyle w:val="100000000000" w:firstRow="1" w:lastRow="0" w:firstColumn="0" w:lastColumn="0" w:oddVBand="0" w:evenVBand="0" w:oddHBand="0" w:evenHBand="0" w:firstRowFirstColumn="0" w:firstRowLastColumn="0" w:lastRowFirstColumn="0" w:lastRowLastColumn="0"/>
              <w:rPr>
                <w:rFonts w:cs="Arial"/>
                <w:szCs w:val="22"/>
              </w:rPr>
            </w:pPr>
            <w:r w:rsidRPr="00B4500B">
              <w:rPr>
                <w:rFonts w:cs="Arial"/>
                <w:szCs w:val="22"/>
              </w:rPr>
              <w:t>Technology</w:t>
            </w:r>
          </w:p>
        </w:tc>
        <w:tc>
          <w:tcPr>
            <w:tcW w:w="1260" w:type="dxa"/>
            <w:tcBorders>
              <w:bottom w:val="single" w:sz="4" w:space="0" w:color="auto"/>
            </w:tcBorders>
            <w:shd w:val="clear" w:color="auto" w:fill="156570"/>
            <w:vAlign w:val="center"/>
          </w:tcPr>
          <w:p w:rsidR="00B4500B" w:rsidRPr="00B4500B" w:rsidRDefault="00B4500B" w:rsidP="000F150A">
            <w:pPr>
              <w:pStyle w:val="IRPsanstext"/>
              <w:cnfStyle w:val="100000000000" w:firstRow="1" w:lastRow="0" w:firstColumn="0" w:lastColumn="0" w:oddVBand="0" w:evenVBand="0" w:oddHBand="0" w:evenHBand="0" w:firstRowFirstColumn="0" w:firstRowLastColumn="0" w:lastRowFirstColumn="0" w:lastRowLastColumn="0"/>
              <w:rPr>
                <w:rFonts w:cs="Arial"/>
                <w:szCs w:val="22"/>
              </w:rPr>
            </w:pPr>
            <w:r w:rsidRPr="00B4500B">
              <w:rPr>
                <w:rFonts w:cs="Arial"/>
                <w:szCs w:val="22"/>
              </w:rPr>
              <w:t>Location</w:t>
            </w:r>
          </w:p>
        </w:tc>
        <w:tc>
          <w:tcPr>
            <w:tcW w:w="1620" w:type="dxa"/>
            <w:tcBorders>
              <w:bottom w:val="single" w:sz="4" w:space="0" w:color="auto"/>
            </w:tcBorders>
            <w:shd w:val="clear" w:color="auto" w:fill="156570"/>
            <w:vAlign w:val="center"/>
          </w:tcPr>
          <w:p w:rsidR="00B4500B" w:rsidRPr="00B4500B" w:rsidRDefault="00B4500B" w:rsidP="000F150A">
            <w:pPr>
              <w:pStyle w:val="IRPsanstext"/>
              <w:cnfStyle w:val="100000000000" w:firstRow="1" w:lastRow="0" w:firstColumn="0" w:lastColumn="0" w:oddVBand="0" w:evenVBand="0" w:oddHBand="0" w:evenHBand="0" w:firstRowFirstColumn="0" w:firstRowLastColumn="0" w:lastRowFirstColumn="0" w:lastRowLastColumn="0"/>
              <w:rPr>
                <w:rFonts w:cs="Arial"/>
                <w:szCs w:val="22"/>
              </w:rPr>
            </w:pPr>
            <w:r w:rsidRPr="00B4500B">
              <w:rPr>
                <w:rFonts w:cs="Arial"/>
                <w:szCs w:val="22"/>
              </w:rPr>
              <w:t>Primary Function</w:t>
            </w:r>
          </w:p>
        </w:tc>
      </w:tr>
      <w:tr w:rsidR="000F150A"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vAlign w:val="center"/>
          </w:tcPr>
          <w:p w:rsidR="00B4500B" w:rsidRPr="000F150A" w:rsidRDefault="00B4500B" w:rsidP="000F150A">
            <w:pPr>
              <w:pStyle w:val="IRPsanstext"/>
              <w:spacing w:line="276" w:lineRule="auto"/>
              <w:rPr>
                <w:rFonts w:cs="Arial"/>
                <w:b w:val="0"/>
                <w:szCs w:val="22"/>
              </w:rPr>
            </w:pPr>
            <w:r w:rsidRPr="000F150A">
              <w:rPr>
                <w:rFonts w:cs="Arial"/>
                <w:b w:val="0"/>
                <w:szCs w:val="22"/>
              </w:rPr>
              <w:t>Abengoa Solar / Solana Solar Generating Plant</w:t>
            </w:r>
          </w:p>
        </w:tc>
        <w:tc>
          <w:tcPr>
            <w:tcW w:w="2160" w:type="dxa"/>
            <w:tcBorders>
              <w:top w:val="single" w:sz="4" w:space="0" w:color="auto"/>
              <w:bottom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280 MW / 1,680 MWh</w:t>
            </w:r>
          </w:p>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(6 hours)</w:t>
            </w:r>
          </w:p>
        </w:tc>
        <w:tc>
          <w:tcPr>
            <w:tcW w:w="1350" w:type="dxa"/>
            <w:tcBorders>
              <w:top w:val="single" w:sz="4" w:space="0" w:color="auto"/>
              <w:bottom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Molten salt</w:t>
            </w:r>
          </w:p>
        </w:tc>
        <w:tc>
          <w:tcPr>
            <w:tcW w:w="1260" w:type="dxa"/>
            <w:tcBorders>
              <w:top w:val="single" w:sz="4" w:space="0" w:color="auto"/>
              <w:bottom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Gila Bend, AZ</w:t>
            </w:r>
          </w:p>
        </w:tc>
        <w:tc>
          <w:tcPr>
            <w:tcW w:w="1620" w:type="dxa"/>
            <w:tcBorders>
              <w:top w:val="single" w:sz="4" w:space="0" w:color="auto"/>
              <w:bottom w:val="single" w:sz="4" w:space="0" w:color="auto"/>
              <w:right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Renewable generation shifting</w:t>
            </w:r>
          </w:p>
        </w:tc>
      </w:tr>
      <w:tr w:rsidR="000F150A" w:rsidRPr="00B4500B">
        <w:tc>
          <w:tcPr>
            <w:cnfStyle w:val="001000000000" w:firstRow="0" w:lastRow="0" w:firstColumn="1" w:lastColumn="0" w:oddVBand="0" w:evenVBand="0" w:oddHBand="0" w:evenHBand="0" w:firstRowFirstColumn="0" w:firstRowLastColumn="0" w:lastRowFirstColumn="0" w:lastRowLastColumn="0"/>
            <w:tcW w:w="2250" w:type="dxa"/>
            <w:vAlign w:val="center"/>
          </w:tcPr>
          <w:p w:rsidR="00B4500B" w:rsidRPr="000F150A" w:rsidRDefault="001D220F" w:rsidP="000F150A">
            <w:pPr>
              <w:pStyle w:val="IRPsanstext"/>
              <w:spacing w:line="276" w:lineRule="auto"/>
              <w:rPr>
                <w:rFonts w:cs="Arial"/>
                <w:b w:val="0"/>
                <w:szCs w:val="22"/>
              </w:rPr>
            </w:pPr>
            <w:r>
              <w:rPr>
                <w:rFonts w:cs="Arial"/>
                <w:b w:val="0"/>
                <w:szCs w:val="22"/>
              </w:rPr>
              <w:t>Brazos Electric Cooperative</w:t>
            </w:r>
            <w:r w:rsidRPr="000F150A">
              <w:rPr>
                <w:rFonts w:cs="Arial"/>
                <w:b w:val="0"/>
                <w:szCs w:val="22"/>
              </w:rPr>
              <w:t xml:space="preserve"> </w:t>
            </w:r>
            <w:r w:rsidR="00B4500B" w:rsidRPr="000F150A">
              <w:rPr>
                <w:rFonts w:cs="Arial"/>
                <w:b w:val="0"/>
                <w:szCs w:val="22"/>
              </w:rPr>
              <w:t>/ TAS Texas Cooperative</w:t>
            </w:r>
          </w:p>
        </w:tc>
        <w:tc>
          <w:tcPr>
            <w:tcW w:w="216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90 MW / 1,080 MWh</w:t>
            </w:r>
          </w:p>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(12 hours)</w:t>
            </w:r>
          </w:p>
        </w:tc>
        <w:tc>
          <w:tcPr>
            <w:tcW w:w="135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Chilled water</w:t>
            </w:r>
          </w:p>
        </w:tc>
        <w:tc>
          <w:tcPr>
            <w:tcW w:w="126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Joplin, TX</w:t>
            </w:r>
          </w:p>
        </w:tc>
        <w:tc>
          <w:tcPr>
            <w:tcW w:w="162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Electric supply capacity</w:t>
            </w:r>
          </w:p>
        </w:tc>
      </w:tr>
      <w:tr w:rsidR="001D220F"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vAlign w:val="center"/>
          </w:tcPr>
          <w:p w:rsidR="001D220F" w:rsidRPr="000F150A" w:rsidRDefault="000C2385" w:rsidP="000F150A">
            <w:pPr>
              <w:pStyle w:val="IRPsanstext"/>
              <w:spacing w:line="276" w:lineRule="auto"/>
              <w:rPr>
                <w:rFonts w:cs="Arial"/>
                <w:b w:val="0"/>
                <w:szCs w:val="22"/>
              </w:rPr>
            </w:pPr>
            <w:r>
              <w:rPr>
                <w:rFonts w:cs="Arial"/>
                <w:b w:val="0"/>
                <w:szCs w:val="22"/>
              </w:rPr>
              <w:t xml:space="preserve">Abengoa Solar / </w:t>
            </w:r>
            <w:r w:rsidR="001D220F">
              <w:rPr>
                <w:rFonts w:cs="Arial"/>
                <w:b w:val="0"/>
                <w:szCs w:val="22"/>
              </w:rPr>
              <w:t>Kaxu Solar One</w:t>
            </w:r>
          </w:p>
        </w:tc>
        <w:tc>
          <w:tcPr>
            <w:tcW w:w="2160" w:type="dxa"/>
            <w:tcBorders>
              <w:top w:val="single" w:sz="4" w:space="0" w:color="auto"/>
              <w:bottom w:val="single" w:sz="4" w:space="0" w:color="auto"/>
            </w:tcBorders>
            <w:vAlign w:val="center"/>
          </w:tcPr>
          <w:p w:rsidR="001D220F" w:rsidRPr="00B4500B" w:rsidRDefault="001D220F" w:rsidP="003E65A6">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100 MW / 250 MWh (2 hours, 30 minutes)</w:t>
            </w:r>
          </w:p>
        </w:tc>
        <w:tc>
          <w:tcPr>
            <w:tcW w:w="1350" w:type="dxa"/>
            <w:tcBorders>
              <w:top w:val="single" w:sz="4" w:space="0" w:color="auto"/>
              <w:bottom w:val="single" w:sz="4" w:space="0" w:color="auto"/>
            </w:tcBorders>
            <w:vAlign w:val="center"/>
          </w:tcPr>
          <w:p w:rsidR="001D220F" w:rsidRPr="00B4500B" w:rsidRDefault="001D220F"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Molten salt</w:t>
            </w:r>
          </w:p>
        </w:tc>
        <w:tc>
          <w:tcPr>
            <w:tcW w:w="1260" w:type="dxa"/>
            <w:tcBorders>
              <w:top w:val="single" w:sz="4" w:space="0" w:color="auto"/>
              <w:bottom w:val="single" w:sz="4" w:space="0" w:color="auto"/>
            </w:tcBorders>
            <w:vAlign w:val="center"/>
          </w:tcPr>
          <w:p w:rsidR="001D220F" w:rsidRPr="00B4500B" w:rsidRDefault="001D220F"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Northern Cape, South Africa</w:t>
            </w:r>
          </w:p>
        </w:tc>
        <w:tc>
          <w:tcPr>
            <w:tcW w:w="1620" w:type="dxa"/>
            <w:tcBorders>
              <w:top w:val="single" w:sz="4" w:space="0" w:color="auto"/>
              <w:bottom w:val="single" w:sz="4" w:space="0" w:color="auto"/>
              <w:right w:val="single" w:sz="4" w:space="0" w:color="auto"/>
            </w:tcBorders>
            <w:vAlign w:val="center"/>
          </w:tcPr>
          <w:p w:rsidR="001D220F" w:rsidRPr="00B4500B" w:rsidRDefault="000C2385"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Renewable generation shifting</w:t>
            </w:r>
          </w:p>
        </w:tc>
      </w:tr>
      <w:tr w:rsidR="000F150A" w:rsidRPr="00B4500B">
        <w:tc>
          <w:tcPr>
            <w:cnfStyle w:val="001000000000" w:firstRow="0" w:lastRow="0" w:firstColumn="1" w:lastColumn="0" w:oddVBand="0" w:evenVBand="0" w:oddHBand="0" w:evenHBand="0" w:firstRowFirstColumn="0" w:firstRowLastColumn="0" w:lastRowFirstColumn="0" w:lastRowLastColumn="0"/>
            <w:tcW w:w="2250" w:type="dxa"/>
            <w:vAlign w:val="center"/>
          </w:tcPr>
          <w:p w:rsidR="00B4500B" w:rsidRPr="000F150A" w:rsidRDefault="00B4500B" w:rsidP="000F150A">
            <w:pPr>
              <w:pStyle w:val="IRPsanstext"/>
              <w:spacing w:line="276" w:lineRule="auto"/>
              <w:rPr>
                <w:rFonts w:cs="Arial"/>
                <w:b w:val="0"/>
                <w:szCs w:val="22"/>
              </w:rPr>
            </w:pPr>
            <w:r w:rsidRPr="000F150A">
              <w:rPr>
                <w:rFonts w:cs="Arial"/>
                <w:b w:val="0"/>
                <w:szCs w:val="22"/>
              </w:rPr>
              <w:t>ACS - Cobra Group / Manchasol 2 Solar Plant</w:t>
            </w:r>
          </w:p>
        </w:tc>
        <w:tc>
          <w:tcPr>
            <w:tcW w:w="216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50 MW / 375 MWh</w:t>
            </w:r>
          </w:p>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(7.5 hours)</w:t>
            </w:r>
          </w:p>
        </w:tc>
        <w:tc>
          <w:tcPr>
            <w:tcW w:w="135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Molten salt</w:t>
            </w:r>
          </w:p>
        </w:tc>
        <w:tc>
          <w:tcPr>
            <w:tcW w:w="126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Alcazar de San Juan, Spain</w:t>
            </w:r>
          </w:p>
        </w:tc>
        <w:tc>
          <w:tcPr>
            <w:tcW w:w="162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Renewable generation shifting</w:t>
            </w:r>
          </w:p>
        </w:tc>
      </w:tr>
      <w:tr w:rsidR="000F150A"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vAlign w:val="center"/>
          </w:tcPr>
          <w:p w:rsidR="00B4500B" w:rsidRPr="000F150A" w:rsidRDefault="00B4500B" w:rsidP="000F150A">
            <w:pPr>
              <w:pStyle w:val="IRPsanstext"/>
              <w:spacing w:line="276" w:lineRule="auto"/>
              <w:rPr>
                <w:rFonts w:cs="Arial"/>
                <w:b w:val="0"/>
                <w:szCs w:val="22"/>
              </w:rPr>
            </w:pPr>
            <w:r w:rsidRPr="000F150A">
              <w:rPr>
                <w:rFonts w:cs="Arial"/>
                <w:b w:val="0"/>
                <w:szCs w:val="22"/>
              </w:rPr>
              <w:t>Ortiz – TSK –Magtel / La Africana Solar Plant</w:t>
            </w:r>
          </w:p>
        </w:tc>
        <w:tc>
          <w:tcPr>
            <w:tcW w:w="2160" w:type="dxa"/>
            <w:tcBorders>
              <w:top w:val="single" w:sz="4" w:space="0" w:color="auto"/>
              <w:bottom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50 MW / 375 MWh</w:t>
            </w:r>
          </w:p>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(7.5 hours)</w:t>
            </w:r>
          </w:p>
        </w:tc>
        <w:tc>
          <w:tcPr>
            <w:tcW w:w="1350" w:type="dxa"/>
            <w:tcBorders>
              <w:top w:val="single" w:sz="4" w:space="0" w:color="auto"/>
              <w:bottom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Molten salt</w:t>
            </w:r>
          </w:p>
        </w:tc>
        <w:tc>
          <w:tcPr>
            <w:tcW w:w="1260" w:type="dxa"/>
            <w:tcBorders>
              <w:top w:val="single" w:sz="4" w:space="0" w:color="auto"/>
              <w:bottom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Posadas, Spain</w:t>
            </w:r>
          </w:p>
        </w:tc>
        <w:tc>
          <w:tcPr>
            <w:tcW w:w="1620" w:type="dxa"/>
            <w:tcBorders>
              <w:top w:val="single" w:sz="4" w:space="0" w:color="auto"/>
              <w:bottom w:val="single" w:sz="4" w:space="0" w:color="auto"/>
              <w:right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Renewable generation shifting</w:t>
            </w:r>
          </w:p>
        </w:tc>
      </w:tr>
    </w:tbl>
    <w:p w:rsidR="00B4500B" w:rsidRPr="00B4500B" w:rsidRDefault="00B4500B" w:rsidP="000F150A">
      <w:pPr>
        <w:pStyle w:val="IRPsanstext"/>
        <w:spacing w:line="276" w:lineRule="auto"/>
        <w:rPr>
          <w:rFonts w:cs="Arial"/>
        </w:rPr>
      </w:pPr>
    </w:p>
    <w:p w:rsidR="008E5195" w:rsidRDefault="00B4500B" w:rsidP="007C5C4F">
      <w:pPr>
        <w:pStyle w:val="IRPsanstext"/>
        <w:rPr>
          <w:rFonts w:cs="Arial"/>
        </w:rPr>
      </w:pPr>
      <w:r w:rsidRPr="00B4500B">
        <w:rPr>
          <w:rFonts w:cs="Arial"/>
        </w:rPr>
        <w:t xml:space="preserve">Other forms of thermal storage are more distributed in nature. These primarily interact with building heating and cooling systems and support demand-side services such as demand response. Some technologies, such as direct load control of water heaters, have already demonstrated deployment in electrical and heating networks. SCE and PG&amp;E recently awarded contracts to IceEnergy for distributed thermal storage to reduce air conditioning loads. Although promising, many of these technologies are aimed at reducing peak loads during high temperature periods; since PSE is a winter-peaking utility, they are not necessarily a good fit for PSE or our customers’ needs. </w:t>
      </w:r>
    </w:p>
    <w:p w:rsidR="00F71BD6" w:rsidRDefault="00F71BD6">
      <w:pPr>
        <w:rPr>
          <w:rFonts w:ascii="Arial" w:hAnsi="Arial" w:cs="Arial"/>
        </w:rPr>
      </w:pPr>
      <w:r>
        <w:rPr>
          <w:rFonts w:cs="Arial"/>
        </w:rPr>
        <w:br w:type="page"/>
      </w:r>
    </w:p>
    <w:p w:rsidR="007C5C4F" w:rsidRPr="007C5C4F" w:rsidRDefault="00E61D26" w:rsidP="007C5C4F">
      <w:pPr>
        <w:pStyle w:val="IRPsanstext"/>
        <w:rPr>
          <w:rFonts w:cs="Arial"/>
          <w:sz w:val="32"/>
          <w:szCs w:val="32"/>
        </w:rPr>
      </w:pPr>
      <w:r>
        <w:rPr>
          <w:rFonts w:cs="Arial"/>
          <w:sz w:val="32"/>
          <w:szCs w:val="32"/>
        </w:rPr>
        <w:lastRenderedPageBreak/>
        <w:br/>
      </w:r>
      <w:r w:rsidR="007C5C4F" w:rsidRPr="007C5C4F">
        <w:rPr>
          <w:rFonts w:cs="Arial"/>
          <w:sz w:val="32"/>
          <w:szCs w:val="32"/>
        </w:rPr>
        <w:t>Bulk Gravitational Storage</w:t>
      </w:r>
    </w:p>
    <w:p w:rsidR="007C5C4F" w:rsidRPr="007C5C4F" w:rsidRDefault="007C5C4F" w:rsidP="007C5C4F">
      <w:pPr>
        <w:pStyle w:val="IRPsanstext"/>
        <w:rPr>
          <w:rFonts w:cs="Arial"/>
        </w:rPr>
      </w:pPr>
    </w:p>
    <w:p w:rsidR="007C5C4F" w:rsidRPr="007C5C4F" w:rsidRDefault="007C5C4F" w:rsidP="007C5C4F">
      <w:pPr>
        <w:pStyle w:val="IRPsanstext"/>
        <w:rPr>
          <w:rFonts w:cs="Arial"/>
        </w:rPr>
      </w:pPr>
      <w:r w:rsidRPr="007C5C4F">
        <w:rPr>
          <w:rFonts w:cs="Arial"/>
        </w:rPr>
        <w:t xml:space="preserve">Bulk gravitational storage includes technologies such as pumped hydro and gravel in railcars. </w:t>
      </w:r>
    </w:p>
    <w:p w:rsidR="007C5C4F" w:rsidRPr="007C5C4F" w:rsidRDefault="007C5C4F" w:rsidP="007C5C4F">
      <w:pPr>
        <w:pStyle w:val="IRPsanstext"/>
        <w:rPr>
          <w:rFonts w:cs="Arial"/>
        </w:rPr>
      </w:pPr>
    </w:p>
    <w:p w:rsidR="007C5C4F" w:rsidRDefault="007C5C4F" w:rsidP="007C5C4F">
      <w:pPr>
        <w:pStyle w:val="IRPsanstext"/>
        <w:rPr>
          <w:rFonts w:cs="Arial"/>
        </w:rPr>
      </w:pPr>
      <w:r w:rsidRPr="007C5C4F">
        <w:rPr>
          <w:rFonts w:cs="Arial"/>
          <w:b/>
          <w:color w:val="156570"/>
          <w:sz w:val="28"/>
          <w:szCs w:val="28"/>
        </w:rPr>
        <w:t>Pumped Hydro.</w:t>
      </w:r>
      <w:r w:rsidRPr="007C5C4F">
        <w:rPr>
          <w:rFonts w:cs="Arial"/>
          <w:b/>
          <w:color w:val="3366FF"/>
        </w:rPr>
        <w:t xml:space="preserve"> </w:t>
      </w:r>
      <w:r w:rsidRPr="007C5C4F">
        <w:rPr>
          <w:rFonts w:cs="Arial"/>
        </w:rPr>
        <w:t xml:space="preserve">Pumped hydro is a mature technology used throughout North America and the world.  Off-peak power is used to pump water from a lower reservoir to a higher reservoir; then the water is released to generate electricity during peak periods. Because pumped hydro facilities require above ground reservoirs, specific land configurations are needed. Pumped hydro projects are rarely located close to urban centers, and permitting can take many years due to their large environmental impact. </w:t>
      </w:r>
      <w:bookmarkStart w:id="18" w:name="_Toc414365362"/>
    </w:p>
    <w:p w:rsidR="004740F8" w:rsidRDefault="004740F8">
      <w:pPr>
        <w:rPr>
          <w:rFonts w:ascii="Arial" w:hAnsi="Arial"/>
          <w:i/>
          <w:szCs w:val="22"/>
        </w:rPr>
      </w:pPr>
    </w:p>
    <w:p w:rsidR="007C5C4F" w:rsidRPr="007C5C4F" w:rsidRDefault="007C5C4F" w:rsidP="0068203F">
      <w:pPr>
        <w:pStyle w:val="IRPFigureSub"/>
        <w:spacing w:after="120"/>
      </w:pPr>
      <w:r w:rsidRPr="007C5C4F">
        <w:t>Figure L-</w:t>
      </w:r>
      <w:r w:rsidR="00004846" w:rsidRPr="007C5C4F">
        <w:t>1</w:t>
      </w:r>
      <w:r w:rsidR="00004846">
        <w:t>7</w:t>
      </w:r>
      <w:r w:rsidR="00A21A60">
        <w:t>:</w:t>
      </w:r>
      <w:r w:rsidRPr="007C5C4F">
        <w:t xml:space="preserve"> Operational Pumped Hydro Storage in Washington State</w:t>
      </w:r>
      <w:bookmarkEnd w:id="18"/>
    </w:p>
    <w:tbl>
      <w:tblPr>
        <w:tblStyle w:val="LightList-Accent1"/>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2340"/>
        <w:gridCol w:w="1890"/>
        <w:gridCol w:w="1620"/>
      </w:tblGrid>
      <w:tr w:rsidR="007C5C4F" w:rsidRPr="007C5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tcBorders>
            <w:shd w:val="clear" w:color="auto" w:fill="156570"/>
            <w:vAlign w:val="center"/>
          </w:tcPr>
          <w:p w:rsidR="007C5C4F" w:rsidRPr="007C5C4F" w:rsidRDefault="007C5C4F" w:rsidP="007C5C4F">
            <w:pPr>
              <w:pStyle w:val="IRPsanstext"/>
              <w:rPr>
                <w:rFonts w:cs="Arial"/>
              </w:rPr>
            </w:pPr>
            <w:r w:rsidRPr="007C5C4F">
              <w:rPr>
                <w:rFonts w:cs="Arial"/>
              </w:rPr>
              <w:t>Owner / Project</w:t>
            </w:r>
          </w:p>
        </w:tc>
        <w:tc>
          <w:tcPr>
            <w:tcW w:w="2340" w:type="dxa"/>
            <w:tcBorders>
              <w:bottom w:val="single" w:sz="4" w:space="0" w:color="auto"/>
            </w:tcBorders>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Nominal Power / Energy (Duration)</w:t>
            </w:r>
          </w:p>
        </w:tc>
        <w:tc>
          <w:tcPr>
            <w:tcW w:w="1890" w:type="dxa"/>
            <w:tcBorders>
              <w:bottom w:val="single" w:sz="4" w:space="0" w:color="auto"/>
            </w:tcBorders>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Location</w:t>
            </w:r>
          </w:p>
        </w:tc>
        <w:tc>
          <w:tcPr>
            <w:tcW w:w="1620" w:type="dxa"/>
            <w:tcBorders>
              <w:bottom w:val="single" w:sz="4" w:space="0" w:color="auto"/>
            </w:tcBorders>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Primary Function</w:t>
            </w:r>
          </w:p>
        </w:tc>
      </w:tr>
      <w:tr w:rsidR="007C5C4F" w:rsidRPr="007C5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left w:val="single" w:sz="4" w:space="0" w:color="auto"/>
              <w:bottom w:val="single" w:sz="4" w:space="0" w:color="auto"/>
            </w:tcBorders>
            <w:vAlign w:val="center"/>
          </w:tcPr>
          <w:p w:rsidR="007C5C4F" w:rsidRPr="007C5C4F" w:rsidRDefault="007C5C4F" w:rsidP="007C5C4F">
            <w:pPr>
              <w:pStyle w:val="IRPsanstext"/>
              <w:spacing w:line="276" w:lineRule="auto"/>
              <w:rPr>
                <w:rFonts w:cs="Arial"/>
                <w:b w:val="0"/>
              </w:rPr>
            </w:pPr>
            <w:r w:rsidRPr="007C5C4F">
              <w:rPr>
                <w:rFonts w:cs="Arial"/>
                <w:b w:val="0"/>
              </w:rPr>
              <w:t>Bonneville Power Administration / John W. Keys III Pump-Generating Plant</w:t>
            </w:r>
          </w:p>
        </w:tc>
        <w:tc>
          <w:tcPr>
            <w:tcW w:w="2340" w:type="dxa"/>
            <w:tcBorders>
              <w:top w:val="single" w:sz="4" w:space="0" w:color="auto"/>
              <w:bottom w:val="single" w:sz="4" w:space="0" w:color="auto"/>
            </w:tcBorders>
            <w:vAlign w:val="center"/>
          </w:tcPr>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314 MW / 25,120 MWh</w:t>
            </w:r>
          </w:p>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(80 hours)</w:t>
            </w:r>
          </w:p>
        </w:tc>
        <w:tc>
          <w:tcPr>
            <w:tcW w:w="1890" w:type="dxa"/>
            <w:tcBorders>
              <w:top w:val="single" w:sz="4" w:space="0" w:color="auto"/>
              <w:bottom w:val="single" w:sz="4" w:space="0" w:color="auto"/>
            </w:tcBorders>
            <w:vAlign w:val="center"/>
          </w:tcPr>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Grand Coulee, WA</w:t>
            </w:r>
          </w:p>
        </w:tc>
        <w:tc>
          <w:tcPr>
            <w:tcW w:w="1620" w:type="dxa"/>
            <w:tcBorders>
              <w:top w:val="single" w:sz="4" w:space="0" w:color="auto"/>
              <w:bottom w:val="single" w:sz="4" w:space="0" w:color="auto"/>
              <w:right w:val="single" w:sz="4" w:space="0" w:color="auto"/>
            </w:tcBorders>
            <w:vAlign w:val="center"/>
          </w:tcPr>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Electric supply capacity</w:t>
            </w:r>
          </w:p>
        </w:tc>
      </w:tr>
    </w:tbl>
    <w:p w:rsidR="007C5C4F" w:rsidRDefault="007C5C4F" w:rsidP="007C5C4F">
      <w:pPr>
        <w:pStyle w:val="IRPsanstext"/>
        <w:rPr>
          <w:rFonts w:cs="Arial"/>
          <w:b/>
          <w:color w:val="3366FF"/>
        </w:rPr>
      </w:pPr>
    </w:p>
    <w:p w:rsidR="007C5C4F" w:rsidRPr="007C5C4F" w:rsidRDefault="007C5C4F" w:rsidP="007C5C4F">
      <w:pPr>
        <w:pStyle w:val="IRPsanstext"/>
        <w:rPr>
          <w:rFonts w:cs="Arial"/>
        </w:rPr>
      </w:pPr>
      <w:r w:rsidRPr="007C5C4F">
        <w:rPr>
          <w:rFonts w:cs="Arial"/>
          <w:b/>
          <w:color w:val="156570"/>
          <w:sz w:val="28"/>
          <w:szCs w:val="28"/>
        </w:rPr>
        <w:t>Gravel/Railcar.</w:t>
      </w:r>
      <w:r w:rsidRPr="007C5C4F">
        <w:rPr>
          <w:rFonts w:cs="Arial"/>
          <w:b/>
          <w:color w:val="3366FF"/>
        </w:rPr>
        <w:t xml:space="preserve"> </w:t>
      </w:r>
      <w:r w:rsidRPr="007C5C4F">
        <w:rPr>
          <w:rFonts w:cs="Arial"/>
        </w:rPr>
        <w:t>The gravel/railcar storage method operates in a similar manner to pumped hydro. Off-peak power is used to move rail cars filled with gravel or another heavy material up a slope. When power is needed, the railcar moves down the slope, converting gravitational energy into electricity as it moves down.</w:t>
      </w:r>
    </w:p>
    <w:p w:rsidR="007C5C4F" w:rsidRPr="007C5C4F" w:rsidRDefault="007C5C4F" w:rsidP="007C5C4F">
      <w:pPr>
        <w:pStyle w:val="IRPsanstext"/>
        <w:rPr>
          <w:rFonts w:cs="Arial"/>
        </w:rPr>
      </w:pPr>
    </w:p>
    <w:p w:rsidR="007C5C4F" w:rsidRDefault="007C5C4F" w:rsidP="007C5C4F">
      <w:pPr>
        <w:pStyle w:val="IRPsanstext"/>
        <w:rPr>
          <w:rFonts w:cs="Arial"/>
        </w:rPr>
      </w:pPr>
      <w:r w:rsidRPr="007C5C4F">
        <w:rPr>
          <w:rFonts w:cs="Arial"/>
        </w:rPr>
        <w:t xml:space="preserve">Unlike pumped hydro, railcar/gravel energy storage does not require reservoirs to function. Rather, it requires a long slope of existing or new railroad track. This makes it potentially easier to site than pumped hydro, although it is still not suitable for urban areas, nor is it suitable for railroad segments </w:t>
      </w:r>
      <w:bookmarkStart w:id="19" w:name="_Toc402942673"/>
      <w:r w:rsidRPr="007C5C4F">
        <w:rPr>
          <w:rFonts w:cs="Arial"/>
        </w:rPr>
        <w:t>where there is existing traffic.</w:t>
      </w:r>
    </w:p>
    <w:p w:rsidR="007C5C4F" w:rsidRPr="007C5C4F" w:rsidRDefault="007C5C4F" w:rsidP="007C5C4F">
      <w:pPr>
        <w:pStyle w:val="IRPFigureSub"/>
      </w:pPr>
    </w:p>
    <w:p w:rsidR="007C5C4F" w:rsidRPr="004740F8" w:rsidRDefault="007C5C4F" w:rsidP="004740F8">
      <w:pPr>
        <w:pStyle w:val="IRPFigureSub"/>
        <w:spacing w:after="120"/>
      </w:pPr>
      <w:bookmarkStart w:id="20" w:name="_Toc414365363"/>
      <w:bookmarkEnd w:id="19"/>
      <w:r w:rsidRPr="007C5C4F">
        <w:t>Figure L-</w:t>
      </w:r>
      <w:r w:rsidR="00004846" w:rsidRPr="007C5C4F">
        <w:t>1</w:t>
      </w:r>
      <w:r w:rsidR="00004846">
        <w:t>8</w:t>
      </w:r>
      <w:r w:rsidR="00A21A60">
        <w:t xml:space="preserve">: </w:t>
      </w:r>
      <w:r w:rsidRPr="007C5C4F">
        <w:t>Planned Railcar Energy Storage Facility</w:t>
      </w:r>
      <w:bookmarkEnd w:id="20"/>
    </w:p>
    <w:tbl>
      <w:tblPr>
        <w:tblStyle w:val="LightList-Accent1"/>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980"/>
        <w:gridCol w:w="1439"/>
        <w:gridCol w:w="1621"/>
        <w:gridCol w:w="1350"/>
      </w:tblGrid>
      <w:tr w:rsidR="007C5C4F" w:rsidRPr="007C5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auto"/>
            </w:tcBorders>
            <w:shd w:val="clear" w:color="auto" w:fill="156570"/>
            <w:vAlign w:val="center"/>
          </w:tcPr>
          <w:p w:rsidR="007C5C4F" w:rsidRPr="007C5C4F" w:rsidRDefault="007C5C4F" w:rsidP="007C5C4F">
            <w:pPr>
              <w:pStyle w:val="IRPsanstext"/>
              <w:rPr>
                <w:rFonts w:cs="Arial"/>
              </w:rPr>
            </w:pPr>
            <w:r w:rsidRPr="007C5C4F">
              <w:rPr>
                <w:rFonts w:cs="Arial"/>
              </w:rPr>
              <w:t>Owner / Project</w:t>
            </w:r>
          </w:p>
        </w:tc>
        <w:tc>
          <w:tcPr>
            <w:tcW w:w="1146" w:type="pct"/>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Nominal Power / Energy (Duration)</w:t>
            </w:r>
          </w:p>
        </w:tc>
        <w:tc>
          <w:tcPr>
            <w:tcW w:w="833" w:type="pct"/>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Location</w:t>
            </w:r>
          </w:p>
        </w:tc>
        <w:tc>
          <w:tcPr>
            <w:tcW w:w="938" w:type="pct"/>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Primary Function</w:t>
            </w:r>
          </w:p>
        </w:tc>
        <w:tc>
          <w:tcPr>
            <w:tcW w:w="781" w:type="pct"/>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Status</w:t>
            </w:r>
          </w:p>
        </w:tc>
      </w:tr>
      <w:tr w:rsidR="007C5C4F" w:rsidRPr="007C5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auto"/>
              <w:left w:val="single" w:sz="4" w:space="0" w:color="auto"/>
              <w:bottom w:val="single" w:sz="4" w:space="0" w:color="auto"/>
            </w:tcBorders>
            <w:vAlign w:val="center"/>
          </w:tcPr>
          <w:p w:rsidR="007C5C4F" w:rsidRPr="007C5C4F" w:rsidRDefault="007C5C4F" w:rsidP="007C5C4F">
            <w:pPr>
              <w:pStyle w:val="IRPsanstext"/>
              <w:spacing w:line="276" w:lineRule="auto"/>
              <w:rPr>
                <w:rFonts w:cs="Arial"/>
                <w:b w:val="0"/>
              </w:rPr>
            </w:pPr>
            <w:r w:rsidRPr="007C5C4F">
              <w:rPr>
                <w:rFonts w:cs="Arial"/>
                <w:b w:val="0"/>
              </w:rPr>
              <w:t>ARES North America / Advanced Rail Energy Storage Nevada</w:t>
            </w:r>
          </w:p>
        </w:tc>
        <w:tc>
          <w:tcPr>
            <w:tcW w:w="1146" w:type="pct"/>
            <w:tcBorders>
              <w:top w:val="single" w:sz="4" w:space="0" w:color="auto"/>
              <w:bottom w:val="single" w:sz="4" w:space="0" w:color="auto"/>
            </w:tcBorders>
            <w:vAlign w:val="center"/>
          </w:tcPr>
          <w:p w:rsidR="001B46D9"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 xml:space="preserve">50 MW / 12.5 MWh </w:t>
            </w:r>
          </w:p>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(15 min</w:t>
            </w:r>
            <w:r w:rsidR="00BE6C41">
              <w:rPr>
                <w:rFonts w:cs="Arial"/>
              </w:rPr>
              <w:t>utes</w:t>
            </w:r>
            <w:r w:rsidRPr="007C5C4F">
              <w:rPr>
                <w:rFonts w:cs="Arial"/>
              </w:rPr>
              <w:t>)</w:t>
            </w:r>
          </w:p>
        </w:tc>
        <w:tc>
          <w:tcPr>
            <w:tcW w:w="833" w:type="pct"/>
            <w:tcBorders>
              <w:top w:val="single" w:sz="4" w:space="0" w:color="auto"/>
              <w:bottom w:val="single" w:sz="4" w:space="0" w:color="auto"/>
            </w:tcBorders>
            <w:vAlign w:val="center"/>
          </w:tcPr>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Pahrump, NV</w:t>
            </w:r>
          </w:p>
        </w:tc>
        <w:tc>
          <w:tcPr>
            <w:tcW w:w="938" w:type="pct"/>
            <w:tcBorders>
              <w:top w:val="single" w:sz="4" w:space="0" w:color="auto"/>
              <w:bottom w:val="single" w:sz="4" w:space="0" w:color="auto"/>
            </w:tcBorders>
            <w:vAlign w:val="center"/>
          </w:tcPr>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Load following, voltage support</w:t>
            </w:r>
          </w:p>
        </w:tc>
        <w:tc>
          <w:tcPr>
            <w:tcW w:w="781" w:type="pct"/>
            <w:tcBorders>
              <w:top w:val="single" w:sz="4" w:space="0" w:color="auto"/>
              <w:bottom w:val="single" w:sz="4" w:space="0" w:color="auto"/>
              <w:right w:val="single" w:sz="4" w:space="0" w:color="auto"/>
            </w:tcBorders>
            <w:vAlign w:val="center"/>
          </w:tcPr>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Announced</w:t>
            </w:r>
          </w:p>
        </w:tc>
      </w:tr>
    </w:tbl>
    <w:p w:rsidR="005D2946" w:rsidRDefault="005D2946" w:rsidP="007C5C4F">
      <w:pPr>
        <w:pStyle w:val="Heading3"/>
        <w:rPr>
          <w:rFonts w:hint="eastAsia"/>
        </w:rPr>
      </w:pPr>
    </w:p>
    <w:p w:rsidR="005D2946" w:rsidRDefault="005D2946" w:rsidP="005D2946">
      <w:pPr>
        <w:rPr>
          <w:rFonts w:asciiTheme="majorHAnsi" w:eastAsiaTheme="majorEastAsia" w:hAnsiTheme="majorHAnsi" w:cstheme="majorBidi" w:hint="eastAsia"/>
          <w:color w:val="4F81BD" w:themeColor="accent1"/>
        </w:rPr>
      </w:pPr>
      <w:r>
        <w:rPr>
          <w:rFonts w:hint="eastAsia"/>
        </w:rPr>
        <w:br w:type="page"/>
      </w:r>
    </w:p>
    <w:p w:rsidR="007C5C4F" w:rsidRDefault="005D2946" w:rsidP="00E949CD">
      <w:pPr>
        <w:pStyle w:val="IRPsecthead2sans"/>
      </w:pPr>
      <w:r>
        <w:lastRenderedPageBreak/>
        <w:br/>
      </w:r>
      <w:r w:rsidR="007C5C4F" w:rsidRPr="007C5C4F">
        <w:t>D</w:t>
      </w:r>
      <w:r w:rsidR="007C5C4F">
        <w:t xml:space="preserve">EVELOPMENT CONSIDERATIONS </w:t>
      </w:r>
    </w:p>
    <w:p w:rsidR="007C5C4F" w:rsidRDefault="007C5C4F" w:rsidP="007C5C4F">
      <w:pPr>
        <w:pStyle w:val="IRPsanstext"/>
      </w:pPr>
    </w:p>
    <w:p w:rsidR="007C5C4F" w:rsidRPr="007C5C4F" w:rsidRDefault="007C5C4F" w:rsidP="007C5C4F">
      <w:pPr>
        <w:pStyle w:val="IRPsanstext"/>
        <w:rPr>
          <w:rFonts w:cs="Arial"/>
          <w:sz w:val="32"/>
        </w:rPr>
      </w:pPr>
      <w:r w:rsidRPr="007C5C4F">
        <w:rPr>
          <w:rFonts w:cs="Arial"/>
          <w:sz w:val="32"/>
        </w:rPr>
        <w:t>Siting Storage</w:t>
      </w:r>
    </w:p>
    <w:p w:rsidR="007C5C4F" w:rsidRDefault="007C5C4F" w:rsidP="007C5C4F">
      <w:pPr>
        <w:pStyle w:val="IRPsanstext"/>
      </w:pPr>
    </w:p>
    <w:p w:rsidR="007C5C4F" w:rsidRDefault="007C5C4F" w:rsidP="007C5C4F">
      <w:pPr>
        <w:pStyle w:val="IRPsanstext"/>
      </w:pPr>
      <w:r>
        <w:t>The siting of an energy storage resource is an important consideration for development feasibility; it affects both costs and benefits.  Some resources, like pumped hydro, must be located in areas with specific geology, water access and transmission lines.  Natural gas combustion turbines have similar constraints, plus they face air emissions constraints in many locations as well. Many forms of storage, particularly batteries and ice energy, are more flexible when it comes to</w:t>
      </w:r>
      <w:r w:rsidRPr="003C0057">
        <w:t xml:space="preserve"> sizing and siting.</w:t>
      </w:r>
      <w:r>
        <w:t xml:space="preserve"> Battery resource</w:t>
      </w:r>
      <w:r w:rsidR="00233794">
        <w:t>s can be sized from 20 k</w:t>
      </w:r>
      <w:r>
        <w:t>W to 1000 MW and sited at the customer</w:t>
      </w:r>
      <w:r w:rsidR="00444A0E">
        <w:t>’s location</w:t>
      </w:r>
      <w:r>
        <w:t xml:space="preserve"> or interconnected to the transmission system.  Other factors may also limit where storage can be located, among them space availability, permitting and interconnection upgrade requirements. A few examples of different siting options for battery storage resources </w:t>
      </w:r>
      <w:r w:rsidR="0081500F">
        <w:t>follow</w:t>
      </w:r>
      <w:r w:rsidR="00CD4BC3" w:rsidRPr="0081500F">
        <w:t>.</w:t>
      </w:r>
    </w:p>
    <w:p w:rsidR="00CD4BC3" w:rsidRDefault="00CD4BC3">
      <w:pPr>
        <w:rPr>
          <w:rFonts w:ascii="Arial" w:hAnsi="Arial"/>
        </w:rPr>
      </w:pPr>
    </w:p>
    <w:p w:rsidR="00CD4BC3" w:rsidRDefault="00CD4BC3" w:rsidP="007C5C4F">
      <w:pPr>
        <w:pStyle w:val="IRPsanstext"/>
      </w:pPr>
      <w:r w:rsidRPr="001246F7">
        <w:rPr>
          <w:noProof/>
          <w:lang w:eastAsia="en-US"/>
        </w:rPr>
        <w:drawing>
          <wp:anchor distT="0" distB="0" distL="114300" distR="114300" simplePos="0" relativeHeight="251669504" behindDoc="0" locked="0" layoutInCell="1" allowOverlap="1">
            <wp:simplePos x="0" y="0"/>
            <wp:positionH relativeFrom="column">
              <wp:posOffset>1537335</wp:posOffset>
            </wp:positionH>
            <wp:positionV relativeFrom="paragraph">
              <wp:posOffset>231140</wp:posOffset>
            </wp:positionV>
            <wp:extent cx="2374900" cy="3202940"/>
            <wp:effectExtent l="25400" t="25400" r="38100" b="22860"/>
            <wp:wrapTopAndBottom/>
            <wp:docPr id="2050" name="Picture 2" descr="http://www.stem.com/wp-content/themes/stem_v3/images/post_category_defaults/news_list-default_%5bpuls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stem.com/wp-content/themes/stem_v3/images/post_category_defaults/news_list-default_%5bpulse%5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900" cy="3202940"/>
                    </a:xfrm>
                    <a:prstGeom prst="rect">
                      <a:avLst/>
                    </a:prstGeom>
                    <a:noFill/>
                    <a:ln>
                      <a:solidFill>
                        <a:schemeClr val="tx1">
                          <a:lumMod val="50000"/>
                          <a:lumOff val="50000"/>
                        </a:schemeClr>
                      </a:solidFill>
                    </a:ln>
                    <a:extLst/>
                  </pic:spPr>
                </pic:pic>
              </a:graphicData>
            </a:graphic>
          </wp:anchor>
        </w:drawing>
      </w:r>
    </w:p>
    <w:p w:rsidR="007C5C4F" w:rsidRDefault="00233794" w:rsidP="00CD4BC3">
      <w:pPr>
        <w:pStyle w:val="IRPsanstext"/>
        <w:spacing w:before="120"/>
        <w:jc w:val="center"/>
        <w:rPr>
          <w:rFonts w:cs="Arial"/>
        </w:rPr>
      </w:pPr>
      <w:r>
        <w:rPr>
          <w:rFonts w:cs="Arial"/>
        </w:rPr>
        <w:t>54 kW/54 k</w:t>
      </w:r>
      <w:r w:rsidR="007C5C4F" w:rsidRPr="00377E3D">
        <w:rPr>
          <w:rFonts w:cs="Arial"/>
        </w:rPr>
        <w:t>Wh customer-sited lithium-ion battery.</w:t>
      </w:r>
    </w:p>
    <w:p w:rsidR="00CD4BC3" w:rsidRDefault="00CD4BC3" w:rsidP="00CD4BC3">
      <w:pPr>
        <w:pStyle w:val="IRPsanstext"/>
        <w:jc w:val="center"/>
        <w:rPr>
          <w:rFonts w:cs="Arial"/>
        </w:rPr>
      </w:pPr>
    </w:p>
    <w:p w:rsidR="005D2946" w:rsidRDefault="005D2946">
      <w:pPr>
        <w:rPr>
          <w:rFonts w:ascii="Arial" w:hAnsi="Arial" w:cs="Arial"/>
        </w:rPr>
      </w:pPr>
      <w:r>
        <w:rPr>
          <w:rFonts w:cs="Arial"/>
        </w:rPr>
        <w:br w:type="page"/>
      </w:r>
    </w:p>
    <w:p w:rsidR="00BA0875" w:rsidRDefault="00BA0875" w:rsidP="00BA0875">
      <w:pPr>
        <w:pStyle w:val="IRPsanstext"/>
        <w:rPr>
          <w:b/>
          <w:sz w:val="32"/>
          <w:szCs w:val="32"/>
        </w:rPr>
      </w:pPr>
    </w:p>
    <w:p w:rsidR="002C2E07" w:rsidRDefault="00E949CD">
      <w:pPr>
        <w:rPr>
          <w:rFonts w:ascii="Arial" w:hAnsi="Arial"/>
          <w:sz w:val="32"/>
          <w:szCs w:val="32"/>
        </w:rPr>
      </w:pPr>
      <w:r w:rsidRPr="00E949CD">
        <w:rPr>
          <w:noProof/>
          <w:sz w:val="32"/>
          <w:szCs w:val="32"/>
          <w:lang w:eastAsia="en-US"/>
        </w:rPr>
        <w:drawing>
          <wp:inline distT="0" distB="0" distL="0" distR="0">
            <wp:extent cx="5189855" cy="7914839"/>
            <wp:effectExtent l="0" t="0" r="0" b="0"/>
            <wp:docPr id="4" name="Picture 12" descr="Macintosh HD:Users:annrhodes:Desktop:Battery_L2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rhodes:Desktop:Battery_L29.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5009" t="4012" r="17254" b="4442"/>
                    <a:stretch/>
                  </pic:blipFill>
                  <pic:spPr bwMode="auto">
                    <a:xfrm>
                      <a:off x="0" y="0"/>
                      <a:ext cx="5190563" cy="7915919"/>
                    </a:xfrm>
                    <a:prstGeom prst="rect">
                      <a:avLst/>
                    </a:prstGeom>
                    <a:noFill/>
                    <a:ln>
                      <a:noFill/>
                    </a:ln>
                    <a:extLst>
                      <a:ext uri="{53640926-AAD7-44d8-BBD7-CCE9431645EC}">
                        <a14:shadowObscured xmlns:a14="http://schemas.microsoft.com/office/drawing/2010/main"/>
                      </a:ext>
                    </a:extLst>
                  </pic:spPr>
                </pic:pic>
              </a:graphicData>
            </a:graphic>
          </wp:inline>
        </w:drawing>
      </w:r>
      <w:r w:rsidR="002C2E07">
        <w:rPr>
          <w:sz w:val="32"/>
          <w:szCs w:val="32"/>
        </w:rPr>
        <w:br w:type="page"/>
      </w:r>
    </w:p>
    <w:p w:rsidR="00CD4BC3" w:rsidRDefault="00CD4BC3" w:rsidP="00BA0875">
      <w:pPr>
        <w:pStyle w:val="IRPsanstext"/>
        <w:rPr>
          <w:sz w:val="32"/>
          <w:szCs w:val="32"/>
        </w:rPr>
      </w:pPr>
    </w:p>
    <w:p w:rsidR="00BA0875" w:rsidRPr="00BA0875" w:rsidRDefault="00BA0875" w:rsidP="00BA0875">
      <w:pPr>
        <w:pStyle w:val="IRPsanstext"/>
        <w:rPr>
          <w:sz w:val="32"/>
          <w:szCs w:val="32"/>
        </w:rPr>
      </w:pPr>
      <w:r w:rsidRPr="00BA0875">
        <w:rPr>
          <w:sz w:val="32"/>
          <w:szCs w:val="32"/>
        </w:rPr>
        <w:t>Development Timelines</w:t>
      </w:r>
    </w:p>
    <w:p w:rsidR="00BA0875" w:rsidRPr="00BA0875" w:rsidRDefault="00BA0875" w:rsidP="00BA0875">
      <w:pPr>
        <w:pStyle w:val="IRPsanstext"/>
      </w:pPr>
    </w:p>
    <w:p w:rsidR="00BA0875" w:rsidRPr="00BA0875" w:rsidRDefault="00BA0875" w:rsidP="00BA0875">
      <w:pPr>
        <w:pStyle w:val="IRPsanstext"/>
      </w:pPr>
      <w:r w:rsidRPr="00BA0875">
        <w:t>Different energy storage resources have significantly different project development timelines. These range from months to years, depending on the technology type, siting, size, permitting and interconnection requirements.</w:t>
      </w:r>
    </w:p>
    <w:p w:rsidR="00BA0875" w:rsidRPr="00BA0875" w:rsidRDefault="00BA0875" w:rsidP="00BA0875">
      <w:pPr>
        <w:pStyle w:val="IRPsanstext"/>
        <w:rPr>
          <w:u w:val="single"/>
        </w:rPr>
      </w:pPr>
    </w:p>
    <w:p w:rsidR="00BA0875" w:rsidRPr="00BA0875" w:rsidRDefault="00BA0875" w:rsidP="00BA0875">
      <w:pPr>
        <w:pStyle w:val="IRPsanstext"/>
      </w:pPr>
      <w:r w:rsidRPr="00BA0875">
        <w:rPr>
          <w:b/>
          <w:color w:val="156570"/>
          <w:sz w:val="28"/>
          <w:szCs w:val="28"/>
        </w:rPr>
        <w:t>Pumped Hydro and CAES.</w:t>
      </w:r>
      <w:r w:rsidRPr="00BA0875">
        <w:rPr>
          <w:b/>
          <w:color w:val="3366FF"/>
        </w:rPr>
        <w:t xml:space="preserve"> </w:t>
      </w:r>
      <w:r w:rsidRPr="00BA0875">
        <w:t>Pumped hydro and CAES storage facilities, due to their size and environmental impacts, require significantly longer development timelines for analysis, design and extensive permitting activity than many storage resources. It can take 5 to 10 years (or more) to complete one of these projects, depending on public support or opposition for a particular project, the ability to negotiate environmental impact studies and other necessary approvals. Their large size and often remote location also may mean that new transmission is needed; obtaining the necessary permits and regulatory approvals required to start transmission construction can also take years, although this activity may take place concurrently with storage facility planning.</w:t>
      </w:r>
    </w:p>
    <w:p w:rsidR="00BA0875" w:rsidRPr="00BA0875" w:rsidRDefault="00BA0875" w:rsidP="00BA0875">
      <w:pPr>
        <w:pStyle w:val="IRPsanstext"/>
      </w:pPr>
    </w:p>
    <w:p w:rsidR="00BA0875" w:rsidRPr="00BA0875" w:rsidRDefault="00BA0875" w:rsidP="00BA0875">
      <w:pPr>
        <w:pStyle w:val="IRPsanstext"/>
      </w:pPr>
      <w:r w:rsidRPr="00BA0875">
        <w:rPr>
          <w:b/>
          <w:color w:val="156570"/>
          <w:sz w:val="28"/>
          <w:szCs w:val="28"/>
        </w:rPr>
        <w:t>Batteries and Flywheels.</w:t>
      </w:r>
      <w:r w:rsidRPr="00BA0875">
        <w:rPr>
          <w:b/>
          <w:color w:val="3366FF"/>
        </w:rPr>
        <w:t xml:space="preserve"> </w:t>
      </w:r>
      <w:r w:rsidRPr="00BA0875">
        <w:t>Battery or flywheel storage projects can move from concept to commissioning in two to three years. Smaller systems (in the 1 MW to 5 MW) range have been commissioned in less than two years. Timeframes are even shorter for the modular containerized systems that can be installed in the field; these can be brought online within months after they reach the project site.</w:t>
      </w:r>
      <w:r w:rsidRPr="00BA0875">
        <w:rPr>
          <w:rStyle w:val="FootnoteReference"/>
        </w:rPr>
        <w:footnoteReference w:id="58"/>
      </w:r>
      <w:r w:rsidRPr="00BA0875">
        <w:t xml:space="preserve"> Customer-sited energy storage could be deployed in a matter of months, assuming the systems become standardized and the interconnection process is streamlined, as has happened with distributed solar systems.  </w:t>
      </w:r>
    </w:p>
    <w:p w:rsidR="00BA0875" w:rsidRPr="00BA0875" w:rsidRDefault="00BA0875" w:rsidP="00BA0875">
      <w:pPr>
        <w:pStyle w:val="IRPsanstext"/>
      </w:pPr>
    </w:p>
    <w:p w:rsidR="00BA0875" w:rsidRPr="00BA0875" w:rsidRDefault="00BA0875" w:rsidP="00BA0875">
      <w:pPr>
        <w:pStyle w:val="IRPsanstext"/>
      </w:pPr>
      <w:r w:rsidRPr="00BA0875">
        <w:t xml:space="preserve">Large-scale development projects (20+ MW) </w:t>
      </w:r>
      <w:r w:rsidR="00444A0E">
        <w:t xml:space="preserve">are subject to the </w:t>
      </w:r>
      <w:r w:rsidRPr="00BA0875">
        <w:t xml:space="preserve">requirements of the </w:t>
      </w:r>
      <w:r w:rsidR="00444A0E">
        <w:t>FERC-mandated</w:t>
      </w:r>
      <w:r w:rsidRPr="00BA0875">
        <w:t xml:space="preserve"> Large Generator Interconnection Process. PSE w</w:t>
      </w:r>
      <w:r w:rsidR="00377E3D">
        <w:t>ould be required to complete interconnection studies</w:t>
      </w:r>
      <w:r w:rsidRPr="00BA0875">
        <w:t xml:space="preserve"> before an interconnection agreement could be signed. After the agreement is obtained, it can take anywhere from six months to several years before the project is ready to interconnect to the grid, depending on the complexity of the required interconnection facilities.</w:t>
      </w:r>
    </w:p>
    <w:p w:rsidR="00BA0875" w:rsidRDefault="00BA0875">
      <w:pPr>
        <w:rPr>
          <w:rFonts w:ascii="Arial" w:hAnsi="Arial"/>
        </w:rPr>
      </w:pPr>
      <w:r>
        <w:br w:type="page"/>
      </w:r>
    </w:p>
    <w:p w:rsidR="00A960CB" w:rsidRPr="002769B3" w:rsidRDefault="00A960CB" w:rsidP="00BA0875">
      <w:pPr>
        <w:pStyle w:val="IRPsanstext"/>
        <w:rPr>
          <w:rFonts w:cs="Arial"/>
          <w:sz w:val="32"/>
          <w:szCs w:val="32"/>
        </w:rPr>
      </w:pPr>
    </w:p>
    <w:p w:rsidR="00BA0875" w:rsidRPr="00BA0875" w:rsidRDefault="00BA0875" w:rsidP="00BA0875">
      <w:pPr>
        <w:pStyle w:val="IRPsanstext"/>
        <w:rPr>
          <w:rFonts w:cs="Arial"/>
          <w:b/>
          <w:color w:val="156570"/>
          <w:sz w:val="32"/>
          <w:szCs w:val="32"/>
        </w:rPr>
      </w:pPr>
      <w:r w:rsidRPr="00BA0875">
        <w:rPr>
          <w:rFonts w:cs="Arial"/>
          <w:b/>
          <w:color w:val="156570"/>
          <w:sz w:val="32"/>
          <w:szCs w:val="32"/>
        </w:rPr>
        <w:t xml:space="preserve">PSE STORAGE ANALYSIS </w:t>
      </w:r>
    </w:p>
    <w:p w:rsidR="00BA0875" w:rsidRPr="00BA0875" w:rsidRDefault="00BA0875" w:rsidP="00BA0875">
      <w:pPr>
        <w:pStyle w:val="IRPsanstext"/>
        <w:rPr>
          <w:rFonts w:cs="Arial"/>
        </w:rPr>
      </w:pPr>
    </w:p>
    <w:p w:rsidR="00BA0875" w:rsidRPr="00BA0875" w:rsidRDefault="00BA0875" w:rsidP="00BA0875">
      <w:pPr>
        <w:pStyle w:val="IRPsanstext"/>
        <w:rPr>
          <w:rFonts w:cs="Arial"/>
          <w:sz w:val="32"/>
          <w:szCs w:val="32"/>
        </w:rPr>
      </w:pPr>
      <w:r w:rsidRPr="00BA0875">
        <w:rPr>
          <w:rFonts w:cs="Arial"/>
          <w:sz w:val="32"/>
          <w:szCs w:val="32"/>
        </w:rPr>
        <w:t>Technologies Modeled</w:t>
      </w:r>
    </w:p>
    <w:p w:rsidR="00BA0875" w:rsidRPr="00BA0875" w:rsidRDefault="00BA0875" w:rsidP="00BA0875">
      <w:pPr>
        <w:pStyle w:val="IRPsanstext"/>
        <w:rPr>
          <w:rFonts w:cs="Arial"/>
        </w:rPr>
      </w:pPr>
    </w:p>
    <w:p w:rsidR="001A1722" w:rsidRDefault="00BA0875" w:rsidP="00BA0875">
      <w:pPr>
        <w:pStyle w:val="IRPsanstext"/>
        <w:rPr>
          <w:rFonts w:cs="Arial"/>
        </w:rPr>
      </w:pPr>
      <w:r w:rsidRPr="00BA0875">
        <w:rPr>
          <w:rFonts w:cs="Arial"/>
        </w:rPr>
        <w:t>PSE chose two categories of storage technologies to evaluate in this IRP analysis</w:t>
      </w:r>
      <w:r w:rsidR="001B46D9">
        <w:rPr>
          <w:rFonts w:cs="Arial"/>
        </w:rPr>
        <w:t>.</w:t>
      </w:r>
      <w:r w:rsidRPr="00BA0875">
        <w:rPr>
          <w:rFonts w:cs="Arial"/>
        </w:rPr>
        <w:t xml:space="preserve"> The resources had to be commercially available at large scale and feasible to develop and bring online by 2018.  The resources that met these criteria were:</w:t>
      </w:r>
    </w:p>
    <w:p w:rsidR="00BA0875" w:rsidRPr="00BA0875" w:rsidRDefault="00BA0875" w:rsidP="00BA0875">
      <w:pPr>
        <w:pStyle w:val="IRPsanstext"/>
        <w:rPr>
          <w:rFonts w:cs="Arial"/>
        </w:rPr>
      </w:pPr>
    </w:p>
    <w:p w:rsidR="00BA0875" w:rsidRPr="00BA0875" w:rsidRDefault="00BA0875" w:rsidP="00C74D02">
      <w:pPr>
        <w:pStyle w:val="IRPsanstext"/>
        <w:numPr>
          <w:ilvl w:val="0"/>
          <w:numId w:val="25"/>
        </w:numPr>
        <w:rPr>
          <w:rFonts w:cs="Arial"/>
        </w:rPr>
      </w:pPr>
      <w:r w:rsidRPr="00BA0875">
        <w:rPr>
          <w:rFonts w:cs="Arial"/>
        </w:rPr>
        <w:t>Electrochemical storage (batteries)</w:t>
      </w:r>
    </w:p>
    <w:p w:rsidR="00BA0875" w:rsidRDefault="00BA0875" w:rsidP="00C74D02">
      <w:pPr>
        <w:pStyle w:val="IRPsanstext"/>
        <w:numPr>
          <w:ilvl w:val="0"/>
          <w:numId w:val="25"/>
        </w:numPr>
        <w:rPr>
          <w:rFonts w:cs="Arial"/>
        </w:rPr>
      </w:pPr>
      <w:r w:rsidRPr="00BA0875">
        <w:rPr>
          <w:rFonts w:cs="Arial"/>
        </w:rPr>
        <w:t>Pumped hydro</w:t>
      </w:r>
    </w:p>
    <w:p w:rsidR="00490139" w:rsidRDefault="00490139" w:rsidP="00490139">
      <w:pPr>
        <w:pStyle w:val="IRPsanstext"/>
      </w:pPr>
    </w:p>
    <w:p w:rsidR="001A1722" w:rsidRDefault="00490139" w:rsidP="00490139">
      <w:pPr>
        <w:pStyle w:val="IRPsanstext"/>
      </w:pPr>
      <w:r>
        <w:t>Ultimately, three energy storage/flexibility sensitivities were tested in the Base Scenario for the 2015 IRP</w:t>
      </w:r>
      <w:r w:rsidR="00DF5C90">
        <w:t>.</w:t>
      </w:r>
      <w:r w:rsidR="00CF310A">
        <w:rPr>
          <w:rStyle w:val="FootnoteReference"/>
        </w:rPr>
        <w:footnoteReference w:id="59"/>
      </w:r>
    </w:p>
    <w:p w:rsidR="00490139" w:rsidRDefault="00490139" w:rsidP="00490139">
      <w:pPr>
        <w:pStyle w:val="IRPsanstext"/>
      </w:pPr>
    </w:p>
    <w:p w:rsidR="00490139" w:rsidRDefault="00490139" w:rsidP="00490139">
      <w:pPr>
        <w:pStyle w:val="IRPsanstext"/>
        <w:numPr>
          <w:ilvl w:val="0"/>
          <w:numId w:val="39"/>
        </w:numPr>
      </w:pPr>
      <w:r>
        <w:t xml:space="preserve">80 MW of battery storage was added to the portfolio in 2023 instead of the peaker </w:t>
      </w:r>
      <w:r w:rsidR="00CF310A">
        <w:t xml:space="preserve">economically </w:t>
      </w:r>
      <w:r>
        <w:t>chosen by the analysis.</w:t>
      </w:r>
    </w:p>
    <w:p w:rsidR="00490139" w:rsidRDefault="00490139" w:rsidP="00490139">
      <w:pPr>
        <w:pStyle w:val="IRPsanstext"/>
        <w:numPr>
          <w:ilvl w:val="0"/>
          <w:numId w:val="39"/>
        </w:numPr>
      </w:pPr>
      <w:r>
        <w:t xml:space="preserve">80 MW of pumped hydro storage was added to the portfolio in 2023 instead of the </w:t>
      </w:r>
      <w:r w:rsidR="00CF310A">
        <w:t xml:space="preserve">economically </w:t>
      </w:r>
      <w:r>
        <w:t>chosen peaker.</w:t>
      </w:r>
    </w:p>
    <w:p w:rsidR="00490139" w:rsidRDefault="00490139" w:rsidP="00490139">
      <w:pPr>
        <w:pStyle w:val="IRPsanstext"/>
        <w:numPr>
          <w:ilvl w:val="0"/>
          <w:numId w:val="39"/>
        </w:numPr>
      </w:pPr>
      <w:r>
        <w:t xml:space="preserve">200 MW of pumped hydro storage was added to the portfolio in 2023 instead of the </w:t>
      </w:r>
      <w:r w:rsidR="00CF310A">
        <w:t xml:space="preserve">economically </w:t>
      </w:r>
      <w:r>
        <w:t xml:space="preserve">chosen peaker. </w:t>
      </w:r>
    </w:p>
    <w:p w:rsidR="00490139" w:rsidRDefault="00490139" w:rsidP="00490139">
      <w:pPr>
        <w:pStyle w:val="IRPsanstext"/>
      </w:pPr>
    </w:p>
    <w:p w:rsidR="00490139" w:rsidRDefault="00490139" w:rsidP="00490139">
      <w:pPr>
        <w:pStyle w:val="IRPsanstext"/>
      </w:pPr>
      <w:r>
        <w:t xml:space="preserve">In the following pages, we explain the rationale for selection of these alternatives and the cost assumptions used in the analysis. The results of these analyses are presented in Chapter 6, Electric Analysis. </w:t>
      </w:r>
    </w:p>
    <w:p w:rsidR="00490139" w:rsidRDefault="00490139" w:rsidP="00BA0875">
      <w:pPr>
        <w:pStyle w:val="IRPsanstext"/>
        <w:rPr>
          <w:rFonts w:cs="Arial"/>
          <w:b/>
          <w:color w:val="3366FF"/>
          <w:sz w:val="28"/>
        </w:rPr>
      </w:pPr>
    </w:p>
    <w:p w:rsidR="00BA0875" w:rsidRPr="00BA0875" w:rsidRDefault="00490139" w:rsidP="00BA0875">
      <w:pPr>
        <w:pStyle w:val="IRPsanstext"/>
        <w:rPr>
          <w:rFonts w:cs="Arial"/>
        </w:rPr>
      </w:pPr>
      <w:r w:rsidRPr="00490139">
        <w:rPr>
          <w:rFonts w:cs="Arial"/>
          <w:b/>
          <w:color w:val="156570"/>
          <w:sz w:val="28"/>
        </w:rPr>
        <w:t>Selecting Battery Technology.</w:t>
      </w:r>
      <w:r>
        <w:rPr>
          <w:rFonts w:cs="Arial"/>
          <w:b/>
          <w:color w:val="3366FF"/>
          <w:sz w:val="28"/>
        </w:rPr>
        <w:t xml:space="preserve"> </w:t>
      </w:r>
      <w:r w:rsidR="00BA0875" w:rsidRPr="00BA0875">
        <w:rPr>
          <w:rFonts w:cs="Arial"/>
        </w:rPr>
        <w:t>Within the battery category, there are many promising chemistries to choose from. To choose a single chemistry to represent the “generic battery,” PSE assessed the different chemistries’ readiness for large-scale deployment using the DOE Global Energy Storage Database</w:t>
      </w:r>
      <w:r w:rsidR="006C4624">
        <w:rPr>
          <w:rFonts w:cs="Arial"/>
        </w:rPr>
        <w:t xml:space="preserve"> (2014)</w:t>
      </w:r>
      <w:r w:rsidR="00BA0875" w:rsidRPr="00BA0875">
        <w:rPr>
          <w:rFonts w:cs="Arial"/>
        </w:rPr>
        <w:t xml:space="preserve"> to review the ten largest electrochemical storage projects in the world (by both power rating and energy rating) and the 10 largest projects announced or under construction.</w:t>
      </w:r>
      <w:r w:rsidR="00BA0875" w:rsidRPr="00BA0875">
        <w:rPr>
          <w:rStyle w:val="FootnoteReference"/>
          <w:rFonts w:cs="Arial"/>
        </w:rPr>
        <w:footnoteReference w:id="60"/>
      </w:r>
      <w:r w:rsidR="00BA0875" w:rsidRPr="00BA0875">
        <w:rPr>
          <w:rFonts w:cs="Arial"/>
        </w:rPr>
        <w:t xml:space="preserve"> These are described in Figures L-</w:t>
      </w:r>
      <w:r w:rsidR="00004846" w:rsidRPr="00BA0875">
        <w:rPr>
          <w:rFonts w:cs="Arial"/>
        </w:rPr>
        <w:t>1</w:t>
      </w:r>
      <w:r w:rsidR="00004846">
        <w:rPr>
          <w:rFonts w:cs="Arial"/>
        </w:rPr>
        <w:t>9</w:t>
      </w:r>
      <w:r w:rsidR="00BA0875" w:rsidRPr="00BA0875">
        <w:rPr>
          <w:rFonts w:cs="Arial"/>
        </w:rPr>
        <w:t>, L-</w:t>
      </w:r>
      <w:r w:rsidR="00004846">
        <w:rPr>
          <w:rFonts w:cs="Arial"/>
        </w:rPr>
        <w:t>20</w:t>
      </w:r>
      <w:r w:rsidR="00004846" w:rsidRPr="00BA0875">
        <w:rPr>
          <w:rFonts w:cs="Arial"/>
        </w:rPr>
        <w:t xml:space="preserve"> </w:t>
      </w:r>
      <w:r w:rsidR="00BA0875" w:rsidRPr="00BA0875">
        <w:rPr>
          <w:rFonts w:cs="Arial"/>
        </w:rPr>
        <w:t>and L-</w:t>
      </w:r>
      <w:r w:rsidR="00004846" w:rsidRPr="00BA0875">
        <w:rPr>
          <w:rFonts w:cs="Arial"/>
        </w:rPr>
        <w:t>2</w:t>
      </w:r>
      <w:r w:rsidR="00004846">
        <w:rPr>
          <w:rFonts w:cs="Arial"/>
        </w:rPr>
        <w:t>1</w:t>
      </w:r>
      <w:r w:rsidR="00BA0875" w:rsidRPr="00BA0875">
        <w:rPr>
          <w:rFonts w:cs="Arial"/>
        </w:rPr>
        <w:t>.</w:t>
      </w:r>
    </w:p>
    <w:p w:rsidR="00C74D02" w:rsidRDefault="00C74D02">
      <w:pPr>
        <w:rPr>
          <w:rFonts w:ascii="Arial" w:hAnsi="Arial" w:cs="Arial"/>
        </w:rPr>
      </w:pPr>
      <w:bookmarkStart w:id="21" w:name="_Ref400970434"/>
      <w:bookmarkStart w:id="22" w:name="_Toc402942674"/>
      <w:r>
        <w:rPr>
          <w:rFonts w:cs="Arial"/>
        </w:rPr>
        <w:br w:type="page"/>
      </w:r>
    </w:p>
    <w:p w:rsidR="00BA0875" w:rsidRPr="00BA0875" w:rsidRDefault="00BA0875" w:rsidP="00BA0875">
      <w:pPr>
        <w:pStyle w:val="IRPsanstext"/>
        <w:rPr>
          <w:rFonts w:cs="Arial"/>
        </w:rPr>
      </w:pPr>
    </w:p>
    <w:bookmarkEnd w:id="21"/>
    <w:bookmarkEnd w:id="22"/>
    <w:p w:rsidR="00BA0875" w:rsidRPr="00CD4BC3" w:rsidRDefault="00BA0875" w:rsidP="006C4624">
      <w:pPr>
        <w:pStyle w:val="IRPFigureSub"/>
        <w:spacing w:after="120"/>
      </w:pPr>
      <w:r w:rsidRPr="00BA0875">
        <w:t>Figure L-1</w:t>
      </w:r>
      <w:r w:rsidR="00245EDA">
        <w:t>9</w:t>
      </w:r>
      <w:r w:rsidR="002C2E07" w:rsidRPr="002C2E07">
        <w:t xml:space="preserve">: </w:t>
      </w:r>
      <w:r w:rsidRPr="002C2E07">
        <w:t>Largest Operational Electrochemical Storage Projects by Power Rating (MW</w:t>
      </w:r>
      <w:r w:rsidR="00DF5C90">
        <w:t>)</w:t>
      </w:r>
      <w:r w:rsidR="009178B3">
        <w:rPr>
          <w:rStyle w:val="FootnoteReference"/>
        </w:rPr>
        <w:footnoteReference w:id="61"/>
      </w:r>
      <w:r w:rsidRPr="00BA0875">
        <w:t xml:space="preserve"> </w:t>
      </w:r>
    </w:p>
    <w:tbl>
      <w:tblPr>
        <w:tblStyle w:val="TableGrid"/>
        <w:tblW w:w="0" w:type="auto"/>
        <w:tblInd w:w="108" w:type="dxa"/>
        <w:tblLayout w:type="fixed"/>
        <w:tblLook w:val="04A0" w:firstRow="1" w:lastRow="0" w:firstColumn="1" w:lastColumn="0" w:noHBand="0" w:noVBand="1"/>
      </w:tblPr>
      <w:tblGrid>
        <w:gridCol w:w="1755"/>
        <w:gridCol w:w="1395"/>
        <w:gridCol w:w="1350"/>
        <w:gridCol w:w="1260"/>
        <w:gridCol w:w="182"/>
        <w:gridCol w:w="2698"/>
      </w:tblGrid>
      <w:tr w:rsidR="00BA0875" w:rsidRPr="00BA0875">
        <w:tc>
          <w:tcPr>
            <w:tcW w:w="1755"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Owner / Project</w:t>
            </w:r>
          </w:p>
        </w:tc>
        <w:tc>
          <w:tcPr>
            <w:tcW w:w="1395"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Power / Energy</w:t>
            </w:r>
          </w:p>
        </w:tc>
        <w:tc>
          <w:tcPr>
            <w:tcW w:w="1350"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Technology</w:t>
            </w:r>
          </w:p>
        </w:tc>
        <w:tc>
          <w:tcPr>
            <w:tcW w:w="1442" w:type="dxa"/>
            <w:gridSpan w:val="2"/>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Location</w:t>
            </w:r>
          </w:p>
        </w:tc>
        <w:tc>
          <w:tcPr>
            <w:tcW w:w="2698"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Primary Function</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Duke Energy / Notrees</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36 MW / 24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Advanced lead acid</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Goldsmith, TX</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Renewables capacity firming, electric energy time-shift; frequency regulation</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Japan Wind Development / Rokkasho Village Wind Farm</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34 MW / 238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Rokkasho Village, Japan</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 xml:space="preserve">Renewables capacity firming, renewables energy time-shift; capacity spinning reserves </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AES / Laurel Mountain</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32 MW / 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Elkins, WV</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 xml:space="preserve">Frequency regulation and ramping </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GVEA / Battery Energy Storage System</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27 MW / 6.8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Nickel cadmium</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Fairbanks, AK</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 xml:space="preserve">Capacity spinning reserves, grid-connected residential (reliability), grid-connected commercial (reliability &amp; quality) </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BYD / Shenzen</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20MW / 40MWh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Shenzen, China</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Self-regulation of load, peak shaving</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AES / Angamos</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20 MW / 6.6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Mejillones, Chile</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Frequency regulation and capacity spinning reserves</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AES / Tait</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20 MW / unknown</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Moraine, OH</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Frequency regulation</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NextEra - Frontier</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20MW / unknown</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Illinios</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Frequency regulation</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AES / Los Andes</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 xml:space="preserve">12 MW / 4 MWh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Atacama, Chile</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Frequency regulation and capacity spinning reserves</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Sempra / Auwahi Wind Farm</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11 MW / 4.4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Kula, HI</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Wind ramping</w:t>
            </w:r>
          </w:p>
        </w:tc>
      </w:tr>
    </w:tbl>
    <w:p w:rsidR="00BA0875" w:rsidRPr="00BA0875" w:rsidRDefault="00BA0875" w:rsidP="00BA0875">
      <w:pPr>
        <w:pStyle w:val="IRPsanstext"/>
        <w:rPr>
          <w:rFonts w:cs="Arial"/>
        </w:rPr>
      </w:pPr>
    </w:p>
    <w:p w:rsidR="00C74D02" w:rsidRDefault="00C74D02">
      <w:pPr>
        <w:rPr>
          <w:rFonts w:ascii="Arial" w:hAnsi="Arial" w:cs="Arial"/>
        </w:rPr>
      </w:pPr>
      <w:r>
        <w:rPr>
          <w:rFonts w:cs="Arial"/>
        </w:rPr>
        <w:br w:type="page"/>
      </w:r>
    </w:p>
    <w:p w:rsidR="00BA0875" w:rsidRPr="00BA0875" w:rsidRDefault="00BA0875" w:rsidP="00BA0875">
      <w:pPr>
        <w:pStyle w:val="IRPsanstext"/>
        <w:rPr>
          <w:rFonts w:cs="Arial"/>
        </w:rPr>
      </w:pPr>
    </w:p>
    <w:p w:rsidR="00BA0875" w:rsidRPr="006C4624" w:rsidRDefault="00BA0875" w:rsidP="006C4624">
      <w:pPr>
        <w:pStyle w:val="IRPFigureSub"/>
        <w:spacing w:after="120"/>
        <w:rPr>
          <w:b/>
          <w:sz w:val="16"/>
          <w:highlight w:val="yellow"/>
        </w:rPr>
      </w:pPr>
      <w:r w:rsidRPr="00BA0875">
        <w:t>Figure L-</w:t>
      </w:r>
      <w:r w:rsidR="00245EDA">
        <w:t>20</w:t>
      </w:r>
      <w:r w:rsidR="002C2E07" w:rsidRPr="002C2E07">
        <w:t xml:space="preserve">: </w:t>
      </w:r>
      <w:r w:rsidRPr="002C2E07">
        <w:t>Largest Operational Electrochemical Storage Projects by Energy Rating (MWh)</w:t>
      </w:r>
      <w:r w:rsidR="009178B3">
        <w:rPr>
          <w:rStyle w:val="FootnoteReference"/>
        </w:rPr>
        <w:footnoteReference w:id="62"/>
      </w:r>
      <w:r w:rsidRPr="00BA0875">
        <w:t xml:space="preserve"> </w:t>
      </w:r>
      <w:r w:rsidRPr="002C2E07">
        <w:rPr>
          <w:sz w:val="16"/>
        </w:rPr>
        <w:t xml:space="preserve"> </w:t>
      </w:r>
    </w:p>
    <w:tbl>
      <w:tblPr>
        <w:tblStyle w:val="TableGrid"/>
        <w:tblW w:w="0" w:type="auto"/>
        <w:tblInd w:w="108" w:type="dxa"/>
        <w:tblLayout w:type="fixed"/>
        <w:tblLook w:val="04A0" w:firstRow="1" w:lastRow="0" w:firstColumn="1" w:lastColumn="0" w:noHBand="0" w:noVBand="1"/>
      </w:tblPr>
      <w:tblGrid>
        <w:gridCol w:w="2070"/>
        <w:gridCol w:w="1350"/>
        <w:gridCol w:w="1350"/>
        <w:gridCol w:w="1260"/>
        <w:gridCol w:w="2520"/>
      </w:tblGrid>
      <w:tr w:rsidR="00C74D02" w:rsidRPr="00BA0875">
        <w:tc>
          <w:tcPr>
            <w:tcW w:w="2070"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Owner / Project</w:t>
            </w:r>
          </w:p>
        </w:tc>
        <w:tc>
          <w:tcPr>
            <w:tcW w:w="1350"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Power / Energy</w:t>
            </w:r>
          </w:p>
        </w:tc>
        <w:tc>
          <w:tcPr>
            <w:tcW w:w="1350"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Technology</w:t>
            </w:r>
          </w:p>
        </w:tc>
        <w:tc>
          <w:tcPr>
            <w:tcW w:w="1260"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Location</w:t>
            </w:r>
          </w:p>
        </w:tc>
        <w:tc>
          <w:tcPr>
            <w:tcW w:w="2520"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Primary Function</w:t>
            </w:r>
          </w:p>
        </w:tc>
      </w:tr>
      <w:tr w:rsidR="00C74D02" w:rsidRPr="00BA0875">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rPr>
              <w:t>Japan Wind Development / Rokkasho Village</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34 MW / 238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rPr>
              <w:t>Rokkasho Village, Japan</w:t>
            </w:r>
          </w:p>
        </w:tc>
        <w:tc>
          <w:tcPr>
            <w:tcW w:w="2520" w:type="dxa"/>
            <w:vAlign w:val="center"/>
          </w:tcPr>
          <w:p w:rsidR="00BA0875" w:rsidRPr="00BA0875" w:rsidRDefault="00BA0875" w:rsidP="00A960CB">
            <w:pPr>
              <w:pStyle w:val="IRPsanstext"/>
              <w:spacing w:line="240" w:lineRule="auto"/>
              <w:rPr>
                <w:rFonts w:cs="Arial"/>
              </w:rPr>
            </w:pPr>
            <w:r w:rsidRPr="00BA0875">
              <w:rPr>
                <w:rFonts w:cs="Arial"/>
              </w:rPr>
              <w:t>Renewables capacity firming, renewables energy time shift, spinning reserves</w:t>
            </w:r>
          </w:p>
        </w:tc>
      </w:tr>
      <w:tr w:rsidR="00C74D02" w:rsidRPr="00BA0875">
        <w:trPr>
          <w:trHeight w:val="890"/>
        </w:trPr>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 xml:space="preserve">Tokyo Metropolitan Government  Bureau of Sewage / Morigasaki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8 MW / 58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Ota-ku, Japan</w:t>
            </w:r>
          </w:p>
        </w:tc>
        <w:tc>
          <w:tcPr>
            <w:tcW w:w="2520" w:type="dxa"/>
          </w:tcPr>
          <w:p w:rsidR="00BA0875" w:rsidRPr="00BA0875" w:rsidRDefault="00BA0875" w:rsidP="00A960CB">
            <w:pPr>
              <w:pStyle w:val="IRPsanstext"/>
              <w:spacing w:line="240" w:lineRule="auto"/>
              <w:rPr>
                <w:rFonts w:cs="Arial"/>
              </w:rPr>
            </w:pPr>
            <w:r w:rsidRPr="00BA0875">
              <w:rPr>
                <w:rFonts w:cs="Arial"/>
              </w:rPr>
              <w:t>Electric bill management, electric energy time-shift</w:t>
            </w:r>
          </w:p>
        </w:tc>
      </w:tr>
      <w:tr w:rsidR="00C74D02" w:rsidRPr="00BA0875">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Hitachi Ltd., Automotive Systems Group / Hitachi Automotive Plant</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9 MW / 54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Hitachinaka, Japan</w:t>
            </w:r>
          </w:p>
        </w:tc>
        <w:tc>
          <w:tcPr>
            <w:tcW w:w="2520" w:type="dxa"/>
          </w:tcPr>
          <w:p w:rsidR="00BA0875" w:rsidRPr="00BA0875" w:rsidRDefault="00BA0875" w:rsidP="00A960CB">
            <w:pPr>
              <w:pStyle w:val="IRPsanstext"/>
              <w:spacing w:line="240" w:lineRule="auto"/>
              <w:rPr>
                <w:rFonts w:cs="Arial"/>
              </w:rPr>
            </w:pPr>
            <w:r w:rsidRPr="00BA0875">
              <w:rPr>
                <w:rFonts w:cs="Arial"/>
              </w:rPr>
              <w:t>Electric bill management, electric energy time-shift</w:t>
            </w:r>
          </w:p>
        </w:tc>
      </w:tr>
      <w:tr w:rsidR="00C74D02" w:rsidRPr="00BA0875">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 xml:space="preserve">Abu Dhabi Water &amp; Electricity Authority / ADWEA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8 MW / 48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Abu Dhabi, United Arab Emirates</w:t>
            </w:r>
          </w:p>
        </w:tc>
        <w:tc>
          <w:tcPr>
            <w:tcW w:w="2520" w:type="dxa"/>
          </w:tcPr>
          <w:p w:rsidR="00BA0875" w:rsidRPr="00BA0875" w:rsidRDefault="00BA0875" w:rsidP="00A960CB">
            <w:pPr>
              <w:pStyle w:val="IRPsanstext"/>
              <w:spacing w:line="240" w:lineRule="auto"/>
              <w:rPr>
                <w:rFonts w:cs="Arial"/>
              </w:rPr>
            </w:pPr>
            <w:r w:rsidRPr="00BA0875">
              <w:rPr>
                <w:rFonts w:cs="Arial"/>
              </w:rPr>
              <w:t>Electric energy time-shift</w:t>
            </w:r>
          </w:p>
        </w:tc>
      </w:tr>
      <w:tr w:rsidR="00C74D02" w:rsidRPr="00BA0875">
        <w:trPr>
          <w:trHeight w:val="602"/>
        </w:trPr>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rPr>
              <w:t>BYD / Shenzen</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20MW / 40MWh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rPr>
              <w:t>Shenzen, China</w:t>
            </w:r>
          </w:p>
        </w:tc>
        <w:tc>
          <w:tcPr>
            <w:tcW w:w="2520" w:type="dxa"/>
            <w:vAlign w:val="center"/>
          </w:tcPr>
          <w:p w:rsidR="00BA0875" w:rsidRPr="00BA0875" w:rsidRDefault="00BA0875" w:rsidP="00A960CB">
            <w:pPr>
              <w:pStyle w:val="IRPsanstext"/>
              <w:spacing w:line="240" w:lineRule="auto"/>
              <w:rPr>
                <w:rFonts w:cs="Arial"/>
              </w:rPr>
            </w:pPr>
            <w:r w:rsidRPr="00BA0875">
              <w:rPr>
                <w:rFonts w:cs="Arial"/>
              </w:rPr>
              <w:t>Self-regulation of load, peak shaving</w:t>
            </w:r>
          </w:p>
        </w:tc>
      </w:tr>
      <w:tr w:rsidR="00C74D02" w:rsidRPr="00BA0875">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State Grid Corporation of China</w:t>
            </w:r>
            <w:r w:rsidRPr="00BA0875">
              <w:rPr>
                <w:rFonts w:cs="Arial"/>
              </w:rPr>
              <w:t xml:space="preserve"> / Zhangbei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 xml:space="preserve">6 MW / 36 MWh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Zhangbei</w:t>
            </w:r>
            <w:r w:rsidRPr="00BA0875">
              <w:rPr>
                <w:rStyle w:val="apple-converted-space"/>
                <w:rFonts w:cs="Arial"/>
                <w:color w:val="000000"/>
                <w:shd w:val="clear" w:color="auto" w:fill="FFFFFF"/>
              </w:rPr>
              <w:t xml:space="preserve">, </w:t>
            </w:r>
            <w:r w:rsidRPr="00BA0875">
              <w:rPr>
                <w:rFonts w:cs="Arial"/>
                <w:color w:val="000000"/>
                <w:shd w:val="clear" w:color="auto" w:fill="FFFFFF"/>
              </w:rPr>
              <w:t>China</w:t>
            </w:r>
          </w:p>
        </w:tc>
        <w:tc>
          <w:tcPr>
            <w:tcW w:w="2520" w:type="dxa"/>
          </w:tcPr>
          <w:p w:rsidR="00BA0875" w:rsidRPr="00BA0875" w:rsidRDefault="00BA0875" w:rsidP="00A960CB">
            <w:pPr>
              <w:pStyle w:val="IRPsanstext"/>
              <w:spacing w:line="240" w:lineRule="auto"/>
              <w:rPr>
                <w:rFonts w:cs="Arial"/>
              </w:rPr>
            </w:pPr>
            <w:r w:rsidRPr="00BA0875">
              <w:rPr>
                <w:rFonts w:cs="Arial"/>
              </w:rPr>
              <w:t>Renewable generation shifting, renewable capacity firming, frequency regulation</w:t>
            </w:r>
          </w:p>
        </w:tc>
      </w:tr>
      <w:tr w:rsidR="005E1D57" w:rsidRPr="00BA0875">
        <w:tc>
          <w:tcPr>
            <w:tcW w:w="2070" w:type="dxa"/>
            <w:vAlign w:val="center"/>
          </w:tcPr>
          <w:p w:rsidR="005E1D57" w:rsidRPr="00BA0875" w:rsidRDefault="005E1D57" w:rsidP="00A960CB">
            <w:pPr>
              <w:pStyle w:val="IRPsanstext"/>
              <w:spacing w:line="240" w:lineRule="auto"/>
              <w:rPr>
                <w:rFonts w:cs="Arial"/>
              </w:rPr>
            </w:pPr>
            <w:r w:rsidRPr="00BA0875">
              <w:rPr>
                <w:rFonts w:cs="Arial"/>
              </w:rPr>
              <w:t xml:space="preserve">Southern California Edison / Tehachapi </w:t>
            </w:r>
          </w:p>
        </w:tc>
        <w:tc>
          <w:tcPr>
            <w:tcW w:w="1350" w:type="dxa"/>
            <w:vAlign w:val="center"/>
          </w:tcPr>
          <w:p w:rsidR="005E1D57" w:rsidRPr="00BA0875" w:rsidRDefault="005E1D57" w:rsidP="00A960CB">
            <w:pPr>
              <w:pStyle w:val="IRPsanstext"/>
              <w:spacing w:line="240" w:lineRule="auto"/>
              <w:rPr>
                <w:rFonts w:cs="Arial"/>
              </w:rPr>
            </w:pPr>
            <w:r w:rsidRPr="00BA0875">
              <w:rPr>
                <w:rFonts w:cs="Arial"/>
              </w:rPr>
              <w:t>8 MW / 32 MWh</w:t>
            </w:r>
          </w:p>
        </w:tc>
        <w:tc>
          <w:tcPr>
            <w:tcW w:w="1350" w:type="dxa"/>
            <w:vAlign w:val="center"/>
          </w:tcPr>
          <w:p w:rsidR="005E1D57" w:rsidRPr="00BA0875" w:rsidRDefault="005E1D57" w:rsidP="00A960CB">
            <w:pPr>
              <w:pStyle w:val="IRPsanstext"/>
              <w:spacing w:line="240" w:lineRule="auto"/>
              <w:rPr>
                <w:rFonts w:cs="Arial"/>
              </w:rPr>
            </w:pPr>
            <w:r w:rsidRPr="00BA0875">
              <w:rPr>
                <w:rFonts w:cs="Arial"/>
              </w:rPr>
              <w:t>Lithium-ion</w:t>
            </w:r>
          </w:p>
        </w:tc>
        <w:tc>
          <w:tcPr>
            <w:tcW w:w="1260" w:type="dxa"/>
            <w:vAlign w:val="center"/>
          </w:tcPr>
          <w:p w:rsidR="005E1D57" w:rsidRPr="00BA0875" w:rsidRDefault="005E1D57" w:rsidP="00A960CB">
            <w:pPr>
              <w:pStyle w:val="IRPsanstext"/>
              <w:spacing w:line="240" w:lineRule="auto"/>
              <w:rPr>
                <w:rFonts w:cs="Arial"/>
              </w:rPr>
            </w:pPr>
            <w:r w:rsidRPr="00BA0875">
              <w:rPr>
                <w:rFonts w:cs="Arial"/>
                <w:color w:val="000000"/>
                <w:shd w:val="clear" w:color="auto" w:fill="FFFFFF"/>
              </w:rPr>
              <w:t>Tehachapi, CA</w:t>
            </w:r>
          </w:p>
        </w:tc>
        <w:tc>
          <w:tcPr>
            <w:tcW w:w="2520" w:type="dxa"/>
          </w:tcPr>
          <w:p w:rsidR="005E1D57" w:rsidRPr="00BA0875" w:rsidRDefault="005E1D57" w:rsidP="00A960CB">
            <w:pPr>
              <w:pStyle w:val="IRPsanstext"/>
              <w:spacing w:line="240" w:lineRule="auto"/>
              <w:rPr>
                <w:rFonts w:cs="Arial"/>
              </w:rPr>
            </w:pPr>
            <w:r w:rsidRPr="00BA0875">
              <w:rPr>
                <w:rFonts w:cs="Arial"/>
              </w:rPr>
              <w:t xml:space="preserve"> Voltage support, electric capacity, renewables capacity firming, transmission congestion relief</w:t>
            </w:r>
          </w:p>
        </w:tc>
      </w:tr>
      <w:tr w:rsidR="00C74D02" w:rsidRPr="00BA0875">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 xml:space="preserve">American Electric Power / Presidio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4 MW / 32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Presidio, TX</w:t>
            </w:r>
          </w:p>
        </w:tc>
        <w:tc>
          <w:tcPr>
            <w:tcW w:w="2520" w:type="dxa"/>
          </w:tcPr>
          <w:p w:rsidR="00BA0875" w:rsidRPr="00BA0875" w:rsidRDefault="00BA0875" w:rsidP="00A960CB">
            <w:pPr>
              <w:pStyle w:val="IRPsanstext"/>
              <w:spacing w:line="240" w:lineRule="auto"/>
              <w:rPr>
                <w:rFonts w:cs="Arial"/>
              </w:rPr>
            </w:pPr>
            <w:r w:rsidRPr="00BA0875">
              <w:rPr>
                <w:rFonts w:cs="Arial"/>
              </w:rPr>
              <w:t xml:space="preserve"> Reliability and power quality, electric capacity, non-spinning reserves, voltage support</w:t>
            </w:r>
          </w:p>
        </w:tc>
      </w:tr>
      <w:tr w:rsidR="00C74D02" w:rsidRPr="00BA0875">
        <w:tc>
          <w:tcPr>
            <w:tcW w:w="2070" w:type="dxa"/>
            <w:vAlign w:val="center"/>
          </w:tcPr>
          <w:p w:rsidR="00BA0875" w:rsidRPr="00BA0875" w:rsidRDefault="00BA0875" w:rsidP="00A960CB">
            <w:pPr>
              <w:pStyle w:val="IRPsanstext"/>
              <w:spacing w:line="240" w:lineRule="auto"/>
              <w:rPr>
                <w:rFonts w:cs="Arial"/>
              </w:rPr>
            </w:pPr>
            <w:r w:rsidRPr="00BA0875">
              <w:rPr>
                <w:rFonts w:cs="Arial"/>
              </w:rPr>
              <w:t xml:space="preserve">Okinawa Electric Power Company / Miyako Island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4 MW / 28.8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DF5C90" w:rsidP="00A960CB">
            <w:pPr>
              <w:pStyle w:val="IRPsanstext"/>
              <w:spacing w:line="240" w:lineRule="auto"/>
              <w:rPr>
                <w:rFonts w:cs="Arial"/>
              </w:rPr>
            </w:pPr>
            <w:r>
              <w:rPr>
                <w:rFonts w:cs="Arial"/>
              </w:rPr>
              <w:t>Miyakojima</w:t>
            </w:r>
            <w:r w:rsidR="00BA0875" w:rsidRPr="00BA0875">
              <w:rPr>
                <w:rFonts w:cs="Arial"/>
              </w:rPr>
              <w:t xml:space="preserve"> Japan</w:t>
            </w:r>
          </w:p>
        </w:tc>
        <w:tc>
          <w:tcPr>
            <w:tcW w:w="2520" w:type="dxa"/>
            <w:vAlign w:val="center"/>
          </w:tcPr>
          <w:p w:rsidR="00BA0875" w:rsidRPr="00BA0875" w:rsidRDefault="00BA0875" w:rsidP="00A960CB">
            <w:pPr>
              <w:pStyle w:val="IRPsanstext"/>
              <w:spacing w:line="240" w:lineRule="auto"/>
              <w:rPr>
                <w:rFonts w:cs="Arial"/>
              </w:rPr>
            </w:pPr>
            <w:r w:rsidRPr="00BA0875">
              <w:rPr>
                <w:rFonts w:cs="Arial"/>
              </w:rPr>
              <w:t>Renewables capacity firming, renewables generation shifting</w:t>
            </w:r>
          </w:p>
        </w:tc>
      </w:tr>
      <w:tr w:rsidR="00C74D02" w:rsidRPr="00BA0875">
        <w:tc>
          <w:tcPr>
            <w:tcW w:w="2070" w:type="dxa"/>
            <w:vAlign w:val="center"/>
          </w:tcPr>
          <w:p w:rsidR="00BA0875" w:rsidRPr="00BA0875" w:rsidRDefault="00BA0875" w:rsidP="00A960CB">
            <w:pPr>
              <w:pStyle w:val="IRPsanstext"/>
              <w:spacing w:line="240" w:lineRule="auto"/>
              <w:rPr>
                <w:rFonts w:cs="Arial"/>
              </w:rPr>
            </w:pPr>
            <w:r w:rsidRPr="00BA0875">
              <w:rPr>
                <w:rFonts w:cs="Arial"/>
              </w:rPr>
              <w:t xml:space="preserve">Pacific Gas &amp; Electric Company / Yerba Buena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4 MW / 28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San Jose, CA</w:t>
            </w:r>
          </w:p>
        </w:tc>
        <w:tc>
          <w:tcPr>
            <w:tcW w:w="2520" w:type="dxa"/>
            <w:vAlign w:val="center"/>
          </w:tcPr>
          <w:p w:rsidR="00BA0875" w:rsidRPr="00BA0875" w:rsidRDefault="00BA0875" w:rsidP="00A960CB">
            <w:pPr>
              <w:pStyle w:val="IRPsanstext"/>
              <w:spacing w:line="240" w:lineRule="auto"/>
              <w:rPr>
                <w:rFonts w:cs="Arial"/>
              </w:rPr>
            </w:pPr>
            <w:r w:rsidRPr="00BA0875">
              <w:rPr>
                <w:rFonts w:cs="Arial"/>
              </w:rPr>
              <w:t>Grid-connected commercial (reliability and quality), frequency regulation, renewables capacity firming, on-site power</w:t>
            </w:r>
          </w:p>
        </w:tc>
      </w:tr>
    </w:tbl>
    <w:p w:rsidR="00BA0875" w:rsidRPr="00BA0875" w:rsidRDefault="00BA0875" w:rsidP="00BA0875">
      <w:pPr>
        <w:pStyle w:val="IRPsanstext"/>
        <w:rPr>
          <w:rFonts w:cs="Arial"/>
        </w:rPr>
      </w:pPr>
    </w:p>
    <w:p w:rsidR="00A960CB" w:rsidRDefault="00A960CB">
      <w:pPr>
        <w:rPr>
          <w:rFonts w:ascii="Arial" w:hAnsi="Arial"/>
          <w:i/>
          <w:szCs w:val="22"/>
        </w:rPr>
      </w:pPr>
      <w:r>
        <w:br w:type="page"/>
      </w:r>
    </w:p>
    <w:p w:rsidR="00D83E54" w:rsidRPr="000D5429" w:rsidRDefault="005D2946" w:rsidP="000D5429">
      <w:pPr>
        <w:pStyle w:val="IRPsanstext"/>
        <w:jc w:val="center"/>
        <w:rPr>
          <w:i/>
        </w:rPr>
      </w:pPr>
      <w:r>
        <w:lastRenderedPageBreak/>
        <w:br/>
      </w:r>
      <w:r w:rsidR="00BA0875" w:rsidRPr="000D5429">
        <w:rPr>
          <w:i/>
        </w:rPr>
        <w:t>Figure L-2</w:t>
      </w:r>
      <w:r w:rsidR="00245EDA" w:rsidRPr="000D5429">
        <w:rPr>
          <w:i/>
        </w:rPr>
        <w:t>1</w:t>
      </w:r>
      <w:r w:rsidR="002C2E07" w:rsidRPr="000D5429">
        <w:rPr>
          <w:i/>
        </w:rPr>
        <w:t xml:space="preserve">: </w:t>
      </w:r>
      <w:r w:rsidR="00BA0875" w:rsidRPr="000D5429">
        <w:rPr>
          <w:i/>
        </w:rPr>
        <w:t xml:space="preserve">Largest </w:t>
      </w:r>
      <w:r w:rsidR="00B95A50" w:rsidRPr="000D5429">
        <w:rPr>
          <w:i/>
        </w:rPr>
        <w:t xml:space="preserve">Electrochemical Storage </w:t>
      </w:r>
      <w:r w:rsidR="00BA0875" w:rsidRPr="000D5429">
        <w:rPr>
          <w:i/>
        </w:rPr>
        <w:t>Projects Announced or Unde</w:t>
      </w:r>
      <w:r w:rsidR="00377E3D" w:rsidRPr="000D5429">
        <w:rPr>
          <w:i/>
        </w:rPr>
        <w:t>r Construction</w:t>
      </w:r>
      <w:r w:rsidR="00D83E54" w:rsidRPr="000D5429">
        <w:rPr>
          <w:i/>
        </w:rPr>
        <w:t>,</w:t>
      </w:r>
    </w:p>
    <w:p w:rsidR="00BA0875" w:rsidRPr="006C4624" w:rsidRDefault="00377E3D" w:rsidP="005D2946">
      <w:pPr>
        <w:pStyle w:val="IRPFigureSub"/>
        <w:spacing w:after="120" w:line="240" w:lineRule="exact"/>
        <w:rPr>
          <w:rFonts w:cs="Arial"/>
        </w:rPr>
      </w:pPr>
      <w:r w:rsidRPr="002C2E07">
        <w:rPr>
          <w:rFonts w:cs="Arial"/>
        </w:rPr>
        <w:t xml:space="preserve">by Power Rating </w:t>
      </w:r>
      <w:r w:rsidR="00BA0875" w:rsidRPr="002C2E07">
        <w:rPr>
          <w:rFonts w:cs="Arial"/>
        </w:rPr>
        <w:t>(MW)</w:t>
      </w:r>
      <w:r w:rsidR="009178B3">
        <w:rPr>
          <w:rStyle w:val="FootnoteReference"/>
        </w:rPr>
        <w:footnoteReference w:id="63"/>
      </w:r>
      <w:r w:rsidR="00BA0875" w:rsidRPr="00BA0875">
        <w:rPr>
          <w:rFonts w:cs="Arial"/>
        </w:rPr>
        <w:t xml:space="preserve"> </w:t>
      </w:r>
    </w:p>
    <w:tbl>
      <w:tblPr>
        <w:tblStyle w:val="TableGrid"/>
        <w:tblW w:w="0" w:type="auto"/>
        <w:tblInd w:w="108" w:type="dxa"/>
        <w:tblLayout w:type="fixed"/>
        <w:tblLook w:val="04A0" w:firstRow="1" w:lastRow="0" w:firstColumn="1" w:lastColumn="0" w:noHBand="0" w:noVBand="1"/>
      </w:tblPr>
      <w:tblGrid>
        <w:gridCol w:w="1350"/>
        <w:gridCol w:w="124"/>
        <w:gridCol w:w="1136"/>
        <w:gridCol w:w="1260"/>
        <w:gridCol w:w="1260"/>
        <w:gridCol w:w="1350"/>
        <w:gridCol w:w="2160"/>
      </w:tblGrid>
      <w:tr w:rsidR="00C74D02" w:rsidRPr="00BA0875">
        <w:tc>
          <w:tcPr>
            <w:tcW w:w="1350" w:type="dxa"/>
            <w:shd w:val="clear" w:color="auto" w:fill="156570"/>
            <w:vAlign w:val="center"/>
          </w:tcPr>
          <w:p w:rsidR="00BA0875" w:rsidRPr="00C74D02" w:rsidRDefault="00BA0875" w:rsidP="00C74D02">
            <w:pPr>
              <w:pStyle w:val="IRPsanstext"/>
              <w:spacing w:line="276" w:lineRule="auto"/>
              <w:rPr>
                <w:rFonts w:cs="Arial"/>
                <w:b/>
                <w:bCs/>
                <w:color w:val="FFFFFF" w:themeColor="background1"/>
              </w:rPr>
            </w:pPr>
            <w:r w:rsidRPr="00C74D02">
              <w:rPr>
                <w:rFonts w:cs="Arial"/>
                <w:b/>
                <w:bCs/>
                <w:color w:val="FFFFFF" w:themeColor="background1"/>
              </w:rPr>
              <w:t>Owner / Project</w:t>
            </w:r>
          </w:p>
        </w:tc>
        <w:tc>
          <w:tcPr>
            <w:tcW w:w="1260" w:type="dxa"/>
            <w:gridSpan w:val="2"/>
            <w:shd w:val="clear" w:color="auto" w:fill="156570"/>
            <w:vAlign w:val="center"/>
          </w:tcPr>
          <w:p w:rsidR="00BA0875" w:rsidRPr="00C74D02" w:rsidRDefault="00BA0875" w:rsidP="00C74D02">
            <w:pPr>
              <w:pStyle w:val="IRPsanstext"/>
              <w:spacing w:line="276" w:lineRule="auto"/>
              <w:rPr>
                <w:rFonts w:cs="Arial"/>
                <w:b/>
                <w:bCs/>
                <w:color w:val="FFFFFF" w:themeColor="background1"/>
              </w:rPr>
            </w:pPr>
            <w:r w:rsidRPr="00C74D02">
              <w:rPr>
                <w:rFonts w:cs="Arial"/>
                <w:b/>
                <w:bCs/>
                <w:color w:val="FFFFFF" w:themeColor="background1"/>
              </w:rPr>
              <w:t>Power / Energy (MW/MWh)</w:t>
            </w:r>
          </w:p>
        </w:tc>
        <w:tc>
          <w:tcPr>
            <w:tcW w:w="1260" w:type="dxa"/>
            <w:shd w:val="clear" w:color="auto" w:fill="156570"/>
            <w:vAlign w:val="center"/>
          </w:tcPr>
          <w:p w:rsidR="00BA0875" w:rsidRPr="00C74D02" w:rsidRDefault="00BA0875" w:rsidP="00C74D02">
            <w:pPr>
              <w:pStyle w:val="IRPsanstext"/>
              <w:spacing w:line="276" w:lineRule="auto"/>
              <w:rPr>
                <w:rFonts w:cs="Arial"/>
                <w:b/>
                <w:bCs/>
                <w:color w:val="FFFFFF" w:themeColor="background1"/>
              </w:rPr>
            </w:pPr>
            <w:r w:rsidRPr="00C74D02">
              <w:rPr>
                <w:rFonts w:cs="Arial"/>
                <w:b/>
                <w:bCs/>
                <w:color w:val="FFFFFF" w:themeColor="background1"/>
              </w:rPr>
              <w:t>Tech</w:t>
            </w:r>
          </w:p>
        </w:tc>
        <w:tc>
          <w:tcPr>
            <w:tcW w:w="1260" w:type="dxa"/>
            <w:shd w:val="clear" w:color="auto" w:fill="156570"/>
            <w:vAlign w:val="center"/>
          </w:tcPr>
          <w:p w:rsidR="00BA0875" w:rsidRPr="00C74D02" w:rsidRDefault="00BA0875" w:rsidP="00C74D02">
            <w:pPr>
              <w:pStyle w:val="IRPsanstext"/>
              <w:spacing w:line="276" w:lineRule="auto"/>
              <w:rPr>
                <w:rFonts w:cs="Arial"/>
                <w:b/>
                <w:bCs/>
                <w:color w:val="FFFFFF" w:themeColor="background1"/>
              </w:rPr>
            </w:pPr>
            <w:r w:rsidRPr="00C74D02">
              <w:rPr>
                <w:rFonts w:cs="Arial"/>
                <w:b/>
                <w:bCs/>
                <w:color w:val="FFFFFF" w:themeColor="background1"/>
              </w:rPr>
              <w:t>Location</w:t>
            </w:r>
          </w:p>
        </w:tc>
        <w:tc>
          <w:tcPr>
            <w:tcW w:w="1350" w:type="dxa"/>
            <w:shd w:val="clear" w:color="auto" w:fill="156570"/>
            <w:vAlign w:val="center"/>
          </w:tcPr>
          <w:p w:rsidR="00BA0875" w:rsidRPr="00C74D02" w:rsidRDefault="00BA0875" w:rsidP="00C74D02">
            <w:pPr>
              <w:pStyle w:val="IRPsanstext"/>
              <w:spacing w:line="276" w:lineRule="auto"/>
              <w:rPr>
                <w:rFonts w:cs="Arial"/>
                <w:b/>
                <w:bCs/>
                <w:color w:val="FFFFFF" w:themeColor="background1"/>
              </w:rPr>
            </w:pPr>
            <w:r w:rsidRPr="00C74D02">
              <w:rPr>
                <w:rFonts w:cs="Arial"/>
                <w:b/>
                <w:bCs/>
                <w:color w:val="FFFFFF" w:themeColor="background1"/>
              </w:rPr>
              <w:t>Status</w:t>
            </w:r>
          </w:p>
        </w:tc>
        <w:tc>
          <w:tcPr>
            <w:tcW w:w="2160" w:type="dxa"/>
            <w:shd w:val="clear" w:color="auto" w:fill="156570"/>
            <w:vAlign w:val="center"/>
          </w:tcPr>
          <w:p w:rsidR="00BA0875" w:rsidRPr="00C74D02" w:rsidRDefault="00BA0875" w:rsidP="00C74D02">
            <w:pPr>
              <w:pStyle w:val="IRPsanstext"/>
              <w:spacing w:line="276" w:lineRule="auto"/>
              <w:rPr>
                <w:rFonts w:cs="Arial"/>
                <w:b/>
                <w:bCs/>
                <w:color w:val="FFFFFF" w:themeColor="background1"/>
              </w:rPr>
            </w:pPr>
            <w:r w:rsidRPr="00C74D02">
              <w:rPr>
                <w:rFonts w:cs="Arial"/>
                <w:b/>
                <w:bCs/>
                <w:color w:val="FFFFFF" w:themeColor="background1"/>
              </w:rPr>
              <w:t>Primary Function</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AES / Alamitos</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100 MW / 400 MWh</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Los Alamitos, CA</w:t>
            </w:r>
          </w:p>
        </w:tc>
        <w:tc>
          <w:tcPr>
            <w:tcW w:w="1350" w:type="dxa"/>
            <w:shd w:val="clear" w:color="auto" w:fill="auto"/>
            <w:vAlign w:val="center"/>
          </w:tcPr>
          <w:p w:rsidR="00BA0875" w:rsidRPr="00BA0875" w:rsidRDefault="00BA0875" w:rsidP="00A960CB">
            <w:pPr>
              <w:pStyle w:val="IRPsanstext"/>
              <w:spacing w:line="240" w:lineRule="auto"/>
              <w:rPr>
                <w:rFonts w:cs="Arial"/>
              </w:rPr>
            </w:pPr>
            <w:r w:rsidRPr="00BA0875">
              <w:rPr>
                <w:rFonts w:cs="Arial"/>
              </w:rPr>
              <w:t>Announced</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 xml:space="preserve">Flexible supply capacity </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 xml:space="preserve">AES / Kilroot </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50 MW / unknown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Carrickfergus, N. Ireland</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Announced</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Renewables capacity firming, renewables energy time-shift</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 xml:space="preserve">Tohoku Electric / Sendai Substation </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40 MW/ 20 MWh</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Sendai, Japan</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Under construction</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Frequency regulation, voltage support</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Invenergy / Grand Ridge</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 xml:space="preserve">31.5 MW / 12.1 MWh </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Marseilles, IL</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Under construction</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Non-spinning capacity reserves</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Invenergy / Beech Ridge</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31.5 MW / unknown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Rupert, WV</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Under construction</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Frequency regulation, ramping, renewables capacity firming</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Alaska Railbelt Cooperative / Anchorage Area ESS</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25 MW / 14.1 MWh</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Anchorage, AK</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Announced</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Spinning electric supply reserves, transmission/distribution upgrade deferral, electric energy time-shift</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 xml:space="preserve">AES / Cochrane </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20 MW / 6.3 MWh</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Mejillones, Chile</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Announced</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Supply capacity, electric energy time-shift</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RES Americas / Jake</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20 MW / 7.9 MWh</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Illinois</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Under construction (?)</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Frequency regulation</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RES Americas / Elwood</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20 MW / 7.9 MWh</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Illinois</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Under construction (?)</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Frequency regulation</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Imperial Irrigation District 20 MW BESS</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20  MW / unknown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Imperial, CA</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Announced</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Spinning electric capacity reserves, renewable generation shifting, renewables capacity firming</w:t>
            </w:r>
          </w:p>
        </w:tc>
      </w:tr>
    </w:tbl>
    <w:p w:rsidR="00BA0875" w:rsidRPr="00BA0875" w:rsidRDefault="00BA0875" w:rsidP="00BA0875">
      <w:pPr>
        <w:pStyle w:val="IRPsanstext"/>
        <w:rPr>
          <w:rFonts w:cs="Arial"/>
        </w:rPr>
      </w:pPr>
    </w:p>
    <w:p w:rsidR="00C74D02" w:rsidRDefault="00C74D02">
      <w:pPr>
        <w:rPr>
          <w:rFonts w:ascii="Arial" w:hAnsi="Arial" w:cs="Arial"/>
        </w:rPr>
      </w:pPr>
      <w:r>
        <w:rPr>
          <w:rFonts w:cs="Arial"/>
        </w:rPr>
        <w:br w:type="page"/>
      </w:r>
    </w:p>
    <w:p w:rsidR="00CD4BC3" w:rsidRDefault="00CD4BC3" w:rsidP="00BA0875">
      <w:pPr>
        <w:pStyle w:val="IRPsanstext"/>
        <w:rPr>
          <w:rFonts w:cs="Arial"/>
        </w:rPr>
      </w:pPr>
    </w:p>
    <w:p w:rsidR="002C2E07" w:rsidRDefault="00BA0875" w:rsidP="00BA0875">
      <w:pPr>
        <w:pStyle w:val="IRPsanstext"/>
        <w:rPr>
          <w:rFonts w:cs="Arial"/>
        </w:rPr>
      </w:pPr>
      <w:r w:rsidRPr="00BA0875">
        <w:rPr>
          <w:rFonts w:cs="Arial"/>
        </w:rPr>
        <w:t xml:space="preserve">Based on this review, PSE chose to model lithium-ion as the large-scale generic battery resource in this IRP for the following reasons: </w:t>
      </w:r>
    </w:p>
    <w:p w:rsidR="00BA0875" w:rsidRPr="00BA0875" w:rsidRDefault="00BA0875" w:rsidP="00BA0875">
      <w:pPr>
        <w:pStyle w:val="IRPsanstext"/>
        <w:rPr>
          <w:rFonts w:cs="Arial"/>
        </w:rPr>
      </w:pPr>
      <w:r w:rsidRPr="00BA0875">
        <w:rPr>
          <w:rFonts w:cs="Arial"/>
        </w:rPr>
        <w:t xml:space="preserve"> </w:t>
      </w:r>
    </w:p>
    <w:p w:rsidR="00BA0875" w:rsidRPr="00BA0875" w:rsidRDefault="00BA0875" w:rsidP="001A1722">
      <w:pPr>
        <w:pStyle w:val="IRPsanstext"/>
        <w:numPr>
          <w:ilvl w:val="0"/>
          <w:numId w:val="46"/>
        </w:numPr>
        <w:rPr>
          <w:rFonts w:cs="Arial"/>
        </w:rPr>
      </w:pPr>
      <w:r w:rsidRPr="00BA0875">
        <w:rPr>
          <w:rFonts w:cs="Arial"/>
        </w:rPr>
        <w:t xml:space="preserve">The majority of large projects (especially those announced or under construction) use lithium-ion technology.  </w:t>
      </w:r>
    </w:p>
    <w:p w:rsidR="00BA0875" w:rsidRPr="00BA0875" w:rsidRDefault="00BA0875" w:rsidP="001A1722">
      <w:pPr>
        <w:pStyle w:val="IRPsanstext"/>
        <w:numPr>
          <w:ilvl w:val="0"/>
          <w:numId w:val="46"/>
        </w:numPr>
        <w:rPr>
          <w:rFonts w:cs="Arial"/>
        </w:rPr>
      </w:pPr>
      <w:r w:rsidRPr="00BA0875">
        <w:rPr>
          <w:rFonts w:cs="Arial"/>
        </w:rPr>
        <w:t xml:space="preserve">Cost estimates are more readily available in publically accessible data (though not complete). </w:t>
      </w:r>
    </w:p>
    <w:p w:rsidR="00BA0875" w:rsidRPr="00BA0875" w:rsidRDefault="00BA0875" w:rsidP="001A1722">
      <w:pPr>
        <w:pStyle w:val="IRPsanstext"/>
        <w:numPr>
          <w:ilvl w:val="0"/>
          <w:numId w:val="46"/>
        </w:numPr>
        <w:rPr>
          <w:rFonts w:cs="Arial"/>
        </w:rPr>
      </w:pPr>
      <w:r w:rsidRPr="00BA0875">
        <w:rPr>
          <w:rFonts w:cs="Arial"/>
        </w:rPr>
        <w:t xml:space="preserve">More data is available on the spectrum of system configurations and sizes, including the on the sizing and timing of systems announced in Southern California Edison’s Local Capacity Resources procurement.  </w:t>
      </w:r>
    </w:p>
    <w:p w:rsidR="00BA0875" w:rsidRPr="00BA0875" w:rsidRDefault="00BA0875" w:rsidP="00BA0875">
      <w:pPr>
        <w:pStyle w:val="IRPsanstext"/>
        <w:rPr>
          <w:rFonts w:cs="Arial"/>
        </w:rPr>
      </w:pPr>
    </w:p>
    <w:p w:rsidR="00BA0875" w:rsidRDefault="00BA0875" w:rsidP="00BA0875">
      <w:pPr>
        <w:pStyle w:val="IRPsanstext"/>
        <w:rPr>
          <w:rFonts w:cs="Arial"/>
        </w:rPr>
      </w:pPr>
      <w:r w:rsidRPr="00BA0875">
        <w:rPr>
          <w:rFonts w:cs="Arial"/>
        </w:rPr>
        <w:t>For an actual RFP solicitation, PSE will evaluate all proposed technologies based on least-cost and best-fit criteria, including technical and commercial considerations such as warranties, performance guaranties and counterparty credit, etc.</w:t>
      </w:r>
    </w:p>
    <w:p w:rsidR="00C74D02" w:rsidRPr="00BA0875" w:rsidRDefault="00C74D02" w:rsidP="00BA0875">
      <w:pPr>
        <w:pStyle w:val="IRPsanstext"/>
        <w:rPr>
          <w:rFonts w:cs="Arial"/>
        </w:rPr>
      </w:pPr>
    </w:p>
    <w:p w:rsidR="00C74D02" w:rsidRPr="00C74D02" w:rsidRDefault="00C74D02" w:rsidP="00C74D02">
      <w:pPr>
        <w:pStyle w:val="IRPsanstext"/>
        <w:rPr>
          <w:sz w:val="32"/>
          <w:szCs w:val="32"/>
        </w:rPr>
      </w:pPr>
      <w:r w:rsidRPr="00C74D02">
        <w:rPr>
          <w:sz w:val="32"/>
          <w:szCs w:val="32"/>
        </w:rPr>
        <w:t>Sizing Assumptions</w:t>
      </w:r>
    </w:p>
    <w:p w:rsidR="00C74D02" w:rsidRDefault="00C74D02" w:rsidP="00C74D02">
      <w:pPr>
        <w:pStyle w:val="IRPsanstext"/>
      </w:pPr>
    </w:p>
    <w:p w:rsidR="00C74D02" w:rsidRPr="00BC1C35" w:rsidRDefault="00C74D02" w:rsidP="00C74D02">
      <w:pPr>
        <w:pStyle w:val="IRPsanstext"/>
      </w:pPr>
      <w:r>
        <w:t xml:space="preserve">Unlike conventional generation resources like combustion turbines, battery storage resources are modular, scalable and expandable. It is possible to build the infrastructure for a large storage system and install storage capacity in increments over time as needs grow. This flexibility is a valuable feature of the technology.   </w:t>
      </w:r>
    </w:p>
    <w:p w:rsidR="00C74D02" w:rsidRDefault="00C74D02" w:rsidP="00C74D02">
      <w:pPr>
        <w:pStyle w:val="IRPsanstext"/>
      </w:pPr>
    </w:p>
    <w:p w:rsidR="00C74D02" w:rsidRDefault="00C74D02" w:rsidP="00C74D02">
      <w:pPr>
        <w:pStyle w:val="IRPsanstext"/>
      </w:pPr>
      <w:r w:rsidRPr="00C74D02">
        <w:rPr>
          <w:b/>
          <w:color w:val="156570"/>
          <w:sz w:val="28"/>
        </w:rPr>
        <w:t>Battery Storage Sizing.</w:t>
      </w:r>
      <w:r>
        <w:rPr>
          <w:b/>
          <w:color w:val="3366FF"/>
          <w:sz w:val="28"/>
        </w:rPr>
        <w:t xml:space="preserve"> </w:t>
      </w:r>
      <w:r>
        <w:t xml:space="preserve">To simplify the scope of this analysis we </w:t>
      </w:r>
      <w:r w:rsidR="00E949CD">
        <w:t xml:space="preserve">modeled 80 MW of generic lithium-ion </w:t>
      </w:r>
      <w:r>
        <w:t>battery storage resources</w:t>
      </w:r>
      <w:r w:rsidR="00E949CD">
        <w:t>.</w:t>
      </w:r>
      <w:r>
        <w:t xml:space="preserve">  </w:t>
      </w:r>
    </w:p>
    <w:p w:rsidR="00C74D02" w:rsidRDefault="00C74D02" w:rsidP="00C74D02">
      <w:pPr>
        <w:pStyle w:val="IRPsanstext"/>
      </w:pPr>
    </w:p>
    <w:p w:rsidR="00C74D02" w:rsidRPr="00BC1C35" w:rsidRDefault="00C74D02" w:rsidP="00C74D02">
      <w:pPr>
        <w:pStyle w:val="IRPsanstext"/>
      </w:pPr>
      <w:r>
        <w:t xml:space="preserve">In the next step, we defined energy storage capacity (MWh). To be cost effective, battery systems must have sufficient storage to provide necessary grid services, but without being prohibitively expensive due to extremely long discharge duration.  Through prior modeling, PSE determined that a two-hour battery storage system would earn a 100 percent incremental capacity </w:t>
      </w:r>
      <w:r w:rsidR="00F8017F">
        <w:t xml:space="preserve">equivalent </w:t>
      </w:r>
      <w:r>
        <w:t>(ICE) for supply capacity. This should be more than sufficient for system flexibility/ancillary services applications, which require less than one-hour discharge duration.</w:t>
      </w:r>
    </w:p>
    <w:p w:rsidR="00C74D02" w:rsidRDefault="00C74D02" w:rsidP="00C74D02">
      <w:pPr>
        <w:pStyle w:val="IRPsanstext"/>
        <w:rPr>
          <w:b/>
          <w:color w:val="3366FF"/>
          <w:sz w:val="28"/>
        </w:rPr>
      </w:pPr>
    </w:p>
    <w:p w:rsidR="002C2E07" w:rsidRDefault="002C2E07">
      <w:pPr>
        <w:rPr>
          <w:rFonts w:ascii="Arial" w:hAnsi="Arial"/>
          <w:b/>
          <w:color w:val="156570"/>
          <w:sz w:val="28"/>
        </w:rPr>
      </w:pPr>
      <w:r>
        <w:rPr>
          <w:b/>
          <w:color w:val="156570"/>
          <w:sz w:val="28"/>
        </w:rPr>
        <w:br w:type="page"/>
      </w:r>
    </w:p>
    <w:p w:rsidR="00CD4BC3" w:rsidRDefault="00CD4BC3" w:rsidP="00C74D02">
      <w:pPr>
        <w:pStyle w:val="IRPsanstext"/>
        <w:rPr>
          <w:b/>
          <w:color w:val="156570"/>
          <w:sz w:val="28"/>
        </w:rPr>
      </w:pPr>
    </w:p>
    <w:p w:rsidR="007E7A61" w:rsidRDefault="00C74D02" w:rsidP="007E7A61">
      <w:pPr>
        <w:pStyle w:val="IRPsanstext"/>
      </w:pPr>
      <w:r w:rsidRPr="00C74D02">
        <w:rPr>
          <w:b/>
          <w:color w:val="156570"/>
          <w:sz w:val="28"/>
        </w:rPr>
        <w:t>Pumped Hydro Sizing.</w:t>
      </w:r>
      <w:r>
        <w:rPr>
          <w:b/>
          <w:color w:val="3366FF"/>
          <w:sz w:val="28"/>
        </w:rPr>
        <w:t xml:space="preserve"> </w:t>
      </w:r>
      <w:r w:rsidR="007E7A61">
        <w:t xml:space="preserve">Pumped hydro resources are generally large, on the order of </w:t>
      </w:r>
      <w:r w:rsidR="00245EDA">
        <w:t>10</w:t>
      </w:r>
      <w:r w:rsidR="007E7A61">
        <w:t xml:space="preserve">0 MW to 3,000 MW. Most development proposals that PSE has seen have been greater than 400 MW.  PSE would not need to purchase the output of an entire plant, as long as others were interested in splitting the output of a particular project. Most likely, any potential pumped hydro resource acquisition would be for a “slice” of the resource, not the entire facility output. This analysis tests two amounts of pumped hydro storage, 80 MW and 200 MW. Both are assumed to be a portion of a larger facility.  Based on recent project proposals we have seen, 10 hours of discharge duration is common, so the 80 MW alternative represents 800 MWh and the 200 MW alternative represents 2,000 MWh. </w:t>
      </w:r>
    </w:p>
    <w:p w:rsidR="007E7A61" w:rsidRDefault="007E7A61" w:rsidP="007E7A61">
      <w:pPr>
        <w:pStyle w:val="IRPsanstext"/>
      </w:pPr>
    </w:p>
    <w:p w:rsidR="00C74D02" w:rsidRPr="00C74D02" w:rsidRDefault="00C74D02" w:rsidP="00CD4BC3">
      <w:pPr>
        <w:pStyle w:val="IRPsanstext"/>
        <w:spacing w:before="120"/>
        <w:rPr>
          <w:sz w:val="32"/>
          <w:szCs w:val="32"/>
        </w:rPr>
      </w:pPr>
      <w:r w:rsidRPr="00C74D02">
        <w:rPr>
          <w:sz w:val="32"/>
          <w:szCs w:val="32"/>
        </w:rPr>
        <w:t>Performance Metrics</w:t>
      </w:r>
    </w:p>
    <w:p w:rsidR="00C74D02" w:rsidRDefault="00C74D02" w:rsidP="00C74D02">
      <w:pPr>
        <w:pStyle w:val="IRPsanstext"/>
      </w:pPr>
    </w:p>
    <w:p w:rsidR="00C74D02" w:rsidRDefault="00C74D02" w:rsidP="00C74D02">
      <w:pPr>
        <w:pStyle w:val="IRPsanstext"/>
      </w:pPr>
      <w:r>
        <w:t>Key performance metrics</w:t>
      </w:r>
      <w:r w:rsidRPr="00D77404">
        <w:t xml:space="preserve"> for storage resources </w:t>
      </w:r>
      <w:r>
        <w:t xml:space="preserve">include </w:t>
      </w:r>
      <w:r w:rsidRPr="00D77404">
        <w:t>the charge and discharge rates</w:t>
      </w:r>
      <w:r>
        <w:t xml:space="preserve"> and round-</w:t>
      </w:r>
      <w:r w:rsidRPr="00D77404">
        <w:t xml:space="preserve">trip efficiency (RTE).  </w:t>
      </w:r>
    </w:p>
    <w:p w:rsidR="00C74D02" w:rsidRDefault="00C74D02" w:rsidP="00C74D02">
      <w:pPr>
        <w:pStyle w:val="IRPsanstext"/>
      </w:pPr>
    </w:p>
    <w:p w:rsidR="00C74D02" w:rsidRDefault="00C74D02" w:rsidP="00C74D02">
      <w:pPr>
        <w:pStyle w:val="IRPsanstext"/>
      </w:pPr>
      <w:r w:rsidRPr="00C74D02">
        <w:rPr>
          <w:b/>
          <w:color w:val="156570"/>
          <w:sz w:val="28"/>
        </w:rPr>
        <w:t>Charge/Discharge Power.</w:t>
      </w:r>
      <w:r>
        <w:rPr>
          <w:b/>
          <w:color w:val="3366FF"/>
          <w:sz w:val="28"/>
        </w:rPr>
        <w:t xml:space="preserve"> </w:t>
      </w:r>
      <w:r w:rsidRPr="00D77404">
        <w:t>Some batteries can discharge at a higher power than they can recharge</w:t>
      </w:r>
      <w:r>
        <w:t>,</w:t>
      </w:r>
      <w:r w:rsidRPr="00D77404">
        <w:t xml:space="preserve"> </w:t>
      </w:r>
      <w:r>
        <w:t>others</w:t>
      </w:r>
      <w:r w:rsidRPr="00D77404">
        <w:t xml:space="preserve"> can charge</w:t>
      </w:r>
      <w:r>
        <w:t xml:space="preserve"> and discharge at equal rates. </w:t>
      </w:r>
      <w:r w:rsidRPr="00D77404">
        <w:t xml:space="preserve">This affects the overall value </w:t>
      </w:r>
      <w:r>
        <w:t>of the resource, since ancillary services and flexibility require</w:t>
      </w:r>
      <w:r w:rsidRPr="00D77404">
        <w:t xml:space="preserve"> both the injection and withdrawal of power </w:t>
      </w:r>
      <w:r>
        <w:t>from the grid</w:t>
      </w:r>
      <w:r w:rsidRPr="00D77404">
        <w:t xml:space="preserve">.  </w:t>
      </w:r>
    </w:p>
    <w:p w:rsidR="00C74D02" w:rsidRDefault="00C74D02" w:rsidP="00C74D02">
      <w:pPr>
        <w:pStyle w:val="IRPsanstext"/>
      </w:pPr>
    </w:p>
    <w:p w:rsidR="00C74D02" w:rsidRDefault="00C74D02" w:rsidP="00E949CD">
      <w:pPr>
        <w:pStyle w:val="IRPsanstext"/>
      </w:pPr>
      <w:r w:rsidRPr="00C74D02">
        <w:rPr>
          <w:b/>
          <w:color w:val="156570"/>
          <w:sz w:val="28"/>
        </w:rPr>
        <w:t>Round-trip Efficiency.</w:t>
      </w:r>
      <w:r>
        <w:rPr>
          <w:b/>
          <w:color w:val="3366FF"/>
          <w:sz w:val="28"/>
        </w:rPr>
        <w:t xml:space="preserve"> </w:t>
      </w:r>
      <w:r w:rsidR="00E949CD" w:rsidRPr="00E949CD">
        <w:t>Round-trip efficiency (</w:t>
      </w:r>
      <w:r w:rsidRPr="003E0099">
        <w:t>RTE</w:t>
      </w:r>
      <w:r w:rsidR="00E949CD">
        <w:t>)</w:t>
      </w:r>
      <w:r>
        <w:t xml:space="preserve"> refers to </w:t>
      </w:r>
      <w:r w:rsidRPr="000833BA">
        <w:t xml:space="preserve">the amount of energy that an </w:t>
      </w:r>
      <w:r>
        <w:t>energy storage system</w:t>
      </w:r>
      <w:r w:rsidR="00DF053B">
        <w:t xml:space="preserve"> (ESS)</w:t>
      </w:r>
      <w:r>
        <w:t xml:space="preserve"> can </w:t>
      </w:r>
      <w:r w:rsidRPr="00C74D02">
        <w:t xml:space="preserve">deliver to the grid relative to the amount of </w:t>
      </w:r>
      <w:r>
        <w:t xml:space="preserve">energy it withdraws from the grid ESS during its </w:t>
      </w:r>
      <w:r w:rsidRPr="00C74D02">
        <w:t>preceding charge</w:t>
      </w:r>
      <w:r>
        <w:t xml:space="preserve"> cycle.</w:t>
      </w:r>
      <w:r w:rsidRPr="00C74D02">
        <w:t xml:space="preserve"> The RTE of energy storage technologies v</w:t>
      </w:r>
      <w:r>
        <w:t>aries substantially. H</w:t>
      </w:r>
      <w:r w:rsidRPr="003E0099">
        <w:t xml:space="preserve">igher </w:t>
      </w:r>
      <w:r>
        <w:t xml:space="preserve">round-trip </w:t>
      </w:r>
      <w:r w:rsidRPr="003E0099">
        <w:t xml:space="preserve">efficiency </w:t>
      </w:r>
      <w:r>
        <w:t>is</w:t>
      </w:r>
      <w:r w:rsidRPr="003E0099">
        <w:t xml:space="preserve"> more desirable, all else equal</w:t>
      </w:r>
      <w:r>
        <w:t>. Differences among</w:t>
      </w:r>
      <w:r w:rsidRPr="003E0099">
        <w:t xml:space="preserve"> technology classes can be significant, but differences due to operational profiles and the environment can be even </w:t>
      </w:r>
      <w:r>
        <w:t>greater</w:t>
      </w:r>
      <w:r w:rsidRPr="003E0099">
        <w:t xml:space="preserve">. </w:t>
      </w:r>
      <w:r>
        <w:t>A</w:t>
      </w:r>
      <w:r w:rsidRPr="003E0099">
        <w:t>n average AC-to-AC 85</w:t>
      </w:r>
      <w:r>
        <w:t xml:space="preserve"> percent</w:t>
      </w:r>
      <w:r w:rsidRPr="003E0099">
        <w:t xml:space="preserve"> round</w:t>
      </w:r>
      <w:r>
        <w:t>-</w:t>
      </w:r>
      <w:r w:rsidRPr="003E0099">
        <w:t>trip efficiency for the generic resources</w:t>
      </w:r>
      <w:r>
        <w:t xml:space="preserve"> system is assumed for this analysis.</w:t>
      </w:r>
      <w:r w:rsidRPr="003E0099">
        <w:t xml:space="preserve"> This does not include standby losses</w:t>
      </w:r>
      <w:r>
        <w:t>.</w:t>
      </w:r>
      <w:r w:rsidRPr="003E0099">
        <w:t xml:space="preserve"> </w:t>
      </w:r>
      <w:r>
        <w:t>These</w:t>
      </w:r>
      <w:r w:rsidRPr="003E0099">
        <w:t xml:space="preserve"> are not well known</w:t>
      </w:r>
      <w:r>
        <w:t>,</w:t>
      </w:r>
      <w:r w:rsidRPr="003E0099">
        <w:t xml:space="preserve"> </w:t>
      </w:r>
      <w:r>
        <w:t>but they</w:t>
      </w:r>
      <w:r w:rsidRPr="003E0099">
        <w:t xml:space="preserve"> are likely </w:t>
      </w:r>
      <w:r>
        <w:t xml:space="preserve">to be </w:t>
      </w:r>
      <w:r w:rsidRPr="003E0099">
        <w:t xml:space="preserve">an important metric to </w:t>
      </w:r>
      <w:r>
        <w:t>consider for an</w:t>
      </w:r>
      <w:r w:rsidRPr="003E0099">
        <w:t xml:space="preserve"> actual acquisition.</w:t>
      </w:r>
      <w:r w:rsidRPr="00D77404">
        <w:t xml:space="preserve">  </w:t>
      </w:r>
    </w:p>
    <w:p w:rsidR="00C74D02" w:rsidRPr="00BD3551" w:rsidRDefault="00C74D02" w:rsidP="00C74D02">
      <w:pPr>
        <w:pStyle w:val="IRPsanstext"/>
        <w:rPr>
          <w:u w:val="single"/>
        </w:rPr>
      </w:pPr>
    </w:p>
    <w:p w:rsidR="00C74D02" w:rsidRDefault="00C74D02" w:rsidP="00C74D02">
      <w:pPr>
        <w:pStyle w:val="IRPsanstext"/>
      </w:pPr>
      <w:r w:rsidRPr="00C74D02">
        <w:rPr>
          <w:b/>
          <w:color w:val="156570"/>
          <w:sz w:val="28"/>
        </w:rPr>
        <w:t>Degradation.</w:t>
      </w:r>
      <w:r>
        <w:rPr>
          <w:b/>
          <w:color w:val="3366FF"/>
          <w:sz w:val="28"/>
        </w:rPr>
        <w:t xml:space="preserve"> </w:t>
      </w:r>
      <w:r>
        <w:t xml:space="preserve">Cycling on the battery system creates wear and tear that eventually causes the system to begin to lose </w:t>
      </w:r>
      <w:r w:rsidRPr="00C25817">
        <w:rPr>
          <w:i/>
          <w:u w:val="single"/>
        </w:rPr>
        <w:t>energy</w:t>
      </w:r>
      <w:r>
        <w:t xml:space="preserve"> storage capability over time. Charge and discharge </w:t>
      </w:r>
      <w:r w:rsidRPr="00C25817">
        <w:rPr>
          <w:i/>
          <w:u w:val="single"/>
        </w:rPr>
        <w:t>power</w:t>
      </w:r>
      <w:r>
        <w:t xml:space="preserve"> are not affected. The exact amount of degradation that will occur depends on the specific chemistry and the frequency and nature of cycling. For this analysis, we assume</w:t>
      </w:r>
      <w:r w:rsidRPr="00BD3551">
        <w:t xml:space="preserve"> </w:t>
      </w:r>
      <w:r>
        <w:t>a degradation rate of</w:t>
      </w:r>
      <w:r w:rsidR="002C2E07">
        <w:t xml:space="preserve"> </w:t>
      </w:r>
      <w:r>
        <w:t xml:space="preserve">2 percent per </w:t>
      </w:r>
      <w:r w:rsidRPr="00BD3551">
        <w:t>year</w:t>
      </w:r>
      <w:r>
        <w:t>. At this rate, a 20-year-old system would have about 68 percent</w:t>
      </w:r>
      <w:r w:rsidRPr="00BD3551">
        <w:t xml:space="preserve"> </w:t>
      </w:r>
      <w:r>
        <w:t>of the storage capacity it had when new</w:t>
      </w:r>
      <w:r w:rsidRPr="00BD3551">
        <w:t>.</w:t>
      </w:r>
      <w:r>
        <w:t xml:space="preserve">  </w:t>
      </w:r>
    </w:p>
    <w:p w:rsidR="00C74D02" w:rsidRDefault="00C74D02" w:rsidP="00C74D02">
      <w:pPr>
        <w:pStyle w:val="IRPsanstext"/>
      </w:pPr>
    </w:p>
    <w:p w:rsidR="00C74D02" w:rsidRDefault="00C74D02" w:rsidP="00C74D02">
      <w:pPr>
        <w:pStyle w:val="IRPsanstext"/>
      </w:pPr>
      <w:r>
        <w:br w:type="column"/>
      </w:r>
    </w:p>
    <w:p w:rsidR="00C74D02" w:rsidRPr="00C74D02" w:rsidRDefault="003745CE" w:rsidP="00C74D02">
      <w:pPr>
        <w:pStyle w:val="IRPsanstext"/>
        <w:rPr>
          <w:sz w:val="32"/>
          <w:szCs w:val="32"/>
        </w:rPr>
      </w:pPr>
      <w:r>
        <w:rPr>
          <w:sz w:val="32"/>
          <w:szCs w:val="32"/>
        </w:rPr>
        <w:t>Generic Cost</w:t>
      </w:r>
      <w:r w:rsidR="00C74D02" w:rsidRPr="00C74D02">
        <w:rPr>
          <w:sz w:val="32"/>
          <w:szCs w:val="32"/>
        </w:rPr>
        <w:t>s</w:t>
      </w:r>
    </w:p>
    <w:p w:rsidR="00C74D02" w:rsidRDefault="00C74D02" w:rsidP="00C74D02">
      <w:pPr>
        <w:pStyle w:val="IRPsanstext"/>
      </w:pPr>
    </w:p>
    <w:p w:rsidR="00C74D02" w:rsidRPr="004972D2" w:rsidRDefault="00C74D02" w:rsidP="00C74D02">
      <w:pPr>
        <w:pStyle w:val="IRPsanstext"/>
      </w:pPr>
      <w:r w:rsidRPr="006135ED">
        <w:t xml:space="preserve">There is no simple formula </w:t>
      </w:r>
      <w:r>
        <w:t>for estimating</w:t>
      </w:r>
      <w:r w:rsidRPr="006135ED">
        <w:t xml:space="preserve"> </w:t>
      </w:r>
      <w:r>
        <w:t xml:space="preserve">the cost of </w:t>
      </w:r>
      <w:r w:rsidRPr="006135ED">
        <w:t xml:space="preserve">storage </w:t>
      </w:r>
      <w:r>
        <w:t>resources at this time</w:t>
      </w:r>
      <w:r w:rsidRPr="006135ED">
        <w:t xml:space="preserve">. </w:t>
      </w:r>
      <w:r>
        <w:t xml:space="preserve">Most </w:t>
      </w:r>
      <w:r w:rsidRPr="006135ED">
        <w:t xml:space="preserve">systems are </w:t>
      </w:r>
      <w:r>
        <w:t>custom-designed</w:t>
      </w:r>
      <w:r w:rsidRPr="006135ED">
        <w:t xml:space="preserve">, </w:t>
      </w:r>
      <w:r>
        <w:t xml:space="preserve">built </w:t>
      </w:r>
      <w:r w:rsidRPr="006135ED">
        <w:t xml:space="preserve">and tailored for very specific, customer-identified applications and sites, so costs vary significantly. </w:t>
      </w:r>
    </w:p>
    <w:p w:rsidR="00C74D02" w:rsidRDefault="00C74D02" w:rsidP="00C74D02">
      <w:pPr>
        <w:pStyle w:val="IRPsanstext"/>
      </w:pPr>
    </w:p>
    <w:p w:rsidR="00C74D02" w:rsidRDefault="00C74D02" w:rsidP="00C74D02">
      <w:pPr>
        <w:pStyle w:val="IRPsanstext"/>
        <w:rPr>
          <w:color w:val="3366FF"/>
        </w:rPr>
      </w:pPr>
      <w:r w:rsidRPr="0054514F">
        <w:rPr>
          <w:b/>
          <w:color w:val="156570"/>
          <w:sz w:val="28"/>
        </w:rPr>
        <w:t>Generic Battery System Costs.</w:t>
      </w:r>
      <w:r>
        <w:t xml:space="preserve"> </w:t>
      </w:r>
      <w:r w:rsidRPr="00B37A2E">
        <w:t xml:space="preserve">PSE reviewed publicly available cost data from existing projects and market research reports </w:t>
      </w:r>
      <w:r>
        <w:t>that discussed</w:t>
      </w:r>
      <w:r w:rsidRPr="00B37A2E">
        <w:t xml:space="preserve"> cost trends and estimates for projects recently contracted in California and Hawaii.  </w:t>
      </w:r>
      <w:r>
        <w:t>We</w:t>
      </w:r>
      <w:r w:rsidRPr="00B37A2E">
        <w:t xml:space="preserve"> also consulted with experienced battery storage project developers </w:t>
      </w:r>
      <w:r>
        <w:t>regarding</w:t>
      </w:r>
      <w:r w:rsidRPr="00B37A2E">
        <w:t xml:space="preserve"> recent cost estimates s</w:t>
      </w:r>
      <w:r>
        <w:t>pecific to the size of the generic resource</w:t>
      </w:r>
      <w:r w:rsidRPr="00B37A2E">
        <w:t xml:space="preserve"> being modeled. </w:t>
      </w:r>
    </w:p>
    <w:p w:rsidR="00C74D02" w:rsidRPr="00606B56" w:rsidRDefault="00C74D02" w:rsidP="00C74D02">
      <w:pPr>
        <w:pStyle w:val="IRPsanstext"/>
      </w:pPr>
    </w:p>
    <w:p w:rsidR="00C74D02" w:rsidRPr="002C2E07" w:rsidRDefault="00C74D02" w:rsidP="00C74D02">
      <w:pPr>
        <w:pStyle w:val="IRPsanstext"/>
        <w:rPr>
          <w:rFonts w:cs="Arial"/>
          <w:b/>
        </w:rPr>
      </w:pPr>
      <w:r w:rsidRPr="003745CE">
        <w:rPr>
          <w:rFonts w:cs="Arial"/>
          <w:b/>
          <w:caps/>
        </w:rPr>
        <w:t>Pilot Projects Reviewed</w:t>
      </w:r>
      <w:r w:rsidR="003745CE" w:rsidRPr="003745CE">
        <w:rPr>
          <w:rFonts w:cs="Arial"/>
          <w:b/>
          <w:caps/>
        </w:rPr>
        <w:t>.</w:t>
      </w:r>
      <w:r w:rsidR="002C2E07">
        <w:rPr>
          <w:rFonts w:cs="Arial"/>
          <w:b/>
        </w:rPr>
        <w:t xml:space="preserve"> </w:t>
      </w:r>
      <w:r w:rsidRPr="0054514F">
        <w:rPr>
          <w:rFonts w:cs="Arial"/>
        </w:rPr>
        <w:t>Few examples are available of detailed costs for large, completed grid-scale systems. We looked closely at two projects: SCE’s Tehachapi Wind Energy Storage Project and PSE’s Glacier project in Whatcom County.</w:t>
      </w:r>
    </w:p>
    <w:p w:rsidR="00C74D02" w:rsidRPr="0054514F" w:rsidRDefault="00C74D02" w:rsidP="00C74D02">
      <w:pPr>
        <w:pStyle w:val="IRPsanstext"/>
        <w:rPr>
          <w:rFonts w:cs="Arial"/>
        </w:rPr>
      </w:pPr>
    </w:p>
    <w:p w:rsidR="00C74D02" w:rsidRPr="0054514F" w:rsidRDefault="00C74D02" w:rsidP="00C74D02">
      <w:pPr>
        <w:pStyle w:val="IRPsanstext"/>
        <w:rPr>
          <w:rFonts w:cs="Arial"/>
        </w:rPr>
      </w:pPr>
      <w:r w:rsidRPr="0054514F">
        <w:rPr>
          <w:rFonts w:cs="Arial"/>
        </w:rPr>
        <w:t>SCE commissioned the Tehachapi Project, an 8 MW/32 MWh lithium-ion system, in June 2014 with the help of a U.S. Department of Energy grant. When the project was approved for the American Recovery and Reinvestment Act Smart Grid Demonstration Program Funding in 2010, total project cost was estimated at $50,000,000. Actual incurred costs are unknown, but this provides a useful</w:t>
      </w:r>
      <w:r w:rsidR="00233794">
        <w:rPr>
          <w:rFonts w:cs="Arial"/>
        </w:rPr>
        <w:t xml:space="preserve"> cost data point of $6,250 per kW and $1,562 per k</w:t>
      </w:r>
      <w:r w:rsidRPr="0054514F">
        <w:rPr>
          <w:rFonts w:cs="Arial"/>
        </w:rPr>
        <w:t xml:space="preserve">Wh. This includes batteries, battery operating systems (BOS), interconnection and every other component. </w:t>
      </w:r>
    </w:p>
    <w:p w:rsidR="00C74D02" w:rsidRPr="0054514F" w:rsidRDefault="00C74D02" w:rsidP="00C74D02">
      <w:pPr>
        <w:pStyle w:val="IRPsanstext"/>
        <w:rPr>
          <w:rFonts w:cs="Arial"/>
        </w:rPr>
      </w:pPr>
    </w:p>
    <w:p w:rsidR="00C74D02" w:rsidRPr="0054514F" w:rsidRDefault="00C74D02" w:rsidP="00C74D02">
      <w:pPr>
        <w:pStyle w:val="IRPsanstext"/>
        <w:rPr>
          <w:rFonts w:cs="Arial"/>
        </w:rPr>
      </w:pPr>
      <w:r w:rsidRPr="0054514F">
        <w:rPr>
          <w:rFonts w:cs="Arial"/>
        </w:rPr>
        <w:t xml:space="preserve">PSE’s 2 MW/4.4 MWh lithium-ion Glacier project in Whatcom County is estimated to cost </w:t>
      </w:r>
      <w:r w:rsidR="00396DDB">
        <w:rPr>
          <w:rFonts w:cs="Arial"/>
        </w:rPr>
        <w:t xml:space="preserve">approximately </w:t>
      </w:r>
      <w:r w:rsidRPr="0054514F">
        <w:rPr>
          <w:rFonts w:cs="Arial"/>
        </w:rPr>
        <w:t>$</w:t>
      </w:r>
      <w:r w:rsidR="00396DDB">
        <w:rPr>
          <w:rFonts w:cs="Arial"/>
        </w:rPr>
        <w:t>11,8</w:t>
      </w:r>
      <w:r w:rsidR="00EB02E2">
        <w:rPr>
          <w:rFonts w:cs="Arial"/>
        </w:rPr>
        <w:t>00</w:t>
      </w:r>
      <w:r w:rsidRPr="0054514F">
        <w:rPr>
          <w:rFonts w:cs="Arial"/>
        </w:rPr>
        <w:t xml:space="preserve">,000, </w:t>
      </w:r>
      <w:r w:rsidR="00233794">
        <w:rPr>
          <w:rFonts w:cs="Arial"/>
        </w:rPr>
        <w:t xml:space="preserve">which translates to </w:t>
      </w:r>
      <w:r w:rsidR="00396DDB">
        <w:rPr>
          <w:rFonts w:cs="Arial"/>
        </w:rPr>
        <w:t xml:space="preserve">approximately </w:t>
      </w:r>
      <w:r w:rsidR="00233794">
        <w:rPr>
          <w:rFonts w:cs="Arial"/>
        </w:rPr>
        <w:t>$</w:t>
      </w:r>
      <w:r w:rsidR="00396DDB">
        <w:rPr>
          <w:rFonts w:cs="Arial"/>
        </w:rPr>
        <w:t>5,900</w:t>
      </w:r>
      <w:r w:rsidR="00EB02E2">
        <w:rPr>
          <w:rFonts w:cs="Arial"/>
        </w:rPr>
        <w:t xml:space="preserve"> </w:t>
      </w:r>
      <w:r w:rsidR="00233794">
        <w:rPr>
          <w:rFonts w:cs="Arial"/>
        </w:rPr>
        <w:t>per kW and $2,</w:t>
      </w:r>
      <w:r w:rsidR="00396DDB">
        <w:rPr>
          <w:rFonts w:cs="Arial"/>
        </w:rPr>
        <w:t>6</w:t>
      </w:r>
      <w:r w:rsidR="00EB02E2">
        <w:rPr>
          <w:rFonts w:cs="Arial"/>
        </w:rPr>
        <w:t xml:space="preserve">82 </w:t>
      </w:r>
      <w:r w:rsidR="00233794">
        <w:rPr>
          <w:rFonts w:cs="Arial"/>
        </w:rPr>
        <w:t>per k</w:t>
      </w:r>
      <w:r w:rsidRPr="0054514F">
        <w:rPr>
          <w:rFonts w:cs="Arial"/>
        </w:rPr>
        <w:t xml:space="preserve">Wh. Economies of scale are important for system costs, which is why the cost per kilowatt-hour for PSE’s system is higher than for the SCE Tehachapi system.  </w:t>
      </w:r>
    </w:p>
    <w:p w:rsidR="00C74D02" w:rsidRPr="0054514F" w:rsidRDefault="00C74D02" w:rsidP="00C74D02">
      <w:pPr>
        <w:pStyle w:val="IRPsanstext"/>
        <w:rPr>
          <w:rFonts w:cs="Arial"/>
        </w:rPr>
      </w:pPr>
    </w:p>
    <w:p w:rsidR="00C74D02" w:rsidRPr="0054514F" w:rsidRDefault="00C74D02" w:rsidP="00C74D02">
      <w:pPr>
        <w:pStyle w:val="IRPsanstext"/>
        <w:rPr>
          <w:rFonts w:cs="Arial"/>
        </w:rPr>
      </w:pPr>
      <w:r w:rsidRPr="0054514F">
        <w:rPr>
          <w:rFonts w:cs="Arial"/>
        </w:rPr>
        <w:t>Significant non-recurring design, engineering and integration costs are included in both projects, so they may be more costly than future deployments. Many fixed costs don’t scale dramatically as the project size increases; permitting and interconnection study costs for a 2 MW project and a</w:t>
      </w:r>
      <w:r w:rsidR="002C2E07">
        <w:rPr>
          <w:rFonts w:cs="Arial"/>
        </w:rPr>
        <w:t xml:space="preserve"> </w:t>
      </w:r>
      <w:r w:rsidRPr="0054514F">
        <w:rPr>
          <w:rFonts w:cs="Arial"/>
        </w:rPr>
        <w:t xml:space="preserve">20 MW project are largely the same, for example. </w:t>
      </w:r>
    </w:p>
    <w:p w:rsidR="00C74D02" w:rsidRPr="0054514F" w:rsidRDefault="00C74D02" w:rsidP="00C74D02">
      <w:pPr>
        <w:pStyle w:val="IRPsanstext"/>
        <w:rPr>
          <w:rFonts w:cs="Arial"/>
        </w:rPr>
      </w:pPr>
    </w:p>
    <w:p w:rsidR="0054514F" w:rsidRDefault="0054514F" w:rsidP="00C74D02">
      <w:pPr>
        <w:pStyle w:val="IRPsanstext"/>
        <w:rPr>
          <w:rFonts w:cs="Arial"/>
        </w:rPr>
      </w:pPr>
    </w:p>
    <w:p w:rsidR="0054514F" w:rsidRDefault="0054514F" w:rsidP="00C74D02">
      <w:pPr>
        <w:pStyle w:val="IRPsanstext"/>
        <w:rPr>
          <w:rFonts w:cs="Arial"/>
        </w:rPr>
      </w:pPr>
    </w:p>
    <w:p w:rsidR="0054514F" w:rsidRDefault="0054514F" w:rsidP="00C74D02">
      <w:pPr>
        <w:pStyle w:val="IRPsanstext"/>
        <w:rPr>
          <w:rFonts w:cs="Arial"/>
        </w:rPr>
      </w:pPr>
    </w:p>
    <w:p w:rsidR="002C2E07" w:rsidRDefault="002C2E07" w:rsidP="00C74D02">
      <w:pPr>
        <w:pStyle w:val="IRPsanstext"/>
        <w:rPr>
          <w:rFonts w:cs="Arial"/>
        </w:rPr>
      </w:pPr>
    </w:p>
    <w:p w:rsidR="00A960CB" w:rsidRDefault="00A960CB" w:rsidP="00C74D02">
      <w:pPr>
        <w:pStyle w:val="IRPsanstext"/>
        <w:rPr>
          <w:rFonts w:cs="Arial"/>
        </w:rPr>
      </w:pPr>
    </w:p>
    <w:p w:rsidR="00C74D02" w:rsidRPr="0054514F" w:rsidRDefault="00A960CB" w:rsidP="00C74D02">
      <w:pPr>
        <w:pStyle w:val="IRPsanstext"/>
        <w:rPr>
          <w:rFonts w:cs="Arial"/>
        </w:rPr>
      </w:pPr>
      <w:r>
        <w:rPr>
          <w:rFonts w:cs="Arial"/>
        </w:rPr>
        <w:lastRenderedPageBreak/>
        <w:br/>
      </w:r>
      <w:r w:rsidR="00C74D02" w:rsidRPr="0054514F">
        <w:rPr>
          <w:rFonts w:cs="Arial"/>
        </w:rPr>
        <w:t>The above pilot projects were priced in 2009 and 2013, respectively. Forward pricing for storage systems delivered in 2018 is significantly lower due to substantial market expansion and increased competition in both the battery and balance</w:t>
      </w:r>
      <w:r w:rsidR="00444A0E">
        <w:rPr>
          <w:rFonts w:cs="Arial"/>
        </w:rPr>
        <w:t>-</w:t>
      </w:r>
      <w:r w:rsidR="00C74D02" w:rsidRPr="0054514F">
        <w:rPr>
          <w:rFonts w:cs="Arial"/>
        </w:rPr>
        <w:t>of</w:t>
      </w:r>
      <w:r w:rsidR="00444A0E">
        <w:rPr>
          <w:rFonts w:cs="Arial"/>
        </w:rPr>
        <w:t>-</w:t>
      </w:r>
      <w:r w:rsidR="00C74D02" w:rsidRPr="0054514F">
        <w:rPr>
          <w:rFonts w:cs="Arial"/>
        </w:rPr>
        <w:t>systems marketplace. For these reasons, direct cost comparisons between these pilots and the larger-scale 80 MW deployment modeled here have only limited usefulness. They are instructive, however, in terms of showing a cost ceiling.</w:t>
      </w:r>
    </w:p>
    <w:p w:rsidR="00C74D02" w:rsidRPr="0054514F" w:rsidRDefault="00C74D02" w:rsidP="00C74D02">
      <w:pPr>
        <w:pStyle w:val="IRPsanstext"/>
        <w:rPr>
          <w:rFonts w:cs="Arial"/>
        </w:rPr>
      </w:pPr>
    </w:p>
    <w:p w:rsidR="00C74D02" w:rsidRPr="005F6D48" w:rsidRDefault="00A570C1" w:rsidP="00C74D02">
      <w:pPr>
        <w:pStyle w:val="IRPsanstext"/>
      </w:pPr>
      <w:r w:rsidRPr="00A570C1">
        <w:rPr>
          <w:b/>
          <w:color w:val="156570"/>
          <w:sz w:val="28"/>
          <w:szCs w:val="28"/>
        </w:rPr>
        <w:t>Battery Cell Costs.</w:t>
      </w:r>
      <w:r>
        <w:t xml:space="preserve"> The </w:t>
      </w:r>
      <w:r w:rsidR="00C74D02" w:rsidRPr="005F6D48">
        <w:t>majority of publicly available price research focuses on battery cell costs, especially lithium-ion, because of its widespread use in the electric vehicle market and the transparency of that pricing. Brattle Group, Bloomberg New Energy Finance, Morgan Stanley, CITI Research and Navigant Research all project lithium-ion prices will decrease significantly over the next few years. Price estimates for 201</w:t>
      </w:r>
      <w:r w:rsidR="00233794" w:rsidRPr="005F6D48">
        <w:t>4 ranged from $350 to $700 per k</w:t>
      </w:r>
      <w:r w:rsidR="00C74D02" w:rsidRPr="005F6D48">
        <w:t>Wh. Combining and averaging these sources into one analysis, IBM Research - Australia estimated the current price</w:t>
      </w:r>
      <w:r w:rsidR="00233794" w:rsidRPr="005F6D48">
        <w:t xml:space="preserve"> at approximately $600 per k</w:t>
      </w:r>
      <w:r w:rsidR="00C74D02" w:rsidRPr="005F6D48">
        <w:t>Wh. This is supported by a December 2014 report from UBS. When IBM Research examined future cost projections in the 2015–2020 timeframe, they</w:t>
      </w:r>
      <w:r w:rsidR="00233794" w:rsidRPr="005F6D48">
        <w:t xml:space="preserve"> estimated a range of $200 per kWh to $354 per k</w:t>
      </w:r>
      <w:r w:rsidR="00C74D02" w:rsidRPr="005F6D48">
        <w:t xml:space="preserve">Wh. Many of the studies averaged were from 2011 and 2012, so they do not reflect the cost reductions experienced in the last few years. In 2014, Tesla estimated its battery cell </w:t>
      </w:r>
      <w:r w:rsidR="00233794" w:rsidRPr="005F6D48">
        <w:t>costs in the $200 to $300 per k</w:t>
      </w:r>
      <w:r w:rsidR="00C74D02" w:rsidRPr="005F6D48">
        <w:t xml:space="preserve">Wh range. </w:t>
      </w:r>
    </w:p>
    <w:p w:rsidR="00C74D02" w:rsidRPr="005F6D48" w:rsidRDefault="00C74D02" w:rsidP="00C74D02">
      <w:pPr>
        <w:pStyle w:val="IRPsanstext"/>
      </w:pPr>
    </w:p>
    <w:p w:rsidR="00C74D02" w:rsidRPr="005F6D48" w:rsidRDefault="00C74D02" w:rsidP="00C74D02">
      <w:pPr>
        <w:pStyle w:val="IRPsanstext"/>
      </w:pPr>
      <w:r w:rsidRPr="005F6D48">
        <w:t>Based on conversations with an experienced storage resource developer, PSE combined cell cost, battery management system and enclosure costs because these components generally scale with</w:t>
      </w:r>
      <w:r w:rsidR="00233794" w:rsidRPr="005F6D48">
        <w:t xml:space="preserve"> the amount of energy storage (k</w:t>
      </w:r>
      <w:r w:rsidRPr="005F6D48">
        <w:t xml:space="preserve">Wh).  </w:t>
      </w:r>
      <w:r w:rsidR="00233794" w:rsidRPr="005F6D48">
        <w:t>Estimates ranged from $390 per kWh to $380 per k</w:t>
      </w:r>
      <w:r w:rsidRPr="005F6D48">
        <w:t>Wh for the 80 MW system, reflecting economies of scale and buying power for the larger system. Given the general trend towards declining prices and the economies of scale that can be obtained with large systems, we believe these cost estimates to be reasonable.</w:t>
      </w:r>
    </w:p>
    <w:p w:rsidR="00C74D02" w:rsidRPr="005F6D48" w:rsidRDefault="00C74D02" w:rsidP="00C74D02">
      <w:pPr>
        <w:pStyle w:val="IRPsanstext"/>
        <w:rPr>
          <w:b/>
          <w:color w:val="3366FF"/>
          <w:sz w:val="28"/>
        </w:rPr>
      </w:pPr>
    </w:p>
    <w:p w:rsidR="00CA3E66" w:rsidRPr="005F6D48" w:rsidRDefault="00C74D02" w:rsidP="00C74D02">
      <w:pPr>
        <w:pStyle w:val="IRPsanstext"/>
        <w:rPr>
          <w:rFonts w:cs="Arial"/>
        </w:rPr>
      </w:pPr>
      <w:r w:rsidRPr="005F6D48">
        <w:rPr>
          <w:b/>
          <w:color w:val="156570"/>
          <w:sz w:val="28"/>
        </w:rPr>
        <w:t>Balance of Systems and Construction Costs.</w:t>
      </w:r>
      <w:r w:rsidRPr="005F6D48">
        <w:rPr>
          <w:b/>
          <w:color w:val="3366FF"/>
          <w:sz w:val="28"/>
        </w:rPr>
        <w:t xml:space="preserve"> </w:t>
      </w:r>
      <w:r w:rsidRPr="005F6D48">
        <w:rPr>
          <w:rFonts w:cs="Arial"/>
        </w:rPr>
        <w:t xml:space="preserve">Grid-interconnected batteries require many components in addition to battery cells. Known as balance-of-system (BOS) components, these include power electronics (inverters), control modules, enclosures, interconnection studies and facilities, permitting, installation materials and labor, and contingencies. The Rocky Mountain Institute (RMI) estimates that BOS represents 63 percent of the </w:t>
      </w:r>
      <w:r w:rsidR="00233794" w:rsidRPr="005F6D48">
        <w:rPr>
          <w:rFonts w:cs="Arial"/>
        </w:rPr>
        <w:t>total installed cost for a 200 kW/200 k</w:t>
      </w:r>
      <w:r w:rsidRPr="005F6D48">
        <w:rPr>
          <w:rFonts w:cs="Arial"/>
        </w:rPr>
        <w:t xml:space="preserve">Wh commercial energy storage system, and 74 percent for a residential system. </w:t>
      </w:r>
    </w:p>
    <w:p w:rsidR="00CA3E66" w:rsidRPr="005F6D48" w:rsidRDefault="00CA3E66" w:rsidP="00C74D02">
      <w:pPr>
        <w:pStyle w:val="IRPsanstext"/>
        <w:rPr>
          <w:rFonts w:cs="Arial"/>
        </w:rPr>
      </w:pPr>
    </w:p>
    <w:p w:rsidR="00C74D02" w:rsidRPr="005F6D48" w:rsidRDefault="00CA3E66" w:rsidP="00CA3E66">
      <w:pPr>
        <w:rPr>
          <w:rFonts w:ascii="Arial" w:hAnsi="Arial" w:cs="Arial"/>
        </w:rPr>
      </w:pPr>
      <w:r w:rsidRPr="005F6D48">
        <w:rPr>
          <w:rFonts w:cs="Arial"/>
        </w:rPr>
        <w:br w:type="page"/>
      </w:r>
    </w:p>
    <w:p w:rsidR="00C74D02" w:rsidRPr="005F6D48" w:rsidRDefault="00C74D02" w:rsidP="00C74D02">
      <w:pPr>
        <w:pStyle w:val="IRPsanstext"/>
        <w:rPr>
          <w:rFonts w:cs="Arial"/>
        </w:rPr>
      </w:pPr>
    </w:p>
    <w:p w:rsidR="00C74D02" w:rsidRPr="0054514F" w:rsidRDefault="00C74D02" w:rsidP="00C74D02">
      <w:pPr>
        <w:pStyle w:val="IRPsanstext"/>
        <w:rPr>
          <w:rFonts w:cs="Arial"/>
        </w:rPr>
      </w:pPr>
      <w:r w:rsidRPr="005F6D48">
        <w:rPr>
          <w:rFonts w:cs="Arial"/>
        </w:rPr>
        <w:t>The largest BOS costs are associated with power electronics; this includes the inverter/power conditioning system (PCS) and control module/battery management system (BMS). UBS analysts estimate BOS costs</w:t>
      </w:r>
      <w:r w:rsidR="00233794" w:rsidRPr="005F6D48">
        <w:rPr>
          <w:rFonts w:cs="Arial"/>
        </w:rPr>
        <w:t xml:space="preserve"> to be in the $400 to $500 per k</w:t>
      </w:r>
      <w:r w:rsidRPr="005F6D48">
        <w:rPr>
          <w:rFonts w:cs="Arial"/>
        </w:rPr>
        <w:t xml:space="preserve">Wh range for large-scale systems.  Our discussions with vendors suggest that BOS is better </w:t>
      </w:r>
      <w:r w:rsidR="00233794" w:rsidRPr="005F6D48">
        <w:rPr>
          <w:rFonts w:cs="Arial"/>
        </w:rPr>
        <w:t>evaluated on a cost per power (kW) basis rather than k</w:t>
      </w:r>
      <w:r w:rsidRPr="005F6D48">
        <w:rPr>
          <w:rFonts w:cs="Arial"/>
        </w:rPr>
        <w:t>Wh.</w:t>
      </w:r>
    </w:p>
    <w:p w:rsidR="00C74D02" w:rsidRPr="0054514F" w:rsidRDefault="00C74D02" w:rsidP="00C74D02">
      <w:pPr>
        <w:pStyle w:val="IRPsanstext"/>
        <w:rPr>
          <w:rFonts w:cs="Arial"/>
        </w:rPr>
      </w:pPr>
    </w:p>
    <w:p w:rsidR="00C74D02" w:rsidRDefault="00C74D02" w:rsidP="00C74D02">
      <w:pPr>
        <w:pStyle w:val="IRPsanstext"/>
        <w:rPr>
          <w:rFonts w:asciiTheme="majorHAnsi" w:hAnsiTheme="majorHAnsi" w:hint="eastAsia"/>
        </w:rPr>
      </w:pPr>
      <w:r w:rsidRPr="0054514F">
        <w:rPr>
          <w:rFonts w:cs="Arial"/>
        </w:rPr>
        <w:t xml:space="preserve">For this </w:t>
      </w:r>
      <w:r w:rsidR="00233794">
        <w:rPr>
          <w:rFonts w:cs="Arial"/>
        </w:rPr>
        <w:t>analysis, PSE assumes $195 per k</w:t>
      </w:r>
      <w:r w:rsidRPr="0054514F">
        <w:rPr>
          <w:rFonts w:cs="Arial"/>
        </w:rPr>
        <w:t>W for the 80 MW system</w:t>
      </w:r>
      <w:r w:rsidR="00F34F92">
        <w:rPr>
          <w:rFonts w:cs="Arial"/>
        </w:rPr>
        <w:t>.</w:t>
      </w:r>
      <w:r w:rsidRPr="00D56DB1">
        <w:rPr>
          <w:rFonts w:cs="Arial"/>
        </w:rPr>
        <w:t xml:space="preserve"> </w:t>
      </w:r>
      <w:r w:rsidRPr="0081500F">
        <w:rPr>
          <w:rFonts w:cs="Arial"/>
        </w:rPr>
        <w:t>In addition to BOS and cell cost, PSE assumes a construction cost of 10 percent to 15 percent of the combined cell and BOS cost.</w:t>
      </w:r>
      <w:r w:rsidRPr="00606B56">
        <w:rPr>
          <w:rFonts w:asciiTheme="majorHAnsi" w:hAnsiTheme="majorHAnsi"/>
        </w:rPr>
        <w:t xml:space="preserve"> </w:t>
      </w:r>
    </w:p>
    <w:p w:rsidR="00C74D02" w:rsidRDefault="00C74D02" w:rsidP="00C74D02">
      <w:pPr>
        <w:pStyle w:val="IRPsanstext"/>
      </w:pPr>
    </w:p>
    <w:p w:rsidR="00C74D02" w:rsidRPr="0054514F" w:rsidRDefault="00E33B33" w:rsidP="00C74D02">
      <w:pPr>
        <w:pStyle w:val="IRPsanstext"/>
        <w:rPr>
          <w:rFonts w:cs="Arial"/>
        </w:rPr>
      </w:pPr>
      <w:r w:rsidRPr="00E33B33">
        <w:rPr>
          <w:b/>
          <w:color w:val="156570"/>
          <w:sz w:val="28"/>
        </w:rPr>
        <w:t>Land, Permitting and Interconnection.</w:t>
      </w:r>
      <w:r w:rsidRPr="00E33B33">
        <w:rPr>
          <w:b/>
          <w:color w:val="3366FF"/>
          <w:sz w:val="28"/>
        </w:rPr>
        <w:t xml:space="preserve"> </w:t>
      </w:r>
      <w:r w:rsidRPr="00E33B33">
        <w:rPr>
          <w:rFonts w:cs="Arial"/>
        </w:rPr>
        <w:t xml:space="preserve">Many project costs, such as interconnection facilities, step-up transformers, transformer installation, switchgear, IT and communications, land and permitting, are utility- and site-specific; in a contracting agreement these constitute “owner’s costs.”  </w:t>
      </w:r>
    </w:p>
    <w:p w:rsidR="00C74D02" w:rsidRDefault="00C74D02" w:rsidP="00C74D02">
      <w:pPr>
        <w:pStyle w:val="IRPsanstext"/>
      </w:pPr>
      <w:r>
        <w:tab/>
      </w:r>
    </w:p>
    <w:p w:rsidR="0054514F" w:rsidRDefault="0054514F">
      <w:pPr>
        <w:rPr>
          <w:rFonts w:ascii="Arial" w:hAnsi="Arial"/>
          <w:b/>
          <w:color w:val="156570"/>
          <w:sz w:val="28"/>
        </w:rPr>
      </w:pPr>
      <w:r>
        <w:rPr>
          <w:b/>
          <w:color w:val="156570"/>
          <w:sz w:val="28"/>
        </w:rPr>
        <w:br w:type="page"/>
      </w:r>
    </w:p>
    <w:p w:rsidR="0054514F" w:rsidRDefault="0054514F" w:rsidP="00C74D02">
      <w:pPr>
        <w:pStyle w:val="IRPsanstext"/>
        <w:rPr>
          <w:b/>
          <w:color w:val="156570"/>
          <w:sz w:val="28"/>
        </w:rPr>
      </w:pPr>
    </w:p>
    <w:p w:rsidR="00C74D02" w:rsidRPr="00670EED" w:rsidRDefault="00C74D02" w:rsidP="00C74D02">
      <w:pPr>
        <w:pStyle w:val="IRPsanstext"/>
        <w:rPr>
          <w:sz w:val="32"/>
          <w:szCs w:val="32"/>
        </w:rPr>
      </w:pPr>
      <w:r w:rsidRPr="00670EED">
        <w:rPr>
          <w:sz w:val="32"/>
          <w:szCs w:val="32"/>
        </w:rPr>
        <w:t xml:space="preserve">Battery System Cost Assumption Summary </w:t>
      </w:r>
    </w:p>
    <w:p w:rsidR="00CD4BC3" w:rsidRDefault="00CD4BC3" w:rsidP="00C74D02">
      <w:pPr>
        <w:pStyle w:val="IRPsanstext"/>
        <w:rPr>
          <w:rFonts w:cs="Arial"/>
        </w:rPr>
      </w:pPr>
    </w:p>
    <w:p w:rsidR="00C74D02" w:rsidRPr="007C326F" w:rsidRDefault="00C74D02" w:rsidP="00C74D02">
      <w:pPr>
        <w:pStyle w:val="IRPsanstext"/>
        <w:rPr>
          <w:rFonts w:cs="Arial"/>
        </w:rPr>
      </w:pPr>
      <w:r w:rsidRPr="007C326F">
        <w:rPr>
          <w:rFonts w:cs="Arial"/>
        </w:rPr>
        <w:t>A reasonably good cost comparable to the generic battery peaker storage configurations above is the 100 MW/400 MWh system that Southern California Edison recently contracted for with AES Energy Storage in its LCR procurement. UBS estimates this project to cost roughly $1,500 per</w:t>
      </w:r>
      <w:r w:rsidR="00233794">
        <w:rPr>
          <w:rFonts w:cs="Arial"/>
        </w:rPr>
        <w:t xml:space="preserve"> kW (implying $375 per k</w:t>
      </w:r>
      <w:r w:rsidRPr="007C326F">
        <w:rPr>
          <w:rFonts w:cs="Arial"/>
        </w:rPr>
        <w:t>Wh). Because the project will be installed at an existing, permitted thermal plant, the land, permitting and interconnection costs likely constitute a relatively small portion the total cost, so we believe the majority of this total system cost comes from batteries and BOS.</w:t>
      </w:r>
    </w:p>
    <w:p w:rsidR="00C74D02" w:rsidRPr="007C326F" w:rsidRDefault="00C74D02" w:rsidP="00C74D02">
      <w:pPr>
        <w:pStyle w:val="IRPsanstext"/>
        <w:rPr>
          <w:rFonts w:cs="Arial"/>
        </w:rPr>
      </w:pPr>
    </w:p>
    <w:p w:rsidR="00C74D02" w:rsidRPr="007C326F" w:rsidRDefault="00C74D02" w:rsidP="00C74D02">
      <w:pPr>
        <w:pStyle w:val="IRPsanstext"/>
        <w:rPr>
          <w:rFonts w:cs="Arial"/>
        </w:rPr>
      </w:pPr>
      <w:r w:rsidRPr="007C326F">
        <w:rPr>
          <w:rFonts w:cs="Arial"/>
        </w:rPr>
        <w:t>PSE assumptions result in a total estim</w:t>
      </w:r>
      <w:r w:rsidR="00233794">
        <w:rPr>
          <w:rFonts w:cs="Arial"/>
        </w:rPr>
        <w:t>ated system cost of $</w:t>
      </w:r>
      <w:r w:rsidR="0070474B">
        <w:rPr>
          <w:rFonts w:cs="Arial"/>
        </w:rPr>
        <w:t xml:space="preserve">1,498 </w:t>
      </w:r>
      <w:r w:rsidR="00233794">
        <w:rPr>
          <w:rFonts w:cs="Arial"/>
        </w:rPr>
        <w:t xml:space="preserve">per kW </w:t>
      </w:r>
      <w:r w:rsidRPr="007C326F">
        <w:rPr>
          <w:rFonts w:cs="Arial"/>
        </w:rPr>
        <w:t>for</w:t>
      </w:r>
      <w:r w:rsidR="00233794">
        <w:rPr>
          <w:rFonts w:cs="Arial"/>
        </w:rPr>
        <w:t xml:space="preserve"> the </w:t>
      </w:r>
      <w:r w:rsidRPr="007C326F">
        <w:rPr>
          <w:rFonts w:cs="Arial"/>
        </w:rPr>
        <w:t>80 MW unit. This compares reasonably with the estimated cost for the AES-SCE project described in the</w:t>
      </w:r>
      <w:r w:rsidR="00233794">
        <w:rPr>
          <w:rFonts w:cs="Arial"/>
        </w:rPr>
        <w:t xml:space="preserve"> paragraph above. The cost per k</w:t>
      </w:r>
      <w:r w:rsidRPr="007C326F">
        <w:rPr>
          <w:rFonts w:cs="Arial"/>
        </w:rPr>
        <w:t xml:space="preserve">Wh </w:t>
      </w:r>
      <w:r w:rsidR="00D56DB1">
        <w:rPr>
          <w:rFonts w:cs="Arial"/>
        </w:rPr>
        <w:t>is</w:t>
      </w:r>
      <w:r w:rsidR="00D56DB1" w:rsidRPr="007C326F">
        <w:rPr>
          <w:rFonts w:cs="Arial"/>
        </w:rPr>
        <w:t xml:space="preserve"> </w:t>
      </w:r>
      <w:r w:rsidRPr="007C326F">
        <w:rPr>
          <w:rFonts w:cs="Arial"/>
        </w:rPr>
        <w:t xml:space="preserve">substantially higher for the PSE generic than the SCE project because the SCE project has a 4-hour duration and the PSE generic has a 2-hour duration. </w:t>
      </w:r>
    </w:p>
    <w:p w:rsidR="00C74D02" w:rsidRPr="002B6AED" w:rsidRDefault="00C74D02" w:rsidP="00C74D02">
      <w:pPr>
        <w:pStyle w:val="IRPsanstext"/>
        <w:rPr>
          <w:rFonts w:asciiTheme="majorHAnsi" w:hAnsiTheme="majorHAnsi" w:hint="eastAsia"/>
          <w:color w:val="3366FF"/>
        </w:rPr>
      </w:pPr>
    </w:p>
    <w:p w:rsidR="00C74D02" w:rsidRPr="007C326F" w:rsidRDefault="00C74D02" w:rsidP="00C74D02">
      <w:pPr>
        <w:pStyle w:val="IRPsanstext"/>
        <w:rPr>
          <w:rFonts w:cs="Arial"/>
        </w:rPr>
      </w:pPr>
      <w:r w:rsidRPr="007C326F">
        <w:rPr>
          <w:rFonts w:cs="Arial"/>
          <w:b/>
          <w:color w:val="156570"/>
          <w:sz w:val="28"/>
        </w:rPr>
        <w:t>Pumped Hydro Cost Assumptions.</w:t>
      </w:r>
      <w:r w:rsidRPr="007C326F">
        <w:rPr>
          <w:rFonts w:cs="Arial"/>
        </w:rPr>
        <w:t xml:space="preserve"> Pumped hydro costs are difficult to generalize because they depend so heavily on facility configuration and site-specific costs. For this analysis we use estimates from the March 2014 report “Capital Cost Review of Power Generation Technologies” Prepared by Energy + Environmental Economics (E3) for the Western Electric Coordinating Cou</w:t>
      </w:r>
      <w:r w:rsidR="00233794">
        <w:rPr>
          <w:rFonts w:cs="Arial"/>
        </w:rPr>
        <w:t>ncil, which assumed $2,400 per kW for capex and $15 per k</w:t>
      </w:r>
      <w:r w:rsidRPr="007C326F">
        <w:rPr>
          <w:rFonts w:cs="Arial"/>
        </w:rPr>
        <w:t xml:space="preserve">W per year for fixed operations and maintenance for a facility in the </w:t>
      </w:r>
      <w:r w:rsidR="00444A0E">
        <w:rPr>
          <w:rFonts w:cs="Arial"/>
        </w:rPr>
        <w:t>W</w:t>
      </w:r>
      <w:r w:rsidRPr="007C326F">
        <w:rPr>
          <w:rFonts w:cs="Arial"/>
        </w:rPr>
        <w:t xml:space="preserve">est that </w:t>
      </w:r>
      <w:r w:rsidR="00245EDA">
        <w:rPr>
          <w:rFonts w:cs="Arial"/>
        </w:rPr>
        <w:t xml:space="preserve">equals or </w:t>
      </w:r>
      <w:r w:rsidRPr="007C326F">
        <w:rPr>
          <w:rFonts w:cs="Arial"/>
        </w:rPr>
        <w:t xml:space="preserve">exceeds </w:t>
      </w:r>
      <w:r w:rsidR="00F42452">
        <w:rPr>
          <w:rFonts w:cs="Arial"/>
        </w:rPr>
        <w:t xml:space="preserve"> </w:t>
      </w:r>
      <w:r w:rsidRPr="007C326F">
        <w:rPr>
          <w:rFonts w:cs="Arial"/>
        </w:rPr>
        <w:t>250 MW.</w:t>
      </w:r>
    </w:p>
    <w:p w:rsidR="00C74D02" w:rsidRPr="007C326F" w:rsidRDefault="00C74D02" w:rsidP="00C74D02">
      <w:pPr>
        <w:pStyle w:val="IRPsanstext"/>
        <w:rPr>
          <w:rFonts w:cs="Arial"/>
        </w:rPr>
      </w:pPr>
      <w:r w:rsidRPr="007C326F">
        <w:rPr>
          <w:rFonts w:cs="Arial"/>
        </w:rPr>
        <w:t xml:space="preserve"> </w:t>
      </w:r>
    </w:p>
    <w:p w:rsidR="00C11478" w:rsidRDefault="00C11478">
      <w:pPr>
        <w:rPr>
          <w:rFonts w:ascii="Arial" w:hAnsi="Arial"/>
          <w:i/>
          <w:szCs w:val="22"/>
        </w:rPr>
      </w:pPr>
      <w:r>
        <w:br w:type="page"/>
      </w:r>
    </w:p>
    <w:p w:rsidR="00F42452" w:rsidRDefault="00F42452" w:rsidP="005A28DC">
      <w:pPr>
        <w:pStyle w:val="IRPsanstext"/>
      </w:pPr>
    </w:p>
    <w:p w:rsidR="00C11478" w:rsidRDefault="00C11478" w:rsidP="00E060C3">
      <w:pPr>
        <w:pStyle w:val="IRPFigureSub"/>
        <w:spacing w:after="120"/>
        <w:ind w:left="86" w:hanging="86"/>
      </w:pPr>
      <w:r>
        <w:t>Figure L-2</w:t>
      </w:r>
      <w:r w:rsidR="00004846">
        <w:t>2</w:t>
      </w:r>
      <w:r>
        <w:t>: Summary of Generic Storage Resource Assumptions</w:t>
      </w:r>
    </w:p>
    <w:tbl>
      <w:tblPr>
        <w:tblW w:w="8505" w:type="dxa"/>
        <w:jc w:val="center"/>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619"/>
        <w:gridCol w:w="1396"/>
        <w:gridCol w:w="44"/>
        <w:gridCol w:w="1936"/>
      </w:tblGrid>
      <w:tr w:rsidR="00A960CB" w:rsidRPr="00084AB5">
        <w:trPr>
          <w:trHeight w:val="288"/>
          <w:tblHeader/>
          <w:jc w:val="center"/>
        </w:trPr>
        <w:tc>
          <w:tcPr>
            <w:tcW w:w="3510" w:type="dxa"/>
            <w:tcBorders>
              <w:bottom w:val="single" w:sz="4" w:space="0" w:color="auto"/>
            </w:tcBorders>
            <w:shd w:val="clear" w:color="auto" w:fill="006A71"/>
            <w:vAlign w:val="center"/>
          </w:tcPr>
          <w:p w:rsidR="00C11478" w:rsidRPr="001A1722" w:rsidRDefault="00C11478" w:rsidP="00E87BB5">
            <w:pPr>
              <w:pStyle w:val="IRPsub1"/>
              <w:rPr>
                <w:b/>
                <w:i w:val="0"/>
                <w:sz w:val="20"/>
                <w:szCs w:val="20"/>
              </w:rPr>
            </w:pPr>
            <w:r w:rsidRPr="001A1722">
              <w:rPr>
                <w:b/>
                <w:i w:val="0"/>
                <w:sz w:val="20"/>
                <w:szCs w:val="20"/>
              </w:rPr>
              <w:t>2014 $</w:t>
            </w:r>
          </w:p>
        </w:tc>
        <w:tc>
          <w:tcPr>
            <w:tcW w:w="1619" w:type="dxa"/>
            <w:tcBorders>
              <w:bottom w:val="single" w:sz="4" w:space="0" w:color="auto"/>
            </w:tcBorders>
            <w:shd w:val="clear" w:color="auto" w:fill="006A71"/>
            <w:vAlign w:val="center"/>
          </w:tcPr>
          <w:p w:rsidR="00C11478" w:rsidRPr="001A1722" w:rsidRDefault="00C11478" w:rsidP="00E87BB5">
            <w:pPr>
              <w:pStyle w:val="IRPsub1"/>
              <w:jc w:val="center"/>
              <w:rPr>
                <w:b/>
                <w:i w:val="0"/>
                <w:sz w:val="20"/>
                <w:szCs w:val="20"/>
              </w:rPr>
            </w:pPr>
            <w:r w:rsidRPr="001A1722">
              <w:rPr>
                <w:b/>
                <w:i w:val="0"/>
                <w:sz w:val="20"/>
                <w:szCs w:val="20"/>
              </w:rPr>
              <w:t>Units</w:t>
            </w:r>
          </w:p>
        </w:tc>
        <w:tc>
          <w:tcPr>
            <w:tcW w:w="1396" w:type="dxa"/>
            <w:tcBorders>
              <w:bottom w:val="single" w:sz="4" w:space="0" w:color="auto"/>
            </w:tcBorders>
            <w:shd w:val="clear" w:color="auto" w:fill="006A71"/>
            <w:vAlign w:val="center"/>
          </w:tcPr>
          <w:p w:rsidR="00C11478" w:rsidRPr="001A1722" w:rsidRDefault="00C11478" w:rsidP="00E87BB5">
            <w:pPr>
              <w:pStyle w:val="IRPsub1"/>
              <w:jc w:val="center"/>
              <w:rPr>
                <w:b/>
                <w:i w:val="0"/>
                <w:sz w:val="20"/>
                <w:szCs w:val="20"/>
              </w:rPr>
            </w:pPr>
            <w:r w:rsidRPr="001A1722">
              <w:rPr>
                <w:b/>
                <w:i w:val="0"/>
                <w:sz w:val="20"/>
                <w:szCs w:val="20"/>
              </w:rPr>
              <w:t>Battery</w:t>
            </w:r>
          </w:p>
        </w:tc>
        <w:tc>
          <w:tcPr>
            <w:tcW w:w="1980" w:type="dxa"/>
            <w:gridSpan w:val="2"/>
            <w:tcBorders>
              <w:bottom w:val="single" w:sz="4" w:space="0" w:color="auto"/>
            </w:tcBorders>
            <w:shd w:val="clear" w:color="auto" w:fill="006A71"/>
            <w:vAlign w:val="center"/>
          </w:tcPr>
          <w:p w:rsidR="00C11478" w:rsidRPr="001A1722" w:rsidRDefault="00C11478" w:rsidP="00E87BB5">
            <w:pPr>
              <w:pStyle w:val="IRPsub1"/>
              <w:jc w:val="center"/>
              <w:rPr>
                <w:b/>
                <w:i w:val="0"/>
                <w:sz w:val="20"/>
                <w:szCs w:val="20"/>
              </w:rPr>
            </w:pPr>
            <w:r w:rsidRPr="001A1722">
              <w:rPr>
                <w:b/>
                <w:i w:val="0"/>
                <w:sz w:val="20"/>
                <w:szCs w:val="20"/>
              </w:rPr>
              <w:t>Pumped Storage Hydro</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Nameplate Capacity</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MW</w:t>
            </w:r>
          </w:p>
        </w:tc>
        <w:tc>
          <w:tcPr>
            <w:tcW w:w="1440" w:type="dxa"/>
            <w:gridSpan w:val="2"/>
            <w:tcBorders>
              <w:bottom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80</w:t>
            </w:r>
          </w:p>
        </w:tc>
        <w:tc>
          <w:tcPr>
            <w:tcW w:w="1936" w:type="dxa"/>
            <w:tcBorders>
              <w:bottom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2</w:t>
            </w:r>
            <w:r w:rsidR="00245EDA" w:rsidRPr="00A960CB">
              <w:rPr>
                <w:i w:val="0"/>
                <w:color w:val="000000" w:themeColor="text1"/>
                <w:sz w:val="20"/>
                <w:szCs w:val="20"/>
              </w:rPr>
              <w:t>00*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Winter Capacity</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MW</w:t>
            </w:r>
          </w:p>
        </w:tc>
        <w:tc>
          <w:tcPr>
            <w:tcW w:w="1440" w:type="dxa"/>
            <w:gridSpan w:val="2"/>
            <w:tcBorders>
              <w:bottom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80</w:t>
            </w:r>
          </w:p>
        </w:tc>
        <w:tc>
          <w:tcPr>
            <w:tcW w:w="1936" w:type="dxa"/>
            <w:tcBorders>
              <w:bottom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2</w:t>
            </w:r>
            <w:r w:rsidR="00245EDA" w:rsidRPr="00A960CB">
              <w:rPr>
                <w:i w:val="0"/>
                <w:color w:val="000000" w:themeColor="text1"/>
                <w:sz w:val="20"/>
                <w:szCs w:val="20"/>
              </w:rPr>
              <w:t>0</w:t>
            </w:r>
            <w:r w:rsidRPr="00A960CB">
              <w:rPr>
                <w:i w:val="0"/>
                <w:color w:val="000000" w:themeColor="text1"/>
                <w:sz w:val="20"/>
                <w:szCs w:val="20"/>
              </w:rPr>
              <w:t>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Capital Cost</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$/kW</w:t>
            </w:r>
          </w:p>
        </w:tc>
        <w:tc>
          <w:tcPr>
            <w:tcW w:w="1440" w:type="dxa"/>
            <w:gridSpan w:val="2"/>
            <w:tcBorders>
              <w:top w:val="single" w:sz="4" w:space="0" w:color="auto"/>
              <w:bottom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$1,498</w:t>
            </w:r>
          </w:p>
        </w:tc>
        <w:tc>
          <w:tcPr>
            <w:tcW w:w="1936" w:type="dxa"/>
            <w:tcBorders>
              <w:top w:val="single" w:sz="4" w:space="0" w:color="auto"/>
              <w:bottom w:val="single" w:sz="4" w:space="0" w:color="auto"/>
            </w:tcBorders>
            <w:vAlign w:val="center"/>
          </w:tcPr>
          <w:p w:rsidR="00C11478" w:rsidRPr="00A960CB" w:rsidRDefault="00C11478" w:rsidP="00C11478">
            <w:pPr>
              <w:pStyle w:val="IRPsub1"/>
              <w:jc w:val="center"/>
              <w:rPr>
                <w:i w:val="0"/>
                <w:color w:val="000000" w:themeColor="text1"/>
                <w:sz w:val="20"/>
                <w:szCs w:val="20"/>
              </w:rPr>
            </w:pPr>
            <w:r w:rsidRPr="00A960CB">
              <w:rPr>
                <w:i w:val="0"/>
                <w:color w:val="000000" w:themeColor="text1"/>
                <w:sz w:val="20"/>
                <w:szCs w:val="20"/>
              </w:rPr>
              <w:t>$2,400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O&amp;M Fixed</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$/kW-yr</w:t>
            </w:r>
          </w:p>
        </w:tc>
        <w:tc>
          <w:tcPr>
            <w:tcW w:w="1440" w:type="dxa"/>
            <w:gridSpan w:val="2"/>
            <w:tcBorders>
              <w:bottom w:val="single" w:sz="4" w:space="0" w:color="auto"/>
            </w:tcBorders>
            <w:shd w:val="clear" w:color="auto" w:fill="auto"/>
            <w:vAlign w:val="center"/>
          </w:tcPr>
          <w:p w:rsidR="00C11478" w:rsidRPr="00A960CB" w:rsidRDefault="00C11478" w:rsidP="00C11478">
            <w:pPr>
              <w:pStyle w:val="IRPsub1"/>
              <w:jc w:val="center"/>
              <w:rPr>
                <w:i w:val="0"/>
                <w:color w:val="000000" w:themeColor="text1"/>
                <w:sz w:val="20"/>
                <w:szCs w:val="20"/>
              </w:rPr>
            </w:pPr>
            <w:r w:rsidRPr="00A960CB">
              <w:rPr>
                <w:i w:val="0"/>
                <w:color w:val="000000" w:themeColor="text1"/>
                <w:sz w:val="20"/>
                <w:szCs w:val="20"/>
              </w:rPr>
              <w:t>$7.71</w:t>
            </w:r>
          </w:p>
        </w:tc>
        <w:tc>
          <w:tcPr>
            <w:tcW w:w="1936" w:type="dxa"/>
            <w:shd w:val="clear" w:color="auto" w:fill="auto"/>
            <w:vAlign w:val="center"/>
          </w:tcPr>
          <w:p w:rsidR="00C11478" w:rsidRPr="00A960CB" w:rsidRDefault="00C11478" w:rsidP="00C11478">
            <w:pPr>
              <w:pStyle w:val="IRPsub1"/>
              <w:jc w:val="center"/>
              <w:rPr>
                <w:i w:val="0"/>
                <w:color w:val="000000" w:themeColor="text1"/>
                <w:sz w:val="20"/>
                <w:szCs w:val="20"/>
              </w:rPr>
            </w:pPr>
            <w:r w:rsidRPr="00A960CB">
              <w:rPr>
                <w:i w:val="0"/>
                <w:color w:val="000000" w:themeColor="text1"/>
                <w:sz w:val="20"/>
                <w:szCs w:val="20"/>
              </w:rPr>
              <w:t>$15.00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O&amp;M Variable</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$/MWh</w:t>
            </w:r>
          </w:p>
        </w:tc>
        <w:tc>
          <w:tcPr>
            <w:tcW w:w="1440" w:type="dxa"/>
            <w:gridSpan w:val="2"/>
            <w:tcBorders>
              <w:top w:val="single" w:sz="4" w:space="0" w:color="auto"/>
              <w:left w:val="single" w:sz="4" w:space="0" w:color="auto"/>
              <w:bottom w:val="single" w:sz="2" w:space="0" w:color="auto"/>
              <w:right w:val="single" w:sz="4" w:space="0" w:color="auto"/>
            </w:tcBorders>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$0.00</w:t>
            </w:r>
          </w:p>
        </w:tc>
        <w:tc>
          <w:tcPr>
            <w:tcW w:w="1936" w:type="dxa"/>
            <w:tcBorders>
              <w:left w:val="single" w:sz="4" w:space="0" w:color="auto"/>
              <w:bottom w:val="single" w:sz="2" w:space="0" w:color="auto"/>
              <w:right w:val="single" w:sz="4" w:space="0" w:color="auto"/>
            </w:tcBorders>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$0.00</w:t>
            </w:r>
          </w:p>
        </w:tc>
      </w:tr>
      <w:tr w:rsidR="00A960CB" w:rsidRPr="00E87BB5">
        <w:trPr>
          <w:trHeight w:val="288"/>
          <w:jc w:val="center"/>
        </w:trPr>
        <w:tc>
          <w:tcPr>
            <w:tcW w:w="3510" w:type="dxa"/>
            <w:shd w:val="clear" w:color="auto" w:fill="D6CFCD"/>
            <w:vAlign w:val="center"/>
          </w:tcPr>
          <w:p w:rsidR="00004846" w:rsidRPr="00A960CB" w:rsidRDefault="00004846" w:rsidP="00E87BB5">
            <w:pPr>
              <w:pStyle w:val="IRPsub1"/>
              <w:rPr>
                <w:i w:val="0"/>
                <w:color w:val="000000" w:themeColor="text1"/>
                <w:sz w:val="20"/>
                <w:szCs w:val="20"/>
              </w:rPr>
            </w:pPr>
            <w:r w:rsidRPr="00A960CB">
              <w:rPr>
                <w:i w:val="0"/>
                <w:color w:val="000000" w:themeColor="text1"/>
                <w:sz w:val="20"/>
                <w:szCs w:val="20"/>
              </w:rPr>
              <w:t>Capacity Factor</w:t>
            </w:r>
          </w:p>
        </w:tc>
        <w:tc>
          <w:tcPr>
            <w:tcW w:w="1619" w:type="dxa"/>
            <w:shd w:val="clear" w:color="auto" w:fill="D6CFCD"/>
            <w:vAlign w:val="center"/>
          </w:tcPr>
          <w:p w:rsidR="00004846" w:rsidRPr="00A960CB" w:rsidRDefault="00004846" w:rsidP="00E87BB5">
            <w:pPr>
              <w:pStyle w:val="IRPsub1"/>
              <w:jc w:val="center"/>
              <w:rPr>
                <w:i w:val="0"/>
                <w:color w:val="000000" w:themeColor="text1"/>
                <w:sz w:val="20"/>
                <w:szCs w:val="20"/>
              </w:rPr>
            </w:pPr>
            <w:r w:rsidRPr="00A960CB">
              <w:rPr>
                <w:i w:val="0"/>
                <w:color w:val="000000" w:themeColor="text1"/>
                <w:sz w:val="20"/>
                <w:szCs w:val="20"/>
              </w:rPr>
              <w:t>%</w:t>
            </w:r>
          </w:p>
        </w:tc>
        <w:tc>
          <w:tcPr>
            <w:tcW w:w="1440" w:type="dxa"/>
            <w:gridSpan w:val="2"/>
            <w:tcBorders>
              <w:top w:val="single" w:sz="2" w:space="0" w:color="auto"/>
              <w:left w:val="single" w:sz="2" w:space="0" w:color="auto"/>
              <w:bottom w:val="single" w:sz="2" w:space="0" w:color="auto"/>
              <w:right w:val="nil"/>
            </w:tcBorders>
            <w:shd w:val="clear" w:color="auto" w:fill="808080"/>
            <w:vAlign w:val="center"/>
          </w:tcPr>
          <w:p w:rsidR="00004846" w:rsidRPr="00A960CB" w:rsidRDefault="00004846" w:rsidP="00E87BB5">
            <w:pPr>
              <w:pStyle w:val="IRPsub1"/>
              <w:jc w:val="center"/>
              <w:rPr>
                <w:i w:val="0"/>
                <w:color w:val="000000" w:themeColor="text1"/>
                <w:sz w:val="20"/>
                <w:szCs w:val="20"/>
              </w:rPr>
            </w:pPr>
          </w:p>
        </w:tc>
        <w:tc>
          <w:tcPr>
            <w:tcW w:w="1936" w:type="dxa"/>
            <w:tcBorders>
              <w:top w:val="single" w:sz="2" w:space="0" w:color="auto"/>
              <w:left w:val="nil"/>
              <w:bottom w:val="single" w:sz="2" w:space="0" w:color="auto"/>
              <w:right w:val="single" w:sz="2" w:space="0" w:color="auto"/>
            </w:tcBorders>
            <w:shd w:val="clear" w:color="auto" w:fill="808080"/>
            <w:vAlign w:val="center"/>
          </w:tcPr>
          <w:p w:rsidR="00004846" w:rsidRPr="00A960CB" w:rsidRDefault="00004846" w:rsidP="00E87BB5">
            <w:pPr>
              <w:pStyle w:val="IRPsub1"/>
              <w:jc w:val="center"/>
              <w:rPr>
                <w:i w:val="0"/>
                <w:color w:val="000000" w:themeColor="text1"/>
                <w:sz w:val="20"/>
                <w:szCs w:val="20"/>
              </w:rPr>
            </w:pP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Capacity Credit</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100%</w:t>
            </w:r>
          </w:p>
        </w:tc>
        <w:tc>
          <w:tcPr>
            <w:tcW w:w="1936" w:type="dxa"/>
            <w:tcBorders>
              <w:top w:val="single" w:sz="4" w:space="0" w:color="auto"/>
              <w:left w:val="single" w:sz="4" w:space="0" w:color="auto"/>
              <w:bottom w:val="single" w:sz="4" w:space="0" w:color="auto"/>
            </w:tcBorders>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100%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Total Hours Discharge</w:t>
            </w:r>
          </w:p>
        </w:tc>
        <w:tc>
          <w:tcPr>
            <w:tcW w:w="1619" w:type="dxa"/>
            <w:tcBorders>
              <w:right w:val="single" w:sz="2" w:space="0" w:color="auto"/>
            </w:tcBorders>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Hours</w:t>
            </w:r>
          </w:p>
        </w:tc>
        <w:tc>
          <w:tcPr>
            <w:tcW w:w="1440" w:type="dxa"/>
            <w:gridSpan w:val="2"/>
            <w:tcBorders>
              <w:top w:val="single" w:sz="4" w:space="0" w:color="auto"/>
              <w:left w:val="single" w:sz="2" w:space="0" w:color="auto"/>
              <w:bottom w:val="single" w:sz="4" w:space="0" w:color="auto"/>
              <w:right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2</w:t>
            </w:r>
          </w:p>
        </w:tc>
        <w:tc>
          <w:tcPr>
            <w:tcW w:w="1936" w:type="dxa"/>
            <w:tcBorders>
              <w:top w:val="single" w:sz="4" w:space="0" w:color="auto"/>
              <w:left w:val="single" w:sz="4" w:space="0" w:color="auto"/>
              <w:bottom w:val="single" w:sz="4" w:space="0" w:color="auto"/>
              <w:right w:val="single" w:sz="2" w:space="0" w:color="auto"/>
            </w:tcBorders>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10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Location</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p>
        </w:tc>
        <w:tc>
          <w:tcPr>
            <w:tcW w:w="1440" w:type="dxa"/>
            <w:gridSpan w:val="2"/>
            <w:tcBorders>
              <w:top w:val="single" w:sz="4" w:space="0" w:color="auto"/>
              <w:bottom w:val="single" w:sz="4" w:space="0" w:color="auto"/>
              <w:right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PSE</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WA/OR</w:t>
            </w:r>
          </w:p>
        </w:tc>
      </w:tr>
      <w:tr w:rsidR="00A960CB" w:rsidRPr="00E87BB5">
        <w:trPr>
          <w:trHeight w:val="288"/>
          <w:jc w:val="center"/>
        </w:trPr>
        <w:tc>
          <w:tcPr>
            <w:tcW w:w="3510" w:type="dxa"/>
            <w:tcBorders>
              <w:bottom w:val="single" w:sz="4" w:space="0" w:color="auto"/>
            </w:tcBorders>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Fixed Transmission</w:t>
            </w:r>
          </w:p>
        </w:tc>
        <w:tc>
          <w:tcPr>
            <w:tcW w:w="1619" w:type="dxa"/>
            <w:tcBorders>
              <w:bottom w:val="single" w:sz="4" w:space="0" w:color="auto"/>
            </w:tcBorders>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$/kW-yr</w:t>
            </w:r>
          </w:p>
        </w:tc>
        <w:tc>
          <w:tcPr>
            <w:tcW w:w="1440" w:type="dxa"/>
            <w:gridSpan w:val="2"/>
            <w:tcBorders>
              <w:bottom w:val="single" w:sz="4" w:space="0" w:color="auto"/>
              <w:right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$0.00</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tcPr>
          <w:p w:rsidR="00C11478" w:rsidRPr="00A960CB" w:rsidRDefault="00C11478" w:rsidP="00C11478">
            <w:pPr>
              <w:pStyle w:val="IRPsub1"/>
              <w:jc w:val="center"/>
              <w:rPr>
                <w:i w:val="0"/>
                <w:color w:val="000000" w:themeColor="text1"/>
                <w:sz w:val="20"/>
                <w:szCs w:val="20"/>
              </w:rPr>
            </w:pPr>
            <w:r w:rsidRPr="00A960CB">
              <w:rPr>
                <w:i w:val="0"/>
                <w:color w:val="000000" w:themeColor="text1"/>
                <w:sz w:val="20"/>
                <w:szCs w:val="20"/>
              </w:rPr>
              <w:t>$20.83</w:t>
            </w:r>
          </w:p>
        </w:tc>
      </w:tr>
      <w:tr w:rsidR="00A960CB" w:rsidRPr="00E87BB5">
        <w:trPr>
          <w:trHeight w:val="288"/>
          <w:jc w:val="center"/>
        </w:trPr>
        <w:tc>
          <w:tcPr>
            <w:tcW w:w="3510" w:type="dxa"/>
            <w:tcBorders>
              <w:bottom w:val="single" w:sz="4" w:space="0" w:color="auto"/>
            </w:tcBorders>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Variable Transmission</w:t>
            </w:r>
          </w:p>
        </w:tc>
        <w:tc>
          <w:tcPr>
            <w:tcW w:w="1619" w:type="dxa"/>
            <w:tcBorders>
              <w:bottom w:val="single" w:sz="4" w:space="0" w:color="auto"/>
            </w:tcBorders>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$/MWh</w:t>
            </w:r>
          </w:p>
        </w:tc>
        <w:tc>
          <w:tcPr>
            <w:tcW w:w="1440" w:type="dxa"/>
            <w:gridSpan w:val="2"/>
            <w:tcBorders>
              <w:bottom w:val="single" w:sz="4" w:space="0" w:color="auto"/>
              <w:right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$0.00</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tcPr>
          <w:p w:rsidR="00C11478" w:rsidRPr="00A960CB" w:rsidRDefault="00C11478" w:rsidP="00C11478">
            <w:pPr>
              <w:pStyle w:val="IRPsub1"/>
              <w:jc w:val="center"/>
              <w:rPr>
                <w:i w:val="0"/>
                <w:color w:val="000000" w:themeColor="text1"/>
                <w:sz w:val="20"/>
                <w:szCs w:val="20"/>
              </w:rPr>
            </w:pPr>
            <w:r w:rsidRPr="00A960CB">
              <w:rPr>
                <w:i w:val="0"/>
                <w:color w:val="000000" w:themeColor="text1"/>
                <w:sz w:val="20"/>
                <w:szCs w:val="20"/>
              </w:rPr>
              <w:t>$0.34</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First Year Available</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p>
        </w:tc>
        <w:tc>
          <w:tcPr>
            <w:tcW w:w="1440" w:type="dxa"/>
            <w:gridSpan w:val="2"/>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2019</w:t>
            </w:r>
          </w:p>
        </w:tc>
        <w:tc>
          <w:tcPr>
            <w:tcW w:w="1936" w:type="dxa"/>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2030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Economic Life</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Years</w:t>
            </w:r>
          </w:p>
        </w:tc>
        <w:tc>
          <w:tcPr>
            <w:tcW w:w="1440" w:type="dxa"/>
            <w:gridSpan w:val="2"/>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20</w:t>
            </w:r>
          </w:p>
        </w:tc>
        <w:tc>
          <w:tcPr>
            <w:tcW w:w="1936" w:type="dxa"/>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60</w:t>
            </w:r>
          </w:p>
        </w:tc>
      </w:tr>
      <w:tr w:rsidR="00A960CB" w:rsidRPr="00E87BB5">
        <w:trPr>
          <w:trHeight w:val="432"/>
          <w:jc w:val="center"/>
        </w:trPr>
        <w:tc>
          <w:tcPr>
            <w:tcW w:w="3510" w:type="dxa"/>
            <w:shd w:val="clear" w:color="auto" w:fill="D6CFCD"/>
            <w:vAlign w:val="center"/>
          </w:tcPr>
          <w:p w:rsidR="00004846" w:rsidRPr="00A960CB" w:rsidRDefault="00004846" w:rsidP="00E87BB5">
            <w:pPr>
              <w:pStyle w:val="IRPsub1"/>
              <w:rPr>
                <w:i w:val="0"/>
                <w:color w:val="000000" w:themeColor="text1"/>
                <w:sz w:val="20"/>
                <w:szCs w:val="20"/>
              </w:rPr>
            </w:pPr>
            <w:r w:rsidRPr="00A960CB">
              <w:rPr>
                <w:i w:val="0"/>
                <w:color w:val="000000" w:themeColor="text1"/>
                <w:sz w:val="20"/>
                <w:szCs w:val="20"/>
              </w:rPr>
              <w:t>Greenfield Development &amp; Construction Lead time</w:t>
            </w:r>
          </w:p>
        </w:tc>
        <w:tc>
          <w:tcPr>
            <w:tcW w:w="1619" w:type="dxa"/>
            <w:shd w:val="clear" w:color="auto" w:fill="D6CFCD"/>
            <w:vAlign w:val="center"/>
          </w:tcPr>
          <w:p w:rsidR="00004846" w:rsidRPr="00A960CB" w:rsidRDefault="00004846" w:rsidP="00E87BB5">
            <w:pPr>
              <w:pStyle w:val="IRPsub1"/>
              <w:jc w:val="center"/>
              <w:rPr>
                <w:i w:val="0"/>
                <w:color w:val="000000" w:themeColor="text1"/>
                <w:sz w:val="20"/>
                <w:szCs w:val="20"/>
              </w:rPr>
            </w:pPr>
            <w:r w:rsidRPr="00A960CB">
              <w:rPr>
                <w:i w:val="0"/>
                <w:color w:val="000000" w:themeColor="text1"/>
                <w:sz w:val="20"/>
                <w:szCs w:val="20"/>
              </w:rPr>
              <w:t>Years</w:t>
            </w:r>
          </w:p>
        </w:tc>
        <w:tc>
          <w:tcPr>
            <w:tcW w:w="1440" w:type="dxa"/>
            <w:gridSpan w:val="2"/>
            <w:vAlign w:val="center"/>
          </w:tcPr>
          <w:p w:rsidR="00004846" w:rsidRPr="00A960CB" w:rsidRDefault="00004846" w:rsidP="00E87BB5">
            <w:pPr>
              <w:pStyle w:val="IRPsub1"/>
              <w:jc w:val="center"/>
              <w:rPr>
                <w:i w:val="0"/>
                <w:color w:val="000000" w:themeColor="text1"/>
                <w:sz w:val="20"/>
                <w:szCs w:val="20"/>
              </w:rPr>
            </w:pPr>
            <w:r w:rsidRPr="00A960CB">
              <w:rPr>
                <w:i w:val="0"/>
                <w:color w:val="000000" w:themeColor="text1"/>
                <w:sz w:val="20"/>
                <w:szCs w:val="20"/>
              </w:rPr>
              <w:t>3</w:t>
            </w:r>
          </w:p>
        </w:tc>
        <w:tc>
          <w:tcPr>
            <w:tcW w:w="1936" w:type="dxa"/>
            <w:tcBorders>
              <w:bottom w:val="single" w:sz="4" w:space="0" w:color="auto"/>
            </w:tcBorders>
            <w:shd w:val="clear" w:color="auto" w:fill="auto"/>
            <w:vAlign w:val="center"/>
          </w:tcPr>
          <w:p w:rsidR="00004846" w:rsidRPr="00A960CB" w:rsidRDefault="00004846" w:rsidP="00E87BB5">
            <w:pPr>
              <w:pStyle w:val="IRPsub1"/>
              <w:jc w:val="center"/>
              <w:rPr>
                <w:i w:val="0"/>
                <w:color w:val="000000" w:themeColor="text1"/>
                <w:sz w:val="20"/>
                <w:szCs w:val="20"/>
              </w:rPr>
            </w:pPr>
            <w:r w:rsidRPr="00A960CB">
              <w:rPr>
                <w:i w:val="0"/>
                <w:color w:val="000000" w:themeColor="text1"/>
                <w:sz w:val="20"/>
                <w:szCs w:val="20"/>
              </w:rPr>
              <w:t>15</w:t>
            </w:r>
          </w:p>
        </w:tc>
      </w:tr>
    </w:tbl>
    <w:p w:rsidR="00C11478" w:rsidRDefault="00C11478" w:rsidP="00C11478"/>
    <w:p w:rsidR="00C11478" w:rsidRPr="00DF5C90" w:rsidRDefault="00245EDA" w:rsidP="00C11478">
      <w:pPr>
        <w:rPr>
          <w:rFonts w:ascii="Palatino" w:hAnsi="Palatino"/>
          <w:i/>
        </w:rPr>
      </w:pPr>
      <w:r w:rsidRPr="00DF5C90">
        <w:rPr>
          <w:rFonts w:ascii="Palatino" w:hAnsi="Palatino"/>
          <w:i/>
        </w:rPr>
        <w:t xml:space="preserve">* In this </w:t>
      </w:r>
      <w:r w:rsidR="00E060C3" w:rsidRPr="00DF5C90">
        <w:rPr>
          <w:rFonts w:ascii="Palatino" w:hAnsi="Palatino"/>
          <w:i/>
        </w:rPr>
        <w:t>analysis</w:t>
      </w:r>
      <w:r w:rsidRPr="00DF5C90">
        <w:rPr>
          <w:rFonts w:ascii="Palatino" w:hAnsi="Palatino"/>
          <w:i/>
        </w:rPr>
        <w:t>, PSE modeled 200 MW and 80 MW of pumped hydro storage using the same cost assumptions.</w:t>
      </w:r>
    </w:p>
    <w:p w:rsidR="00E060C3" w:rsidRDefault="00E060C3" w:rsidP="002E6F6B">
      <w:pPr>
        <w:pStyle w:val="IRPsecthead1serif"/>
      </w:pPr>
    </w:p>
    <w:p w:rsidR="00C74D02" w:rsidRPr="007C326F" w:rsidRDefault="00C74D02" w:rsidP="002E6F6B">
      <w:pPr>
        <w:pStyle w:val="IRPsecthead1serif"/>
      </w:pPr>
      <w:r w:rsidRPr="007C326F">
        <w:t>Methodology</w:t>
      </w:r>
    </w:p>
    <w:p w:rsidR="007C326F" w:rsidRPr="007C326F" w:rsidRDefault="007C326F" w:rsidP="00C74D02">
      <w:pPr>
        <w:pStyle w:val="IRPsanstext"/>
        <w:rPr>
          <w:rFonts w:cs="Arial"/>
        </w:rPr>
      </w:pPr>
    </w:p>
    <w:p w:rsidR="00C74D02" w:rsidRDefault="00C74D02" w:rsidP="00C74D02">
      <w:pPr>
        <w:pStyle w:val="IRPsanstext"/>
        <w:rPr>
          <w:rFonts w:cs="Arial"/>
        </w:rPr>
      </w:pPr>
      <w:r w:rsidRPr="007C326F">
        <w:rPr>
          <w:rFonts w:cs="Arial"/>
        </w:rPr>
        <w:t>This analysis evaluates the benefits of storage to the generation system, so its methodology is consistent with that used for traditional generation resources like combustion turbi</w:t>
      </w:r>
      <w:r w:rsidR="00CA3E66">
        <w:rPr>
          <w:rFonts w:cs="Arial"/>
        </w:rPr>
        <w:t xml:space="preserve">nes and reciprocating engines. </w:t>
      </w:r>
      <w:r w:rsidRPr="007C326F">
        <w:rPr>
          <w:rFonts w:cs="Arial"/>
        </w:rPr>
        <w:t>The generic storage resources are assumed to provide supply capacity, system flexibility and oversupply reduction services to the portfolio.</w:t>
      </w:r>
    </w:p>
    <w:p w:rsidR="007C326F" w:rsidRPr="007E7A61" w:rsidRDefault="007C326F" w:rsidP="007E7A61">
      <w:pPr>
        <w:rPr>
          <w:rFonts w:ascii="Arial" w:hAnsi="Arial" w:cs="Arial"/>
        </w:rPr>
      </w:pPr>
    </w:p>
    <w:p w:rsidR="00C74D02" w:rsidRPr="007C326F" w:rsidRDefault="006700D5" w:rsidP="00C74D02">
      <w:pPr>
        <w:pStyle w:val="IRPsanstext"/>
        <w:rPr>
          <w:rFonts w:cs="Arial"/>
        </w:rPr>
      </w:pPr>
      <w:r w:rsidRPr="006700D5">
        <w:rPr>
          <w:rFonts w:cs="Arial"/>
          <w:b/>
          <w:color w:val="156570"/>
          <w:sz w:val="28"/>
          <w:szCs w:val="28"/>
        </w:rPr>
        <w:t>System Flexibility Methodology.</w:t>
      </w:r>
      <w:r w:rsidRPr="006700D5">
        <w:rPr>
          <w:rFonts w:cs="Arial"/>
          <w:b/>
          <w:color w:val="3366FF"/>
        </w:rPr>
        <w:t xml:space="preserve"> </w:t>
      </w:r>
      <w:r w:rsidRPr="006700D5">
        <w:rPr>
          <w:rFonts w:cs="Arial"/>
        </w:rPr>
        <w:t>As</w:t>
      </w:r>
      <w:r w:rsidR="00C74D02" w:rsidRPr="005606B7">
        <w:rPr>
          <w:rFonts w:cs="Arial"/>
        </w:rPr>
        <w:t xml:space="preserve"> a</w:t>
      </w:r>
      <w:r w:rsidR="00C74D02" w:rsidRPr="007C326F">
        <w:rPr>
          <w:rFonts w:cs="Arial"/>
        </w:rPr>
        <w:t xml:space="preserve"> Balancing Authority (BA), PSE must retain enough flexibility in the system to keep it in balance at all times, despite moment-to-moment variations in demand and generation. Energy storage may be able to provide valuable system flexibility, though it must be evaluated and compared with other resources that can provide similar flexibility. </w:t>
      </w:r>
    </w:p>
    <w:p w:rsidR="00A960CB" w:rsidRDefault="00A960CB">
      <w:pPr>
        <w:rPr>
          <w:rFonts w:ascii="Arial" w:hAnsi="Arial" w:cs="Arial"/>
        </w:rPr>
      </w:pPr>
      <w:r>
        <w:rPr>
          <w:rFonts w:ascii="Arial" w:hAnsi="Arial" w:cs="Arial"/>
        </w:rPr>
        <w:br w:type="page"/>
      </w:r>
    </w:p>
    <w:p w:rsidR="00C74D02" w:rsidRPr="007E7A61" w:rsidRDefault="00C74D02" w:rsidP="007E7A61">
      <w:pPr>
        <w:rPr>
          <w:rFonts w:ascii="Arial" w:hAnsi="Arial" w:cs="Arial"/>
        </w:rPr>
      </w:pPr>
    </w:p>
    <w:p w:rsidR="00C74D02" w:rsidRPr="005606B7" w:rsidRDefault="00C74D02" w:rsidP="00C74D02">
      <w:pPr>
        <w:pStyle w:val="IRPsanstext"/>
      </w:pPr>
      <w:r w:rsidRPr="007C326F">
        <w:rPr>
          <w:rFonts w:cs="Arial"/>
        </w:rPr>
        <w:t>The Pacific Northwest does not have a market for ancillary services such as regulation and spinning reserves, so PSE estimated the flexibility benefit provided by storage with a proprietary production cost model that simulates PSE’s generation operations with and without energy storage in the generation resource stack. This analysis results in a record of unit deployment for</w:t>
      </w:r>
      <w:r>
        <w:t xml:space="preserve"> PSE’s dispatchable generation, quantifies how each unit contributes to system balancing, and calculates </w:t>
      </w:r>
      <w:r w:rsidR="006700D5" w:rsidRPr="006700D5">
        <w:t xml:space="preserve">the avoided fuel and operational costs due to using the storage resource instead of traditional resource. </w:t>
      </w:r>
    </w:p>
    <w:p w:rsidR="00C74D02" w:rsidRPr="00A32739" w:rsidRDefault="00C74D02" w:rsidP="00C74D02">
      <w:pPr>
        <w:pStyle w:val="IRPsanstext"/>
      </w:pPr>
    </w:p>
    <w:p w:rsidR="00C74D02" w:rsidRDefault="00C74D02" w:rsidP="00C74D02">
      <w:pPr>
        <w:pStyle w:val="IRPsanstext"/>
      </w:pPr>
      <w:r>
        <w:t>The Resource Integration Team modeled the generic battery system configurations using a subset of the 250 Aurora simulations used in the 201</w:t>
      </w:r>
      <w:r w:rsidR="00B0285F">
        <w:t>3</w:t>
      </w:r>
      <w:r>
        <w:t xml:space="preserve"> IRP, limited to the year 2018. </w:t>
      </w:r>
      <w:r w:rsidR="00B0285F">
        <w:t>In this analysis, the resulting value of the battery storage was $99.52 per kW per y</w:t>
      </w:r>
      <w:r w:rsidR="009E4526">
        <w:t>ea</w:t>
      </w:r>
      <w:r w:rsidR="00B0285F">
        <w:t>r. This value was considered a benefit to the resource and therefore subtracted from the total fixed operations and maintenance cost in the sensitivity analysis.</w:t>
      </w:r>
    </w:p>
    <w:p w:rsidR="00C74D02" w:rsidRDefault="00C74D02" w:rsidP="00C74D02">
      <w:pPr>
        <w:pStyle w:val="IRPsanstext"/>
      </w:pPr>
    </w:p>
    <w:p w:rsidR="00C74D02" w:rsidRDefault="00C74D02" w:rsidP="00C74D02">
      <w:pPr>
        <w:pStyle w:val="IRPsanstext"/>
      </w:pPr>
      <w:r>
        <w:t xml:space="preserve">This analysis estimates the theoretical potential value of the storage resource, but further work must be done to determine if it can actually provide this value to due to control and operational issues.  The </w:t>
      </w:r>
      <w:r w:rsidRPr="00690FEC">
        <w:t xml:space="preserve">operation of </w:t>
      </w:r>
      <w:r>
        <w:t xml:space="preserve">storage resource </w:t>
      </w:r>
      <w:r w:rsidRPr="00690FEC">
        <w:t xml:space="preserve">for </w:t>
      </w:r>
      <w:r>
        <w:t xml:space="preserve">system </w:t>
      </w:r>
      <w:r w:rsidRPr="00690FEC">
        <w:t xml:space="preserve">flexibility requires a </w:t>
      </w:r>
      <w:r>
        <w:t xml:space="preserve">high level of communications and </w:t>
      </w:r>
      <w:r w:rsidRPr="00690FEC">
        <w:t xml:space="preserve">controls and </w:t>
      </w:r>
      <w:r>
        <w:t xml:space="preserve">also </w:t>
      </w:r>
      <w:r w:rsidRPr="00690FEC">
        <w:t>compliance obligations</w:t>
      </w:r>
      <w:r>
        <w:t xml:space="preserve"> and would have to </w:t>
      </w:r>
      <w:r w:rsidRPr="00690FEC">
        <w:t xml:space="preserve">meet specific regional reliability </w:t>
      </w:r>
      <w:r>
        <w:t>coordinator requirements.</w:t>
      </w:r>
    </w:p>
    <w:p w:rsidR="00C74D02" w:rsidRDefault="00C74D02" w:rsidP="00C74D02">
      <w:pPr>
        <w:pStyle w:val="IRPsanstext"/>
      </w:pPr>
    </w:p>
    <w:p w:rsidR="00C74D02" w:rsidRPr="00B93977" w:rsidRDefault="00C74D02" w:rsidP="00C74D02">
      <w:pPr>
        <w:pStyle w:val="IRPsanstext"/>
      </w:pPr>
      <w:r>
        <w:t xml:space="preserve">See </w:t>
      </w:r>
      <w:r w:rsidRPr="00072441">
        <w:t xml:space="preserve">Appendix </w:t>
      </w:r>
      <w:r w:rsidRPr="00A32739">
        <w:t>H</w:t>
      </w:r>
      <w:r w:rsidRPr="00072441">
        <w:t xml:space="preserve">, </w:t>
      </w:r>
      <w:r w:rsidR="005606B7">
        <w:t>Operational</w:t>
      </w:r>
      <w:r w:rsidR="005606B7" w:rsidRPr="00072441">
        <w:t xml:space="preserve"> </w:t>
      </w:r>
      <w:r w:rsidRPr="00072441">
        <w:t xml:space="preserve">Flexibility, </w:t>
      </w:r>
      <w:r>
        <w:t>for more information on system flexibility and for a full description of the methodology used to evaluate</w:t>
      </w:r>
      <w:r w:rsidRPr="00072441">
        <w:t xml:space="preserve"> </w:t>
      </w:r>
      <w:r>
        <w:t>energy storage in this context.</w:t>
      </w:r>
      <w:r w:rsidR="001B680B">
        <w:t xml:space="preserve"> </w:t>
      </w:r>
    </w:p>
    <w:p w:rsidR="00C74D02" w:rsidRPr="00055578" w:rsidRDefault="00C74D02" w:rsidP="00C74D02">
      <w:pPr>
        <w:pStyle w:val="IRPsanstext"/>
      </w:pPr>
    </w:p>
    <w:p w:rsidR="00C74D02" w:rsidRPr="002E6F6B" w:rsidRDefault="00C74D02" w:rsidP="002E6F6B">
      <w:pPr>
        <w:pStyle w:val="IRPsanstext"/>
        <w:rPr>
          <w:b/>
          <w:color w:val="156570"/>
          <w:sz w:val="28"/>
        </w:rPr>
      </w:pPr>
      <w:r w:rsidRPr="007C326F">
        <w:rPr>
          <w:b/>
          <w:color w:val="156570"/>
          <w:sz w:val="28"/>
        </w:rPr>
        <w:t>Energy Supply Capacity Value Methodology.</w:t>
      </w:r>
      <w:r>
        <w:t xml:space="preserve"> </w:t>
      </w:r>
      <w:r w:rsidRPr="004848F6">
        <w:t xml:space="preserve">If </w:t>
      </w:r>
      <w:r>
        <w:t xml:space="preserve">an </w:t>
      </w:r>
      <w:r w:rsidRPr="004848F6">
        <w:t xml:space="preserve">energy storage </w:t>
      </w:r>
      <w:r>
        <w:t xml:space="preserve">resource </w:t>
      </w:r>
      <w:r w:rsidRPr="004848F6">
        <w:t xml:space="preserve">can </w:t>
      </w:r>
      <w:r>
        <w:t xml:space="preserve">discharge </w:t>
      </w:r>
      <w:r w:rsidRPr="004848F6">
        <w:t>reliably dur</w:t>
      </w:r>
      <w:r>
        <w:t>ing peak load conditions,</w:t>
      </w:r>
      <w:r w:rsidRPr="004848F6">
        <w:t xml:space="preserve"> it has the potential to </w:t>
      </w:r>
      <w:r>
        <w:t xml:space="preserve">defer or </w:t>
      </w:r>
      <w:r w:rsidRPr="004848F6">
        <w:t xml:space="preserve">avoid the </w:t>
      </w:r>
      <w:r>
        <w:t>fixed costs of acquiring new generation</w:t>
      </w:r>
      <w:r w:rsidRPr="004848F6">
        <w:t xml:space="preserve">. </w:t>
      </w:r>
      <w:r>
        <w:t>Since</w:t>
      </w:r>
      <w:r w:rsidRPr="003C367E">
        <w:t xml:space="preserve"> </w:t>
      </w:r>
      <w:r>
        <w:t>storage resources’ discharge duration is limited, especially batteries, they</w:t>
      </w:r>
      <w:r w:rsidRPr="003C367E">
        <w:t xml:space="preserve"> may not be </w:t>
      </w:r>
      <w:r>
        <w:t>useful for peak load</w:t>
      </w:r>
      <w:r w:rsidRPr="003C367E">
        <w:t xml:space="preserve"> events and </w:t>
      </w:r>
      <w:r>
        <w:t xml:space="preserve">grid </w:t>
      </w:r>
      <w:r w:rsidRPr="003C367E">
        <w:t xml:space="preserve">contingency events </w:t>
      </w:r>
      <w:r>
        <w:t xml:space="preserve">when </w:t>
      </w:r>
      <w:r w:rsidRPr="003C367E">
        <w:t xml:space="preserve">extended duration </w:t>
      </w:r>
      <w:r>
        <w:t>is</w:t>
      </w:r>
      <w:r w:rsidRPr="003C367E">
        <w:t xml:space="preserve"> needed.  </w:t>
      </w:r>
      <w:r>
        <w:t>To evaluate this, t</w:t>
      </w:r>
      <w:r w:rsidRPr="003C367E">
        <w:t xml:space="preserve">he IRP team performed and updated </w:t>
      </w:r>
      <w:r w:rsidRPr="000410A0">
        <w:t>Incremental Capacity Equivalent (ICE)</w:t>
      </w:r>
      <w:r>
        <w:t xml:space="preserve"> analysis for several</w:t>
      </w:r>
      <w:r w:rsidRPr="003C367E">
        <w:t xml:space="preserve"> storage device</w:t>
      </w:r>
      <w:r>
        <w:t xml:space="preserve"> configurations.  </w:t>
      </w:r>
    </w:p>
    <w:p w:rsidR="00C74D02" w:rsidRDefault="00C74D02" w:rsidP="00C74D02">
      <w:pPr>
        <w:pStyle w:val="IRPsanstext"/>
      </w:pPr>
    </w:p>
    <w:p w:rsidR="00C74D02" w:rsidRDefault="00C74D02" w:rsidP="00C74D02">
      <w:pPr>
        <w:pStyle w:val="IRPsanstext"/>
      </w:pPr>
      <w:r>
        <w:t>The ratio of the equivalent gas peaker capacity to the alternative resource capacity is the ICE, or the capacity credit, of the alternative resource. The capacity credits for PSE’s existing and prospective resources were develope</w:t>
      </w:r>
      <w:r w:rsidR="002C2E07">
        <w:t xml:space="preserve">d by applying the ICE approach – </w:t>
      </w:r>
      <w:r>
        <w:t>which is similar to the equivalent load carrying capability (ELCC) approach</w:t>
      </w:r>
      <w:r w:rsidR="002C2E07">
        <w:t xml:space="preserve"> – </w:t>
      </w:r>
      <w:r>
        <w:t xml:space="preserve">with our loss of load probability (LOLP) model. In essence, this identifies the equivalent capacity of a gas-fired peaker plant that would yield the same loss of load probability as the capacity of a different resource such as a wind farm, energy storage facility or even a fixed purchased power contract. </w:t>
      </w:r>
    </w:p>
    <w:p w:rsidR="00C74D02" w:rsidRPr="00BD3F35" w:rsidRDefault="00C74D02" w:rsidP="00C74D02">
      <w:pPr>
        <w:pStyle w:val="IRPsanstext"/>
      </w:pPr>
    </w:p>
    <w:p w:rsidR="00DF5C90" w:rsidRDefault="00DF5C90" w:rsidP="00C10267">
      <w:pPr>
        <w:pStyle w:val="IRPsanstext"/>
        <w:spacing w:before="120"/>
        <w:rPr>
          <w:sz w:val="32"/>
          <w:szCs w:val="32"/>
        </w:rPr>
      </w:pPr>
    </w:p>
    <w:p w:rsidR="009E4526" w:rsidRPr="00D66E76" w:rsidRDefault="009E4526" w:rsidP="00D66E76">
      <w:pPr>
        <w:pStyle w:val="IRPsanstext"/>
      </w:pPr>
    </w:p>
    <w:p w:rsidR="00C74D02" w:rsidRPr="00D66E76" w:rsidRDefault="003745CE" w:rsidP="00C10267">
      <w:pPr>
        <w:pStyle w:val="IRPsanstext"/>
        <w:spacing w:before="120"/>
        <w:rPr>
          <w:sz w:val="32"/>
          <w:szCs w:val="32"/>
        </w:rPr>
      </w:pPr>
      <w:r w:rsidRPr="00D66E76">
        <w:rPr>
          <w:sz w:val="32"/>
          <w:szCs w:val="32"/>
        </w:rPr>
        <w:t>Pilot Project</w:t>
      </w:r>
    </w:p>
    <w:p w:rsidR="00C74D02" w:rsidRDefault="00C74D02" w:rsidP="00C74D02">
      <w:pPr>
        <w:pStyle w:val="IRPsanstext"/>
      </w:pPr>
    </w:p>
    <w:p w:rsidR="00C74D02" w:rsidRPr="00BD3F35" w:rsidRDefault="00C74D02" w:rsidP="00C74D02">
      <w:pPr>
        <w:pStyle w:val="IRPsanstext"/>
        <w:rPr>
          <w:color w:val="3366FF"/>
          <w:sz w:val="28"/>
        </w:rPr>
      </w:pPr>
      <w:r w:rsidRPr="007D29BB">
        <w:rPr>
          <w:b/>
          <w:color w:val="156570"/>
          <w:sz w:val="28"/>
        </w:rPr>
        <w:t>Glacier Project.</w:t>
      </w:r>
      <w:r w:rsidRPr="007D29BB">
        <w:rPr>
          <w:color w:val="3366FF"/>
          <w:sz w:val="28"/>
        </w:rPr>
        <w:t xml:space="preserve"> </w:t>
      </w:r>
      <w:r w:rsidRPr="007D29BB">
        <w:t>In</w:t>
      </w:r>
      <w:r w:rsidRPr="00B96320">
        <w:t xml:space="preserve"> partnership with the</w:t>
      </w:r>
      <w:r>
        <w:t xml:space="preserve"> Washington State Department of </w:t>
      </w:r>
      <w:r w:rsidRPr="00B96320">
        <w:t xml:space="preserve">Commerce, PSE </w:t>
      </w:r>
      <w:r>
        <w:t>is developing a battery storage</w:t>
      </w:r>
      <w:r>
        <w:rPr>
          <w:color w:val="3366FF"/>
          <w:sz w:val="28"/>
        </w:rPr>
        <w:t xml:space="preserve"> </w:t>
      </w:r>
      <w:r w:rsidRPr="00B96320">
        <w:t xml:space="preserve">pilot project in Glacier, a </w:t>
      </w:r>
      <w:r>
        <w:t>small town east of Bellingham</w:t>
      </w:r>
      <w:r w:rsidR="00526B28">
        <w:t>, Wash</w:t>
      </w:r>
      <w:r>
        <w:t xml:space="preserve">. </w:t>
      </w:r>
      <w:r w:rsidRPr="00B96320">
        <w:t>The proje</w:t>
      </w:r>
      <w:r>
        <w:t xml:space="preserve">ct will </w:t>
      </w:r>
      <w:r w:rsidR="00104DA5">
        <w:t xml:space="preserve">involve the </w:t>
      </w:r>
      <w:r>
        <w:t>install</w:t>
      </w:r>
      <w:r w:rsidR="00104DA5">
        <w:t>ation of</w:t>
      </w:r>
      <w:r>
        <w:t xml:space="preserve"> a 2 MW/4.4 </w:t>
      </w:r>
      <w:r w:rsidRPr="00B96320">
        <w:t xml:space="preserve">MWh </w:t>
      </w:r>
      <w:r>
        <w:t>lithium-ion</w:t>
      </w:r>
      <w:r>
        <w:rPr>
          <w:color w:val="3366FF"/>
          <w:sz w:val="28"/>
        </w:rPr>
        <w:t xml:space="preserve"> </w:t>
      </w:r>
      <w:r w:rsidRPr="00B96320">
        <w:t>battery sy</w:t>
      </w:r>
      <w:r>
        <w:t>stem</w:t>
      </w:r>
      <w:r w:rsidRPr="00B96320">
        <w:t xml:space="preserve"> </w:t>
      </w:r>
      <w:r>
        <w:t>that will</w:t>
      </w:r>
      <w:r w:rsidRPr="00B96320">
        <w:t xml:space="preserve"> </w:t>
      </w:r>
      <w:r>
        <w:t xml:space="preserve">interconnect </w:t>
      </w:r>
      <w:r w:rsidRPr="00B96320">
        <w:t xml:space="preserve">to </w:t>
      </w:r>
      <w:r>
        <w:t>the 12.5 kV distribution</w:t>
      </w:r>
      <w:r>
        <w:rPr>
          <w:color w:val="3366FF"/>
          <w:sz w:val="28"/>
        </w:rPr>
        <w:t xml:space="preserve"> </w:t>
      </w:r>
      <w:r w:rsidR="001B680B">
        <w:t>system</w:t>
      </w:r>
      <w:r w:rsidR="00104DA5" w:rsidRPr="00104DA5">
        <w:t xml:space="preserve"> </w:t>
      </w:r>
      <w:r w:rsidR="00104DA5" w:rsidRPr="00B96320">
        <w:t xml:space="preserve">near </w:t>
      </w:r>
      <w:r w:rsidR="00104DA5">
        <w:t xml:space="preserve">Glacier’s </w:t>
      </w:r>
      <w:r w:rsidR="00104DA5" w:rsidRPr="00B96320">
        <w:t>existing substation</w:t>
      </w:r>
      <w:r w:rsidR="001B680B">
        <w:t>.</w:t>
      </w:r>
    </w:p>
    <w:p w:rsidR="00C74D02" w:rsidRDefault="00C74D02" w:rsidP="00C74D02">
      <w:pPr>
        <w:pStyle w:val="IRPsanstext"/>
      </w:pPr>
    </w:p>
    <w:p w:rsidR="00C74D02" w:rsidRPr="00B96320" w:rsidRDefault="00C74D02" w:rsidP="00C74D02">
      <w:pPr>
        <w:pStyle w:val="IRPsanstext"/>
      </w:pPr>
      <w:r w:rsidRPr="00B96320">
        <w:t xml:space="preserve">Glacier is </w:t>
      </w:r>
      <w:r>
        <w:t xml:space="preserve">served by </w:t>
      </w:r>
      <w:r w:rsidR="00104DA5">
        <w:t xml:space="preserve">a </w:t>
      </w:r>
      <w:r>
        <w:t>radial transmission and distribution line</w:t>
      </w:r>
      <w:r w:rsidR="00104DA5">
        <w:t xml:space="preserve"> that</w:t>
      </w:r>
      <w:r>
        <w:t xml:space="preserve"> run</w:t>
      </w:r>
      <w:r w:rsidR="00104DA5">
        <w:t>s</w:t>
      </w:r>
      <w:r>
        <w:t xml:space="preserve"> along a heavily forested scenic highway and the town</w:t>
      </w:r>
      <w:r w:rsidRPr="00B96320">
        <w:t xml:space="preserve"> </w:t>
      </w:r>
      <w:r>
        <w:t xml:space="preserve">experiences frequent and lengthy outages because of how </w:t>
      </w:r>
      <w:r w:rsidRPr="00B96320">
        <w:t>chall</w:t>
      </w:r>
      <w:r>
        <w:t>enging it is for repair crews to reach</w:t>
      </w:r>
      <w:r w:rsidRPr="00B96320">
        <w:t xml:space="preserve"> and repair </w:t>
      </w:r>
      <w:r>
        <w:t xml:space="preserve">the lines </w:t>
      </w:r>
      <w:r w:rsidRPr="00B96320">
        <w:t>during storms.</w:t>
      </w:r>
      <w:r>
        <w:t xml:space="preserve"> </w:t>
      </w:r>
      <w:r w:rsidRPr="00B96320">
        <w:t xml:space="preserve">The project is funded in part by a $3.8 million Smart Grid Grant from the </w:t>
      </w:r>
      <w:r>
        <w:t>S</w:t>
      </w:r>
      <w:r w:rsidRPr="00B96320">
        <w:t>tate Depar</w:t>
      </w:r>
      <w:r>
        <w:t>tment of Commerce; PSE’s investment is</w:t>
      </w:r>
      <w:r w:rsidRPr="00B96320">
        <w:t xml:space="preserve"> </w:t>
      </w:r>
      <w:r w:rsidR="00ED0ED9">
        <w:t xml:space="preserve">estimated at </w:t>
      </w:r>
      <w:r w:rsidRPr="00B96320">
        <w:t>$</w:t>
      </w:r>
      <w:r w:rsidR="00396DDB">
        <w:t>7.9</w:t>
      </w:r>
      <w:r>
        <w:t xml:space="preserve"> million</w:t>
      </w:r>
      <w:r w:rsidRPr="00B96320">
        <w:t>.</w:t>
      </w:r>
    </w:p>
    <w:p w:rsidR="00C74D02" w:rsidRPr="0092738F" w:rsidRDefault="00C74D02" w:rsidP="00C74D02">
      <w:pPr>
        <w:pStyle w:val="IRPsanstext"/>
        <w:rPr>
          <w:b/>
        </w:rPr>
      </w:pPr>
    </w:p>
    <w:p w:rsidR="00C74D02" w:rsidRDefault="00C74D02" w:rsidP="00C74D02">
      <w:pPr>
        <w:pStyle w:val="IRPsanstext"/>
      </w:pPr>
      <w:r w:rsidRPr="00B96320">
        <w:t xml:space="preserve">The </w:t>
      </w:r>
      <w:r>
        <w:t xml:space="preserve">Glacier </w:t>
      </w:r>
      <w:r w:rsidRPr="00B96320">
        <w:t xml:space="preserve">project </w:t>
      </w:r>
      <w:r>
        <w:t>tests three primary use cases</w:t>
      </w:r>
      <w:r w:rsidRPr="00B96320">
        <w:t>:</w:t>
      </w:r>
    </w:p>
    <w:p w:rsidR="002769B3" w:rsidRDefault="002769B3" w:rsidP="00C74D02">
      <w:pPr>
        <w:pStyle w:val="IRPsanstext"/>
      </w:pPr>
    </w:p>
    <w:p w:rsidR="00C74D02" w:rsidRDefault="00C74D02" w:rsidP="007C326F">
      <w:pPr>
        <w:pStyle w:val="IRPsanstext"/>
        <w:numPr>
          <w:ilvl w:val="0"/>
          <w:numId w:val="29"/>
        </w:numPr>
      </w:pPr>
      <w:r>
        <w:t>Outage mitigation</w:t>
      </w:r>
    </w:p>
    <w:p w:rsidR="00C74D02" w:rsidRDefault="00C74D02" w:rsidP="007C326F">
      <w:pPr>
        <w:pStyle w:val="IRPsanstext"/>
        <w:numPr>
          <w:ilvl w:val="0"/>
          <w:numId w:val="29"/>
        </w:numPr>
      </w:pPr>
      <w:r>
        <w:t>System-wide peaking (supply capacity)</w:t>
      </w:r>
    </w:p>
    <w:p w:rsidR="00C74D02" w:rsidRDefault="00C74D02" w:rsidP="007C326F">
      <w:pPr>
        <w:pStyle w:val="IRPsanstext"/>
        <w:numPr>
          <w:ilvl w:val="0"/>
          <w:numId w:val="29"/>
        </w:numPr>
      </w:pPr>
      <w:r>
        <w:t>System flexibility</w:t>
      </w:r>
    </w:p>
    <w:p w:rsidR="00C74D02" w:rsidRPr="00643506" w:rsidRDefault="00C74D02" w:rsidP="00C74D02">
      <w:pPr>
        <w:pStyle w:val="IRPsanstext"/>
      </w:pPr>
    </w:p>
    <w:p w:rsidR="00AE20E8" w:rsidRDefault="00F51746" w:rsidP="00943FFE">
      <w:pPr>
        <w:pStyle w:val="IRPsanstext"/>
      </w:pPr>
      <w:r>
        <w:t xml:space="preserve">The project is currently </w:t>
      </w:r>
      <w:r w:rsidR="00943FFE">
        <w:t xml:space="preserve">in the design stage. </w:t>
      </w:r>
      <w:r w:rsidR="00C74D02" w:rsidRPr="00B96320">
        <w:t xml:space="preserve">After the battery system is </w:t>
      </w:r>
      <w:r w:rsidR="00943FFE">
        <w:t>commissioned</w:t>
      </w:r>
      <w:r w:rsidR="00C74D02" w:rsidRPr="00B96320">
        <w:t xml:space="preserve">, </w:t>
      </w:r>
      <w:r w:rsidR="00943FFE">
        <w:t xml:space="preserve">Pacific Northwest National Laboratories (PNNL) </w:t>
      </w:r>
      <w:r w:rsidR="00C74D02" w:rsidRPr="00B96320">
        <w:t xml:space="preserve">will conduct </w:t>
      </w:r>
      <w:r w:rsidR="00C74D02">
        <w:t>four to six</w:t>
      </w:r>
      <w:r w:rsidR="00C74D02" w:rsidRPr="00B96320">
        <w:t xml:space="preserve"> mon</w:t>
      </w:r>
      <w:r w:rsidR="00C74D02">
        <w:t>ths of testing and evaluation. Identifying</w:t>
      </w:r>
      <w:r w:rsidR="00C74D02" w:rsidRPr="00B96320">
        <w:t xml:space="preserve"> the performance and economic benefits </w:t>
      </w:r>
      <w:r w:rsidR="00C74D02">
        <w:t xml:space="preserve">of the project </w:t>
      </w:r>
      <w:r w:rsidR="00C74D02" w:rsidRPr="00B96320">
        <w:t>will help PSE determine the feasibility of future applications for this technology.</w:t>
      </w:r>
      <w:r w:rsidR="00AE20E8">
        <w:t xml:space="preserve"> </w:t>
      </w:r>
    </w:p>
    <w:p w:rsidR="00AE20E8" w:rsidRDefault="00AE20E8" w:rsidP="00943FFE">
      <w:pPr>
        <w:pStyle w:val="IRPsanstext"/>
      </w:pPr>
    </w:p>
    <w:p w:rsidR="00943FFE" w:rsidRDefault="00AE20E8" w:rsidP="00943FFE">
      <w:pPr>
        <w:pStyle w:val="IRPsanstext"/>
      </w:pPr>
      <w:r>
        <w:t>For more information on the Glacier project, go to:</w:t>
      </w:r>
    </w:p>
    <w:p w:rsidR="00943FFE" w:rsidRDefault="00943FFE" w:rsidP="00943FFE">
      <w:pPr>
        <w:pStyle w:val="IRPsanstext"/>
      </w:pPr>
      <w:r w:rsidRPr="00AE20E8">
        <w:t>http://pse.com/inyourcommunity/pse-projects/system-improvements/Pages/Glacier-battery-storage-project.aspx</w:t>
      </w:r>
    </w:p>
    <w:p w:rsidR="00E42DC3" w:rsidRDefault="00E42DC3">
      <w:pPr>
        <w:pStyle w:val="IRPsanstext"/>
        <w:rPr>
          <w:rFonts w:asciiTheme="majorHAnsi" w:hAnsiTheme="majorHAnsi" w:hint="eastAsia"/>
        </w:rPr>
      </w:pPr>
    </w:p>
    <w:p w:rsidR="00943FFE" w:rsidRDefault="00943FFE" w:rsidP="00943FFE">
      <w:pPr>
        <w:pStyle w:val="IRPsanstext"/>
      </w:pPr>
    </w:p>
    <w:p w:rsidR="00C74D02" w:rsidRPr="009E5CB2" w:rsidRDefault="00C74D02" w:rsidP="00C74D02">
      <w:pPr>
        <w:pStyle w:val="IRPsanstext"/>
        <w:rPr>
          <w:rFonts w:cs="Arial"/>
          <w:b/>
        </w:rPr>
      </w:pPr>
    </w:p>
    <w:sectPr w:rsidR="00C74D02" w:rsidRPr="009E5CB2" w:rsidSect="000E4936">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A09" w:rsidRDefault="00702A09" w:rsidP="00601E72">
      <w:r>
        <w:separator/>
      </w:r>
    </w:p>
  </w:endnote>
  <w:endnote w:type="continuationSeparator" w:id="0">
    <w:p w:rsidR="00702A09" w:rsidRDefault="00702A09"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altName w:val="Times New Roman"/>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MS Mincho">
    <w:altName w:val="Arial Unicode MS"/>
    <w:charset w:val="80"/>
    <w:family w:val="modern"/>
    <w:pitch w:val="fixed"/>
    <w:sig w:usb0="E00002FF" w:usb1="6AC7FDFB" w:usb2="00000012" w:usb3="00000000" w:csb0="0002009F" w:csb1="00000000"/>
  </w:font>
  <w:font w:name="Garamond">
    <w:altName w:val="Athelas Bold Italic"/>
    <w:panose1 w:val="02020404030301010803"/>
    <w:charset w:val="00"/>
    <w:family w:val="auto"/>
    <w:pitch w:val="variable"/>
    <w:sig w:usb0="00000003" w:usb1="00000000" w:usb2="00000000" w:usb3="00000000" w:csb0="00000001" w:csb1="00000000"/>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alatino">
    <w:altName w:val="Book Antiqua"/>
    <w:panose1 w:val="02000500000000000000"/>
    <w:charset w:val="00"/>
    <w:family w:val="auto"/>
    <w:pitch w:val="variable"/>
    <w:sig w:usb0="A00002FF" w:usb1="7800205A" w:usb2="14600000" w:usb3="00000000" w:csb0="00000193" w:csb1="00000000"/>
  </w:font>
  <w:font w:name="Cambria">
    <w:altName w:val="Times New Roman"/>
    <w:panose1 w:val="02040503050406030204"/>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09" w:rsidRDefault="00702A0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09" w:rsidRPr="00257A69" w:rsidRDefault="00702A09" w:rsidP="0020632A">
    <w:pPr>
      <w:pStyle w:val="Footer"/>
      <w:framePr w:wrap="around" w:vAnchor="text" w:hAnchor="margin" w:xAlign="center" w:y="1"/>
      <w:rPr>
        <w:rStyle w:val="PageNumber"/>
      </w:rPr>
    </w:pPr>
    <w:r>
      <w:rPr>
        <w:rStyle w:val="PageNumber"/>
        <w:rFonts w:ascii="Palatino" w:hAnsi="Palatino"/>
        <w:i/>
      </w:rPr>
      <w:t>L</w:t>
    </w:r>
    <w:r w:rsidRPr="00257A69">
      <w:rPr>
        <w:rStyle w:val="PageNumber"/>
        <w:rFonts w:ascii="Palatino" w:hAnsi="Palatino"/>
        <w:i/>
      </w:rPr>
      <w:t xml:space="preserve"> - </w:t>
    </w:r>
    <w:r w:rsidR="00685F48" w:rsidRPr="00257A69">
      <w:rPr>
        <w:rStyle w:val="PageNumber"/>
        <w:rFonts w:ascii="Palatino" w:hAnsi="Palatino"/>
        <w:i/>
      </w:rPr>
      <w:fldChar w:fldCharType="begin"/>
    </w:r>
    <w:r w:rsidRPr="00257A69">
      <w:rPr>
        <w:rStyle w:val="PageNumber"/>
        <w:rFonts w:ascii="Palatino" w:hAnsi="Palatino"/>
        <w:i/>
      </w:rPr>
      <w:instrText xml:space="preserve">PAGE  </w:instrText>
    </w:r>
    <w:r w:rsidR="00685F48" w:rsidRPr="00257A69">
      <w:rPr>
        <w:rStyle w:val="PageNumber"/>
        <w:rFonts w:ascii="Palatino" w:hAnsi="Palatino"/>
        <w:i/>
      </w:rPr>
      <w:fldChar w:fldCharType="separate"/>
    </w:r>
    <w:r w:rsidR="00FA2071">
      <w:rPr>
        <w:rStyle w:val="PageNumber"/>
        <w:rFonts w:ascii="Palatino" w:hAnsi="Palatino"/>
        <w:i/>
        <w:noProof/>
      </w:rPr>
      <w:t>2</w:t>
    </w:r>
    <w:r w:rsidR="00685F48" w:rsidRPr="00257A69">
      <w:rPr>
        <w:rStyle w:val="PageNumber"/>
        <w:rFonts w:ascii="Palatino" w:hAnsi="Palatino"/>
        <w:i/>
      </w:rPr>
      <w:fldChar w:fldCharType="end"/>
    </w:r>
  </w:p>
  <w:p w:rsidR="00702A09" w:rsidRPr="00EC049C" w:rsidRDefault="00FA2071" w:rsidP="00490139">
    <w:pPr>
      <w:pStyle w:val="Footer"/>
      <w:jc w:val="right"/>
      <w:rPr>
        <w:rFonts w:ascii="Palatino" w:hAnsi="Palatino"/>
        <w:i/>
        <w:color w:val="006C71"/>
      </w:rPr>
    </w:pP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5080635</wp:posOffset>
              </wp:positionH>
              <wp:positionV relativeFrom="paragraph">
                <wp:posOffset>9262110</wp:posOffset>
              </wp:positionV>
              <wp:extent cx="2171700" cy="227330"/>
              <wp:effectExtent l="0" t="0" r="0" b="127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2733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0D5429" w:rsidRDefault="000D5429" w:rsidP="00490139">
                          <w:r w:rsidRPr="00A075A9">
                            <w:rPr>
                              <w:rFonts w:ascii="Palatino" w:eastAsiaTheme="minorEastAsia" w:hAnsi="Palatino" w:cs="Arial"/>
                              <w:i/>
                              <w:color w:val="156570"/>
                            </w:rPr>
                            <w:t>PSE IRP</w:t>
                          </w:r>
                          <w:r>
                            <w:rPr>
                              <w:rFonts w:ascii="Palatino" w:eastAsiaTheme="minorEastAsia" w:hAnsi="Palatino" w:cs="Arial"/>
                              <w:i/>
                              <w:color w:val="156570"/>
                            </w:rPr>
                            <w:t xml:space="preserve"> DRAFT, JULY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8" type="#_x0000_t202" style="position:absolute;left:0;text-align:left;margin-left:400.05pt;margin-top:729.3pt;width:171pt;height:1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" filled="f" stroked="f">
              <v:path arrowok="t"/>
              <v:textbox>
                <w:txbxContent>
                  <w:p w:rsidR="000D5429" w:rsidRDefault="000D5429" w:rsidP="00490139">
                    <w:r w:rsidRPr="00A075A9">
                      <w:rPr>
                        <w:rFonts w:ascii="Palatino" w:eastAsiaTheme="minorEastAsia" w:hAnsi="Palatino" w:cs="Arial"/>
                        <w:i/>
                        <w:color w:val="156570"/>
                      </w:rPr>
                      <w:t>PSE IRP</w:t>
                    </w:r>
                    <w:r>
                      <w:rPr>
                        <w:rFonts w:ascii="Palatino" w:eastAsiaTheme="minorEastAsia" w:hAnsi="Palatino" w:cs="Arial"/>
                        <w:i/>
                        <w:color w:val="156570"/>
                      </w:rPr>
                      <w:t xml:space="preserve"> DRAFT, JULY 2015</w:t>
                    </w:r>
                  </w:p>
                </w:txbxContent>
              </v:textbox>
            </v:shape>
          </w:pict>
        </mc:Fallback>
      </mc:AlternateContent>
    </w:r>
    <w:r w:rsidR="00702A09">
      <w:rPr>
        <w:i/>
        <w:noProof/>
        <w:color w:val="006C71"/>
        <w:lang w:eastAsia="en-US"/>
      </w:rPr>
      <w:t>2015 PSE IRP</w:t>
    </w:r>
  </w:p>
  <w:p w:rsidR="00702A09" w:rsidRPr="0020632A" w:rsidRDefault="00702A09" w:rsidP="0020632A">
    <w:pPr>
      <w:pStyle w:val="Footer"/>
      <w:jc w:val="center"/>
      <w:rPr>
        <w:rFonts w:ascii="Palatino" w:hAnsi="Palatino"/>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09" w:rsidRDefault="00702A0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A09" w:rsidRDefault="00702A09" w:rsidP="00601E72">
      <w:r>
        <w:separator/>
      </w:r>
    </w:p>
  </w:footnote>
  <w:footnote w:type="continuationSeparator" w:id="0">
    <w:p w:rsidR="00702A09" w:rsidRDefault="00702A09" w:rsidP="00601E72">
      <w:r>
        <w:continuationSeparator/>
      </w:r>
    </w:p>
  </w:footnote>
  <w:footnote w:id="1">
    <w:p w:rsidR="00702A09" w:rsidRPr="0024560D" w:rsidRDefault="00702A09" w:rsidP="0038519F">
      <w:pPr>
        <w:pStyle w:val="IRPfooter"/>
        <w:spacing w:line="276" w:lineRule="auto"/>
        <w:rPr>
          <w:sz w:val="18"/>
          <w:szCs w:val="18"/>
        </w:rPr>
      </w:pPr>
      <w:r w:rsidRPr="0024560D">
        <w:rPr>
          <w:rStyle w:val="FootnoteReference"/>
          <w:sz w:val="18"/>
          <w:szCs w:val="18"/>
          <w:vertAlign w:val="baseline"/>
        </w:rPr>
        <w:footnoteRef/>
      </w:r>
      <w:r w:rsidRPr="0024560D">
        <w:rPr>
          <w:sz w:val="18"/>
          <w:szCs w:val="18"/>
        </w:rPr>
        <w:t xml:space="preserve"> / GTM Research, U.S. Energy Storage Monitor, 2014 Year in Review.</w:t>
      </w:r>
      <w:r>
        <w:rPr>
          <w:sz w:val="18"/>
          <w:szCs w:val="18"/>
        </w:rPr>
        <w:t xml:space="preserve"> The estimated 220 MW of deployments represents residential, non-residential and utility solar installations in 2015.</w:t>
      </w:r>
    </w:p>
  </w:footnote>
  <w:footnote w:id="2">
    <w:p w:rsidR="00702A09" w:rsidRPr="0024560D" w:rsidRDefault="00702A09" w:rsidP="0038519F">
      <w:pPr>
        <w:pStyle w:val="IRPfooter"/>
        <w:spacing w:line="276" w:lineRule="auto"/>
        <w:rPr>
          <w:sz w:val="18"/>
          <w:szCs w:val="18"/>
        </w:rPr>
      </w:pPr>
      <w:r w:rsidRPr="0024560D">
        <w:rPr>
          <w:rStyle w:val="FootnoteReference"/>
          <w:sz w:val="18"/>
          <w:szCs w:val="18"/>
          <w:vertAlign w:val="baseline"/>
        </w:rPr>
        <w:footnoteRef/>
      </w:r>
      <w:r w:rsidRPr="0024560D">
        <w:rPr>
          <w:sz w:val="18"/>
          <w:szCs w:val="18"/>
        </w:rPr>
        <w:t xml:space="preserve"> / California D. 13-10-040 (“the Storage Decision”). In October 2013, the CPUC adopted an energy storage procurement framework and established an energy storage target of 1,325 megawatts for PG&amp;E, Southern California Edison and SDG&amp;E by 2020, with installations required no later than the end of 2024. </w:t>
      </w:r>
    </w:p>
  </w:footnote>
  <w:footnote w:id="3">
    <w:p w:rsidR="00702A09" w:rsidRPr="0024560D" w:rsidRDefault="00702A09" w:rsidP="0038519F">
      <w:pPr>
        <w:pStyle w:val="IRPfooter"/>
        <w:spacing w:line="276" w:lineRule="auto"/>
        <w:rPr>
          <w:sz w:val="18"/>
          <w:szCs w:val="18"/>
        </w:rPr>
      </w:pPr>
      <w:r w:rsidRPr="0024560D">
        <w:rPr>
          <w:rStyle w:val="FootnoteReference"/>
          <w:sz w:val="18"/>
          <w:szCs w:val="18"/>
          <w:vertAlign w:val="baseline"/>
        </w:rPr>
        <w:footnoteRef/>
      </w:r>
      <w:r w:rsidRPr="0024560D">
        <w:rPr>
          <w:sz w:val="18"/>
          <w:szCs w:val="18"/>
        </w:rPr>
        <w:t xml:space="preserve"> / Southern California Edison testimony filed with California Public Utilities Commission in support of 2014 Energy Storage Application, 2/28/2014. Retrieved from https://scees.accionpower.com/_scees_1401/documents.asp?strFolder=d. SCE Regulatory Filings/&amp;filedown=&amp;HideFiles=True.</w:t>
      </w:r>
    </w:p>
  </w:footnote>
  <w:footnote w:id="4">
    <w:p w:rsidR="00702A09" w:rsidRPr="0038519F" w:rsidRDefault="00702A09" w:rsidP="0038519F">
      <w:pPr>
        <w:pStyle w:val="IRPfooter"/>
        <w:spacing w:line="276" w:lineRule="auto"/>
        <w:rPr>
          <w:sz w:val="16"/>
          <w:szCs w:val="16"/>
        </w:rPr>
      </w:pPr>
      <w:r w:rsidRPr="0024560D">
        <w:rPr>
          <w:rStyle w:val="FootnoteReference"/>
          <w:sz w:val="18"/>
          <w:szCs w:val="18"/>
          <w:vertAlign w:val="baseline"/>
        </w:rPr>
        <w:footnoteRef/>
      </w:r>
      <w:r w:rsidRPr="0024560D">
        <w:rPr>
          <w:sz w:val="18"/>
          <w:szCs w:val="18"/>
        </w:rPr>
        <w:t xml:space="preserve"> / Hawaiian Electric Company web site. “Hawaiian electric close to selecting energy storage providers for Oahu,” 9/29/2014. Retrieved from http://www.hawaiianelectric.com/heco/_hidden_Hidden/CorpComm/Hawaiian-Electric-close-to-selecting-energy-storage-providers-for-Oahu?cpsextcurrchannel=1.</w:t>
      </w:r>
    </w:p>
  </w:footnote>
  <w:footnote w:id="5">
    <w:p w:rsidR="00702A09" w:rsidRPr="0024560D" w:rsidRDefault="00702A09" w:rsidP="0038519F">
      <w:pPr>
        <w:pStyle w:val="IRPfooter"/>
        <w:spacing w:line="276" w:lineRule="auto"/>
        <w:rPr>
          <w:sz w:val="18"/>
          <w:szCs w:val="18"/>
        </w:rPr>
      </w:pPr>
      <w:r w:rsidRPr="0024560D">
        <w:rPr>
          <w:rStyle w:val="FootnoteReference"/>
          <w:sz w:val="18"/>
          <w:szCs w:val="18"/>
          <w:vertAlign w:val="baseline"/>
        </w:rPr>
        <w:footnoteRef/>
      </w:r>
      <w:r w:rsidRPr="0024560D">
        <w:rPr>
          <w:sz w:val="18"/>
          <w:szCs w:val="18"/>
        </w:rPr>
        <w:t xml:space="preserve"> / PG&amp;E web site, 2014 Energy Storage RFO, “Protocol,” page 12, 1/27/15. Retrieved from http://www.pge.com/en/b2b/energysupply/wholesaleelectricsuppliersolicitation/RFO/ES_RFO2014/index.page.</w:t>
      </w:r>
    </w:p>
  </w:footnote>
  <w:footnote w:id="6">
    <w:p w:rsidR="00702A09" w:rsidRPr="0024560D" w:rsidRDefault="00702A09" w:rsidP="00CC5634">
      <w:pPr>
        <w:pStyle w:val="IRPfooter"/>
        <w:spacing w:line="276" w:lineRule="auto"/>
        <w:rPr>
          <w:color w:val="000000" w:themeColor="text1"/>
          <w:sz w:val="18"/>
          <w:szCs w:val="18"/>
        </w:rPr>
      </w:pPr>
      <w:r w:rsidRPr="0024560D">
        <w:rPr>
          <w:rStyle w:val="FootnoteReference"/>
          <w:color w:val="000000" w:themeColor="text1"/>
          <w:sz w:val="18"/>
          <w:szCs w:val="18"/>
          <w:vertAlign w:val="baseline"/>
        </w:rPr>
        <w:footnoteRef/>
      </w:r>
      <w:r w:rsidRPr="0024560D">
        <w:rPr>
          <w:color w:val="000000" w:themeColor="text1"/>
          <w:sz w:val="18"/>
          <w:szCs w:val="18"/>
        </w:rPr>
        <w:t xml:space="preserve"> / PG&amp;E web site, 2014 Energy Storage RFO, “Appendix E1 - Information for PSA, Distribution Deferral ES,” </w:t>
      </w:r>
      <w:r>
        <w:rPr>
          <w:color w:val="000000" w:themeColor="text1"/>
          <w:sz w:val="18"/>
          <w:szCs w:val="18"/>
        </w:rPr>
        <w:br/>
      </w:r>
      <w:r w:rsidRPr="0024560D">
        <w:rPr>
          <w:color w:val="000000" w:themeColor="text1"/>
          <w:sz w:val="18"/>
          <w:szCs w:val="18"/>
        </w:rPr>
        <w:t xml:space="preserve">page 1. Retrieved from </w:t>
      </w:r>
      <w:r w:rsidRPr="0024560D">
        <w:rPr>
          <w:sz w:val="18"/>
          <w:szCs w:val="18"/>
        </w:rPr>
        <w:t>http://www.pge.com/en/b2b/energysupply/wholesaleelectricsuppliersolicitation/RFO/ES_RFO2014/index.page</w:t>
      </w:r>
      <w:r w:rsidRPr="0024560D">
        <w:rPr>
          <w:color w:val="000000" w:themeColor="text1"/>
          <w:sz w:val="18"/>
          <w:szCs w:val="18"/>
        </w:rPr>
        <w:t xml:space="preserve"> (1/27/15).</w:t>
      </w:r>
    </w:p>
  </w:footnote>
  <w:footnote w:id="7">
    <w:p w:rsidR="00702A09" w:rsidRPr="0024560D" w:rsidRDefault="00702A09" w:rsidP="00CC5634">
      <w:pPr>
        <w:pStyle w:val="IRPfooter"/>
        <w:spacing w:line="276" w:lineRule="auto"/>
        <w:rPr>
          <w:sz w:val="18"/>
          <w:szCs w:val="18"/>
        </w:rPr>
      </w:pPr>
      <w:r w:rsidRPr="0024560D">
        <w:rPr>
          <w:rStyle w:val="FootnoteReference"/>
          <w:color w:val="000000" w:themeColor="text1"/>
          <w:sz w:val="18"/>
          <w:szCs w:val="18"/>
          <w:vertAlign w:val="baseline"/>
        </w:rPr>
        <w:footnoteRef/>
      </w:r>
      <w:r w:rsidRPr="0024560D">
        <w:rPr>
          <w:color w:val="000000" w:themeColor="text1"/>
          <w:sz w:val="18"/>
          <w:szCs w:val="18"/>
        </w:rPr>
        <w:t xml:space="preserve"> / Avista 2015 Electric Integrated Resource Plan Technical Advisory Committee Meeting No. 1 Presentation</w:t>
      </w:r>
    </w:p>
  </w:footnote>
  <w:footnote w:id="8">
    <w:p w:rsidR="00702A09" w:rsidRPr="0024560D" w:rsidRDefault="00702A09" w:rsidP="00CC5634">
      <w:pPr>
        <w:pStyle w:val="IRPfooter"/>
        <w:spacing w:line="276" w:lineRule="auto"/>
        <w:rPr>
          <w:rFonts w:eastAsia="Times New Roman" w:cs="Arial"/>
          <w:color w:val="000000"/>
          <w:sz w:val="18"/>
          <w:szCs w:val="18"/>
        </w:rPr>
      </w:pPr>
      <w:r w:rsidRPr="007716A0">
        <w:rPr>
          <w:rStyle w:val="FootnoteReference"/>
          <w:sz w:val="18"/>
          <w:szCs w:val="18"/>
          <w:vertAlign w:val="baseline"/>
        </w:rPr>
        <w:footnoteRef/>
      </w:r>
      <w:r w:rsidRPr="007716A0">
        <w:rPr>
          <w:sz w:val="18"/>
          <w:szCs w:val="18"/>
        </w:rPr>
        <w:t xml:space="preserve"> /</w:t>
      </w:r>
      <w:r w:rsidRPr="0024560D">
        <w:rPr>
          <w:sz w:val="18"/>
          <w:szCs w:val="18"/>
        </w:rPr>
        <w:t xml:space="preserve"> U.S. Federal Energy Regulatory Commission 1995, Promoting Wholesale Competition Through Open Access Non-discriminatory Transmission Services by Public Utilities, Docket RM95-8-000, Washington, DC, March 29. </w:t>
      </w:r>
    </w:p>
    <w:p w:rsidR="00702A09" w:rsidRPr="00BA4503" w:rsidRDefault="00702A09" w:rsidP="00CC5634">
      <w:pPr>
        <w:pStyle w:val="FootnoteText"/>
        <w:rPr>
          <w:rFonts w:asciiTheme="majorHAnsi" w:hAnsiTheme="majorHAnsi"/>
        </w:rPr>
      </w:pPr>
    </w:p>
  </w:footnote>
  <w:footnote w:id="9">
    <w:p w:rsidR="00702A09" w:rsidRPr="0024560D" w:rsidRDefault="00702A09" w:rsidP="0024560D">
      <w:pPr>
        <w:pStyle w:val="IRPfooter"/>
        <w:rPr>
          <w:color w:val="000000" w:themeColor="text1"/>
          <w:sz w:val="18"/>
          <w:szCs w:val="18"/>
        </w:rPr>
      </w:pPr>
      <w:r w:rsidRPr="0024560D">
        <w:rPr>
          <w:rStyle w:val="FootnoteReference"/>
          <w:sz w:val="18"/>
          <w:szCs w:val="18"/>
          <w:vertAlign w:val="baseline"/>
        </w:rPr>
        <w:footnoteRef/>
      </w:r>
      <w:r w:rsidRPr="0024560D">
        <w:rPr>
          <w:sz w:val="18"/>
          <w:szCs w:val="18"/>
        </w:rPr>
        <w:t xml:space="preserve"> / </w:t>
      </w:r>
      <w:r w:rsidRPr="0024560D">
        <w:rPr>
          <w:color w:val="000000" w:themeColor="text1"/>
          <w:sz w:val="18"/>
          <w:szCs w:val="18"/>
        </w:rPr>
        <w:t xml:space="preserve">Source: </w:t>
      </w:r>
      <w:r>
        <w:rPr>
          <w:iCs/>
          <w:color w:val="000000" w:themeColor="text1"/>
          <w:sz w:val="18"/>
          <w:szCs w:val="18"/>
        </w:rPr>
        <w:t>U.S. Department of Energy</w:t>
      </w:r>
      <w:r w:rsidRPr="0024560D">
        <w:rPr>
          <w:iCs/>
          <w:color w:val="000000" w:themeColor="text1"/>
          <w:sz w:val="18"/>
          <w:szCs w:val="18"/>
        </w:rPr>
        <w:t xml:space="preserve"> Global Energy Storage Database (</w:t>
      </w:r>
      <w:r>
        <w:rPr>
          <w:iCs/>
          <w:color w:val="000000" w:themeColor="text1"/>
          <w:sz w:val="18"/>
          <w:szCs w:val="18"/>
        </w:rPr>
        <w:t xml:space="preserve">DOE </w:t>
      </w:r>
      <w:r w:rsidRPr="0024560D">
        <w:rPr>
          <w:iCs/>
          <w:color w:val="000000" w:themeColor="text1"/>
          <w:sz w:val="18"/>
          <w:szCs w:val="18"/>
        </w:rPr>
        <w:t>GESDB)</w:t>
      </w:r>
      <w:r>
        <w:rPr>
          <w:iCs/>
          <w:color w:val="000000" w:themeColor="text1"/>
          <w:sz w:val="18"/>
          <w:szCs w:val="18"/>
        </w:rPr>
        <w:t>, August 2015</w:t>
      </w:r>
      <w:r w:rsidRPr="0024560D">
        <w:rPr>
          <w:iCs/>
          <w:color w:val="000000" w:themeColor="text1"/>
          <w:sz w:val="18"/>
          <w:szCs w:val="18"/>
        </w:rPr>
        <w:t xml:space="preserve"> </w:t>
      </w:r>
      <w:r w:rsidRPr="0024560D">
        <w:rPr>
          <w:color w:val="000000" w:themeColor="text1"/>
          <w:sz w:val="18"/>
          <w:szCs w:val="18"/>
        </w:rPr>
        <w:t>(</w:t>
      </w:r>
      <w:r w:rsidRPr="0024560D">
        <w:rPr>
          <w:sz w:val="18"/>
          <w:szCs w:val="18"/>
        </w:rPr>
        <w:t>http://www.energystorageexchange.org</w:t>
      </w:r>
      <w:r>
        <w:rPr>
          <w:color w:val="000000" w:themeColor="text1"/>
          <w:sz w:val="18"/>
          <w:szCs w:val="18"/>
        </w:rPr>
        <w:t>)</w:t>
      </w:r>
    </w:p>
  </w:footnote>
  <w:footnote w:id="10">
    <w:p w:rsidR="00702A09" w:rsidRPr="0024560D" w:rsidRDefault="00702A09" w:rsidP="0024560D">
      <w:pPr>
        <w:pStyle w:val="IRPfooter"/>
        <w:rPr>
          <w:sz w:val="18"/>
          <w:szCs w:val="18"/>
        </w:rPr>
      </w:pPr>
      <w:r w:rsidRPr="0024560D">
        <w:rPr>
          <w:rStyle w:val="FootnoteReference"/>
          <w:sz w:val="18"/>
          <w:szCs w:val="18"/>
          <w:vertAlign w:val="baseline"/>
        </w:rPr>
        <w:footnoteRef/>
      </w:r>
      <w:r w:rsidRPr="0024560D">
        <w:rPr>
          <w:sz w:val="18"/>
          <w:szCs w:val="18"/>
        </w:rPr>
        <w:t xml:space="preserve"> / Navigant (2012)</w:t>
      </w:r>
    </w:p>
  </w:footnote>
  <w:footnote w:id="11">
    <w:p w:rsidR="00702A09" w:rsidRPr="0024560D" w:rsidRDefault="00702A09" w:rsidP="0024560D">
      <w:pPr>
        <w:pStyle w:val="IRPfooter"/>
        <w:rPr>
          <w:sz w:val="18"/>
          <w:szCs w:val="18"/>
        </w:rPr>
      </w:pPr>
      <w:r w:rsidRPr="0024560D">
        <w:rPr>
          <w:rStyle w:val="FootnoteReference"/>
          <w:sz w:val="18"/>
          <w:szCs w:val="18"/>
          <w:vertAlign w:val="baseline"/>
        </w:rPr>
        <w:footnoteRef/>
      </w:r>
      <w:r w:rsidRPr="0024560D">
        <w:rPr>
          <w:sz w:val="18"/>
          <w:szCs w:val="18"/>
        </w:rPr>
        <w:t xml:space="preserve"> / DOE-EPRI 2013 Energy Storage Handbook</w:t>
      </w:r>
    </w:p>
  </w:footnote>
  <w:footnote w:id="12">
    <w:p w:rsidR="00702A09" w:rsidRPr="0024560D" w:rsidRDefault="00702A09" w:rsidP="0024560D">
      <w:pPr>
        <w:pStyle w:val="IRPfooter"/>
        <w:rPr>
          <w:sz w:val="18"/>
          <w:szCs w:val="18"/>
        </w:rPr>
      </w:pPr>
      <w:r w:rsidRPr="0024560D">
        <w:rPr>
          <w:rStyle w:val="FootnoteReference"/>
          <w:sz w:val="18"/>
          <w:szCs w:val="18"/>
          <w:vertAlign w:val="baseline"/>
        </w:rPr>
        <w:footnoteRef/>
      </w:r>
      <w:r w:rsidRPr="0024560D">
        <w:rPr>
          <w:sz w:val="18"/>
          <w:szCs w:val="18"/>
        </w:rPr>
        <w:t xml:space="preserve"> / DOE-EPRI 2013 Energy Storage Handbook</w:t>
      </w:r>
    </w:p>
  </w:footnote>
  <w:footnote w:id="13">
    <w:p w:rsidR="00702A09" w:rsidRPr="0039733A" w:rsidRDefault="00702A09" w:rsidP="0024560D">
      <w:pPr>
        <w:pStyle w:val="IRPfooter"/>
      </w:pPr>
      <w:r w:rsidRPr="0024560D">
        <w:rPr>
          <w:rStyle w:val="FootnoteReference"/>
          <w:sz w:val="18"/>
          <w:szCs w:val="18"/>
          <w:vertAlign w:val="baseline"/>
        </w:rPr>
        <w:footnoteRef/>
      </w:r>
      <w:r w:rsidRPr="0024560D">
        <w:rPr>
          <w:sz w:val="18"/>
          <w:szCs w:val="18"/>
        </w:rPr>
        <w:t xml:space="preserve"> / DOE-EPRI 2013 Energy Storage Handbook</w:t>
      </w:r>
    </w:p>
  </w:footnote>
  <w:footnote w:id="14">
    <w:p w:rsidR="00702A09" w:rsidRPr="00FD5630" w:rsidRDefault="00702A09" w:rsidP="008E5195">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CELA, Sandia (2012)</w:t>
      </w:r>
    </w:p>
  </w:footnote>
  <w:footnote w:id="15">
    <w:p w:rsidR="00702A09" w:rsidRPr="00FD5630" w:rsidRDefault="00702A09" w:rsidP="008E5195">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IEC (2011)</w:t>
      </w:r>
    </w:p>
  </w:footnote>
  <w:footnote w:id="16">
    <w:p w:rsidR="00702A09" w:rsidRPr="00A960CB" w:rsidRDefault="00702A09" w:rsidP="00A960CB">
      <w:pPr>
        <w:pStyle w:val="IRPfooter"/>
        <w:rPr>
          <w:color w:val="000000" w:themeColor="text1"/>
          <w:sz w:val="18"/>
          <w:szCs w:val="18"/>
        </w:rPr>
      </w:pPr>
      <w:r w:rsidRPr="005929BF">
        <w:rPr>
          <w:rStyle w:val="FootnoteReference"/>
          <w:sz w:val="18"/>
          <w:vertAlign w:val="baseline"/>
        </w:rPr>
        <w:footnoteRef/>
      </w:r>
      <w:r>
        <w:t xml:space="preserve"> / </w:t>
      </w:r>
      <w:r>
        <w:rPr>
          <w:iCs/>
          <w:color w:val="000000" w:themeColor="text1"/>
          <w:sz w:val="18"/>
          <w:szCs w:val="18"/>
        </w:rPr>
        <w:t>DOE GESDB (2015)</w:t>
      </w:r>
    </w:p>
  </w:footnote>
  <w:footnote w:id="17">
    <w:p w:rsidR="00702A09" w:rsidRPr="008E5195" w:rsidRDefault="00702A09" w:rsidP="008E5195">
      <w:pPr>
        <w:pStyle w:val="IRPfooter"/>
        <w:spacing w:line="276" w:lineRule="auto"/>
        <w:rPr>
          <w:sz w:val="16"/>
          <w:szCs w:val="16"/>
        </w:rPr>
      </w:pPr>
      <w:r w:rsidRPr="00FD5630">
        <w:rPr>
          <w:rStyle w:val="FootnoteReference"/>
          <w:sz w:val="18"/>
          <w:szCs w:val="18"/>
          <w:vertAlign w:val="baseline"/>
        </w:rPr>
        <w:footnoteRef/>
      </w:r>
      <w:r w:rsidRPr="00FD5630">
        <w:rPr>
          <w:sz w:val="18"/>
          <w:szCs w:val="18"/>
        </w:rPr>
        <w:t xml:space="preserve"> / DOE GESDB (201</w:t>
      </w:r>
      <w:r>
        <w:rPr>
          <w:sz w:val="18"/>
          <w:szCs w:val="18"/>
        </w:rPr>
        <w:t>5</w:t>
      </w:r>
      <w:r w:rsidRPr="00FD5630">
        <w:rPr>
          <w:sz w:val="18"/>
          <w:szCs w:val="18"/>
        </w:rPr>
        <w:t>)</w:t>
      </w:r>
    </w:p>
  </w:footnote>
  <w:footnote w:id="18">
    <w:p w:rsidR="00702A09" w:rsidRPr="00FD5630" w:rsidRDefault="00702A09" w:rsidP="00E40E4B">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DOE GESDB (201</w:t>
      </w:r>
      <w:r>
        <w:rPr>
          <w:sz w:val="18"/>
          <w:szCs w:val="18"/>
        </w:rPr>
        <w:t>5</w:t>
      </w:r>
      <w:r w:rsidRPr="00FD5630">
        <w:rPr>
          <w:sz w:val="18"/>
          <w:szCs w:val="18"/>
        </w:rPr>
        <w:t>)</w:t>
      </w:r>
    </w:p>
  </w:footnote>
  <w:footnote w:id="19">
    <w:p w:rsidR="00702A09" w:rsidRPr="00FD5630" w:rsidRDefault="00702A09" w:rsidP="00E40E4B">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Yoshio et al. (2009)</w:t>
      </w:r>
    </w:p>
  </w:footnote>
  <w:footnote w:id="20">
    <w:p w:rsidR="00702A09" w:rsidRPr="00FD5630" w:rsidRDefault="00702A09" w:rsidP="00E40E4B">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Hardin (2014)</w:t>
      </w:r>
    </w:p>
  </w:footnote>
  <w:footnote w:id="21">
    <w:p w:rsidR="00702A09" w:rsidRPr="0039733A" w:rsidRDefault="00702A09" w:rsidP="00E40E4B">
      <w:pPr>
        <w:pStyle w:val="Body"/>
        <w:rPr>
          <w:sz w:val="20"/>
        </w:rPr>
      </w:pPr>
      <w:r w:rsidRPr="00FD5630">
        <w:rPr>
          <w:rStyle w:val="FootnoteReference"/>
          <w:rFonts w:ascii="Palatino" w:hAnsi="Palatino"/>
          <w:i/>
          <w:sz w:val="18"/>
          <w:szCs w:val="18"/>
          <w:vertAlign w:val="baseline"/>
        </w:rPr>
        <w:footnoteRef/>
      </w:r>
      <w:r w:rsidRPr="00FD5630">
        <w:rPr>
          <w:rFonts w:ascii="Palatino" w:hAnsi="Palatino"/>
          <w:i/>
          <w:sz w:val="18"/>
          <w:szCs w:val="18"/>
        </w:rPr>
        <w:t xml:space="preserve"> / Citi (2012)</w:t>
      </w:r>
    </w:p>
  </w:footnote>
  <w:footnote w:id="22">
    <w:p w:rsidR="00702A09" w:rsidRPr="00FD5630" w:rsidRDefault="00702A09" w:rsidP="00E40E4B">
      <w:pPr>
        <w:pStyle w:val="Body"/>
        <w:rPr>
          <w:rFonts w:ascii="Palatino" w:hAnsi="Palatino"/>
          <w:i/>
          <w:sz w:val="18"/>
          <w:szCs w:val="18"/>
        </w:rPr>
      </w:pPr>
      <w:r w:rsidRPr="00FD5630">
        <w:rPr>
          <w:rStyle w:val="FootnoteReference"/>
          <w:rFonts w:ascii="Palatino" w:hAnsi="Palatino"/>
          <w:i/>
          <w:sz w:val="18"/>
          <w:szCs w:val="18"/>
          <w:vertAlign w:val="baseline"/>
        </w:rPr>
        <w:footnoteRef/>
      </w:r>
      <w:r w:rsidRPr="00FD5630">
        <w:rPr>
          <w:rFonts w:ascii="Palatino" w:hAnsi="Palatino"/>
          <w:i/>
          <w:sz w:val="18"/>
          <w:szCs w:val="18"/>
        </w:rPr>
        <w:t xml:space="preserve"> / PNNL (2012)</w:t>
      </w:r>
    </w:p>
  </w:footnote>
  <w:footnote w:id="23">
    <w:p w:rsidR="00702A09" w:rsidRPr="0068203F" w:rsidRDefault="00702A09">
      <w:pPr>
        <w:pStyle w:val="FootnoteText"/>
        <w:rPr>
          <w:rFonts w:ascii="Palatino" w:hAnsi="Palatino"/>
          <w:i/>
        </w:rPr>
      </w:pPr>
      <w:r w:rsidRPr="005929BF">
        <w:rPr>
          <w:rStyle w:val="FootnoteReference"/>
          <w:rFonts w:ascii="Palatino" w:hAnsi="Palatino"/>
          <w:i/>
          <w:sz w:val="18"/>
          <w:vertAlign w:val="baseline"/>
        </w:rPr>
        <w:footnoteRef/>
      </w:r>
      <w:r w:rsidRPr="0068203F">
        <w:rPr>
          <w:rFonts w:ascii="Palatino" w:hAnsi="Palatino"/>
          <w:i/>
        </w:rPr>
        <w:t xml:space="preserve"> /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24">
    <w:p w:rsidR="00702A09" w:rsidRPr="00893878" w:rsidRDefault="00702A09" w:rsidP="00893878">
      <w:pPr>
        <w:pStyle w:val="IRPfooter"/>
        <w:spacing w:line="276" w:lineRule="auto"/>
        <w:rPr>
          <w:sz w:val="16"/>
          <w:szCs w:val="16"/>
        </w:rPr>
      </w:pPr>
      <w:r w:rsidRPr="00FD5630">
        <w:rPr>
          <w:rStyle w:val="FootnoteReference"/>
          <w:sz w:val="18"/>
          <w:szCs w:val="18"/>
          <w:vertAlign w:val="baseline"/>
        </w:rPr>
        <w:footnoteRef/>
      </w:r>
      <w:r w:rsidRPr="00FD5630">
        <w:rPr>
          <w:sz w:val="18"/>
          <w:szCs w:val="18"/>
        </w:rPr>
        <w:t xml:space="preserve"> / DOE GESDB (201</w:t>
      </w:r>
      <w:r>
        <w:rPr>
          <w:sz w:val="18"/>
          <w:szCs w:val="18"/>
        </w:rPr>
        <w:t>5</w:t>
      </w:r>
      <w:r w:rsidRPr="00FD5630">
        <w:rPr>
          <w:sz w:val="18"/>
          <w:szCs w:val="18"/>
        </w:rPr>
        <w:t>)</w:t>
      </w:r>
    </w:p>
  </w:footnote>
  <w:footnote w:id="25">
    <w:p w:rsidR="00702A09" w:rsidRPr="00FD5630" w:rsidRDefault="00702A09" w:rsidP="00893878">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DOE-EPRI 2013 Energy Storage Handbook</w:t>
      </w:r>
    </w:p>
  </w:footnote>
  <w:footnote w:id="26">
    <w:p w:rsidR="00702A09" w:rsidRPr="00FD5630" w:rsidRDefault="00702A09" w:rsidP="00893878">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DOE-EPRI 2013 Energy Storage Handbook</w:t>
      </w:r>
    </w:p>
  </w:footnote>
  <w:footnote w:id="27">
    <w:p w:rsidR="00702A09" w:rsidRPr="0039733A" w:rsidRDefault="00702A09" w:rsidP="00893878">
      <w:pPr>
        <w:pStyle w:val="IRPfooter"/>
        <w:spacing w:line="276" w:lineRule="auto"/>
      </w:pPr>
      <w:r w:rsidRPr="00FD5630">
        <w:rPr>
          <w:rStyle w:val="FootnoteReference"/>
          <w:sz w:val="18"/>
          <w:szCs w:val="18"/>
          <w:vertAlign w:val="baseline"/>
        </w:rPr>
        <w:footnoteRef/>
      </w:r>
      <w:r>
        <w:rPr>
          <w:sz w:val="18"/>
          <w:szCs w:val="18"/>
        </w:rPr>
        <w:t xml:space="preserve"> </w:t>
      </w:r>
      <w:r w:rsidRPr="00FD5630">
        <w:rPr>
          <w:sz w:val="18"/>
          <w:szCs w:val="18"/>
        </w:rPr>
        <w:t>/  SBC Energy Institute (2013)</w:t>
      </w:r>
    </w:p>
  </w:footnote>
  <w:footnote w:id="28">
    <w:p w:rsidR="00702A09" w:rsidRPr="0068203F" w:rsidRDefault="00702A09">
      <w:pPr>
        <w:pStyle w:val="FootnoteText"/>
        <w:rPr>
          <w:rFonts w:ascii="Palatino" w:hAnsi="Palatino"/>
          <w:i/>
        </w:rPr>
      </w:pPr>
      <w:r w:rsidRPr="005929BF">
        <w:rPr>
          <w:rStyle w:val="FootnoteReference"/>
          <w:rFonts w:ascii="Palatino" w:hAnsi="Palatino"/>
          <w:i/>
          <w:sz w:val="18"/>
          <w:vertAlign w:val="baseline"/>
        </w:rPr>
        <w:footnoteRef/>
      </w:r>
      <w:r w:rsidRPr="0068203F">
        <w:rPr>
          <w:rFonts w:ascii="Palatino" w:hAnsi="Palatino"/>
          <w:i/>
        </w:rPr>
        <w:t xml:space="preserve"> /</w:t>
      </w:r>
      <w:r>
        <w:rPr>
          <w:rFonts w:ascii="Palatino" w:hAnsi="Palatino"/>
          <w:i/>
        </w:rPr>
        <w:t xml:space="preserve">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29">
    <w:p w:rsidR="00702A09" w:rsidRPr="007F7A43" w:rsidRDefault="00702A09" w:rsidP="00893878">
      <w:pPr>
        <w:pStyle w:val="FootnoteText"/>
        <w:rPr>
          <w:rFonts w:ascii="Palatino" w:hAnsi="Palatino"/>
          <w:i/>
          <w:sz w:val="18"/>
          <w:szCs w:val="18"/>
        </w:rPr>
      </w:pPr>
      <w:r w:rsidRPr="0068203F">
        <w:rPr>
          <w:rStyle w:val="FootnoteReference"/>
          <w:rFonts w:ascii="Palatino" w:hAnsi="Palatino"/>
          <w:i/>
          <w:sz w:val="18"/>
          <w:szCs w:val="18"/>
          <w:vertAlign w:val="baseline"/>
        </w:rPr>
        <w:footnoteRef/>
      </w:r>
      <w:r w:rsidRPr="0068203F">
        <w:rPr>
          <w:rFonts w:ascii="Palatino" w:hAnsi="Palatino"/>
          <w:i/>
          <w:sz w:val="18"/>
          <w:szCs w:val="18"/>
        </w:rPr>
        <w:t xml:space="preserve"> / IEC (2011)</w:t>
      </w:r>
    </w:p>
  </w:footnote>
  <w:footnote w:id="30">
    <w:p w:rsidR="00702A09" w:rsidRPr="007F7A43" w:rsidRDefault="00702A09" w:rsidP="00893878">
      <w:pPr>
        <w:pStyle w:val="IRPfooter"/>
        <w:spacing w:line="276" w:lineRule="auto"/>
        <w:rPr>
          <w:sz w:val="18"/>
          <w:szCs w:val="18"/>
        </w:rPr>
      </w:pPr>
      <w:r w:rsidRPr="007F7A43">
        <w:rPr>
          <w:rStyle w:val="FootnoteReference"/>
          <w:sz w:val="18"/>
          <w:szCs w:val="18"/>
          <w:vertAlign w:val="baseline"/>
        </w:rPr>
        <w:footnoteRef/>
      </w:r>
      <w:r w:rsidRPr="007F7A43">
        <w:rPr>
          <w:sz w:val="18"/>
          <w:szCs w:val="18"/>
        </w:rPr>
        <w:t xml:space="preserve"> / GE Website (2014)</w:t>
      </w:r>
    </w:p>
  </w:footnote>
  <w:footnote w:id="31">
    <w:p w:rsidR="00702A09" w:rsidRPr="007F7A43" w:rsidRDefault="00702A09" w:rsidP="00893878">
      <w:pPr>
        <w:pStyle w:val="IRPfooter"/>
        <w:spacing w:line="276" w:lineRule="auto"/>
        <w:rPr>
          <w:sz w:val="18"/>
          <w:szCs w:val="18"/>
        </w:rPr>
      </w:pPr>
      <w:r w:rsidRPr="007F7A43">
        <w:rPr>
          <w:rStyle w:val="FootnoteReference"/>
          <w:sz w:val="18"/>
          <w:szCs w:val="18"/>
          <w:vertAlign w:val="baseline"/>
        </w:rPr>
        <w:footnoteRef/>
      </w:r>
      <w:r w:rsidRPr="007F7A43">
        <w:rPr>
          <w:sz w:val="18"/>
          <w:szCs w:val="18"/>
        </w:rPr>
        <w:t xml:space="preserve"> / EUROBAT Website (2014)</w:t>
      </w:r>
    </w:p>
  </w:footnote>
  <w:footnote w:id="32">
    <w:p w:rsidR="00702A09" w:rsidRPr="007F7A43" w:rsidRDefault="00702A09" w:rsidP="00893878">
      <w:pPr>
        <w:pStyle w:val="IRPfooter"/>
        <w:spacing w:line="276" w:lineRule="auto"/>
        <w:rPr>
          <w:sz w:val="18"/>
          <w:szCs w:val="18"/>
        </w:rPr>
      </w:pPr>
      <w:r w:rsidRPr="007F7A43">
        <w:rPr>
          <w:rStyle w:val="FootnoteReference"/>
          <w:sz w:val="18"/>
          <w:szCs w:val="18"/>
          <w:vertAlign w:val="baseline"/>
        </w:rPr>
        <w:footnoteRef/>
      </w:r>
      <w:r w:rsidRPr="007F7A43">
        <w:rPr>
          <w:sz w:val="18"/>
          <w:szCs w:val="18"/>
        </w:rPr>
        <w:t xml:space="preserve"> / V. Antonucci (2012)</w:t>
      </w:r>
    </w:p>
  </w:footnote>
  <w:footnote w:id="33">
    <w:p w:rsidR="00702A09" w:rsidRPr="007F7A43" w:rsidRDefault="00702A09" w:rsidP="00893878">
      <w:pPr>
        <w:pStyle w:val="IRPfooter"/>
        <w:spacing w:line="276" w:lineRule="auto"/>
        <w:rPr>
          <w:sz w:val="18"/>
          <w:szCs w:val="18"/>
        </w:rPr>
      </w:pPr>
      <w:r w:rsidRPr="007F7A43">
        <w:rPr>
          <w:rStyle w:val="FootnoteReference"/>
          <w:sz w:val="18"/>
          <w:szCs w:val="18"/>
          <w:vertAlign w:val="baseline"/>
        </w:rPr>
        <w:footnoteRef/>
      </w:r>
      <w:r w:rsidRPr="007F7A43">
        <w:rPr>
          <w:sz w:val="18"/>
          <w:szCs w:val="18"/>
        </w:rPr>
        <w:t xml:space="preserve"> / DOE GESDB (201</w:t>
      </w:r>
      <w:r>
        <w:rPr>
          <w:sz w:val="18"/>
          <w:szCs w:val="18"/>
        </w:rPr>
        <w:t>5</w:t>
      </w:r>
      <w:r w:rsidRPr="007F7A43">
        <w:rPr>
          <w:sz w:val="18"/>
          <w:szCs w:val="18"/>
        </w:rPr>
        <w:t>)</w:t>
      </w:r>
    </w:p>
  </w:footnote>
  <w:footnote w:id="34">
    <w:p w:rsidR="00702A09" w:rsidRPr="0068203F" w:rsidRDefault="00702A09">
      <w:pPr>
        <w:pStyle w:val="FootnoteText"/>
        <w:rPr>
          <w:rFonts w:ascii="Palatino" w:hAnsi="Palatino"/>
          <w:i/>
        </w:rPr>
      </w:pPr>
      <w:r w:rsidRPr="0068203F">
        <w:rPr>
          <w:rStyle w:val="FootnoteReference"/>
          <w:rFonts w:ascii="Palatino" w:hAnsi="Palatino"/>
          <w:i/>
          <w:sz w:val="18"/>
          <w:vertAlign w:val="baseline"/>
        </w:rPr>
        <w:footnoteRef/>
      </w:r>
      <w:r w:rsidRPr="0068203F">
        <w:rPr>
          <w:rFonts w:ascii="Palatino" w:hAnsi="Palatino"/>
          <w:i/>
        </w:rPr>
        <w:t xml:space="preserve"> /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35">
    <w:p w:rsidR="00702A09" w:rsidRPr="00893878" w:rsidRDefault="00702A09" w:rsidP="00893878">
      <w:pPr>
        <w:pStyle w:val="IRPfooter"/>
        <w:spacing w:line="276" w:lineRule="auto"/>
        <w:rPr>
          <w:sz w:val="16"/>
          <w:szCs w:val="16"/>
        </w:rPr>
      </w:pPr>
      <w:r w:rsidRPr="007F7A43">
        <w:rPr>
          <w:rStyle w:val="FootnoteReference"/>
          <w:sz w:val="18"/>
          <w:szCs w:val="18"/>
          <w:vertAlign w:val="baseline"/>
        </w:rPr>
        <w:footnoteRef/>
      </w:r>
      <w:r w:rsidRPr="007F7A43">
        <w:rPr>
          <w:sz w:val="18"/>
          <w:szCs w:val="18"/>
        </w:rPr>
        <w:t xml:space="preserve"> / DOE GESDB (201</w:t>
      </w:r>
      <w:r>
        <w:rPr>
          <w:sz w:val="18"/>
          <w:szCs w:val="18"/>
        </w:rPr>
        <w:t>5</w:t>
      </w:r>
      <w:r w:rsidRPr="007F7A43">
        <w:rPr>
          <w:sz w:val="18"/>
          <w:szCs w:val="18"/>
        </w:rPr>
        <w:t>)</w:t>
      </w:r>
    </w:p>
  </w:footnote>
  <w:footnote w:id="36">
    <w:p w:rsidR="00702A09" w:rsidRPr="007F7A43" w:rsidRDefault="00702A09" w:rsidP="00893878">
      <w:pPr>
        <w:pStyle w:val="IRPfooter"/>
        <w:spacing w:line="276" w:lineRule="auto"/>
        <w:rPr>
          <w:sz w:val="18"/>
          <w:szCs w:val="18"/>
        </w:rPr>
      </w:pPr>
      <w:r w:rsidRPr="007F7A43">
        <w:rPr>
          <w:rStyle w:val="FootnoteReference"/>
          <w:sz w:val="18"/>
          <w:szCs w:val="18"/>
          <w:vertAlign w:val="baseline"/>
        </w:rPr>
        <w:footnoteRef/>
      </w:r>
      <w:r>
        <w:rPr>
          <w:sz w:val="18"/>
          <w:szCs w:val="18"/>
        </w:rPr>
        <w:t xml:space="preserve"> </w:t>
      </w:r>
      <w:r w:rsidRPr="007F7A43">
        <w:rPr>
          <w:sz w:val="18"/>
          <w:szCs w:val="18"/>
        </w:rPr>
        <w:t>/  DOE-EPRI 2013 Energy Storage Handbook: p109</w:t>
      </w:r>
    </w:p>
  </w:footnote>
  <w:footnote w:id="37">
    <w:p w:rsidR="00702A09" w:rsidRPr="0039733A" w:rsidRDefault="00702A09" w:rsidP="00893878">
      <w:pPr>
        <w:pStyle w:val="IRPfooter"/>
        <w:spacing w:line="276" w:lineRule="auto"/>
      </w:pPr>
      <w:r w:rsidRPr="007F7A43">
        <w:rPr>
          <w:rStyle w:val="FootnoteReference"/>
          <w:sz w:val="18"/>
          <w:szCs w:val="18"/>
          <w:vertAlign w:val="baseline"/>
        </w:rPr>
        <w:footnoteRef/>
      </w:r>
      <w:r w:rsidRPr="007F7A43">
        <w:rPr>
          <w:sz w:val="18"/>
          <w:szCs w:val="18"/>
        </w:rPr>
        <w:t xml:space="preserve"> / Linden (2001)</w:t>
      </w:r>
    </w:p>
  </w:footnote>
  <w:footnote w:id="38">
    <w:p w:rsidR="00702A09" w:rsidRPr="0068203F" w:rsidRDefault="00702A09">
      <w:pPr>
        <w:pStyle w:val="FootnoteText"/>
        <w:rPr>
          <w:rFonts w:ascii="Palatino" w:hAnsi="Palatino"/>
          <w:i/>
        </w:rPr>
      </w:pPr>
      <w:r w:rsidRPr="0068203F">
        <w:rPr>
          <w:rStyle w:val="FootnoteReference"/>
          <w:rFonts w:ascii="Palatino" w:hAnsi="Palatino"/>
          <w:i/>
          <w:sz w:val="18"/>
          <w:vertAlign w:val="baseline"/>
        </w:rPr>
        <w:footnoteRef/>
      </w:r>
      <w:r w:rsidRPr="0068203F">
        <w:rPr>
          <w:rFonts w:ascii="Palatino" w:hAnsi="Palatino"/>
          <w:i/>
        </w:rPr>
        <w:t xml:space="preserve"> /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39">
    <w:p w:rsidR="00702A09" w:rsidRPr="007F7A43" w:rsidRDefault="00702A09" w:rsidP="00B45219">
      <w:pPr>
        <w:pStyle w:val="IRPfooter"/>
        <w:spacing w:line="276" w:lineRule="auto"/>
        <w:rPr>
          <w:sz w:val="18"/>
          <w:szCs w:val="18"/>
        </w:rPr>
      </w:pPr>
      <w:r w:rsidRPr="007F7A43">
        <w:rPr>
          <w:rStyle w:val="FootnoteReference"/>
          <w:sz w:val="18"/>
          <w:szCs w:val="18"/>
          <w:vertAlign w:val="baseline"/>
        </w:rPr>
        <w:footnoteRef/>
      </w:r>
      <w:r w:rsidRPr="007F7A43">
        <w:rPr>
          <w:sz w:val="18"/>
          <w:szCs w:val="18"/>
        </w:rPr>
        <w:t xml:space="preserve"> / DOE-EPRI 2013 Energy Storage Handbook</w:t>
      </w:r>
    </w:p>
  </w:footnote>
  <w:footnote w:id="40">
    <w:p w:rsidR="00702A09" w:rsidRPr="0039733A" w:rsidRDefault="00702A09" w:rsidP="00B45219">
      <w:pPr>
        <w:pStyle w:val="IRPfooter"/>
        <w:spacing w:line="276" w:lineRule="auto"/>
      </w:pPr>
      <w:r w:rsidRPr="007F7A43">
        <w:rPr>
          <w:rStyle w:val="FootnoteReference"/>
          <w:sz w:val="18"/>
          <w:szCs w:val="18"/>
          <w:vertAlign w:val="baseline"/>
        </w:rPr>
        <w:footnoteRef/>
      </w:r>
      <w:r w:rsidRPr="007F7A43">
        <w:rPr>
          <w:sz w:val="18"/>
          <w:szCs w:val="18"/>
        </w:rPr>
        <w:t xml:space="preserve"> / Gyuk/ESTAP (2014)</w:t>
      </w:r>
    </w:p>
  </w:footnote>
  <w:footnote w:id="41">
    <w:p w:rsidR="00702A09" w:rsidRPr="000E0213" w:rsidRDefault="00702A09" w:rsidP="00B45219">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Horne/ESTAP (2014)</w:t>
      </w:r>
    </w:p>
  </w:footnote>
  <w:footnote w:id="42">
    <w:p w:rsidR="00702A09" w:rsidRPr="000E0213" w:rsidRDefault="00702A09" w:rsidP="00B45219">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IEC (2011)</w:t>
      </w:r>
    </w:p>
  </w:footnote>
  <w:footnote w:id="43">
    <w:p w:rsidR="00702A09" w:rsidRPr="000E0213" w:rsidRDefault="00702A09" w:rsidP="00B45219">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Sandia (2013)</w:t>
      </w:r>
    </w:p>
  </w:footnote>
  <w:footnote w:id="44">
    <w:p w:rsidR="00702A09" w:rsidRPr="000E0213" w:rsidRDefault="00702A09" w:rsidP="00B45219">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DOE GESDB (201</w:t>
      </w:r>
      <w:r>
        <w:rPr>
          <w:sz w:val="18"/>
          <w:szCs w:val="18"/>
        </w:rPr>
        <w:t>5</w:t>
      </w:r>
      <w:r w:rsidRPr="000E0213">
        <w:rPr>
          <w:sz w:val="18"/>
          <w:szCs w:val="18"/>
        </w:rPr>
        <w:t>)</w:t>
      </w:r>
    </w:p>
  </w:footnote>
  <w:footnote w:id="45">
    <w:p w:rsidR="00702A09" w:rsidRPr="00B55B5E" w:rsidRDefault="00702A09" w:rsidP="00B55B5E">
      <w:pPr>
        <w:pStyle w:val="IRPfooter"/>
        <w:spacing w:line="276" w:lineRule="auto"/>
        <w:rPr>
          <w:sz w:val="16"/>
          <w:szCs w:val="16"/>
        </w:rPr>
      </w:pPr>
      <w:r w:rsidRPr="000E0213">
        <w:rPr>
          <w:rStyle w:val="FootnoteReference"/>
          <w:sz w:val="18"/>
          <w:szCs w:val="18"/>
          <w:vertAlign w:val="baseline"/>
        </w:rPr>
        <w:footnoteRef/>
      </w:r>
      <w:r w:rsidRPr="000E0213">
        <w:rPr>
          <w:sz w:val="18"/>
          <w:szCs w:val="18"/>
        </w:rPr>
        <w:t xml:space="preserve"> / DOE GESDB (201</w:t>
      </w:r>
      <w:r>
        <w:rPr>
          <w:sz w:val="18"/>
          <w:szCs w:val="18"/>
        </w:rPr>
        <w:t>5</w:t>
      </w:r>
      <w:r w:rsidRPr="000E0213">
        <w:rPr>
          <w:sz w:val="18"/>
          <w:szCs w:val="18"/>
        </w:rPr>
        <w:t>)</w:t>
      </w:r>
    </w:p>
  </w:footnote>
  <w:footnote w:id="46">
    <w:p w:rsidR="00702A09" w:rsidRPr="000E0213" w:rsidRDefault="00702A09" w:rsidP="00B55B5E">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IEA-ETSAP/IRENA (2012)</w:t>
      </w:r>
    </w:p>
  </w:footnote>
  <w:footnote w:id="47">
    <w:p w:rsidR="00702A09" w:rsidRPr="000E0213" w:rsidRDefault="00702A09" w:rsidP="00B55B5E">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SBC Energy Institute (2013), Sandia ES Handbook (2013)</w:t>
      </w:r>
    </w:p>
  </w:footnote>
  <w:footnote w:id="48">
    <w:p w:rsidR="00702A09" w:rsidRPr="000E0213" w:rsidRDefault="00702A09" w:rsidP="00B55B5E">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S. Badwal et al. (2014)</w:t>
      </w:r>
    </w:p>
  </w:footnote>
  <w:footnote w:id="49">
    <w:p w:rsidR="00702A09" w:rsidRDefault="00702A09" w:rsidP="00B55B5E">
      <w:pPr>
        <w:pStyle w:val="IRPfooter"/>
        <w:spacing w:line="276" w:lineRule="auto"/>
      </w:pPr>
      <w:r w:rsidRPr="000E0213">
        <w:rPr>
          <w:rStyle w:val="FootnoteReference"/>
          <w:sz w:val="18"/>
          <w:szCs w:val="18"/>
          <w:vertAlign w:val="baseline"/>
        </w:rPr>
        <w:footnoteRef/>
      </w:r>
      <w:r w:rsidRPr="000E0213">
        <w:rPr>
          <w:sz w:val="18"/>
          <w:szCs w:val="18"/>
        </w:rPr>
        <w:t xml:space="preserve"> / SBC Energy Institute (2013)</w:t>
      </w:r>
    </w:p>
  </w:footnote>
  <w:footnote w:id="50">
    <w:p w:rsidR="00702A09" w:rsidRPr="0068203F" w:rsidRDefault="00702A09">
      <w:pPr>
        <w:pStyle w:val="FootnoteText"/>
        <w:rPr>
          <w:rFonts w:ascii="Palatino" w:hAnsi="Palatino"/>
          <w:i/>
          <w:sz w:val="18"/>
        </w:rPr>
      </w:pPr>
      <w:r w:rsidRPr="0068203F">
        <w:rPr>
          <w:rStyle w:val="FootnoteReference"/>
          <w:rFonts w:ascii="Palatino" w:hAnsi="Palatino"/>
          <w:i/>
          <w:sz w:val="18"/>
          <w:vertAlign w:val="baseline"/>
        </w:rPr>
        <w:footnoteRef/>
      </w:r>
      <w:r>
        <w:rPr>
          <w:rFonts w:ascii="Palatino" w:hAnsi="Palatino"/>
          <w:i/>
          <w:sz w:val="18"/>
        </w:rPr>
        <w:t xml:space="preserve"> /</w:t>
      </w:r>
      <w:r w:rsidRPr="0068203F">
        <w:rPr>
          <w:rFonts w:ascii="Palatino" w:hAnsi="Palatino"/>
          <w:i/>
          <w:sz w:val="18"/>
        </w:rPr>
        <w:t xml:space="preserve">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51">
    <w:p w:rsidR="00702A09" w:rsidRPr="000E0213" w:rsidRDefault="00702A09" w:rsidP="00B4500B">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DOE GESDB (201</w:t>
      </w:r>
      <w:r>
        <w:rPr>
          <w:sz w:val="18"/>
          <w:szCs w:val="18"/>
        </w:rPr>
        <w:t>5</w:t>
      </w:r>
      <w:r w:rsidRPr="000E0213">
        <w:rPr>
          <w:sz w:val="18"/>
          <w:szCs w:val="18"/>
        </w:rPr>
        <w:t>)</w:t>
      </w:r>
    </w:p>
  </w:footnote>
  <w:footnote w:id="52">
    <w:p w:rsidR="00702A09" w:rsidRPr="000E0213" w:rsidRDefault="00702A09" w:rsidP="00B4500B">
      <w:pPr>
        <w:pStyle w:val="IRPfooter"/>
        <w:spacing w:line="276" w:lineRule="auto"/>
        <w:rPr>
          <w:rFonts w:ascii="Palatino Linotype" w:hAnsi="Palatino Linotype"/>
          <w:sz w:val="18"/>
          <w:szCs w:val="18"/>
        </w:rPr>
      </w:pPr>
      <w:r w:rsidRPr="000E0213">
        <w:rPr>
          <w:rStyle w:val="FootnoteReference"/>
          <w:rFonts w:ascii="Palatino Linotype" w:hAnsi="Palatino Linotype"/>
          <w:sz w:val="18"/>
          <w:szCs w:val="18"/>
          <w:vertAlign w:val="baseline"/>
        </w:rPr>
        <w:footnoteRef/>
      </w:r>
      <w:r w:rsidRPr="000E0213">
        <w:rPr>
          <w:rFonts w:ascii="Palatino Linotype" w:hAnsi="Palatino Linotype"/>
          <w:sz w:val="18"/>
          <w:szCs w:val="18"/>
        </w:rPr>
        <w:t xml:space="preserve"> / DOE-EPRI 2013 Energy Storage Handbook, p.38.</w:t>
      </w:r>
    </w:p>
  </w:footnote>
  <w:footnote w:id="53">
    <w:p w:rsidR="00702A09" w:rsidRPr="000E0213" w:rsidRDefault="00702A09" w:rsidP="00B4500B">
      <w:pPr>
        <w:pStyle w:val="IRPfooter"/>
        <w:spacing w:line="276" w:lineRule="auto"/>
        <w:rPr>
          <w:rFonts w:ascii="Palatino Linotype" w:hAnsi="Palatino Linotype"/>
          <w:sz w:val="18"/>
          <w:szCs w:val="18"/>
        </w:rPr>
      </w:pPr>
      <w:r w:rsidRPr="000E0213">
        <w:rPr>
          <w:rStyle w:val="FootnoteReference"/>
          <w:rFonts w:ascii="Palatino Linotype" w:hAnsi="Palatino Linotype"/>
          <w:sz w:val="18"/>
          <w:szCs w:val="18"/>
          <w:vertAlign w:val="baseline"/>
        </w:rPr>
        <w:footnoteRef/>
      </w:r>
      <w:r w:rsidRPr="000E0213">
        <w:rPr>
          <w:rFonts w:ascii="Palatino Linotype" w:hAnsi="Palatino Linotype"/>
          <w:sz w:val="18"/>
          <w:szCs w:val="18"/>
        </w:rPr>
        <w:t xml:space="preserve"> / Ibid, p.38.</w:t>
      </w:r>
    </w:p>
  </w:footnote>
  <w:footnote w:id="54">
    <w:p w:rsidR="00702A09" w:rsidRPr="000272BB" w:rsidRDefault="00702A09" w:rsidP="00B4500B">
      <w:pPr>
        <w:pStyle w:val="IRPfooter"/>
        <w:spacing w:line="276" w:lineRule="auto"/>
        <w:rPr>
          <w:rFonts w:ascii="Trebuchet MS" w:hAnsi="Trebuchet MS"/>
        </w:rPr>
      </w:pPr>
      <w:r w:rsidRPr="000E0213">
        <w:rPr>
          <w:rStyle w:val="FootnoteReference"/>
          <w:rFonts w:ascii="Palatino Linotype" w:hAnsi="Palatino Linotype"/>
          <w:sz w:val="18"/>
          <w:szCs w:val="18"/>
          <w:vertAlign w:val="baseline"/>
        </w:rPr>
        <w:footnoteRef/>
      </w:r>
      <w:r w:rsidRPr="000E0213">
        <w:rPr>
          <w:rFonts w:ascii="Palatino Linotype" w:hAnsi="Palatino Linotype"/>
          <w:sz w:val="18"/>
          <w:szCs w:val="18"/>
        </w:rPr>
        <w:t xml:space="preserve"> / Ibid, p.39-40.</w:t>
      </w:r>
    </w:p>
  </w:footnote>
  <w:footnote w:id="55">
    <w:p w:rsidR="00702A09" w:rsidRPr="0068203F" w:rsidRDefault="00702A09">
      <w:pPr>
        <w:pStyle w:val="FootnoteText"/>
        <w:rPr>
          <w:rFonts w:ascii="Palatino" w:hAnsi="Palatino"/>
          <w:i/>
        </w:rPr>
      </w:pPr>
      <w:r w:rsidRPr="0068203F">
        <w:rPr>
          <w:rStyle w:val="FootnoteReference"/>
          <w:rFonts w:ascii="Palatino" w:hAnsi="Palatino"/>
          <w:i/>
          <w:sz w:val="18"/>
          <w:vertAlign w:val="baseline"/>
        </w:rPr>
        <w:footnoteRef/>
      </w:r>
      <w:r w:rsidRPr="0068203F">
        <w:rPr>
          <w:rFonts w:ascii="Palatino" w:hAnsi="Palatino"/>
          <w:i/>
        </w:rPr>
        <w:t xml:space="preserve"> /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56">
    <w:p w:rsidR="00702A09" w:rsidRPr="0068203F" w:rsidRDefault="00702A09">
      <w:pPr>
        <w:pStyle w:val="FootnoteText"/>
        <w:rPr>
          <w:rFonts w:ascii="Palatino" w:hAnsi="Palatino"/>
          <w:i/>
          <w:sz w:val="18"/>
        </w:rPr>
      </w:pPr>
      <w:r w:rsidRPr="0068203F">
        <w:rPr>
          <w:rStyle w:val="FootnoteReference"/>
          <w:rFonts w:ascii="Palatino" w:hAnsi="Palatino"/>
          <w:i/>
          <w:sz w:val="18"/>
          <w:vertAlign w:val="baseline"/>
        </w:rPr>
        <w:footnoteRef/>
      </w:r>
      <w:r w:rsidRPr="0068203F">
        <w:rPr>
          <w:rFonts w:ascii="Palatino" w:hAnsi="Palatino"/>
          <w:i/>
          <w:sz w:val="18"/>
        </w:rPr>
        <w:t xml:space="preserve"> /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57">
    <w:p w:rsidR="00702A09" w:rsidRPr="0068203F" w:rsidRDefault="00702A09">
      <w:pPr>
        <w:pStyle w:val="FootnoteText"/>
        <w:rPr>
          <w:rFonts w:ascii="Palatino" w:hAnsi="Palatino"/>
          <w:i/>
          <w:sz w:val="18"/>
        </w:rPr>
      </w:pPr>
      <w:r w:rsidRPr="0068203F">
        <w:rPr>
          <w:rStyle w:val="FootnoteReference"/>
          <w:rFonts w:ascii="Palatino" w:hAnsi="Palatino"/>
          <w:i/>
          <w:sz w:val="18"/>
          <w:vertAlign w:val="baseline"/>
        </w:rPr>
        <w:footnoteRef/>
      </w:r>
      <w:r w:rsidRPr="0068203F">
        <w:rPr>
          <w:rFonts w:ascii="Palatino" w:hAnsi="Palatino"/>
          <w:i/>
          <w:sz w:val="18"/>
        </w:rPr>
        <w:t xml:space="preserve"> /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58">
    <w:p w:rsidR="00702A09" w:rsidRPr="00CD4BC3" w:rsidRDefault="00702A09" w:rsidP="00BA0875">
      <w:pPr>
        <w:pStyle w:val="IRPfooter"/>
        <w:rPr>
          <w:sz w:val="18"/>
          <w:szCs w:val="18"/>
        </w:rPr>
      </w:pPr>
      <w:r w:rsidRPr="00CD4BC3">
        <w:rPr>
          <w:rStyle w:val="FootnoteReference"/>
          <w:sz w:val="18"/>
          <w:szCs w:val="18"/>
          <w:vertAlign w:val="baseline"/>
        </w:rPr>
        <w:footnoteRef/>
      </w:r>
      <w:r w:rsidRPr="00CD4BC3">
        <w:rPr>
          <w:sz w:val="18"/>
          <w:szCs w:val="18"/>
        </w:rPr>
        <w:t xml:space="preserve"> / DOE/EPRI 2013 Electricity Storage Handbook in Collaboration with NRECA, Sec. 4.3</w:t>
      </w:r>
    </w:p>
  </w:footnote>
  <w:footnote w:id="59">
    <w:p w:rsidR="00702A09" w:rsidRDefault="00702A09">
      <w:pPr>
        <w:pStyle w:val="IRPfooter"/>
      </w:pPr>
      <w:r w:rsidRPr="00E33B33">
        <w:rPr>
          <w:rStyle w:val="FootnoteReference"/>
          <w:sz w:val="18"/>
          <w:szCs w:val="18"/>
          <w:vertAlign w:val="baseline"/>
        </w:rPr>
        <w:t>59 / See Chapter 4, Key Analytical Assumptions for a discussion of the portfolio sensitivities reviewed in the 2015 IRP.</w:t>
      </w:r>
    </w:p>
  </w:footnote>
  <w:footnote w:id="60">
    <w:p w:rsidR="00702A09" w:rsidRPr="00CD4BC3" w:rsidRDefault="00702A09" w:rsidP="00C74D02">
      <w:pPr>
        <w:pStyle w:val="IRPfooter"/>
        <w:rPr>
          <w:sz w:val="18"/>
          <w:szCs w:val="18"/>
        </w:rPr>
      </w:pPr>
      <w:r w:rsidRPr="00CD4BC3">
        <w:rPr>
          <w:rStyle w:val="FootnoteReference"/>
          <w:sz w:val="18"/>
          <w:szCs w:val="18"/>
          <w:vertAlign w:val="baseline"/>
        </w:rPr>
        <w:footnoteRef/>
      </w:r>
      <w:r w:rsidRPr="00CD4BC3">
        <w:rPr>
          <w:sz w:val="18"/>
          <w:szCs w:val="18"/>
        </w:rPr>
        <w:t xml:space="preserve"> / http://www.energystorageexchange.org/ </w:t>
      </w:r>
    </w:p>
  </w:footnote>
  <w:footnote w:id="61">
    <w:p w:rsidR="00702A09" w:rsidRDefault="00702A09">
      <w:pPr>
        <w:pStyle w:val="FootnoteText"/>
      </w:pPr>
      <w:r>
        <w:rPr>
          <w:rStyle w:val="FootnoteReference"/>
        </w:rPr>
        <w:footnoteRef/>
      </w:r>
      <w:r>
        <w:t xml:space="preserve">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4</w:t>
      </w:r>
      <w:r w:rsidRPr="0068203F">
        <w:rPr>
          <w:rFonts w:ascii="Palatino" w:hAnsi="Palatino"/>
          <w:i/>
          <w:iCs/>
          <w:color w:val="000000" w:themeColor="text1"/>
          <w:sz w:val="18"/>
          <w:szCs w:val="18"/>
        </w:rPr>
        <w:t>)</w:t>
      </w:r>
    </w:p>
  </w:footnote>
  <w:footnote w:id="62">
    <w:p w:rsidR="00702A09" w:rsidRDefault="00702A09">
      <w:pPr>
        <w:pStyle w:val="FootnoteText"/>
      </w:pPr>
      <w:r>
        <w:rPr>
          <w:rStyle w:val="FootnoteReference"/>
        </w:rPr>
        <w:footnoteRef/>
      </w:r>
      <w:r>
        <w:t xml:space="preserve">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4</w:t>
      </w:r>
      <w:r w:rsidRPr="0068203F">
        <w:rPr>
          <w:rFonts w:ascii="Palatino" w:hAnsi="Palatino"/>
          <w:i/>
          <w:iCs/>
          <w:color w:val="000000" w:themeColor="text1"/>
          <w:sz w:val="18"/>
          <w:szCs w:val="18"/>
        </w:rPr>
        <w:t>)</w:t>
      </w:r>
    </w:p>
  </w:footnote>
  <w:footnote w:id="63">
    <w:p w:rsidR="00702A09" w:rsidRDefault="00702A09">
      <w:pPr>
        <w:pStyle w:val="FootnoteText"/>
      </w:pPr>
      <w:r>
        <w:rPr>
          <w:rStyle w:val="FootnoteReference"/>
        </w:rPr>
        <w:footnoteRef/>
      </w:r>
      <w:r>
        <w:t xml:space="preserve">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4</w:t>
      </w:r>
      <w:r w:rsidRPr="0068203F">
        <w:rPr>
          <w:rFonts w:ascii="Palatino" w:hAnsi="Palatino"/>
          <w:i/>
          <w:iCs/>
          <w:color w:val="000000" w:themeColor="text1"/>
          <w:sz w:val="18"/>
          <w:szCs w:val="18"/>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09" w:rsidRDefault="00702A0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09" w:rsidRDefault="00702A09">
    <w:pPr>
      <w:pStyle w:val="Header"/>
    </w:pPr>
    <w:r>
      <w:rPr>
        <w:noProof/>
        <w:lang w:eastAsia="en-US"/>
      </w:rPr>
      <w:drawing>
        <wp:inline distT="0" distB="0" distL="0" distR="0">
          <wp:extent cx="54864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dktealgrey.png"/>
                  <pic:cNvPicPr/>
                </pic:nvPicPr>
                <pic:blipFill>
                  <a:blip r:embed="rId1">
                    <a:extLst>
                      <a:ext uri="{28A0092B-C50C-407E-A947-70E740481C1C}">
                        <a14:useLocalDpi xmlns:a14="http://schemas.microsoft.com/office/drawing/2010/main" val="0"/>
                      </a:ext>
                    </a:extLst>
                  </a:blip>
                  <a:stretch>
                    <a:fillRect/>
                  </a:stretch>
                </pic:blipFill>
                <pic:spPr>
                  <a:xfrm>
                    <a:off x="0" y="0"/>
                    <a:ext cx="5486400" cy="438150"/>
                  </a:xfrm>
                  <a:prstGeom prst="rect">
                    <a:avLst/>
                  </a:prstGeom>
                </pic:spPr>
              </pic:pic>
            </a:graphicData>
          </a:graphic>
        </wp:inline>
      </w:drawing>
    </w:r>
    <w:r w:rsidR="00FA2071">
      <w:rPr>
        <w:noProof/>
        <w:lang w:eastAsia="en-US"/>
      </w:rPr>
      <mc:AlternateContent>
        <mc:Choice Requires="wps">
          <w:drawing>
            <wp:anchor distT="0" distB="0" distL="114300" distR="114300" simplePos="0" relativeHeight="251659264" behindDoc="0" locked="0" layoutInCell="1" allowOverlap="1">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429" w:rsidRPr="0009155C" w:rsidRDefault="000D5429" w:rsidP="0009155C">
                          <w:pPr>
                            <w:pStyle w:val="irpsubsanstext16"/>
                          </w:pPr>
                          <w:r>
                            <w:t>Appendix L</w:t>
                          </w:r>
                          <w:r w:rsidRPr="0009155C">
                            <w:t xml:space="preserve">: </w:t>
                          </w:r>
                          <w:r>
                            <w:t>Electric Energy Storage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903a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AlPdN2tAgAAuQUAAA4AAAAAAAAAAAAAAAAA&#10;LAIAAGRycy9lMm9Eb2MueG1sUEsBAi0AFAAGAAgAAAAhAHXGA+rYAAAABQEAAA8AAAAAAAAAAAAA&#10;AAAABQUAAGRycy9kb3ducmV2LnhtbFBLBQYAAAAABAAEAPMAAAAKBgAAAAA=&#10;" filled="f" stroked="f">
              <v:textbox inset=",7.2pt,,7.2pt">
                <w:txbxContent>
                  <w:p w:rsidR="000D5429" w:rsidRPr="0009155C" w:rsidRDefault="000D5429" w:rsidP="0009155C">
                    <w:pPr>
                      <w:pStyle w:val="irpsubsanstext16"/>
                    </w:pPr>
                    <w:r>
                      <w:t>Appendix L</w:t>
                    </w:r>
                    <w:r w:rsidRPr="0009155C">
                      <w:t xml:space="preserve">: </w:t>
                    </w:r>
                    <w:r>
                      <w:t>Electric Energy Storage</w:t>
                    </w:r>
                  </w:p>
                </w:txbxContent>
              </v:textbox>
              <w10:wrap type="through"/>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09" w:rsidRDefault="00702A0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5C2C"/>
    <w:multiLevelType w:val="hybridMultilevel"/>
    <w:tmpl w:val="594E98D6"/>
    <w:lvl w:ilvl="0" w:tplc="4AD0815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1B4138"/>
    <w:multiLevelType w:val="hybridMultilevel"/>
    <w:tmpl w:val="63F4FA06"/>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04833705"/>
    <w:multiLevelType w:val="hybridMultilevel"/>
    <w:tmpl w:val="DD7EE2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551D11"/>
    <w:multiLevelType w:val="hybridMultilevel"/>
    <w:tmpl w:val="A7923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601B9"/>
    <w:multiLevelType w:val="hybridMultilevel"/>
    <w:tmpl w:val="A78AE516"/>
    <w:lvl w:ilvl="0" w:tplc="3FA2A3CA">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5">
    <w:nsid w:val="11A92AE0"/>
    <w:multiLevelType w:val="hybridMultilevel"/>
    <w:tmpl w:val="140EAB5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6">
    <w:nsid w:val="12C71B57"/>
    <w:multiLevelType w:val="hybridMultilevel"/>
    <w:tmpl w:val="23F4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E1BDD"/>
    <w:multiLevelType w:val="hybridMultilevel"/>
    <w:tmpl w:val="53820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E419CD"/>
    <w:multiLevelType w:val="hybridMultilevel"/>
    <w:tmpl w:val="F8EAB05A"/>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C310E2"/>
    <w:multiLevelType w:val="multilevel"/>
    <w:tmpl w:val="B512E0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C359F9"/>
    <w:multiLevelType w:val="hybridMultilevel"/>
    <w:tmpl w:val="ED06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2">
    <w:nsid w:val="25EA2CEA"/>
    <w:multiLevelType w:val="hybridMultilevel"/>
    <w:tmpl w:val="18561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9BC3B2A"/>
    <w:multiLevelType w:val="hybridMultilevel"/>
    <w:tmpl w:val="D7323B6A"/>
    <w:lvl w:ilvl="0" w:tplc="C31CB7D2">
      <w:start w:val="1"/>
      <w:numFmt w:val="bullet"/>
      <w:lvlText w:val="•"/>
      <w:lvlJc w:val="left"/>
      <w:pPr>
        <w:tabs>
          <w:tab w:val="num" w:pos="720"/>
        </w:tabs>
        <w:ind w:left="720" w:hanging="360"/>
      </w:pPr>
      <w:rPr>
        <w:rFonts w:ascii="Arial" w:hAnsi="Arial" w:hint="default"/>
      </w:rPr>
    </w:lvl>
    <w:lvl w:ilvl="1" w:tplc="9A36A6AE">
      <w:start w:val="1"/>
      <w:numFmt w:val="bullet"/>
      <w:lvlText w:val="•"/>
      <w:lvlJc w:val="left"/>
      <w:pPr>
        <w:tabs>
          <w:tab w:val="num" w:pos="1440"/>
        </w:tabs>
        <w:ind w:left="1440" w:hanging="360"/>
      </w:pPr>
      <w:rPr>
        <w:rFonts w:ascii="Arial" w:hAnsi="Arial" w:hint="default"/>
      </w:rPr>
    </w:lvl>
    <w:lvl w:ilvl="2" w:tplc="CCE06156" w:tentative="1">
      <w:start w:val="1"/>
      <w:numFmt w:val="bullet"/>
      <w:lvlText w:val="•"/>
      <w:lvlJc w:val="left"/>
      <w:pPr>
        <w:tabs>
          <w:tab w:val="num" w:pos="2160"/>
        </w:tabs>
        <w:ind w:left="2160" w:hanging="360"/>
      </w:pPr>
      <w:rPr>
        <w:rFonts w:ascii="Arial" w:hAnsi="Arial" w:hint="default"/>
      </w:rPr>
    </w:lvl>
    <w:lvl w:ilvl="3" w:tplc="84F639B0" w:tentative="1">
      <w:start w:val="1"/>
      <w:numFmt w:val="bullet"/>
      <w:lvlText w:val="•"/>
      <w:lvlJc w:val="left"/>
      <w:pPr>
        <w:tabs>
          <w:tab w:val="num" w:pos="2880"/>
        </w:tabs>
        <w:ind w:left="2880" w:hanging="360"/>
      </w:pPr>
      <w:rPr>
        <w:rFonts w:ascii="Arial" w:hAnsi="Arial" w:hint="default"/>
      </w:rPr>
    </w:lvl>
    <w:lvl w:ilvl="4" w:tplc="6F06A750" w:tentative="1">
      <w:start w:val="1"/>
      <w:numFmt w:val="bullet"/>
      <w:lvlText w:val="•"/>
      <w:lvlJc w:val="left"/>
      <w:pPr>
        <w:tabs>
          <w:tab w:val="num" w:pos="3600"/>
        </w:tabs>
        <w:ind w:left="3600" w:hanging="360"/>
      </w:pPr>
      <w:rPr>
        <w:rFonts w:ascii="Arial" w:hAnsi="Arial" w:hint="default"/>
      </w:rPr>
    </w:lvl>
    <w:lvl w:ilvl="5" w:tplc="37C29A90" w:tentative="1">
      <w:start w:val="1"/>
      <w:numFmt w:val="bullet"/>
      <w:lvlText w:val="•"/>
      <w:lvlJc w:val="left"/>
      <w:pPr>
        <w:tabs>
          <w:tab w:val="num" w:pos="4320"/>
        </w:tabs>
        <w:ind w:left="4320" w:hanging="360"/>
      </w:pPr>
      <w:rPr>
        <w:rFonts w:ascii="Arial" w:hAnsi="Arial" w:hint="default"/>
      </w:rPr>
    </w:lvl>
    <w:lvl w:ilvl="6" w:tplc="2B04BCA4" w:tentative="1">
      <w:start w:val="1"/>
      <w:numFmt w:val="bullet"/>
      <w:lvlText w:val="•"/>
      <w:lvlJc w:val="left"/>
      <w:pPr>
        <w:tabs>
          <w:tab w:val="num" w:pos="5040"/>
        </w:tabs>
        <w:ind w:left="5040" w:hanging="360"/>
      </w:pPr>
      <w:rPr>
        <w:rFonts w:ascii="Arial" w:hAnsi="Arial" w:hint="default"/>
      </w:rPr>
    </w:lvl>
    <w:lvl w:ilvl="7" w:tplc="7102E4FC" w:tentative="1">
      <w:start w:val="1"/>
      <w:numFmt w:val="bullet"/>
      <w:lvlText w:val="•"/>
      <w:lvlJc w:val="left"/>
      <w:pPr>
        <w:tabs>
          <w:tab w:val="num" w:pos="5760"/>
        </w:tabs>
        <w:ind w:left="5760" w:hanging="360"/>
      </w:pPr>
      <w:rPr>
        <w:rFonts w:ascii="Arial" w:hAnsi="Arial" w:hint="default"/>
      </w:rPr>
    </w:lvl>
    <w:lvl w:ilvl="8" w:tplc="58A648DC" w:tentative="1">
      <w:start w:val="1"/>
      <w:numFmt w:val="bullet"/>
      <w:lvlText w:val="•"/>
      <w:lvlJc w:val="left"/>
      <w:pPr>
        <w:tabs>
          <w:tab w:val="num" w:pos="6480"/>
        </w:tabs>
        <w:ind w:left="6480" w:hanging="360"/>
      </w:pPr>
      <w:rPr>
        <w:rFonts w:ascii="Arial" w:hAnsi="Arial" w:hint="default"/>
      </w:rPr>
    </w:lvl>
  </w:abstractNum>
  <w:abstractNum w:abstractNumId="14">
    <w:nsid w:val="2CC6680E"/>
    <w:multiLevelType w:val="hybridMultilevel"/>
    <w:tmpl w:val="3B909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F167F7"/>
    <w:multiLevelType w:val="hybridMultilevel"/>
    <w:tmpl w:val="8214D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780F8B"/>
    <w:multiLevelType w:val="hybridMultilevel"/>
    <w:tmpl w:val="EFE2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851FCC"/>
    <w:multiLevelType w:val="hybridMultilevel"/>
    <w:tmpl w:val="072EB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161B04"/>
    <w:multiLevelType w:val="hybridMultilevel"/>
    <w:tmpl w:val="1DFA5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C7154B"/>
    <w:multiLevelType w:val="hybridMultilevel"/>
    <w:tmpl w:val="314ECEA4"/>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0">
    <w:nsid w:val="47C05EEB"/>
    <w:multiLevelType w:val="hybridMultilevel"/>
    <w:tmpl w:val="2D6AB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E3713E"/>
    <w:multiLevelType w:val="hybridMultilevel"/>
    <w:tmpl w:val="66B6DFDA"/>
    <w:lvl w:ilvl="0" w:tplc="3FA2A3C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F46E2D"/>
    <w:multiLevelType w:val="hybridMultilevel"/>
    <w:tmpl w:val="681671E4"/>
    <w:lvl w:ilvl="0" w:tplc="796EEA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D075A04"/>
    <w:multiLevelType w:val="hybridMultilevel"/>
    <w:tmpl w:val="139E189E"/>
    <w:lvl w:ilvl="0" w:tplc="3FA2A3C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4">
    <w:nsid w:val="510028DC"/>
    <w:multiLevelType w:val="hybridMultilevel"/>
    <w:tmpl w:val="701C5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3210BE"/>
    <w:multiLevelType w:val="hybridMultilevel"/>
    <w:tmpl w:val="18E20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620F41"/>
    <w:multiLevelType w:val="hybridMultilevel"/>
    <w:tmpl w:val="D4EA8DD2"/>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nsid w:val="5D816406"/>
    <w:multiLevelType w:val="hybridMultilevel"/>
    <w:tmpl w:val="E75C4CFE"/>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5FF50F7D"/>
    <w:multiLevelType w:val="hybridMultilevel"/>
    <w:tmpl w:val="9EAA655E"/>
    <w:lvl w:ilvl="0" w:tplc="3FA2A3CA">
      <w:start w:val="1"/>
      <w:numFmt w:val="bullet"/>
      <w:lvlText w:val=""/>
      <w:lvlJc w:val="left"/>
      <w:pPr>
        <w:tabs>
          <w:tab w:val="num" w:pos="648"/>
        </w:tabs>
        <w:ind w:left="648" w:hanging="288"/>
      </w:pPr>
      <w:rPr>
        <w:rFonts w:ascii="Symbol" w:hAnsi="Symbol" w:hint="default"/>
        <w:b/>
      </w:rPr>
    </w:lvl>
    <w:lvl w:ilvl="1" w:tplc="5C9E8A0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CC1183"/>
    <w:multiLevelType w:val="hybridMultilevel"/>
    <w:tmpl w:val="E4D42896"/>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B7651A"/>
    <w:multiLevelType w:val="hybridMultilevel"/>
    <w:tmpl w:val="C5189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A471E"/>
    <w:multiLevelType w:val="hybridMultilevel"/>
    <w:tmpl w:val="018245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8055402"/>
    <w:multiLevelType w:val="hybridMultilevel"/>
    <w:tmpl w:val="B37AFD2C"/>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670B4C"/>
    <w:multiLevelType w:val="hybridMultilevel"/>
    <w:tmpl w:val="09706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B6340D"/>
    <w:multiLevelType w:val="hybridMultilevel"/>
    <w:tmpl w:val="048E148A"/>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nsid w:val="69E66C8C"/>
    <w:multiLevelType w:val="multilevel"/>
    <w:tmpl w:val="139E189E"/>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ind w:left="1368" w:hanging="360"/>
      </w:pPr>
      <w:rPr>
        <w:rFonts w:ascii="Courier New" w:hAnsi="Courier New" w:hint="default"/>
      </w:rPr>
    </w:lvl>
    <w:lvl w:ilvl="2">
      <w:start w:val="1"/>
      <w:numFmt w:val="bullet"/>
      <w:lvlText w:val=""/>
      <w:lvlJc w:val="left"/>
      <w:pPr>
        <w:ind w:left="2088" w:hanging="360"/>
      </w:pPr>
      <w:rPr>
        <w:rFonts w:ascii="Wingdings" w:hAnsi="Wingdings" w:hint="default"/>
      </w:rPr>
    </w:lvl>
    <w:lvl w:ilvl="3">
      <w:start w:val="1"/>
      <w:numFmt w:val="bullet"/>
      <w:lvlText w:val=""/>
      <w:lvlJc w:val="left"/>
      <w:pPr>
        <w:ind w:left="2808" w:hanging="360"/>
      </w:pPr>
      <w:rPr>
        <w:rFonts w:ascii="Symbol" w:hAnsi="Symbol" w:hint="default"/>
      </w:rPr>
    </w:lvl>
    <w:lvl w:ilvl="4">
      <w:start w:val="1"/>
      <w:numFmt w:val="bullet"/>
      <w:lvlText w:val="o"/>
      <w:lvlJc w:val="left"/>
      <w:pPr>
        <w:ind w:left="3528" w:hanging="360"/>
      </w:pPr>
      <w:rPr>
        <w:rFonts w:ascii="Courier New" w:hAnsi="Courier New" w:hint="default"/>
      </w:rPr>
    </w:lvl>
    <w:lvl w:ilvl="5">
      <w:start w:val="1"/>
      <w:numFmt w:val="bullet"/>
      <w:lvlText w:val=""/>
      <w:lvlJc w:val="left"/>
      <w:pPr>
        <w:ind w:left="4248" w:hanging="360"/>
      </w:pPr>
      <w:rPr>
        <w:rFonts w:ascii="Wingdings" w:hAnsi="Wingdings" w:hint="default"/>
      </w:rPr>
    </w:lvl>
    <w:lvl w:ilvl="6">
      <w:start w:val="1"/>
      <w:numFmt w:val="bullet"/>
      <w:lvlText w:val=""/>
      <w:lvlJc w:val="left"/>
      <w:pPr>
        <w:ind w:left="4968" w:hanging="360"/>
      </w:pPr>
      <w:rPr>
        <w:rFonts w:ascii="Symbol" w:hAnsi="Symbol" w:hint="default"/>
      </w:rPr>
    </w:lvl>
    <w:lvl w:ilvl="7">
      <w:start w:val="1"/>
      <w:numFmt w:val="bullet"/>
      <w:lvlText w:val="o"/>
      <w:lvlJc w:val="left"/>
      <w:pPr>
        <w:ind w:left="5688" w:hanging="360"/>
      </w:pPr>
      <w:rPr>
        <w:rFonts w:ascii="Courier New" w:hAnsi="Courier New" w:hint="default"/>
      </w:rPr>
    </w:lvl>
    <w:lvl w:ilvl="8">
      <w:start w:val="1"/>
      <w:numFmt w:val="bullet"/>
      <w:lvlText w:val=""/>
      <w:lvlJc w:val="left"/>
      <w:pPr>
        <w:ind w:left="6408" w:hanging="360"/>
      </w:pPr>
      <w:rPr>
        <w:rFonts w:ascii="Wingdings" w:hAnsi="Wingdings" w:hint="default"/>
      </w:rPr>
    </w:lvl>
  </w:abstractNum>
  <w:abstractNum w:abstractNumId="36">
    <w:nsid w:val="6D855739"/>
    <w:multiLevelType w:val="hybridMultilevel"/>
    <w:tmpl w:val="C21A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5D0877"/>
    <w:multiLevelType w:val="hybridMultilevel"/>
    <w:tmpl w:val="F4945820"/>
    <w:lvl w:ilvl="0" w:tplc="3FA2A3C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nsid w:val="743E46DC"/>
    <w:multiLevelType w:val="hybridMultilevel"/>
    <w:tmpl w:val="55343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750C94"/>
    <w:multiLevelType w:val="hybridMultilevel"/>
    <w:tmpl w:val="53182AA0"/>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C63D16"/>
    <w:multiLevelType w:val="hybridMultilevel"/>
    <w:tmpl w:val="5666FED6"/>
    <w:lvl w:ilvl="0" w:tplc="3FA2A3C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1">
    <w:nsid w:val="7A487382"/>
    <w:multiLevelType w:val="hybridMultilevel"/>
    <w:tmpl w:val="23F8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D62718"/>
    <w:multiLevelType w:val="hybridMultilevel"/>
    <w:tmpl w:val="FE8E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4C55D0"/>
    <w:multiLevelType w:val="hybridMultilevel"/>
    <w:tmpl w:val="B512E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3526EF"/>
    <w:multiLevelType w:val="hybridMultilevel"/>
    <w:tmpl w:val="B64A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547EC8"/>
    <w:multiLevelType w:val="hybridMultilevel"/>
    <w:tmpl w:val="3D6CCBE4"/>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11"/>
  </w:num>
  <w:num w:numId="2">
    <w:abstractNumId w:val="7"/>
  </w:num>
  <w:num w:numId="3">
    <w:abstractNumId w:val="27"/>
  </w:num>
  <w:num w:numId="4">
    <w:abstractNumId w:val="26"/>
  </w:num>
  <w:num w:numId="5">
    <w:abstractNumId w:val="41"/>
  </w:num>
  <w:num w:numId="6">
    <w:abstractNumId w:val="1"/>
  </w:num>
  <w:num w:numId="7">
    <w:abstractNumId w:val="34"/>
  </w:num>
  <w:num w:numId="8">
    <w:abstractNumId w:val="44"/>
  </w:num>
  <w:num w:numId="9">
    <w:abstractNumId w:val="36"/>
  </w:num>
  <w:num w:numId="10">
    <w:abstractNumId w:val="29"/>
  </w:num>
  <w:num w:numId="11">
    <w:abstractNumId w:val="6"/>
  </w:num>
  <w:num w:numId="12">
    <w:abstractNumId w:val="0"/>
  </w:num>
  <w:num w:numId="13">
    <w:abstractNumId w:val="14"/>
  </w:num>
  <w:num w:numId="14">
    <w:abstractNumId w:val="21"/>
  </w:num>
  <w:num w:numId="15">
    <w:abstractNumId w:val="8"/>
  </w:num>
  <w:num w:numId="16">
    <w:abstractNumId w:val="38"/>
  </w:num>
  <w:num w:numId="17">
    <w:abstractNumId w:val="42"/>
  </w:num>
  <w:num w:numId="18">
    <w:abstractNumId w:val="12"/>
  </w:num>
  <w:num w:numId="19">
    <w:abstractNumId w:val="16"/>
  </w:num>
  <w:num w:numId="20">
    <w:abstractNumId w:val="28"/>
  </w:num>
  <w:num w:numId="21">
    <w:abstractNumId w:val="3"/>
  </w:num>
  <w:num w:numId="22">
    <w:abstractNumId w:val="4"/>
  </w:num>
  <w:num w:numId="23">
    <w:abstractNumId w:val="30"/>
  </w:num>
  <w:num w:numId="24">
    <w:abstractNumId w:val="43"/>
  </w:num>
  <w:num w:numId="25">
    <w:abstractNumId w:val="18"/>
  </w:num>
  <w:num w:numId="26">
    <w:abstractNumId w:val="22"/>
  </w:num>
  <w:num w:numId="27">
    <w:abstractNumId w:val="19"/>
  </w:num>
  <w:num w:numId="28">
    <w:abstractNumId w:val="20"/>
  </w:num>
  <w:num w:numId="29">
    <w:abstractNumId w:val="15"/>
  </w:num>
  <w:num w:numId="30">
    <w:abstractNumId w:val="40"/>
  </w:num>
  <w:num w:numId="31">
    <w:abstractNumId w:val="37"/>
  </w:num>
  <w:num w:numId="32">
    <w:abstractNumId w:val="5"/>
  </w:num>
  <w:num w:numId="33">
    <w:abstractNumId w:val="23"/>
  </w:num>
  <w:num w:numId="34">
    <w:abstractNumId w:val="35"/>
  </w:num>
  <w:num w:numId="35">
    <w:abstractNumId w:val="31"/>
  </w:num>
  <w:num w:numId="36">
    <w:abstractNumId w:val="2"/>
  </w:num>
  <w:num w:numId="37">
    <w:abstractNumId w:val="33"/>
  </w:num>
  <w:num w:numId="38">
    <w:abstractNumId w:val="32"/>
  </w:num>
  <w:num w:numId="39">
    <w:abstractNumId w:val="17"/>
  </w:num>
  <w:num w:numId="40">
    <w:abstractNumId w:val="13"/>
  </w:num>
  <w:num w:numId="41">
    <w:abstractNumId w:val="45"/>
  </w:num>
  <w:num w:numId="42">
    <w:abstractNumId w:val="10"/>
  </w:num>
  <w:num w:numId="43">
    <w:abstractNumId w:val="25"/>
  </w:num>
  <w:num w:numId="44">
    <w:abstractNumId w:val="24"/>
  </w:num>
  <w:num w:numId="45">
    <w:abstractNumId w:val="9"/>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trackRevisions/>
  <w:defaultTabStop w:val="720"/>
  <w:displayHorizontalDrawingGridEvery w:val="0"/>
  <w:displayVerticalDrawingGridEvery w:val="0"/>
  <w:doNotUseMarginsForDrawingGridOrigin/>
  <w:noPunctuationKerning/>
  <w:characterSpacingControl w:val="doNotCompress"/>
  <w:hdrShapeDefaults>
    <o:shapedefaults v:ext="edit" spidmax="1024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04846"/>
    <w:rsid w:val="0002366B"/>
    <w:rsid w:val="00034343"/>
    <w:rsid w:val="000367C6"/>
    <w:rsid w:val="00040E5A"/>
    <w:rsid w:val="00044CBE"/>
    <w:rsid w:val="00045148"/>
    <w:rsid w:val="00056B78"/>
    <w:rsid w:val="0006240E"/>
    <w:rsid w:val="00076770"/>
    <w:rsid w:val="0009155C"/>
    <w:rsid w:val="000965B4"/>
    <w:rsid w:val="000B792A"/>
    <w:rsid w:val="000C2385"/>
    <w:rsid w:val="000D5429"/>
    <w:rsid w:val="000E0213"/>
    <w:rsid w:val="000E4936"/>
    <w:rsid w:val="000F150A"/>
    <w:rsid w:val="0010292E"/>
    <w:rsid w:val="00104DA5"/>
    <w:rsid w:val="00105BAF"/>
    <w:rsid w:val="00112411"/>
    <w:rsid w:val="00115DBA"/>
    <w:rsid w:val="00175ED6"/>
    <w:rsid w:val="00180572"/>
    <w:rsid w:val="00185E97"/>
    <w:rsid w:val="001A1722"/>
    <w:rsid w:val="001B46D9"/>
    <w:rsid w:val="001B5F2B"/>
    <w:rsid w:val="001B680B"/>
    <w:rsid w:val="001C047F"/>
    <w:rsid w:val="001C0B33"/>
    <w:rsid w:val="001C0F97"/>
    <w:rsid w:val="001C2612"/>
    <w:rsid w:val="001D052C"/>
    <w:rsid w:val="001D220F"/>
    <w:rsid w:val="001D628F"/>
    <w:rsid w:val="0020632A"/>
    <w:rsid w:val="00224FE9"/>
    <w:rsid w:val="00233794"/>
    <w:rsid w:val="00234579"/>
    <w:rsid w:val="0024560D"/>
    <w:rsid w:val="00245EDA"/>
    <w:rsid w:val="00255AA2"/>
    <w:rsid w:val="00261F11"/>
    <w:rsid w:val="00267D55"/>
    <w:rsid w:val="002769B3"/>
    <w:rsid w:val="0028121D"/>
    <w:rsid w:val="0028448A"/>
    <w:rsid w:val="00284A82"/>
    <w:rsid w:val="00284F2A"/>
    <w:rsid w:val="002852B2"/>
    <w:rsid w:val="00293A4E"/>
    <w:rsid w:val="002A7A17"/>
    <w:rsid w:val="002C1ECE"/>
    <w:rsid w:val="002C23FF"/>
    <w:rsid w:val="002C2E07"/>
    <w:rsid w:val="002D2EFA"/>
    <w:rsid w:val="002D57A3"/>
    <w:rsid w:val="002D72C2"/>
    <w:rsid w:val="002E6F6B"/>
    <w:rsid w:val="002F0D14"/>
    <w:rsid w:val="002F77B4"/>
    <w:rsid w:val="003016D9"/>
    <w:rsid w:val="003166A5"/>
    <w:rsid w:val="00321D03"/>
    <w:rsid w:val="00322D63"/>
    <w:rsid w:val="00333204"/>
    <w:rsid w:val="00335153"/>
    <w:rsid w:val="00340A70"/>
    <w:rsid w:val="00342397"/>
    <w:rsid w:val="00346BC1"/>
    <w:rsid w:val="00351CE7"/>
    <w:rsid w:val="00353A70"/>
    <w:rsid w:val="00356427"/>
    <w:rsid w:val="00362E46"/>
    <w:rsid w:val="00373C3F"/>
    <w:rsid w:val="003745CE"/>
    <w:rsid w:val="00377E3D"/>
    <w:rsid w:val="00382146"/>
    <w:rsid w:val="0038519F"/>
    <w:rsid w:val="00396DDB"/>
    <w:rsid w:val="003B537A"/>
    <w:rsid w:val="003C0D06"/>
    <w:rsid w:val="003C2267"/>
    <w:rsid w:val="003E265A"/>
    <w:rsid w:val="003E65A6"/>
    <w:rsid w:val="003F12F4"/>
    <w:rsid w:val="004007F5"/>
    <w:rsid w:val="00402C93"/>
    <w:rsid w:val="00411388"/>
    <w:rsid w:val="00421085"/>
    <w:rsid w:val="00440047"/>
    <w:rsid w:val="00444A0E"/>
    <w:rsid w:val="004451A4"/>
    <w:rsid w:val="00445CB5"/>
    <w:rsid w:val="0044601D"/>
    <w:rsid w:val="00453EFE"/>
    <w:rsid w:val="00455728"/>
    <w:rsid w:val="00461BE5"/>
    <w:rsid w:val="00462F1E"/>
    <w:rsid w:val="004740F8"/>
    <w:rsid w:val="004754EB"/>
    <w:rsid w:val="004755AE"/>
    <w:rsid w:val="00490139"/>
    <w:rsid w:val="004A2B6E"/>
    <w:rsid w:val="004A6361"/>
    <w:rsid w:val="004A7EF6"/>
    <w:rsid w:val="004C52F6"/>
    <w:rsid w:val="004E4D01"/>
    <w:rsid w:val="004E6B98"/>
    <w:rsid w:val="005075C2"/>
    <w:rsid w:val="00521E04"/>
    <w:rsid w:val="00526B28"/>
    <w:rsid w:val="00527FCE"/>
    <w:rsid w:val="0054514F"/>
    <w:rsid w:val="00555205"/>
    <w:rsid w:val="005606B7"/>
    <w:rsid w:val="0057066C"/>
    <w:rsid w:val="00571E09"/>
    <w:rsid w:val="00586AAE"/>
    <w:rsid w:val="005929BF"/>
    <w:rsid w:val="005A0437"/>
    <w:rsid w:val="005A28DC"/>
    <w:rsid w:val="005D2946"/>
    <w:rsid w:val="005D5F41"/>
    <w:rsid w:val="005E125A"/>
    <w:rsid w:val="005E15B9"/>
    <w:rsid w:val="005E1D57"/>
    <w:rsid w:val="005F6D48"/>
    <w:rsid w:val="005F721A"/>
    <w:rsid w:val="00601E72"/>
    <w:rsid w:val="0060738B"/>
    <w:rsid w:val="0061780B"/>
    <w:rsid w:val="0063113C"/>
    <w:rsid w:val="00641C27"/>
    <w:rsid w:val="00644A9A"/>
    <w:rsid w:val="00655485"/>
    <w:rsid w:val="006700D5"/>
    <w:rsid w:val="00670EED"/>
    <w:rsid w:val="006727D9"/>
    <w:rsid w:val="006747FB"/>
    <w:rsid w:val="00681421"/>
    <w:rsid w:val="0068203F"/>
    <w:rsid w:val="00685F48"/>
    <w:rsid w:val="00687C14"/>
    <w:rsid w:val="00694DA4"/>
    <w:rsid w:val="006B1776"/>
    <w:rsid w:val="006B32DD"/>
    <w:rsid w:val="006C4624"/>
    <w:rsid w:val="006D5598"/>
    <w:rsid w:val="006E5ACB"/>
    <w:rsid w:val="006F7D59"/>
    <w:rsid w:val="00700484"/>
    <w:rsid w:val="00702A09"/>
    <w:rsid w:val="0070474B"/>
    <w:rsid w:val="00707798"/>
    <w:rsid w:val="007247D3"/>
    <w:rsid w:val="007539DA"/>
    <w:rsid w:val="007716A0"/>
    <w:rsid w:val="00781CBD"/>
    <w:rsid w:val="00785A65"/>
    <w:rsid w:val="007A1EA1"/>
    <w:rsid w:val="007A3777"/>
    <w:rsid w:val="007C326F"/>
    <w:rsid w:val="007C5C4F"/>
    <w:rsid w:val="007D29BB"/>
    <w:rsid w:val="007D4D4D"/>
    <w:rsid w:val="007E49E8"/>
    <w:rsid w:val="007E6A10"/>
    <w:rsid w:val="007E7743"/>
    <w:rsid w:val="007E7A61"/>
    <w:rsid w:val="007F7A43"/>
    <w:rsid w:val="008001CD"/>
    <w:rsid w:val="00800615"/>
    <w:rsid w:val="008018B5"/>
    <w:rsid w:val="0081500F"/>
    <w:rsid w:val="00820499"/>
    <w:rsid w:val="00823BFC"/>
    <w:rsid w:val="008326CD"/>
    <w:rsid w:val="00842BE4"/>
    <w:rsid w:val="008507B6"/>
    <w:rsid w:val="008608A1"/>
    <w:rsid w:val="00864EA3"/>
    <w:rsid w:val="00890504"/>
    <w:rsid w:val="00890FDA"/>
    <w:rsid w:val="00892CBD"/>
    <w:rsid w:val="008935D4"/>
    <w:rsid w:val="00893878"/>
    <w:rsid w:val="008A2B52"/>
    <w:rsid w:val="008A5B30"/>
    <w:rsid w:val="008A66F9"/>
    <w:rsid w:val="008A68B4"/>
    <w:rsid w:val="008C4B12"/>
    <w:rsid w:val="008D062C"/>
    <w:rsid w:val="008D302A"/>
    <w:rsid w:val="008E5195"/>
    <w:rsid w:val="009178B3"/>
    <w:rsid w:val="009179E5"/>
    <w:rsid w:val="009216EA"/>
    <w:rsid w:val="00943FFE"/>
    <w:rsid w:val="0095113E"/>
    <w:rsid w:val="0097287B"/>
    <w:rsid w:val="00975E8E"/>
    <w:rsid w:val="00986F9E"/>
    <w:rsid w:val="009A1BB6"/>
    <w:rsid w:val="009A5D93"/>
    <w:rsid w:val="009C64F7"/>
    <w:rsid w:val="009D009B"/>
    <w:rsid w:val="009D3F80"/>
    <w:rsid w:val="009D6A17"/>
    <w:rsid w:val="009D7D9D"/>
    <w:rsid w:val="009E4526"/>
    <w:rsid w:val="009E5CB2"/>
    <w:rsid w:val="00A006C9"/>
    <w:rsid w:val="00A157B1"/>
    <w:rsid w:val="00A17F64"/>
    <w:rsid w:val="00A21A60"/>
    <w:rsid w:val="00A26598"/>
    <w:rsid w:val="00A27C51"/>
    <w:rsid w:val="00A35826"/>
    <w:rsid w:val="00A42BDB"/>
    <w:rsid w:val="00A47D61"/>
    <w:rsid w:val="00A53831"/>
    <w:rsid w:val="00A570C1"/>
    <w:rsid w:val="00A60CAE"/>
    <w:rsid w:val="00A61DF0"/>
    <w:rsid w:val="00A629BF"/>
    <w:rsid w:val="00A94700"/>
    <w:rsid w:val="00A960CB"/>
    <w:rsid w:val="00AA7302"/>
    <w:rsid w:val="00AC723E"/>
    <w:rsid w:val="00AE20E8"/>
    <w:rsid w:val="00AE3CDD"/>
    <w:rsid w:val="00AF5574"/>
    <w:rsid w:val="00B0285F"/>
    <w:rsid w:val="00B12366"/>
    <w:rsid w:val="00B259D2"/>
    <w:rsid w:val="00B41442"/>
    <w:rsid w:val="00B4500B"/>
    <w:rsid w:val="00B45219"/>
    <w:rsid w:val="00B55B5E"/>
    <w:rsid w:val="00B64BDD"/>
    <w:rsid w:val="00B72944"/>
    <w:rsid w:val="00B82F6C"/>
    <w:rsid w:val="00B87A3F"/>
    <w:rsid w:val="00B93B92"/>
    <w:rsid w:val="00B9497D"/>
    <w:rsid w:val="00B95A50"/>
    <w:rsid w:val="00BA0875"/>
    <w:rsid w:val="00BB48C2"/>
    <w:rsid w:val="00BB59C0"/>
    <w:rsid w:val="00BB5BDF"/>
    <w:rsid w:val="00BE6C41"/>
    <w:rsid w:val="00BF45F8"/>
    <w:rsid w:val="00C05AA4"/>
    <w:rsid w:val="00C07D32"/>
    <w:rsid w:val="00C10267"/>
    <w:rsid w:val="00C11478"/>
    <w:rsid w:val="00C12FBA"/>
    <w:rsid w:val="00C46E79"/>
    <w:rsid w:val="00C74D02"/>
    <w:rsid w:val="00C80BCF"/>
    <w:rsid w:val="00C92A09"/>
    <w:rsid w:val="00CA3E66"/>
    <w:rsid w:val="00CA4B74"/>
    <w:rsid w:val="00CC5634"/>
    <w:rsid w:val="00CC7992"/>
    <w:rsid w:val="00CD4BC3"/>
    <w:rsid w:val="00CF1017"/>
    <w:rsid w:val="00CF310A"/>
    <w:rsid w:val="00D00B15"/>
    <w:rsid w:val="00D01D3C"/>
    <w:rsid w:val="00D14DFA"/>
    <w:rsid w:val="00D25EF7"/>
    <w:rsid w:val="00D42E45"/>
    <w:rsid w:val="00D515FB"/>
    <w:rsid w:val="00D56DB1"/>
    <w:rsid w:val="00D572FF"/>
    <w:rsid w:val="00D63E1F"/>
    <w:rsid w:val="00D66E76"/>
    <w:rsid w:val="00D677F2"/>
    <w:rsid w:val="00D718F5"/>
    <w:rsid w:val="00D82626"/>
    <w:rsid w:val="00D83E54"/>
    <w:rsid w:val="00D962E6"/>
    <w:rsid w:val="00DA16EE"/>
    <w:rsid w:val="00DF01E8"/>
    <w:rsid w:val="00DF053B"/>
    <w:rsid w:val="00DF5C90"/>
    <w:rsid w:val="00DF6D79"/>
    <w:rsid w:val="00DF7945"/>
    <w:rsid w:val="00E00A4E"/>
    <w:rsid w:val="00E060C3"/>
    <w:rsid w:val="00E13551"/>
    <w:rsid w:val="00E16024"/>
    <w:rsid w:val="00E23228"/>
    <w:rsid w:val="00E33B33"/>
    <w:rsid w:val="00E40E4B"/>
    <w:rsid w:val="00E42DC3"/>
    <w:rsid w:val="00E43502"/>
    <w:rsid w:val="00E51A01"/>
    <w:rsid w:val="00E51A1A"/>
    <w:rsid w:val="00E61D26"/>
    <w:rsid w:val="00E65F66"/>
    <w:rsid w:val="00E87BB5"/>
    <w:rsid w:val="00E949CD"/>
    <w:rsid w:val="00EA083C"/>
    <w:rsid w:val="00EB02E2"/>
    <w:rsid w:val="00EB0B28"/>
    <w:rsid w:val="00EC5756"/>
    <w:rsid w:val="00EC77EA"/>
    <w:rsid w:val="00ED056D"/>
    <w:rsid w:val="00ED0ED9"/>
    <w:rsid w:val="00EE1CF5"/>
    <w:rsid w:val="00EE67E0"/>
    <w:rsid w:val="00EE7B87"/>
    <w:rsid w:val="00F06A3A"/>
    <w:rsid w:val="00F133C9"/>
    <w:rsid w:val="00F25D56"/>
    <w:rsid w:val="00F34F92"/>
    <w:rsid w:val="00F35EE8"/>
    <w:rsid w:val="00F36523"/>
    <w:rsid w:val="00F42452"/>
    <w:rsid w:val="00F51746"/>
    <w:rsid w:val="00F71BD6"/>
    <w:rsid w:val="00F8017F"/>
    <w:rsid w:val="00F975F8"/>
    <w:rsid w:val="00FA1F52"/>
    <w:rsid w:val="00FA2071"/>
    <w:rsid w:val="00FC5F32"/>
    <w:rsid w:val="00FD5630"/>
    <w:rsid w:val="00FF1B3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uiPriority w:val="9"/>
    <w:unhideWhenUsed/>
    <w:qFormat/>
    <w:rsid w:val="0030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C0B3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C563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903F28"/>
    <w:rPr>
      <w:rFonts w:ascii="Lucida Grande" w:hAnsi="Lucida Grande"/>
      <w:sz w:val="18"/>
      <w:szCs w:val="18"/>
    </w:rPr>
  </w:style>
  <w:style w:type="character" w:customStyle="1" w:styleId="BalloonTextChar0">
    <w:name w:val="Balloon Text Char"/>
    <w:basedOn w:val="DefaultParagraphFont"/>
    <w:uiPriority w:val="99"/>
    <w:semiHidden/>
    <w:rsid w:val="00903F28"/>
    <w:rPr>
      <w:rFonts w:ascii="Lucida Grande" w:hAnsi="Lucida Grande"/>
      <w:sz w:val="18"/>
      <w:szCs w:val="18"/>
    </w:rPr>
  </w:style>
  <w:style w:type="character" w:customStyle="1" w:styleId="BalloonTextChar2">
    <w:name w:val="Balloon Text Char"/>
    <w:basedOn w:val="DefaultParagraphFont"/>
    <w:uiPriority w:val="99"/>
    <w:semiHidden/>
    <w:rsid w:val="00903F28"/>
    <w:rPr>
      <w:rFonts w:ascii="Lucida Grande" w:hAnsi="Lucida Grande"/>
      <w:sz w:val="18"/>
      <w:szCs w:val="18"/>
    </w:rPr>
  </w:style>
  <w:style w:type="character" w:customStyle="1" w:styleId="BalloonTextChar3">
    <w:name w:val="Balloon Text Char"/>
    <w:basedOn w:val="DefaultParagraphFont"/>
    <w:uiPriority w:val="99"/>
    <w:semiHidden/>
    <w:rsid w:val="002B1B33"/>
    <w:rPr>
      <w:rFonts w:ascii="Lucida Grande" w:hAnsi="Lucida Grande" w:cs="Lucida Grande"/>
      <w:sz w:val="18"/>
      <w:szCs w:val="18"/>
    </w:rPr>
  </w:style>
  <w:style w:type="character" w:customStyle="1" w:styleId="BalloonTextChar4">
    <w:name w:val="Balloon Text Char"/>
    <w:basedOn w:val="DefaultParagraphFont"/>
    <w:uiPriority w:val="99"/>
    <w:semiHidden/>
    <w:rsid w:val="002B1B33"/>
    <w:rPr>
      <w:rFonts w:ascii="Lucida Grande" w:hAnsi="Lucida Grande" w:cs="Lucida Grande"/>
      <w:sz w:val="18"/>
      <w:szCs w:val="18"/>
    </w:rPr>
  </w:style>
  <w:style w:type="character" w:customStyle="1" w:styleId="BalloonTextChar5">
    <w:name w:val="Balloon Text Char"/>
    <w:basedOn w:val="DefaultParagraphFont"/>
    <w:uiPriority w:val="99"/>
    <w:semiHidden/>
    <w:rsid w:val="002B1B33"/>
    <w:rPr>
      <w:rFonts w:ascii="Lucida Grande" w:hAnsi="Lucida Grande" w:cs="Lucida Grande"/>
      <w:sz w:val="18"/>
      <w:szCs w:val="18"/>
    </w:rPr>
  </w:style>
  <w:style w:type="character" w:customStyle="1" w:styleId="BalloonTextChar6">
    <w:name w:val="Balloon Text Char"/>
    <w:basedOn w:val="DefaultParagraphFont"/>
    <w:uiPriority w:val="99"/>
    <w:semiHidden/>
    <w:rsid w:val="002B1B33"/>
    <w:rPr>
      <w:rFonts w:ascii="Lucida Grande" w:hAnsi="Lucida Grande" w:cs="Lucida Grande"/>
      <w:sz w:val="18"/>
      <w:szCs w:val="18"/>
    </w:rPr>
  </w:style>
  <w:style w:type="character" w:customStyle="1" w:styleId="BalloonTextChar7">
    <w:name w:val="Balloon Text Char"/>
    <w:basedOn w:val="DefaultParagraphFont"/>
    <w:uiPriority w:val="99"/>
    <w:semiHidden/>
    <w:rsid w:val="002B1B33"/>
    <w:rPr>
      <w:rFonts w:ascii="Lucida Grande" w:hAnsi="Lucida Grande" w:cs="Lucida Grande"/>
      <w:sz w:val="18"/>
      <w:szCs w:val="18"/>
    </w:rPr>
  </w:style>
  <w:style w:type="paragraph" w:customStyle="1" w:styleId="IRPsanstext">
    <w:name w:val="IRPsanstext"/>
    <w:basedOn w:val="Normal"/>
    <w:link w:val="IRPsanstextChar1"/>
    <w:uiPriority w:val="99"/>
    <w:rsid w:val="00601E72"/>
    <w:pPr>
      <w:spacing w:line="320" w:lineRule="exact"/>
    </w:pPr>
    <w:rPr>
      <w:rFonts w:ascii="Arial"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character" w:customStyle="1" w:styleId="IRPsanstextChar1">
    <w:name w:val="IRPsanstext Char1"/>
    <w:link w:val="IRPsanstext"/>
    <w:uiPriority w:val="99"/>
    <w:locked/>
    <w:rsid w:val="00601E72"/>
    <w:rPr>
      <w:rFonts w:ascii="Arial" w:eastAsia="MS Mincho" w:hAnsi="Arial"/>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09155C"/>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uiPriority w:val="99"/>
    <w:qFormat/>
    <w:rsid w:val="00B12366"/>
    <w:pPr>
      <w:jc w:val="center"/>
    </w:pPr>
    <w:rPr>
      <w:i/>
      <w:szCs w:val="22"/>
    </w:rPr>
  </w:style>
  <w:style w:type="character" w:customStyle="1" w:styleId="IRPFigureSubChar">
    <w:name w:val="IRPFigureSub Char"/>
    <w:link w:val="IRPFigureSub"/>
    <w:uiPriority w:val="99"/>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szCs w:val="24"/>
    </w:rPr>
  </w:style>
  <w:style w:type="paragraph" w:customStyle="1" w:styleId="IRPtitle">
    <w:name w:val="IRPtitle"/>
    <w:basedOn w:val="Normal"/>
    <w:uiPriority w:val="99"/>
    <w:rsid w:val="00B12366"/>
    <w:pPr>
      <w:ind w:left="576" w:hanging="576"/>
    </w:pPr>
    <w:rPr>
      <w:rFonts w:ascii="Palatino" w:hAnsi="Palatino"/>
      <w:sz w:val="40"/>
      <w:szCs w:val="24"/>
    </w:rPr>
  </w:style>
  <w:style w:type="character" w:styleId="FootnoteReference">
    <w:name w:val="footnote reference"/>
    <w:aliases w:val="o,fr,o1,fr1,o2,fr2,o3,fr3,Style 13,Style 12,Style 15,Style 17,Style 9,Style 18,(NECG) Footnote Reference,Style 20,Style 7,Styl,Style 8,Style 19,Style 28"/>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aliases w:val="Car,Char,Footnote Text1 Char,Footnote Text Char Ch,Footnote Text1 Char1,Footnote Text Char Ch1,Footnote Text Char2 Char,Footnote Text Char Char1 Char,Footnote Text Char1 Char Char Char,ft,fn,ft Char,ft Char Ch,f,Style 10"/>
    <w:basedOn w:val="Normal"/>
    <w:link w:val="FootnoteTextChar"/>
    <w:uiPriority w:val="99"/>
    <w:rsid w:val="00C12FBA"/>
    <w:rPr>
      <w:rFonts w:ascii="Garamond" w:eastAsia="Garamond" w:hAnsi="Garamond"/>
      <w:lang w:eastAsia="en-US"/>
    </w:rPr>
  </w:style>
  <w:style w:type="character" w:customStyle="1" w:styleId="FootnoteTextChar">
    <w:name w:val="Footnote Text Char"/>
    <w:aliases w:val="Car Char,Char Char,Footnote Text1 Char Char,Footnote Text Char Ch Char,Footnote Text1 Char1 Char,Footnote Text Char Ch1 Char,Footnote Text Char2 Char Char,Footnote Text Char Char1 Char Char,Footnote Text Char1 Char Char Char Char"/>
    <w:basedOn w:val="DefaultParagraphFont"/>
    <w:link w:val="FootnoteText"/>
    <w:uiPriority w:val="99"/>
    <w:rsid w:val="00C12FBA"/>
    <w:rPr>
      <w:rFonts w:ascii="Garamond" w:eastAsia="Garamond" w:hAnsi="Garamond"/>
      <w:lang w:eastAsia="en-US"/>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rsid w:val="003016D9"/>
    <w:rPr>
      <w:sz w:val="16"/>
      <w:szCs w:val="16"/>
    </w:rPr>
  </w:style>
  <w:style w:type="paragraph" w:styleId="CommentText">
    <w:name w:val="annotation text"/>
    <w:basedOn w:val="Normal"/>
    <w:link w:val="CommentTextChar"/>
    <w:uiPriority w:val="99"/>
    <w:rsid w:val="003016D9"/>
    <w:pPr>
      <w:spacing w:after="240"/>
    </w:pPr>
    <w:rPr>
      <w:rFonts w:asciiTheme="minorHAnsi" w:eastAsia="Cambria" w:hAnsiTheme="minorHAnsi"/>
      <w:lang w:eastAsia="en-US"/>
    </w:rPr>
  </w:style>
  <w:style w:type="character" w:customStyle="1" w:styleId="CommentTextChar">
    <w:name w:val="Comment Text Char"/>
    <w:basedOn w:val="DefaultParagraphFont"/>
    <w:link w:val="CommentText"/>
    <w:uiPriority w:val="99"/>
    <w:rsid w:val="003016D9"/>
    <w:rPr>
      <w:rFonts w:asciiTheme="minorHAnsi" w:eastAsia="Cambria" w:hAnsiTheme="minorHAnsi"/>
      <w:lang w:eastAsia="en-US"/>
    </w:rPr>
  </w:style>
  <w:style w:type="character" w:styleId="Hyperlink">
    <w:name w:val="Hyperlink"/>
    <w:basedOn w:val="DefaultParagraphFont"/>
    <w:uiPriority w:val="99"/>
    <w:rsid w:val="003016D9"/>
    <w:rPr>
      <w:color w:val="0000FF"/>
      <w:u w:val="single"/>
    </w:rPr>
  </w:style>
  <w:style w:type="character" w:customStyle="1" w:styleId="Heading3Char">
    <w:name w:val="Heading 3 Char"/>
    <w:basedOn w:val="DefaultParagraphFont"/>
    <w:link w:val="Heading3"/>
    <w:uiPriority w:val="9"/>
    <w:rsid w:val="0030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C0B33"/>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1C0B33"/>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next w:val="Default"/>
    <w:link w:val="BodyChar"/>
    <w:qFormat/>
    <w:rsid w:val="00CC5634"/>
    <w:pPr>
      <w:jc w:val="both"/>
    </w:pPr>
    <w:rPr>
      <w:rFonts w:ascii="Calibri" w:eastAsia="Times New Roman" w:hAnsi="Calibri"/>
      <w:sz w:val="22"/>
      <w:szCs w:val="24"/>
      <w:lang w:eastAsia="en-US"/>
    </w:rPr>
  </w:style>
  <w:style w:type="character" w:customStyle="1" w:styleId="BodyChar">
    <w:name w:val="Body Char"/>
    <w:link w:val="Body"/>
    <w:rsid w:val="00CC5634"/>
    <w:rPr>
      <w:rFonts w:ascii="Calibri" w:eastAsia="Times New Roman" w:hAnsi="Calibri"/>
      <w:sz w:val="22"/>
      <w:szCs w:val="24"/>
      <w:lang w:eastAsia="en-US"/>
    </w:rPr>
  </w:style>
  <w:style w:type="paragraph" w:customStyle="1" w:styleId="Default">
    <w:name w:val="Default"/>
    <w:rsid w:val="00CC5634"/>
    <w:pPr>
      <w:autoSpaceDE w:val="0"/>
      <w:autoSpaceDN w:val="0"/>
      <w:adjustRightInd w:val="0"/>
    </w:pPr>
    <w:rPr>
      <w:rFonts w:eastAsia="Times New Roman"/>
      <w:color w:val="000000"/>
      <w:sz w:val="24"/>
      <w:szCs w:val="24"/>
      <w:lang w:eastAsia="en-US"/>
    </w:rPr>
  </w:style>
  <w:style w:type="character" w:customStyle="1" w:styleId="Heading5Char">
    <w:name w:val="Heading 5 Char"/>
    <w:basedOn w:val="DefaultParagraphFont"/>
    <w:link w:val="Heading5"/>
    <w:rsid w:val="00CC5634"/>
    <w:rPr>
      <w:rFonts w:asciiTheme="majorHAnsi" w:eastAsiaTheme="majorEastAsia" w:hAnsiTheme="majorHAnsi" w:cstheme="majorBidi"/>
      <w:color w:val="243F60" w:themeColor="accent1" w:themeShade="7F"/>
    </w:rPr>
  </w:style>
  <w:style w:type="table" w:customStyle="1" w:styleId="LightList1">
    <w:name w:val="Light List1"/>
    <w:basedOn w:val="TableNormal"/>
    <w:rsid w:val="008E5195"/>
    <w:rPr>
      <w:rFonts w:ascii="Cambria" w:eastAsia="Cambria" w:hAnsi="Cambria"/>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8E5195"/>
    <w:pPr>
      <w:spacing w:before="120" w:after="120"/>
    </w:pPr>
    <w:rPr>
      <w:rFonts w:asciiTheme="minorHAnsi" w:eastAsia="Cambria" w:hAnsiTheme="minorHAnsi"/>
      <w:b/>
      <w:bCs/>
      <w:color w:val="4F81BD" w:themeColor="accent1"/>
      <w:sz w:val="22"/>
      <w:szCs w:val="18"/>
      <w:lang w:eastAsia="en-US"/>
    </w:rPr>
  </w:style>
  <w:style w:type="character" w:customStyle="1" w:styleId="apple-converted-space">
    <w:name w:val="apple-converted-space"/>
    <w:basedOn w:val="DefaultParagraphFont"/>
    <w:rsid w:val="00E40E4B"/>
  </w:style>
  <w:style w:type="character" w:styleId="Emphasis">
    <w:name w:val="Emphasis"/>
    <w:basedOn w:val="DefaultParagraphFont"/>
    <w:uiPriority w:val="20"/>
    <w:qFormat/>
    <w:rsid w:val="00B4500B"/>
    <w:rPr>
      <w:rFonts w:asciiTheme="minorHAnsi" w:hAnsiTheme="minorHAnsi"/>
      <w:b/>
      <w:i/>
      <w:iCs/>
    </w:rPr>
  </w:style>
  <w:style w:type="table" w:styleId="LightList-Accent1">
    <w:name w:val="Light List Accent 1"/>
    <w:basedOn w:val="TableNormal"/>
    <w:uiPriority w:val="61"/>
    <w:rsid w:val="00B4500B"/>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641C27"/>
    <w:pPr>
      <w:spacing w:after="0"/>
    </w:pPr>
    <w:rPr>
      <w:rFonts w:ascii="Times New Roman" w:eastAsia="MS Mincho" w:hAnsi="Times New Roman"/>
      <w:b/>
      <w:bCs/>
      <w:lang w:eastAsia="ja-JP"/>
    </w:rPr>
  </w:style>
  <w:style w:type="character" w:customStyle="1" w:styleId="CommentSubjectChar">
    <w:name w:val="Comment Subject Char"/>
    <w:basedOn w:val="CommentTextChar"/>
    <w:link w:val="CommentSubject"/>
    <w:uiPriority w:val="99"/>
    <w:semiHidden/>
    <w:rsid w:val="00641C27"/>
    <w:rPr>
      <w:rFonts w:asciiTheme="minorHAnsi" w:eastAsia="MS Mincho" w:hAnsiTheme="minorHAnsi"/>
      <w:b/>
      <w:bCs/>
      <w:lang w:eastAsia="en-US"/>
    </w:rPr>
  </w:style>
  <w:style w:type="paragraph" w:customStyle="1" w:styleId="BasicParagraph">
    <w:name w:val="[Basic Paragraph]"/>
    <w:basedOn w:val="Normal"/>
    <w:uiPriority w:val="99"/>
    <w:rsid w:val="00490139"/>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uiPriority w:val="9"/>
    <w:unhideWhenUsed/>
    <w:qFormat/>
    <w:rsid w:val="0030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C0B3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C563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903F28"/>
    <w:rPr>
      <w:rFonts w:ascii="Lucida Grande" w:hAnsi="Lucida Grande"/>
      <w:sz w:val="18"/>
      <w:szCs w:val="18"/>
    </w:rPr>
  </w:style>
  <w:style w:type="character" w:customStyle="1" w:styleId="BalloonTextChar0">
    <w:name w:val="Balloon Text Char"/>
    <w:basedOn w:val="DefaultParagraphFont"/>
    <w:uiPriority w:val="99"/>
    <w:semiHidden/>
    <w:rsid w:val="00903F28"/>
    <w:rPr>
      <w:rFonts w:ascii="Lucida Grande" w:hAnsi="Lucida Grande"/>
      <w:sz w:val="18"/>
      <w:szCs w:val="18"/>
    </w:rPr>
  </w:style>
  <w:style w:type="character" w:customStyle="1" w:styleId="BalloonTextChar2">
    <w:name w:val="Balloon Text Char"/>
    <w:basedOn w:val="DefaultParagraphFont"/>
    <w:uiPriority w:val="99"/>
    <w:semiHidden/>
    <w:rsid w:val="00903F28"/>
    <w:rPr>
      <w:rFonts w:ascii="Lucida Grande" w:hAnsi="Lucida Grande"/>
      <w:sz w:val="18"/>
      <w:szCs w:val="18"/>
    </w:rPr>
  </w:style>
  <w:style w:type="character" w:customStyle="1" w:styleId="BalloonTextChar3">
    <w:name w:val="Balloon Text Char"/>
    <w:basedOn w:val="DefaultParagraphFont"/>
    <w:uiPriority w:val="99"/>
    <w:semiHidden/>
    <w:rsid w:val="002B1B33"/>
    <w:rPr>
      <w:rFonts w:ascii="Lucida Grande" w:hAnsi="Lucida Grande" w:cs="Lucida Grande"/>
      <w:sz w:val="18"/>
      <w:szCs w:val="18"/>
    </w:rPr>
  </w:style>
  <w:style w:type="character" w:customStyle="1" w:styleId="BalloonTextChar4">
    <w:name w:val="Balloon Text Char"/>
    <w:basedOn w:val="DefaultParagraphFont"/>
    <w:uiPriority w:val="99"/>
    <w:semiHidden/>
    <w:rsid w:val="002B1B33"/>
    <w:rPr>
      <w:rFonts w:ascii="Lucida Grande" w:hAnsi="Lucida Grande" w:cs="Lucida Grande"/>
      <w:sz w:val="18"/>
      <w:szCs w:val="18"/>
    </w:rPr>
  </w:style>
  <w:style w:type="character" w:customStyle="1" w:styleId="BalloonTextChar5">
    <w:name w:val="Balloon Text Char"/>
    <w:basedOn w:val="DefaultParagraphFont"/>
    <w:uiPriority w:val="99"/>
    <w:semiHidden/>
    <w:rsid w:val="002B1B33"/>
    <w:rPr>
      <w:rFonts w:ascii="Lucida Grande" w:hAnsi="Lucida Grande" w:cs="Lucida Grande"/>
      <w:sz w:val="18"/>
      <w:szCs w:val="18"/>
    </w:rPr>
  </w:style>
  <w:style w:type="character" w:customStyle="1" w:styleId="BalloonTextChar6">
    <w:name w:val="Balloon Text Char"/>
    <w:basedOn w:val="DefaultParagraphFont"/>
    <w:uiPriority w:val="99"/>
    <w:semiHidden/>
    <w:rsid w:val="002B1B33"/>
    <w:rPr>
      <w:rFonts w:ascii="Lucida Grande" w:hAnsi="Lucida Grande" w:cs="Lucida Grande"/>
      <w:sz w:val="18"/>
      <w:szCs w:val="18"/>
    </w:rPr>
  </w:style>
  <w:style w:type="character" w:customStyle="1" w:styleId="BalloonTextChar7">
    <w:name w:val="Balloon Text Char"/>
    <w:basedOn w:val="DefaultParagraphFont"/>
    <w:uiPriority w:val="99"/>
    <w:semiHidden/>
    <w:rsid w:val="002B1B33"/>
    <w:rPr>
      <w:rFonts w:ascii="Lucida Grande" w:hAnsi="Lucida Grande" w:cs="Lucida Grande"/>
      <w:sz w:val="18"/>
      <w:szCs w:val="18"/>
    </w:rPr>
  </w:style>
  <w:style w:type="paragraph" w:customStyle="1" w:styleId="IRPsanstext">
    <w:name w:val="IRPsanstext"/>
    <w:basedOn w:val="Normal"/>
    <w:link w:val="IRPsanstextChar1"/>
    <w:uiPriority w:val="99"/>
    <w:rsid w:val="00601E72"/>
    <w:pPr>
      <w:spacing w:line="320" w:lineRule="exact"/>
    </w:pPr>
    <w:rPr>
      <w:rFonts w:ascii="Arial"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character" w:customStyle="1" w:styleId="IRPsanstextChar1">
    <w:name w:val="IRPsanstext Char1"/>
    <w:link w:val="IRPsanstext"/>
    <w:uiPriority w:val="99"/>
    <w:locked/>
    <w:rsid w:val="00601E72"/>
    <w:rPr>
      <w:rFonts w:ascii="Arial" w:eastAsia="MS Mincho" w:hAnsi="Arial"/>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09155C"/>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uiPriority w:val="99"/>
    <w:qFormat/>
    <w:rsid w:val="00B12366"/>
    <w:pPr>
      <w:jc w:val="center"/>
    </w:pPr>
    <w:rPr>
      <w:i/>
      <w:szCs w:val="22"/>
    </w:rPr>
  </w:style>
  <w:style w:type="character" w:customStyle="1" w:styleId="IRPFigureSubChar">
    <w:name w:val="IRPFigureSub Char"/>
    <w:link w:val="IRPFigureSub"/>
    <w:uiPriority w:val="99"/>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szCs w:val="24"/>
    </w:rPr>
  </w:style>
  <w:style w:type="paragraph" w:customStyle="1" w:styleId="IRPtitle">
    <w:name w:val="IRPtitle"/>
    <w:basedOn w:val="Normal"/>
    <w:uiPriority w:val="99"/>
    <w:rsid w:val="00B12366"/>
    <w:pPr>
      <w:ind w:left="576" w:hanging="576"/>
    </w:pPr>
    <w:rPr>
      <w:rFonts w:ascii="Palatino" w:hAnsi="Palatino"/>
      <w:sz w:val="40"/>
      <w:szCs w:val="24"/>
    </w:rPr>
  </w:style>
  <w:style w:type="character" w:styleId="FootnoteReference">
    <w:name w:val="footnote reference"/>
    <w:aliases w:val="o,fr,o1,fr1,o2,fr2,o3,fr3,Style 13,Style 12,Style 15,Style 17,Style 9,Style 18,(NECG) Footnote Reference,Style 20,Style 7,Styl,Style 8,Style 19,Style 28"/>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aliases w:val="Car,Char,Footnote Text1 Char,Footnote Text Char Ch,Footnote Text1 Char1,Footnote Text Char Ch1,Footnote Text Char2 Char,Footnote Text Char Char1 Char,Footnote Text Char1 Char Char Char,ft,fn,ft Char,ft Char Ch,f,Style 10"/>
    <w:basedOn w:val="Normal"/>
    <w:link w:val="FootnoteTextChar"/>
    <w:uiPriority w:val="99"/>
    <w:rsid w:val="00C12FBA"/>
    <w:rPr>
      <w:rFonts w:ascii="Garamond" w:eastAsia="Garamond" w:hAnsi="Garamond"/>
      <w:lang w:eastAsia="en-US"/>
    </w:rPr>
  </w:style>
  <w:style w:type="character" w:customStyle="1" w:styleId="FootnoteTextChar">
    <w:name w:val="Footnote Text Char"/>
    <w:aliases w:val="Car Char,Char Char,Footnote Text1 Char Char,Footnote Text Char Ch Char,Footnote Text1 Char1 Char,Footnote Text Char Ch1 Char,Footnote Text Char2 Char Char,Footnote Text Char Char1 Char Char,Footnote Text Char1 Char Char Char Char"/>
    <w:basedOn w:val="DefaultParagraphFont"/>
    <w:link w:val="FootnoteText"/>
    <w:uiPriority w:val="99"/>
    <w:rsid w:val="00C12FBA"/>
    <w:rPr>
      <w:rFonts w:ascii="Garamond" w:eastAsia="Garamond" w:hAnsi="Garamond"/>
      <w:lang w:eastAsia="en-US"/>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rsid w:val="003016D9"/>
    <w:rPr>
      <w:sz w:val="16"/>
      <w:szCs w:val="16"/>
    </w:rPr>
  </w:style>
  <w:style w:type="paragraph" w:styleId="CommentText">
    <w:name w:val="annotation text"/>
    <w:basedOn w:val="Normal"/>
    <w:link w:val="CommentTextChar"/>
    <w:uiPriority w:val="99"/>
    <w:rsid w:val="003016D9"/>
    <w:pPr>
      <w:spacing w:after="240"/>
    </w:pPr>
    <w:rPr>
      <w:rFonts w:asciiTheme="minorHAnsi" w:eastAsia="Cambria" w:hAnsiTheme="minorHAnsi"/>
      <w:lang w:eastAsia="en-US"/>
    </w:rPr>
  </w:style>
  <w:style w:type="character" w:customStyle="1" w:styleId="CommentTextChar">
    <w:name w:val="Comment Text Char"/>
    <w:basedOn w:val="DefaultParagraphFont"/>
    <w:link w:val="CommentText"/>
    <w:uiPriority w:val="99"/>
    <w:rsid w:val="003016D9"/>
    <w:rPr>
      <w:rFonts w:asciiTheme="minorHAnsi" w:eastAsia="Cambria" w:hAnsiTheme="minorHAnsi"/>
      <w:lang w:eastAsia="en-US"/>
    </w:rPr>
  </w:style>
  <w:style w:type="character" w:styleId="Hyperlink">
    <w:name w:val="Hyperlink"/>
    <w:basedOn w:val="DefaultParagraphFont"/>
    <w:uiPriority w:val="99"/>
    <w:rsid w:val="003016D9"/>
    <w:rPr>
      <w:color w:val="0000FF"/>
      <w:u w:val="single"/>
    </w:rPr>
  </w:style>
  <w:style w:type="character" w:customStyle="1" w:styleId="Heading3Char">
    <w:name w:val="Heading 3 Char"/>
    <w:basedOn w:val="DefaultParagraphFont"/>
    <w:link w:val="Heading3"/>
    <w:uiPriority w:val="9"/>
    <w:rsid w:val="0030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C0B33"/>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1C0B33"/>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next w:val="Default"/>
    <w:link w:val="BodyChar"/>
    <w:qFormat/>
    <w:rsid w:val="00CC5634"/>
    <w:pPr>
      <w:jc w:val="both"/>
    </w:pPr>
    <w:rPr>
      <w:rFonts w:ascii="Calibri" w:eastAsia="Times New Roman" w:hAnsi="Calibri"/>
      <w:sz w:val="22"/>
      <w:szCs w:val="24"/>
      <w:lang w:eastAsia="en-US"/>
    </w:rPr>
  </w:style>
  <w:style w:type="character" w:customStyle="1" w:styleId="BodyChar">
    <w:name w:val="Body Char"/>
    <w:link w:val="Body"/>
    <w:rsid w:val="00CC5634"/>
    <w:rPr>
      <w:rFonts w:ascii="Calibri" w:eastAsia="Times New Roman" w:hAnsi="Calibri"/>
      <w:sz w:val="22"/>
      <w:szCs w:val="24"/>
      <w:lang w:eastAsia="en-US"/>
    </w:rPr>
  </w:style>
  <w:style w:type="paragraph" w:customStyle="1" w:styleId="Default">
    <w:name w:val="Default"/>
    <w:rsid w:val="00CC5634"/>
    <w:pPr>
      <w:autoSpaceDE w:val="0"/>
      <w:autoSpaceDN w:val="0"/>
      <w:adjustRightInd w:val="0"/>
    </w:pPr>
    <w:rPr>
      <w:rFonts w:eastAsia="Times New Roman"/>
      <w:color w:val="000000"/>
      <w:sz w:val="24"/>
      <w:szCs w:val="24"/>
      <w:lang w:eastAsia="en-US"/>
    </w:rPr>
  </w:style>
  <w:style w:type="character" w:customStyle="1" w:styleId="Heading5Char">
    <w:name w:val="Heading 5 Char"/>
    <w:basedOn w:val="DefaultParagraphFont"/>
    <w:link w:val="Heading5"/>
    <w:rsid w:val="00CC5634"/>
    <w:rPr>
      <w:rFonts w:asciiTheme="majorHAnsi" w:eastAsiaTheme="majorEastAsia" w:hAnsiTheme="majorHAnsi" w:cstheme="majorBidi"/>
      <w:color w:val="243F60" w:themeColor="accent1" w:themeShade="7F"/>
    </w:rPr>
  </w:style>
  <w:style w:type="table" w:customStyle="1" w:styleId="LightList1">
    <w:name w:val="Light List1"/>
    <w:basedOn w:val="TableNormal"/>
    <w:rsid w:val="008E5195"/>
    <w:rPr>
      <w:rFonts w:ascii="Cambria" w:eastAsia="Cambria" w:hAnsi="Cambria"/>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8E5195"/>
    <w:pPr>
      <w:spacing w:before="120" w:after="120"/>
    </w:pPr>
    <w:rPr>
      <w:rFonts w:asciiTheme="minorHAnsi" w:eastAsia="Cambria" w:hAnsiTheme="minorHAnsi"/>
      <w:b/>
      <w:bCs/>
      <w:color w:val="4F81BD" w:themeColor="accent1"/>
      <w:sz w:val="22"/>
      <w:szCs w:val="18"/>
      <w:lang w:eastAsia="en-US"/>
    </w:rPr>
  </w:style>
  <w:style w:type="character" w:customStyle="1" w:styleId="apple-converted-space">
    <w:name w:val="apple-converted-space"/>
    <w:basedOn w:val="DefaultParagraphFont"/>
    <w:rsid w:val="00E40E4B"/>
  </w:style>
  <w:style w:type="character" w:styleId="Emphasis">
    <w:name w:val="Emphasis"/>
    <w:basedOn w:val="DefaultParagraphFont"/>
    <w:uiPriority w:val="20"/>
    <w:qFormat/>
    <w:rsid w:val="00B4500B"/>
    <w:rPr>
      <w:rFonts w:asciiTheme="minorHAnsi" w:hAnsiTheme="minorHAnsi"/>
      <w:b/>
      <w:i/>
      <w:iCs/>
    </w:rPr>
  </w:style>
  <w:style w:type="table" w:styleId="LightList-Accent1">
    <w:name w:val="Light List Accent 1"/>
    <w:basedOn w:val="TableNormal"/>
    <w:uiPriority w:val="61"/>
    <w:rsid w:val="00B4500B"/>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641C27"/>
    <w:pPr>
      <w:spacing w:after="0"/>
    </w:pPr>
    <w:rPr>
      <w:rFonts w:ascii="Times New Roman" w:eastAsia="MS Mincho" w:hAnsi="Times New Roman"/>
      <w:b/>
      <w:bCs/>
      <w:lang w:eastAsia="ja-JP"/>
    </w:rPr>
  </w:style>
  <w:style w:type="character" w:customStyle="1" w:styleId="CommentSubjectChar">
    <w:name w:val="Comment Subject Char"/>
    <w:basedOn w:val="CommentTextChar"/>
    <w:link w:val="CommentSubject"/>
    <w:uiPriority w:val="99"/>
    <w:semiHidden/>
    <w:rsid w:val="00641C27"/>
    <w:rPr>
      <w:rFonts w:asciiTheme="minorHAnsi" w:eastAsia="MS Mincho" w:hAnsiTheme="minorHAnsi"/>
      <w:b/>
      <w:bCs/>
      <w:lang w:eastAsia="en-US"/>
    </w:rPr>
  </w:style>
  <w:style w:type="paragraph" w:customStyle="1" w:styleId="BasicParagraph">
    <w:name w:val="[Basic Paragraph]"/>
    <w:basedOn w:val="Normal"/>
    <w:uiPriority w:val="99"/>
    <w:rsid w:val="00490139"/>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21" Type="http://schemas.openxmlformats.org/officeDocument/2006/relationships/customXml" Target="../customXml/item2.xml"/><Relationship Id="rId12" Type="http://schemas.openxmlformats.org/officeDocument/2006/relationships/image" Target="media/image3.emf"/><Relationship Id="rId17" Type="http://schemas.openxmlformats.org/officeDocument/2006/relationships/header" Target="header3.xml"/><Relationship Id="rId7" Type="http://schemas.openxmlformats.org/officeDocument/2006/relationships/footnotes" Target="footnotes.xml"/><Relationship Id="rId20" Type="http://schemas.openxmlformats.org/officeDocument/2006/relationships/theme" Target="theme/theme1.xml"/><Relationship Id="rId16" Type="http://schemas.openxmlformats.org/officeDocument/2006/relationships/footer" Target="footer2.xml"/><Relationship Id="rId2" Type="http://schemas.openxmlformats.org/officeDocument/2006/relationships/numbering" Target="numbering.xml"/><Relationship Id="rId1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customXml" Target="../customXml/item5.xml"/><Relationship Id="rId15" Type="http://schemas.openxmlformats.org/officeDocument/2006/relationships/footer" Target="footer1.xml"/><Relationship Id="rId5" Type="http://schemas.openxmlformats.org/officeDocument/2006/relationships/settings" Target="settings.xml"/><Relationship Id="rId23" Type="http://schemas.openxmlformats.org/officeDocument/2006/relationships/customXml" Target="../customXml/item4.xml"/><Relationship Id="rId10" Type="http://schemas.openxmlformats.org/officeDocument/2006/relationships/chart" Target="charts/chart1.xml"/><Relationship Id="rId19" Type="http://schemas.openxmlformats.org/officeDocument/2006/relationships/fontTable" Target="fontTable.xml"/><Relationship Id="rId9" Type="http://schemas.openxmlformats.org/officeDocument/2006/relationships/image" Target="media/image1.jpeg"/><Relationship Id="rId14" Type="http://schemas.openxmlformats.org/officeDocument/2006/relationships/header" Target="header2.xml"/><Relationship Id="rId4" Type="http://schemas.microsoft.com/office/2007/relationships/stylesWithEffects" Target="stylesWithEffects.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sestusr1\smayna$\%23%23IRPs\%23%232015%20IRP\AppL-Storage\Global%20Storage%20by%20Installed%20MW%20(DOE%20GESB%20Aug-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ofPieChart>
        <c:ofPieType val="pie"/>
        <c:varyColors val="1"/>
        <c:ser>
          <c:idx val="0"/>
          <c:order val="0"/>
          <c:explosion val="5"/>
          <c:dLbls>
            <c:dLbl>
              <c:idx val="0"/>
              <c:tx>
                <c:rich>
                  <a:bodyPr/>
                  <a:lstStyle/>
                  <a:p>
                    <a:r>
                      <a:rPr lang="en-US">
                        <a:solidFill>
                          <a:schemeClr val="tx1"/>
                        </a:solidFill>
                        <a:latin typeface="Arial"/>
                      </a:rPr>
                      <a:t>Pumped Hydro 142,088</a:t>
                    </a:r>
                    <a:endParaRPr lang="en-US"/>
                  </a:p>
                </c:rich>
              </c:tx>
              <c:dLblPos val="ctr"/>
              <c:showLegendKey val="0"/>
              <c:showVal val="1"/>
              <c:showCatName val="1"/>
              <c:showSerName val="0"/>
              <c:showPercent val="0"/>
              <c:showBubbleSize val="0"/>
              <c:separator> </c:separator>
            </c:dLbl>
            <c:dLbl>
              <c:idx val="1"/>
              <c:layout>
                <c:manualLayout>
                  <c:x val="-0.0292153966584137"/>
                  <c:y val="-0.091601420684436"/>
                </c:manualLayout>
              </c:layout>
              <c:tx>
                <c:rich>
                  <a:bodyPr/>
                  <a:lstStyle/>
                  <a:p>
                    <a:r>
                      <a:rPr lang="en-US" sz="1000">
                        <a:solidFill>
                          <a:schemeClr val="tx1"/>
                        </a:solidFill>
                        <a:latin typeface="Arial"/>
                      </a:rPr>
                      <a:t>Compressed </a:t>
                    </a:r>
                  </a:p>
                  <a:p>
                    <a:r>
                      <a:rPr lang="en-US" sz="1000">
                        <a:solidFill>
                          <a:schemeClr val="tx1"/>
                        </a:solidFill>
                        <a:latin typeface="Arial"/>
                      </a:rPr>
                      <a:t>Air 435</a:t>
                    </a:r>
                    <a:endParaRPr lang="en-US"/>
                  </a:p>
                </c:rich>
              </c:tx>
              <c:dLblPos val="bestFit"/>
              <c:showLegendKey val="0"/>
              <c:showVal val="1"/>
              <c:showCatName val="1"/>
              <c:showSerName val="0"/>
              <c:showPercent val="0"/>
              <c:showBubbleSize val="0"/>
              <c:separator> </c:separator>
            </c:dLbl>
            <c:dLbl>
              <c:idx val="2"/>
              <c:layout>
                <c:manualLayout>
                  <c:x val="-0.0559302354412176"/>
                  <c:y val="-0.152739025717539"/>
                </c:manualLayout>
              </c:layout>
              <c:tx>
                <c:rich>
                  <a:bodyPr/>
                  <a:lstStyle/>
                  <a:p>
                    <a:r>
                      <a:rPr lang="en-US" sz="1000">
                        <a:solidFill>
                          <a:schemeClr val="tx1"/>
                        </a:solidFill>
                        <a:latin typeface="Arial"/>
                      </a:rPr>
                      <a:t>Batteries* </a:t>
                    </a:r>
                  </a:p>
                  <a:p>
                    <a:r>
                      <a:rPr lang="en-US" sz="1000">
                        <a:solidFill>
                          <a:schemeClr val="tx1"/>
                        </a:solidFill>
                        <a:latin typeface="Arial"/>
                      </a:rPr>
                      <a:t>585</a:t>
                    </a:r>
                    <a:endParaRPr lang="en-US"/>
                  </a:p>
                </c:rich>
              </c:tx>
              <c:dLblPos val="bestFit"/>
              <c:showLegendKey val="0"/>
              <c:showVal val="1"/>
              <c:showCatName val="1"/>
              <c:showSerName val="0"/>
              <c:showPercent val="0"/>
              <c:showBubbleSize val="0"/>
              <c:separator> </c:separator>
            </c:dLbl>
            <c:dLbl>
              <c:idx val="3"/>
              <c:layout>
                <c:manualLayout>
                  <c:x val="0.117021829761158"/>
                  <c:y val="-0.112733046361982"/>
                </c:manualLayout>
              </c:layout>
              <c:tx>
                <c:rich>
                  <a:bodyPr/>
                  <a:lstStyle/>
                  <a:p>
                    <a:r>
                      <a:rPr lang="en-US" sz="1000">
                        <a:solidFill>
                          <a:schemeClr val="tx1"/>
                        </a:solidFill>
                        <a:latin typeface="Arial"/>
                      </a:rPr>
                      <a:t>Flywheel </a:t>
                    </a:r>
                  </a:p>
                  <a:p>
                    <a:r>
                      <a:rPr lang="en-US" sz="1000">
                        <a:solidFill>
                          <a:schemeClr val="tx1"/>
                        </a:solidFill>
                        <a:latin typeface="Arial"/>
                      </a:rPr>
                      <a:t>920</a:t>
                    </a:r>
                    <a:endParaRPr lang="en-US"/>
                  </a:p>
                </c:rich>
              </c:tx>
              <c:dLblPos val="bestFit"/>
              <c:showLegendKey val="0"/>
              <c:showVal val="1"/>
              <c:showCatName val="1"/>
              <c:showSerName val="0"/>
              <c:showPercent val="0"/>
              <c:showBubbleSize val="0"/>
              <c:separator> </c:separator>
            </c:dLbl>
            <c:dLbl>
              <c:idx val="5"/>
              <c:layout>
                <c:manualLayout>
                  <c:x val="-0.0104469734805416"/>
                  <c:y val="0.0"/>
                </c:manualLayout>
              </c:layout>
              <c:tx>
                <c:rich>
                  <a:bodyPr/>
                  <a:lstStyle/>
                  <a:p>
                    <a:r>
                      <a:rPr lang="en-US" sz="1000">
                        <a:solidFill>
                          <a:schemeClr val="tx1"/>
                        </a:solidFill>
                        <a:latin typeface="Arial"/>
                      </a:rPr>
                      <a:t>Other </a:t>
                    </a:r>
                    <a:endParaRPr lang="en-US">
                      <a:solidFill>
                        <a:sysClr val="windowText" lastClr="000000"/>
                      </a:solidFill>
                    </a:endParaRPr>
                  </a:p>
                </c:rich>
              </c:tx>
              <c:dLblPos val="bestFit"/>
              <c:showLegendKey val="0"/>
              <c:showVal val="1"/>
              <c:showCatName val="1"/>
              <c:showSerName val="0"/>
              <c:showPercent val="0"/>
              <c:showBubbleSize val="0"/>
              <c:separator> </c:separator>
            </c:dLbl>
            <c:txPr>
              <a:bodyPr/>
              <a:lstStyle/>
              <a:p>
                <a:pPr>
                  <a:defRPr>
                    <a:solidFill>
                      <a:schemeClr val="tx1"/>
                    </a:solidFill>
                    <a:latin typeface="Arial"/>
                  </a:defRPr>
                </a:pPr>
                <a:endParaRPr lang="en-US"/>
              </a:p>
            </c:txPr>
            <c:dLblPos val="ctr"/>
            <c:showLegendKey val="0"/>
            <c:showVal val="1"/>
            <c:showCatName val="1"/>
            <c:showSerName val="0"/>
            <c:showPercent val="0"/>
            <c:showBubbleSize val="0"/>
            <c:separator> </c:separator>
            <c:showLeaderLines val="0"/>
          </c:dLbls>
          <c:cat>
            <c:strRef>
              <c:f>'[Global Storage by Installed MW (DOE GESB Aug-2015).xlsx]Sheet1'!$M$6:$M$10</c:f>
              <c:strCache>
                <c:ptCount val="5"/>
                <c:pt idx="0">
                  <c:v>Pumpled Hydro</c:v>
                </c:pt>
                <c:pt idx="1">
                  <c:v>Compressed Air</c:v>
                </c:pt>
                <c:pt idx="2">
                  <c:v>Batteries</c:v>
                </c:pt>
                <c:pt idx="3">
                  <c:v>Flywheel</c:v>
                </c:pt>
                <c:pt idx="4">
                  <c:v>Thermal</c:v>
                </c:pt>
              </c:strCache>
            </c:strRef>
          </c:cat>
          <c:val>
            <c:numRef>
              <c:f>'[Global Storage by Installed MW (DOE GESB Aug-2015).xlsx]Sheet1'!$N$6:$N$10</c:f>
              <c:numCache>
                <c:formatCode>#,##0</c:formatCode>
                <c:ptCount val="5"/>
                <c:pt idx="0">
                  <c:v>142087.5</c:v>
                </c:pt>
                <c:pt idx="1">
                  <c:v>435.0</c:v>
                </c:pt>
                <c:pt idx="2">
                  <c:v>584.6</c:v>
                </c:pt>
                <c:pt idx="3">
                  <c:v>919.5</c:v>
                </c:pt>
                <c:pt idx="4">
                  <c:v>1712.9</c:v>
                </c:pt>
              </c:numCache>
            </c:numRef>
          </c:val>
        </c:ser>
        <c:dLbls>
          <c:showLegendKey val="0"/>
          <c:showVal val="1"/>
          <c:showCatName val="0"/>
          <c:showSerName val="0"/>
          <c:showPercent val="0"/>
          <c:showBubbleSize val="0"/>
          <c:showLeaderLines val="0"/>
        </c:dLbls>
        <c:gapWidth val="75"/>
        <c:splitType val="pos"/>
        <c:splitPos val="4.0"/>
        <c:secondPieSize val="100"/>
        <c:serLines/>
      </c:of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141169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D7830C01A199B4B9669B9266D9E57D0" ma:contentTypeVersion="175" ma:contentTypeDescription="" ma:contentTypeScope="" ma:versionID="267235b268ef2103aa72b6bb0c12b36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1EA276-F6D5-4C92-B5F2-9B4F6B3D7C60}"/>
</file>

<file path=customXml/itemProps2.xml><?xml version="1.0" encoding="utf-8"?>
<ds:datastoreItem xmlns:ds="http://schemas.openxmlformats.org/officeDocument/2006/customXml" ds:itemID="{B0B9D622-7D93-F44B-AD36-3372C00D969F}"/>
</file>

<file path=customXml/itemProps3.xml><?xml version="1.0" encoding="utf-8"?>
<ds:datastoreItem xmlns:ds="http://schemas.openxmlformats.org/officeDocument/2006/customXml" ds:itemID="{DC81F2BB-DAC6-4FA1-914B-4CF08F946EA1}"/>
</file>

<file path=customXml/itemProps4.xml><?xml version="1.0" encoding="utf-8"?>
<ds:datastoreItem xmlns:ds="http://schemas.openxmlformats.org/officeDocument/2006/customXml" ds:itemID="{1FCE0E88-4BC9-4D5E-8FEA-52C9F06939CD}"/>
</file>

<file path=customXml/itemProps5.xml><?xml version="1.0" encoding="utf-8"?>
<ds:datastoreItem xmlns:ds="http://schemas.openxmlformats.org/officeDocument/2006/customXml" ds:itemID="{A1838B87-98F2-4DAC-AA69-BE7FB7507BA8}"/>
</file>

<file path=docProps/app.xml><?xml version="1.0" encoding="utf-8"?>
<Properties xmlns="http://schemas.openxmlformats.org/officeDocument/2006/extended-properties" xmlns:vt="http://schemas.openxmlformats.org/officeDocument/2006/docPropsVTypes">
  <Template>Normal.dotm</Template>
  <TotalTime>1</TotalTime>
  <Pages>43</Pages>
  <Words>11289</Words>
  <Characters>64349</Characters>
  <Application>Microsoft Macintosh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75488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2</cp:revision>
  <cp:lastPrinted>2015-09-06T22:39:00Z</cp:lastPrinted>
  <dcterms:created xsi:type="dcterms:W3CDTF">2015-11-04T19:21:00Z</dcterms:created>
  <dcterms:modified xsi:type="dcterms:W3CDTF">2015-11-04T19:21:00Z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0x0101006E56B4D1795A2E4DB2F0B01679ED314A00CD7830C01A199B4B9669B9266D9E57D0</vt:lpwstr>
  </property>
  <property fmtid="{D5CDD505-2E9C-101B-9397-08002B2CF9AE}" pid="3" name="_docset_NoMedatataSyncRequired">
    <vt:lpwstr>False</vt:lpwstr>
  </property>
</Properties>
</file>