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487C" w14:textId="1C4FA943"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6A2C1C">
        <w:rPr>
          <w:rFonts w:ascii="Times New Roman" w:hAnsi="Times New Roman"/>
          <w:sz w:val="24"/>
        </w:rPr>
        <w:t xml:space="preserve">September </w:t>
      </w:r>
      <w:r w:rsidR="009E400D">
        <w:rPr>
          <w:rFonts w:ascii="Times New Roman" w:hAnsi="Times New Roman"/>
          <w:sz w:val="24"/>
        </w:rPr>
        <w:t>27</w:t>
      </w:r>
      <w:r w:rsidR="0054131D">
        <w:rPr>
          <w:rFonts w:ascii="Times New Roman" w:hAnsi="Times New Roman"/>
          <w:sz w:val="24"/>
        </w:rPr>
        <w:t xml:space="preserve">, 2012 </w:t>
      </w:r>
      <w:r>
        <w:rPr>
          <w:rFonts w:ascii="Times New Roman" w:hAnsi="Times New Roman"/>
          <w:sz w:val="24"/>
        </w:rPr>
        <w:tab/>
      </w:r>
      <w:r w:rsidR="007B6E64">
        <w:rPr>
          <w:rFonts w:ascii="Times New Roman" w:hAnsi="Times New Roman"/>
          <w:sz w:val="24"/>
        </w:rPr>
        <w:tab/>
      </w:r>
      <w:r w:rsidR="007B6E64">
        <w:rPr>
          <w:rFonts w:ascii="Times New Roman" w:hAnsi="Times New Roman"/>
          <w:sz w:val="24"/>
        </w:rPr>
        <w:tab/>
      </w:r>
      <w:r w:rsidR="007B6E64">
        <w:rPr>
          <w:rFonts w:ascii="Times New Roman" w:hAnsi="Times New Roman"/>
          <w:sz w:val="24"/>
        </w:rPr>
        <w:tab/>
      </w:r>
      <w:r w:rsidR="007B6E64">
        <w:rPr>
          <w:rFonts w:ascii="Times New Roman" w:hAnsi="Times New Roman"/>
          <w:sz w:val="24"/>
        </w:rPr>
        <w:tab/>
      </w:r>
    </w:p>
    <w:p w14:paraId="69D8487D" w14:textId="371D3F10" w:rsidR="00EF65E2" w:rsidRDefault="0013164B"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009E400D">
        <w:rPr>
          <w:rFonts w:ascii="Times New Roman" w:hAnsi="Times New Roman"/>
          <w:sz w:val="24"/>
        </w:rPr>
        <w:t>B8</w:t>
      </w:r>
      <w:r w:rsidR="00EF65E2">
        <w:rPr>
          <w:rFonts w:ascii="Times New Roman" w:hAnsi="Times New Roman"/>
          <w:sz w:val="24"/>
        </w:rPr>
        <w:tab/>
      </w:r>
    </w:p>
    <w:p w14:paraId="69D8487E" w14:textId="77777777" w:rsidR="00EF65E2" w:rsidRDefault="00EF65E2" w:rsidP="000474FC">
      <w:pPr>
        <w:pStyle w:val="Heading3"/>
        <w:spacing w:line="240" w:lineRule="auto"/>
      </w:pPr>
    </w:p>
    <w:p w14:paraId="69D8487F" w14:textId="469C6A38" w:rsidR="00EF65E2" w:rsidRDefault="00EF65E2" w:rsidP="0032734B">
      <w:pPr>
        <w:pStyle w:val="Heading3"/>
        <w:spacing w:line="240" w:lineRule="auto"/>
      </w:pPr>
      <w:r>
        <w:t xml:space="preserve">Docket: </w:t>
      </w:r>
      <w:r>
        <w:tab/>
      </w:r>
      <w:r>
        <w:tab/>
        <w:t>TG-</w:t>
      </w:r>
      <w:r w:rsidR="0054131D">
        <w:t>12</w:t>
      </w:r>
      <w:r w:rsidR="006A2C1C">
        <w:t>0331</w:t>
      </w:r>
    </w:p>
    <w:p w14:paraId="54FC0980" w14:textId="77777777" w:rsidR="006A2C1C" w:rsidRDefault="006A2C1C" w:rsidP="00920B04">
      <w:pPr>
        <w:ind w:left="2160" w:hanging="2160"/>
        <w:rPr>
          <w:rFonts w:ascii="Times New Roman" w:hAnsi="Times New Roman"/>
          <w:sz w:val="24"/>
        </w:rPr>
      </w:pPr>
    </w:p>
    <w:p w14:paraId="69D84881" w14:textId="3BC721E0" w:rsidR="00EF65E2" w:rsidRPr="00113B98" w:rsidRDefault="0074229F" w:rsidP="00920B04">
      <w:pPr>
        <w:ind w:left="2160" w:hanging="2160"/>
        <w:rPr>
          <w:rFonts w:ascii="Times New Roman" w:hAnsi="Times New Roman"/>
          <w:sz w:val="24"/>
        </w:rPr>
      </w:pPr>
      <w:r>
        <w:rPr>
          <w:rFonts w:ascii="Times New Roman" w:hAnsi="Times New Roman"/>
          <w:sz w:val="24"/>
        </w:rPr>
        <w:t>Petitioner</w:t>
      </w:r>
      <w:r w:rsidR="00EF65E2">
        <w:rPr>
          <w:rFonts w:ascii="Times New Roman" w:hAnsi="Times New Roman"/>
          <w:sz w:val="24"/>
        </w:rPr>
        <w:t>:</w:t>
      </w:r>
      <w:r w:rsidR="00EF65E2">
        <w:rPr>
          <w:rFonts w:ascii="Times New Roman" w:hAnsi="Times New Roman"/>
          <w:sz w:val="24"/>
        </w:rPr>
        <w:tab/>
      </w:r>
      <w:r w:rsidR="006A2C1C">
        <w:rPr>
          <w:rFonts w:ascii="Times New Roman" w:hAnsi="Times New Roman"/>
          <w:sz w:val="24"/>
        </w:rPr>
        <w:t>Clark County</w:t>
      </w:r>
      <w:r w:rsidR="00DB71D9">
        <w:rPr>
          <w:rFonts w:ascii="Times New Roman" w:hAnsi="Times New Roman"/>
          <w:sz w:val="24"/>
        </w:rPr>
        <w:t xml:space="preserve"> </w:t>
      </w:r>
    </w:p>
    <w:p w14:paraId="69D84882"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69D84884" w14:textId="1DF1815A" w:rsidR="00EF65E2" w:rsidRPr="00CF5617" w:rsidRDefault="00EF65E2" w:rsidP="006A2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6A2C1C">
        <w:rPr>
          <w:rFonts w:ascii="Times New Roman" w:hAnsi="Times New Roman"/>
          <w:sz w:val="24"/>
        </w:rPr>
        <w:t xml:space="preserve">David Gomez, </w:t>
      </w:r>
      <w:r w:rsidR="006A2C1C" w:rsidRPr="006A2C1C">
        <w:rPr>
          <w:rFonts w:ascii="Times New Roman" w:hAnsi="Times New Roman"/>
          <w:sz w:val="24"/>
        </w:rPr>
        <w:t>Assistant Power Supply Manager, Energy Regulation</w:t>
      </w:r>
    </w:p>
    <w:p w14:paraId="69D8488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6" w14:textId="77777777" w:rsidR="00EF65E2" w:rsidRDefault="00EF65E2" w:rsidP="006A2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 w:val="24"/>
        </w:rPr>
      </w:pPr>
      <w:r>
        <w:rPr>
          <w:rFonts w:ascii="Times New Roman" w:hAnsi="Times New Roman"/>
          <w:b/>
          <w:bCs/>
          <w:sz w:val="24"/>
          <w:u w:val="single"/>
        </w:rPr>
        <w:t>Recommendation</w:t>
      </w:r>
    </w:p>
    <w:p w14:paraId="122BBEDB" w14:textId="16EDA76E" w:rsidR="00AE1A92" w:rsidRDefault="009A22DE" w:rsidP="006A2C1C">
      <w:pPr>
        <w:spacing w:before="120" w:after="120"/>
        <w:rPr>
          <w:rFonts w:ascii="Times New Roman" w:hAnsi="Times New Roman"/>
          <w:sz w:val="24"/>
        </w:rPr>
      </w:pPr>
      <w:r>
        <w:rPr>
          <w:rFonts w:ascii="Times New Roman" w:hAnsi="Times New Roman"/>
          <w:sz w:val="24"/>
        </w:rPr>
        <w:t xml:space="preserve">Staff recommends </w:t>
      </w:r>
      <w:r w:rsidR="00C33147">
        <w:rPr>
          <w:rFonts w:ascii="Times New Roman" w:hAnsi="Times New Roman"/>
          <w:sz w:val="24"/>
        </w:rPr>
        <w:t xml:space="preserve">that </w:t>
      </w:r>
      <w:r>
        <w:rPr>
          <w:rFonts w:ascii="Times New Roman" w:hAnsi="Times New Roman"/>
          <w:sz w:val="24"/>
        </w:rPr>
        <w:t>the commission i</w:t>
      </w:r>
      <w:r w:rsidR="00A601C1" w:rsidRPr="00C224E0">
        <w:rPr>
          <w:rFonts w:ascii="Times New Roman" w:hAnsi="Times New Roman"/>
          <w:sz w:val="24"/>
        </w:rPr>
        <w:t xml:space="preserve">ssue an order </w:t>
      </w:r>
      <w:r w:rsidR="004D0CF2">
        <w:rPr>
          <w:rFonts w:ascii="Times New Roman" w:hAnsi="Times New Roman"/>
          <w:sz w:val="24"/>
        </w:rPr>
        <w:t>approving and adopting in its entirety t</w:t>
      </w:r>
      <w:r w:rsidR="004D0CF2" w:rsidRPr="004D0CF2">
        <w:rPr>
          <w:rFonts w:ascii="Times New Roman" w:hAnsi="Times New Roman"/>
          <w:sz w:val="24"/>
        </w:rPr>
        <w:t xml:space="preserve">he Second Amendment to the Disposal Agreement and Settlement Agreement, conditional and effective upon approval by Clark County Superior Court and the parties; Washington Department of Ecology, Clark County, City of Vancouver, Washington, and Leichner Brothers Land Reclamation Company </w:t>
      </w:r>
      <w:r w:rsidR="00AF39A1">
        <w:rPr>
          <w:rFonts w:ascii="Times New Roman" w:hAnsi="Times New Roman"/>
          <w:sz w:val="24"/>
        </w:rPr>
        <w:t xml:space="preserve">(LBRLC) </w:t>
      </w:r>
      <w:r w:rsidR="004D0CF2" w:rsidRPr="004D0CF2">
        <w:rPr>
          <w:rFonts w:ascii="Times New Roman" w:hAnsi="Times New Roman"/>
          <w:sz w:val="24"/>
        </w:rPr>
        <w:t>of the Second Amendment to the Consent Decree 96-2-03081-7</w:t>
      </w:r>
      <w:r w:rsidR="00AE1A92" w:rsidRPr="00C224E0">
        <w:rPr>
          <w:rFonts w:ascii="Times New Roman" w:hAnsi="Times New Roman"/>
          <w:sz w:val="24"/>
        </w:rPr>
        <w:t>.</w:t>
      </w:r>
    </w:p>
    <w:p w14:paraId="2244A710" w14:textId="076DADB7" w:rsidR="006A2C1C" w:rsidRPr="006A2C1C" w:rsidRDefault="006A2C1C" w:rsidP="006A2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b/>
          <w:bCs/>
          <w:sz w:val="24"/>
          <w:u w:val="single"/>
        </w:rPr>
      </w:pPr>
      <w:r w:rsidRPr="006A2C1C">
        <w:rPr>
          <w:rFonts w:ascii="Times New Roman" w:hAnsi="Times New Roman"/>
          <w:b/>
          <w:bCs/>
          <w:sz w:val="24"/>
          <w:u w:val="single"/>
        </w:rPr>
        <w:t>E</w:t>
      </w:r>
      <w:r>
        <w:rPr>
          <w:rFonts w:ascii="Times New Roman" w:hAnsi="Times New Roman"/>
          <w:b/>
          <w:bCs/>
          <w:sz w:val="24"/>
          <w:u w:val="single"/>
        </w:rPr>
        <w:t xml:space="preserve">xecutive </w:t>
      </w:r>
      <w:r w:rsidRPr="006A2C1C">
        <w:rPr>
          <w:rFonts w:ascii="Times New Roman" w:hAnsi="Times New Roman"/>
          <w:b/>
          <w:bCs/>
          <w:sz w:val="24"/>
          <w:u w:val="single"/>
        </w:rPr>
        <w:t>S</w:t>
      </w:r>
      <w:r>
        <w:rPr>
          <w:rFonts w:ascii="Times New Roman" w:hAnsi="Times New Roman"/>
          <w:b/>
          <w:bCs/>
          <w:sz w:val="24"/>
          <w:u w:val="single"/>
        </w:rPr>
        <w:t>ummary</w:t>
      </w:r>
    </w:p>
    <w:p w14:paraId="3EC9D12D" w14:textId="7D2CE676" w:rsidR="006A2C1C" w:rsidRPr="006A2C1C" w:rsidRDefault="006A2C1C" w:rsidP="006A2C1C">
      <w:pPr>
        <w:spacing w:before="120" w:after="120"/>
        <w:rPr>
          <w:rFonts w:ascii="Times New Roman" w:hAnsi="Times New Roman"/>
          <w:sz w:val="24"/>
        </w:rPr>
      </w:pPr>
      <w:r w:rsidRPr="006A2C1C">
        <w:rPr>
          <w:rFonts w:ascii="Times New Roman" w:hAnsi="Times New Roman"/>
          <w:sz w:val="24"/>
        </w:rPr>
        <w:t>For over fifty years, the Leichner Landfill (landfill) was Clark County’s (</w:t>
      </w:r>
      <w:r w:rsidR="009A22DE">
        <w:rPr>
          <w:rFonts w:ascii="Times New Roman" w:hAnsi="Times New Roman"/>
          <w:sz w:val="24"/>
        </w:rPr>
        <w:t>c</w:t>
      </w:r>
      <w:r w:rsidRPr="006A2C1C">
        <w:rPr>
          <w:rFonts w:ascii="Times New Roman" w:hAnsi="Times New Roman"/>
          <w:sz w:val="24"/>
        </w:rPr>
        <w:t xml:space="preserve">ounty) primary disposal site for solid </w:t>
      </w:r>
      <w:r w:rsidR="009A22DE">
        <w:rPr>
          <w:rFonts w:ascii="Times New Roman" w:hAnsi="Times New Roman"/>
          <w:sz w:val="24"/>
        </w:rPr>
        <w:t xml:space="preserve">waste. </w:t>
      </w:r>
      <w:r w:rsidRPr="006A2C1C">
        <w:rPr>
          <w:rFonts w:ascii="Times New Roman" w:hAnsi="Times New Roman"/>
          <w:sz w:val="24"/>
        </w:rPr>
        <w:t xml:space="preserve">The landfill had been in continuous operation from 1939 until December 31, 1991, the date specified for closure by the Washington Department of Ecology (Ecology). </w:t>
      </w:r>
    </w:p>
    <w:p w14:paraId="5F6A864F" w14:textId="03CFEAEF" w:rsidR="006A2C1C" w:rsidRDefault="006A2C1C" w:rsidP="006A2C1C">
      <w:pPr>
        <w:spacing w:before="120" w:after="120"/>
        <w:rPr>
          <w:rFonts w:ascii="Times New Roman" w:hAnsi="Times New Roman"/>
          <w:sz w:val="24"/>
        </w:rPr>
      </w:pPr>
      <w:r w:rsidRPr="006A2C1C">
        <w:rPr>
          <w:rFonts w:ascii="Times New Roman" w:hAnsi="Times New Roman"/>
          <w:sz w:val="24"/>
        </w:rPr>
        <w:t xml:space="preserve">In May 2011, the Vancouver City Council and Clark County Board of County Commissioners executed a purchase and sale agreement with LBLRC for the </w:t>
      </w:r>
      <w:r w:rsidR="009A22DE">
        <w:rPr>
          <w:rFonts w:ascii="Times New Roman" w:hAnsi="Times New Roman"/>
          <w:sz w:val="24"/>
        </w:rPr>
        <w:t>c</w:t>
      </w:r>
      <w:r w:rsidRPr="006A2C1C">
        <w:rPr>
          <w:rFonts w:ascii="Times New Roman" w:hAnsi="Times New Roman"/>
          <w:sz w:val="24"/>
        </w:rPr>
        <w:t xml:space="preserve">ity and </w:t>
      </w:r>
      <w:r w:rsidR="009A22DE">
        <w:rPr>
          <w:rFonts w:ascii="Times New Roman" w:hAnsi="Times New Roman"/>
          <w:sz w:val="24"/>
        </w:rPr>
        <w:t>c</w:t>
      </w:r>
      <w:r w:rsidRPr="006A2C1C">
        <w:rPr>
          <w:rFonts w:ascii="Times New Roman" w:hAnsi="Times New Roman"/>
          <w:sz w:val="24"/>
        </w:rPr>
        <w:t xml:space="preserve">ounty to buy the landfill properties. Because the new ownership will remove LBRLC from responsibility from the Consent Decree and the Settlement Agreement, the parties to the sale need approvals from Ecology and the </w:t>
      </w:r>
      <w:r w:rsidR="009A22DE">
        <w:rPr>
          <w:rFonts w:ascii="Times New Roman" w:hAnsi="Times New Roman"/>
          <w:sz w:val="24"/>
        </w:rPr>
        <w:t>c</w:t>
      </w:r>
      <w:r w:rsidRPr="006A2C1C">
        <w:rPr>
          <w:rFonts w:ascii="Times New Roman" w:hAnsi="Times New Roman"/>
          <w:sz w:val="24"/>
        </w:rPr>
        <w:t>ommission.</w:t>
      </w:r>
      <w:r w:rsidRPr="006A2C1C">
        <w:rPr>
          <w:rStyle w:val="FootnoteReference"/>
          <w:rFonts w:ascii="Times New Roman" w:hAnsi="Times New Roman"/>
          <w:sz w:val="24"/>
          <w:vertAlign w:val="superscript"/>
        </w:rPr>
        <w:footnoteReference w:id="1"/>
      </w:r>
      <w:r w:rsidRPr="006A2C1C">
        <w:rPr>
          <w:rFonts w:ascii="Times New Roman" w:hAnsi="Times New Roman"/>
          <w:sz w:val="24"/>
        </w:rPr>
        <w:t xml:space="preserve">  </w:t>
      </w:r>
    </w:p>
    <w:p w14:paraId="14AF722C" w14:textId="2D99C068" w:rsidR="006A2C1C" w:rsidRPr="006A2C1C" w:rsidRDefault="006A2C1C" w:rsidP="006A2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b/>
          <w:bCs/>
          <w:sz w:val="24"/>
          <w:u w:val="single"/>
        </w:rPr>
      </w:pPr>
      <w:r w:rsidRPr="006A2C1C">
        <w:rPr>
          <w:rFonts w:ascii="Times New Roman" w:hAnsi="Times New Roman"/>
          <w:b/>
          <w:bCs/>
          <w:sz w:val="24"/>
          <w:u w:val="single"/>
        </w:rPr>
        <w:t>C</w:t>
      </w:r>
      <w:r>
        <w:rPr>
          <w:rFonts w:ascii="Times New Roman" w:hAnsi="Times New Roman"/>
          <w:b/>
          <w:bCs/>
          <w:sz w:val="24"/>
          <w:u w:val="single"/>
        </w:rPr>
        <w:t>hronology</w:t>
      </w:r>
      <w:r w:rsidRPr="006A2C1C">
        <w:rPr>
          <w:rFonts w:ascii="Times New Roman" w:hAnsi="Times New Roman"/>
          <w:b/>
          <w:bCs/>
          <w:sz w:val="24"/>
          <w:u w:val="single"/>
        </w:rPr>
        <w:t xml:space="preserve"> </w:t>
      </w:r>
    </w:p>
    <w:p w14:paraId="29BBC3EC" w14:textId="05A1FC57" w:rsidR="006A2C1C" w:rsidRDefault="006A2C1C" w:rsidP="006A2C1C">
      <w:pPr>
        <w:rPr>
          <w:rFonts w:ascii="Times New Roman" w:hAnsi="Times New Roman"/>
          <w:sz w:val="24"/>
        </w:rPr>
      </w:pPr>
      <w:r w:rsidRPr="006A2C1C">
        <w:rPr>
          <w:rFonts w:ascii="Times New Roman" w:hAnsi="Times New Roman"/>
          <w:b/>
          <w:sz w:val="24"/>
        </w:rPr>
        <w:t xml:space="preserve">December 27, 1988:  </w:t>
      </w:r>
      <w:r w:rsidRPr="006A2C1C">
        <w:rPr>
          <w:rFonts w:ascii="Times New Roman" w:hAnsi="Times New Roman"/>
          <w:sz w:val="24"/>
        </w:rPr>
        <w:t xml:space="preserve">The </w:t>
      </w:r>
      <w:r w:rsidR="009A22DE">
        <w:rPr>
          <w:rFonts w:ascii="Times New Roman" w:hAnsi="Times New Roman"/>
          <w:sz w:val="24"/>
        </w:rPr>
        <w:t>c</w:t>
      </w:r>
      <w:r w:rsidRPr="006A2C1C">
        <w:rPr>
          <w:rFonts w:ascii="Times New Roman" w:hAnsi="Times New Roman"/>
          <w:sz w:val="24"/>
        </w:rPr>
        <w:t xml:space="preserve">ounty, the </w:t>
      </w:r>
      <w:r w:rsidR="009A22DE">
        <w:rPr>
          <w:rFonts w:ascii="Times New Roman" w:hAnsi="Times New Roman"/>
          <w:sz w:val="24"/>
        </w:rPr>
        <w:t>c</w:t>
      </w:r>
      <w:r w:rsidRPr="006A2C1C">
        <w:rPr>
          <w:rFonts w:ascii="Times New Roman" w:hAnsi="Times New Roman"/>
          <w:sz w:val="24"/>
        </w:rPr>
        <w:t>ity and LBLRC execute</w:t>
      </w:r>
      <w:r w:rsidR="00C33147">
        <w:rPr>
          <w:rFonts w:ascii="Times New Roman" w:hAnsi="Times New Roman"/>
          <w:sz w:val="24"/>
        </w:rPr>
        <w:t>d</w:t>
      </w:r>
      <w:r w:rsidRPr="006A2C1C">
        <w:rPr>
          <w:rFonts w:ascii="Times New Roman" w:hAnsi="Times New Roman"/>
          <w:sz w:val="24"/>
        </w:rPr>
        <w:t xml:space="preserve"> a</w:t>
      </w:r>
      <w:r w:rsidR="00C33147">
        <w:rPr>
          <w:rFonts w:ascii="Times New Roman" w:hAnsi="Times New Roman"/>
          <w:sz w:val="24"/>
        </w:rPr>
        <w:t xml:space="preserve"> “Disposal Agreement” which set</w:t>
      </w:r>
      <w:r w:rsidRPr="006A2C1C">
        <w:rPr>
          <w:rFonts w:ascii="Times New Roman" w:hAnsi="Times New Roman"/>
          <w:sz w:val="24"/>
        </w:rPr>
        <w:t xml:space="preserve"> forth obligations and responsibilities relative to the operation and future closure of the landfill. The </w:t>
      </w:r>
      <w:r w:rsidR="009A22DE">
        <w:rPr>
          <w:rFonts w:ascii="Times New Roman" w:hAnsi="Times New Roman"/>
          <w:sz w:val="24"/>
        </w:rPr>
        <w:t>c</w:t>
      </w:r>
      <w:r w:rsidR="00C33147">
        <w:rPr>
          <w:rFonts w:ascii="Times New Roman" w:hAnsi="Times New Roman"/>
          <w:sz w:val="24"/>
        </w:rPr>
        <w:t>ounty became</w:t>
      </w:r>
      <w:r w:rsidRPr="006A2C1C">
        <w:rPr>
          <w:rFonts w:ascii="Times New Roman" w:hAnsi="Times New Roman"/>
          <w:sz w:val="24"/>
        </w:rPr>
        <w:t xml:space="preserve"> the trustee responsible for the landfill reserve funds created for self-insurance (liability) and post closure monitoring and maintenance. The </w:t>
      </w:r>
      <w:r w:rsidR="009A22DE">
        <w:rPr>
          <w:rFonts w:ascii="Times New Roman" w:hAnsi="Times New Roman"/>
          <w:sz w:val="24"/>
        </w:rPr>
        <w:t>c</w:t>
      </w:r>
      <w:r w:rsidR="00C33147">
        <w:rPr>
          <w:rFonts w:ascii="Times New Roman" w:hAnsi="Times New Roman"/>
          <w:sz w:val="24"/>
        </w:rPr>
        <w:t>ommission was</w:t>
      </w:r>
      <w:r w:rsidRPr="006A2C1C">
        <w:rPr>
          <w:rFonts w:ascii="Times New Roman" w:hAnsi="Times New Roman"/>
          <w:sz w:val="24"/>
        </w:rPr>
        <w:t xml:space="preserve"> not a signatory to this document.</w:t>
      </w:r>
    </w:p>
    <w:p w14:paraId="0BE625B2" w14:textId="77777777" w:rsidR="00AF39A1" w:rsidRPr="006A2C1C" w:rsidRDefault="00AF39A1" w:rsidP="006A2C1C">
      <w:pPr>
        <w:rPr>
          <w:rFonts w:ascii="Times New Roman" w:hAnsi="Times New Roman"/>
          <w:sz w:val="24"/>
        </w:rPr>
      </w:pPr>
    </w:p>
    <w:p w14:paraId="23580895" w14:textId="46DCBF94" w:rsidR="006A2C1C" w:rsidRPr="006A2C1C" w:rsidRDefault="006A2C1C" w:rsidP="006A2C1C">
      <w:pPr>
        <w:rPr>
          <w:rFonts w:ascii="Times New Roman" w:hAnsi="Times New Roman"/>
          <w:sz w:val="24"/>
        </w:rPr>
      </w:pPr>
      <w:r w:rsidRPr="006A2C1C">
        <w:rPr>
          <w:rFonts w:ascii="Times New Roman" w:hAnsi="Times New Roman"/>
          <w:sz w:val="24"/>
        </w:rPr>
        <w:t xml:space="preserve">At the time, LBLRC had two affiliates which were regulated by the </w:t>
      </w:r>
      <w:r w:rsidR="009A22DE">
        <w:rPr>
          <w:rFonts w:ascii="Times New Roman" w:hAnsi="Times New Roman"/>
          <w:sz w:val="24"/>
        </w:rPr>
        <w:t>c</w:t>
      </w:r>
      <w:r w:rsidRPr="006A2C1C">
        <w:rPr>
          <w:rFonts w:ascii="Times New Roman" w:hAnsi="Times New Roman"/>
          <w:sz w:val="24"/>
        </w:rPr>
        <w:t>ommission:</w:t>
      </w:r>
      <w:r w:rsidRPr="006A2C1C">
        <w:rPr>
          <w:rStyle w:val="FootnoteReference"/>
          <w:rFonts w:ascii="Times New Roman" w:hAnsi="Times New Roman"/>
          <w:sz w:val="24"/>
          <w:vertAlign w:val="superscript"/>
        </w:rPr>
        <w:footnoteReference w:id="2"/>
      </w:r>
      <w:r w:rsidRPr="006A2C1C">
        <w:rPr>
          <w:rFonts w:ascii="Times New Roman" w:hAnsi="Times New Roman"/>
          <w:sz w:val="24"/>
        </w:rPr>
        <w:t xml:space="preserve">  </w:t>
      </w:r>
    </w:p>
    <w:p w14:paraId="034DF96D" w14:textId="77777777" w:rsidR="006A2C1C" w:rsidRPr="006A2C1C" w:rsidRDefault="006A2C1C" w:rsidP="006A2C1C">
      <w:pPr>
        <w:pStyle w:val="ListParagraph"/>
        <w:widowControl/>
        <w:numPr>
          <w:ilvl w:val="0"/>
          <w:numId w:val="10"/>
        </w:numPr>
        <w:autoSpaceDE/>
        <w:autoSpaceDN/>
        <w:adjustRightInd/>
        <w:spacing w:before="120" w:after="120"/>
        <w:contextualSpacing w:val="0"/>
        <w:rPr>
          <w:sz w:val="24"/>
        </w:rPr>
      </w:pPr>
      <w:r w:rsidRPr="006A2C1C">
        <w:rPr>
          <w:sz w:val="24"/>
        </w:rPr>
        <w:t xml:space="preserve">The Clark County Disposal Group, d/b/a Twin City Sanitary Service, Inc., Vancouver Sanitary Service, Inc. and Clark County Disposal (G-65); and </w:t>
      </w:r>
    </w:p>
    <w:p w14:paraId="61666E09" w14:textId="77777777" w:rsidR="006A2C1C" w:rsidRDefault="006A2C1C" w:rsidP="006A2C1C">
      <w:pPr>
        <w:pStyle w:val="ListParagraph"/>
        <w:widowControl/>
        <w:numPr>
          <w:ilvl w:val="0"/>
          <w:numId w:val="10"/>
        </w:numPr>
        <w:autoSpaceDE/>
        <w:autoSpaceDN/>
        <w:adjustRightInd/>
        <w:spacing w:before="120" w:after="120"/>
        <w:contextualSpacing w:val="0"/>
        <w:rPr>
          <w:sz w:val="24"/>
        </w:rPr>
      </w:pPr>
      <w:r w:rsidRPr="006A2C1C">
        <w:rPr>
          <w:sz w:val="24"/>
        </w:rPr>
        <w:t xml:space="preserve">Buchmann Sanitary Service, Inc. (G-79). </w:t>
      </w:r>
    </w:p>
    <w:p w14:paraId="42BB84C6" w14:textId="77777777" w:rsidR="00756EFE" w:rsidRPr="006A2C1C" w:rsidRDefault="00756EFE" w:rsidP="00756EFE">
      <w:pPr>
        <w:pStyle w:val="ListParagraph"/>
        <w:widowControl/>
        <w:autoSpaceDE/>
        <w:autoSpaceDN/>
        <w:adjustRightInd/>
        <w:spacing w:before="120" w:after="120"/>
        <w:contextualSpacing w:val="0"/>
        <w:rPr>
          <w:sz w:val="24"/>
        </w:rPr>
      </w:pPr>
    </w:p>
    <w:p w14:paraId="31984C41" w14:textId="77777777" w:rsidR="006A2C1C" w:rsidRPr="006A2C1C" w:rsidRDefault="006A2C1C" w:rsidP="006A2C1C">
      <w:pPr>
        <w:rPr>
          <w:rFonts w:ascii="Times New Roman" w:hAnsi="Times New Roman"/>
          <w:sz w:val="24"/>
        </w:rPr>
      </w:pPr>
      <w:r w:rsidRPr="006A2C1C">
        <w:rPr>
          <w:rFonts w:ascii="Times New Roman" w:hAnsi="Times New Roman"/>
          <w:sz w:val="24"/>
        </w:rPr>
        <w:lastRenderedPageBreak/>
        <w:t>Over time, disputes arose over the extent to which ratepayers have paid for landfill closure and remediation.</w:t>
      </w:r>
    </w:p>
    <w:p w14:paraId="3AB22332" w14:textId="58D4480C" w:rsidR="006A2C1C" w:rsidRPr="006A2C1C" w:rsidRDefault="006A2C1C" w:rsidP="006A2C1C">
      <w:pPr>
        <w:spacing w:before="120" w:after="120"/>
        <w:rPr>
          <w:rFonts w:ascii="Times New Roman" w:hAnsi="Times New Roman"/>
          <w:sz w:val="24"/>
        </w:rPr>
      </w:pPr>
      <w:r w:rsidRPr="006A2C1C">
        <w:rPr>
          <w:rFonts w:ascii="Times New Roman" w:hAnsi="Times New Roman"/>
          <w:b/>
          <w:sz w:val="24"/>
        </w:rPr>
        <w:t xml:space="preserve">July 16, 1990:  </w:t>
      </w:r>
      <w:r w:rsidRPr="006A2C1C">
        <w:rPr>
          <w:rFonts w:ascii="Times New Roman" w:hAnsi="Times New Roman"/>
          <w:sz w:val="24"/>
        </w:rPr>
        <w:t xml:space="preserve">The </w:t>
      </w:r>
      <w:r w:rsidR="005805A7">
        <w:rPr>
          <w:rFonts w:ascii="Times New Roman" w:hAnsi="Times New Roman"/>
          <w:sz w:val="24"/>
        </w:rPr>
        <w:t>c</w:t>
      </w:r>
      <w:r w:rsidRPr="006A2C1C">
        <w:rPr>
          <w:rFonts w:ascii="Times New Roman" w:hAnsi="Times New Roman"/>
          <w:sz w:val="24"/>
        </w:rPr>
        <w:t>ommission issue</w:t>
      </w:r>
      <w:r w:rsidR="00A85AE8">
        <w:rPr>
          <w:rFonts w:ascii="Times New Roman" w:hAnsi="Times New Roman"/>
          <w:sz w:val="24"/>
        </w:rPr>
        <w:t>d</w:t>
      </w:r>
      <w:r w:rsidRPr="006A2C1C">
        <w:rPr>
          <w:rFonts w:ascii="Times New Roman" w:hAnsi="Times New Roman"/>
          <w:sz w:val="24"/>
        </w:rPr>
        <w:t xml:space="preserve"> its Third Supplemental Order (Order) in consolidated Dockets T</w:t>
      </w:r>
      <w:r w:rsidR="00C33147">
        <w:rPr>
          <w:rFonts w:ascii="Times New Roman" w:hAnsi="Times New Roman"/>
          <w:sz w:val="24"/>
        </w:rPr>
        <w:t>G-2325, 2326 and 2327, which were</w:t>
      </w:r>
      <w:r w:rsidRPr="006A2C1C">
        <w:rPr>
          <w:rFonts w:ascii="Times New Roman" w:hAnsi="Times New Roman"/>
          <w:sz w:val="24"/>
        </w:rPr>
        <w:t xml:space="preserve"> rate filings by the above two certificated haulers. The </w:t>
      </w:r>
      <w:r w:rsidR="005805A7">
        <w:rPr>
          <w:rFonts w:ascii="Times New Roman" w:hAnsi="Times New Roman"/>
          <w:sz w:val="24"/>
        </w:rPr>
        <w:t>c</w:t>
      </w:r>
      <w:r w:rsidRPr="006A2C1C">
        <w:rPr>
          <w:rFonts w:ascii="Times New Roman" w:hAnsi="Times New Roman"/>
          <w:sz w:val="24"/>
        </w:rPr>
        <w:t xml:space="preserve">ounty and </w:t>
      </w:r>
      <w:r w:rsidR="005805A7">
        <w:rPr>
          <w:rFonts w:ascii="Times New Roman" w:hAnsi="Times New Roman"/>
          <w:sz w:val="24"/>
        </w:rPr>
        <w:t>c</w:t>
      </w:r>
      <w:r w:rsidR="00C33147">
        <w:rPr>
          <w:rFonts w:ascii="Times New Roman" w:hAnsi="Times New Roman"/>
          <w:sz w:val="24"/>
        </w:rPr>
        <w:t>ity were</w:t>
      </w:r>
      <w:r w:rsidRPr="006A2C1C">
        <w:rPr>
          <w:rFonts w:ascii="Times New Roman" w:hAnsi="Times New Roman"/>
          <w:sz w:val="24"/>
        </w:rPr>
        <w:t xml:space="preserve"> interveners in these dockets.  </w:t>
      </w:r>
    </w:p>
    <w:p w14:paraId="5EFCF6E0" w14:textId="4C3B480F" w:rsidR="006A2C1C" w:rsidRPr="006A2C1C" w:rsidRDefault="006A2C1C" w:rsidP="006A2C1C">
      <w:pPr>
        <w:spacing w:before="120" w:after="120"/>
        <w:rPr>
          <w:rFonts w:ascii="Times New Roman" w:hAnsi="Times New Roman"/>
          <w:sz w:val="24"/>
        </w:rPr>
      </w:pPr>
      <w:r w:rsidRPr="006A2C1C">
        <w:rPr>
          <w:rFonts w:ascii="Times New Roman" w:hAnsi="Times New Roman"/>
          <w:sz w:val="24"/>
        </w:rPr>
        <w:t>The Order approve</w:t>
      </w:r>
      <w:r w:rsidR="00A85AE8">
        <w:rPr>
          <w:rFonts w:ascii="Times New Roman" w:hAnsi="Times New Roman"/>
          <w:sz w:val="24"/>
        </w:rPr>
        <w:t>d</w:t>
      </w:r>
      <w:r w:rsidRPr="006A2C1C">
        <w:rPr>
          <w:rFonts w:ascii="Times New Roman" w:hAnsi="Times New Roman"/>
          <w:sz w:val="24"/>
        </w:rPr>
        <w:t xml:space="preserve"> </w:t>
      </w:r>
      <w:r w:rsidR="00C33147">
        <w:rPr>
          <w:rFonts w:ascii="Times New Roman" w:hAnsi="Times New Roman"/>
          <w:sz w:val="24"/>
        </w:rPr>
        <w:t>a “Settlement Agreement” that was</w:t>
      </w:r>
      <w:r w:rsidRPr="006A2C1C">
        <w:rPr>
          <w:rFonts w:ascii="Times New Roman" w:hAnsi="Times New Roman"/>
          <w:sz w:val="24"/>
        </w:rPr>
        <w:t xml:space="preserve"> signed by all parties, and which establishes a mechanism for funding the closure and remed</w:t>
      </w:r>
      <w:r w:rsidR="00C33147">
        <w:rPr>
          <w:rFonts w:ascii="Times New Roman" w:hAnsi="Times New Roman"/>
          <w:sz w:val="24"/>
        </w:rPr>
        <w:t>iation of the landfill. Staff was</w:t>
      </w:r>
      <w:r w:rsidRPr="006A2C1C">
        <w:rPr>
          <w:rFonts w:ascii="Times New Roman" w:hAnsi="Times New Roman"/>
          <w:sz w:val="24"/>
        </w:rPr>
        <w:t xml:space="preserve"> a signatory to the Settlement Agreement. The </w:t>
      </w:r>
      <w:r w:rsidR="005805A7">
        <w:rPr>
          <w:rFonts w:ascii="Times New Roman" w:hAnsi="Times New Roman"/>
          <w:sz w:val="24"/>
        </w:rPr>
        <w:t>c</w:t>
      </w:r>
      <w:r w:rsidRPr="006A2C1C">
        <w:rPr>
          <w:rFonts w:ascii="Times New Roman" w:hAnsi="Times New Roman"/>
          <w:sz w:val="24"/>
        </w:rPr>
        <w:t xml:space="preserve">ounty, </w:t>
      </w:r>
      <w:r w:rsidR="005805A7">
        <w:rPr>
          <w:rFonts w:ascii="Times New Roman" w:hAnsi="Times New Roman"/>
          <w:sz w:val="24"/>
        </w:rPr>
        <w:t>c</w:t>
      </w:r>
      <w:r w:rsidRPr="006A2C1C">
        <w:rPr>
          <w:rFonts w:ascii="Times New Roman" w:hAnsi="Times New Roman"/>
          <w:sz w:val="24"/>
        </w:rPr>
        <w:t xml:space="preserve">ity, LBLRC and the </w:t>
      </w:r>
      <w:r w:rsidR="005805A7">
        <w:rPr>
          <w:rFonts w:ascii="Times New Roman" w:hAnsi="Times New Roman"/>
          <w:sz w:val="24"/>
        </w:rPr>
        <w:t>c</w:t>
      </w:r>
      <w:r w:rsidRPr="006A2C1C">
        <w:rPr>
          <w:rFonts w:ascii="Times New Roman" w:hAnsi="Times New Roman"/>
          <w:sz w:val="24"/>
        </w:rPr>
        <w:t xml:space="preserve">ommission agreed that LBLRC would increase landfill disposal rates to help pay for the landfill’s closure (from $13.47 to $21.00 per yard).  The Settlement Agreement also gave the </w:t>
      </w:r>
      <w:r w:rsidR="005805A7">
        <w:rPr>
          <w:rFonts w:ascii="Times New Roman" w:hAnsi="Times New Roman"/>
          <w:sz w:val="24"/>
        </w:rPr>
        <w:t>c</w:t>
      </w:r>
      <w:r w:rsidRPr="006A2C1C">
        <w:rPr>
          <w:rFonts w:ascii="Times New Roman" w:hAnsi="Times New Roman"/>
          <w:sz w:val="24"/>
        </w:rPr>
        <w:t>ounty an option to purchase the landfill and adjacent properties once Clark County Public Health and Ecology determine the landfill has “stabilized” and no longer require</w:t>
      </w:r>
      <w:r w:rsidR="00A85AE8">
        <w:rPr>
          <w:rFonts w:ascii="Times New Roman" w:hAnsi="Times New Roman"/>
          <w:sz w:val="24"/>
        </w:rPr>
        <w:t>d</w:t>
      </w:r>
      <w:r w:rsidRPr="006A2C1C">
        <w:rPr>
          <w:rFonts w:ascii="Times New Roman" w:hAnsi="Times New Roman"/>
          <w:sz w:val="24"/>
        </w:rPr>
        <w:t xml:space="preserve"> post-closure monitoring and maintenance for gas emissions and groundwater contamination.</w:t>
      </w:r>
    </w:p>
    <w:p w14:paraId="2997D4AE" w14:textId="698F926B" w:rsidR="006A2C1C" w:rsidRPr="006A2C1C" w:rsidRDefault="006A2C1C" w:rsidP="006A2C1C">
      <w:pPr>
        <w:spacing w:before="120" w:after="120"/>
        <w:rPr>
          <w:rFonts w:ascii="Times New Roman" w:hAnsi="Times New Roman"/>
          <w:sz w:val="24"/>
        </w:rPr>
      </w:pPr>
      <w:r w:rsidRPr="006A2C1C">
        <w:rPr>
          <w:rFonts w:ascii="Times New Roman" w:hAnsi="Times New Roman"/>
          <w:b/>
          <w:sz w:val="24"/>
        </w:rPr>
        <w:t xml:space="preserve">December 31, 1991: </w:t>
      </w:r>
      <w:r w:rsidRPr="006A2C1C">
        <w:rPr>
          <w:rFonts w:ascii="Times New Roman" w:hAnsi="Times New Roman"/>
          <w:sz w:val="24"/>
        </w:rPr>
        <w:t>T</w:t>
      </w:r>
      <w:r w:rsidR="00C33147">
        <w:rPr>
          <w:rFonts w:ascii="Times New Roman" w:hAnsi="Times New Roman"/>
          <w:sz w:val="24"/>
        </w:rPr>
        <w:t>he landfill closed</w:t>
      </w:r>
      <w:r w:rsidRPr="006A2C1C">
        <w:rPr>
          <w:rFonts w:ascii="Times New Roman" w:hAnsi="Times New Roman"/>
          <w:sz w:val="24"/>
        </w:rPr>
        <w:t xml:space="preserve">. </w:t>
      </w:r>
      <w:r w:rsidR="00C33147">
        <w:rPr>
          <w:rFonts w:ascii="Times New Roman" w:hAnsi="Times New Roman"/>
          <w:sz w:val="24"/>
        </w:rPr>
        <w:t>The waste disposal areas were</w:t>
      </w:r>
      <w:r w:rsidRPr="006A2C1C">
        <w:rPr>
          <w:rFonts w:ascii="Times New Roman" w:hAnsi="Times New Roman"/>
          <w:sz w:val="24"/>
        </w:rPr>
        <w:t xml:space="preserve"> capped with a top membrane liner, soil and native gra</w:t>
      </w:r>
      <w:r w:rsidR="00C33147">
        <w:rPr>
          <w:rFonts w:ascii="Times New Roman" w:hAnsi="Times New Roman"/>
          <w:sz w:val="24"/>
        </w:rPr>
        <w:t>sses and a gas collection system was</w:t>
      </w:r>
      <w:r w:rsidRPr="006A2C1C">
        <w:rPr>
          <w:rFonts w:ascii="Times New Roman" w:hAnsi="Times New Roman"/>
          <w:sz w:val="24"/>
        </w:rPr>
        <w:t xml:space="preserve"> installed to capture and burn methane gas generated from the decomposing waste.</w:t>
      </w:r>
    </w:p>
    <w:p w14:paraId="40C6E0DE" w14:textId="26CF42D2" w:rsidR="006A2C1C" w:rsidRPr="006A2C1C" w:rsidRDefault="006A2C1C" w:rsidP="006A2C1C">
      <w:pPr>
        <w:spacing w:before="120" w:after="120"/>
        <w:rPr>
          <w:rFonts w:ascii="Times New Roman" w:hAnsi="Times New Roman"/>
          <w:sz w:val="24"/>
        </w:rPr>
      </w:pPr>
      <w:r w:rsidRPr="006A2C1C">
        <w:rPr>
          <w:rFonts w:ascii="Times New Roman" w:hAnsi="Times New Roman"/>
          <w:b/>
          <w:sz w:val="24"/>
        </w:rPr>
        <w:t xml:space="preserve">April 21, 1995: </w:t>
      </w:r>
      <w:r w:rsidR="00756EFE">
        <w:rPr>
          <w:rFonts w:ascii="Times New Roman" w:hAnsi="Times New Roman"/>
          <w:b/>
          <w:sz w:val="24"/>
        </w:rPr>
        <w:t xml:space="preserve"> </w:t>
      </w:r>
      <w:r w:rsidRPr="006A2C1C">
        <w:rPr>
          <w:rFonts w:ascii="Times New Roman" w:hAnsi="Times New Roman"/>
          <w:sz w:val="24"/>
        </w:rPr>
        <w:t>The Clark County Disposal Group, d/b/a T</w:t>
      </w:r>
      <w:r w:rsidR="00756EFE">
        <w:rPr>
          <w:rFonts w:ascii="Times New Roman" w:hAnsi="Times New Roman"/>
          <w:sz w:val="24"/>
        </w:rPr>
        <w:t>win City Sanitary Service, Inc.</w:t>
      </w:r>
      <w:r w:rsidRPr="006A2C1C">
        <w:rPr>
          <w:rFonts w:ascii="Times New Roman" w:hAnsi="Times New Roman"/>
          <w:sz w:val="24"/>
        </w:rPr>
        <w:t>, Vancouver Sani</w:t>
      </w:r>
      <w:r w:rsidR="0008206B">
        <w:rPr>
          <w:rFonts w:ascii="Times New Roman" w:hAnsi="Times New Roman"/>
          <w:sz w:val="24"/>
        </w:rPr>
        <w:t>tary Service, Inc. (G-65), file</w:t>
      </w:r>
      <w:r w:rsidR="00C33147">
        <w:rPr>
          <w:rFonts w:ascii="Times New Roman" w:hAnsi="Times New Roman"/>
          <w:sz w:val="24"/>
        </w:rPr>
        <w:t>d</w:t>
      </w:r>
      <w:r w:rsidRPr="006A2C1C">
        <w:rPr>
          <w:rFonts w:ascii="Times New Roman" w:hAnsi="Times New Roman"/>
          <w:sz w:val="24"/>
        </w:rPr>
        <w:t xml:space="preserve"> for Chapter 11 bankruptcy in the United States Bankruptcy Court of Western Washington; Cause No. 95-31806-PBS.</w:t>
      </w:r>
    </w:p>
    <w:p w14:paraId="28AD6D55" w14:textId="0B95FB90" w:rsidR="006A2C1C" w:rsidRPr="006A2C1C" w:rsidRDefault="006A2C1C" w:rsidP="006A2C1C">
      <w:pPr>
        <w:spacing w:before="120" w:after="120"/>
        <w:rPr>
          <w:rFonts w:ascii="Times New Roman" w:hAnsi="Times New Roman"/>
          <w:sz w:val="24"/>
        </w:rPr>
      </w:pPr>
      <w:r w:rsidRPr="006A2C1C">
        <w:rPr>
          <w:rFonts w:ascii="Times New Roman" w:hAnsi="Times New Roman"/>
          <w:b/>
          <w:sz w:val="24"/>
        </w:rPr>
        <w:t>January 22, 1996:</w:t>
      </w:r>
      <w:r w:rsidR="00756EFE">
        <w:rPr>
          <w:rFonts w:ascii="Times New Roman" w:hAnsi="Times New Roman"/>
          <w:b/>
          <w:sz w:val="24"/>
        </w:rPr>
        <w:t xml:space="preserve"> </w:t>
      </w:r>
      <w:r w:rsidRPr="006A2C1C">
        <w:rPr>
          <w:rFonts w:ascii="Times New Roman" w:hAnsi="Times New Roman"/>
          <w:b/>
          <w:sz w:val="24"/>
        </w:rPr>
        <w:t xml:space="preserve"> </w:t>
      </w:r>
      <w:r w:rsidRPr="006A2C1C">
        <w:rPr>
          <w:rFonts w:ascii="Times New Roman" w:hAnsi="Times New Roman"/>
          <w:sz w:val="24"/>
        </w:rPr>
        <w:t>Buchmann Sani</w:t>
      </w:r>
      <w:r w:rsidR="0008206B">
        <w:rPr>
          <w:rFonts w:ascii="Times New Roman" w:hAnsi="Times New Roman"/>
          <w:sz w:val="24"/>
        </w:rPr>
        <w:t>tary Service, Inc. (G-79), filed</w:t>
      </w:r>
      <w:r w:rsidRPr="006A2C1C">
        <w:rPr>
          <w:rFonts w:ascii="Times New Roman" w:hAnsi="Times New Roman"/>
          <w:sz w:val="24"/>
        </w:rPr>
        <w:t xml:space="preserve"> for Chapter 11 bankruptcy in the United States Bankruptcy Court of Western Washington; Cause No. 96-30375-PBS.</w:t>
      </w:r>
    </w:p>
    <w:p w14:paraId="204810B3" w14:textId="658C1D71" w:rsidR="006A2C1C" w:rsidRPr="006A2C1C" w:rsidRDefault="006A2C1C" w:rsidP="006A2C1C">
      <w:pPr>
        <w:spacing w:before="120" w:after="120"/>
        <w:rPr>
          <w:rFonts w:ascii="Times New Roman" w:hAnsi="Times New Roman"/>
          <w:sz w:val="24"/>
        </w:rPr>
      </w:pPr>
      <w:r w:rsidRPr="006A2C1C">
        <w:rPr>
          <w:rFonts w:ascii="Times New Roman" w:hAnsi="Times New Roman"/>
          <w:b/>
          <w:sz w:val="24"/>
        </w:rPr>
        <w:t xml:space="preserve">March 5, 1996: </w:t>
      </w:r>
      <w:r w:rsidR="00756EFE">
        <w:rPr>
          <w:rFonts w:ascii="Times New Roman" w:hAnsi="Times New Roman"/>
          <w:b/>
          <w:sz w:val="24"/>
        </w:rPr>
        <w:t xml:space="preserve"> </w:t>
      </w:r>
      <w:r w:rsidRPr="006A2C1C">
        <w:rPr>
          <w:rFonts w:ascii="Times New Roman" w:hAnsi="Times New Roman"/>
          <w:sz w:val="24"/>
        </w:rPr>
        <w:t xml:space="preserve">The </w:t>
      </w:r>
      <w:r w:rsidR="005805A7">
        <w:rPr>
          <w:rFonts w:ascii="Times New Roman" w:hAnsi="Times New Roman"/>
          <w:sz w:val="24"/>
        </w:rPr>
        <w:t>c</w:t>
      </w:r>
      <w:r w:rsidR="0008206B">
        <w:rPr>
          <w:rFonts w:ascii="Times New Roman" w:hAnsi="Times New Roman"/>
          <w:sz w:val="24"/>
        </w:rPr>
        <w:t xml:space="preserve">ommission </w:t>
      </w:r>
      <w:r w:rsidR="0076644B">
        <w:rPr>
          <w:rFonts w:ascii="Times New Roman" w:hAnsi="Times New Roman"/>
          <w:sz w:val="24"/>
        </w:rPr>
        <w:t>transferred</w:t>
      </w:r>
      <w:r w:rsidRPr="006A2C1C">
        <w:rPr>
          <w:rFonts w:ascii="Times New Roman" w:hAnsi="Times New Roman"/>
          <w:sz w:val="24"/>
        </w:rPr>
        <w:t xml:space="preserve"> Certificates G-79G-65 to Browning-Ferris Industries of Washington, Inc. (BFI) (G-253)</w:t>
      </w:r>
      <w:r w:rsidR="005805A7">
        <w:rPr>
          <w:rFonts w:ascii="Times New Roman" w:hAnsi="Times New Roman"/>
          <w:sz w:val="24"/>
        </w:rPr>
        <w:t xml:space="preserve">. </w:t>
      </w:r>
      <w:r w:rsidRPr="006A2C1C">
        <w:rPr>
          <w:rFonts w:ascii="Times New Roman" w:hAnsi="Times New Roman"/>
          <w:sz w:val="24"/>
        </w:rPr>
        <w:t xml:space="preserve">Order </w:t>
      </w:r>
      <w:r w:rsidR="0076644B" w:rsidRPr="0076644B">
        <w:rPr>
          <w:rFonts w:ascii="Times New Roman" w:hAnsi="Times New Roman"/>
          <w:sz w:val="24"/>
        </w:rPr>
        <w:t>M.V.G. N</w:t>
      </w:r>
      <w:r w:rsidR="0076644B">
        <w:rPr>
          <w:rFonts w:ascii="Times New Roman" w:hAnsi="Times New Roman"/>
          <w:sz w:val="24"/>
        </w:rPr>
        <w:t>o</w:t>
      </w:r>
      <w:r w:rsidR="0076644B" w:rsidRPr="0076644B">
        <w:rPr>
          <w:rFonts w:ascii="Times New Roman" w:hAnsi="Times New Roman"/>
          <w:sz w:val="24"/>
        </w:rPr>
        <w:t>. 1772</w:t>
      </w:r>
      <w:r w:rsidR="0076644B" w:rsidRPr="0076644B">
        <w:rPr>
          <w:rStyle w:val="CommentReference"/>
          <w:rFonts w:ascii="Times New Roman" w:hAnsi="Times New Roman"/>
          <w:sz w:val="24"/>
          <w:szCs w:val="24"/>
        </w:rPr>
        <w:t xml:space="preserve"> </w:t>
      </w:r>
      <w:r w:rsidRPr="006A2C1C">
        <w:rPr>
          <w:rFonts w:ascii="Times New Roman" w:hAnsi="Times New Roman"/>
          <w:sz w:val="24"/>
        </w:rPr>
        <w:t>acknowledges the pending bankruptcies for the transferors (Hearing Nos. 78443 and 78444).</w:t>
      </w:r>
    </w:p>
    <w:p w14:paraId="07B56D0F" w14:textId="5CB8CB4C" w:rsidR="006A2C1C" w:rsidRPr="006A2C1C" w:rsidRDefault="006A2C1C" w:rsidP="006A2C1C">
      <w:pPr>
        <w:spacing w:before="120" w:after="120"/>
        <w:rPr>
          <w:rFonts w:ascii="Times New Roman" w:hAnsi="Times New Roman"/>
          <w:sz w:val="24"/>
        </w:rPr>
      </w:pPr>
      <w:r w:rsidRPr="006A2C1C">
        <w:rPr>
          <w:rFonts w:ascii="Times New Roman" w:hAnsi="Times New Roman"/>
          <w:b/>
          <w:sz w:val="24"/>
        </w:rPr>
        <w:t>July 17, 1996:</w:t>
      </w:r>
      <w:r w:rsidR="00756EFE">
        <w:rPr>
          <w:rFonts w:ascii="Times New Roman" w:hAnsi="Times New Roman"/>
          <w:b/>
          <w:sz w:val="24"/>
        </w:rPr>
        <w:t xml:space="preserve"> </w:t>
      </w:r>
      <w:r w:rsidRPr="006A2C1C">
        <w:rPr>
          <w:rFonts w:ascii="Times New Roman" w:hAnsi="Times New Roman"/>
          <w:b/>
          <w:sz w:val="24"/>
        </w:rPr>
        <w:t xml:space="preserve"> </w:t>
      </w:r>
      <w:r w:rsidR="0008206B">
        <w:rPr>
          <w:rFonts w:ascii="Times New Roman" w:hAnsi="Times New Roman"/>
          <w:sz w:val="24"/>
        </w:rPr>
        <w:t>LBLRC signed</w:t>
      </w:r>
      <w:r w:rsidRPr="006A2C1C">
        <w:rPr>
          <w:rFonts w:ascii="Times New Roman" w:hAnsi="Times New Roman"/>
          <w:sz w:val="24"/>
        </w:rPr>
        <w:t xml:space="preserve"> Consent Decree No. 96-2-03081-7 with Ecology regarding the landfill.  (See </w:t>
      </w:r>
      <w:hyperlink r:id="rId11" w:history="1">
        <w:r w:rsidRPr="006A2C1C">
          <w:rPr>
            <w:rStyle w:val="Hyperlink"/>
            <w:rFonts w:ascii="Times New Roman" w:hAnsi="Times New Roman"/>
            <w:sz w:val="24"/>
          </w:rPr>
          <w:t>https://fortress.wa.gov/ecy/gsp/CleanupSiteDocuments.aspx?csid=3019</w:t>
        </w:r>
      </w:hyperlink>
      <w:r w:rsidRPr="006A2C1C">
        <w:rPr>
          <w:rFonts w:ascii="Times New Roman" w:hAnsi="Times New Roman"/>
          <w:sz w:val="24"/>
        </w:rPr>
        <w:t>).</w:t>
      </w:r>
    </w:p>
    <w:p w14:paraId="7C1C363F" w14:textId="4B5255A3" w:rsidR="006A2C1C" w:rsidRPr="006A2C1C" w:rsidRDefault="006A2C1C" w:rsidP="006A2C1C">
      <w:pPr>
        <w:spacing w:before="120" w:after="120"/>
        <w:rPr>
          <w:rFonts w:ascii="Times New Roman" w:hAnsi="Times New Roman"/>
          <w:sz w:val="24"/>
        </w:rPr>
      </w:pPr>
      <w:r w:rsidRPr="006A2C1C">
        <w:rPr>
          <w:rFonts w:ascii="Times New Roman" w:hAnsi="Times New Roman"/>
          <w:b/>
          <w:sz w:val="24"/>
        </w:rPr>
        <w:t xml:space="preserve">July 31, 1996:  </w:t>
      </w:r>
      <w:r w:rsidRPr="006A2C1C">
        <w:rPr>
          <w:rFonts w:ascii="Times New Roman" w:hAnsi="Times New Roman"/>
          <w:sz w:val="24"/>
        </w:rPr>
        <w:t xml:space="preserve">The </w:t>
      </w:r>
      <w:r w:rsidR="005805A7">
        <w:rPr>
          <w:rFonts w:ascii="Times New Roman" w:hAnsi="Times New Roman"/>
          <w:sz w:val="24"/>
        </w:rPr>
        <w:t>c</w:t>
      </w:r>
      <w:r w:rsidR="0008206B">
        <w:rPr>
          <w:rFonts w:ascii="Times New Roman" w:hAnsi="Times New Roman"/>
          <w:sz w:val="24"/>
        </w:rPr>
        <w:t>ommission issued</w:t>
      </w:r>
      <w:r w:rsidRPr="006A2C1C">
        <w:rPr>
          <w:rFonts w:ascii="Times New Roman" w:hAnsi="Times New Roman"/>
          <w:sz w:val="24"/>
        </w:rPr>
        <w:t xml:space="preserve"> its Fourth Supplemental Order in Dockets TG-2325, 2326 and 2327 approving a “First Amendment to Disposal Agreement and Settlement Agreement” (July 9, 1996) (First Amendment).</w:t>
      </w:r>
      <w:r w:rsidRPr="005702B4">
        <w:rPr>
          <w:rStyle w:val="FootnoteReference"/>
          <w:rFonts w:ascii="Times New Roman" w:hAnsi="Times New Roman"/>
          <w:sz w:val="24"/>
          <w:vertAlign w:val="superscript"/>
        </w:rPr>
        <w:footnoteReference w:id="3"/>
      </w:r>
      <w:r w:rsidRPr="005702B4">
        <w:rPr>
          <w:rFonts w:ascii="Times New Roman" w:hAnsi="Times New Roman"/>
          <w:sz w:val="24"/>
          <w:vertAlign w:val="superscript"/>
        </w:rPr>
        <w:t xml:space="preserve">  </w:t>
      </w:r>
    </w:p>
    <w:p w14:paraId="615A0127" w14:textId="11DC6CCC" w:rsidR="006A2C1C" w:rsidRPr="006A2C1C" w:rsidRDefault="0076644B" w:rsidP="006A2C1C">
      <w:pPr>
        <w:spacing w:before="120" w:after="120"/>
        <w:rPr>
          <w:rFonts w:ascii="Times New Roman" w:hAnsi="Times New Roman"/>
          <w:sz w:val="24"/>
        </w:rPr>
      </w:pPr>
      <w:r>
        <w:rPr>
          <w:rFonts w:ascii="Times New Roman" w:hAnsi="Times New Roman"/>
          <w:sz w:val="24"/>
        </w:rPr>
        <w:t>T</w:t>
      </w:r>
      <w:r w:rsidR="0008206B">
        <w:rPr>
          <w:rFonts w:ascii="Times New Roman" w:hAnsi="Times New Roman"/>
          <w:sz w:val="24"/>
        </w:rPr>
        <w:t>he First Amendment addressed</w:t>
      </w:r>
      <w:r w:rsidR="006A2C1C" w:rsidRPr="006A2C1C">
        <w:rPr>
          <w:rFonts w:ascii="Times New Roman" w:hAnsi="Times New Roman"/>
          <w:sz w:val="24"/>
        </w:rPr>
        <w:t xml:space="preserve"> the situation of the parties and the landfill, post-bankruptcy. </w:t>
      </w:r>
      <w:r>
        <w:rPr>
          <w:rFonts w:ascii="Times New Roman" w:hAnsi="Times New Roman"/>
          <w:sz w:val="24"/>
        </w:rPr>
        <w:t xml:space="preserve">It also </w:t>
      </w:r>
      <w:r w:rsidR="0008206B">
        <w:rPr>
          <w:rFonts w:ascii="Times New Roman" w:hAnsi="Times New Roman"/>
          <w:sz w:val="24"/>
        </w:rPr>
        <w:t>re-established</w:t>
      </w:r>
      <w:r w:rsidR="006A2C1C" w:rsidRPr="006A2C1C">
        <w:rPr>
          <w:rFonts w:ascii="Times New Roman" w:hAnsi="Times New Roman"/>
          <w:sz w:val="24"/>
        </w:rPr>
        <w:t xml:space="preserve"> the funding mechanisms for th</w:t>
      </w:r>
      <w:r w:rsidR="00756EFE">
        <w:rPr>
          <w:rFonts w:ascii="Times New Roman" w:hAnsi="Times New Roman"/>
          <w:sz w:val="24"/>
        </w:rPr>
        <w:t xml:space="preserve">e remediation of the landfill. </w:t>
      </w:r>
      <w:r w:rsidR="006A2C1C" w:rsidRPr="006A2C1C">
        <w:rPr>
          <w:rFonts w:ascii="Times New Roman" w:hAnsi="Times New Roman"/>
          <w:sz w:val="24"/>
        </w:rPr>
        <w:t xml:space="preserve">The landfill reserve fund is now called the Financial Assurance Reserve Fund (FARF).  </w:t>
      </w:r>
    </w:p>
    <w:p w14:paraId="54EB0F28" w14:textId="1948566C" w:rsidR="006A2C1C" w:rsidRPr="006A2C1C" w:rsidRDefault="006A2C1C" w:rsidP="006A2C1C">
      <w:pPr>
        <w:spacing w:before="120" w:after="120"/>
        <w:rPr>
          <w:rFonts w:ascii="Times New Roman" w:hAnsi="Times New Roman"/>
          <w:sz w:val="24"/>
        </w:rPr>
      </w:pPr>
      <w:r w:rsidRPr="006A2C1C">
        <w:rPr>
          <w:rFonts w:ascii="Times New Roman" w:hAnsi="Times New Roman"/>
          <w:sz w:val="24"/>
        </w:rPr>
        <w:t>Among the terms of the First Amendment is Section 9: “Excess Funds</w:t>
      </w:r>
      <w:r w:rsidR="00756EFE">
        <w:rPr>
          <w:rFonts w:ascii="Times New Roman" w:hAnsi="Times New Roman"/>
          <w:sz w:val="24"/>
        </w:rPr>
        <w:t>.”</w:t>
      </w:r>
      <w:r w:rsidRPr="006A2C1C">
        <w:rPr>
          <w:rFonts w:ascii="Times New Roman" w:hAnsi="Times New Roman"/>
          <w:sz w:val="24"/>
        </w:rPr>
        <w:t xml:space="preserve"> Under this section, if there is any excess money in the FARF “after compliance with the Consent Decree</w:t>
      </w:r>
      <w:r w:rsidR="00756EFE">
        <w:rPr>
          <w:rFonts w:ascii="Times New Roman" w:hAnsi="Times New Roman"/>
          <w:sz w:val="24"/>
        </w:rPr>
        <w:t>,”</w:t>
      </w:r>
      <w:r w:rsidRPr="006A2C1C">
        <w:rPr>
          <w:rFonts w:ascii="Times New Roman" w:hAnsi="Times New Roman"/>
          <w:sz w:val="24"/>
        </w:rPr>
        <w:t xml:space="preserve"> plus additional E</w:t>
      </w:r>
      <w:r w:rsidR="00236B9B">
        <w:rPr>
          <w:rFonts w:ascii="Times New Roman" w:hAnsi="Times New Roman"/>
          <w:sz w:val="24"/>
        </w:rPr>
        <w:t xml:space="preserve">cology requirements, </w:t>
      </w:r>
      <w:r w:rsidRPr="006A2C1C">
        <w:rPr>
          <w:rFonts w:ascii="Times New Roman" w:hAnsi="Times New Roman"/>
          <w:sz w:val="24"/>
        </w:rPr>
        <w:t>and after closure and “post-closure</w:t>
      </w:r>
      <w:r w:rsidR="00756EFE">
        <w:rPr>
          <w:rFonts w:ascii="Times New Roman" w:hAnsi="Times New Roman"/>
          <w:sz w:val="24"/>
        </w:rPr>
        <w:t>”</w:t>
      </w:r>
      <w:r w:rsidRPr="006A2C1C">
        <w:rPr>
          <w:rFonts w:ascii="Times New Roman" w:hAnsi="Times New Roman"/>
          <w:sz w:val="24"/>
        </w:rPr>
        <w:t xml:space="preserve"> </w:t>
      </w:r>
      <w:r w:rsidR="0008206B">
        <w:rPr>
          <w:rFonts w:ascii="Times New Roman" w:hAnsi="Times New Roman"/>
          <w:sz w:val="24"/>
        </w:rPr>
        <w:t>cost</w:t>
      </w:r>
      <w:r w:rsidR="00A85AE8">
        <w:rPr>
          <w:rFonts w:ascii="Times New Roman" w:hAnsi="Times New Roman"/>
          <w:sz w:val="24"/>
        </w:rPr>
        <w:t>s</w:t>
      </w:r>
      <w:r w:rsidR="0008206B">
        <w:rPr>
          <w:rFonts w:ascii="Times New Roman" w:hAnsi="Times New Roman"/>
          <w:sz w:val="24"/>
        </w:rPr>
        <w:t>,</w:t>
      </w:r>
      <w:r w:rsidRPr="006A2C1C">
        <w:rPr>
          <w:rFonts w:ascii="Times New Roman" w:hAnsi="Times New Roman"/>
          <w:sz w:val="24"/>
        </w:rPr>
        <w:t xml:space="preserve"> that excess money is split </w:t>
      </w:r>
      <w:r w:rsidR="0008206B">
        <w:rPr>
          <w:rFonts w:ascii="Times New Roman" w:hAnsi="Times New Roman"/>
          <w:sz w:val="24"/>
        </w:rPr>
        <w:t xml:space="preserve">whereby </w:t>
      </w:r>
      <w:r w:rsidR="00236B9B">
        <w:rPr>
          <w:rFonts w:ascii="Times New Roman" w:hAnsi="Times New Roman"/>
          <w:sz w:val="24"/>
        </w:rPr>
        <w:t xml:space="preserve">seventy </w:t>
      </w:r>
      <w:r w:rsidRPr="006A2C1C">
        <w:rPr>
          <w:rFonts w:ascii="Times New Roman" w:hAnsi="Times New Roman"/>
          <w:sz w:val="24"/>
        </w:rPr>
        <w:t xml:space="preserve">percent </w:t>
      </w:r>
      <w:r w:rsidR="0008206B">
        <w:rPr>
          <w:rFonts w:ascii="Times New Roman" w:hAnsi="Times New Roman"/>
          <w:sz w:val="24"/>
        </w:rPr>
        <w:t xml:space="preserve">goes </w:t>
      </w:r>
      <w:r w:rsidRPr="006A2C1C">
        <w:rPr>
          <w:rFonts w:ascii="Times New Roman" w:hAnsi="Times New Roman"/>
          <w:sz w:val="24"/>
        </w:rPr>
        <w:t xml:space="preserve">to reduce tipping fees and </w:t>
      </w:r>
      <w:r w:rsidR="00236B9B">
        <w:rPr>
          <w:rFonts w:ascii="Times New Roman" w:hAnsi="Times New Roman"/>
          <w:sz w:val="24"/>
        </w:rPr>
        <w:t>thirty</w:t>
      </w:r>
      <w:r w:rsidRPr="006A2C1C">
        <w:rPr>
          <w:rFonts w:ascii="Times New Roman" w:hAnsi="Times New Roman"/>
          <w:sz w:val="24"/>
        </w:rPr>
        <w:t xml:space="preserve"> percent </w:t>
      </w:r>
      <w:r w:rsidR="0008206B">
        <w:rPr>
          <w:rFonts w:ascii="Times New Roman" w:hAnsi="Times New Roman"/>
          <w:sz w:val="24"/>
        </w:rPr>
        <w:t xml:space="preserve">goes </w:t>
      </w:r>
      <w:r w:rsidRPr="006A2C1C">
        <w:rPr>
          <w:rFonts w:ascii="Times New Roman" w:hAnsi="Times New Roman"/>
          <w:sz w:val="24"/>
        </w:rPr>
        <w:t xml:space="preserve">to support the Clark County Solid Waste </w:t>
      </w:r>
      <w:r w:rsidRPr="006A2C1C">
        <w:rPr>
          <w:rFonts w:ascii="Times New Roman" w:hAnsi="Times New Roman"/>
          <w:sz w:val="24"/>
        </w:rPr>
        <w:lastRenderedPageBreak/>
        <w:t xml:space="preserve">Management Plan. If it not practical to reduce tipping fees, then the </w:t>
      </w:r>
      <w:r w:rsidR="005702B4">
        <w:rPr>
          <w:rFonts w:ascii="Times New Roman" w:hAnsi="Times New Roman"/>
          <w:sz w:val="24"/>
        </w:rPr>
        <w:t>seventy</w:t>
      </w:r>
      <w:r w:rsidRPr="006A2C1C">
        <w:rPr>
          <w:rFonts w:ascii="Times New Roman" w:hAnsi="Times New Roman"/>
          <w:sz w:val="24"/>
        </w:rPr>
        <w:t xml:space="preserve"> percent share is to be given to the Commission-regulated carriers to be directly passed through as a rate credit to customers.</w:t>
      </w:r>
    </w:p>
    <w:p w14:paraId="58B15123" w14:textId="1B4766B7" w:rsidR="006A2C1C" w:rsidRDefault="006A2C1C" w:rsidP="006A2C1C">
      <w:pPr>
        <w:spacing w:before="120" w:after="120"/>
        <w:rPr>
          <w:rFonts w:ascii="Times New Roman" w:hAnsi="Times New Roman"/>
          <w:sz w:val="24"/>
        </w:rPr>
      </w:pPr>
      <w:r w:rsidRPr="006A2C1C">
        <w:rPr>
          <w:rFonts w:ascii="Times New Roman" w:hAnsi="Times New Roman"/>
          <w:b/>
          <w:sz w:val="24"/>
        </w:rPr>
        <w:t xml:space="preserve">October 1, 1997: </w:t>
      </w:r>
      <w:r w:rsidR="00756EFE">
        <w:rPr>
          <w:rFonts w:ascii="Times New Roman" w:hAnsi="Times New Roman"/>
          <w:b/>
          <w:sz w:val="24"/>
        </w:rPr>
        <w:t xml:space="preserve"> </w:t>
      </w:r>
      <w:r w:rsidRPr="006A2C1C">
        <w:rPr>
          <w:rFonts w:ascii="Times New Roman" w:hAnsi="Times New Roman"/>
          <w:sz w:val="24"/>
        </w:rPr>
        <w:t xml:space="preserve">The </w:t>
      </w:r>
      <w:r w:rsidR="00236B9B">
        <w:rPr>
          <w:rFonts w:ascii="Times New Roman" w:hAnsi="Times New Roman"/>
          <w:sz w:val="24"/>
        </w:rPr>
        <w:t>c</w:t>
      </w:r>
      <w:r w:rsidRPr="006A2C1C">
        <w:rPr>
          <w:rFonts w:ascii="Times New Roman" w:hAnsi="Times New Roman"/>
          <w:sz w:val="24"/>
        </w:rPr>
        <w:t>ommission issue</w:t>
      </w:r>
      <w:r w:rsidR="0008206B">
        <w:rPr>
          <w:rFonts w:ascii="Times New Roman" w:hAnsi="Times New Roman"/>
          <w:sz w:val="24"/>
        </w:rPr>
        <w:t>d</w:t>
      </w:r>
      <w:r w:rsidRPr="006A2C1C">
        <w:rPr>
          <w:rFonts w:ascii="Times New Roman" w:hAnsi="Times New Roman"/>
          <w:sz w:val="24"/>
        </w:rPr>
        <w:t xml:space="preserve"> Order in Application GA-78677, changing the name on the certificate G-253 from BFI to Waste Connections of Washington, Inc. (the current certificate holder).</w:t>
      </w:r>
    </w:p>
    <w:p w14:paraId="2582A33A" w14:textId="43FD4320" w:rsidR="006A2C1C" w:rsidRPr="006A2C1C" w:rsidRDefault="0008206B" w:rsidP="0074229F">
      <w:pPr>
        <w:spacing w:before="120" w:after="120"/>
        <w:jc w:val="center"/>
        <w:rPr>
          <w:rFonts w:ascii="Times New Roman" w:hAnsi="Times New Roman"/>
          <w:b/>
          <w:sz w:val="24"/>
        </w:rPr>
      </w:pPr>
      <w:r>
        <w:rPr>
          <w:rFonts w:ascii="Times New Roman" w:hAnsi="Times New Roman"/>
          <w:b/>
          <w:sz w:val="24"/>
        </w:rPr>
        <w:t xml:space="preserve">PROSPECTIVE </w:t>
      </w:r>
      <w:r w:rsidR="006A2C1C" w:rsidRPr="006A2C1C">
        <w:rPr>
          <w:rFonts w:ascii="Times New Roman" w:hAnsi="Times New Roman"/>
          <w:b/>
          <w:sz w:val="24"/>
        </w:rPr>
        <w:t>COUNTY PLANS TO PURCHASE THE LANDFILL</w:t>
      </w:r>
    </w:p>
    <w:p w14:paraId="1FBCB70C" w14:textId="1D3C47CF" w:rsidR="006A2C1C" w:rsidRPr="006A2C1C" w:rsidRDefault="006A2C1C" w:rsidP="006A2C1C">
      <w:pPr>
        <w:spacing w:before="120" w:after="120"/>
        <w:rPr>
          <w:rFonts w:ascii="Times New Roman" w:hAnsi="Times New Roman"/>
          <w:sz w:val="24"/>
        </w:rPr>
      </w:pPr>
      <w:r w:rsidRPr="006A2C1C">
        <w:rPr>
          <w:rFonts w:ascii="Times New Roman" w:hAnsi="Times New Roman"/>
          <w:sz w:val="24"/>
        </w:rPr>
        <w:t xml:space="preserve">The </w:t>
      </w:r>
      <w:r w:rsidR="00236B9B">
        <w:rPr>
          <w:rFonts w:ascii="Times New Roman" w:hAnsi="Times New Roman"/>
          <w:sz w:val="24"/>
        </w:rPr>
        <w:t>c</w:t>
      </w:r>
      <w:r w:rsidRPr="006A2C1C">
        <w:rPr>
          <w:rFonts w:ascii="Times New Roman" w:hAnsi="Times New Roman"/>
          <w:sz w:val="24"/>
        </w:rPr>
        <w:t>ounty has agreed to purchase the closed landfill and adjacent properties for $1.5 million.</w:t>
      </w:r>
      <w:r w:rsidR="00236B9B">
        <w:rPr>
          <w:rFonts w:ascii="Times New Roman" w:hAnsi="Times New Roman"/>
          <w:sz w:val="24"/>
        </w:rPr>
        <w:t xml:space="preserve"> </w:t>
      </w:r>
      <w:r w:rsidRPr="006A2C1C">
        <w:rPr>
          <w:rFonts w:ascii="Times New Roman" w:hAnsi="Times New Roman"/>
          <w:sz w:val="24"/>
        </w:rPr>
        <w:t xml:space="preserve">In the coming months, the </w:t>
      </w:r>
      <w:r w:rsidR="00236B9B">
        <w:rPr>
          <w:rFonts w:ascii="Times New Roman" w:hAnsi="Times New Roman"/>
          <w:sz w:val="24"/>
        </w:rPr>
        <w:t>c</w:t>
      </w:r>
      <w:r w:rsidRPr="006A2C1C">
        <w:rPr>
          <w:rFonts w:ascii="Times New Roman" w:hAnsi="Times New Roman"/>
          <w:sz w:val="24"/>
        </w:rPr>
        <w:t xml:space="preserve">ounty will work with the public to determine how the landfill and nearby properties could be reused. The agreed upon price appears to be </w:t>
      </w:r>
      <w:r w:rsidR="0008206B">
        <w:rPr>
          <w:rFonts w:ascii="Times New Roman" w:hAnsi="Times New Roman"/>
          <w:sz w:val="24"/>
        </w:rPr>
        <w:t>reasonable</w:t>
      </w:r>
      <w:r w:rsidRPr="006A2C1C">
        <w:rPr>
          <w:rFonts w:ascii="Times New Roman" w:hAnsi="Times New Roman"/>
          <w:sz w:val="24"/>
        </w:rPr>
        <w:t xml:space="preserve">, considering the property is valued at $5.45 million without the encumbrance of the </w:t>
      </w:r>
      <w:r w:rsidR="005702B4">
        <w:rPr>
          <w:rFonts w:ascii="Times New Roman" w:hAnsi="Times New Roman"/>
          <w:sz w:val="24"/>
        </w:rPr>
        <w:t>c</w:t>
      </w:r>
      <w:r w:rsidRPr="006A2C1C">
        <w:rPr>
          <w:rFonts w:ascii="Times New Roman" w:hAnsi="Times New Roman"/>
          <w:sz w:val="24"/>
        </w:rPr>
        <w:t xml:space="preserve">ounty’s option to buy. </w:t>
      </w:r>
    </w:p>
    <w:p w14:paraId="25C70C12" w14:textId="1A45D509" w:rsidR="006A2C1C" w:rsidRPr="006A2C1C" w:rsidRDefault="006A2C1C" w:rsidP="006A2C1C">
      <w:pPr>
        <w:spacing w:before="120" w:after="120"/>
        <w:rPr>
          <w:rFonts w:ascii="Times New Roman" w:hAnsi="Times New Roman"/>
          <w:sz w:val="24"/>
        </w:rPr>
      </w:pPr>
      <w:r w:rsidRPr="006A2C1C">
        <w:rPr>
          <w:rFonts w:ascii="Times New Roman" w:hAnsi="Times New Roman"/>
          <w:sz w:val="24"/>
        </w:rPr>
        <w:t xml:space="preserve">The </w:t>
      </w:r>
      <w:r w:rsidR="005702B4">
        <w:rPr>
          <w:rFonts w:ascii="Times New Roman" w:hAnsi="Times New Roman"/>
          <w:sz w:val="24"/>
        </w:rPr>
        <w:t>c</w:t>
      </w:r>
      <w:r w:rsidRPr="006A2C1C">
        <w:rPr>
          <w:rFonts w:ascii="Times New Roman" w:hAnsi="Times New Roman"/>
          <w:sz w:val="24"/>
        </w:rPr>
        <w:t>ounty likely will start a master planning process for the 120-acre purchase area, which includes the 74-acre landfill and adjacent properties to the north and south. No use of the site can interfere with the landfill’s post-closure maintenance and monitoring</w:t>
      </w:r>
      <w:r w:rsidR="00645136">
        <w:rPr>
          <w:rFonts w:ascii="Times New Roman" w:hAnsi="Times New Roman"/>
          <w:sz w:val="24"/>
        </w:rPr>
        <w:t xml:space="preserve"> nor can the purchase of the landfill site close without approval from the </w:t>
      </w:r>
      <w:r w:rsidR="005702B4">
        <w:rPr>
          <w:rFonts w:ascii="Times New Roman" w:hAnsi="Times New Roman"/>
          <w:sz w:val="24"/>
        </w:rPr>
        <w:t>c</w:t>
      </w:r>
      <w:r w:rsidR="00645136">
        <w:rPr>
          <w:rFonts w:ascii="Times New Roman" w:hAnsi="Times New Roman"/>
          <w:sz w:val="24"/>
        </w:rPr>
        <w:t>ommission (</w:t>
      </w:r>
      <w:r w:rsidR="00645136" w:rsidRPr="006A2C1C">
        <w:rPr>
          <w:rFonts w:ascii="Times New Roman" w:hAnsi="Times New Roman"/>
          <w:sz w:val="24"/>
        </w:rPr>
        <w:t>Disposal Agreement and Settlement Agreement</w:t>
      </w:r>
      <w:r w:rsidR="001D36F0">
        <w:rPr>
          <w:rFonts w:ascii="Times New Roman" w:hAnsi="Times New Roman"/>
          <w:sz w:val="24"/>
        </w:rPr>
        <w:t>) and Ecology (Consent Decree)</w:t>
      </w:r>
      <w:r w:rsidR="00756EFE">
        <w:rPr>
          <w:rFonts w:ascii="Times New Roman" w:hAnsi="Times New Roman"/>
          <w:sz w:val="24"/>
        </w:rPr>
        <w:t xml:space="preserve">. </w:t>
      </w:r>
    </w:p>
    <w:p w14:paraId="6026D7AB" w14:textId="09D19EB1" w:rsidR="006A2C1C" w:rsidRDefault="006A2C1C" w:rsidP="006A2C1C">
      <w:pPr>
        <w:spacing w:before="120" w:after="120"/>
        <w:rPr>
          <w:rFonts w:ascii="Times New Roman" w:hAnsi="Times New Roman"/>
          <w:sz w:val="24"/>
        </w:rPr>
      </w:pPr>
      <w:r w:rsidRPr="006A2C1C">
        <w:rPr>
          <w:rFonts w:ascii="Times New Roman" w:hAnsi="Times New Roman"/>
          <w:sz w:val="24"/>
        </w:rPr>
        <w:t>About $349,000 of the $1.5 million purchase price will come from Clark County Public Works, which is for 11-acres that would be used to extend Northeast 99th Street along the northern bo</w:t>
      </w:r>
      <w:r w:rsidR="00756EFE">
        <w:rPr>
          <w:rFonts w:ascii="Times New Roman" w:hAnsi="Times New Roman"/>
          <w:sz w:val="24"/>
        </w:rPr>
        <w:t xml:space="preserve">undary of the closed landfill. </w:t>
      </w:r>
      <w:r w:rsidRPr="006A2C1C">
        <w:rPr>
          <w:rFonts w:ascii="Times New Roman" w:hAnsi="Times New Roman"/>
          <w:sz w:val="24"/>
        </w:rPr>
        <w:t xml:space="preserve">The remaining $1.2 million would come from the portion of the FARF funded by a </w:t>
      </w:r>
      <w:r w:rsidR="005702B4">
        <w:rPr>
          <w:rFonts w:ascii="Times New Roman" w:hAnsi="Times New Roman"/>
          <w:sz w:val="24"/>
        </w:rPr>
        <w:t>c</w:t>
      </w:r>
      <w:r w:rsidRPr="006A2C1C">
        <w:rPr>
          <w:rFonts w:ascii="Times New Roman" w:hAnsi="Times New Roman"/>
          <w:sz w:val="24"/>
        </w:rPr>
        <w:t xml:space="preserve">ounty surcharge and from the </w:t>
      </w:r>
      <w:r w:rsidR="005702B4">
        <w:rPr>
          <w:rFonts w:ascii="Times New Roman" w:hAnsi="Times New Roman"/>
          <w:sz w:val="24"/>
        </w:rPr>
        <w:t>c</w:t>
      </w:r>
      <w:r w:rsidRPr="006A2C1C">
        <w:rPr>
          <w:rFonts w:ascii="Times New Roman" w:hAnsi="Times New Roman"/>
          <w:sz w:val="24"/>
        </w:rPr>
        <w:t xml:space="preserve">ounty’s portion of the liability self-insurance account, which is also part of the FARF.  </w:t>
      </w:r>
    </w:p>
    <w:p w14:paraId="4D2C9FC0" w14:textId="77777777" w:rsidR="006A2C1C" w:rsidRPr="0074229F" w:rsidRDefault="006A2C1C" w:rsidP="0074229F">
      <w:pPr>
        <w:spacing w:before="120" w:after="120"/>
        <w:jc w:val="center"/>
        <w:rPr>
          <w:rFonts w:ascii="Times New Roman" w:hAnsi="Times New Roman"/>
          <w:b/>
          <w:sz w:val="24"/>
        </w:rPr>
      </w:pPr>
      <w:r w:rsidRPr="0074229F">
        <w:rPr>
          <w:rFonts w:ascii="Times New Roman" w:hAnsi="Times New Roman"/>
          <w:b/>
          <w:sz w:val="24"/>
        </w:rPr>
        <w:t xml:space="preserve">THE COUNTY AND CITY PROPOSE A “SECOND AMENDMENT” </w:t>
      </w:r>
    </w:p>
    <w:p w14:paraId="43F9606B" w14:textId="496A2AEB" w:rsidR="006A2C1C" w:rsidRPr="0074229F" w:rsidRDefault="006A2C1C" w:rsidP="0074229F">
      <w:pPr>
        <w:spacing w:before="120" w:after="120"/>
        <w:rPr>
          <w:rFonts w:ascii="Times New Roman" w:hAnsi="Times New Roman"/>
          <w:sz w:val="24"/>
        </w:rPr>
      </w:pPr>
      <w:r w:rsidRPr="0074229F">
        <w:rPr>
          <w:rFonts w:ascii="Times New Roman" w:hAnsi="Times New Roman"/>
          <w:sz w:val="24"/>
        </w:rPr>
        <w:t xml:space="preserve">The </w:t>
      </w:r>
      <w:r w:rsidR="005702B4">
        <w:rPr>
          <w:rFonts w:ascii="Times New Roman" w:hAnsi="Times New Roman"/>
          <w:sz w:val="24"/>
        </w:rPr>
        <w:t>c</w:t>
      </w:r>
      <w:r w:rsidRPr="0074229F">
        <w:rPr>
          <w:rFonts w:ascii="Times New Roman" w:hAnsi="Times New Roman"/>
          <w:sz w:val="24"/>
        </w:rPr>
        <w:t xml:space="preserve">ounty has proposed a “Second Amendment to the Disposal Agreement and Settlement Agreement” (Second Amendment) under which the </w:t>
      </w:r>
      <w:r w:rsidR="005702B4">
        <w:rPr>
          <w:rFonts w:ascii="Times New Roman" w:hAnsi="Times New Roman"/>
          <w:sz w:val="24"/>
        </w:rPr>
        <w:t>c</w:t>
      </w:r>
      <w:r w:rsidRPr="0074229F">
        <w:rPr>
          <w:rFonts w:ascii="Times New Roman" w:hAnsi="Times New Roman"/>
          <w:sz w:val="24"/>
        </w:rPr>
        <w:t xml:space="preserve">ommission’s role under the Settlement Agreement would terminate. In this regard, the Second Amendment calls for the parties (including the </w:t>
      </w:r>
      <w:r w:rsidR="005702B4">
        <w:rPr>
          <w:rFonts w:ascii="Times New Roman" w:hAnsi="Times New Roman"/>
          <w:sz w:val="24"/>
        </w:rPr>
        <w:t>c</w:t>
      </w:r>
      <w:r w:rsidRPr="0074229F">
        <w:rPr>
          <w:rFonts w:ascii="Times New Roman" w:hAnsi="Times New Roman"/>
          <w:sz w:val="24"/>
        </w:rPr>
        <w:t xml:space="preserve">ommission) to agree that the portion of the </w:t>
      </w:r>
      <w:r w:rsidR="005702B4">
        <w:rPr>
          <w:rFonts w:ascii="Times New Roman" w:hAnsi="Times New Roman"/>
          <w:sz w:val="24"/>
        </w:rPr>
        <w:t>c</w:t>
      </w:r>
      <w:r w:rsidRPr="0074229F">
        <w:rPr>
          <w:rFonts w:ascii="Times New Roman" w:hAnsi="Times New Roman"/>
          <w:sz w:val="24"/>
        </w:rPr>
        <w:t xml:space="preserve">ommission’s requirements in the Settlement Agreement are “fulfilled” and the </w:t>
      </w:r>
      <w:r w:rsidR="005702B4">
        <w:rPr>
          <w:rFonts w:ascii="Times New Roman" w:hAnsi="Times New Roman"/>
          <w:sz w:val="24"/>
        </w:rPr>
        <w:t>c</w:t>
      </w:r>
      <w:r w:rsidRPr="0074229F">
        <w:rPr>
          <w:rFonts w:ascii="Times New Roman" w:hAnsi="Times New Roman"/>
          <w:sz w:val="24"/>
        </w:rPr>
        <w:t xml:space="preserve">ommission would not participate any further in “any proceedings arising from the terms of this Agreement.” (Section 2, page 3; see also Section P, page 2). </w:t>
      </w:r>
    </w:p>
    <w:p w14:paraId="561B719A" w14:textId="2C9B950F" w:rsidR="006A2C1C" w:rsidRPr="0074229F" w:rsidRDefault="006A2C1C" w:rsidP="0074229F">
      <w:pPr>
        <w:spacing w:before="120" w:after="120"/>
        <w:rPr>
          <w:rFonts w:ascii="Times New Roman" w:hAnsi="Times New Roman"/>
          <w:b/>
          <w:bCs/>
          <w:color w:val="4F81BD" w:themeColor="accent1"/>
          <w:sz w:val="24"/>
        </w:rPr>
      </w:pPr>
      <w:r w:rsidRPr="0074229F">
        <w:rPr>
          <w:rFonts w:ascii="Times New Roman" w:hAnsi="Times New Roman"/>
          <w:sz w:val="24"/>
        </w:rPr>
        <w:t xml:space="preserve">Section 11 (page 10) takes </w:t>
      </w:r>
      <w:r w:rsidR="0008206B" w:rsidRPr="0074229F">
        <w:rPr>
          <w:rFonts w:ascii="Times New Roman" w:hAnsi="Times New Roman"/>
          <w:sz w:val="24"/>
        </w:rPr>
        <w:t>a</w:t>
      </w:r>
      <w:r w:rsidR="0008206B">
        <w:rPr>
          <w:rFonts w:ascii="Times New Roman" w:hAnsi="Times New Roman"/>
          <w:sz w:val="24"/>
        </w:rPr>
        <w:t>pproximately</w:t>
      </w:r>
      <w:r w:rsidR="0008206B" w:rsidRPr="0074229F">
        <w:rPr>
          <w:rFonts w:ascii="Times New Roman" w:hAnsi="Times New Roman"/>
          <w:sz w:val="24"/>
        </w:rPr>
        <w:t xml:space="preserve"> </w:t>
      </w:r>
      <w:r w:rsidRPr="0074229F">
        <w:rPr>
          <w:rFonts w:ascii="Times New Roman" w:hAnsi="Times New Roman"/>
          <w:sz w:val="24"/>
        </w:rPr>
        <w:t xml:space="preserve">$1.15 million from the FARF and applies it to the purchase of the landfill by the </w:t>
      </w:r>
      <w:r w:rsidR="005702B4">
        <w:rPr>
          <w:rFonts w:ascii="Times New Roman" w:hAnsi="Times New Roman"/>
          <w:sz w:val="24"/>
        </w:rPr>
        <w:t>c</w:t>
      </w:r>
      <w:r w:rsidRPr="0074229F">
        <w:rPr>
          <w:rFonts w:ascii="Times New Roman" w:hAnsi="Times New Roman"/>
          <w:sz w:val="24"/>
        </w:rPr>
        <w:t xml:space="preserve">ounty. The FARF CRC Maintenance Sub-Fund’s balance of $1,085,929 is used in its entirety as is approximately $65,000 from the County Liability Sub-Fund (highlighted in green in Table 1 below) for purchase of site. </w:t>
      </w:r>
    </w:p>
    <w:p w14:paraId="75E20AAB" w14:textId="77777777" w:rsidR="006A2C1C" w:rsidRDefault="006A2C1C" w:rsidP="0074229F">
      <w:pPr>
        <w:pStyle w:val="Caption"/>
        <w:keepNext/>
        <w:spacing w:before="120" w:after="120"/>
        <w:jc w:val="center"/>
      </w:pPr>
      <w:r>
        <w:t xml:space="preserve">Table </w:t>
      </w:r>
      <w:r w:rsidR="002F45C8">
        <w:fldChar w:fldCharType="begin"/>
      </w:r>
      <w:r w:rsidR="002F45C8">
        <w:instrText xml:space="preserve"> SEQ Table \* ARABIC </w:instrText>
      </w:r>
      <w:r w:rsidR="002F45C8">
        <w:fldChar w:fldCharType="separate"/>
      </w:r>
      <w:r>
        <w:rPr>
          <w:noProof/>
        </w:rPr>
        <w:t>1</w:t>
      </w:r>
      <w:r w:rsidR="002F45C8">
        <w:rPr>
          <w:noProof/>
        </w:rPr>
        <w:fldChar w:fldCharType="end"/>
      </w:r>
      <w:r>
        <w:t>, FARF Fund Balance Year End 2011</w:t>
      </w:r>
    </w:p>
    <w:tbl>
      <w:tblPr>
        <w:tblW w:w="9809" w:type="dxa"/>
        <w:jc w:val="center"/>
        <w:tblInd w:w="-46" w:type="dxa"/>
        <w:tblCellMar>
          <w:left w:w="0" w:type="dxa"/>
          <w:right w:w="0" w:type="dxa"/>
        </w:tblCellMar>
        <w:tblLook w:val="04A0" w:firstRow="1" w:lastRow="0" w:firstColumn="1" w:lastColumn="0" w:noHBand="0" w:noVBand="1"/>
      </w:tblPr>
      <w:tblGrid>
        <w:gridCol w:w="4185"/>
        <w:gridCol w:w="3851"/>
        <w:gridCol w:w="1773"/>
      </w:tblGrid>
      <w:tr w:rsidR="006A2C1C" w:rsidRPr="0074229F" w14:paraId="391AF9AD" w14:textId="77777777" w:rsidTr="009E400D">
        <w:trPr>
          <w:trHeight w:val="255"/>
          <w:jc w:val="center"/>
        </w:trPr>
        <w:tc>
          <w:tcPr>
            <w:tcW w:w="4185"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tcMar>
              <w:top w:w="0" w:type="dxa"/>
              <w:left w:w="108" w:type="dxa"/>
              <w:bottom w:w="0" w:type="dxa"/>
              <w:right w:w="108" w:type="dxa"/>
            </w:tcMar>
            <w:vAlign w:val="bottom"/>
            <w:hideMark/>
          </w:tcPr>
          <w:p w14:paraId="7BC02745" w14:textId="77777777" w:rsidR="006A2C1C" w:rsidRPr="0074229F" w:rsidRDefault="006A2C1C" w:rsidP="0074229F">
            <w:pPr>
              <w:jc w:val="center"/>
              <w:rPr>
                <w:rFonts w:ascii="Times New Roman" w:hAnsi="Times New Roman"/>
                <w:b/>
                <w:bCs/>
                <w:szCs w:val="20"/>
              </w:rPr>
            </w:pPr>
            <w:r w:rsidRPr="0074229F">
              <w:rPr>
                <w:rFonts w:ascii="Times New Roman" w:hAnsi="Times New Roman"/>
                <w:b/>
                <w:bCs/>
                <w:szCs w:val="20"/>
              </w:rPr>
              <w:t>Fund </w:t>
            </w:r>
          </w:p>
        </w:tc>
        <w:tc>
          <w:tcPr>
            <w:tcW w:w="385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tcMar>
              <w:top w:w="0" w:type="dxa"/>
              <w:left w:w="108" w:type="dxa"/>
              <w:bottom w:w="0" w:type="dxa"/>
              <w:right w:w="108" w:type="dxa"/>
            </w:tcMar>
            <w:vAlign w:val="bottom"/>
            <w:hideMark/>
          </w:tcPr>
          <w:p w14:paraId="15AF8AAA" w14:textId="77777777" w:rsidR="006A2C1C" w:rsidRPr="0074229F" w:rsidRDefault="006A2C1C" w:rsidP="0074229F">
            <w:pPr>
              <w:jc w:val="center"/>
              <w:rPr>
                <w:rFonts w:ascii="Times New Roman" w:hAnsi="Times New Roman"/>
                <w:b/>
                <w:bCs/>
                <w:szCs w:val="20"/>
              </w:rPr>
            </w:pPr>
            <w:r w:rsidRPr="0074229F">
              <w:rPr>
                <w:rFonts w:ascii="Times New Roman" w:hAnsi="Times New Roman"/>
                <w:b/>
                <w:bCs/>
                <w:szCs w:val="20"/>
              </w:rPr>
              <w:t>Original Source  </w:t>
            </w:r>
          </w:p>
        </w:tc>
        <w:tc>
          <w:tcPr>
            <w:tcW w:w="1773"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tcMar>
              <w:top w:w="0" w:type="dxa"/>
              <w:left w:w="108" w:type="dxa"/>
              <w:bottom w:w="0" w:type="dxa"/>
              <w:right w:w="108" w:type="dxa"/>
            </w:tcMar>
            <w:vAlign w:val="bottom"/>
            <w:hideMark/>
          </w:tcPr>
          <w:p w14:paraId="0A675455" w14:textId="77777777" w:rsidR="006A2C1C" w:rsidRPr="0074229F" w:rsidRDefault="006A2C1C" w:rsidP="0074229F">
            <w:pPr>
              <w:jc w:val="center"/>
              <w:rPr>
                <w:rFonts w:ascii="Times New Roman" w:hAnsi="Times New Roman"/>
                <w:b/>
                <w:bCs/>
                <w:szCs w:val="20"/>
              </w:rPr>
            </w:pPr>
            <w:r w:rsidRPr="0074229F">
              <w:rPr>
                <w:rFonts w:ascii="Times New Roman" w:hAnsi="Times New Roman"/>
                <w:b/>
                <w:bCs/>
                <w:szCs w:val="20"/>
              </w:rPr>
              <w:t>2011</w:t>
            </w:r>
          </w:p>
        </w:tc>
      </w:tr>
      <w:tr w:rsidR="006A2C1C" w:rsidRPr="0074229F" w14:paraId="2F222531" w14:textId="77777777" w:rsidTr="009E400D">
        <w:trPr>
          <w:trHeight w:val="255"/>
          <w:jc w:val="center"/>
        </w:trPr>
        <w:tc>
          <w:tcPr>
            <w:tcW w:w="41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5AE92F8C" w14:textId="77777777" w:rsidR="006A2C1C" w:rsidRPr="0074229F" w:rsidRDefault="006A2C1C" w:rsidP="0074229F">
            <w:pPr>
              <w:rPr>
                <w:rFonts w:ascii="Times New Roman" w:hAnsi="Times New Roman"/>
                <w:szCs w:val="20"/>
              </w:rPr>
            </w:pPr>
            <w:r w:rsidRPr="0074229F">
              <w:rPr>
                <w:rFonts w:ascii="Times New Roman" w:hAnsi="Times New Roman"/>
                <w:b/>
                <w:bCs/>
                <w:szCs w:val="20"/>
              </w:rPr>
              <w:t>Landfill Post-Close - City 6310.03</w:t>
            </w:r>
          </w:p>
        </w:tc>
        <w:tc>
          <w:tcPr>
            <w:tcW w:w="3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3ED1F58F" w14:textId="77777777" w:rsidR="006A2C1C" w:rsidRPr="0074229F" w:rsidRDefault="006A2C1C" w:rsidP="0074229F">
            <w:pPr>
              <w:jc w:val="center"/>
              <w:rPr>
                <w:rFonts w:ascii="Times New Roman" w:hAnsi="Times New Roman"/>
                <w:szCs w:val="20"/>
              </w:rPr>
            </w:pPr>
            <w:r w:rsidRPr="0074229F">
              <w:rPr>
                <w:rFonts w:ascii="Times New Roman" w:hAnsi="Times New Roman"/>
                <w:szCs w:val="20"/>
              </w:rPr>
              <w:t>City</w:t>
            </w:r>
          </w:p>
        </w:tc>
        <w:tc>
          <w:tcPr>
            <w:tcW w:w="17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17C657C7" w14:textId="77777777" w:rsidR="006A2C1C" w:rsidRPr="0074229F" w:rsidRDefault="006A2C1C" w:rsidP="0074229F">
            <w:pPr>
              <w:rPr>
                <w:rFonts w:ascii="Times New Roman" w:hAnsi="Times New Roman"/>
                <w:szCs w:val="20"/>
              </w:rPr>
            </w:pPr>
            <w:r w:rsidRPr="0074229F">
              <w:rPr>
                <w:rFonts w:ascii="Times New Roman" w:hAnsi="Times New Roman"/>
                <w:szCs w:val="20"/>
              </w:rPr>
              <w:t xml:space="preserve">$         1,763,658 </w:t>
            </w:r>
          </w:p>
        </w:tc>
      </w:tr>
      <w:tr w:rsidR="006A2C1C" w:rsidRPr="0074229F" w14:paraId="5091F54D" w14:textId="77777777" w:rsidTr="009E400D">
        <w:trPr>
          <w:trHeight w:val="255"/>
          <w:jc w:val="center"/>
        </w:trPr>
        <w:tc>
          <w:tcPr>
            <w:tcW w:w="41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4BF98F9C" w14:textId="77777777" w:rsidR="006A2C1C" w:rsidRPr="0074229F" w:rsidRDefault="006A2C1C" w:rsidP="0074229F">
            <w:pPr>
              <w:rPr>
                <w:rFonts w:ascii="Times New Roman" w:hAnsi="Times New Roman"/>
                <w:szCs w:val="20"/>
              </w:rPr>
            </w:pPr>
            <w:r w:rsidRPr="0074229F">
              <w:rPr>
                <w:rFonts w:ascii="Times New Roman" w:hAnsi="Times New Roman"/>
                <w:b/>
                <w:bCs/>
                <w:szCs w:val="20"/>
              </w:rPr>
              <w:t>Landfill Insurance - City 6310.04</w:t>
            </w:r>
          </w:p>
        </w:tc>
        <w:tc>
          <w:tcPr>
            <w:tcW w:w="3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40072019" w14:textId="77777777" w:rsidR="006A2C1C" w:rsidRPr="0074229F" w:rsidRDefault="006A2C1C" w:rsidP="0074229F">
            <w:pPr>
              <w:jc w:val="center"/>
              <w:rPr>
                <w:rFonts w:ascii="Times New Roman" w:hAnsi="Times New Roman"/>
                <w:szCs w:val="20"/>
              </w:rPr>
            </w:pPr>
            <w:r w:rsidRPr="0074229F">
              <w:rPr>
                <w:rFonts w:ascii="Times New Roman" w:hAnsi="Times New Roman"/>
                <w:szCs w:val="20"/>
              </w:rPr>
              <w:t>City</w:t>
            </w:r>
          </w:p>
        </w:tc>
        <w:tc>
          <w:tcPr>
            <w:tcW w:w="17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6C674369" w14:textId="77777777" w:rsidR="006A2C1C" w:rsidRPr="0074229F" w:rsidRDefault="006A2C1C" w:rsidP="0074229F">
            <w:pPr>
              <w:rPr>
                <w:rFonts w:ascii="Times New Roman" w:hAnsi="Times New Roman"/>
                <w:szCs w:val="20"/>
              </w:rPr>
            </w:pPr>
            <w:r w:rsidRPr="0074229F">
              <w:rPr>
                <w:rFonts w:ascii="Times New Roman" w:hAnsi="Times New Roman"/>
                <w:szCs w:val="20"/>
              </w:rPr>
              <w:t xml:space="preserve">$         1,419,636 </w:t>
            </w:r>
          </w:p>
        </w:tc>
      </w:tr>
      <w:tr w:rsidR="006A2C1C" w:rsidRPr="0074229F" w14:paraId="41A62ECC" w14:textId="77777777" w:rsidTr="009E400D">
        <w:trPr>
          <w:trHeight w:val="255"/>
          <w:jc w:val="center"/>
        </w:trPr>
        <w:tc>
          <w:tcPr>
            <w:tcW w:w="41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0A7C6304" w14:textId="77777777" w:rsidR="006A2C1C" w:rsidRPr="0074229F" w:rsidRDefault="006A2C1C" w:rsidP="0074229F">
            <w:pPr>
              <w:rPr>
                <w:rFonts w:ascii="Times New Roman" w:hAnsi="Times New Roman"/>
                <w:szCs w:val="20"/>
              </w:rPr>
            </w:pPr>
            <w:r w:rsidRPr="0074229F">
              <w:rPr>
                <w:rFonts w:ascii="Times New Roman" w:hAnsi="Times New Roman"/>
                <w:b/>
                <w:bCs/>
                <w:szCs w:val="20"/>
              </w:rPr>
              <w:t>Landfill Post-Close - County 6310.13</w:t>
            </w:r>
          </w:p>
        </w:tc>
        <w:tc>
          <w:tcPr>
            <w:tcW w:w="3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60EF5456" w14:textId="77777777" w:rsidR="006A2C1C" w:rsidRPr="0074229F" w:rsidRDefault="006A2C1C" w:rsidP="0074229F">
            <w:pPr>
              <w:jc w:val="center"/>
              <w:rPr>
                <w:rFonts w:ascii="Times New Roman" w:hAnsi="Times New Roman"/>
                <w:szCs w:val="20"/>
              </w:rPr>
            </w:pPr>
            <w:r w:rsidRPr="0074229F">
              <w:rPr>
                <w:rFonts w:ascii="Times New Roman" w:hAnsi="Times New Roman"/>
                <w:szCs w:val="20"/>
              </w:rPr>
              <w:t>UTC Regulated Customers</w:t>
            </w:r>
          </w:p>
        </w:tc>
        <w:tc>
          <w:tcPr>
            <w:tcW w:w="17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588356CF" w14:textId="77777777" w:rsidR="006A2C1C" w:rsidRPr="0074229F" w:rsidRDefault="006A2C1C" w:rsidP="0074229F">
            <w:pPr>
              <w:rPr>
                <w:rFonts w:ascii="Times New Roman" w:hAnsi="Times New Roman"/>
                <w:szCs w:val="20"/>
              </w:rPr>
            </w:pPr>
            <w:r w:rsidRPr="0074229F">
              <w:rPr>
                <w:rFonts w:ascii="Times New Roman" w:hAnsi="Times New Roman"/>
                <w:szCs w:val="20"/>
              </w:rPr>
              <w:t xml:space="preserve">$         3,960,562 </w:t>
            </w:r>
          </w:p>
        </w:tc>
      </w:tr>
      <w:tr w:rsidR="006A2C1C" w:rsidRPr="0074229F" w14:paraId="47C86C63" w14:textId="77777777" w:rsidTr="009E400D">
        <w:trPr>
          <w:trHeight w:val="255"/>
          <w:jc w:val="center"/>
        </w:trPr>
        <w:tc>
          <w:tcPr>
            <w:tcW w:w="41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1F5E1BA8" w14:textId="77777777" w:rsidR="006A2C1C" w:rsidRPr="0074229F" w:rsidRDefault="006A2C1C" w:rsidP="0074229F">
            <w:pPr>
              <w:rPr>
                <w:rFonts w:ascii="Times New Roman" w:hAnsi="Times New Roman"/>
                <w:szCs w:val="20"/>
              </w:rPr>
            </w:pPr>
            <w:r w:rsidRPr="0074229F">
              <w:rPr>
                <w:rFonts w:ascii="Times New Roman" w:hAnsi="Times New Roman"/>
                <w:b/>
                <w:bCs/>
                <w:szCs w:val="20"/>
                <w:highlight w:val="green"/>
              </w:rPr>
              <w:t>Landfill Insurance - County 6310.14</w:t>
            </w:r>
          </w:p>
        </w:tc>
        <w:tc>
          <w:tcPr>
            <w:tcW w:w="3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7857C3CF" w14:textId="77777777" w:rsidR="006A2C1C" w:rsidRPr="0074229F" w:rsidRDefault="006A2C1C" w:rsidP="0074229F">
            <w:pPr>
              <w:jc w:val="center"/>
              <w:rPr>
                <w:rFonts w:ascii="Times New Roman" w:hAnsi="Times New Roman"/>
                <w:szCs w:val="20"/>
              </w:rPr>
            </w:pPr>
            <w:r w:rsidRPr="0074229F">
              <w:rPr>
                <w:rFonts w:ascii="Times New Roman" w:hAnsi="Times New Roman"/>
                <w:szCs w:val="20"/>
              </w:rPr>
              <w:t>UTC Regulated Customers</w:t>
            </w:r>
          </w:p>
        </w:tc>
        <w:tc>
          <w:tcPr>
            <w:tcW w:w="17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59FFDCDA" w14:textId="77777777" w:rsidR="006A2C1C" w:rsidRPr="0074229F" w:rsidRDefault="006A2C1C" w:rsidP="0074229F">
            <w:pPr>
              <w:rPr>
                <w:rFonts w:ascii="Times New Roman" w:hAnsi="Times New Roman"/>
                <w:szCs w:val="20"/>
              </w:rPr>
            </w:pPr>
            <w:r w:rsidRPr="0074229F">
              <w:rPr>
                <w:rFonts w:ascii="Times New Roman" w:hAnsi="Times New Roman"/>
                <w:szCs w:val="20"/>
                <w:highlight w:val="green"/>
              </w:rPr>
              <w:t>$         4,436,593</w:t>
            </w:r>
            <w:r w:rsidRPr="0074229F">
              <w:rPr>
                <w:rFonts w:ascii="Times New Roman" w:hAnsi="Times New Roman"/>
                <w:szCs w:val="20"/>
              </w:rPr>
              <w:t xml:space="preserve"> </w:t>
            </w:r>
          </w:p>
        </w:tc>
      </w:tr>
      <w:tr w:rsidR="006A2C1C" w:rsidRPr="0074229F" w14:paraId="4321ED1D" w14:textId="77777777" w:rsidTr="009E400D">
        <w:trPr>
          <w:trHeight w:val="300"/>
          <w:jc w:val="center"/>
        </w:trPr>
        <w:tc>
          <w:tcPr>
            <w:tcW w:w="41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6EF2FFF5" w14:textId="77777777" w:rsidR="006A2C1C" w:rsidRPr="0074229F" w:rsidRDefault="006A2C1C" w:rsidP="0074229F">
            <w:pPr>
              <w:rPr>
                <w:rFonts w:ascii="Times New Roman" w:hAnsi="Times New Roman"/>
                <w:szCs w:val="20"/>
              </w:rPr>
            </w:pPr>
            <w:r w:rsidRPr="0074229F">
              <w:rPr>
                <w:rFonts w:ascii="Times New Roman" w:hAnsi="Times New Roman"/>
                <w:b/>
                <w:bCs/>
                <w:szCs w:val="20"/>
                <w:highlight w:val="yellow"/>
              </w:rPr>
              <w:t>Landfill Post Close - LT Maintenance</w:t>
            </w:r>
          </w:p>
        </w:tc>
        <w:tc>
          <w:tcPr>
            <w:tcW w:w="3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7B524CB7" w14:textId="77777777" w:rsidR="006A2C1C" w:rsidRPr="0074229F" w:rsidRDefault="006A2C1C" w:rsidP="0074229F">
            <w:pPr>
              <w:jc w:val="center"/>
              <w:rPr>
                <w:rFonts w:ascii="Times New Roman" w:hAnsi="Times New Roman"/>
                <w:szCs w:val="20"/>
              </w:rPr>
            </w:pPr>
            <w:r w:rsidRPr="0074229F">
              <w:rPr>
                <w:rFonts w:ascii="Times New Roman" w:hAnsi="Times New Roman"/>
                <w:szCs w:val="20"/>
              </w:rPr>
              <w:t>County Surcharge</w:t>
            </w:r>
          </w:p>
        </w:tc>
        <w:tc>
          <w:tcPr>
            <w:tcW w:w="17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1F560C48" w14:textId="77777777" w:rsidR="006A2C1C" w:rsidRPr="0074229F" w:rsidRDefault="006A2C1C" w:rsidP="0074229F">
            <w:pPr>
              <w:rPr>
                <w:rFonts w:ascii="Times New Roman" w:hAnsi="Times New Roman"/>
                <w:szCs w:val="20"/>
                <w:highlight w:val="yellow"/>
                <w:u w:val="single"/>
              </w:rPr>
            </w:pPr>
            <w:r w:rsidRPr="0074229F">
              <w:rPr>
                <w:rFonts w:ascii="Times New Roman" w:hAnsi="Times New Roman"/>
                <w:szCs w:val="20"/>
                <w:highlight w:val="yellow"/>
                <w:u w:val="single"/>
              </w:rPr>
              <w:t xml:space="preserve">$         1,085,929 </w:t>
            </w:r>
          </w:p>
        </w:tc>
      </w:tr>
      <w:tr w:rsidR="006A2C1C" w:rsidRPr="0074229F" w14:paraId="7E21E5E4" w14:textId="77777777" w:rsidTr="009E400D">
        <w:trPr>
          <w:trHeight w:val="285"/>
          <w:jc w:val="center"/>
        </w:trPr>
        <w:tc>
          <w:tcPr>
            <w:tcW w:w="41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07924BE7" w14:textId="77777777" w:rsidR="006A2C1C" w:rsidRPr="0074229F" w:rsidRDefault="006A2C1C" w:rsidP="0074229F">
            <w:pPr>
              <w:rPr>
                <w:rFonts w:ascii="Times New Roman" w:hAnsi="Times New Roman"/>
                <w:szCs w:val="20"/>
              </w:rPr>
            </w:pPr>
            <w:r w:rsidRPr="0074229F">
              <w:rPr>
                <w:rFonts w:ascii="Times New Roman" w:hAnsi="Times New Roman"/>
                <w:b/>
                <w:bCs/>
                <w:szCs w:val="20"/>
              </w:rPr>
              <w:t>Investable Balance</w:t>
            </w:r>
            <w:r w:rsidRPr="0074229F">
              <w:rPr>
                <w:rFonts w:ascii="Times New Roman" w:hAnsi="Times New Roman"/>
                <w:szCs w:val="20"/>
              </w:rPr>
              <w:t> </w:t>
            </w:r>
          </w:p>
        </w:tc>
        <w:tc>
          <w:tcPr>
            <w:tcW w:w="3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127692A5" w14:textId="77777777" w:rsidR="006A2C1C" w:rsidRPr="0074229F" w:rsidRDefault="006A2C1C" w:rsidP="0074229F">
            <w:pPr>
              <w:rPr>
                <w:rFonts w:ascii="Times New Roman" w:hAnsi="Times New Roman"/>
                <w:szCs w:val="20"/>
              </w:rPr>
            </w:pPr>
            <w:r w:rsidRPr="0074229F">
              <w:rPr>
                <w:rFonts w:ascii="Times New Roman" w:hAnsi="Times New Roman"/>
                <w:szCs w:val="20"/>
              </w:rPr>
              <w:t>  </w:t>
            </w:r>
          </w:p>
        </w:tc>
        <w:tc>
          <w:tcPr>
            <w:tcW w:w="1773"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69E4807B" w14:textId="77777777" w:rsidR="006A2C1C" w:rsidRPr="0074229F" w:rsidRDefault="006A2C1C" w:rsidP="0074229F">
            <w:pPr>
              <w:rPr>
                <w:rFonts w:ascii="Times New Roman" w:hAnsi="Times New Roman"/>
                <w:b/>
                <w:bCs/>
                <w:szCs w:val="20"/>
              </w:rPr>
            </w:pPr>
            <w:r w:rsidRPr="0074229F">
              <w:rPr>
                <w:rFonts w:ascii="Times New Roman" w:hAnsi="Times New Roman"/>
                <w:b/>
                <w:bCs/>
                <w:szCs w:val="20"/>
              </w:rPr>
              <w:t xml:space="preserve">$        12,668,388 </w:t>
            </w:r>
          </w:p>
        </w:tc>
      </w:tr>
    </w:tbl>
    <w:p w14:paraId="31D461B7" w14:textId="77777777" w:rsidR="00B40B95" w:rsidRDefault="00B40B95" w:rsidP="0074229F">
      <w:pPr>
        <w:spacing w:before="120" w:after="120"/>
        <w:rPr>
          <w:rFonts w:ascii="Times New Roman" w:hAnsi="Times New Roman"/>
          <w:sz w:val="24"/>
        </w:rPr>
      </w:pPr>
    </w:p>
    <w:p w14:paraId="757D5BA7" w14:textId="4FC99A5E" w:rsidR="006A2C1C" w:rsidRPr="0074229F" w:rsidRDefault="006A2C1C" w:rsidP="0074229F">
      <w:pPr>
        <w:spacing w:before="120" w:after="120"/>
        <w:rPr>
          <w:rFonts w:ascii="Times New Roman" w:hAnsi="Times New Roman"/>
          <w:sz w:val="24"/>
        </w:rPr>
      </w:pPr>
      <w:r w:rsidRPr="0074229F">
        <w:rPr>
          <w:rFonts w:ascii="Times New Roman" w:hAnsi="Times New Roman"/>
          <w:sz w:val="24"/>
        </w:rPr>
        <w:lastRenderedPageBreak/>
        <w:t xml:space="preserve">According to the </w:t>
      </w:r>
      <w:r w:rsidR="005702B4">
        <w:rPr>
          <w:rFonts w:ascii="Times New Roman" w:hAnsi="Times New Roman"/>
          <w:sz w:val="24"/>
        </w:rPr>
        <w:t>c</w:t>
      </w:r>
      <w:r w:rsidRPr="0074229F">
        <w:rPr>
          <w:rFonts w:ascii="Times New Roman" w:hAnsi="Times New Roman"/>
          <w:sz w:val="24"/>
        </w:rPr>
        <w:t xml:space="preserve">ounty, the CRC Maintenance Sub-Fund (highlighted in yellow) is not subject to the requirements set forth in the Settlement Agreement or any subsequent amendments approved by the </w:t>
      </w:r>
      <w:r w:rsidR="005702B4">
        <w:rPr>
          <w:rFonts w:ascii="Times New Roman" w:hAnsi="Times New Roman"/>
          <w:sz w:val="24"/>
        </w:rPr>
        <w:t>c</w:t>
      </w:r>
      <w:r w:rsidRPr="0074229F">
        <w:rPr>
          <w:rFonts w:ascii="Times New Roman" w:hAnsi="Times New Roman"/>
          <w:sz w:val="24"/>
        </w:rPr>
        <w:t xml:space="preserve">ommission, because the </w:t>
      </w:r>
      <w:r w:rsidR="005702B4">
        <w:rPr>
          <w:rFonts w:ascii="Times New Roman" w:hAnsi="Times New Roman"/>
          <w:sz w:val="24"/>
        </w:rPr>
        <w:t>c</w:t>
      </w:r>
      <w:r w:rsidRPr="0074229F">
        <w:rPr>
          <w:rFonts w:ascii="Times New Roman" w:hAnsi="Times New Roman"/>
          <w:sz w:val="24"/>
        </w:rPr>
        <w:t xml:space="preserve">ounty collected these monies pursuant to the </w:t>
      </w:r>
      <w:r w:rsidR="005702B4">
        <w:rPr>
          <w:rFonts w:ascii="Times New Roman" w:hAnsi="Times New Roman"/>
          <w:sz w:val="24"/>
        </w:rPr>
        <w:t>c</w:t>
      </w:r>
      <w:r w:rsidRPr="0074229F">
        <w:rPr>
          <w:rFonts w:ascii="Times New Roman" w:hAnsi="Times New Roman"/>
          <w:sz w:val="24"/>
        </w:rPr>
        <w:t>ounty’s rate setting authority under RCW 36.58 for the purposes of funding a system to pump and treat contaminated groundwater at the site.</w:t>
      </w:r>
      <w:r w:rsidRPr="005702B4">
        <w:rPr>
          <w:rStyle w:val="FootnoteReference"/>
          <w:rFonts w:ascii="Times New Roman" w:hAnsi="Times New Roman"/>
          <w:sz w:val="24"/>
          <w:vertAlign w:val="superscript"/>
        </w:rPr>
        <w:footnoteReference w:id="4"/>
      </w:r>
      <w:r w:rsidR="006127A5">
        <w:rPr>
          <w:rFonts w:ascii="Times New Roman" w:hAnsi="Times New Roman"/>
          <w:sz w:val="24"/>
          <w:vertAlign w:val="superscript"/>
        </w:rPr>
        <w:t xml:space="preserve"> </w:t>
      </w:r>
      <w:r w:rsidR="006127A5">
        <w:rPr>
          <w:rFonts w:ascii="Times New Roman" w:hAnsi="Times New Roman"/>
          <w:sz w:val="24"/>
        </w:rPr>
        <w:t xml:space="preserve"> </w:t>
      </w:r>
      <w:r w:rsidRPr="0074229F">
        <w:rPr>
          <w:rFonts w:ascii="Times New Roman" w:hAnsi="Times New Roman"/>
          <w:sz w:val="24"/>
        </w:rPr>
        <w:t xml:space="preserve">This system was deemed unnecessary by Ecology many years ago, thus these funds have remained unspent in the FARF. </w:t>
      </w:r>
    </w:p>
    <w:p w14:paraId="6532115F" w14:textId="38BE9224" w:rsidR="006A2C1C" w:rsidRPr="0074229F" w:rsidRDefault="006A2C1C" w:rsidP="0074229F">
      <w:pPr>
        <w:spacing w:before="120" w:after="120"/>
        <w:rPr>
          <w:rFonts w:ascii="Times New Roman" w:hAnsi="Times New Roman"/>
          <w:sz w:val="24"/>
        </w:rPr>
      </w:pPr>
      <w:r w:rsidRPr="0074229F">
        <w:rPr>
          <w:rFonts w:ascii="Times New Roman" w:hAnsi="Times New Roman"/>
          <w:sz w:val="24"/>
        </w:rPr>
        <w:t xml:space="preserve">The </w:t>
      </w:r>
      <w:r w:rsidR="006127A5">
        <w:rPr>
          <w:rFonts w:ascii="Times New Roman" w:hAnsi="Times New Roman"/>
          <w:sz w:val="24"/>
        </w:rPr>
        <w:t>c</w:t>
      </w:r>
      <w:r w:rsidRPr="0074229F">
        <w:rPr>
          <w:rFonts w:ascii="Times New Roman" w:hAnsi="Times New Roman"/>
          <w:sz w:val="24"/>
        </w:rPr>
        <w:t xml:space="preserve">ounty’s position is that using $140,000 from the County Liability Sub-Fund is appropriate because the </w:t>
      </w:r>
      <w:r w:rsidR="006127A5">
        <w:rPr>
          <w:rFonts w:ascii="Times New Roman" w:hAnsi="Times New Roman"/>
          <w:sz w:val="24"/>
        </w:rPr>
        <w:t>c</w:t>
      </w:r>
      <w:r w:rsidRPr="0074229F">
        <w:rPr>
          <w:rFonts w:ascii="Times New Roman" w:hAnsi="Times New Roman"/>
          <w:sz w:val="24"/>
        </w:rPr>
        <w:t xml:space="preserve">ounty addresses pollution liability issues by purchasing a $40,000,000 environmental pollution liability policy with a 10-year term. The </w:t>
      </w:r>
      <w:r w:rsidR="006127A5">
        <w:rPr>
          <w:rFonts w:ascii="Times New Roman" w:hAnsi="Times New Roman"/>
          <w:sz w:val="24"/>
        </w:rPr>
        <w:t>c</w:t>
      </w:r>
      <w:r w:rsidRPr="0074229F">
        <w:rPr>
          <w:rFonts w:ascii="Times New Roman" w:hAnsi="Times New Roman"/>
          <w:sz w:val="24"/>
        </w:rPr>
        <w:t xml:space="preserve">ounty states that the release of these funds for the purchase of the site still leaves approximately $11,000,000 in the FARF for post-closure care and liability, which the </w:t>
      </w:r>
      <w:r w:rsidR="006127A5">
        <w:rPr>
          <w:rFonts w:ascii="Times New Roman" w:hAnsi="Times New Roman"/>
          <w:sz w:val="24"/>
        </w:rPr>
        <w:t>c</w:t>
      </w:r>
      <w:r w:rsidRPr="0074229F">
        <w:rPr>
          <w:rFonts w:ascii="Times New Roman" w:hAnsi="Times New Roman"/>
          <w:sz w:val="24"/>
        </w:rPr>
        <w:t xml:space="preserve">ounty projects will provide funding at least to the year 2025. </w:t>
      </w:r>
    </w:p>
    <w:p w14:paraId="4CD16585" w14:textId="67DEFAC4" w:rsidR="006A2C1C" w:rsidRPr="0074229F" w:rsidRDefault="006A2C1C" w:rsidP="0074229F">
      <w:pPr>
        <w:spacing w:before="120" w:after="120"/>
        <w:rPr>
          <w:rFonts w:ascii="Times New Roman" w:hAnsi="Times New Roman"/>
          <w:sz w:val="24"/>
        </w:rPr>
      </w:pPr>
      <w:r w:rsidRPr="0074229F">
        <w:rPr>
          <w:rFonts w:ascii="Times New Roman" w:hAnsi="Times New Roman"/>
          <w:sz w:val="24"/>
        </w:rPr>
        <w:t xml:space="preserve">In the unlikely event there are insufficient funds in the FARF to accomplish required remediation, Section 9 of the Second Amendment, entitled “In Event of Insufficient Funds”; states that the </w:t>
      </w:r>
      <w:r w:rsidR="006127A5">
        <w:rPr>
          <w:rFonts w:ascii="Times New Roman" w:hAnsi="Times New Roman"/>
          <w:sz w:val="24"/>
        </w:rPr>
        <w:t>c</w:t>
      </w:r>
      <w:r w:rsidRPr="0074229F">
        <w:rPr>
          <w:rFonts w:ascii="Times New Roman" w:hAnsi="Times New Roman"/>
          <w:sz w:val="24"/>
        </w:rPr>
        <w:t xml:space="preserve">ounty will use its rate authority under RCW 36.58, presumably to increase tipping fees at </w:t>
      </w:r>
      <w:r w:rsidR="006127A5">
        <w:rPr>
          <w:rFonts w:ascii="Times New Roman" w:hAnsi="Times New Roman"/>
          <w:sz w:val="24"/>
        </w:rPr>
        <w:t>c</w:t>
      </w:r>
      <w:r w:rsidRPr="0074229F">
        <w:rPr>
          <w:rFonts w:ascii="Times New Roman" w:hAnsi="Times New Roman"/>
          <w:sz w:val="24"/>
        </w:rPr>
        <w:t xml:space="preserve">ounty transfer stations. </w:t>
      </w:r>
    </w:p>
    <w:p w14:paraId="18306A66" w14:textId="77777777" w:rsidR="006A2C1C" w:rsidRPr="0074229F" w:rsidRDefault="006A2C1C" w:rsidP="0074229F">
      <w:pPr>
        <w:spacing w:before="120" w:after="120"/>
        <w:rPr>
          <w:rFonts w:ascii="Times New Roman" w:hAnsi="Times New Roman"/>
          <w:sz w:val="24"/>
        </w:rPr>
      </w:pPr>
      <w:r w:rsidRPr="0074229F">
        <w:rPr>
          <w:rFonts w:ascii="Times New Roman" w:hAnsi="Times New Roman"/>
          <w:sz w:val="24"/>
        </w:rPr>
        <w:t>In the event there are any “excess funds” in the FARF at the end of the required remediation, the proposed Second Amendment, Section 10 (page 10) states it is “not practical” to reduce tipping fees, and then sets forth four uses of excess funds, none of which include ratepayer credits:</w:t>
      </w:r>
    </w:p>
    <w:p w14:paraId="146E7EAF" w14:textId="77777777" w:rsidR="006A2C1C" w:rsidRPr="0074229F" w:rsidRDefault="006A2C1C" w:rsidP="0074229F">
      <w:pPr>
        <w:pStyle w:val="ListParagraph"/>
        <w:widowControl/>
        <w:numPr>
          <w:ilvl w:val="0"/>
          <w:numId w:val="11"/>
        </w:numPr>
        <w:autoSpaceDE/>
        <w:autoSpaceDN/>
        <w:adjustRightInd/>
        <w:spacing w:before="120" w:after="120"/>
        <w:rPr>
          <w:sz w:val="24"/>
        </w:rPr>
      </w:pPr>
      <w:r w:rsidRPr="0074229F">
        <w:rPr>
          <w:sz w:val="24"/>
        </w:rPr>
        <w:t>Purchase of the landfill site from LBLRC;</w:t>
      </w:r>
    </w:p>
    <w:p w14:paraId="6DFEB8D1" w14:textId="77777777" w:rsidR="006A2C1C" w:rsidRPr="0074229F" w:rsidRDefault="006A2C1C" w:rsidP="0074229F">
      <w:pPr>
        <w:pStyle w:val="ListParagraph"/>
        <w:widowControl/>
        <w:numPr>
          <w:ilvl w:val="0"/>
          <w:numId w:val="11"/>
        </w:numPr>
        <w:autoSpaceDE/>
        <w:autoSpaceDN/>
        <w:adjustRightInd/>
        <w:spacing w:before="120" w:after="120"/>
        <w:rPr>
          <w:sz w:val="24"/>
        </w:rPr>
      </w:pPr>
      <w:r w:rsidRPr="0074229F">
        <w:rPr>
          <w:sz w:val="24"/>
        </w:rPr>
        <w:t xml:space="preserve">Master planning and redevelopment of the landfill site for a public use; </w:t>
      </w:r>
    </w:p>
    <w:p w14:paraId="6005216F" w14:textId="74D224E0" w:rsidR="006A2C1C" w:rsidRPr="0074229F" w:rsidRDefault="006A2C1C" w:rsidP="0074229F">
      <w:pPr>
        <w:pStyle w:val="ListParagraph"/>
        <w:widowControl/>
        <w:numPr>
          <w:ilvl w:val="0"/>
          <w:numId w:val="11"/>
        </w:numPr>
        <w:autoSpaceDE/>
        <w:autoSpaceDN/>
        <w:adjustRightInd/>
        <w:spacing w:before="120" w:after="120"/>
        <w:rPr>
          <w:sz w:val="24"/>
        </w:rPr>
      </w:pPr>
      <w:r w:rsidRPr="0074229F">
        <w:rPr>
          <w:sz w:val="24"/>
        </w:rPr>
        <w:t xml:space="preserve">Off-setting future capital costs associated with the regional </w:t>
      </w:r>
      <w:r w:rsidR="006127A5">
        <w:rPr>
          <w:sz w:val="24"/>
        </w:rPr>
        <w:t>c</w:t>
      </w:r>
      <w:r w:rsidRPr="0074229F">
        <w:rPr>
          <w:sz w:val="24"/>
        </w:rPr>
        <w:t xml:space="preserve">ounty transfer system; and </w:t>
      </w:r>
    </w:p>
    <w:p w14:paraId="3FE094BD" w14:textId="77777777" w:rsidR="006A2C1C" w:rsidRPr="0074229F" w:rsidRDefault="006A2C1C" w:rsidP="0074229F">
      <w:pPr>
        <w:pStyle w:val="ListParagraph"/>
        <w:widowControl/>
        <w:numPr>
          <w:ilvl w:val="0"/>
          <w:numId w:val="11"/>
        </w:numPr>
        <w:autoSpaceDE/>
        <w:autoSpaceDN/>
        <w:adjustRightInd/>
        <w:spacing w:before="120" w:after="120"/>
        <w:rPr>
          <w:sz w:val="24"/>
        </w:rPr>
      </w:pPr>
      <w:r w:rsidRPr="0074229F">
        <w:rPr>
          <w:sz w:val="24"/>
        </w:rPr>
        <w:t>Support implementation of County Comprehensive Solid Waste Management Plan.</w:t>
      </w:r>
    </w:p>
    <w:p w14:paraId="25B6E257" w14:textId="1E808002" w:rsidR="006A2C1C" w:rsidRPr="0074229F" w:rsidRDefault="006A2C1C" w:rsidP="0074229F">
      <w:pPr>
        <w:spacing w:before="120" w:after="120"/>
        <w:rPr>
          <w:rFonts w:ascii="Times New Roman" w:hAnsi="Times New Roman"/>
          <w:sz w:val="24"/>
        </w:rPr>
      </w:pPr>
      <w:r w:rsidRPr="0074229F">
        <w:rPr>
          <w:rFonts w:ascii="Times New Roman" w:hAnsi="Times New Roman"/>
          <w:sz w:val="24"/>
        </w:rPr>
        <w:t xml:space="preserve">In a </w:t>
      </w:r>
      <w:r w:rsidR="006127A5">
        <w:rPr>
          <w:rFonts w:ascii="Times New Roman" w:hAnsi="Times New Roman"/>
          <w:sz w:val="24"/>
        </w:rPr>
        <w:t>c</w:t>
      </w:r>
      <w:r w:rsidRPr="0074229F">
        <w:rPr>
          <w:rFonts w:ascii="Times New Roman" w:hAnsi="Times New Roman"/>
          <w:sz w:val="24"/>
        </w:rPr>
        <w:t>ounty/</w:t>
      </w:r>
      <w:r w:rsidR="006127A5">
        <w:rPr>
          <w:rFonts w:ascii="Times New Roman" w:hAnsi="Times New Roman"/>
          <w:sz w:val="24"/>
        </w:rPr>
        <w:t>c</w:t>
      </w:r>
      <w:r w:rsidRPr="0074229F">
        <w:rPr>
          <w:rFonts w:ascii="Times New Roman" w:hAnsi="Times New Roman"/>
          <w:sz w:val="24"/>
        </w:rPr>
        <w:t xml:space="preserve">ity-prepared “Summary of Proposed Amendments” (page 2, Item 16), the </w:t>
      </w:r>
      <w:r w:rsidR="006127A5">
        <w:rPr>
          <w:rFonts w:ascii="Times New Roman" w:hAnsi="Times New Roman"/>
          <w:sz w:val="24"/>
        </w:rPr>
        <w:t>c</w:t>
      </w:r>
      <w:r w:rsidRPr="0074229F">
        <w:rPr>
          <w:rFonts w:ascii="Times New Roman" w:hAnsi="Times New Roman"/>
          <w:sz w:val="24"/>
        </w:rPr>
        <w:t xml:space="preserve">ounty and </w:t>
      </w:r>
      <w:r w:rsidR="006127A5">
        <w:rPr>
          <w:rFonts w:ascii="Times New Roman" w:hAnsi="Times New Roman"/>
          <w:sz w:val="24"/>
        </w:rPr>
        <w:t>c</w:t>
      </w:r>
      <w:r w:rsidRPr="0074229F">
        <w:rPr>
          <w:rFonts w:ascii="Times New Roman" w:hAnsi="Times New Roman"/>
          <w:sz w:val="24"/>
        </w:rPr>
        <w:t>ity acknowledge that the Second Amendment would eliminate the 70/30 split use of excess funds created in Section 9 of the First Amendment. They explain:</w:t>
      </w:r>
      <w:r w:rsidR="00756EFE">
        <w:rPr>
          <w:rFonts w:ascii="Times New Roman" w:hAnsi="Times New Roman"/>
          <w:sz w:val="24"/>
        </w:rPr>
        <w:t xml:space="preserve"> </w:t>
      </w:r>
      <w:r w:rsidR="006127A5">
        <w:rPr>
          <w:rFonts w:ascii="Times New Roman" w:hAnsi="Times New Roman"/>
          <w:sz w:val="24"/>
        </w:rPr>
        <w:t xml:space="preserve"> </w:t>
      </w:r>
      <w:r w:rsidRPr="0074229F">
        <w:rPr>
          <w:rFonts w:ascii="Times New Roman" w:hAnsi="Times New Roman"/>
          <w:sz w:val="24"/>
        </w:rPr>
        <w:t xml:space="preserve">“Given the time passed and changes to the solid waste system, the </w:t>
      </w:r>
      <w:r w:rsidR="006127A5">
        <w:rPr>
          <w:rFonts w:ascii="Times New Roman" w:hAnsi="Times New Roman"/>
          <w:sz w:val="24"/>
        </w:rPr>
        <w:t>c</w:t>
      </w:r>
      <w:r w:rsidRPr="0074229F">
        <w:rPr>
          <w:rFonts w:ascii="Times New Roman" w:hAnsi="Times New Roman"/>
          <w:sz w:val="24"/>
        </w:rPr>
        <w:t xml:space="preserve">ounty and </w:t>
      </w:r>
      <w:r w:rsidR="006127A5">
        <w:rPr>
          <w:rFonts w:ascii="Times New Roman" w:hAnsi="Times New Roman"/>
          <w:sz w:val="24"/>
        </w:rPr>
        <w:t>c</w:t>
      </w:r>
      <w:r w:rsidRPr="0074229F">
        <w:rPr>
          <w:rFonts w:ascii="Times New Roman" w:hAnsi="Times New Roman"/>
          <w:sz w:val="24"/>
        </w:rPr>
        <w:t>ity find the [Section 9 remedy under the First Amendment] is impractical to implement.” They go on to argue that the above-listed four proposed uses of the excess would benefit “all classes of ratepayers”.</w:t>
      </w:r>
      <w:r w:rsidRPr="006127A5">
        <w:rPr>
          <w:rStyle w:val="FootnoteReference"/>
          <w:rFonts w:ascii="Times New Roman" w:hAnsi="Times New Roman"/>
          <w:sz w:val="24"/>
          <w:vertAlign w:val="superscript"/>
        </w:rPr>
        <w:footnoteReference w:id="5"/>
      </w:r>
      <w:r w:rsidR="00756EFE">
        <w:rPr>
          <w:rFonts w:ascii="Times New Roman" w:hAnsi="Times New Roman"/>
          <w:sz w:val="24"/>
        </w:rPr>
        <w:t xml:space="preserve"> </w:t>
      </w:r>
      <w:r w:rsidR="00081309">
        <w:rPr>
          <w:rFonts w:ascii="Times New Roman" w:hAnsi="Times New Roman"/>
          <w:sz w:val="24"/>
        </w:rPr>
        <w:t>As an additional requirement regarding the use of excess funds, staff requested and the county included in Section 10 of the Second Amendment, a stipulation that the section s</w:t>
      </w:r>
      <w:r w:rsidR="00081309" w:rsidRPr="00081309">
        <w:rPr>
          <w:rFonts w:ascii="Times New Roman" w:hAnsi="Times New Roman"/>
          <w:sz w:val="24"/>
        </w:rPr>
        <w:t xml:space="preserve">hall not be modified or amended without prior notification and approval of the </w:t>
      </w:r>
      <w:r w:rsidR="00081309">
        <w:rPr>
          <w:rFonts w:ascii="Times New Roman" w:hAnsi="Times New Roman"/>
          <w:sz w:val="24"/>
        </w:rPr>
        <w:t>Commission</w:t>
      </w:r>
      <w:r w:rsidR="00081309" w:rsidRPr="00081309">
        <w:rPr>
          <w:rFonts w:ascii="Times New Roman" w:hAnsi="Times New Roman"/>
          <w:sz w:val="24"/>
        </w:rPr>
        <w:t>.</w:t>
      </w:r>
      <w:r w:rsidRPr="0074229F">
        <w:rPr>
          <w:rFonts w:ascii="Times New Roman" w:hAnsi="Times New Roman"/>
          <w:sz w:val="24"/>
        </w:rPr>
        <w:t xml:space="preserve">  </w:t>
      </w:r>
    </w:p>
    <w:p w14:paraId="7415E89D" w14:textId="57355CE3" w:rsidR="006A2C1C" w:rsidRDefault="006A2C1C" w:rsidP="0074229F">
      <w:pPr>
        <w:spacing w:before="120" w:after="120"/>
        <w:rPr>
          <w:rFonts w:ascii="Times New Roman" w:hAnsi="Times New Roman"/>
          <w:sz w:val="24"/>
        </w:rPr>
      </w:pPr>
      <w:r w:rsidRPr="0074229F">
        <w:rPr>
          <w:rFonts w:ascii="Times New Roman" w:hAnsi="Times New Roman"/>
          <w:sz w:val="24"/>
        </w:rPr>
        <w:t xml:space="preserve">Thus, one consequence of the Second Amendment, if approved by the </w:t>
      </w:r>
      <w:r w:rsidR="00B32CB5">
        <w:rPr>
          <w:rFonts w:ascii="Times New Roman" w:hAnsi="Times New Roman"/>
          <w:sz w:val="24"/>
        </w:rPr>
        <w:t>c</w:t>
      </w:r>
      <w:r w:rsidRPr="0074229F">
        <w:rPr>
          <w:rFonts w:ascii="Times New Roman" w:hAnsi="Times New Roman"/>
          <w:sz w:val="24"/>
        </w:rPr>
        <w:t>ommission, would be to eliminate the (potential) ratepayer credit described in Section 9 of the First Amendment.</w:t>
      </w:r>
    </w:p>
    <w:p w14:paraId="080373C4" w14:textId="077CDA48" w:rsidR="00EF5078" w:rsidRPr="0074229F" w:rsidRDefault="006A2C1C" w:rsidP="00EF5078">
      <w:pPr>
        <w:spacing w:before="120" w:after="120"/>
        <w:jc w:val="center"/>
        <w:rPr>
          <w:rFonts w:ascii="Times New Roman" w:hAnsi="Times New Roman"/>
          <w:b/>
          <w:sz w:val="24"/>
        </w:rPr>
      </w:pPr>
      <w:r w:rsidRPr="0074229F">
        <w:rPr>
          <w:rFonts w:ascii="Times New Roman" w:hAnsi="Times New Roman"/>
          <w:b/>
          <w:sz w:val="24"/>
        </w:rPr>
        <w:t>STAFF ANALYSIS AND RECOMMENDATION</w:t>
      </w:r>
    </w:p>
    <w:p w14:paraId="48CCB7C7" w14:textId="2F351275" w:rsidR="006A2C1C" w:rsidRPr="0074229F" w:rsidRDefault="006A2C1C" w:rsidP="0074229F">
      <w:pPr>
        <w:spacing w:before="120" w:after="120"/>
        <w:rPr>
          <w:rFonts w:ascii="Times New Roman" w:hAnsi="Times New Roman"/>
          <w:sz w:val="24"/>
        </w:rPr>
      </w:pPr>
      <w:r w:rsidRPr="0074229F">
        <w:rPr>
          <w:rFonts w:ascii="Times New Roman" w:hAnsi="Times New Roman"/>
          <w:sz w:val="24"/>
        </w:rPr>
        <w:t xml:space="preserve">The </w:t>
      </w:r>
      <w:r w:rsidR="00B32CB5">
        <w:rPr>
          <w:rFonts w:ascii="Times New Roman" w:hAnsi="Times New Roman"/>
          <w:sz w:val="24"/>
        </w:rPr>
        <w:t>c</w:t>
      </w:r>
      <w:r w:rsidRPr="0074229F">
        <w:rPr>
          <w:rFonts w:ascii="Times New Roman" w:hAnsi="Times New Roman"/>
          <w:sz w:val="24"/>
        </w:rPr>
        <w:t xml:space="preserve">ommission’s role in the Settlement Agreement and the First Amendment is to protect ratepayer interests, particularly in the funds the ratepayers paid to fund landfill closure and remediation, and the </w:t>
      </w:r>
      <w:r w:rsidRPr="0074229F">
        <w:rPr>
          <w:rFonts w:ascii="Times New Roman" w:hAnsi="Times New Roman"/>
          <w:sz w:val="24"/>
        </w:rPr>
        <w:lastRenderedPageBreak/>
        <w:t xml:space="preserve">prospect of a rate rebate in the future, if certain conditions are met. The </w:t>
      </w:r>
      <w:r w:rsidR="00B32CB5">
        <w:rPr>
          <w:rFonts w:ascii="Times New Roman" w:hAnsi="Times New Roman"/>
          <w:sz w:val="24"/>
        </w:rPr>
        <w:t>c</w:t>
      </w:r>
      <w:r w:rsidRPr="0074229F">
        <w:rPr>
          <w:rFonts w:ascii="Times New Roman" w:hAnsi="Times New Roman"/>
          <w:sz w:val="24"/>
        </w:rPr>
        <w:t xml:space="preserve">ommission’s role has also been to assure the </w:t>
      </w:r>
      <w:r w:rsidR="00B32CB5">
        <w:rPr>
          <w:rFonts w:ascii="Times New Roman" w:hAnsi="Times New Roman"/>
          <w:sz w:val="24"/>
        </w:rPr>
        <w:t>c</w:t>
      </w:r>
      <w:r w:rsidRPr="0074229F">
        <w:rPr>
          <w:rFonts w:ascii="Times New Roman" w:hAnsi="Times New Roman"/>
          <w:sz w:val="24"/>
        </w:rPr>
        <w:t>ommission-regulated solid waste collection company complies with applicable environmental laws.</w:t>
      </w:r>
    </w:p>
    <w:p w14:paraId="70B32674" w14:textId="77777777" w:rsidR="006A2C1C" w:rsidRPr="0074229F" w:rsidRDefault="006A2C1C" w:rsidP="0074229F">
      <w:pPr>
        <w:spacing w:before="120" w:after="120"/>
        <w:rPr>
          <w:rFonts w:ascii="Times New Roman" w:hAnsi="Times New Roman"/>
          <w:sz w:val="24"/>
        </w:rPr>
      </w:pPr>
      <w:r w:rsidRPr="0074229F">
        <w:rPr>
          <w:rFonts w:ascii="Times New Roman" w:hAnsi="Times New Roman"/>
          <w:sz w:val="24"/>
        </w:rPr>
        <w:t>Staff believes these roles are satisfied under the Second Amendment.</w:t>
      </w:r>
    </w:p>
    <w:p w14:paraId="23D73630" w14:textId="3FFF71B6" w:rsidR="006A2C1C" w:rsidRPr="0074229F" w:rsidRDefault="006A2C1C" w:rsidP="0074229F">
      <w:pPr>
        <w:spacing w:before="120" w:after="120"/>
        <w:rPr>
          <w:rFonts w:ascii="Times New Roman" w:hAnsi="Times New Roman"/>
          <w:sz w:val="24"/>
        </w:rPr>
      </w:pPr>
      <w:r w:rsidRPr="0074229F">
        <w:rPr>
          <w:rFonts w:ascii="Times New Roman" w:hAnsi="Times New Roman"/>
          <w:sz w:val="24"/>
        </w:rPr>
        <w:t>As to protecting ratepayers interests, as we explained above, Section 9 of the First Amendment provides for a rate credit only “after compliance with the Consent Decree</w:t>
      </w:r>
      <w:r w:rsidR="00B40B95">
        <w:rPr>
          <w:rFonts w:ascii="Times New Roman" w:hAnsi="Times New Roman"/>
          <w:sz w:val="24"/>
        </w:rPr>
        <w:t>,”</w:t>
      </w:r>
      <w:r w:rsidRPr="0074229F">
        <w:rPr>
          <w:rFonts w:ascii="Times New Roman" w:hAnsi="Times New Roman"/>
          <w:sz w:val="24"/>
        </w:rPr>
        <w:t xml:space="preserve"> plus compliance with any additional Ecology requirements, and after closure and “post-closure”</w:t>
      </w:r>
      <w:r w:rsidR="00EC7E11">
        <w:rPr>
          <w:rFonts w:ascii="Times New Roman" w:hAnsi="Times New Roman"/>
          <w:sz w:val="24"/>
        </w:rPr>
        <w:t xml:space="preserve"> </w:t>
      </w:r>
      <w:r w:rsidR="0076644B">
        <w:rPr>
          <w:rFonts w:ascii="Times New Roman" w:hAnsi="Times New Roman"/>
          <w:sz w:val="24"/>
        </w:rPr>
        <w:t>requirements</w:t>
      </w:r>
      <w:r w:rsidR="00EC7E11">
        <w:rPr>
          <w:rFonts w:ascii="Times New Roman" w:hAnsi="Times New Roman"/>
          <w:sz w:val="24"/>
        </w:rPr>
        <w:t xml:space="preserve"> are completed</w:t>
      </w:r>
      <w:r w:rsidRPr="0074229F">
        <w:rPr>
          <w:rFonts w:ascii="Times New Roman" w:hAnsi="Times New Roman"/>
          <w:sz w:val="24"/>
        </w:rPr>
        <w:t>.</w:t>
      </w:r>
      <w:r w:rsidR="00B32CB5">
        <w:rPr>
          <w:rFonts w:ascii="Times New Roman" w:hAnsi="Times New Roman"/>
          <w:sz w:val="24"/>
        </w:rPr>
        <w:t xml:space="preserve"> </w:t>
      </w:r>
      <w:r w:rsidRPr="0074229F">
        <w:rPr>
          <w:rFonts w:ascii="Times New Roman" w:hAnsi="Times New Roman"/>
          <w:sz w:val="24"/>
        </w:rPr>
        <w:t>The likelihood of a rate credit is extremely remote, because to date, Ecology has not released any municipal solid waste landfill in this state from post-closure maintenance and monitoring.</w:t>
      </w:r>
      <w:r w:rsidRPr="00B32CB5">
        <w:rPr>
          <w:rFonts w:ascii="Times New Roman" w:hAnsi="Times New Roman"/>
          <w:sz w:val="24"/>
          <w:vertAlign w:val="superscript"/>
        </w:rPr>
        <w:footnoteReference w:id="6"/>
      </w:r>
      <w:r w:rsidRPr="0074229F">
        <w:rPr>
          <w:rFonts w:ascii="Times New Roman" w:hAnsi="Times New Roman"/>
          <w:sz w:val="24"/>
        </w:rPr>
        <w:t xml:space="preserve"> Moreover, due to annexation and population growth over the last twenty years, the base of customers served by </w:t>
      </w:r>
      <w:r w:rsidR="00B32CB5">
        <w:rPr>
          <w:rFonts w:ascii="Times New Roman" w:hAnsi="Times New Roman"/>
          <w:sz w:val="24"/>
        </w:rPr>
        <w:t>c</w:t>
      </w:r>
      <w:r w:rsidRPr="0074229F">
        <w:rPr>
          <w:rFonts w:ascii="Times New Roman" w:hAnsi="Times New Roman"/>
          <w:sz w:val="24"/>
        </w:rPr>
        <w:t xml:space="preserve">ommission-regulated companies has changed significantly. Finally, the four new uses of excess FARF funds under the Second Amendment will benefit all ratepayers.  </w:t>
      </w:r>
    </w:p>
    <w:p w14:paraId="3B999D50" w14:textId="3A9CA672" w:rsidR="006A2C1C" w:rsidRDefault="006A2C1C" w:rsidP="0074229F">
      <w:pPr>
        <w:spacing w:before="120" w:after="120"/>
        <w:rPr>
          <w:rFonts w:ascii="Times New Roman" w:hAnsi="Times New Roman"/>
          <w:sz w:val="24"/>
        </w:rPr>
      </w:pPr>
      <w:r w:rsidRPr="0074229F">
        <w:rPr>
          <w:rFonts w:ascii="Times New Roman" w:hAnsi="Times New Roman"/>
          <w:sz w:val="24"/>
        </w:rPr>
        <w:t xml:space="preserve">Staff therefore </w:t>
      </w:r>
      <w:r w:rsidR="00B32CB5">
        <w:rPr>
          <w:rFonts w:ascii="Times New Roman" w:hAnsi="Times New Roman"/>
          <w:sz w:val="24"/>
        </w:rPr>
        <w:t>recommends the c</w:t>
      </w:r>
      <w:r w:rsidRPr="0074229F">
        <w:rPr>
          <w:rFonts w:ascii="Times New Roman" w:hAnsi="Times New Roman"/>
          <w:sz w:val="24"/>
        </w:rPr>
        <w:t>ommission approve the Second Amendment which</w:t>
      </w:r>
      <w:r w:rsidR="00CB7129">
        <w:rPr>
          <w:rFonts w:ascii="Times New Roman" w:hAnsi="Times New Roman"/>
          <w:sz w:val="24"/>
        </w:rPr>
        <w:t xml:space="preserve"> </w:t>
      </w:r>
      <w:r w:rsidRPr="0074229F">
        <w:rPr>
          <w:rFonts w:ascii="Times New Roman" w:hAnsi="Times New Roman"/>
          <w:sz w:val="24"/>
        </w:rPr>
        <w:t>extinguish</w:t>
      </w:r>
      <w:r w:rsidR="00CB7129">
        <w:rPr>
          <w:rFonts w:ascii="Times New Roman" w:hAnsi="Times New Roman"/>
          <w:sz w:val="24"/>
        </w:rPr>
        <w:t>es</w:t>
      </w:r>
      <w:r w:rsidRPr="0074229F">
        <w:rPr>
          <w:rFonts w:ascii="Times New Roman" w:hAnsi="Times New Roman"/>
          <w:sz w:val="24"/>
        </w:rPr>
        <w:t xml:space="preserve"> the </w:t>
      </w:r>
      <w:r w:rsidR="00B32CB5">
        <w:rPr>
          <w:rFonts w:ascii="Times New Roman" w:hAnsi="Times New Roman"/>
          <w:sz w:val="24"/>
        </w:rPr>
        <w:t>c</w:t>
      </w:r>
      <w:r w:rsidRPr="0074229F">
        <w:rPr>
          <w:rFonts w:ascii="Times New Roman" w:hAnsi="Times New Roman"/>
          <w:sz w:val="24"/>
        </w:rPr>
        <w:t>ommission’s participation in the management of the landfill site and the FARF</w:t>
      </w:r>
      <w:r w:rsidR="00CB7129">
        <w:rPr>
          <w:rFonts w:ascii="Times New Roman" w:hAnsi="Times New Roman"/>
          <w:sz w:val="24"/>
        </w:rPr>
        <w:t xml:space="preserve">, but still protects ratepayer’s contributions to the FARF.  </w:t>
      </w:r>
    </w:p>
    <w:p w14:paraId="69D848D4" w14:textId="77777777" w:rsidR="00EF65E2" w:rsidRDefault="00EF65E2" w:rsidP="007422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b/>
          <w:sz w:val="24"/>
          <w:u w:val="single"/>
        </w:rPr>
      </w:pPr>
      <w:r>
        <w:rPr>
          <w:rFonts w:ascii="Times New Roman" w:hAnsi="Times New Roman"/>
          <w:b/>
          <w:sz w:val="24"/>
          <w:u w:val="single"/>
        </w:rPr>
        <w:t>Conclusion</w:t>
      </w:r>
    </w:p>
    <w:p w14:paraId="69D848D7" w14:textId="26763974" w:rsidR="00EF65E2" w:rsidRDefault="00B32CB5" w:rsidP="007422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Pr>
          <w:rFonts w:ascii="Times New Roman" w:hAnsi="Times New Roman"/>
          <w:sz w:val="24"/>
        </w:rPr>
        <w:t>I</w:t>
      </w:r>
      <w:r w:rsidRPr="00C224E0">
        <w:rPr>
          <w:rFonts w:ascii="Times New Roman" w:hAnsi="Times New Roman"/>
          <w:sz w:val="24"/>
        </w:rPr>
        <w:t xml:space="preserve">ssue an order </w:t>
      </w:r>
      <w:r>
        <w:rPr>
          <w:rFonts w:ascii="Times New Roman" w:hAnsi="Times New Roman"/>
          <w:sz w:val="24"/>
        </w:rPr>
        <w:t>approving and adopting in its entirety t</w:t>
      </w:r>
      <w:r w:rsidRPr="004D0CF2">
        <w:rPr>
          <w:rFonts w:ascii="Times New Roman" w:hAnsi="Times New Roman"/>
          <w:sz w:val="24"/>
        </w:rPr>
        <w:t>he Second Amendment to the Disposal Agreement and Settlement Agreement, conditional and effective upon approval by Clark County Superior Court and the parties; Washington Department of Ecology, Clark County, City of Vancouver, Washington, and Leichner Brothers Land Reclamation Company of the Second Amendment to the Consent Decree 96-2-03081-7</w:t>
      </w:r>
      <w:r w:rsidRPr="00C224E0">
        <w:rPr>
          <w:rFonts w:ascii="Times New Roman" w:hAnsi="Times New Roman"/>
          <w:sz w:val="24"/>
        </w:rPr>
        <w:t>.</w:t>
      </w:r>
    </w:p>
    <w:sectPr w:rsidR="00EF65E2" w:rsidSect="0074229F">
      <w:headerReference w:type="default" r:id="rId12"/>
      <w:headerReference w:type="first" r:id="rId13"/>
      <w:endnotePr>
        <w:numFmt w:val="decimal"/>
      </w:endnotePr>
      <w:pgSz w:w="12240" w:h="15840"/>
      <w:pgMar w:top="1080"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CC45D" w14:textId="77777777" w:rsidR="00B40B95" w:rsidRDefault="00B40B95">
      <w:r>
        <w:separator/>
      </w:r>
    </w:p>
  </w:endnote>
  <w:endnote w:type="continuationSeparator" w:id="0">
    <w:p w14:paraId="1B5761CE" w14:textId="77777777" w:rsidR="00B40B95" w:rsidRDefault="00B4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4C131" w14:textId="77777777" w:rsidR="00B40B95" w:rsidRDefault="00B40B95">
      <w:r>
        <w:separator/>
      </w:r>
    </w:p>
  </w:footnote>
  <w:footnote w:type="continuationSeparator" w:id="0">
    <w:p w14:paraId="482DCFF1" w14:textId="77777777" w:rsidR="00B40B95" w:rsidRDefault="00B40B95">
      <w:r>
        <w:continuationSeparator/>
      </w:r>
    </w:p>
  </w:footnote>
  <w:footnote w:id="1">
    <w:p w14:paraId="0F34C707" w14:textId="3574EDA0" w:rsidR="00B40B95" w:rsidRDefault="00B40B95" w:rsidP="00AF50DB">
      <w:pPr>
        <w:pStyle w:val="FootnoteText"/>
        <w:ind w:left="270" w:hanging="270"/>
      </w:pPr>
      <w:r w:rsidRPr="00AF39A1">
        <w:rPr>
          <w:rStyle w:val="FootnoteReference"/>
          <w:vertAlign w:val="superscript"/>
        </w:rPr>
        <w:footnoteRef/>
      </w:r>
      <w:r>
        <w:t xml:space="preserve">   </w:t>
      </w:r>
      <w:r w:rsidRPr="00154D62">
        <w:t xml:space="preserve">Consent Decree </w:t>
      </w:r>
      <w:r w:rsidRPr="00154D62">
        <w:rPr>
          <w:u w:val="single"/>
        </w:rPr>
        <w:t xml:space="preserve">96-2-03081-7 </w:t>
      </w:r>
      <w:r w:rsidRPr="00154D62">
        <w:t>was signed by th</w:t>
      </w:r>
      <w:r>
        <w:t>e</w:t>
      </w:r>
      <w:r w:rsidRPr="00154D62">
        <w:t xml:space="preserve"> </w:t>
      </w:r>
      <w:r>
        <w:t xml:space="preserve">Clark County Superior </w:t>
      </w:r>
      <w:r w:rsidRPr="00154D62">
        <w:t>Court and filed on July 17, 1996</w:t>
      </w:r>
      <w:r>
        <w:t>. Clark County has drafted a Second Amendment to the Consent Decree which requires approval from the court and the parties to the Consent Decree; LBLRC, county, Washington State Attorney General’s Office and Ecology.</w:t>
      </w:r>
    </w:p>
  </w:footnote>
  <w:footnote w:id="2">
    <w:p w14:paraId="76C41D86" w14:textId="5BBAC244" w:rsidR="00B40B95" w:rsidRDefault="00B40B95" w:rsidP="00AF50DB">
      <w:pPr>
        <w:pStyle w:val="FootnoteText"/>
        <w:ind w:left="270" w:hanging="270"/>
      </w:pPr>
      <w:r w:rsidRPr="00AF39A1">
        <w:rPr>
          <w:rStyle w:val="FootnoteReference"/>
          <w:vertAlign w:val="superscript"/>
        </w:rPr>
        <w:footnoteRef/>
      </w:r>
      <w:r>
        <w:t xml:space="preserve">   The Settlement Agreement defines “Affiliated haulers” as Clark County Disposal, Inc., d/b/a Vancouver Sanitary Service or Twin City Sanitary Service and Buchmann Sanitary Service, Inc. For the purposes of this analysis, staff concludes that the reference to Clark County Disposal, in context to all of the orders issued in the consolidated docket, reference the same companies holding, at the time, Certificates G-65 and G-79.  </w:t>
      </w:r>
    </w:p>
  </w:footnote>
  <w:footnote w:id="3">
    <w:p w14:paraId="5CAD908B" w14:textId="3CC660FE" w:rsidR="00B40B95" w:rsidRDefault="00B40B95" w:rsidP="00645136">
      <w:pPr>
        <w:pStyle w:val="FootnoteText"/>
        <w:ind w:left="270" w:hanging="270"/>
      </w:pPr>
      <w:r>
        <w:rPr>
          <w:rStyle w:val="FootnoteReference"/>
        </w:rPr>
        <w:footnoteRef/>
      </w:r>
      <w:r>
        <w:t xml:space="preserve">   The Fourth Supplemental </w:t>
      </w:r>
      <w:r w:rsidRPr="00A67955">
        <w:t>Order refers to Twin City Sanitary Service, Buchmann Sanitary Service, and Vancouver Sanitary Service, rather than their successor, BFI, per the transfer order issued by the UTC four months prior.</w:t>
      </w:r>
      <w:r>
        <w:t xml:space="preserve"> Staff believes this was an oversight.</w:t>
      </w:r>
    </w:p>
  </w:footnote>
  <w:footnote w:id="4">
    <w:p w14:paraId="098F0FDF" w14:textId="19037628" w:rsidR="00B40B95" w:rsidRDefault="00B40B95" w:rsidP="006A2C1C">
      <w:pPr>
        <w:pStyle w:val="FootnoteText"/>
      </w:pPr>
      <w:r w:rsidRPr="00B40B95">
        <w:rPr>
          <w:rStyle w:val="FootnoteReference"/>
          <w:sz w:val="24"/>
          <w:szCs w:val="24"/>
          <w:vertAlign w:val="superscript"/>
        </w:rPr>
        <w:footnoteRef/>
      </w:r>
      <w:r w:rsidRPr="00B40B95">
        <w:rPr>
          <w:sz w:val="24"/>
          <w:szCs w:val="24"/>
        </w:rPr>
        <w:t xml:space="preserve"> </w:t>
      </w:r>
      <w:r>
        <w:t xml:space="preserve">  According to staff’s workpapers, the surcharge amount charged by the county was $2.47 per yard. </w:t>
      </w:r>
    </w:p>
  </w:footnote>
  <w:footnote w:id="5">
    <w:p w14:paraId="50609CA7" w14:textId="234BFBB9" w:rsidR="00B40B95" w:rsidRDefault="00B40B95" w:rsidP="00645136">
      <w:pPr>
        <w:pStyle w:val="FootnoteText"/>
        <w:ind w:left="270" w:hanging="270"/>
      </w:pPr>
      <w:r w:rsidRPr="00B40B95">
        <w:rPr>
          <w:rStyle w:val="FootnoteReference"/>
          <w:sz w:val="24"/>
          <w:szCs w:val="24"/>
          <w:vertAlign w:val="superscript"/>
        </w:rPr>
        <w:footnoteRef/>
      </w:r>
      <w:r>
        <w:t xml:space="preserve">   </w:t>
      </w:r>
      <w:r w:rsidRPr="00807D3A">
        <w:t>By “all classes of ratepayers</w:t>
      </w:r>
      <w:r>
        <w:t>,</w:t>
      </w:r>
      <w:r w:rsidRPr="00807D3A">
        <w:t xml:space="preserve">” </w:t>
      </w:r>
      <w:r>
        <w:t>staff</w:t>
      </w:r>
      <w:r w:rsidRPr="00807D3A">
        <w:t xml:space="preserve"> assume</w:t>
      </w:r>
      <w:r>
        <w:t>s</w:t>
      </w:r>
      <w:r w:rsidRPr="00807D3A">
        <w:t xml:space="preserve"> </w:t>
      </w:r>
      <w:r>
        <w:t xml:space="preserve">the city and county </w:t>
      </w:r>
      <w:r w:rsidRPr="00807D3A">
        <w:t xml:space="preserve">are referring to all residents of the </w:t>
      </w:r>
      <w:r>
        <w:t>c</w:t>
      </w:r>
      <w:r w:rsidRPr="00807D3A">
        <w:t xml:space="preserve">ity and </w:t>
      </w:r>
      <w:r>
        <w:t>c</w:t>
      </w:r>
      <w:r w:rsidRPr="00807D3A">
        <w:t xml:space="preserve">ounty, whether or not they are customers of </w:t>
      </w:r>
      <w:r>
        <w:t xml:space="preserve">the commission-regulated </w:t>
      </w:r>
      <w:r w:rsidRPr="00807D3A">
        <w:t xml:space="preserve">solid waste </w:t>
      </w:r>
      <w:r>
        <w:t xml:space="preserve">collection </w:t>
      </w:r>
      <w:r w:rsidRPr="00807D3A">
        <w:t>compan</w:t>
      </w:r>
      <w:r>
        <w:t xml:space="preserve">y; </w:t>
      </w:r>
      <w:r w:rsidRPr="00807D3A">
        <w:t>Waste Connections</w:t>
      </w:r>
      <w:r>
        <w:t xml:space="preserve"> of Washington, Inc.</w:t>
      </w:r>
    </w:p>
  </w:footnote>
  <w:footnote w:id="6">
    <w:p w14:paraId="256686D0" w14:textId="229376CD" w:rsidR="00B40B95" w:rsidRDefault="00B40B95" w:rsidP="006A2C1C">
      <w:pPr>
        <w:pStyle w:val="FootnoteText"/>
      </w:pPr>
      <w:r w:rsidRPr="00B40B95">
        <w:rPr>
          <w:rStyle w:val="FootnoteReference"/>
          <w:sz w:val="24"/>
          <w:szCs w:val="24"/>
          <w:vertAlign w:val="superscript"/>
        </w:rPr>
        <w:footnoteRef/>
      </w:r>
      <w:r w:rsidRPr="00B40B95">
        <w:rPr>
          <w:sz w:val="24"/>
          <w:szCs w:val="24"/>
          <w:vertAlign w:val="superscript"/>
        </w:rPr>
        <w:t xml:space="preserve"> </w:t>
      </w:r>
      <w:r>
        <w:t xml:space="preserve">  </w:t>
      </w:r>
      <w:hyperlink r:id="rId1" w:history="1">
        <w:r w:rsidRPr="005339DF">
          <w:rPr>
            <w:rStyle w:val="Hyperlink"/>
          </w:rPr>
          <w:t>http://www.clark.wa.gov/recycle/leichnerFAQ.html</w:t>
        </w:r>
      </w:hyperlink>
      <w:r>
        <w:t xml:space="preserve"> @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DC" w14:textId="21BAD39A" w:rsidR="00B40B95" w:rsidRPr="00802478" w:rsidRDefault="00B40B95">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120331</w:t>
    </w:r>
  </w:p>
  <w:p w14:paraId="69D848DD" w14:textId="1E92A619" w:rsidR="00B40B95" w:rsidRDefault="00B40B95">
    <w:pPr>
      <w:pStyle w:val="Header"/>
      <w:rPr>
        <w:rFonts w:ascii="Times New Roman" w:hAnsi="Times New Roman"/>
        <w:szCs w:val="20"/>
      </w:rPr>
    </w:pPr>
    <w:r>
      <w:rPr>
        <w:rFonts w:ascii="Times New Roman" w:hAnsi="Times New Roman"/>
        <w:szCs w:val="20"/>
      </w:rPr>
      <w:t xml:space="preserve">September 13, 2012 </w:t>
    </w:r>
  </w:p>
  <w:p w14:paraId="69D848E0" w14:textId="7237CE5A" w:rsidR="00B40B95" w:rsidRDefault="00B40B95" w:rsidP="00645136">
    <w:pPr>
      <w:pStyle w:val="Header"/>
      <w:spacing w:after="120"/>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2F45C8">
      <w:rPr>
        <w:rStyle w:val="PageNumber"/>
        <w:rFonts w:ascii="Times New Roman" w:hAnsi="Times New Roman"/>
        <w:noProof/>
        <w:szCs w:val="20"/>
      </w:rPr>
      <w:t>5</w:t>
    </w:r>
    <w:r w:rsidRPr="00802478">
      <w:rPr>
        <w:rStyle w:val="PageNumber"/>
        <w:rFonts w:ascii="Times New Roman" w:hAnsi="Times New Roman"/>
        <w:szCs w:val="20"/>
      </w:rPr>
      <w:fldChar w:fldCharType="end"/>
    </w:r>
  </w:p>
  <w:p w14:paraId="703BB18D" w14:textId="77777777" w:rsidR="00B40B95" w:rsidRDefault="00B40B95" w:rsidP="00645136">
    <w:pPr>
      <w:pStyle w:val="Heade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E1" w14:textId="77777777" w:rsidR="00B40B95" w:rsidRPr="00CB78EB" w:rsidRDefault="00B40B95">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8B508A0"/>
    <w:multiLevelType w:val="hybridMultilevel"/>
    <w:tmpl w:val="2516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CF4F05"/>
    <w:multiLevelType w:val="hybridMultilevel"/>
    <w:tmpl w:val="6C0A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A68326F"/>
    <w:multiLevelType w:val="hybridMultilevel"/>
    <w:tmpl w:val="10340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5"/>
  </w:num>
  <w:num w:numId="6">
    <w:abstractNumId w:val="5"/>
  </w:num>
  <w:num w:numId="7">
    <w:abstractNumId w:val="7"/>
  </w:num>
  <w:num w:numId="8">
    <w:abstractNumId w:val="6"/>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DA7"/>
    <w:rsid w:val="00021FE1"/>
    <w:rsid w:val="00045BC8"/>
    <w:rsid w:val="00046FB7"/>
    <w:rsid w:val="000474FC"/>
    <w:rsid w:val="000563BB"/>
    <w:rsid w:val="00060E1B"/>
    <w:rsid w:val="000673A0"/>
    <w:rsid w:val="00074CBA"/>
    <w:rsid w:val="0007541D"/>
    <w:rsid w:val="00081309"/>
    <w:rsid w:val="0008206B"/>
    <w:rsid w:val="00091C00"/>
    <w:rsid w:val="00097153"/>
    <w:rsid w:val="000974C8"/>
    <w:rsid w:val="000A6BDC"/>
    <w:rsid w:val="000B428F"/>
    <w:rsid w:val="000B4782"/>
    <w:rsid w:val="000C3738"/>
    <w:rsid w:val="000D1607"/>
    <w:rsid w:val="000D19C1"/>
    <w:rsid w:val="000D1BF1"/>
    <w:rsid w:val="000D1C96"/>
    <w:rsid w:val="000D51B4"/>
    <w:rsid w:val="000D5C0E"/>
    <w:rsid w:val="000E3F45"/>
    <w:rsid w:val="000E5AB6"/>
    <w:rsid w:val="000F2F99"/>
    <w:rsid w:val="0011016F"/>
    <w:rsid w:val="00113B98"/>
    <w:rsid w:val="0013164B"/>
    <w:rsid w:val="001436D5"/>
    <w:rsid w:val="0014499E"/>
    <w:rsid w:val="00153020"/>
    <w:rsid w:val="001540FE"/>
    <w:rsid w:val="001635E3"/>
    <w:rsid w:val="001641ED"/>
    <w:rsid w:val="001701E5"/>
    <w:rsid w:val="001753C6"/>
    <w:rsid w:val="00181313"/>
    <w:rsid w:val="001827CF"/>
    <w:rsid w:val="00185486"/>
    <w:rsid w:val="0019752A"/>
    <w:rsid w:val="001A3C79"/>
    <w:rsid w:val="001A78EB"/>
    <w:rsid w:val="001B221D"/>
    <w:rsid w:val="001B7BF5"/>
    <w:rsid w:val="001C3DF7"/>
    <w:rsid w:val="001C4123"/>
    <w:rsid w:val="001C7B06"/>
    <w:rsid w:val="001D0136"/>
    <w:rsid w:val="001D36F0"/>
    <w:rsid w:val="001D4931"/>
    <w:rsid w:val="001D4C6A"/>
    <w:rsid w:val="001E4493"/>
    <w:rsid w:val="001E70D9"/>
    <w:rsid w:val="001E79BB"/>
    <w:rsid w:val="00204E23"/>
    <w:rsid w:val="00206337"/>
    <w:rsid w:val="002139A3"/>
    <w:rsid w:val="00215B3D"/>
    <w:rsid w:val="002278A4"/>
    <w:rsid w:val="002318E3"/>
    <w:rsid w:val="002343E8"/>
    <w:rsid w:val="00236B9B"/>
    <w:rsid w:val="002373EF"/>
    <w:rsid w:val="002409FC"/>
    <w:rsid w:val="00250B0C"/>
    <w:rsid w:val="00263D55"/>
    <w:rsid w:val="00272AFE"/>
    <w:rsid w:val="00272F93"/>
    <w:rsid w:val="00282BE0"/>
    <w:rsid w:val="0028426C"/>
    <w:rsid w:val="00291E8F"/>
    <w:rsid w:val="002A0279"/>
    <w:rsid w:val="002A06AA"/>
    <w:rsid w:val="002A0D28"/>
    <w:rsid w:val="002A652B"/>
    <w:rsid w:val="002A78A7"/>
    <w:rsid w:val="002B098F"/>
    <w:rsid w:val="002B3721"/>
    <w:rsid w:val="002B42B8"/>
    <w:rsid w:val="002C0084"/>
    <w:rsid w:val="002C1256"/>
    <w:rsid w:val="002C558A"/>
    <w:rsid w:val="002D3BE8"/>
    <w:rsid w:val="002D66B2"/>
    <w:rsid w:val="002E34AD"/>
    <w:rsid w:val="002F4322"/>
    <w:rsid w:val="002F45C8"/>
    <w:rsid w:val="002F4D7A"/>
    <w:rsid w:val="002F529F"/>
    <w:rsid w:val="00302DD2"/>
    <w:rsid w:val="00310143"/>
    <w:rsid w:val="00314B94"/>
    <w:rsid w:val="00321F32"/>
    <w:rsid w:val="00322159"/>
    <w:rsid w:val="00325F88"/>
    <w:rsid w:val="00326F84"/>
    <w:rsid w:val="003271E0"/>
    <w:rsid w:val="0032734B"/>
    <w:rsid w:val="003353A4"/>
    <w:rsid w:val="003477D4"/>
    <w:rsid w:val="00347BE2"/>
    <w:rsid w:val="003575E8"/>
    <w:rsid w:val="00361587"/>
    <w:rsid w:val="00364765"/>
    <w:rsid w:val="00364F70"/>
    <w:rsid w:val="00367C91"/>
    <w:rsid w:val="00371BC7"/>
    <w:rsid w:val="00372218"/>
    <w:rsid w:val="0037428D"/>
    <w:rsid w:val="00374D88"/>
    <w:rsid w:val="00375049"/>
    <w:rsid w:val="00376E5A"/>
    <w:rsid w:val="00385E07"/>
    <w:rsid w:val="00390ACE"/>
    <w:rsid w:val="00393893"/>
    <w:rsid w:val="00394C39"/>
    <w:rsid w:val="003A4C95"/>
    <w:rsid w:val="003A6523"/>
    <w:rsid w:val="003B0D14"/>
    <w:rsid w:val="003B21CD"/>
    <w:rsid w:val="003D588F"/>
    <w:rsid w:val="003F132F"/>
    <w:rsid w:val="003F27D8"/>
    <w:rsid w:val="003F4814"/>
    <w:rsid w:val="00414E40"/>
    <w:rsid w:val="0043272A"/>
    <w:rsid w:val="00435828"/>
    <w:rsid w:val="00436C5C"/>
    <w:rsid w:val="00445BC8"/>
    <w:rsid w:val="00455296"/>
    <w:rsid w:val="00460214"/>
    <w:rsid w:val="00472A1A"/>
    <w:rsid w:val="00493F7C"/>
    <w:rsid w:val="004A3FA0"/>
    <w:rsid w:val="004A558D"/>
    <w:rsid w:val="004B2434"/>
    <w:rsid w:val="004B6AB7"/>
    <w:rsid w:val="004B73D0"/>
    <w:rsid w:val="004B7688"/>
    <w:rsid w:val="004C5EFE"/>
    <w:rsid w:val="004C6E77"/>
    <w:rsid w:val="004D0CF2"/>
    <w:rsid w:val="004E1C7A"/>
    <w:rsid w:val="004E2D6A"/>
    <w:rsid w:val="004E45C4"/>
    <w:rsid w:val="004E7DE9"/>
    <w:rsid w:val="004F106E"/>
    <w:rsid w:val="004F4E19"/>
    <w:rsid w:val="004F64B4"/>
    <w:rsid w:val="00500919"/>
    <w:rsid w:val="005205CA"/>
    <w:rsid w:val="0052333B"/>
    <w:rsid w:val="00526344"/>
    <w:rsid w:val="00527204"/>
    <w:rsid w:val="00531CFE"/>
    <w:rsid w:val="00540535"/>
    <w:rsid w:val="0054131D"/>
    <w:rsid w:val="0054232F"/>
    <w:rsid w:val="005428D1"/>
    <w:rsid w:val="00542DDB"/>
    <w:rsid w:val="00542E1E"/>
    <w:rsid w:val="00546834"/>
    <w:rsid w:val="0055583E"/>
    <w:rsid w:val="00560DF8"/>
    <w:rsid w:val="00565C13"/>
    <w:rsid w:val="00567453"/>
    <w:rsid w:val="005702B4"/>
    <w:rsid w:val="00571EEF"/>
    <w:rsid w:val="00573FC9"/>
    <w:rsid w:val="00574A65"/>
    <w:rsid w:val="00575B99"/>
    <w:rsid w:val="00577B99"/>
    <w:rsid w:val="005805A7"/>
    <w:rsid w:val="00580723"/>
    <w:rsid w:val="005916EB"/>
    <w:rsid w:val="005A7705"/>
    <w:rsid w:val="005B304F"/>
    <w:rsid w:val="005D0D25"/>
    <w:rsid w:val="005D2B5A"/>
    <w:rsid w:val="005D4E50"/>
    <w:rsid w:val="005F2F2B"/>
    <w:rsid w:val="005F3DC2"/>
    <w:rsid w:val="005F5682"/>
    <w:rsid w:val="00600078"/>
    <w:rsid w:val="00603257"/>
    <w:rsid w:val="00605357"/>
    <w:rsid w:val="006127A5"/>
    <w:rsid w:val="0061419D"/>
    <w:rsid w:val="006269F8"/>
    <w:rsid w:val="006401F6"/>
    <w:rsid w:val="00645136"/>
    <w:rsid w:val="00646EC5"/>
    <w:rsid w:val="00650498"/>
    <w:rsid w:val="00662FA0"/>
    <w:rsid w:val="00663143"/>
    <w:rsid w:val="00665ABC"/>
    <w:rsid w:val="00673083"/>
    <w:rsid w:val="0067409A"/>
    <w:rsid w:val="00675AFC"/>
    <w:rsid w:val="0068275C"/>
    <w:rsid w:val="00686F79"/>
    <w:rsid w:val="00692195"/>
    <w:rsid w:val="006A0AEA"/>
    <w:rsid w:val="006A2C1C"/>
    <w:rsid w:val="006A3CBC"/>
    <w:rsid w:val="006A5BE3"/>
    <w:rsid w:val="006B4007"/>
    <w:rsid w:val="006B5E9C"/>
    <w:rsid w:val="006B6780"/>
    <w:rsid w:val="006B6818"/>
    <w:rsid w:val="006C176A"/>
    <w:rsid w:val="006D2CDD"/>
    <w:rsid w:val="006D3E9F"/>
    <w:rsid w:val="006D4AAD"/>
    <w:rsid w:val="006D5837"/>
    <w:rsid w:val="006D587A"/>
    <w:rsid w:val="006F500E"/>
    <w:rsid w:val="00702994"/>
    <w:rsid w:val="00702C15"/>
    <w:rsid w:val="007063BD"/>
    <w:rsid w:val="0071138F"/>
    <w:rsid w:val="007140FD"/>
    <w:rsid w:val="0071626D"/>
    <w:rsid w:val="00716A49"/>
    <w:rsid w:val="00722CA8"/>
    <w:rsid w:val="007279E1"/>
    <w:rsid w:val="00737094"/>
    <w:rsid w:val="0073773F"/>
    <w:rsid w:val="00740DAB"/>
    <w:rsid w:val="0074229F"/>
    <w:rsid w:val="00750BFC"/>
    <w:rsid w:val="00752D6D"/>
    <w:rsid w:val="00755FEA"/>
    <w:rsid w:val="00756EFE"/>
    <w:rsid w:val="00757044"/>
    <w:rsid w:val="0075795D"/>
    <w:rsid w:val="00762647"/>
    <w:rsid w:val="0076644B"/>
    <w:rsid w:val="007759B5"/>
    <w:rsid w:val="0077612D"/>
    <w:rsid w:val="00777551"/>
    <w:rsid w:val="00780317"/>
    <w:rsid w:val="00787298"/>
    <w:rsid w:val="00791057"/>
    <w:rsid w:val="00791203"/>
    <w:rsid w:val="00791CA3"/>
    <w:rsid w:val="0079547D"/>
    <w:rsid w:val="00797439"/>
    <w:rsid w:val="007A0672"/>
    <w:rsid w:val="007A7BEB"/>
    <w:rsid w:val="007B1477"/>
    <w:rsid w:val="007B6E64"/>
    <w:rsid w:val="007C214F"/>
    <w:rsid w:val="007C3240"/>
    <w:rsid w:val="007D7B88"/>
    <w:rsid w:val="007E29CA"/>
    <w:rsid w:val="007E340F"/>
    <w:rsid w:val="007E5EE6"/>
    <w:rsid w:val="007F4386"/>
    <w:rsid w:val="00802478"/>
    <w:rsid w:val="00810AF0"/>
    <w:rsid w:val="0081415A"/>
    <w:rsid w:val="00816379"/>
    <w:rsid w:val="008170D2"/>
    <w:rsid w:val="008176B5"/>
    <w:rsid w:val="00823E79"/>
    <w:rsid w:val="0082543E"/>
    <w:rsid w:val="00827F6B"/>
    <w:rsid w:val="008302F3"/>
    <w:rsid w:val="00831FAF"/>
    <w:rsid w:val="0083310A"/>
    <w:rsid w:val="00844EE8"/>
    <w:rsid w:val="008459EC"/>
    <w:rsid w:val="00846D9A"/>
    <w:rsid w:val="008542DF"/>
    <w:rsid w:val="0085620F"/>
    <w:rsid w:val="00862F33"/>
    <w:rsid w:val="0086557B"/>
    <w:rsid w:val="00865F87"/>
    <w:rsid w:val="00881303"/>
    <w:rsid w:val="008826E6"/>
    <w:rsid w:val="00891DCB"/>
    <w:rsid w:val="008944BF"/>
    <w:rsid w:val="00895931"/>
    <w:rsid w:val="008B15EB"/>
    <w:rsid w:val="008B5393"/>
    <w:rsid w:val="008B57EA"/>
    <w:rsid w:val="008B68B2"/>
    <w:rsid w:val="008C2195"/>
    <w:rsid w:val="008C485A"/>
    <w:rsid w:val="008C4BE0"/>
    <w:rsid w:val="008D085C"/>
    <w:rsid w:val="008D103D"/>
    <w:rsid w:val="008E0C61"/>
    <w:rsid w:val="008E296E"/>
    <w:rsid w:val="008E78F7"/>
    <w:rsid w:val="008F797E"/>
    <w:rsid w:val="009018C1"/>
    <w:rsid w:val="00901D1F"/>
    <w:rsid w:val="009044EE"/>
    <w:rsid w:val="00910255"/>
    <w:rsid w:val="0092040A"/>
    <w:rsid w:val="00920A70"/>
    <w:rsid w:val="00920B04"/>
    <w:rsid w:val="009252D4"/>
    <w:rsid w:val="00943F59"/>
    <w:rsid w:val="00944B75"/>
    <w:rsid w:val="00946CEF"/>
    <w:rsid w:val="0095172F"/>
    <w:rsid w:val="009519E8"/>
    <w:rsid w:val="009547EC"/>
    <w:rsid w:val="0095717E"/>
    <w:rsid w:val="009613E6"/>
    <w:rsid w:val="0096222D"/>
    <w:rsid w:val="00970485"/>
    <w:rsid w:val="0097294E"/>
    <w:rsid w:val="00977875"/>
    <w:rsid w:val="009807AC"/>
    <w:rsid w:val="009872B8"/>
    <w:rsid w:val="009A1334"/>
    <w:rsid w:val="009A198F"/>
    <w:rsid w:val="009A22DE"/>
    <w:rsid w:val="009B0351"/>
    <w:rsid w:val="009C19C0"/>
    <w:rsid w:val="009D5FE8"/>
    <w:rsid w:val="009E400D"/>
    <w:rsid w:val="009F3E52"/>
    <w:rsid w:val="009F5741"/>
    <w:rsid w:val="00A00353"/>
    <w:rsid w:val="00A103D5"/>
    <w:rsid w:val="00A12C60"/>
    <w:rsid w:val="00A137D0"/>
    <w:rsid w:val="00A143F3"/>
    <w:rsid w:val="00A15253"/>
    <w:rsid w:val="00A30BBD"/>
    <w:rsid w:val="00A33256"/>
    <w:rsid w:val="00A34C6C"/>
    <w:rsid w:val="00A4063C"/>
    <w:rsid w:val="00A43203"/>
    <w:rsid w:val="00A443CA"/>
    <w:rsid w:val="00A56267"/>
    <w:rsid w:val="00A601C1"/>
    <w:rsid w:val="00A61CF8"/>
    <w:rsid w:val="00A72C98"/>
    <w:rsid w:val="00A732D0"/>
    <w:rsid w:val="00A818F9"/>
    <w:rsid w:val="00A85AE8"/>
    <w:rsid w:val="00A9729C"/>
    <w:rsid w:val="00AB3792"/>
    <w:rsid w:val="00AB4058"/>
    <w:rsid w:val="00AC30CE"/>
    <w:rsid w:val="00AC4B63"/>
    <w:rsid w:val="00AC6540"/>
    <w:rsid w:val="00AC6ED8"/>
    <w:rsid w:val="00AE1A92"/>
    <w:rsid w:val="00AE60CE"/>
    <w:rsid w:val="00AF22BF"/>
    <w:rsid w:val="00AF39A1"/>
    <w:rsid w:val="00AF3A1F"/>
    <w:rsid w:val="00AF50DB"/>
    <w:rsid w:val="00B03842"/>
    <w:rsid w:val="00B04320"/>
    <w:rsid w:val="00B07FDC"/>
    <w:rsid w:val="00B10100"/>
    <w:rsid w:val="00B10706"/>
    <w:rsid w:val="00B168B8"/>
    <w:rsid w:val="00B17BBA"/>
    <w:rsid w:val="00B2536D"/>
    <w:rsid w:val="00B268C2"/>
    <w:rsid w:val="00B2691F"/>
    <w:rsid w:val="00B316D9"/>
    <w:rsid w:val="00B32579"/>
    <w:rsid w:val="00B32CB5"/>
    <w:rsid w:val="00B40B95"/>
    <w:rsid w:val="00B42ABB"/>
    <w:rsid w:val="00B439C2"/>
    <w:rsid w:val="00B47382"/>
    <w:rsid w:val="00B52FE4"/>
    <w:rsid w:val="00B53F9F"/>
    <w:rsid w:val="00B57E4F"/>
    <w:rsid w:val="00B610C5"/>
    <w:rsid w:val="00B724BF"/>
    <w:rsid w:val="00B73A3F"/>
    <w:rsid w:val="00B846F2"/>
    <w:rsid w:val="00B941AE"/>
    <w:rsid w:val="00B94BD4"/>
    <w:rsid w:val="00B9546A"/>
    <w:rsid w:val="00BA4F13"/>
    <w:rsid w:val="00BA53F9"/>
    <w:rsid w:val="00BA7BF3"/>
    <w:rsid w:val="00BB1126"/>
    <w:rsid w:val="00BC0862"/>
    <w:rsid w:val="00BC16FE"/>
    <w:rsid w:val="00BC21EC"/>
    <w:rsid w:val="00BC4FE2"/>
    <w:rsid w:val="00BC592C"/>
    <w:rsid w:val="00BD2F88"/>
    <w:rsid w:val="00BD5624"/>
    <w:rsid w:val="00BD580B"/>
    <w:rsid w:val="00BD7961"/>
    <w:rsid w:val="00BE410F"/>
    <w:rsid w:val="00BE603B"/>
    <w:rsid w:val="00BF471F"/>
    <w:rsid w:val="00BF5F2B"/>
    <w:rsid w:val="00C00A74"/>
    <w:rsid w:val="00C04189"/>
    <w:rsid w:val="00C10942"/>
    <w:rsid w:val="00C154BA"/>
    <w:rsid w:val="00C224E0"/>
    <w:rsid w:val="00C230A4"/>
    <w:rsid w:val="00C24FBE"/>
    <w:rsid w:val="00C33147"/>
    <w:rsid w:val="00C34632"/>
    <w:rsid w:val="00C352BE"/>
    <w:rsid w:val="00C41741"/>
    <w:rsid w:val="00C513A9"/>
    <w:rsid w:val="00C601A3"/>
    <w:rsid w:val="00C700DB"/>
    <w:rsid w:val="00C70B1D"/>
    <w:rsid w:val="00C76271"/>
    <w:rsid w:val="00C76BFD"/>
    <w:rsid w:val="00C77C95"/>
    <w:rsid w:val="00C8059D"/>
    <w:rsid w:val="00C81580"/>
    <w:rsid w:val="00C84353"/>
    <w:rsid w:val="00C84D2B"/>
    <w:rsid w:val="00C95F86"/>
    <w:rsid w:val="00C97E2E"/>
    <w:rsid w:val="00CA066F"/>
    <w:rsid w:val="00CA4813"/>
    <w:rsid w:val="00CA6D2A"/>
    <w:rsid w:val="00CA73F4"/>
    <w:rsid w:val="00CB504C"/>
    <w:rsid w:val="00CB7129"/>
    <w:rsid w:val="00CB78EB"/>
    <w:rsid w:val="00CC18DF"/>
    <w:rsid w:val="00CC2FDB"/>
    <w:rsid w:val="00CC4A9A"/>
    <w:rsid w:val="00CC6CD3"/>
    <w:rsid w:val="00CD25D0"/>
    <w:rsid w:val="00CD3002"/>
    <w:rsid w:val="00CD3094"/>
    <w:rsid w:val="00CE3AED"/>
    <w:rsid w:val="00CE69F7"/>
    <w:rsid w:val="00CF136D"/>
    <w:rsid w:val="00CF345F"/>
    <w:rsid w:val="00CF4107"/>
    <w:rsid w:val="00CF5617"/>
    <w:rsid w:val="00CF6D22"/>
    <w:rsid w:val="00D113A2"/>
    <w:rsid w:val="00D13026"/>
    <w:rsid w:val="00D271F7"/>
    <w:rsid w:val="00D27731"/>
    <w:rsid w:val="00D3292C"/>
    <w:rsid w:val="00D356BF"/>
    <w:rsid w:val="00D474B7"/>
    <w:rsid w:val="00D47965"/>
    <w:rsid w:val="00D57587"/>
    <w:rsid w:val="00D70683"/>
    <w:rsid w:val="00D7366F"/>
    <w:rsid w:val="00D74DB6"/>
    <w:rsid w:val="00D858AF"/>
    <w:rsid w:val="00D91931"/>
    <w:rsid w:val="00DA0E52"/>
    <w:rsid w:val="00DA10D0"/>
    <w:rsid w:val="00DA4999"/>
    <w:rsid w:val="00DB2A4A"/>
    <w:rsid w:val="00DB71D9"/>
    <w:rsid w:val="00DC2D32"/>
    <w:rsid w:val="00DC58EC"/>
    <w:rsid w:val="00DC7AC3"/>
    <w:rsid w:val="00DD0F52"/>
    <w:rsid w:val="00DD2FFF"/>
    <w:rsid w:val="00DD6F4C"/>
    <w:rsid w:val="00DE5575"/>
    <w:rsid w:val="00E03419"/>
    <w:rsid w:val="00E03474"/>
    <w:rsid w:val="00E0589D"/>
    <w:rsid w:val="00E07FA8"/>
    <w:rsid w:val="00E1626A"/>
    <w:rsid w:val="00E2069D"/>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4B8A"/>
    <w:rsid w:val="00E94DFB"/>
    <w:rsid w:val="00E96129"/>
    <w:rsid w:val="00E9757B"/>
    <w:rsid w:val="00EA07D0"/>
    <w:rsid w:val="00EA24E0"/>
    <w:rsid w:val="00EA4700"/>
    <w:rsid w:val="00EB1ADE"/>
    <w:rsid w:val="00EB3E68"/>
    <w:rsid w:val="00EC0124"/>
    <w:rsid w:val="00EC2883"/>
    <w:rsid w:val="00EC3B37"/>
    <w:rsid w:val="00EC3F5E"/>
    <w:rsid w:val="00EC4168"/>
    <w:rsid w:val="00EC7E11"/>
    <w:rsid w:val="00ED2AE7"/>
    <w:rsid w:val="00ED3A17"/>
    <w:rsid w:val="00EE6817"/>
    <w:rsid w:val="00EF0992"/>
    <w:rsid w:val="00EF16F3"/>
    <w:rsid w:val="00EF3A8E"/>
    <w:rsid w:val="00EF5014"/>
    <w:rsid w:val="00EF5078"/>
    <w:rsid w:val="00EF5724"/>
    <w:rsid w:val="00EF5E03"/>
    <w:rsid w:val="00EF65E2"/>
    <w:rsid w:val="00EF6799"/>
    <w:rsid w:val="00EF7B70"/>
    <w:rsid w:val="00F0539A"/>
    <w:rsid w:val="00F1274E"/>
    <w:rsid w:val="00F22D59"/>
    <w:rsid w:val="00F27572"/>
    <w:rsid w:val="00F34E03"/>
    <w:rsid w:val="00F36FAA"/>
    <w:rsid w:val="00F43B27"/>
    <w:rsid w:val="00F468D9"/>
    <w:rsid w:val="00F55CBD"/>
    <w:rsid w:val="00F61ED8"/>
    <w:rsid w:val="00F64320"/>
    <w:rsid w:val="00F64C51"/>
    <w:rsid w:val="00F71E26"/>
    <w:rsid w:val="00F74351"/>
    <w:rsid w:val="00F775AD"/>
    <w:rsid w:val="00F9134A"/>
    <w:rsid w:val="00F941D4"/>
    <w:rsid w:val="00FA0439"/>
    <w:rsid w:val="00FA0C00"/>
    <w:rsid w:val="00FB0BDC"/>
    <w:rsid w:val="00FB13B6"/>
    <w:rsid w:val="00FB3E42"/>
    <w:rsid w:val="00FC1F5D"/>
    <w:rsid w:val="00FC22BA"/>
    <w:rsid w:val="00FC5724"/>
    <w:rsid w:val="00FD1FF7"/>
    <w:rsid w:val="00FD5CA1"/>
    <w:rsid w:val="00FE122A"/>
    <w:rsid w:val="00FE5AD7"/>
    <w:rsid w:val="00FE5CDD"/>
    <w:rsid w:val="00FF1AE4"/>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9D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uiPriority w:val="99"/>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styleId="FootnoteText">
    <w:name w:val="footnote text"/>
    <w:basedOn w:val="Normal"/>
    <w:link w:val="FootnoteTextChar"/>
    <w:uiPriority w:val="99"/>
    <w:unhideWhenUsed/>
    <w:rsid w:val="006A2C1C"/>
    <w:pPr>
      <w:widowControl/>
      <w:autoSpaceDE/>
      <w:autoSpaceDN/>
      <w:adjustRightInd/>
    </w:pPr>
    <w:rPr>
      <w:rFonts w:ascii="Times New Roman" w:eastAsiaTheme="minorHAnsi" w:hAnsi="Times New Roman" w:cs="Calibri"/>
      <w:szCs w:val="20"/>
    </w:rPr>
  </w:style>
  <w:style w:type="character" w:customStyle="1" w:styleId="FootnoteTextChar">
    <w:name w:val="Footnote Text Char"/>
    <w:basedOn w:val="DefaultParagraphFont"/>
    <w:link w:val="FootnoteText"/>
    <w:uiPriority w:val="99"/>
    <w:rsid w:val="006A2C1C"/>
    <w:rPr>
      <w:rFonts w:eastAsiaTheme="minorHAnsi" w:cs="Calibri"/>
    </w:rPr>
  </w:style>
  <w:style w:type="paragraph" w:styleId="Caption">
    <w:name w:val="caption"/>
    <w:basedOn w:val="Normal"/>
    <w:next w:val="Normal"/>
    <w:uiPriority w:val="35"/>
    <w:unhideWhenUsed/>
    <w:qFormat/>
    <w:locked/>
    <w:rsid w:val="006A2C1C"/>
    <w:pPr>
      <w:widowControl/>
      <w:autoSpaceDE/>
      <w:autoSpaceDN/>
      <w:adjustRightInd/>
      <w:spacing w:after="200"/>
    </w:pPr>
    <w:rPr>
      <w:rFonts w:ascii="Times New Roman" w:eastAsiaTheme="minorHAnsi" w:hAnsi="Times New Roman" w:cs="Calibri"/>
      <w:b/>
      <w:bCs/>
      <w:color w:val="4F81BD" w:themeColor="accent1"/>
      <w:sz w:val="18"/>
      <w:szCs w:val="18"/>
    </w:rPr>
  </w:style>
  <w:style w:type="character" w:styleId="FollowedHyperlink">
    <w:name w:val="FollowedHyperlink"/>
    <w:basedOn w:val="DefaultParagraphFont"/>
    <w:rsid w:val="006451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uiPriority w:val="99"/>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styleId="FootnoteText">
    <w:name w:val="footnote text"/>
    <w:basedOn w:val="Normal"/>
    <w:link w:val="FootnoteTextChar"/>
    <w:uiPriority w:val="99"/>
    <w:unhideWhenUsed/>
    <w:rsid w:val="006A2C1C"/>
    <w:pPr>
      <w:widowControl/>
      <w:autoSpaceDE/>
      <w:autoSpaceDN/>
      <w:adjustRightInd/>
    </w:pPr>
    <w:rPr>
      <w:rFonts w:ascii="Times New Roman" w:eastAsiaTheme="minorHAnsi" w:hAnsi="Times New Roman" w:cs="Calibri"/>
      <w:szCs w:val="20"/>
    </w:rPr>
  </w:style>
  <w:style w:type="character" w:customStyle="1" w:styleId="FootnoteTextChar">
    <w:name w:val="Footnote Text Char"/>
    <w:basedOn w:val="DefaultParagraphFont"/>
    <w:link w:val="FootnoteText"/>
    <w:uiPriority w:val="99"/>
    <w:rsid w:val="006A2C1C"/>
    <w:rPr>
      <w:rFonts w:eastAsiaTheme="minorHAnsi" w:cs="Calibri"/>
    </w:rPr>
  </w:style>
  <w:style w:type="paragraph" w:styleId="Caption">
    <w:name w:val="caption"/>
    <w:basedOn w:val="Normal"/>
    <w:next w:val="Normal"/>
    <w:uiPriority w:val="35"/>
    <w:unhideWhenUsed/>
    <w:qFormat/>
    <w:locked/>
    <w:rsid w:val="006A2C1C"/>
    <w:pPr>
      <w:widowControl/>
      <w:autoSpaceDE/>
      <w:autoSpaceDN/>
      <w:adjustRightInd/>
      <w:spacing w:after="200"/>
    </w:pPr>
    <w:rPr>
      <w:rFonts w:ascii="Times New Roman" w:eastAsiaTheme="minorHAnsi" w:hAnsi="Times New Roman" w:cs="Calibri"/>
      <w:b/>
      <w:bCs/>
      <w:color w:val="4F81BD" w:themeColor="accent1"/>
      <w:sz w:val="18"/>
      <w:szCs w:val="18"/>
    </w:rPr>
  </w:style>
  <w:style w:type="character" w:styleId="FollowedHyperlink">
    <w:name w:val="FollowedHyperlink"/>
    <w:basedOn w:val="DefaultParagraphFont"/>
    <w:rsid w:val="00645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fortress.wa.gov/ecy/gsp/CleanupSiteDocuments.aspx?csid=301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lark.wa.gov/recycle/leichner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227</IndustryCode>
    <CaseStatus xmlns="dc463f71-b30c-4ab2-9473-d307f9d35888">Closed</CaseStatus>
    <OpenedDate xmlns="dc463f71-b30c-4ab2-9473-d307f9d35888">2012-03-07T08:00:00+00:00</OpenedDate>
    <Date1 xmlns="dc463f71-b30c-4ab2-9473-d307f9d35888">2012-09-27T07:00:00+00:00</Date1>
    <IsDocumentOrder xmlns="dc463f71-b30c-4ab2-9473-d307f9d35888" xsi:nil="true"/>
    <IsHighlyConfidential xmlns="dc463f71-b30c-4ab2-9473-d307f9d35888">false</IsHighlyConfidential>
    <CaseCompanyNames xmlns="dc463f71-b30c-4ab2-9473-d307f9d35888">Clark County</CaseCompanyNames>
    <DocketNumber xmlns="dc463f71-b30c-4ab2-9473-d307f9d35888">120331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8CBE180FC8894DA0B747537C713DB9" ma:contentTypeVersion="139" ma:contentTypeDescription="" ma:contentTypeScope="" ma:versionID="2b7c8346482fa0d0a87671b7f08c0f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F2726-6FAD-40B2-8A4E-4A87DD740614}"/>
</file>

<file path=customXml/itemProps2.xml><?xml version="1.0" encoding="utf-8"?>
<ds:datastoreItem xmlns:ds="http://schemas.openxmlformats.org/officeDocument/2006/customXml" ds:itemID="{F3632F4E-A556-4FDD-84A7-CBC33ED8106F}"/>
</file>

<file path=customXml/itemProps3.xml><?xml version="1.0" encoding="utf-8"?>
<ds:datastoreItem xmlns:ds="http://schemas.openxmlformats.org/officeDocument/2006/customXml" ds:itemID="{58884DE4-6AE5-47F4-B0CF-C53DACF2249B}"/>
</file>

<file path=customXml/itemProps4.xml><?xml version="1.0" encoding="utf-8"?>
<ds:datastoreItem xmlns:ds="http://schemas.openxmlformats.org/officeDocument/2006/customXml" ds:itemID="{85FC3828-9F2E-4BD5-A16D-EDF36E2C7282}"/>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TG-120331 Memo 01</vt:lpstr>
    </vt:vector>
  </TitlesOfParts>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TG-120331 Memo 01</dc:title>
  <dc:creator/>
  <cp:lastModifiedBy/>
  <cp:revision>1</cp:revision>
  <dcterms:created xsi:type="dcterms:W3CDTF">2012-09-24T23:36:00Z</dcterms:created>
  <dcterms:modified xsi:type="dcterms:W3CDTF">2012-09-24T23:36:00Z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0x0101006E56B4D1795A2E4DB2F0B01679ED314A00138CBE180FC8894DA0B747537C713DB9</vt:lpwstr>
  </property>
  <property fmtid="{D5CDD505-2E9C-101B-9397-08002B2CF9AE}" pid="3" name="_docset_NoMedatataSyncRequired">
    <vt:lpwstr>False</vt:lpwstr>
  </property>
</Properties>
</file>