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0D" w:rsidRPr="008922AD" w:rsidRDefault="00A73AF9" w:rsidP="00F53968">
      <w:pPr>
        <w:jc w:val="center"/>
        <w:rPr>
          <w:rFonts w:ascii="Times New Roman" w:hAnsi="Times New Roman"/>
          <w:b/>
          <w:sz w:val="28"/>
          <w:szCs w:val="28"/>
        </w:rPr>
      </w:pPr>
      <w:r w:rsidRPr="008922AD">
        <w:rPr>
          <w:rFonts w:ascii="Times New Roman" w:hAnsi="Times New Roman"/>
          <w:b/>
          <w:sz w:val="28"/>
          <w:szCs w:val="28"/>
        </w:rPr>
        <w:t>UT</w:t>
      </w:r>
      <w:r w:rsidR="00D36BB5" w:rsidRPr="008922AD">
        <w:rPr>
          <w:rFonts w:ascii="Times New Roman" w:hAnsi="Times New Roman"/>
          <w:b/>
          <w:sz w:val="28"/>
          <w:szCs w:val="28"/>
        </w:rPr>
        <w:t>-</w:t>
      </w:r>
      <w:r w:rsidRPr="008922AD">
        <w:rPr>
          <w:rFonts w:ascii="Times New Roman" w:hAnsi="Times New Roman"/>
          <w:b/>
          <w:sz w:val="28"/>
          <w:szCs w:val="28"/>
        </w:rPr>
        <w:t>100148</w:t>
      </w:r>
      <w:r w:rsidR="001C660D" w:rsidRPr="008922AD">
        <w:rPr>
          <w:rFonts w:ascii="Times New Roman" w:hAnsi="Times New Roman"/>
          <w:b/>
          <w:sz w:val="28"/>
          <w:szCs w:val="28"/>
        </w:rPr>
        <w:t xml:space="preserve"> Rulemaking</w:t>
      </w:r>
    </w:p>
    <w:p w:rsidR="00020375" w:rsidRPr="008922AD" w:rsidRDefault="00722463" w:rsidP="00F53968">
      <w:pPr>
        <w:jc w:val="center"/>
        <w:rPr>
          <w:rFonts w:ascii="Times New Roman" w:hAnsi="Times New Roman"/>
          <w:b/>
          <w:sz w:val="28"/>
          <w:szCs w:val="28"/>
        </w:rPr>
      </w:pPr>
      <w:r>
        <w:rPr>
          <w:rFonts w:ascii="Times New Roman" w:hAnsi="Times New Roman"/>
          <w:b/>
          <w:sz w:val="28"/>
          <w:szCs w:val="28"/>
        </w:rPr>
        <w:t>Adoption Written</w:t>
      </w:r>
      <w:r w:rsidR="00A815E2">
        <w:rPr>
          <w:rFonts w:ascii="Times New Roman" w:hAnsi="Times New Roman"/>
          <w:b/>
          <w:sz w:val="28"/>
          <w:szCs w:val="28"/>
        </w:rPr>
        <w:t xml:space="preserve"> </w:t>
      </w:r>
      <w:r w:rsidR="00020375">
        <w:rPr>
          <w:rFonts w:ascii="Times New Roman" w:hAnsi="Times New Roman"/>
          <w:b/>
          <w:sz w:val="28"/>
          <w:szCs w:val="28"/>
        </w:rPr>
        <w:t>Comment Summary Matrix</w:t>
      </w:r>
    </w:p>
    <w:p w:rsidR="001C660D" w:rsidRPr="008922AD" w:rsidRDefault="00722463" w:rsidP="00F53968">
      <w:pPr>
        <w:jc w:val="center"/>
        <w:rPr>
          <w:rFonts w:ascii="Times New Roman" w:hAnsi="Times New Roman"/>
          <w:b/>
          <w:sz w:val="28"/>
          <w:szCs w:val="28"/>
        </w:rPr>
      </w:pPr>
      <w:r>
        <w:rPr>
          <w:rFonts w:ascii="Times New Roman" w:hAnsi="Times New Roman"/>
          <w:b/>
          <w:sz w:val="28"/>
          <w:szCs w:val="28"/>
        </w:rPr>
        <w:t>June 23</w:t>
      </w:r>
      <w:r w:rsidR="008922AD" w:rsidRPr="008922AD">
        <w:rPr>
          <w:rFonts w:ascii="Times New Roman" w:hAnsi="Times New Roman"/>
          <w:b/>
          <w:sz w:val="28"/>
          <w:szCs w:val="28"/>
        </w:rPr>
        <w:t>,</w:t>
      </w:r>
      <w:r w:rsidR="007A000A" w:rsidRPr="008922AD">
        <w:rPr>
          <w:rFonts w:ascii="Times New Roman" w:hAnsi="Times New Roman"/>
          <w:b/>
          <w:sz w:val="28"/>
          <w:szCs w:val="28"/>
        </w:rPr>
        <w:t xml:space="preserve"> </w:t>
      </w:r>
      <w:r w:rsidR="001C660D" w:rsidRPr="008922AD">
        <w:rPr>
          <w:rFonts w:ascii="Times New Roman" w:hAnsi="Times New Roman"/>
          <w:b/>
          <w:sz w:val="28"/>
          <w:szCs w:val="28"/>
        </w:rPr>
        <w:t>20</w:t>
      </w:r>
      <w:r w:rsidR="00A73AF9" w:rsidRPr="008922AD">
        <w:rPr>
          <w:rFonts w:ascii="Times New Roman" w:hAnsi="Times New Roman"/>
          <w:b/>
          <w:sz w:val="28"/>
          <w:szCs w:val="28"/>
        </w:rPr>
        <w:t>10</w:t>
      </w:r>
    </w:p>
    <w:p w:rsidR="001C660D" w:rsidRPr="008922AD" w:rsidRDefault="001C660D">
      <w:pPr>
        <w:rPr>
          <w:rFonts w:ascii="Times New Roman" w:hAnsi="Times New Roman"/>
          <w:sz w:val="24"/>
          <w:szCs w:val="24"/>
        </w:rPr>
      </w:pPr>
    </w:p>
    <w:tbl>
      <w:tblPr>
        <w:tblW w:w="17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2000"/>
        <w:gridCol w:w="8070"/>
        <w:gridCol w:w="4860"/>
      </w:tblGrid>
      <w:tr w:rsidR="001410C8" w:rsidRPr="008922AD" w:rsidTr="001410C8">
        <w:tc>
          <w:tcPr>
            <w:tcW w:w="2257" w:type="dxa"/>
            <w:shd w:val="pct15" w:color="auto" w:fill="auto"/>
          </w:tcPr>
          <w:p w:rsidR="001410C8" w:rsidRPr="001F6136" w:rsidRDefault="001410C8" w:rsidP="00F84C58">
            <w:pPr>
              <w:spacing w:line="240" w:lineRule="auto"/>
              <w:rPr>
                <w:rFonts w:ascii="Times New Roman" w:hAnsi="Times New Roman"/>
                <w:b/>
                <w:sz w:val="26"/>
                <w:szCs w:val="26"/>
              </w:rPr>
            </w:pPr>
            <w:r w:rsidRPr="001F6136">
              <w:rPr>
                <w:rFonts w:ascii="Times New Roman" w:hAnsi="Times New Roman"/>
                <w:b/>
                <w:sz w:val="26"/>
                <w:szCs w:val="26"/>
              </w:rPr>
              <w:t>Section</w:t>
            </w:r>
          </w:p>
        </w:tc>
        <w:tc>
          <w:tcPr>
            <w:tcW w:w="2000" w:type="dxa"/>
            <w:shd w:val="pct15" w:color="auto" w:fill="auto"/>
          </w:tcPr>
          <w:p w:rsidR="001410C8" w:rsidRPr="001F6136" w:rsidRDefault="001410C8" w:rsidP="00F84C58">
            <w:pPr>
              <w:spacing w:line="240" w:lineRule="auto"/>
              <w:rPr>
                <w:rFonts w:ascii="Times New Roman" w:hAnsi="Times New Roman"/>
                <w:b/>
                <w:sz w:val="26"/>
                <w:szCs w:val="26"/>
              </w:rPr>
            </w:pPr>
            <w:r w:rsidRPr="001F6136">
              <w:rPr>
                <w:rFonts w:ascii="Times New Roman" w:hAnsi="Times New Roman"/>
                <w:b/>
                <w:sz w:val="26"/>
                <w:szCs w:val="26"/>
              </w:rPr>
              <w:t>Commenter</w:t>
            </w:r>
          </w:p>
        </w:tc>
        <w:tc>
          <w:tcPr>
            <w:tcW w:w="8070" w:type="dxa"/>
            <w:shd w:val="pct15" w:color="auto" w:fill="auto"/>
          </w:tcPr>
          <w:p w:rsidR="001410C8" w:rsidRPr="001F6136" w:rsidRDefault="00087ADE" w:rsidP="00F84C58">
            <w:pPr>
              <w:spacing w:line="240" w:lineRule="auto"/>
              <w:rPr>
                <w:rFonts w:ascii="Times New Roman" w:hAnsi="Times New Roman"/>
                <w:b/>
                <w:sz w:val="26"/>
                <w:szCs w:val="26"/>
              </w:rPr>
            </w:pPr>
            <w:r>
              <w:rPr>
                <w:rFonts w:ascii="Times New Roman" w:hAnsi="Times New Roman"/>
                <w:b/>
                <w:sz w:val="26"/>
                <w:szCs w:val="26"/>
              </w:rPr>
              <w:t>Comments</w:t>
            </w:r>
          </w:p>
        </w:tc>
        <w:tc>
          <w:tcPr>
            <w:tcW w:w="4860" w:type="dxa"/>
            <w:shd w:val="pct15" w:color="auto" w:fill="auto"/>
          </w:tcPr>
          <w:p w:rsidR="001410C8" w:rsidRPr="001F6136" w:rsidRDefault="00087ADE" w:rsidP="00F84C58">
            <w:pPr>
              <w:spacing w:line="240" w:lineRule="auto"/>
              <w:rPr>
                <w:rFonts w:ascii="Times New Roman" w:hAnsi="Times New Roman"/>
                <w:b/>
                <w:sz w:val="26"/>
                <w:szCs w:val="26"/>
              </w:rPr>
            </w:pPr>
            <w:r>
              <w:rPr>
                <w:rFonts w:ascii="Times New Roman" w:hAnsi="Times New Roman"/>
                <w:b/>
                <w:sz w:val="26"/>
                <w:szCs w:val="26"/>
              </w:rPr>
              <w:t>Staff Response</w:t>
            </w:r>
          </w:p>
        </w:tc>
      </w:tr>
      <w:tr w:rsidR="001410C8" w:rsidRPr="008922AD" w:rsidTr="00F141DC">
        <w:tc>
          <w:tcPr>
            <w:tcW w:w="2257" w:type="dxa"/>
            <w:tcBorders>
              <w:bottom w:val="single" w:sz="4" w:space="0" w:color="000000"/>
            </w:tcBorders>
          </w:tcPr>
          <w:p w:rsidR="001410C8" w:rsidRPr="001F6136" w:rsidRDefault="001410C8" w:rsidP="00F84C58">
            <w:pPr>
              <w:spacing w:line="240" w:lineRule="auto"/>
              <w:rPr>
                <w:rFonts w:ascii="Times New Roman" w:hAnsi="Times New Roman"/>
                <w:sz w:val="26"/>
                <w:szCs w:val="26"/>
              </w:rPr>
            </w:pPr>
          </w:p>
          <w:p w:rsidR="001410C8" w:rsidRPr="001F6136" w:rsidRDefault="00087ADE" w:rsidP="00AE2080">
            <w:pPr>
              <w:spacing w:line="240" w:lineRule="auto"/>
              <w:rPr>
                <w:rFonts w:ascii="Times New Roman" w:hAnsi="Times New Roman"/>
                <w:sz w:val="26"/>
                <w:szCs w:val="26"/>
              </w:rPr>
            </w:pPr>
            <w:r>
              <w:rPr>
                <w:rFonts w:ascii="Times New Roman" w:hAnsi="Times New Roman"/>
                <w:sz w:val="26"/>
                <w:szCs w:val="26"/>
              </w:rPr>
              <w:t>WAC 480-120-264</w:t>
            </w:r>
            <w:r w:rsidR="00A21AA8" w:rsidRPr="00A21AA8">
              <w:rPr>
                <w:rFonts w:ascii="Times New Roman" w:hAnsi="Times New Roman"/>
                <w:sz w:val="26"/>
                <w:szCs w:val="26"/>
              </w:rPr>
              <w:t>(5)(a)(iii)</w:t>
            </w:r>
          </w:p>
          <w:p w:rsidR="001410C8" w:rsidRDefault="001410C8" w:rsidP="00F84C58">
            <w:pPr>
              <w:spacing w:line="240" w:lineRule="auto"/>
              <w:rPr>
                <w:rFonts w:ascii="Times New Roman" w:hAnsi="Times New Roman"/>
                <w:sz w:val="26"/>
                <w:szCs w:val="26"/>
              </w:rPr>
            </w:pPr>
          </w:p>
          <w:p w:rsidR="00027DA1" w:rsidRPr="001F6136" w:rsidRDefault="00027DA1" w:rsidP="00F84C58">
            <w:pPr>
              <w:spacing w:line="240" w:lineRule="auto"/>
              <w:rPr>
                <w:rFonts w:ascii="Times New Roman" w:hAnsi="Times New Roman"/>
                <w:sz w:val="26"/>
                <w:szCs w:val="26"/>
              </w:rPr>
            </w:pPr>
          </w:p>
        </w:tc>
        <w:tc>
          <w:tcPr>
            <w:tcW w:w="2000" w:type="dxa"/>
            <w:tcBorders>
              <w:bottom w:val="single" w:sz="4" w:space="0" w:color="000000"/>
            </w:tcBorders>
          </w:tcPr>
          <w:p w:rsidR="001410C8" w:rsidRPr="001F6136" w:rsidRDefault="001410C8" w:rsidP="00A73AF9">
            <w:pPr>
              <w:spacing w:line="240" w:lineRule="auto"/>
              <w:rPr>
                <w:rFonts w:ascii="Times New Roman" w:hAnsi="Times New Roman"/>
                <w:sz w:val="26"/>
                <w:szCs w:val="26"/>
              </w:rPr>
            </w:pPr>
          </w:p>
          <w:p w:rsidR="001410C8" w:rsidRPr="001F6136" w:rsidRDefault="00087ADE" w:rsidP="008C7CCC">
            <w:pPr>
              <w:spacing w:line="240" w:lineRule="auto"/>
              <w:rPr>
                <w:rFonts w:ascii="Times New Roman" w:hAnsi="Times New Roman"/>
                <w:sz w:val="26"/>
                <w:szCs w:val="26"/>
              </w:rPr>
            </w:pPr>
            <w:r>
              <w:rPr>
                <w:rFonts w:ascii="Times New Roman" w:hAnsi="Times New Roman"/>
                <w:sz w:val="26"/>
                <w:szCs w:val="26"/>
              </w:rPr>
              <w:t xml:space="preserve">Thomas F. Dixon on behalf of </w:t>
            </w:r>
            <w:r>
              <w:rPr>
                <w:rFonts w:ascii="Times New Roman" w:hAnsi="Times New Roman"/>
                <w:i/>
                <w:sz w:val="26"/>
                <w:szCs w:val="26"/>
              </w:rPr>
              <w:t>MCI Communications Services Inc. d/b/a Verizon Business Services</w:t>
            </w:r>
            <w:r>
              <w:rPr>
                <w:rFonts w:ascii="Times New Roman" w:hAnsi="Times New Roman"/>
                <w:sz w:val="26"/>
                <w:szCs w:val="26"/>
              </w:rPr>
              <w:t xml:space="preserve"> (“Verizon</w:t>
            </w:r>
            <w:r w:rsidR="00027DA1">
              <w:rPr>
                <w:rFonts w:ascii="Times New Roman" w:hAnsi="Times New Roman"/>
                <w:sz w:val="26"/>
                <w:szCs w:val="26"/>
              </w:rPr>
              <w:t>-MCI</w:t>
            </w:r>
            <w:r>
              <w:rPr>
                <w:rFonts w:ascii="Times New Roman" w:hAnsi="Times New Roman"/>
                <w:sz w:val="26"/>
                <w:szCs w:val="26"/>
              </w:rPr>
              <w:t>”)</w:t>
            </w:r>
          </w:p>
          <w:p w:rsidR="001410C8" w:rsidRDefault="001410C8" w:rsidP="008C7CCC">
            <w:pPr>
              <w:spacing w:line="240" w:lineRule="auto"/>
              <w:rPr>
                <w:rFonts w:ascii="Times New Roman" w:hAnsi="Times New Roman"/>
                <w:sz w:val="26"/>
                <w:szCs w:val="26"/>
              </w:rPr>
            </w:pPr>
          </w:p>
          <w:p w:rsidR="00027DA1" w:rsidRPr="001F6136" w:rsidRDefault="00027DA1" w:rsidP="008C7CCC">
            <w:pPr>
              <w:spacing w:line="240" w:lineRule="auto"/>
              <w:rPr>
                <w:rFonts w:ascii="Times New Roman" w:hAnsi="Times New Roman"/>
                <w:sz w:val="26"/>
                <w:szCs w:val="26"/>
              </w:rPr>
            </w:pPr>
          </w:p>
        </w:tc>
        <w:tc>
          <w:tcPr>
            <w:tcW w:w="8070" w:type="dxa"/>
            <w:tcBorders>
              <w:bottom w:val="single" w:sz="4" w:space="0" w:color="000000"/>
            </w:tcBorders>
          </w:tcPr>
          <w:p w:rsidR="001410C8" w:rsidRPr="001F6136" w:rsidRDefault="001410C8" w:rsidP="00A73AF9">
            <w:pPr>
              <w:spacing w:line="240" w:lineRule="auto"/>
              <w:rPr>
                <w:rFonts w:ascii="Times New Roman" w:hAnsi="Times New Roman"/>
                <w:sz w:val="26"/>
                <w:szCs w:val="26"/>
              </w:rPr>
            </w:pPr>
          </w:p>
          <w:p w:rsidR="00A779BF" w:rsidRDefault="00087ADE" w:rsidP="00F141DC">
            <w:pPr>
              <w:spacing w:line="240" w:lineRule="auto"/>
              <w:rPr>
                <w:rFonts w:ascii="Times New Roman" w:hAnsi="Times New Roman"/>
                <w:sz w:val="26"/>
                <w:szCs w:val="26"/>
              </w:rPr>
            </w:pPr>
            <w:r>
              <w:rPr>
                <w:rFonts w:ascii="Times New Roman" w:hAnsi="Times New Roman"/>
                <w:sz w:val="26"/>
                <w:szCs w:val="26"/>
              </w:rPr>
              <w:t>Verizon</w:t>
            </w:r>
            <w:r w:rsidR="00F141DC">
              <w:rPr>
                <w:rFonts w:ascii="Times New Roman" w:hAnsi="Times New Roman"/>
                <w:sz w:val="26"/>
                <w:szCs w:val="26"/>
              </w:rPr>
              <w:t>-MCI</w:t>
            </w:r>
            <w:r w:rsidR="00F743FE">
              <w:rPr>
                <w:rFonts w:ascii="Times New Roman" w:hAnsi="Times New Roman"/>
                <w:sz w:val="26"/>
                <w:szCs w:val="26"/>
              </w:rPr>
              <w:t xml:space="preserve"> initially points out</w:t>
            </w:r>
            <w:r w:rsidR="00A779BF">
              <w:rPr>
                <w:rFonts w:ascii="Times New Roman" w:hAnsi="Times New Roman"/>
                <w:sz w:val="26"/>
                <w:szCs w:val="26"/>
              </w:rPr>
              <w:t xml:space="preserve"> in its June 7, 2010, comments</w:t>
            </w:r>
            <w:r w:rsidR="00F743FE">
              <w:rPr>
                <w:rFonts w:ascii="Times New Roman" w:hAnsi="Times New Roman"/>
                <w:sz w:val="26"/>
                <w:szCs w:val="26"/>
              </w:rPr>
              <w:t xml:space="preserve"> that the current rule does not require</w:t>
            </w:r>
            <w:r w:rsidR="00A779BF">
              <w:rPr>
                <w:rFonts w:ascii="Times New Roman" w:hAnsi="Times New Roman"/>
                <w:sz w:val="26"/>
                <w:szCs w:val="26"/>
              </w:rPr>
              <w:t xml:space="preserve"> disclosure of</w:t>
            </w:r>
            <w:r w:rsidR="00F743FE">
              <w:rPr>
                <w:rFonts w:ascii="Times New Roman" w:hAnsi="Times New Roman"/>
                <w:sz w:val="26"/>
                <w:szCs w:val="26"/>
              </w:rPr>
              <w:t xml:space="preserve"> t</w:t>
            </w:r>
            <w:r w:rsidR="00F743FE" w:rsidRPr="00F743FE">
              <w:rPr>
                <w:rFonts w:ascii="Times New Roman" w:hAnsi="Times New Roman"/>
                <w:sz w:val="26"/>
                <w:szCs w:val="26"/>
              </w:rPr>
              <w:t>he maximum charge per billing increment</w:t>
            </w:r>
            <w:r w:rsidR="00F743FE">
              <w:rPr>
                <w:rFonts w:ascii="Times New Roman" w:hAnsi="Times New Roman"/>
                <w:sz w:val="26"/>
                <w:szCs w:val="26"/>
              </w:rPr>
              <w:t xml:space="preserve"> for </w:t>
            </w:r>
            <w:r w:rsidR="00F743FE" w:rsidRPr="00A779BF">
              <w:rPr>
                <w:rFonts w:ascii="Times New Roman" w:hAnsi="Times New Roman"/>
                <w:b/>
                <w:sz w:val="26"/>
                <w:szCs w:val="26"/>
                <w:u w:val="single"/>
              </w:rPr>
              <w:t>international</w:t>
            </w:r>
            <w:r w:rsidR="00F743FE">
              <w:rPr>
                <w:rFonts w:ascii="Times New Roman" w:hAnsi="Times New Roman"/>
                <w:sz w:val="26"/>
                <w:szCs w:val="26"/>
              </w:rPr>
              <w:t xml:space="preserve"> calls</w:t>
            </w:r>
            <w:r w:rsidR="00A779BF">
              <w:rPr>
                <w:rFonts w:ascii="Times New Roman" w:hAnsi="Times New Roman"/>
                <w:sz w:val="26"/>
                <w:szCs w:val="26"/>
              </w:rPr>
              <w:t xml:space="preserve"> in WAC 480-120-264(5)(a)(iii).</w:t>
            </w:r>
          </w:p>
          <w:p w:rsidR="00F141DC" w:rsidRPr="001F6136" w:rsidRDefault="00A779BF" w:rsidP="00F141DC">
            <w:pPr>
              <w:spacing w:line="240" w:lineRule="auto"/>
              <w:rPr>
                <w:rFonts w:ascii="Times New Roman" w:hAnsi="Times New Roman"/>
                <w:sz w:val="26"/>
                <w:szCs w:val="26"/>
              </w:rPr>
            </w:pPr>
            <w:r>
              <w:rPr>
                <w:rFonts w:ascii="Times New Roman" w:hAnsi="Times New Roman"/>
                <w:sz w:val="26"/>
                <w:szCs w:val="26"/>
              </w:rPr>
              <w:t>Verizon-MCI nonetheless</w:t>
            </w:r>
            <w:r w:rsidR="00F743FE">
              <w:rPr>
                <w:rFonts w:ascii="Times New Roman" w:hAnsi="Times New Roman"/>
                <w:sz w:val="26"/>
                <w:szCs w:val="26"/>
              </w:rPr>
              <w:t xml:space="preserve"> </w:t>
            </w:r>
            <w:r>
              <w:rPr>
                <w:rFonts w:ascii="Times New Roman" w:hAnsi="Times New Roman"/>
                <w:sz w:val="26"/>
                <w:szCs w:val="26"/>
              </w:rPr>
              <w:t xml:space="preserve">does </w:t>
            </w:r>
            <w:r w:rsidR="00F743FE">
              <w:rPr>
                <w:rFonts w:ascii="Times New Roman" w:hAnsi="Times New Roman"/>
                <w:sz w:val="26"/>
                <w:szCs w:val="26"/>
              </w:rPr>
              <w:t xml:space="preserve">recognize that the Commission </w:t>
            </w:r>
            <w:r>
              <w:rPr>
                <w:rFonts w:ascii="Times New Roman" w:hAnsi="Times New Roman"/>
                <w:sz w:val="26"/>
                <w:szCs w:val="26"/>
              </w:rPr>
              <w:t xml:space="preserve">has </w:t>
            </w:r>
            <w:r w:rsidR="00F743FE" w:rsidRPr="00F743FE">
              <w:rPr>
                <w:rFonts w:ascii="Times New Roman" w:hAnsi="Times New Roman"/>
                <w:sz w:val="26"/>
                <w:szCs w:val="26"/>
              </w:rPr>
              <w:t>propose</w:t>
            </w:r>
            <w:r>
              <w:rPr>
                <w:rFonts w:ascii="Times New Roman" w:hAnsi="Times New Roman"/>
                <w:sz w:val="26"/>
                <w:szCs w:val="26"/>
              </w:rPr>
              <w:t>d</w:t>
            </w:r>
            <w:r w:rsidR="00F743FE" w:rsidRPr="00F743FE">
              <w:rPr>
                <w:rFonts w:ascii="Times New Roman" w:hAnsi="Times New Roman"/>
                <w:sz w:val="26"/>
                <w:szCs w:val="26"/>
              </w:rPr>
              <w:t xml:space="preserve"> to adopt Verizon</w:t>
            </w:r>
            <w:r w:rsidR="00F743FE">
              <w:rPr>
                <w:rFonts w:ascii="Times New Roman" w:hAnsi="Times New Roman"/>
                <w:sz w:val="26"/>
                <w:szCs w:val="26"/>
              </w:rPr>
              <w:t>-MCI’s March 22, 2010,</w:t>
            </w:r>
            <w:r w:rsidR="00F743FE" w:rsidRPr="00F743FE">
              <w:rPr>
                <w:rFonts w:ascii="Times New Roman" w:hAnsi="Times New Roman"/>
                <w:sz w:val="26"/>
                <w:szCs w:val="26"/>
              </w:rPr>
              <w:t xml:space="preserve"> r</w:t>
            </w:r>
            <w:r>
              <w:rPr>
                <w:rFonts w:ascii="Times New Roman" w:hAnsi="Times New Roman"/>
                <w:sz w:val="26"/>
                <w:szCs w:val="26"/>
              </w:rPr>
              <w:t xml:space="preserve">ecommendation for </w:t>
            </w:r>
            <w:r w:rsidR="00F743FE" w:rsidRPr="00F743FE">
              <w:rPr>
                <w:rFonts w:ascii="Times New Roman" w:hAnsi="Times New Roman"/>
                <w:sz w:val="26"/>
                <w:szCs w:val="26"/>
              </w:rPr>
              <w:t xml:space="preserve">WAC 480-120-264(5)(a)(iv) </w:t>
            </w:r>
            <w:r>
              <w:rPr>
                <w:rFonts w:ascii="Times New Roman" w:hAnsi="Times New Roman"/>
                <w:sz w:val="26"/>
                <w:szCs w:val="26"/>
              </w:rPr>
              <w:t xml:space="preserve">regarding the disclosure of information </w:t>
            </w:r>
            <w:r w:rsidR="00F743FE">
              <w:rPr>
                <w:rFonts w:ascii="Times New Roman" w:hAnsi="Times New Roman"/>
                <w:sz w:val="26"/>
                <w:szCs w:val="26"/>
              </w:rPr>
              <w:t>for consumers to determine the number of minutes purchased by dividing the value of the service</w:t>
            </w:r>
            <w:r>
              <w:rPr>
                <w:rFonts w:ascii="Times New Roman" w:hAnsi="Times New Roman"/>
                <w:sz w:val="26"/>
                <w:szCs w:val="26"/>
              </w:rPr>
              <w:t xml:space="preserve"> by the rates from which the minutes may be derived.</w:t>
            </w:r>
          </w:p>
          <w:p w:rsidR="001410C8" w:rsidRPr="001F6136" w:rsidRDefault="001410C8" w:rsidP="00E77755">
            <w:pPr>
              <w:spacing w:line="240" w:lineRule="auto"/>
              <w:rPr>
                <w:rFonts w:ascii="Times New Roman" w:hAnsi="Times New Roman"/>
                <w:sz w:val="26"/>
                <w:szCs w:val="26"/>
              </w:rPr>
            </w:pPr>
          </w:p>
          <w:p w:rsidR="00CF3541" w:rsidRPr="006810F5" w:rsidRDefault="00CF3541" w:rsidP="00CF3541">
            <w:pPr>
              <w:spacing w:line="240" w:lineRule="auto"/>
              <w:rPr>
                <w:rFonts w:ascii="Times New Roman" w:hAnsi="Times New Roman"/>
                <w:sz w:val="26"/>
                <w:szCs w:val="26"/>
              </w:rPr>
            </w:pPr>
            <w:r>
              <w:rPr>
                <w:rFonts w:ascii="Times New Roman" w:hAnsi="Times New Roman"/>
                <w:sz w:val="26"/>
                <w:szCs w:val="26"/>
              </w:rPr>
              <w:t xml:space="preserve">Verizon-MCI </w:t>
            </w:r>
            <w:r w:rsidRPr="006810F5">
              <w:rPr>
                <w:rFonts w:ascii="Times New Roman" w:hAnsi="Times New Roman"/>
                <w:sz w:val="26"/>
                <w:szCs w:val="26"/>
              </w:rPr>
              <w:t>recommends that the Commission amend proposed subsection WAC 480-120-264(5)(a)(iii) to read as follows:</w:t>
            </w:r>
          </w:p>
          <w:p w:rsidR="00CF3541" w:rsidRDefault="00CF3541" w:rsidP="00CF3541">
            <w:pPr>
              <w:spacing w:line="240" w:lineRule="auto"/>
              <w:rPr>
                <w:rFonts w:ascii="Times New Roman" w:hAnsi="Times New Roman"/>
                <w:sz w:val="26"/>
                <w:szCs w:val="26"/>
              </w:rPr>
            </w:pPr>
          </w:p>
          <w:p w:rsidR="00CF3541" w:rsidRPr="006810F5" w:rsidRDefault="00CF3541" w:rsidP="00CF3541">
            <w:pPr>
              <w:spacing w:line="240" w:lineRule="auto"/>
              <w:ind w:left="720"/>
              <w:rPr>
                <w:rFonts w:ascii="Times New Roman" w:hAnsi="Times New Roman"/>
                <w:sz w:val="26"/>
                <w:szCs w:val="26"/>
              </w:rPr>
            </w:pPr>
            <w:r w:rsidRPr="006810F5">
              <w:rPr>
                <w:rFonts w:ascii="Times New Roman" w:hAnsi="Times New Roman"/>
                <w:sz w:val="26"/>
                <w:szCs w:val="26"/>
              </w:rPr>
              <w:t xml:space="preserve"> (iii) The maximum charge per billing increment. A PPCS provider charging varying rates for intrastate</w:t>
            </w:r>
            <w:r w:rsidRPr="006810F5">
              <w:rPr>
                <w:rFonts w:ascii="Times New Roman" w:hAnsi="Times New Roman"/>
                <w:sz w:val="26"/>
                <w:szCs w:val="26"/>
                <w:u w:val="single"/>
              </w:rPr>
              <w:t xml:space="preserve">, </w:t>
            </w:r>
            <w:r w:rsidRPr="006810F5">
              <w:rPr>
                <w:rFonts w:ascii="Times New Roman" w:hAnsi="Times New Roman"/>
                <w:sz w:val="26"/>
                <w:szCs w:val="26"/>
              </w:rPr>
              <w:t>((</w:t>
            </w:r>
            <w:r w:rsidRPr="006810F5">
              <w:rPr>
                <w:rFonts w:ascii="Times New Roman" w:hAnsi="Times New Roman"/>
                <w:strike/>
                <w:sz w:val="26"/>
                <w:szCs w:val="26"/>
              </w:rPr>
              <w:t>and</w:t>
            </w:r>
            <w:r w:rsidRPr="006810F5">
              <w:rPr>
                <w:rFonts w:ascii="Times New Roman" w:hAnsi="Times New Roman"/>
                <w:sz w:val="26"/>
                <w:szCs w:val="26"/>
              </w:rPr>
              <w:t>)) interstate</w:t>
            </w:r>
            <w:r w:rsidRPr="006810F5">
              <w:rPr>
                <w:rFonts w:ascii="Times New Roman" w:hAnsi="Times New Roman"/>
                <w:sz w:val="26"/>
                <w:szCs w:val="26"/>
                <w:u w:val="single"/>
              </w:rPr>
              <w:t>, and international</w:t>
            </w:r>
            <w:r w:rsidRPr="006810F5">
              <w:rPr>
                <w:rFonts w:ascii="Times New Roman" w:hAnsi="Times New Roman"/>
                <w:sz w:val="26"/>
                <w:szCs w:val="26"/>
              </w:rPr>
              <w:t xml:space="preserve"> calls must disclose all applicable rates</w:t>
            </w:r>
            <w:r w:rsidRPr="006810F5">
              <w:rPr>
                <w:rFonts w:ascii="Times New Roman" w:hAnsi="Times New Roman"/>
                <w:color w:val="FF0000"/>
                <w:sz w:val="26"/>
                <w:szCs w:val="26"/>
                <w:u w:val="single"/>
              </w:rPr>
              <w:t xml:space="preserve"> OR PROVIDE A TOLL-FREE CUSTOMER SERVICE NUMBER ON THE PREPAID CALLING CARD OR PACKAGING WHERE A CONSUMER MAY OBTAIN THE RATES FOR INTERNATIONAL OR OTHER OUT-OF-STATE CALLS PRIOR TO PURCHASING THE PREPAID CALLING CARD</w:t>
            </w:r>
            <w:r w:rsidRPr="006810F5">
              <w:rPr>
                <w:rFonts w:ascii="Times New Roman" w:hAnsi="Times New Roman"/>
                <w:sz w:val="26"/>
                <w:szCs w:val="26"/>
              </w:rPr>
              <w:t>;</w:t>
            </w:r>
          </w:p>
          <w:p w:rsidR="00CF3541" w:rsidRDefault="00CF3541" w:rsidP="00CF3541">
            <w:pPr>
              <w:spacing w:line="240" w:lineRule="auto"/>
              <w:rPr>
                <w:rFonts w:ascii="Times New Roman" w:hAnsi="Times New Roman"/>
                <w:sz w:val="26"/>
                <w:szCs w:val="26"/>
              </w:rPr>
            </w:pPr>
          </w:p>
          <w:p w:rsidR="00CF3541" w:rsidRDefault="00CF3541" w:rsidP="00CF3541">
            <w:pPr>
              <w:spacing w:line="240" w:lineRule="auto"/>
              <w:rPr>
                <w:rFonts w:ascii="Times New Roman" w:hAnsi="Times New Roman"/>
                <w:sz w:val="26"/>
                <w:szCs w:val="26"/>
              </w:rPr>
            </w:pPr>
            <w:r>
              <w:rPr>
                <w:rFonts w:ascii="Times New Roman" w:hAnsi="Times New Roman"/>
                <w:sz w:val="26"/>
                <w:szCs w:val="26"/>
              </w:rPr>
              <w:t>Verizon-MCI recommends this</w:t>
            </w:r>
            <w:r w:rsidRPr="006810F5">
              <w:rPr>
                <w:rFonts w:ascii="Times New Roman" w:hAnsi="Times New Roman"/>
                <w:sz w:val="26"/>
                <w:szCs w:val="26"/>
              </w:rPr>
              <w:t xml:space="preserve"> amendment because there is insufficient space</w:t>
            </w:r>
            <w:r>
              <w:rPr>
                <w:rFonts w:ascii="Times New Roman" w:hAnsi="Times New Roman"/>
                <w:sz w:val="26"/>
                <w:szCs w:val="26"/>
              </w:rPr>
              <w:t xml:space="preserve"> on the card or its packaging for every international combination.</w:t>
            </w:r>
          </w:p>
          <w:p w:rsidR="00CF3541" w:rsidRDefault="00CF3541" w:rsidP="00E77755">
            <w:pPr>
              <w:spacing w:line="240" w:lineRule="auto"/>
              <w:rPr>
                <w:rFonts w:ascii="Times New Roman" w:hAnsi="Times New Roman"/>
                <w:sz w:val="26"/>
                <w:szCs w:val="26"/>
              </w:rPr>
            </w:pPr>
          </w:p>
          <w:p w:rsidR="00CF3541" w:rsidRPr="001F6136" w:rsidRDefault="00CF3541" w:rsidP="00E77755">
            <w:pPr>
              <w:spacing w:line="240" w:lineRule="auto"/>
              <w:rPr>
                <w:rFonts w:ascii="Times New Roman" w:hAnsi="Times New Roman"/>
                <w:sz w:val="26"/>
                <w:szCs w:val="26"/>
              </w:rPr>
            </w:pPr>
          </w:p>
        </w:tc>
        <w:tc>
          <w:tcPr>
            <w:tcW w:w="4860" w:type="dxa"/>
            <w:tcBorders>
              <w:bottom w:val="single" w:sz="4" w:space="0" w:color="000000"/>
            </w:tcBorders>
          </w:tcPr>
          <w:p w:rsidR="001410C8" w:rsidRPr="001F6136" w:rsidRDefault="001410C8" w:rsidP="00816FF5">
            <w:pPr>
              <w:autoSpaceDE w:val="0"/>
              <w:autoSpaceDN w:val="0"/>
              <w:spacing w:line="240" w:lineRule="atLeast"/>
              <w:rPr>
                <w:rFonts w:ascii="Times New Roman" w:hAnsi="Times New Roman"/>
                <w:b/>
                <w:sz w:val="26"/>
                <w:szCs w:val="26"/>
              </w:rPr>
            </w:pPr>
          </w:p>
          <w:p w:rsidR="001410C8" w:rsidRPr="001F6136" w:rsidRDefault="00087ADE" w:rsidP="00816FF5">
            <w:pPr>
              <w:autoSpaceDE w:val="0"/>
              <w:autoSpaceDN w:val="0"/>
              <w:spacing w:line="240" w:lineRule="atLeast"/>
              <w:rPr>
                <w:rFonts w:ascii="Times New Roman" w:hAnsi="Times New Roman"/>
                <w:b/>
                <w:sz w:val="26"/>
                <w:szCs w:val="26"/>
              </w:rPr>
            </w:pPr>
            <w:r>
              <w:rPr>
                <w:rFonts w:ascii="Times New Roman" w:hAnsi="Times New Roman"/>
                <w:b/>
                <w:sz w:val="26"/>
                <w:szCs w:val="26"/>
              </w:rPr>
              <w:t xml:space="preserve">Staff </w:t>
            </w:r>
            <w:r w:rsidR="00A779BF">
              <w:rPr>
                <w:rFonts w:ascii="Times New Roman" w:hAnsi="Times New Roman"/>
                <w:b/>
                <w:sz w:val="26"/>
                <w:szCs w:val="26"/>
              </w:rPr>
              <w:t>clarifies</w:t>
            </w:r>
            <w:r w:rsidR="00D40EF0">
              <w:rPr>
                <w:rFonts w:ascii="Times New Roman" w:hAnsi="Times New Roman"/>
                <w:b/>
                <w:sz w:val="26"/>
                <w:szCs w:val="26"/>
              </w:rPr>
              <w:t xml:space="preserve"> intent</w:t>
            </w:r>
            <w:r>
              <w:rPr>
                <w:rFonts w:ascii="Times New Roman" w:hAnsi="Times New Roman"/>
                <w:b/>
                <w:sz w:val="26"/>
                <w:szCs w:val="26"/>
              </w:rPr>
              <w:t xml:space="preserve">.  </w:t>
            </w:r>
          </w:p>
          <w:p w:rsidR="00F141DC" w:rsidRPr="001F6136" w:rsidRDefault="00A779BF" w:rsidP="00F141DC">
            <w:pPr>
              <w:autoSpaceDE w:val="0"/>
              <w:autoSpaceDN w:val="0"/>
              <w:spacing w:line="240" w:lineRule="atLeast"/>
              <w:rPr>
                <w:rFonts w:ascii="Times New Roman" w:hAnsi="Times New Roman"/>
                <w:color w:val="000000" w:themeColor="text1"/>
                <w:sz w:val="26"/>
                <w:szCs w:val="26"/>
              </w:rPr>
            </w:pPr>
            <w:r>
              <w:rPr>
                <w:rFonts w:ascii="Times New Roman" w:hAnsi="Times New Roman"/>
                <w:color w:val="000000" w:themeColor="text1"/>
                <w:sz w:val="26"/>
                <w:szCs w:val="26"/>
              </w:rPr>
              <w:t>The comments provided by Verizon-MCI are well taken, but not unanticipated</w:t>
            </w:r>
            <w:r w:rsidR="00F141DC">
              <w:rPr>
                <w:rFonts w:ascii="Times New Roman" w:hAnsi="Times New Roman"/>
                <w:color w:val="000000" w:themeColor="text1"/>
                <w:sz w:val="26"/>
                <w:szCs w:val="26"/>
              </w:rPr>
              <w:t>.</w:t>
            </w:r>
            <w:r>
              <w:rPr>
                <w:rFonts w:ascii="Times New Roman" w:hAnsi="Times New Roman"/>
                <w:color w:val="000000" w:themeColor="text1"/>
                <w:sz w:val="26"/>
                <w:szCs w:val="26"/>
              </w:rPr>
              <w:t xml:space="preserve"> By proposing to adopt Verizon-MCI’s March 22, 2010, recommendation, the Commission proposed to add </w:t>
            </w:r>
            <w:r w:rsidRPr="00A779BF">
              <w:rPr>
                <w:rFonts w:ascii="Times New Roman" w:hAnsi="Times New Roman"/>
                <w:b/>
                <w:color w:val="000000" w:themeColor="text1"/>
                <w:sz w:val="26"/>
                <w:szCs w:val="26"/>
                <w:u w:val="single"/>
              </w:rPr>
              <w:t>international</w:t>
            </w:r>
            <w:r>
              <w:rPr>
                <w:rFonts w:ascii="Times New Roman" w:hAnsi="Times New Roman"/>
                <w:color w:val="000000" w:themeColor="text1"/>
                <w:sz w:val="26"/>
                <w:szCs w:val="26"/>
              </w:rPr>
              <w:t xml:space="preserve"> to the disclosure of charges per billing increment so that consumers would be able to determine the number of minutes they would be purchasing. This intent underlies the entire purpose of this rulemaking.</w:t>
            </w:r>
          </w:p>
          <w:p w:rsidR="00D40EF0" w:rsidRDefault="00D40EF0" w:rsidP="0024379E">
            <w:pPr>
              <w:autoSpaceDE w:val="0"/>
              <w:autoSpaceDN w:val="0"/>
              <w:spacing w:line="240" w:lineRule="atLeast"/>
              <w:rPr>
                <w:rFonts w:ascii="Times New Roman" w:hAnsi="Times New Roman"/>
                <w:sz w:val="26"/>
                <w:szCs w:val="26"/>
              </w:rPr>
            </w:pPr>
          </w:p>
          <w:p w:rsidR="00F141DC" w:rsidRDefault="00CF3541" w:rsidP="00CF3541">
            <w:pPr>
              <w:autoSpaceDE w:val="0"/>
              <w:autoSpaceDN w:val="0"/>
              <w:spacing w:line="240" w:lineRule="atLeast"/>
              <w:rPr>
                <w:rFonts w:ascii="Times New Roman" w:hAnsi="Times New Roman"/>
                <w:sz w:val="26"/>
                <w:szCs w:val="26"/>
              </w:rPr>
            </w:pPr>
            <w:r>
              <w:rPr>
                <w:rFonts w:ascii="Times New Roman" w:hAnsi="Times New Roman"/>
                <w:sz w:val="26"/>
                <w:szCs w:val="26"/>
              </w:rPr>
              <w:t>Staff agrees with the availability of a toll-free customer service number, but that is already a provision of the current rule unde</w:t>
            </w:r>
            <w:r w:rsidR="004E28CA">
              <w:rPr>
                <w:rFonts w:ascii="Times New Roman" w:hAnsi="Times New Roman"/>
                <w:sz w:val="26"/>
                <w:szCs w:val="26"/>
              </w:rPr>
              <w:t>r WAC 480-120-264(5</w:t>
            </w:r>
            <w:proofErr w:type="gramStart"/>
            <w:r w:rsidR="004E28CA">
              <w:rPr>
                <w:rFonts w:ascii="Times New Roman" w:hAnsi="Times New Roman"/>
                <w:sz w:val="26"/>
                <w:szCs w:val="26"/>
              </w:rPr>
              <w:t>)(</w:t>
            </w:r>
            <w:proofErr w:type="gramEnd"/>
            <w:r w:rsidR="004E28CA">
              <w:rPr>
                <w:rFonts w:ascii="Times New Roman" w:hAnsi="Times New Roman"/>
                <w:sz w:val="26"/>
                <w:szCs w:val="26"/>
              </w:rPr>
              <w:t>b)(</w:t>
            </w:r>
            <w:proofErr w:type="spellStart"/>
            <w:r w:rsidR="004E28CA">
              <w:rPr>
                <w:rFonts w:ascii="Times New Roman" w:hAnsi="Times New Roman"/>
                <w:sz w:val="26"/>
                <w:szCs w:val="26"/>
              </w:rPr>
              <w:t>i</w:t>
            </w:r>
            <w:proofErr w:type="spellEnd"/>
            <w:r w:rsidR="004E28CA">
              <w:rPr>
                <w:rFonts w:ascii="Times New Roman" w:hAnsi="Times New Roman"/>
                <w:sz w:val="26"/>
                <w:szCs w:val="26"/>
              </w:rPr>
              <w:t>); and as long as the advertising is not inconsistent with the quoted rates. Indeed, WAC 480-120-266(1</w:t>
            </w:r>
            <w:proofErr w:type="gramStart"/>
            <w:r w:rsidR="004E28CA">
              <w:rPr>
                <w:rFonts w:ascii="Times New Roman" w:hAnsi="Times New Roman"/>
                <w:sz w:val="26"/>
                <w:szCs w:val="26"/>
              </w:rPr>
              <w:t>)(</w:t>
            </w:r>
            <w:proofErr w:type="gramEnd"/>
            <w:r w:rsidR="004E28CA">
              <w:rPr>
                <w:rFonts w:ascii="Times New Roman" w:hAnsi="Times New Roman"/>
                <w:sz w:val="26"/>
                <w:szCs w:val="26"/>
              </w:rPr>
              <w:t>c) also applies.</w:t>
            </w:r>
            <w:r>
              <w:rPr>
                <w:rFonts w:ascii="Times New Roman" w:hAnsi="Times New Roman"/>
                <w:sz w:val="26"/>
                <w:szCs w:val="26"/>
              </w:rPr>
              <w:t xml:space="preserve"> With respect to the prior di</w:t>
            </w:r>
            <w:r w:rsidR="00B209CB">
              <w:rPr>
                <w:rFonts w:ascii="Times New Roman" w:hAnsi="Times New Roman"/>
                <w:sz w:val="26"/>
                <w:szCs w:val="26"/>
              </w:rPr>
              <w:t>sclosure of international rates</w:t>
            </w:r>
            <w:r>
              <w:rPr>
                <w:rFonts w:ascii="Times New Roman" w:hAnsi="Times New Roman"/>
                <w:sz w:val="26"/>
                <w:szCs w:val="26"/>
              </w:rPr>
              <w:t>,</w:t>
            </w:r>
            <w:r w:rsidR="00B209CB">
              <w:rPr>
                <w:rFonts w:ascii="Times New Roman" w:hAnsi="Times New Roman"/>
                <w:sz w:val="26"/>
                <w:szCs w:val="26"/>
              </w:rPr>
              <w:t xml:space="preserve"> Staff has developed the consensus approach which addresses international rates through clarification of WAC 480-120-264(5</w:t>
            </w:r>
            <w:proofErr w:type="gramStart"/>
            <w:r w:rsidR="00B209CB">
              <w:rPr>
                <w:rFonts w:ascii="Times New Roman" w:hAnsi="Times New Roman"/>
                <w:sz w:val="26"/>
                <w:szCs w:val="26"/>
              </w:rPr>
              <w:t>)(</w:t>
            </w:r>
            <w:proofErr w:type="gramEnd"/>
            <w:r w:rsidR="00B209CB">
              <w:rPr>
                <w:rFonts w:ascii="Times New Roman" w:hAnsi="Times New Roman"/>
                <w:sz w:val="26"/>
                <w:szCs w:val="26"/>
              </w:rPr>
              <w:t>d)</w:t>
            </w:r>
            <w:r>
              <w:rPr>
                <w:rFonts w:ascii="Times New Roman" w:hAnsi="Times New Roman"/>
                <w:sz w:val="26"/>
                <w:szCs w:val="26"/>
              </w:rPr>
              <w:t>.</w:t>
            </w:r>
          </w:p>
          <w:p w:rsidR="00CF3541" w:rsidRDefault="00CF3541" w:rsidP="00CF3541">
            <w:pPr>
              <w:autoSpaceDE w:val="0"/>
              <w:autoSpaceDN w:val="0"/>
              <w:spacing w:line="240" w:lineRule="atLeast"/>
              <w:rPr>
                <w:rFonts w:ascii="Times New Roman" w:hAnsi="Times New Roman"/>
                <w:sz w:val="26"/>
                <w:szCs w:val="26"/>
              </w:rPr>
            </w:pPr>
          </w:p>
          <w:p w:rsidR="00CF3541" w:rsidRPr="001F6136" w:rsidRDefault="00CF3541" w:rsidP="00CF3541">
            <w:pPr>
              <w:autoSpaceDE w:val="0"/>
              <w:autoSpaceDN w:val="0"/>
              <w:spacing w:line="240" w:lineRule="atLeast"/>
              <w:rPr>
                <w:rFonts w:ascii="Times New Roman" w:hAnsi="Times New Roman"/>
                <w:sz w:val="26"/>
                <w:szCs w:val="26"/>
              </w:rPr>
            </w:pPr>
          </w:p>
        </w:tc>
      </w:tr>
      <w:tr w:rsidR="00F141DC" w:rsidRPr="008922AD" w:rsidTr="00F141DC">
        <w:tc>
          <w:tcPr>
            <w:tcW w:w="2257" w:type="dxa"/>
            <w:shd w:val="pct15" w:color="auto" w:fill="auto"/>
          </w:tcPr>
          <w:p w:rsidR="00F141DC" w:rsidRPr="001F6136" w:rsidRDefault="00F141DC" w:rsidP="00F141DC">
            <w:pPr>
              <w:spacing w:line="240" w:lineRule="auto"/>
              <w:rPr>
                <w:rFonts w:ascii="Times New Roman" w:hAnsi="Times New Roman"/>
                <w:b/>
                <w:sz w:val="26"/>
                <w:szCs w:val="26"/>
              </w:rPr>
            </w:pPr>
            <w:r w:rsidRPr="001F6136">
              <w:rPr>
                <w:rFonts w:ascii="Times New Roman" w:hAnsi="Times New Roman"/>
                <w:b/>
                <w:sz w:val="26"/>
                <w:szCs w:val="26"/>
              </w:rPr>
              <w:lastRenderedPageBreak/>
              <w:t>Section</w:t>
            </w:r>
          </w:p>
        </w:tc>
        <w:tc>
          <w:tcPr>
            <w:tcW w:w="2000" w:type="dxa"/>
            <w:shd w:val="pct15" w:color="auto" w:fill="auto"/>
          </w:tcPr>
          <w:p w:rsidR="00F141DC" w:rsidRPr="001F6136" w:rsidRDefault="00F141DC" w:rsidP="00F141DC">
            <w:pPr>
              <w:spacing w:line="240" w:lineRule="auto"/>
              <w:rPr>
                <w:rFonts w:ascii="Times New Roman" w:hAnsi="Times New Roman"/>
                <w:b/>
                <w:sz w:val="26"/>
                <w:szCs w:val="26"/>
              </w:rPr>
            </w:pPr>
            <w:r w:rsidRPr="001F6136">
              <w:rPr>
                <w:rFonts w:ascii="Times New Roman" w:hAnsi="Times New Roman"/>
                <w:b/>
                <w:sz w:val="26"/>
                <w:szCs w:val="26"/>
              </w:rPr>
              <w:t>Commenter</w:t>
            </w:r>
          </w:p>
        </w:tc>
        <w:tc>
          <w:tcPr>
            <w:tcW w:w="8070" w:type="dxa"/>
            <w:shd w:val="pct15" w:color="auto" w:fill="auto"/>
          </w:tcPr>
          <w:p w:rsidR="00F141DC" w:rsidRPr="001F6136" w:rsidRDefault="00F141DC" w:rsidP="00F141DC">
            <w:pPr>
              <w:spacing w:line="240" w:lineRule="auto"/>
              <w:rPr>
                <w:rFonts w:ascii="Times New Roman" w:hAnsi="Times New Roman"/>
                <w:b/>
                <w:sz w:val="26"/>
                <w:szCs w:val="26"/>
              </w:rPr>
            </w:pPr>
            <w:r>
              <w:rPr>
                <w:rFonts w:ascii="Times New Roman" w:hAnsi="Times New Roman"/>
                <w:b/>
                <w:sz w:val="26"/>
                <w:szCs w:val="26"/>
              </w:rPr>
              <w:t>Comments</w:t>
            </w:r>
          </w:p>
        </w:tc>
        <w:tc>
          <w:tcPr>
            <w:tcW w:w="4860" w:type="dxa"/>
            <w:shd w:val="pct15" w:color="auto" w:fill="auto"/>
          </w:tcPr>
          <w:p w:rsidR="00F141DC" w:rsidRPr="001F6136" w:rsidRDefault="00F141DC" w:rsidP="00F141DC">
            <w:pPr>
              <w:spacing w:line="240" w:lineRule="auto"/>
              <w:rPr>
                <w:rFonts w:ascii="Times New Roman" w:hAnsi="Times New Roman"/>
                <w:b/>
                <w:sz w:val="26"/>
                <w:szCs w:val="26"/>
              </w:rPr>
            </w:pPr>
            <w:r>
              <w:rPr>
                <w:rFonts w:ascii="Times New Roman" w:hAnsi="Times New Roman"/>
                <w:b/>
                <w:sz w:val="26"/>
                <w:szCs w:val="26"/>
              </w:rPr>
              <w:t>Staff Response</w:t>
            </w:r>
          </w:p>
        </w:tc>
      </w:tr>
      <w:tr w:rsidR="00F141DC" w:rsidRPr="008922AD" w:rsidTr="001410C8">
        <w:tc>
          <w:tcPr>
            <w:tcW w:w="2257" w:type="dxa"/>
          </w:tcPr>
          <w:p w:rsidR="00F141DC" w:rsidRPr="001F6136" w:rsidRDefault="00F141DC" w:rsidP="00AE2080">
            <w:pPr>
              <w:spacing w:line="240" w:lineRule="auto"/>
              <w:rPr>
                <w:rFonts w:ascii="Times New Roman" w:hAnsi="Times New Roman"/>
                <w:sz w:val="26"/>
                <w:szCs w:val="26"/>
              </w:rPr>
            </w:pPr>
          </w:p>
          <w:p w:rsidR="00F141DC" w:rsidRPr="001F6136" w:rsidRDefault="00F141DC" w:rsidP="00AE2080">
            <w:pPr>
              <w:spacing w:line="240" w:lineRule="auto"/>
              <w:rPr>
                <w:rFonts w:ascii="Times New Roman" w:hAnsi="Times New Roman"/>
                <w:sz w:val="26"/>
                <w:szCs w:val="26"/>
              </w:rPr>
            </w:pPr>
            <w:r>
              <w:rPr>
                <w:rFonts w:ascii="Times New Roman" w:hAnsi="Times New Roman"/>
                <w:sz w:val="26"/>
                <w:szCs w:val="26"/>
              </w:rPr>
              <w:t>WAC 480-120-</w:t>
            </w:r>
            <w:r w:rsidR="00C800AB">
              <w:rPr>
                <w:rFonts w:ascii="Times New Roman" w:hAnsi="Times New Roman"/>
                <w:sz w:val="26"/>
                <w:szCs w:val="26"/>
              </w:rPr>
              <w:t>264</w:t>
            </w:r>
            <w:r w:rsidR="00C800AB" w:rsidRPr="00A21AA8">
              <w:rPr>
                <w:rFonts w:ascii="Times New Roman" w:hAnsi="Times New Roman"/>
                <w:sz w:val="26"/>
                <w:szCs w:val="26"/>
              </w:rPr>
              <w:t>(5)(a)(iii)</w:t>
            </w:r>
          </w:p>
          <w:p w:rsidR="00F141DC" w:rsidRDefault="00F141DC" w:rsidP="00AE2080">
            <w:pPr>
              <w:spacing w:line="240" w:lineRule="auto"/>
              <w:rPr>
                <w:rFonts w:ascii="Times New Roman" w:hAnsi="Times New Roman"/>
                <w:sz w:val="26"/>
                <w:szCs w:val="26"/>
              </w:rPr>
            </w:pPr>
          </w:p>
          <w:p w:rsidR="00027DA1" w:rsidRDefault="00027DA1" w:rsidP="00AE2080">
            <w:pPr>
              <w:spacing w:line="240" w:lineRule="auto"/>
              <w:rPr>
                <w:rFonts w:ascii="Times New Roman" w:hAnsi="Times New Roman"/>
                <w:sz w:val="26"/>
                <w:szCs w:val="26"/>
              </w:rPr>
            </w:pPr>
          </w:p>
          <w:p w:rsidR="001A575B" w:rsidRDefault="001A575B" w:rsidP="00AE2080">
            <w:pPr>
              <w:spacing w:line="240" w:lineRule="auto"/>
              <w:rPr>
                <w:rFonts w:ascii="Times New Roman" w:hAnsi="Times New Roman"/>
                <w:sz w:val="26"/>
                <w:szCs w:val="26"/>
              </w:rPr>
            </w:pPr>
          </w:p>
          <w:p w:rsidR="001A575B" w:rsidRDefault="001A575B" w:rsidP="00AE2080">
            <w:pPr>
              <w:spacing w:line="240" w:lineRule="auto"/>
              <w:rPr>
                <w:rFonts w:ascii="Times New Roman" w:hAnsi="Times New Roman"/>
                <w:sz w:val="26"/>
                <w:szCs w:val="26"/>
              </w:rPr>
            </w:pPr>
          </w:p>
          <w:p w:rsidR="001A575B" w:rsidRDefault="001A575B" w:rsidP="00AE2080">
            <w:pPr>
              <w:spacing w:line="240" w:lineRule="auto"/>
              <w:rPr>
                <w:rFonts w:ascii="Times New Roman" w:hAnsi="Times New Roman"/>
                <w:sz w:val="26"/>
                <w:szCs w:val="26"/>
              </w:rPr>
            </w:pPr>
          </w:p>
          <w:p w:rsidR="001A575B" w:rsidRDefault="001A575B" w:rsidP="00AE2080">
            <w:pPr>
              <w:spacing w:line="240" w:lineRule="auto"/>
              <w:rPr>
                <w:rFonts w:ascii="Times New Roman" w:hAnsi="Times New Roman"/>
                <w:sz w:val="26"/>
                <w:szCs w:val="26"/>
              </w:rPr>
            </w:pPr>
          </w:p>
          <w:p w:rsidR="001A575B" w:rsidRDefault="001A575B" w:rsidP="001A575B">
            <w:pPr>
              <w:spacing w:line="240" w:lineRule="auto"/>
              <w:rPr>
                <w:rFonts w:ascii="Times New Roman" w:hAnsi="Times New Roman"/>
                <w:sz w:val="26"/>
                <w:szCs w:val="26"/>
              </w:rPr>
            </w:pPr>
            <w:r>
              <w:rPr>
                <w:rFonts w:ascii="Times New Roman" w:hAnsi="Times New Roman"/>
                <w:sz w:val="26"/>
                <w:szCs w:val="26"/>
              </w:rPr>
              <w:t>WAC 480-120-264(5)(d)</w:t>
            </w:r>
          </w:p>
          <w:p w:rsidR="001A575B" w:rsidRPr="001F6136" w:rsidRDefault="001A575B" w:rsidP="00AE2080">
            <w:pPr>
              <w:spacing w:line="240" w:lineRule="auto"/>
              <w:rPr>
                <w:rFonts w:ascii="Times New Roman" w:hAnsi="Times New Roman"/>
                <w:sz w:val="26"/>
                <w:szCs w:val="26"/>
              </w:rPr>
            </w:pPr>
          </w:p>
        </w:tc>
        <w:tc>
          <w:tcPr>
            <w:tcW w:w="2000" w:type="dxa"/>
          </w:tcPr>
          <w:p w:rsidR="00F141DC" w:rsidRPr="001F6136" w:rsidRDefault="00F141DC" w:rsidP="00AE2080">
            <w:pPr>
              <w:spacing w:line="240" w:lineRule="auto"/>
              <w:rPr>
                <w:rFonts w:ascii="Times New Roman" w:hAnsi="Times New Roman"/>
                <w:sz w:val="26"/>
                <w:szCs w:val="26"/>
              </w:rPr>
            </w:pPr>
          </w:p>
          <w:p w:rsidR="00F141DC" w:rsidRPr="001F6136" w:rsidRDefault="00F141DC" w:rsidP="00AE2080">
            <w:pPr>
              <w:spacing w:line="240" w:lineRule="auto"/>
              <w:rPr>
                <w:rFonts w:ascii="Times New Roman" w:hAnsi="Times New Roman"/>
                <w:sz w:val="26"/>
                <w:szCs w:val="26"/>
              </w:rPr>
            </w:pPr>
            <w:r>
              <w:rPr>
                <w:rFonts w:ascii="Times New Roman" w:hAnsi="Times New Roman"/>
                <w:sz w:val="26"/>
                <w:szCs w:val="26"/>
              </w:rPr>
              <w:t xml:space="preserve">David Collier on behalf of </w:t>
            </w:r>
            <w:r>
              <w:rPr>
                <w:rFonts w:ascii="Times New Roman" w:hAnsi="Times New Roman"/>
                <w:i/>
                <w:sz w:val="26"/>
                <w:szCs w:val="26"/>
              </w:rPr>
              <w:t>AT&amp;T Communications of the Pacific Northwest, Inc.</w:t>
            </w:r>
            <w:r>
              <w:rPr>
                <w:rFonts w:ascii="Times New Roman" w:hAnsi="Times New Roman"/>
                <w:sz w:val="26"/>
                <w:szCs w:val="26"/>
              </w:rPr>
              <w:t xml:space="preserve"> (“AT&amp;T”)</w:t>
            </w:r>
          </w:p>
          <w:p w:rsidR="00F141DC" w:rsidRPr="001F6136" w:rsidRDefault="00F141DC" w:rsidP="00AE2080">
            <w:pPr>
              <w:spacing w:line="240" w:lineRule="auto"/>
              <w:rPr>
                <w:rFonts w:ascii="Times New Roman" w:hAnsi="Times New Roman"/>
                <w:sz w:val="26"/>
                <w:szCs w:val="26"/>
              </w:rPr>
            </w:pPr>
          </w:p>
          <w:p w:rsidR="00F141DC" w:rsidRPr="001F6136" w:rsidRDefault="00F141DC" w:rsidP="00AE2080">
            <w:pPr>
              <w:spacing w:line="240" w:lineRule="auto"/>
              <w:rPr>
                <w:rFonts w:ascii="Times New Roman" w:hAnsi="Times New Roman"/>
                <w:sz w:val="26"/>
                <w:szCs w:val="26"/>
              </w:rPr>
            </w:pPr>
          </w:p>
        </w:tc>
        <w:tc>
          <w:tcPr>
            <w:tcW w:w="8070" w:type="dxa"/>
          </w:tcPr>
          <w:p w:rsidR="00F141DC" w:rsidRPr="001F6136" w:rsidRDefault="00F141DC" w:rsidP="00AE2080">
            <w:pPr>
              <w:spacing w:line="240" w:lineRule="auto"/>
              <w:rPr>
                <w:rFonts w:ascii="Times New Roman" w:hAnsi="Times New Roman"/>
                <w:sz w:val="26"/>
                <w:szCs w:val="26"/>
              </w:rPr>
            </w:pPr>
          </w:p>
          <w:p w:rsidR="00F141DC" w:rsidRDefault="00F141DC" w:rsidP="00E77755">
            <w:pPr>
              <w:spacing w:line="240" w:lineRule="auto"/>
              <w:rPr>
                <w:rFonts w:ascii="Times New Roman" w:hAnsi="Times New Roman"/>
                <w:sz w:val="26"/>
                <w:szCs w:val="26"/>
              </w:rPr>
            </w:pPr>
            <w:r>
              <w:rPr>
                <w:rFonts w:ascii="Times New Roman" w:hAnsi="Times New Roman"/>
                <w:sz w:val="26"/>
                <w:szCs w:val="26"/>
              </w:rPr>
              <w:t>AT&amp;T</w:t>
            </w:r>
            <w:r w:rsidR="00F9204E">
              <w:rPr>
                <w:rFonts w:ascii="Times New Roman" w:hAnsi="Times New Roman"/>
                <w:sz w:val="26"/>
                <w:szCs w:val="26"/>
              </w:rPr>
              <w:t xml:space="preserve"> </w:t>
            </w:r>
            <w:r w:rsidR="00C800AB">
              <w:rPr>
                <w:rFonts w:ascii="Times New Roman" w:hAnsi="Times New Roman"/>
                <w:sz w:val="26"/>
                <w:szCs w:val="26"/>
              </w:rPr>
              <w:t xml:space="preserve">expresses a similar concern as Verizon-MCI does above regarding the disclosure of </w:t>
            </w:r>
            <w:r w:rsidR="00BA257C">
              <w:rPr>
                <w:rFonts w:ascii="Times New Roman" w:hAnsi="Times New Roman"/>
                <w:sz w:val="26"/>
                <w:szCs w:val="26"/>
              </w:rPr>
              <w:t>rates</w:t>
            </w:r>
            <w:r w:rsidR="00C800AB">
              <w:rPr>
                <w:rFonts w:ascii="Times New Roman" w:hAnsi="Times New Roman"/>
                <w:sz w:val="26"/>
                <w:szCs w:val="26"/>
              </w:rPr>
              <w:t xml:space="preserve"> for </w:t>
            </w:r>
            <w:r w:rsidR="00C800AB" w:rsidRPr="00A779BF">
              <w:rPr>
                <w:rFonts w:ascii="Times New Roman" w:hAnsi="Times New Roman"/>
                <w:b/>
                <w:sz w:val="26"/>
                <w:szCs w:val="26"/>
                <w:u w:val="single"/>
              </w:rPr>
              <w:t>international</w:t>
            </w:r>
            <w:r w:rsidR="00C800AB">
              <w:rPr>
                <w:rFonts w:ascii="Times New Roman" w:hAnsi="Times New Roman"/>
                <w:sz w:val="26"/>
                <w:szCs w:val="26"/>
              </w:rPr>
              <w:t xml:space="preserve"> calls in WAC 480-120-264(5</w:t>
            </w:r>
            <w:proofErr w:type="gramStart"/>
            <w:r w:rsidR="00C800AB">
              <w:rPr>
                <w:rFonts w:ascii="Times New Roman" w:hAnsi="Times New Roman"/>
                <w:sz w:val="26"/>
                <w:szCs w:val="26"/>
              </w:rPr>
              <w:t>)(</w:t>
            </w:r>
            <w:proofErr w:type="gramEnd"/>
            <w:r w:rsidR="00C800AB">
              <w:rPr>
                <w:rFonts w:ascii="Times New Roman" w:hAnsi="Times New Roman"/>
                <w:sz w:val="26"/>
                <w:szCs w:val="26"/>
              </w:rPr>
              <w:t>a)(iii).</w:t>
            </w:r>
          </w:p>
          <w:p w:rsidR="00BA257C" w:rsidRDefault="00BA257C" w:rsidP="00E77755">
            <w:pPr>
              <w:spacing w:line="240" w:lineRule="auto"/>
              <w:rPr>
                <w:rFonts w:ascii="Times New Roman" w:hAnsi="Times New Roman"/>
                <w:sz w:val="26"/>
                <w:szCs w:val="26"/>
              </w:rPr>
            </w:pPr>
          </w:p>
          <w:p w:rsidR="00465622" w:rsidRDefault="00BA257C" w:rsidP="00E77755">
            <w:pPr>
              <w:spacing w:line="240" w:lineRule="auto"/>
              <w:rPr>
                <w:rFonts w:ascii="Times New Roman" w:hAnsi="Times New Roman"/>
                <w:sz w:val="26"/>
                <w:szCs w:val="26"/>
              </w:rPr>
            </w:pPr>
            <w:r>
              <w:rPr>
                <w:rFonts w:ascii="Times New Roman" w:hAnsi="Times New Roman"/>
                <w:sz w:val="26"/>
                <w:szCs w:val="26"/>
              </w:rPr>
              <w:t xml:space="preserve">Specifically, AT&amp;T commented that </w:t>
            </w:r>
            <w:r w:rsidR="00465622">
              <w:rPr>
                <w:rFonts w:ascii="Times New Roman" w:hAnsi="Times New Roman"/>
                <w:sz w:val="26"/>
                <w:szCs w:val="26"/>
              </w:rPr>
              <w:t>t</w:t>
            </w:r>
            <w:r w:rsidRPr="00BA257C">
              <w:rPr>
                <w:rFonts w:ascii="Times New Roman" w:hAnsi="Times New Roman"/>
                <w:sz w:val="26"/>
                <w:szCs w:val="26"/>
              </w:rPr>
              <w:t>he proposed additio</w:t>
            </w:r>
            <w:r w:rsidR="001A575B">
              <w:rPr>
                <w:rFonts w:ascii="Times New Roman" w:hAnsi="Times New Roman"/>
                <w:sz w:val="26"/>
                <w:szCs w:val="26"/>
              </w:rPr>
              <w:t>n of “international” proposed in</w:t>
            </w:r>
            <w:r w:rsidRPr="00BA257C">
              <w:rPr>
                <w:rFonts w:ascii="Times New Roman" w:hAnsi="Times New Roman"/>
                <w:sz w:val="26"/>
                <w:szCs w:val="26"/>
              </w:rPr>
              <w:t xml:space="preserve"> WAC 480-120-264(5</w:t>
            </w:r>
            <w:proofErr w:type="gramStart"/>
            <w:r w:rsidRPr="00BA257C">
              <w:rPr>
                <w:rFonts w:ascii="Times New Roman" w:hAnsi="Times New Roman"/>
                <w:sz w:val="26"/>
                <w:szCs w:val="26"/>
              </w:rPr>
              <w:t>)(</w:t>
            </w:r>
            <w:proofErr w:type="gramEnd"/>
            <w:r w:rsidRPr="00BA257C">
              <w:rPr>
                <w:rFonts w:ascii="Times New Roman" w:hAnsi="Times New Roman"/>
                <w:sz w:val="26"/>
                <w:szCs w:val="26"/>
              </w:rPr>
              <w:t>a)(iii) combined with the addition of a new section, WAC 480-120-264(5)(d) creates an untenable situation whereby all international calling rates would have to be disclosed on a calling card or its packaging.</w:t>
            </w:r>
          </w:p>
          <w:p w:rsidR="00465622" w:rsidRDefault="00465622" w:rsidP="00E77755">
            <w:pPr>
              <w:spacing w:line="240" w:lineRule="auto"/>
              <w:rPr>
                <w:rFonts w:ascii="Times New Roman" w:hAnsi="Times New Roman"/>
                <w:sz w:val="26"/>
                <w:szCs w:val="26"/>
              </w:rPr>
            </w:pPr>
          </w:p>
          <w:p w:rsidR="00465622" w:rsidRPr="00465622" w:rsidRDefault="00465622" w:rsidP="00465622">
            <w:pPr>
              <w:spacing w:line="240" w:lineRule="auto"/>
              <w:rPr>
                <w:rFonts w:ascii="Times New Roman" w:hAnsi="Times New Roman"/>
                <w:sz w:val="26"/>
                <w:szCs w:val="26"/>
              </w:rPr>
            </w:pPr>
            <w:r w:rsidRPr="00465622">
              <w:rPr>
                <w:rFonts w:ascii="Times New Roman" w:hAnsi="Times New Roman"/>
                <w:sz w:val="26"/>
                <w:szCs w:val="26"/>
              </w:rPr>
              <w:t>AT&amp;T’s prepaid calling cards allow customers to use AT&amp;T’s international calling service to and from over 200 countries. The rates that customers pay for international calling depends on a number factors</w:t>
            </w:r>
            <w:r>
              <w:rPr>
                <w:rFonts w:ascii="Times New Roman" w:hAnsi="Times New Roman"/>
                <w:sz w:val="26"/>
                <w:szCs w:val="26"/>
              </w:rPr>
              <w:t>.</w:t>
            </w:r>
            <w:r w:rsidRPr="00465622">
              <w:rPr>
                <w:rFonts w:ascii="Times New Roman" w:hAnsi="Times New Roman"/>
                <w:sz w:val="26"/>
                <w:szCs w:val="26"/>
              </w:rPr>
              <w:t xml:space="preserve"> In addition, international rates tend to change frequently thus making it impractical to print all of the rates on the card packaging. To address these practical issues while at the same time making sure that customers know the applicable international rates for the card, AT&amp;T includes a website on its cards, </w:t>
            </w:r>
            <w:hyperlink r:id="rId7" w:history="1">
              <w:r w:rsidRPr="004C46B3">
                <w:rPr>
                  <w:rStyle w:val="Hyperlink"/>
                  <w:rFonts w:ascii="Times New Roman" w:hAnsi="Times New Roman"/>
                  <w:sz w:val="26"/>
                  <w:szCs w:val="26"/>
                </w:rPr>
                <w:t>www.att.com/prepaid</w:t>
              </w:r>
            </w:hyperlink>
            <w:r w:rsidRPr="00465622">
              <w:rPr>
                <w:rFonts w:ascii="Times New Roman" w:hAnsi="Times New Roman"/>
                <w:sz w:val="26"/>
                <w:szCs w:val="26"/>
              </w:rPr>
              <w:t>.  Further, AT&amp;T prints the following information on its cards:</w:t>
            </w:r>
          </w:p>
          <w:p w:rsidR="00465622" w:rsidRPr="00465622" w:rsidRDefault="00465622" w:rsidP="00465622">
            <w:pPr>
              <w:spacing w:line="240" w:lineRule="auto"/>
              <w:ind w:left="720"/>
              <w:rPr>
                <w:rFonts w:ascii="Times New Roman" w:hAnsi="Times New Roman"/>
                <w:i/>
                <w:sz w:val="26"/>
                <w:szCs w:val="26"/>
              </w:rPr>
            </w:pPr>
            <w:r w:rsidRPr="00465622">
              <w:rPr>
                <w:rFonts w:ascii="Times New Roman" w:hAnsi="Times New Roman"/>
                <w:b/>
                <w:i/>
                <w:sz w:val="26"/>
                <w:szCs w:val="26"/>
              </w:rPr>
              <w:t>Int’l rates are higher than state-to-state rates, differ according to area called and can change.</w:t>
            </w:r>
            <w:r w:rsidRPr="00465622">
              <w:rPr>
                <w:rFonts w:ascii="Times New Roman" w:hAnsi="Times New Roman"/>
                <w:i/>
                <w:sz w:val="26"/>
                <w:szCs w:val="26"/>
              </w:rPr>
              <w:t xml:space="preserve">  Call Customer Care for int’l calling information before leaving the U.S.</w:t>
            </w:r>
          </w:p>
          <w:p w:rsidR="00465622" w:rsidRDefault="00465622" w:rsidP="00E77755">
            <w:pPr>
              <w:spacing w:line="240" w:lineRule="auto"/>
              <w:rPr>
                <w:rFonts w:ascii="Times New Roman" w:hAnsi="Times New Roman"/>
                <w:sz w:val="26"/>
                <w:szCs w:val="26"/>
              </w:rPr>
            </w:pPr>
          </w:p>
          <w:p w:rsidR="00144B9E" w:rsidRDefault="001A575B" w:rsidP="00590375">
            <w:pPr>
              <w:spacing w:line="240" w:lineRule="auto"/>
              <w:rPr>
                <w:rFonts w:ascii="Times New Roman" w:hAnsi="Times New Roman"/>
                <w:sz w:val="26"/>
                <w:szCs w:val="26"/>
              </w:rPr>
            </w:pPr>
            <w:r>
              <w:rPr>
                <w:rFonts w:ascii="Times New Roman" w:hAnsi="Times New Roman"/>
                <w:sz w:val="26"/>
                <w:szCs w:val="26"/>
              </w:rPr>
              <w:t>AT&amp;T</w:t>
            </w:r>
            <w:r w:rsidR="00465622">
              <w:rPr>
                <w:rFonts w:ascii="Times New Roman" w:hAnsi="Times New Roman"/>
                <w:sz w:val="26"/>
                <w:szCs w:val="26"/>
              </w:rPr>
              <w:t xml:space="preserve"> therefore</w:t>
            </w:r>
            <w:r>
              <w:rPr>
                <w:rFonts w:ascii="Times New Roman" w:hAnsi="Times New Roman"/>
                <w:sz w:val="26"/>
                <w:szCs w:val="26"/>
              </w:rPr>
              <w:t xml:space="preserve"> recommends that the Commission </w:t>
            </w:r>
            <w:r w:rsidR="00BA257C" w:rsidRPr="00BA257C">
              <w:rPr>
                <w:rFonts w:ascii="Times New Roman" w:hAnsi="Times New Roman"/>
                <w:sz w:val="26"/>
                <w:szCs w:val="26"/>
              </w:rPr>
              <w:t>not require PPCS providers to list all international calling card rates on the card or its packaging.  Instead</w:t>
            </w:r>
            <w:r>
              <w:rPr>
                <w:rFonts w:ascii="Times New Roman" w:hAnsi="Times New Roman"/>
                <w:sz w:val="26"/>
                <w:szCs w:val="26"/>
              </w:rPr>
              <w:t xml:space="preserve"> AT&amp;T recommends that </w:t>
            </w:r>
            <w:r w:rsidR="00BA257C" w:rsidRPr="00BA257C">
              <w:rPr>
                <w:rFonts w:ascii="Times New Roman" w:hAnsi="Times New Roman"/>
                <w:sz w:val="26"/>
                <w:szCs w:val="26"/>
              </w:rPr>
              <w:t>the Commission simply require that the card</w:t>
            </w:r>
            <w:r>
              <w:rPr>
                <w:rFonts w:ascii="Times New Roman" w:hAnsi="Times New Roman"/>
                <w:sz w:val="26"/>
                <w:szCs w:val="26"/>
              </w:rPr>
              <w:t>s</w:t>
            </w:r>
            <w:r w:rsidR="00BA257C" w:rsidRPr="00BA257C">
              <w:rPr>
                <w:rFonts w:ascii="Times New Roman" w:hAnsi="Times New Roman"/>
                <w:sz w:val="26"/>
                <w:szCs w:val="26"/>
              </w:rPr>
              <w:t xml:space="preserve"> contain a toll free number </w:t>
            </w:r>
            <w:r>
              <w:rPr>
                <w:rFonts w:ascii="Times New Roman" w:hAnsi="Times New Roman"/>
                <w:sz w:val="26"/>
                <w:szCs w:val="26"/>
              </w:rPr>
              <w:t>(</w:t>
            </w:r>
            <w:r w:rsidR="00BA257C" w:rsidRPr="00BA257C">
              <w:rPr>
                <w:rFonts w:ascii="Times New Roman" w:hAnsi="Times New Roman"/>
                <w:sz w:val="26"/>
                <w:szCs w:val="26"/>
              </w:rPr>
              <w:t xml:space="preserve">and </w:t>
            </w:r>
            <w:r>
              <w:rPr>
                <w:rFonts w:ascii="Times New Roman" w:hAnsi="Times New Roman"/>
                <w:sz w:val="26"/>
                <w:szCs w:val="26"/>
              </w:rPr>
              <w:t xml:space="preserve">a </w:t>
            </w:r>
            <w:r w:rsidR="00BA257C" w:rsidRPr="00BA257C">
              <w:rPr>
                <w:rFonts w:ascii="Times New Roman" w:hAnsi="Times New Roman"/>
                <w:sz w:val="26"/>
                <w:szCs w:val="26"/>
              </w:rPr>
              <w:t>website where the provider has a website) that lists all of the international rates.</w:t>
            </w:r>
          </w:p>
          <w:p w:rsidR="00144B9E" w:rsidRPr="001F6136" w:rsidRDefault="00144B9E" w:rsidP="00590375">
            <w:pPr>
              <w:spacing w:line="240" w:lineRule="auto"/>
              <w:rPr>
                <w:rFonts w:ascii="Times New Roman" w:hAnsi="Times New Roman"/>
                <w:sz w:val="26"/>
                <w:szCs w:val="26"/>
              </w:rPr>
            </w:pPr>
          </w:p>
        </w:tc>
        <w:tc>
          <w:tcPr>
            <w:tcW w:w="4860" w:type="dxa"/>
          </w:tcPr>
          <w:p w:rsidR="00F141DC" w:rsidRDefault="00F141DC" w:rsidP="00F141DC">
            <w:pPr>
              <w:autoSpaceDE w:val="0"/>
              <w:autoSpaceDN w:val="0"/>
              <w:spacing w:line="240" w:lineRule="atLeast"/>
              <w:rPr>
                <w:rFonts w:ascii="Times New Roman" w:hAnsi="Times New Roman"/>
                <w:b/>
                <w:sz w:val="26"/>
                <w:szCs w:val="26"/>
              </w:rPr>
            </w:pPr>
          </w:p>
          <w:p w:rsidR="00144B9E" w:rsidRPr="001F6136" w:rsidRDefault="00144B9E" w:rsidP="00144B9E">
            <w:pPr>
              <w:autoSpaceDE w:val="0"/>
              <w:autoSpaceDN w:val="0"/>
              <w:spacing w:line="240" w:lineRule="atLeast"/>
              <w:rPr>
                <w:rFonts w:ascii="Times New Roman" w:hAnsi="Times New Roman"/>
                <w:b/>
                <w:sz w:val="26"/>
                <w:szCs w:val="26"/>
              </w:rPr>
            </w:pPr>
            <w:r>
              <w:rPr>
                <w:rFonts w:ascii="Times New Roman" w:hAnsi="Times New Roman"/>
                <w:b/>
                <w:sz w:val="26"/>
                <w:szCs w:val="26"/>
              </w:rPr>
              <w:t xml:space="preserve">Staff clarifies intent.  </w:t>
            </w:r>
          </w:p>
          <w:p w:rsidR="001A575B" w:rsidRDefault="001A575B" w:rsidP="00F141DC">
            <w:pPr>
              <w:autoSpaceDE w:val="0"/>
              <w:autoSpaceDN w:val="0"/>
              <w:spacing w:line="240" w:lineRule="atLeast"/>
              <w:rPr>
                <w:rFonts w:ascii="Times New Roman" w:hAnsi="Times New Roman"/>
                <w:sz w:val="26"/>
                <w:szCs w:val="26"/>
              </w:rPr>
            </w:pPr>
            <w:r>
              <w:rPr>
                <w:rFonts w:ascii="Times New Roman" w:hAnsi="Times New Roman"/>
                <w:sz w:val="26"/>
                <w:szCs w:val="26"/>
              </w:rPr>
              <w:t>Staff agrees with the availability of a toll-free customer service number, but that is already a provision of the current rule under WAC 480-120-264(5</w:t>
            </w:r>
            <w:proofErr w:type="gramStart"/>
            <w:r>
              <w:rPr>
                <w:rFonts w:ascii="Times New Roman" w:hAnsi="Times New Roman"/>
                <w:sz w:val="26"/>
                <w:szCs w:val="26"/>
              </w:rPr>
              <w:t>)(</w:t>
            </w:r>
            <w:proofErr w:type="gramEnd"/>
            <w:r>
              <w:rPr>
                <w:rFonts w:ascii="Times New Roman" w:hAnsi="Times New Roman"/>
                <w:sz w:val="26"/>
                <w:szCs w:val="26"/>
              </w:rPr>
              <w:t>b)(</w:t>
            </w:r>
            <w:proofErr w:type="spellStart"/>
            <w:r>
              <w:rPr>
                <w:rFonts w:ascii="Times New Roman" w:hAnsi="Times New Roman"/>
                <w:sz w:val="26"/>
                <w:szCs w:val="26"/>
              </w:rPr>
              <w:t>i</w:t>
            </w:r>
            <w:proofErr w:type="spellEnd"/>
            <w:r>
              <w:rPr>
                <w:rFonts w:ascii="Times New Roman" w:hAnsi="Times New Roman"/>
                <w:sz w:val="26"/>
                <w:szCs w:val="26"/>
              </w:rPr>
              <w:t>); as long as the advertising is not inconsistent with the quoted rates. Indeed, WAC 480-120-266(1</w:t>
            </w:r>
            <w:proofErr w:type="gramStart"/>
            <w:r>
              <w:rPr>
                <w:rFonts w:ascii="Times New Roman" w:hAnsi="Times New Roman"/>
                <w:sz w:val="26"/>
                <w:szCs w:val="26"/>
              </w:rPr>
              <w:t>)(</w:t>
            </w:r>
            <w:proofErr w:type="gramEnd"/>
            <w:r>
              <w:rPr>
                <w:rFonts w:ascii="Times New Roman" w:hAnsi="Times New Roman"/>
                <w:sz w:val="26"/>
                <w:szCs w:val="26"/>
              </w:rPr>
              <w:t>c) also applies.</w:t>
            </w:r>
          </w:p>
          <w:p w:rsidR="001A575B" w:rsidRDefault="001A575B" w:rsidP="00F141DC">
            <w:pPr>
              <w:autoSpaceDE w:val="0"/>
              <w:autoSpaceDN w:val="0"/>
              <w:spacing w:line="240" w:lineRule="atLeast"/>
              <w:rPr>
                <w:rFonts w:ascii="Times New Roman" w:hAnsi="Times New Roman"/>
                <w:sz w:val="26"/>
                <w:szCs w:val="26"/>
              </w:rPr>
            </w:pPr>
          </w:p>
          <w:p w:rsidR="00F141DC" w:rsidRDefault="001A575B" w:rsidP="00F141DC">
            <w:pPr>
              <w:autoSpaceDE w:val="0"/>
              <w:autoSpaceDN w:val="0"/>
              <w:spacing w:line="240" w:lineRule="atLeast"/>
              <w:rPr>
                <w:rFonts w:ascii="Times New Roman" w:hAnsi="Times New Roman"/>
                <w:sz w:val="26"/>
                <w:szCs w:val="26"/>
              </w:rPr>
            </w:pPr>
            <w:r>
              <w:rPr>
                <w:rFonts w:ascii="Times New Roman" w:hAnsi="Times New Roman"/>
                <w:sz w:val="26"/>
                <w:szCs w:val="26"/>
              </w:rPr>
              <w:t>With respect to the prior disclosure of international rates, Staff has developed the consensus approach which addresses international rates through clarification of WAC 480-120-264(5</w:t>
            </w:r>
            <w:proofErr w:type="gramStart"/>
            <w:r>
              <w:rPr>
                <w:rFonts w:ascii="Times New Roman" w:hAnsi="Times New Roman"/>
                <w:sz w:val="26"/>
                <w:szCs w:val="26"/>
              </w:rPr>
              <w:t>)(</w:t>
            </w:r>
            <w:proofErr w:type="gramEnd"/>
            <w:r>
              <w:rPr>
                <w:rFonts w:ascii="Times New Roman" w:hAnsi="Times New Roman"/>
                <w:sz w:val="26"/>
                <w:szCs w:val="26"/>
              </w:rPr>
              <w:t>d).</w:t>
            </w:r>
          </w:p>
          <w:p w:rsidR="001A575B" w:rsidRDefault="001A575B" w:rsidP="00F141DC">
            <w:pPr>
              <w:autoSpaceDE w:val="0"/>
              <w:autoSpaceDN w:val="0"/>
              <w:spacing w:line="240" w:lineRule="atLeast"/>
              <w:rPr>
                <w:rFonts w:ascii="Times New Roman" w:hAnsi="Times New Roman"/>
                <w:sz w:val="26"/>
                <w:szCs w:val="26"/>
              </w:rPr>
            </w:pPr>
          </w:p>
          <w:p w:rsidR="001A575B" w:rsidRPr="001F6136" w:rsidRDefault="001A575B" w:rsidP="00F141DC">
            <w:pPr>
              <w:autoSpaceDE w:val="0"/>
              <w:autoSpaceDN w:val="0"/>
              <w:spacing w:line="240" w:lineRule="atLeast"/>
              <w:rPr>
                <w:rFonts w:ascii="Times New Roman" w:hAnsi="Times New Roman"/>
                <w:color w:val="000000" w:themeColor="text1"/>
                <w:sz w:val="26"/>
                <w:szCs w:val="26"/>
              </w:rPr>
            </w:pPr>
            <w:r>
              <w:rPr>
                <w:rFonts w:ascii="Times New Roman" w:hAnsi="Times New Roman"/>
                <w:sz w:val="26"/>
                <w:szCs w:val="26"/>
              </w:rPr>
              <w:t xml:space="preserve">Staff disagrees with the option to include a website in lieu of a toll free number because many potential customers </w:t>
            </w:r>
            <w:r w:rsidR="007B74B9">
              <w:rPr>
                <w:rFonts w:ascii="Times New Roman" w:hAnsi="Times New Roman"/>
                <w:sz w:val="26"/>
                <w:szCs w:val="26"/>
              </w:rPr>
              <w:t>will</w:t>
            </w:r>
            <w:r>
              <w:rPr>
                <w:rFonts w:ascii="Times New Roman" w:hAnsi="Times New Roman"/>
                <w:sz w:val="26"/>
                <w:szCs w:val="26"/>
              </w:rPr>
              <w:t xml:space="preserve"> not have readily available access to the internet at the time of purchase.</w:t>
            </w:r>
            <w:r w:rsidR="00465622">
              <w:rPr>
                <w:rFonts w:ascii="Times New Roman" w:hAnsi="Times New Roman"/>
                <w:sz w:val="26"/>
                <w:szCs w:val="26"/>
              </w:rPr>
              <w:t xml:space="preserve"> Although the use of a website should still be permissive, the toll free number is the only option recognized as acceptable for compliance with the consensus approach.</w:t>
            </w:r>
          </w:p>
          <w:p w:rsidR="00F141DC" w:rsidRDefault="00F141DC" w:rsidP="00AE2080">
            <w:pPr>
              <w:autoSpaceDE w:val="0"/>
              <w:autoSpaceDN w:val="0"/>
              <w:spacing w:line="240" w:lineRule="atLeast"/>
              <w:rPr>
                <w:rFonts w:ascii="Times New Roman" w:hAnsi="Times New Roman"/>
                <w:sz w:val="26"/>
                <w:szCs w:val="26"/>
              </w:rPr>
            </w:pPr>
          </w:p>
          <w:p w:rsidR="00F9204E" w:rsidRPr="001F6136" w:rsidRDefault="00F9204E" w:rsidP="00AE2080">
            <w:pPr>
              <w:autoSpaceDE w:val="0"/>
              <w:autoSpaceDN w:val="0"/>
              <w:spacing w:line="240" w:lineRule="atLeast"/>
              <w:rPr>
                <w:rFonts w:ascii="Times New Roman" w:hAnsi="Times New Roman"/>
                <w:sz w:val="26"/>
                <w:szCs w:val="26"/>
              </w:rPr>
            </w:pPr>
          </w:p>
        </w:tc>
      </w:tr>
      <w:tr w:rsidR="00144B9E" w:rsidRPr="008922AD" w:rsidTr="001410C8">
        <w:tc>
          <w:tcPr>
            <w:tcW w:w="2257" w:type="dxa"/>
          </w:tcPr>
          <w:p w:rsidR="00144B9E" w:rsidRDefault="00144B9E" w:rsidP="00AE2080">
            <w:pPr>
              <w:spacing w:line="240" w:lineRule="auto"/>
              <w:rPr>
                <w:rFonts w:ascii="Times New Roman" w:hAnsi="Times New Roman"/>
                <w:sz w:val="26"/>
                <w:szCs w:val="26"/>
              </w:rPr>
            </w:pPr>
          </w:p>
          <w:p w:rsidR="00144B9E" w:rsidRDefault="00144B9E" w:rsidP="00AE2080">
            <w:pPr>
              <w:spacing w:line="240" w:lineRule="auto"/>
              <w:rPr>
                <w:rFonts w:ascii="Times New Roman" w:hAnsi="Times New Roman"/>
                <w:sz w:val="26"/>
                <w:szCs w:val="26"/>
              </w:rPr>
            </w:pPr>
            <w:r>
              <w:rPr>
                <w:rFonts w:ascii="Times New Roman" w:hAnsi="Times New Roman"/>
                <w:sz w:val="26"/>
                <w:szCs w:val="26"/>
              </w:rPr>
              <w:t>WAC 480-120-264(5)(a)(vi)</w:t>
            </w:r>
          </w:p>
          <w:p w:rsidR="00144B9E" w:rsidRDefault="00144B9E" w:rsidP="00AE2080">
            <w:pPr>
              <w:spacing w:line="240" w:lineRule="auto"/>
              <w:rPr>
                <w:rFonts w:ascii="Times New Roman" w:hAnsi="Times New Roman"/>
                <w:sz w:val="26"/>
                <w:szCs w:val="26"/>
              </w:rPr>
            </w:pPr>
          </w:p>
          <w:p w:rsidR="00144B9E" w:rsidRDefault="00144B9E" w:rsidP="00AE2080">
            <w:pPr>
              <w:spacing w:line="240" w:lineRule="auto"/>
              <w:rPr>
                <w:rFonts w:ascii="Times New Roman" w:hAnsi="Times New Roman"/>
                <w:sz w:val="26"/>
                <w:szCs w:val="26"/>
              </w:rPr>
            </w:pPr>
          </w:p>
        </w:tc>
        <w:tc>
          <w:tcPr>
            <w:tcW w:w="2000" w:type="dxa"/>
          </w:tcPr>
          <w:p w:rsidR="00144B9E" w:rsidRDefault="00144B9E" w:rsidP="00AE2080">
            <w:pPr>
              <w:spacing w:line="240" w:lineRule="auto"/>
              <w:rPr>
                <w:rFonts w:ascii="Times New Roman" w:hAnsi="Times New Roman"/>
                <w:sz w:val="26"/>
                <w:szCs w:val="26"/>
              </w:rPr>
            </w:pPr>
          </w:p>
          <w:p w:rsidR="00144B9E" w:rsidRDefault="00144B9E" w:rsidP="00AE2080">
            <w:pPr>
              <w:spacing w:line="240" w:lineRule="auto"/>
              <w:rPr>
                <w:rFonts w:ascii="Times New Roman" w:hAnsi="Times New Roman"/>
                <w:sz w:val="26"/>
                <w:szCs w:val="26"/>
              </w:rPr>
            </w:pPr>
            <w:r>
              <w:rPr>
                <w:rFonts w:ascii="Times New Roman" w:hAnsi="Times New Roman"/>
                <w:sz w:val="26"/>
                <w:szCs w:val="26"/>
              </w:rPr>
              <w:t>AT&amp;T</w:t>
            </w:r>
          </w:p>
          <w:p w:rsidR="00144B9E" w:rsidRDefault="00144B9E" w:rsidP="00AE2080">
            <w:pPr>
              <w:spacing w:line="240" w:lineRule="auto"/>
              <w:rPr>
                <w:rFonts w:ascii="Times New Roman" w:hAnsi="Times New Roman"/>
                <w:sz w:val="26"/>
                <w:szCs w:val="26"/>
              </w:rPr>
            </w:pPr>
          </w:p>
        </w:tc>
        <w:tc>
          <w:tcPr>
            <w:tcW w:w="8070" w:type="dxa"/>
          </w:tcPr>
          <w:p w:rsidR="00144B9E" w:rsidRDefault="00144B9E" w:rsidP="00AE2080">
            <w:pPr>
              <w:spacing w:line="240" w:lineRule="auto"/>
              <w:rPr>
                <w:rFonts w:ascii="Times New Roman" w:hAnsi="Times New Roman"/>
                <w:sz w:val="26"/>
                <w:szCs w:val="26"/>
              </w:rPr>
            </w:pPr>
          </w:p>
          <w:p w:rsidR="00144B9E" w:rsidRDefault="006943BD" w:rsidP="00AE2080">
            <w:pPr>
              <w:spacing w:line="240" w:lineRule="auto"/>
              <w:rPr>
                <w:rFonts w:ascii="Times New Roman" w:hAnsi="Times New Roman"/>
                <w:sz w:val="26"/>
                <w:szCs w:val="26"/>
              </w:rPr>
            </w:pPr>
            <w:r w:rsidRPr="006943BD">
              <w:rPr>
                <w:rFonts w:ascii="Times New Roman" w:hAnsi="Times New Roman"/>
                <w:sz w:val="26"/>
                <w:szCs w:val="26"/>
              </w:rPr>
              <w:t>AT&amp;T does not believe it is necessary to make the proposed change from “card” to “service”</w:t>
            </w:r>
            <w:r>
              <w:rPr>
                <w:rFonts w:ascii="Times New Roman" w:hAnsi="Times New Roman"/>
                <w:sz w:val="26"/>
                <w:szCs w:val="26"/>
              </w:rPr>
              <w:t xml:space="preserve"> in WAC 480-120-264(5</w:t>
            </w:r>
            <w:proofErr w:type="gramStart"/>
            <w:r>
              <w:rPr>
                <w:rFonts w:ascii="Times New Roman" w:hAnsi="Times New Roman"/>
                <w:sz w:val="26"/>
                <w:szCs w:val="26"/>
              </w:rPr>
              <w:t>)(</w:t>
            </w:r>
            <w:proofErr w:type="gramEnd"/>
            <w:r>
              <w:rPr>
                <w:rFonts w:ascii="Times New Roman" w:hAnsi="Times New Roman"/>
                <w:sz w:val="26"/>
                <w:szCs w:val="26"/>
              </w:rPr>
              <w:t xml:space="preserve">a)(vi). </w:t>
            </w:r>
            <w:r w:rsidRPr="006943BD">
              <w:rPr>
                <w:rFonts w:ascii="Times New Roman" w:hAnsi="Times New Roman"/>
                <w:sz w:val="26"/>
                <w:szCs w:val="26"/>
              </w:rPr>
              <w:t xml:space="preserve">The proposed changes to this section would mean that the </w:t>
            </w:r>
            <w:r>
              <w:rPr>
                <w:rFonts w:ascii="Times New Roman" w:hAnsi="Times New Roman"/>
                <w:sz w:val="26"/>
                <w:szCs w:val="26"/>
              </w:rPr>
              <w:t xml:space="preserve">service, not the card expires. </w:t>
            </w:r>
            <w:r w:rsidRPr="006943BD">
              <w:rPr>
                <w:rFonts w:ascii="Times New Roman" w:hAnsi="Times New Roman"/>
                <w:sz w:val="26"/>
                <w:szCs w:val="26"/>
              </w:rPr>
              <w:t>Th</w:t>
            </w:r>
            <w:r>
              <w:rPr>
                <w:rFonts w:ascii="Times New Roman" w:hAnsi="Times New Roman"/>
                <w:sz w:val="26"/>
                <w:szCs w:val="26"/>
              </w:rPr>
              <w:t>is simply does not make sense to AT&amp;T. According to AT&amp;T t</w:t>
            </w:r>
            <w:r w:rsidRPr="006943BD">
              <w:rPr>
                <w:rFonts w:ascii="Times New Roman" w:hAnsi="Times New Roman"/>
                <w:sz w:val="26"/>
                <w:szCs w:val="26"/>
              </w:rPr>
              <w:t>he card enables the customer to use the service and when the card expires the customer can no longer utilize the service. As no comments were submitted to address this change, AT&amp;T is unclear of the rational</w:t>
            </w:r>
            <w:r>
              <w:rPr>
                <w:rFonts w:ascii="Times New Roman" w:hAnsi="Times New Roman"/>
                <w:sz w:val="26"/>
                <w:szCs w:val="26"/>
              </w:rPr>
              <w:t>e</w:t>
            </w:r>
            <w:r w:rsidRPr="006943BD">
              <w:rPr>
                <w:rFonts w:ascii="Times New Roman" w:hAnsi="Times New Roman"/>
                <w:sz w:val="26"/>
                <w:szCs w:val="26"/>
              </w:rPr>
              <w:t xml:space="preserve"> for this change.</w:t>
            </w:r>
          </w:p>
          <w:p w:rsidR="006943BD" w:rsidRDefault="006943BD" w:rsidP="00AE2080">
            <w:pPr>
              <w:spacing w:line="240" w:lineRule="auto"/>
              <w:rPr>
                <w:rFonts w:ascii="Times New Roman" w:hAnsi="Times New Roman"/>
                <w:sz w:val="26"/>
                <w:szCs w:val="26"/>
              </w:rPr>
            </w:pPr>
          </w:p>
          <w:p w:rsidR="006943BD" w:rsidRDefault="006943BD" w:rsidP="00AE2080">
            <w:pPr>
              <w:spacing w:line="240" w:lineRule="auto"/>
              <w:rPr>
                <w:rFonts w:ascii="Times New Roman" w:hAnsi="Times New Roman"/>
                <w:sz w:val="26"/>
                <w:szCs w:val="26"/>
              </w:rPr>
            </w:pPr>
          </w:p>
        </w:tc>
        <w:tc>
          <w:tcPr>
            <w:tcW w:w="4860" w:type="dxa"/>
          </w:tcPr>
          <w:p w:rsidR="00144B9E" w:rsidRDefault="00144B9E" w:rsidP="00F141DC">
            <w:pPr>
              <w:autoSpaceDE w:val="0"/>
              <w:autoSpaceDN w:val="0"/>
              <w:spacing w:line="240" w:lineRule="atLeast"/>
              <w:rPr>
                <w:rFonts w:ascii="Times New Roman" w:hAnsi="Times New Roman"/>
                <w:b/>
                <w:sz w:val="26"/>
                <w:szCs w:val="26"/>
              </w:rPr>
            </w:pPr>
          </w:p>
          <w:p w:rsidR="00E20973" w:rsidRPr="001F6136" w:rsidRDefault="00E20973" w:rsidP="00E20973">
            <w:pPr>
              <w:autoSpaceDE w:val="0"/>
              <w:autoSpaceDN w:val="0"/>
              <w:spacing w:line="240" w:lineRule="atLeast"/>
              <w:rPr>
                <w:rFonts w:ascii="Times New Roman" w:hAnsi="Times New Roman"/>
                <w:b/>
                <w:sz w:val="26"/>
                <w:szCs w:val="26"/>
              </w:rPr>
            </w:pPr>
            <w:r>
              <w:rPr>
                <w:rFonts w:ascii="Times New Roman" w:hAnsi="Times New Roman"/>
                <w:b/>
                <w:sz w:val="26"/>
                <w:szCs w:val="26"/>
              </w:rPr>
              <w:t>Staff disagrees.</w:t>
            </w:r>
          </w:p>
          <w:p w:rsidR="006943BD" w:rsidRDefault="00E20973" w:rsidP="00F141DC">
            <w:pPr>
              <w:autoSpaceDE w:val="0"/>
              <w:autoSpaceDN w:val="0"/>
              <w:spacing w:line="240" w:lineRule="atLeast"/>
              <w:rPr>
                <w:rFonts w:ascii="Times New Roman" w:hAnsi="Times New Roman"/>
                <w:sz w:val="26"/>
                <w:szCs w:val="26"/>
              </w:rPr>
            </w:pPr>
            <w:r>
              <w:rPr>
                <w:rFonts w:ascii="Times New Roman" w:hAnsi="Times New Roman"/>
                <w:sz w:val="26"/>
                <w:szCs w:val="26"/>
              </w:rPr>
              <w:t>The rule covers more services than just “cards” alone and the proposed rule language is consistent with the current rule language</w:t>
            </w:r>
            <w:r w:rsidR="00585AED">
              <w:rPr>
                <w:rFonts w:ascii="Times New Roman" w:hAnsi="Times New Roman"/>
                <w:sz w:val="26"/>
                <w:szCs w:val="26"/>
              </w:rPr>
              <w:t xml:space="preserve"> throughout the remainder of the subsections</w:t>
            </w:r>
            <w:r>
              <w:rPr>
                <w:rFonts w:ascii="Times New Roman" w:hAnsi="Times New Roman"/>
                <w:sz w:val="26"/>
                <w:szCs w:val="26"/>
              </w:rPr>
              <w:t>. Also, the use of</w:t>
            </w:r>
            <w:r w:rsidR="00585AED">
              <w:rPr>
                <w:rFonts w:ascii="Times New Roman" w:hAnsi="Times New Roman"/>
                <w:sz w:val="26"/>
                <w:szCs w:val="26"/>
              </w:rPr>
              <w:t xml:space="preserve"> the word</w:t>
            </w:r>
            <w:r>
              <w:rPr>
                <w:rFonts w:ascii="Times New Roman" w:hAnsi="Times New Roman"/>
                <w:sz w:val="26"/>
                <w:szCs w:val="26"/>
              </w:rPr>
              <w:t xml:space="preserve"> “service” enables more comprehensive consumer protection</w:t>
            </w:r>
            <w:r w:rsidR="006943BD">
              <w:rPr>
                <w:rFonts w:ascii="Times New Roman" w:hAnsi="Times New Roman"/>
                <w:sz w:val="26"/>
                <w:szCs w:val="26"/>
              </w:rPr>
              <w:t xml:space="preserve"> for prepaid services </w:t>
            </w:r>
            <w:r w:rsidR="00585AED">
              <w:rPr>
                <w:rFonts w:ascii="Times New Roman" w:hAnsi="Times New Roman"/>
                <w:sz w:val="26"/>
                <w:szCs w:val="26"/>
              </w:rPr>
              <w:t xml:space="preserve">such as those </w:t>
            </w:r>
            <w:r w:rsidR="006943BD">
              <w:rPr>
                <w:rFonts w:ascii="Times New Roman" w:hAnsi="Times New Roman"/>
                <w:sz w:val="26"/>
                <w:szCs w:val="26"/>
              </w:rPr>
              <w:t xml:space="preserve">purchased over the internet where a “card” might not ever be issued. </w:t>
            </w:r>
          </w:p>
          <w:p w:rsidR="006943BD" w:rsidRDefault="006943BD" w:rsidP="00F141DC">
            <w:pPr>
              <w:autoSpaceDE w:val="0"/>
              <w:autoSpaceDN w:val="0"/>
              <w:spacing w:line="240" w:lineRule="atLeast"/>
              <w:rPr>
                <w:rFonts w:ascii="Times New Roman" w:hAnsi="Times New Roman"/>
                <w:sz w:val="26"/>
                <w:szCs w:val="26"/>
              </w:rPr>
            </w:pPr>
          </w:p>
          <w:p w:rsidR="00E20973" w:rsidRDefault="006943BD" w:rsidP="00F141DC">
            <w:pPr>
              <w:autoSpaceDE w:val="0"/>
              <w:autoSpaceDN w:val="0"/>
              <w:spacing w:line="240" w:lineRule="atLeast"/>
              <w:rPr>
                <w:rFonts w:ascii="Times New Roman" w:hAnsi="Times New Roman"/>
                <w:sz w:val="26"/>
                <w:szCs w:val="26"/>
              </w:rPr>
            </w:pPr>
            <w:r>
              <w:rPr>
                <w:rFonts w:ascii="Times New Roman" w:hAnsi="Times New Roman"/>
                <w:sz w:val="26"/>
                <w:szCs w:val="26"/>
              </w:rPr>
              <w:t>The rationale for this change to the current rule was to keep the rule aligned with the intent of the rule as expressed in subsection (1) and throughout the remainder of the rule</w:t>
            </w:r>
            <w:r w:rsidR="00E20973">
              <w:rPr>
                <w:rFonts w:ascii="Times New Roman" w:hAnsi="Times New Roman"/>
                <w:sz w:val="26"/>
                <w:szCs w:val="26"/>
              </w:rPr>
              <w:t>.</w:t>
            </w:r>
            <w:r>
              <w:rPr>
                <w:rFonts w:ascii="Times New Roman" w:hAnsi="Times New Roman"/>
                <w:sz w:val="26"/>
                <w:szCs w:val="26"/>
              </w:rPr>
              <w:t xml:space="preserve"> Essentially, it was an anomaly that needed typographical correction.</w:t>
            </w:r>
          </w:p>
          <w:p w:rsidR="00585AED" w:rsidRDefault="00585AED" w:rsidP="00F141DC">
            <w:pPr>
              <w:autoSpaceDE w:val="0"/>
              <w:autoSpaceDN w:val="0"/>
              <w:spacing w:line="240" w:lineRule="atLeast"/>
              <w:rPr>
                <w:rFonts w:ascii="Times New Roman" w:hAnsi="Times New Roman"/>
                <w:sz w:val="26"/>
                <w:szCs w:val="26"/>
              </w:rPr>
            </w:pPr>
          </w:p>
          <w:p w:rsidR="00585AED" w:rsidRDefault="00585AED" w:rsidP="00F141DC">
            <w:pPr>
              <w:autoSpaceDE w:val="0"/>
              <w:autoSpaceDN w:val="0"/>
              <w:spacing w:line="240" w:lineRule="atLeast"/>
              <w:rPr>
                <w:rFonts w:ascii="Times New Roman" w:hAnsi="Times New Roman"/>
                <w:sz w:val="26"/>
                <w:szCs w:val="26"/>
              </w:rPr>
            </w:pPr>
            <w:r>
              <w:rPr>
                <w:rFonts w:ascii="Times New Roman" w:hAnsi="Times New Roman"/>
                <w:sz w:val="26"/>
                <w:szCs w:val="26"/>
              </w:rPr>
              <w:t>AT&amp;T’s comment does not take into account the fact that some services provided over a card can also be recharged without the issuance of a brand new card.</w:t>
            </w:r>
          </w:p>
          <w:p w:rsidR="00E20973" w:rsidRDefault="00E20973" w:rsidP="00F141DC">
            <w:pPr>
              <w:autoSpaceDE w:val="0"/>
              <w:autoSpaceDN w:val="0"/>
              <w:spacing w:line="240" w:lineRule="atLeast"/>
              <w:rPr>
                <w:rFonts w:ascii="Times New Roman" w:hAnsi="Times New Roman"/>
                <w:sz w:val="26"/>
                <w:szCs w:val="26"/>
              </w:rPr>
            </w:pPr>
          </w:p>
          <w:p w:rsidR="00E20973" w:rsidRPr="00E20973" w:rsidRDefault="00E20973" w:rsidP="00F141DC">
            <w:pPr>
              <w:autoSpaceDE w:val="0"/>
              <w:autoSpaceDN w:val="0"/>
              <w:spacing w:line="240" w:lineRule="atLeast"/>
              <w:rPr>
                <w:rFonts w:ascii="Times New Roman" w:hAnsi="Times New Roman"/>
                <w:sz w:val="26"/>
                <w:szCs w:val="26"/>
              </w:rPr>
            </w:pPr>
          </w:p>
        </w:tc>
      </w:tr>
    </w:tbl>
    <w:p w:rsidR="001C660D" w:rsidRPr="008922AD" w:rsidRDefault="001C660D">
      <w:pPr>
        <w:rPr>
          <w:rFonts w:ascii="Times New Roman" w:hAnsi="Times New Roman"/>
          <w:sz w:val="24"/>
          <w:szCs w:val="24"/>
        </w:rPr>
      </w:pPr>
    </w:p>
    <w:sectPr w:rsidR="001C660D" w:rsidRPr="008922AD" w:rsidSect="00AE2080">
      <w:headerReference w:type="default" r:id="rId8"/>
      <w:footerReference w:type="default" r:id="rId9"/>
      <w:pgSz w:w="20160" w:h="12240" w:orient="landscape" w:code="5"/>
      <w:pgMar w:top="1440"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3BD" w:rsidRDefault="006943BD" w:rsidP="00F84C58">
      <w:pPr>
        <w:spacing w:line="240" w:lineRule="auto"/>
      </w:pPr>
      <w:r>
        <w:separator/>
      </w:r>
    </w:p>
  </w:endnote>
  <w:endnote w:type="continuationSeparator" w:id="0">
    <w:p w:rsidR="006943BD" w:rsidRDefault="006943BD" w:rsidP="00F84C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BD" w:rsidRPr="008922AD" w:rsidRDefault="006943BD">
    <w:pPr>
      <w:pStyle w:val="Footer"/>
      <w:jc w:val="right"/>
      <w:rPr>
        <w:rFonts w:ascii="Times New Roman" w:hAnsi="Times New Roman"/>
        <w:b/>
        <w:sz w:val="24"/>
        <w:szCs w:val="24"/>
      </w:rPr>
    </w:pPr>
    <w:r w:rsidRPr="008922AD">
      <w:rPr>
        <w:rFonts w:ascii="Times New Roman" w:hAnsi="Times New Roman"/>
        <w:b/>
        <w:sz w:val="24"/>
        <w:szCs w:val="24"/>
      </w:rPr>
      <w:t xml:space="preserve">Page </w:t>
    </w:r>
    <w:r w:rsidR="004A4B90" w:rsidRPr="008922AD">
      <w:rPr>
        <w:rFonts w:ascii="Times New Roman" w:hAnsi="Times New Roman"/>
        <w:b/>
        <w:sz w:val="24"/>
        <w:szCs w:val="24"/>
      </w:rPr>
      <w:fldChar w:fldCharType="begin"/>
    </w:r>
    <w:r w:rsidRPr="008922AD">
      <w:rPr>
        <w:rFonts w:ascii="Times New Roman" w:hAnsi="Times New Roman"/>
        <w:b/>
        <w:sz w:val="24"/>
        <w:szCs w:val="24"/>
      </w:rPr>
      <w:instrText xml:space="preserve"> PAGE   \* MERGEFORMAT </w:instrText>
    </w:r>
    <w:r w:rsidR="004A4B90" w:rsidRPr="008922AD">
      <w:rPr>
        <w:rFonts w:ascii="Times New Roman" w:hAnsi="Times New Roman"/>
        <w:b/>
        <w:sz w:val="24"/>
        <w:szCs w:val="24"/>
      </w:rPr>
      <w:fldChar w:fldCharType="separate"/>
    </w:r>
    <w:r w:rsidR="009351F8">
      <w:rPr>
        <w:rFonts w:ascii="Times New Roman" w:hAnsi="Times New Roman"/>
        <w:b/>
        <w:noProof/>
        <w:sz w:val="24"/>
        <w:szCs w:val="24"/>
      </w:rPr>
      <w:t>3</w:t>
    </w:r>
    <w:r w:rsidR="004A4B90" w:rsidRPr="008922AD">
      <w:rPr>
        <w:rFonts w:ascii="Times New Roman" w:hAnsi="Times New Roman"/>
        <w:b/>
        <w:sz w:val="24"/>
        <w:szCs w:val="24"/>
      </w:rPr>
      <w:fldChar w:fldCharType="end"/>
    </w:r>
    <w:r w:rsidRPr="008922AD">
      <w:rPr>
        <w:rFonts w:ascii="Times New Roman" w:hAnsi="Times New Roman"/>
        <w:b/>
        <w:sz w:val="24"/>
        <w:szCs w:val="24"/>
      </w:rPr>
      <w:t xml:space="preserve"> </w:t>
    </w:r>
    <w:proofErr w:type="gramStart"/>
    <w:r w:rsidRPr="008922AD">
      <w:rPr>
        <w:rFonts w:ascii="Times New Roman" w:hAnsi="Times New Roman"/>
        <w:b/>
        <w:sz w:val="24"/>
        <w:szCs w:val="24"/>
      </w:rPr>
      <w:t>of</w:t>
    </w:r>
    <w:r>
      <w:rPr>
        <w:rFonts w:ascii="Times New Roman" w:hAnsi="Times New Roman"/>
        <w:b/>
        <w:sz w:val="24"/>
        <w:szCs w:val="24"/>
      </w:rPr>
      <w:t xml:space="preserve">  3</w:t>
    </w:r>
    <w:proofErr w:type="gramEnd"/>
  </w:p>
  <w:p w:rsidR="006943BD" w:rsidRDefault="00694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3BD" w:rsidRDefault="006943BD" w:rsidP="00F84C58">
      <w:pPr>
        <w:spacing w:line="240" w:lineRule="auto"/>
      </w:pPr>
      <w:r>
        <w:separator/>
      </w:r>
    </w:p>
  </w:footnote>
  <w:footnote w:type="continuationSeparator" w:id="0">
    <w:p w:rsidR="006943BD" w:rsidRDefault="006943BD" w:rsidP="00F84C5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BD" w:rsidRDefault="006943BD">
    <w:pPr>
      <w:pStyle w:val="Header"/>
      <w:jc w:val="right"/>
      <w:rPr>
        <w:rFonts w:ascii="Times New Roman" w:hAnsi="Times New Roman"/>
        <w:b/>
        <w:sz w:val="24"/>
        <w:szCs w:val="24"/>
      </w:rPr>
    </w:pPr>
    <w:r w:rsidRPr="008922AD">
      <w:rPr>
        <w:rFonts w:ascii="Times New Roman" w:hAnsi="Times New Roman"/>
        <w:b/>
        <w:sz w:val="24"/>
        <w:szCs w:val="24"/>
      </w:rPr>
      <w:tab/>
    </w:r>
    <w:r w:rsidRPr="008922AD">
      <w:rPr>
        <w:rFonts w:ascii="Times New Roman" w:hAnsi="Times New Roman"/>
        <w:b/>
        <w:sz w:val="24"/>
        <w:szCs w:val="24"/>
      </w:rPr>
      <w:tab/>
    </w:r>
    <w:r w:rsidRPr="008922AD">
      <w:rPr>
        <w:rFonts w:ascii="Times New Roman" w:hAnsi="Times New Roman"/>
        <w:b/>
        <w:sz w:val="24"/>
        <w:szCs w:val="24"/>
      </w:rPr>
      <w:tab/>
    </w:r>
    <w:r w:rsidRPr="008922AD">
      <w:rPr>
        <w:rFonts w:ascii="Times New Roman" w:hAnsi="Times New Roman"/>
        <w:b/>
        <w:sz w:val="24"/>
        <w:szCs w:val="24"/>
      </w:rPr>
      <w:tab/>
    </w:r>
    <w:r w:rsidRPr="008922AD">
      <w:rPr>
        <w:rFonts w:ascii="Times New Roman" w:hAnsi="Times New Roman"/>
        <w:b/>
        <w:sz w:val="24"/>
        <w:szCs w:val="24"/>
      </w:rPr>
      <w:tab/>
    </w:r>
    <w:r w:rsidRPr="008922AD">
      <w:rPr>
        <w:rFonts w:ascii="Times New Roman" w:hAnsi="Times New Roman"/>
        <w:b/>
        <w:sz w:val="24"/>
        <w:szCs w:val="24"/>
      </w:rPr>
      <w:tab/>
    </w:r>
    <w:r w:rsidRPr="008922AD">
      <w:rPr>
        <w:rFonts w:ascii="Times New Roman" w:hAnsi="Times New Roman"/>
        <w:b/>
        <w:sz w:val="24"/>
        <w:szCs w:val="24"/>
      </w:rPr>
      <w:tab/>
    </w:r>
    <w:r w:rsidRPr="008922AD">
      <w:rPr>
        <w:rFonts w:ascii="Times New Roman" w:hAnsi="Times New Roman"/>
        <w:b/>
        <w:sz w:val="24"/>
        <w:szCs w:val="24"/>
      </w:rPr>
      <w:tab/>
    </w:r>
    <w:r w:rsidRPr="008922AD">
      <w:rPr>
        <w:rFonts w:ascii="Times New Roman" w:hAnsi="Times New Roman"/>
        <w:b/>
        <w:sz w:val="24"/>
        <w:szCs w:val="24"/>
      </w:rPr>
      <w:tab/>
    </w:r>
    <w:r w:rsidRPr="008922AD">
      <w:rPr>
        <w:rFonts w:ascii="Times New Roman" w:hAnsi="Times New Roman"/>
        <w:b/>
        <w:sz w:val="24"/>
        <w:szCs w:val="24"/>
      </w:rPr>
      <w:tab/>
    </w:r>
    <w:proofErr w:type="gramStart"/>
    <w:r w:rsidRPr="008922AD">
      <w:rPr>
        <w:rFonts w:ascii="Times New Roman" w:hAnsi="Times New Roman"/>
        <w:b/>
        <w:sz w:val="24"/>
        <w:szCs w:val="24"/>
      </w:rPr>
      <w:t xml:space="preserve">Attachment </w:t>
    </w:r>
    <w:r>
      <w:rPr>
        <w:rFonts w:ascii="Times New Roman" w:hAnsi="Times New Roman"/>
        <w:b/>
        <w:sz w:val="24"/>
        <w:szCs w:val="24"/>
      </w:rPr>
      <w:t xml:space="preserve"> </w:t>
    </w:r>
    <w:r w:rsidRPr="008922AD">
      <w:rPr>
        <w:rFonts w:ascii="Times New Roman" w:hAnsi="Times New Roman"/>
        <w:b/>
        <w:sz w:val="24"/>
        <w:szCs w:val="24"/>
      </w:rPr>
      <w:t>2</w:t>
    </w:r>
    <w:proofErr w:type="gram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1C660D"/>
    <w:rsid w:val="00015542"/>
    <w:rsid w:val="00015B95"/>
    <w:rsid w:val="00020375"/>
    <w:rsid w:val="00027DA1"/>
    <w:rsid w:val="00045A0B"/>
    <w:rsid w:val="0007391C"/>
    <w:rsid w:val="00082D9B"/>
    <w:rsid w:val="00083421"/>
    <w:rsid w:val="00087ADE"/>
    <w:rsid w:val="000D15F2"/>
    <w:rsid w:val="000D1B23"/>
    <w:rsid w:val="000E1D9F"/>
    <w:rsid w:val="000F3E17"/>
    <w:rsid w:val="001100FE"/>
    <w:rsid w:val="0011706F"/>
    <w:rsid w:val="00117480"/>
    <w:rsid w:val="00117F95"/>
    <w:rsid w:val="0012567B"/>
    <w:rsid w:val="00132698"/>
    <w:rsid w:val="001410C8"/>
    <w:rsid w:val="00144B9E"/>
    <w:rsid w:val="0016411F"/>
    <w:rsid w:val="00170CAC"/>
    <w:rsid w:val="00173D6C"/>
    <w:rsid w:val="00183A6B"/>
    <w:rsid w:val="00187D10"/>
    <w:rsid w:val="00190B7F"/>
    <w:rsid w:val="00196AC6"/>
    <w:rsid w:val="001A575B"/>
    <w:rsid w:val="001C5AB1"/>
    <w:rsid w:val="001C660D"/>
    <w:rsid w:val="001D2914"/>
    <w:rsid w:val="001E7457"/>
    <w:rsid w:val="001F4FBD"/>
    <w:rsid w:val="001F6136"/>
    <w:rsid w:val="00202286"/>
    <w:rsid w:val="0024379E"/>
    <w:rsid w:val="00261BB4"/>
    <w:rsid w:val="002722C6"/>
    <w:rsid w:val="0027488E"/>
    <w:rsid w:val="002919A0"/>
    <w:rsid w:val="002C039A"/>
    <w:rsid w:val="002C2191"/>
    <w:rsid w:val="002F00C9"/>
    <w:rsid w:val="0030247E"/>
    <w:rsid w:val="0031381F"/>
    <w:rsid w:val="00340BA9"/>
    <w:rsid w:val="00347EF1"/>
    <w:rsid w:val="00362BC9"/>
    <w:rsid w:val="00397EDB"/>
    <w:rsid w:val="003B06A1"/>
    <w:rsid w:val="004067AE"/>
    <w:rsid w:val="0041288F"/>
    <w:rsid w:val="00427518"/>
    <w:rsid w:val="0043023D"/>
    <w:rsid w:val="00437AFF"/>
    <w:rsid w:val="004647C5"/>
    <w:rsid w:val="00465622"/>
    <w:rsid w:val="00477415"/>
    <w:rsid w:val="00481799"/>
    <w:rsid w:val="004A4B90"/>
    <w:rsid w:val="004C3EBD"/>
    <w:rsid w:val="004C5179"/>
    <w:rsid w:val="004E28CA"/>
    <w:rsid w:val="004E4387"/>
    <w:rsid w:val="004F33FC"/>
    <w:rsid w:val="0052674E"/>
    <w:rsid w:val="00527F74"/>
    <w:rsid w:val="005644D3"/>
    <w:rsid w:val="00585AED"/>
    <w:rsid w:val="0058639C"/>
    <w:rsid w:val="00590375"/>
    <w:rsid w:val="0059420D"/>
    <w:rsid w:val="005A049E"/>
    <w:rsid w:val="005E07AB"/>
    <w:rsid w:val="005F0DCE"/>
    <w:rsid w:val="0060225D"/>
    <w:rsid w:val="006426B5"/>
    <w:rsid w:val="0066561E"/>
    <w:rsid w:val="006810F5"/>
    <w:rsid w:val="006943BD"/>
    <w:rsid w:val="006E0B51"/>
    <w:rsid w:val="006E5085"/>
    <w:rsid w:val="006F2FA1"/>
    <w:rsid w:val="00702FB4"/>
    <w:rsid w:val="00722463"/>
    <w:rsid w:val="00722E3E"/>
    <w:rsid w:val="00723A3A"/>
    <w:rsid w:val="00762DF8"/>
    <w:rsid w:val="00767B43"/>
    <w:rsid w:val="00771EDA"/>
    <w:rsid w:val="0077705D"/>
    <w:rsid w:val="007A000A"/>
    <w:rsid w:val="007A3B82"/>
    <w:rsid w:val="007A7A66"/>
    <w:rsid w:val="007B2C91"/>
    <w:rsid w:val="007B74B9"/>
    <w:rsid w:val="007C3DA1"/>
    <w:rsid w:val="007E1036"/>
    <w:rsid w:val="00800391"/>
    <w:rsid w:val="00803A3C"/>
    <w:rsid w:val="00816FF5"/>
    <w:rsid w:val="00845B20"/>
    <w:rsid w:val="00857231"/>
    <w:rsid w:val="008634E6"/>
    <w:rsid w:val="00863564"/>
    <w:rsid w:val="00882915"/>
    <w:rsid w:val="008922AD"/>
    <w:rsid w:val="008B4A08"/>
    <w:rsid w:val="008C6CCF"/>
    <w:rsid w:val="008C7CCC"/>
    <w:rsid w:val="008D0275"/>
    <w:rsid w:val="00914AE3"/>
    <w:rsid w:val="00914B54"/>
    <w:rsid w:val="00921AB1"/>
    <w:rsid w:val="009351F8"/>
    <w:rsid w:val="00947A65"/>
    <w:rsid w:val="00957D86"/>
    <w:rsid w:val="00960A0F"/>
    <w:rsid w:val="0096794A"/>
    <w:rsid w:val="00976792"/>
    <w:rsid w:val="00986749"/>
    <w:rsid w:val="009B0AE7"/>
    <w:rsid w:val="009C327F"/>
    <w:rsid w:val="009D03DE"/>
    <w:rsid w:val="009D7E48"/>
    <w:rsid w:val="009F75CC"/>
    <w:rsid w:val="00A21AA8"/>
    <w:rsid w:val="00A34504"/>
    <w:rsid w:val="00A73AF9"/>
    <w:rsid w:val="00A75A11"/>
    <w:rsid w:val="00A779BF"/>
    <w:rsid w:val="00A815E2"/>
    <w:rsid w:val="00A84C2A"/>
    <w:rsid w:val="00A95019"/>
    <w:rsid w:val="00A97694"/>
    <w:rsid w:val="00AC4267"/>
    <w:rsid w:val="00AC4987"/>
    <w:rsid w:val="00AD02DC"/>
    <w:rsid w:val="00AD5449"/>
    <w:rsid w:val="00AD7A30"/>
    <w:rsid w:val="00AE02E5"/>
    <w:rsid w:val="00AE2080"/>
    <w:rsid w:val="00AE6171"/>
    <w:rsid w:val="00AF2900"/>
    <w:rsid w:val="00B06744"/>
    <w:rsid w:val="00B148A6"/>
    <w:rsid w:val="00B209CB"/>
    <w:rsid w:val="00B31ACB"/>
    <w:rsid w:val="00B32EA1"/>
    <w:rsid w:val="00B64989"/>
    <w:rsid w:val="00B8092B"/>
    <w:rsid w:val="00B80ACA"/>
    <w:rsid w:val="00B95BAE"/>
    <w:rsid w:val="00BA257C"/>
    <w:rsid w:val="00BA2BA3"/>
    <w:rsid w:val="00BA4996"/>
    <w:rsid w:val="00C03F96"/>
    <w:rsid w:val="00C132C6"/>
    <w:rsid w:val="00C34277"/>
    <w:rsid w:val="00C65710"/>
    <w:rsid w:val="00C739CA"/>
    <w:rsid w:val="00C800AB"/>
    <w:rsid w:val="00C85315"/>
    <w:rsid w:val="00C934D3"/>
    <w:rsid w:val="00CE0CC9"/>
    <w:rsid w:val="00CE5625"/>
    <w:rsid w:val="00CF3541"/>
    <w:rsid w:val="00CF3945"/>
    <w:rsid w:val="00D36950"/>
    <w:rsid w:val="00D36BB5"/>
    <w:rsid w:val="00D40EF0"/>
    <w:rsid w:val="00D82AE5"/>
    <w:rsid w:val="00DA40C7"/>
    <w:rsid w:val="00DC1FBF"/>
    <w:rsid w:val="00DC7CD9"/>
    <w:rsid w:val="00DD2A47"/>
    <w:rsid w:val="00DF72A4"/>
    <w:rsid w:val="00E11A25"/>
    <w:rsid w:val="00E20973"/>
    <w:rsid w:val="00E45AD2"/>
    <w:rsid w:val="00E531BD"/>
    <w:rsid w:val="00E53455"/>
    <w:rsid w:val="00E77755"/>
    <w:rsid w:val="00E97439"/>
    <w:rsid w:val="00EB596A"/>
    <w:rsid w:val="00EC4904"/>
    <w:rsid w:val="00F07E22"/>
    <w:rsid w:val="00F141DC"/>
    <w:rsid w:val="00F53968"/>
    <w:rsid w:val="00F73E57"/>
    <w:rsid w:val="00F743FE"/>
    <w:rsid w:val="00F77873"/>
    <w:rsid w:val="00F82CDC"/>
    <w:rsid w:val="00F84C58"/>
    <w:rsid w:val="00F9204E"/>
    <w:rsid w:val="00FC44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6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84C5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84C58"/>
  </w:style>
  <w:style w:type="paragraph" w:styleId="Footer">
    <w:name w:val="footer"/>
    <w:basedOn w:val="Normal"/>
    <w:link w:val="FooterChar"/>
    <w:uiPriority w:val="99"/>
    <w:unhideWhenUsed/>
    <w:rsid w:val="00F84C58"/>
    <w:pPr>
      <w:tabs>
        <w:tab w:val="center" w:pos="4680"/>
        <w:tab w:val="right" w:pos="9360"/>
      </w:tabs>
      <w:spacing w:line="240" w:lineRule="auto"/>
    </w:pPr>
  </w:style>
  <w:style w:type="character" w:customStyle="1" w:styleId="FooterChar">
    <w:name w:val="Footer Char"/>
    <w:basedOn w:val="DefaultParagraphFont"/>
    <w:link w:val="Footer"/>
    <w:uiPriority w:val="99"/>
    <w:rsid w:val="00F84C58"/>
  </w:style>
  <w:style w:type="character" w:styleId="CommentReference">
    <w:name w:val="annotation reference"/>
    <w:basedOn w:val="DefaultParagraphFont"/>
    <w:uiPriority w:val="99"/>
    <w:semiHidden/>
    <w:unhideWhenUsed/>
    <w:rsid w:val="00CE0CC9"/>
    <w:rPr>
      <w:sz w:val="16"/>
      <w:szCs w:val="16"/>
    </w:rPr>
  </w:style>
  <w:style w:type="paragraph" w:styleId="CommentText">
    <w:name w:val="annotation text"/>
    <w:basedOn w:val="Normal"/>
    <w:link w:val="CommentTextChar"/>
    <w:uiPriority w:val="99"/>
    <w:semiHidden/>
    <w:unhideWhenUsed/>
    <w:rsid w:val="00CE0CC9"/>
    <w:rPr>
      <w:sz w:val="20"/>
      <w:szCs w:val="20"/>
    </w:rPr>
  </w:style>
  <w:style w:type="character" w:customStyle="1" w:styleId="CommentTextChar">
    <w:name w:val="Comment Text Char"/>
    <w:basedOn w:val="DefaultParagraphFont"/>
    <w:link w:val="CommentText"/>
    <w:uiPriority w:val="99"/>
    <w:semiHidden/>
    <w:rsid w:val="00CE0CC9"/>
  </w:style>
  <w:style w:type="paragraph" w:styleId="CommentSubject">
    <w:name w:val="annotation subject"/>
    <w:basedOn w:val="CommentText"/>
    <w:next w:val="CommentText"/>
    <w:link w:val="CommentSubjectChar"/>
    <w:uiPriority w:val="99"/>
    <w:semiHidden/>
    <w:unhideWhenUsed/>
    <w:rsid w:val="00CE0CC9"/>
    <w:rPr>
      <w:b/>
      <w:bCs/>
    </w:rPr>
  </w:style>
  <w:style w:type="character" w:customStyle="1" w:styleId="CommentSubjectChar">
    <w:name w:val="Comment Subject Char"/>
    <w:basedOn w:val="CommentTextChar"/>
    <w:link w:val="CommentSubject"/>
    <w:uiPriority w:val="99"/>
    <w:semiHidden/>
    <w:rsid w:val="00CE0CC9"/>
    <w:rPr>
      <w:b/>
      <w:bCs/>
    </w:rPr>
  </w:style>
  <w:style w:type="paragraph" w:styleId="Revision">
    <w:name w:val="Revision"/>
    <w:hidden/>
    <w:uiPriority w:val="99"/>
    <w:semiHidden/>
    <w:rsid w:val="00CE0CC9"/>
    <w:rPr>
      <w:sz w:val="22"/>
      <w:szCs w:val="22"/>
    </w:rPr>
  </w:style>
  <w:style w:type="paragraph" w:styleId="BalloonText">
    <w:name w:val="Balloon Text"/>
    <w:basedOn w:val="Normal"/>
    <w:link w:val="BalloonTextChar"/>
    <w:uiPriority w:val="99"/>
    <w:semiHidden/>
    <w:unhideWhenUsed/>
    <w:rsid w:val="00CE0C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CC9"/>
    <w:rPr>
      <w:rFonts w:ascii="Tahoma" w:hAnsi="Tahoma" w:cs="Tahoma"/>
      <w:sz w:val="16"/>
      <w:szCs w:val="16"/>
    </w:rPr>
  </w:style>
  <w:style w:type="character" w:styleId="Hyperlink">
    <w:name w:val="Hyperlink"/>
    <w:basedOn w:val="DefaultParagraphFont"/>
    <w:uiPriority w:val="99"/>
    <w:unhideWhenUsed/>
    <w:rsid w:val="004656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09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att.com/prepaid"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Memorandum</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2010-01-26T08:00:00+00:00</OpenedDate>
    <Date1 xmlns="dc463f71-b30c-4ab2-9473-d307f9d35888">2010-06-23T07:00:00+00:00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100148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5B281EA4636542A21F2F689EE9299B" ma:contentTypeVersion="131" ma:contentTypeDescription="" ma:contentTypeScope="" ma:versionID="c8646ee5010ffe64730ae702b51106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5F622-4248-4F0B-8BAC-0345A80313F6}"/>
</file>

<file path=customXml/itemProps2.xml><?xml version="1.0" encoding="utf-8"?>
<ds:datastoreItem xmlns:ds="http://schemas.openxmlformats.org/officeDocument/2006/customXml" ds:itemID="{AB9A96C2-C4F9-477D-87F1-2814A26C1956}"/>
</file>

<file path=customXml/itemProps3.xml><?xml version="1.0" encoding="utf-8"?>
<ds:datastoreItem xmlns:ds="http://schemas.openxmlformats.org/officeDocument/2006/customXml" ds:itemID="{D2E2D12E-B2DC-40D3-88FC-C3F4D498891B}"/>
</file>

<file path=customXml/itemProps4.xml><?xml version="1.0" encoding="utf-8"?>
<ds:datastoreItem xmlns:ds="http://schemas.openxmlformats.org/officeDocument/2006/customXml" ds:itemID="{B245ED5D-5D57-4130-998A-731A2C1E7D8D}"/>
</file>

<file path=customXml/itemProps5.xml><?xml version="1.0" encoding="utf-8"?>
<ds:datastoreItem xmlns:ds="http://schemas.openxmlformats.org/officeDocument/2006/customXml" ds:itemID="{46E03A69-031A-4A1E-90FC-778F1A517290}"/>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Elliott</dc:creator>
  <cp:keywords/>
  <dc:description/>
  <cp:lastModifiedBy>Tim Zawislak</cp:lastModifiedBy>
  <cp:revision>2</cp:revision>
  <cp:lastPrinted>2010-01-14T22:19:00Z</cp:lastPrinted>
  <dcterms:created xsi:type="dcterms:W3CDTF">2010-06-23T21:33:00Z</dcterms:created>
  <dcterms:modified xsi:type="dcterms:W3CDTF">2010-06-23T21:33:00Z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0x0101006E56B4D1795A2E4DB2F0B01679ED314A00215B281EA4636542A21F2F689EE9299B</vt:lpwstr>
  </property>
  <property fmtid="{D5CDD505-2E9C-101B-9397-08002B2CF9AE}" pid="3" name="_docset_NoMedatataSyncRequired">
    <vt:lpwstr>False</vt:lpwstr>
  </property>
</Properties>
</file>