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EF" w:rsidRDefault="004B0DF0">
      <w:pPr>
        <w:pStyle w:val="BodyText"/>
        <w:spacing w:before="52"/>
        <w:ind w:left="1144"/>
      </w:pPr>
      <w:r>
        <w:rPr>
          <w:spacing w:val="-1"/>
        </w:rPr>
        <w:t>BEFORE</w:t>
      </w:r>
      <w:r>
        <w:t xml:space="preserve"> </w:t>
      </w:r>
      <w:r>
        <w:rPr>
          <w:spacing w:val="-1"/>
        </w:rPr>
        <w:t>THE</w:t>
      </w:r>
      <w:r>
        <w:t xml:space="preserve"> </w:t>
      </w:r>
      <w:r>
        <w:rPr>
          <w:spacing w:val="-1"/>
        </w:rPr>
        <w:t>WASHINGTON UTILITIES</w:t>
      </w:r>
      <w:r>
        <w:t xml:space="preserve"> AND </w:t>
      </w:r>
      <w:r>
        <w:rPr>
          <w:spacing w:val="-1"/>
        </w:rPr>
        <w:t>TRANSPORTATION</w:t>
      </w:r>
      <w:r>
        <w:rPr>
          <w:spacing w:val="1"/>
        </w:rPr>
        <w:t xml:space="preserve"> </w:t>
      </w:r>
      <w:r>
        <w:rPr>
          <w:spacing w:val="-1"/>
        </w:rPr>
        <w:t>COMMISSION</w:t>
      </w:r>
    </w:p>
    <w:p w:rsidR="009D44EF" w:rsidRDefault="009D44EF">
      <w:pPr>
        <w:rPr>
          <w:rFonts w:ascii="Times New Roman" w:eastAsia="Times New Roman" w:hAnsi="Times New Roman" w:cs="Times New Roman"/>
          <w:sz w:val="20"/>
          <w:szCs w:val="20"/>
        </w:rPr>
      </w:pPr>
    </w:p>
    <w:p w:rsidR="009D44EF" w:rsidRDefault="009D44EF">
      <w:pPr>
        <w:rPr>
          <w:rFonts w:ascii="Times New Roman" w:eastAsia="Times New Roman" w:hAnsi="Times New Roman" w:cs="Times New Roman"/>
          <w:sz w:val="20"/>
          <w:szCs w:val="20"/>
        </w:rPr>
      </w:pPr>
    </w:p>
    <w:p w:rsidR="009D44EF" w:rsidRDefault="009D44EF">
      <w:pPr>
        <w:spacing w:before="4"/>
        <w:rPr>
          <w:rFonts w:ascii="Times New Roman" w:eastAsia="Times New Roman" w:hAnsi="Times New Roman" w:cs="Times New Roman"/>
          <w:sz w:val="21"/>
          <w:szCs w:val="21"/>
        </w:rPr>
      </w:pPr>
    </w:p>
    <w:p w:rsidR="00CF7C5D" w:rsidRDefault="00BB0E52" w:rsidP="00CF7C5D">
      <w:pPr>
        <w:pStyle w:val="BodyText"/>
        <w:ind w:left="6353" w:right="370"/>
        <w:rPr>
          <w:spacing w:val="27"/>
        </w:rPr>
      </w:pPr>
      <w:r>
        <w:rPr>
          <w:noProof/>
        </w:rPr>
        <mc:AlternateContent>
          <mc:Choice Requires="wpg">
            <w:drawing>
              <wp:anchor distT="0" distB="0" distL="114300" distR="114300" simplePos="0" relativeHeight="1072" behindDoc="0" locked="0" layoutInCell="1" allowOverlap="1">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D95BF6">
                                <w:pPr>
                                  <w:ind w:left="1581"/>
                                  <w:rPr>
                                    <w:rFonts w:ascii="Times New Roman" w:eastAsia="Times New Roman" w:hAnsi="Times New Roman" w:cs="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proofErr w:type="gramStart"/>
                                <w:r>
                                  <w:rPr>
                                    <w:rFonts w:ascii="Times New Roman"/>
                                    <w:sz w:val="24"/>
                                  </w:rPr>
                                  <w:t>v</w:t>
                                </w:r>
                                <w:proofErr w:type="gramEnd"/>
                                <w:r>
                                  <w:rPr>
                                    <w:rFonts w:ascii="Times New Roman"/>
                                    <w:sz w:val="24"/>
                                  </w:rPr>
                                  <w:t>.</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D95BF6" w:rsidRDefault="00D95BF6">
                          <w:pPr>
                            <w:rPr>
                              <w:rFonts w:ascii="Times New Roman" w:eastAsia="Times New Roman" w:hAnsi="Times New Roman" w:cs="Times New Roman"/>
                              <w:sz w:val="24"/>
                              <w:szCs w:val="24"/>
                            </w:rPr>
                          </w:pPr>
                        </w:p>
                        <w:p w:rsidR="00D95BF6" w:rsidRDefault="00D95BF6">
                          <w:pPr>
                            <w:ind w:left="1581"/>
                            <w:rPr>
                              <w:rFonts w:ascii="Times New Roman" w:eastAsia="Times New Roman" w:hAnsi="Times New Roman" w:cs="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D95BF6" w:rsidRDefault="00D95BF6">
                          <w:pPr>
                            <w:rPr>
                              <w:rFonts w:ascii="Times New Roman" w:eastAsia="Times New Roman" w:hAnsi="Times New Roman" w:cs="Times New Roman"/>
                              <w:sz w:val="24"/>
                              <w:szCs w:val="24"/>
                            </w:rPr>
                          </w:pPr>
                        </w:p>
                        <w:p w:rsidR="00D95BF6" w:rsidRDefault="00D95BF6">
                          <w:pPr>
                            <w:ind w:left="741"/>
                            <w:rPr>
                              <w:rFonts w:ascii="Times New Roman" w:eastAsia="Times New Roman" w:hAnsi="Times New Roman" w:cs="Times New Roman"/>
                              <w:sz w:val="24"/>
                              <w:szCs w:val="24"/>
                            </w:rPr>
                          </w:pPr>
                          <w:proofErr w:type="gramStart"/>
                          <w:r>
                            <w:rPr>
                              <w:rFonts w:ascii="Times New Roman"/>
                              <w:sz w:val="24"/>
                            </w:rPr>
                            <w:t>v</w:t>
                          </w:r>
                          <w:proofErr w:type="gramEnd"/>
                          <w:r>
                            <w:rPr>
                              <w:rFonts w:ascii="Times New Roman"/>
                              <w:sz w:val="24"/>
                            </w:rPr>
                            <w:t>.</w:t>
                          </w:r>
                        </w:p>
                        <w:p w:rsidR="00D95BF6" w:rsidRDefault="00D95BF6">
                          <w:pPr>
                            <w:rPr>
                              <w:rFonts w:ascii="Times New Roman" w:eastAsia="Times New Roman" w:hAnsi="Times New Roman" w:cs="Times New Roman"/>
                              <w:sz w:val="24"/>
                              <w:szCs w:val="24"/>
                            </w:rPr>
                          </w:pPr>
                        </w:p>
                        <w:p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D95BF6" w:rsidRDefault="00D95BF6">
                          <w:pPr>
                            <w:rPr>
                              <w:rFonts w:ascii="Times New Roman" w:eastAsia="Times New Roman" w:hAnsi="Times New Roman" w:cs="Times New Roman"/>
                              <w:sz w:val="24"/>
                              <w:szCs w:val="24"/>
                            </w:rPr>
                          </w:pPr>
                        </w:p>
                        <w:p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Pr>
          <w:spacing w:val="-1"/>
        </w:rPr>
        <w:t>DOCKET</w:t>
      </w:r>
      <w:r w:rsidR="00CF7C5D">
        <w:rPr>
          <w:spacing w:val="-1"/>
        </w:rPr>
        <w:t xml:space="preserve"> </w:t>
      </w:r>
      <w:r w:rsidR="004B0DF0">
        <w:rPr>
          <w:spacing w:val="-1"/>
        </w:rPr>
        <w:t>NOS.</w:t>
      </w:r>
      <w:r w:rsidR="004B0DF0">
        <w:rPr>
          <w:spacing w:val="27"/>
        </w:rPr>
        <w:t xml:space="preserve"> </w:t>
      </w:r>
    </w:p>
    <w:p w:rsidR="009D44EF" w:rsidRDefault="004B0DF0" w:rsidP="00CF7C5D">
      <w:pPr>
        <w:pStyle w:val="BodyText"/>
        <w:ind w:left="6353" w:right="370"/>
      </w:pPr>
      <w:r>
        <w:rPr>
          <w:spacing w:val="-1"/>
        </w:rPr>
        <w:t>TC-143691</w:t>
      </w:r>
    </w:p>
    <w:p w:rsidR="009D44EF" w:rsidRDefault="004B0DF0" w:rsidP="00CF7C5D">
      <w:pPr>
        <w:pStyle w:val="BodyText"/>
        <w:ind w:left="6353" w:right="370"/>
      </w:pPr>
      <w:r>
        <w:rPr>
          <w:spacing w:val="-1"/>
        </w:rPr>
        <w:t>TC-160516</w:t>
      </w:r>
    </w:p>
    <w:p w:rsidR="009D44EF" w:rsidRDefault="009D44EF">
      <w:pPr>
        <w:rPr>
          <w:rFonts w:ascii="Times New Roman" w:eastAsia="Times New Roman" w:hAnsi="Times New Roman" w:cs="Times New Roman"/>
          <w:sz w:val="24"/>
          <w:szCs w:val="24"/>
        </w:rPr>
      </w:pPr>
    </w:p>
    <w:p w:rsidR="009D44EF" w:rsidRDefault="000270D2">
      <w:pPr>
        <w:pStyle w:val="BodyText"/>
        <w:ind w:left="6353" w:right="382"/>
      </w:pPr>
      <w:r>
        <w:rPr>
          <w:spacing w:val="-1"/>
        </w:rPr>
        <w:t>OPPOSITION</w:t>
      </w:r>
      <w:r w:rsidR="00C174DB">
        <w:rPr>
          <w:spacing w:val="-1"/>
        </w:rPr>
        <w:t xml:space="preserve"> </w:t>
      </w:r>
      <w:r w:rsidR="004B0DF0">
        <w:rPr>
          <w:spacing w:val="-1"/>
        </w:rPr>
        <w:t>OF</w:t>
      </w:r>
      <w:r w:rsidR="004B0DF0">
        <w:rPr>
          <w:spacing w:val="-2"/>
        </w:rPr>
        <w:t xml:space="preserve"> </w:t>
      </w:r>
      <w:r w:rsidR="004B0DF0">
        <w:rPr>
          <w:spacing w:val="-1"/>
        </w:rPr>
        <w:t>SHUTTLE</w:t>
      </w:r>
      <w:r w:rsidR="004B0DF0">
        <w:rPr>
          <w:spacing w:val="21"/>
        </w:rPr>
        <w:t xml:space="preserve"> </w:t>
      </w:r>
      <w:r w:rsidR="004B0DF0">
        <w:rPr>
          <w:spacing w:val="-1"/>
        </w:rPr>
        <w:t>EXPRESS,</w:t>
      </w:r>
      <w:r w:rsidR="004B0DF0">
        <w:t xml:space="preserve"> </w:t>
      </w:r>
      <w:r w:rsidR="004B0DF0">
        <w:rPr>
          <w:spacing w:val="-2"/>
        </w:rPr>
        <w:t>INC.</w:t>
      </w:r>
      <w:r w:rsidR="004B0DF0">
        <w:rPr>
          <w:spacing w:val="4"/>
        </w:rPr>
        <w:t xml:space="preserve"> </w:t>
      </w:r>
      <w:r>
        <w:rPr>
          <w:spacing w:val="4"/>
        </w:rPr>
        <w:t xml:space="preserve">PURSUANT </w:t>
      </w:r>
      <w:r w:rsidR="00CB4E77">
        <w:rPr>
          <w:spacing w:val="-2"/>
        </w:rPr>
        <w:t>TO</w:t>
      </w:r>
      <w:r w:rsidR="004B0DF0">
        <w:rPr>
          <w:spacing w:val="-1"/>
        </w:rPr>
        <w:t xml:space="preserve"> </w:t>
      </w:r>
      <w:r w:rsidR="005F23FD">
        <w:rPr>
          <w:spacing w:val="-1"/>
        </w:rPr>
        <w:t>N</w:t>
      </w:r>
      <w:r>
        <w:rPr>
          <w:spacing w:val="-1"/>
        </w:rPr>
        <w:t>OTICE OF OPPORTUNITY TO RESPOND</w:t>
      </w:r>
    </w:p>
    <w:p w:rsidR="009D44EF" w:rsidRDefault="009D44EF">
      <w:pPr>
        <w:rPr>
          <w:rFonts w:ascii="Times New Roman" w:eastAsia="Times New Roman" w:hAnsi="Times New Roman" w:cs="Times New Roman"/>
          <w:sz w:val="20"/>
          <w:szCs w:val="20"/>
        </w:rPr>
      </w:pPr>
    </w:p>
    <w:p w:rsidR="009D44EF" w:rsidRDefault="009D44EF">
      <w:pPr>
        <w:rPr>
          <w:rFonts w:ascii="Times New Roman" w:eastAsia="Times New Roman" w:hAnsi="Times New Roman" w:cs="Times New Roman"/>
          <w:sz w:val="20"/>
          <w:szCs w:val="20"/>
        </w:rPr>
      </w:pPr>
    </w:p>
    <w:p w:rsidR="009D44EF" w:rsidRDefault="009D44EF">
      <w:pPr>
        <w:rPr>
          <w:rFonts w:ascii="Times New Roman" w:eastAsia="Times New Roman" w:hAnsi="Times New Roman" w:cs="Times New Roman"/>
          <w:sz w:val="20"/>
          <w:szCs w:val="20"/>
        </w:rPr>
      </w:pPr>
    </w:p>
    <w:p w:rsidR="009D44EF" w:rsidRDefault="009D44EF">
      <w:pPr>
        <w:rPr>
          <w:rFonts w:ascii="Times New Roman" w:eastAsia="Times New Roman" w:hAnsi="Times New Roman" w:cs="Times New Roman"/>
          <w:sz w:val="20"/>
          <w:szCs w:val="20"/>
        </w:rPr>
      </w:pPr>
    </w:p>
    <w:p w:rsidR="009D44EF" w:rsidRDefault="009D44EF">
      <w:pPr>
        <w:spacing w:before="11"/>
        <w:rPr>
          <w:rFonts w:ascii="Times New Roman" w:eastAsia="Times New Roman" w:hAnsi="Times New Roman" w:cs="Times New Roman"/>
          <w:b/>
          <w:bCs/>
          <w:sz w:val="18"/>
          <w:szCs w:val="18"/>
        </w:rPr>
      </w:pPr>
    </w:p>
    <w:p w:rsidR="00091FE6" w:rsidRPr="004925B9" w:rsidRDefault="005F23FD" w:rsidP="00CB46F2">
      <w:pPr>
        <w:pStyle w:val="BodyText"/>
        <w:numPr>
          <w:ilvl w:val="0"/>
          <w:numId w:val="4"/>
        </w:numPr>
        <w:tabs>
          <w:tab w:val="left" w:pos="821"/>
        </w:tabs>
        <w:spacing w:before="81" w:line="470" w:lineRule="auto"/>
        <w:ind w:right="382"/>
        <w:rPr>
          <w:spacing w:val="1"/>
        </w:rPr>
      </w:pPr>
      <w:r>
        <w:t>Pursuant to the October 6, 2016 Notice Of Opportunity To Respond To Request For Suspension Of Procedural Schedule,</w:t>
      </w:r>
      <w:r w:rsidR="00487303">
        <w:rPr>
          <w:rStyle w:val="FootnoteReference"/>
        </w:rPr>
        <w:footnoteReference w:id="1"/>
      </w:r>
      <w:r>
        <w:t xml:space="preserve"> </w:t>
      </w:r>
      <w:r w:rsidR="00487303">
        <w:t>Shuttle Express</w:t>
      </w:r>
      <w:r w:rsidR="00AF1A5E">
        <w:t xml:space="preserve"> hereby opposes</w:t>
      </w:r>
      <w:r w:rsidR="00A924D5">
        <w:t xml:space="preserve"> the </w:t>
      </w:r>
      <w:proofErr w:type="spellStart"/>
      <w:r w:rsidR="0025475B">
        <w:t>Speedishuttle</w:t>
      </w:r>
      <w:proofErr w:type="spellEnd"/>
      <w:r>
        <w:rPr>
          <w:rStyle w:val="FootnoteReference"/>
        </w:rPr>
        <w:footnoteReference w:id="2"/>
      </w:r>
      <w:r>
        <w:t xml:space="preserve"> request</w:t>
      </w:r>
      <w:r w:rsidRPr="005F23FD">
        <w:t xml:space="preserve"> that if the Commission does not reconsider </w:t>
      </w:r>
      <w:r>
        <w:t>Order 08</w:t>
      </w:r>
      <w:r w:rsidRPr="005F23FD">
        <w:t>, the Commission suspend or stay the</w:t>
      </w:r>
      <w:r w:rsidR="00A924D5">
        <w:t xml:space="preserve">se proceedings to enable </w:t>
      </w:r>
      <w:proofErr w:type="spellStart"/>
      <w:r w:rsidR="0025475B">
        <w:t>Speedishuttle</w:t>
      </w:r>
      <w:proofErr w:type="spellEnd"/>
      <w:r w:rsidRPr="005F23FD">
        <w:t xml:space="preserve"> to reevaluate whether it will continue to operate in the marketplace as a regulated carrier.</w:t>
      </w:r>
      <w:r w:rsidR="00420968">
        <w:t xml:space="preserve"> </w:t>
      </w:r>
    </w:p>
    <w:p w:rsidR="00143D62" w:rsidRPr="004925B9" w:rsidRDefault="00143D62" w:rsidP="004925B9">
      <w:pPr>
        <w:pStyle w:val="BodyText"/>
        <w:tabs>
          <w:tab w:val="left" w:pos="821"/>
        </w:tabs>
        <w:spacing w:before="81" w:line="470" w:lineRule="auto"/>
        <w:ind w:right="382"/>
        <w:jc w:val="center"/>
        <w:rPr>
          <w:b/>
          <w:spacing w:val="1"/>
          <w:u w:val="single"/>
        </w:rPr>
      </w:pPr>
      <w:r w:rsidRPr="004925B9">
        <w:rPr>
          <w:b/>
          <w:u w:val="single"/>
        </w:rPr>
        <w:t>DISCUSSION</w:t>
      </w:r>
    </w:p>
    <w:p w:rsidR="00143D62" w:rsidRDefault="00143D62" w:rsidP="004925B9">
      <w:pPr>
        <w:pStyle w:val="BodyText"/>
        <w:numPr>
          <w:ilvl w:val="1"/>
          <w:numId w:val="4"/>
        </w:numPr>
        <w:tabs>
          <w:tab w:val="left" w:pos="821"/>
        </w:tabs>
        <w:spacing w:before="81"/>
        <w:ind w:right="382"/>
        <w:rPr>
          <w:u w:val="single"/>
        </w:rPr>
      </w:pPr>
      <w:r w:rsidRPr="004925B9">
        <w:rPr>
          <w:u w:val="single"/>
        </w:rPr>
        <w:t xml:space="preserve">It </w:t>
      </w:r>
      <w:proofErr w:type="gramStart"/>
      <w:r w:rsidRPr="004925B9">
        <w:rPr>
          <w:u w:val="single"/>
        </w:rPr>
        <w:t>Would</w:t>
      </w:r>
      <w:proofErr w:type="gramEnd"/>
      <w:r w:rsidRPr="004925B9">
        <w:rPr>
          <w:u w:val="single"/>
        </w:rPr>
        <w:t xml:space="preserve"> be Error to Tie These Dockets With the TNC Waiver Proceeding, as They Are Completely Unrelated.</w:t>
      </w:r>
    </w:p>
    <w:p w:rsidR="00143D62" w:rsidRPr="006F6C54" w:rsidRDefault="00143D62" w:rsidP="004925B9">
      <w:pPr>
        <w:pStyle w:val="BodyText"/>
        <w:tabs>
          <w:tab w:val="left" w:pos="821"/>
        </w:tabs>
        <w:spacing w:before="81"/>
        <w:ind w:left="1900" w:right="382"/>
        <w:rPr>
          <w:spacing w:val="1"/>
        </w:rPr>
      </w:pPr>
    </w:p>
    <w:p w:rsidR="00EF7E17" w:rsidRDefault="00487303" w:rsidP="00487303">
      <w:pPr>
        <w:pStyle w:val="BodyText"/>
        <w:numPr>
          <w:ilvl w:val="0"/>
          <w:numId w:val="4"/>
        </w:numPr>
        <w:tabs>
          <w:tab w:val="left" w:pos="821"/>
        </w:tabs>
        <w:spacing w:before="81" w:line="470" w:lineRule="auto"/>
        <w:ind w:right="382"/>
        <w:rPr>
          <w:spacing w:val="1"/>
        </w:rPr>
      </w:pPr>
      <w:r>
        <w:rPr>
          <w:spacing w:val="1"/>
        </w:rPr>
        <w:t>A popular and</w:t>
      </w:r>
      <w:r w:rsidRPr="00487303">
        <w:rPr>
          <w:spacing w:val="1"/>
        </w:rPr>
        <w:t xml:space="preserve"> </w:t>
      </w:r>
      <w:r>
        <w:rPr>
          <w:spacing w:val="1"/>
        </w:rPr>
        <w:t>highly-valu</w:t>
      </w:r>
      <w:r w:rsidRPr="00487303">
        <w:rPr>
          <w:spacing w:val="1"/>
        </w:rPr>
        <w:t>e</w:t>
      </w:r>
      <w:r>
        <w:rPr>
          <w:spacing w:val="1"/>
        </w:rPr>
        <w:t>d</w:t>
      </w:r>
      <w:r w:rsidRPr="00487303">
        <w:rPr>
          <w:spacing w:val="1"/>
        </w:rPr>
        <w:t xml:space="preserve"> public service</w:t>
      </w:r>
      <w:r>
        <w:rPr>
          <w:spacing w:val="1"/>
        </w:rPr>
        <w:t xml:space="preserve"> offered by Shuttle Express for over two decades has</w:t>
      </w:r>
      <w:r w:rsidR="00AF1A5E">
        <w:rPr>
          <w:spacing w:val="1"/>
        </w:rPr>
        <w:t xml:space="preserve"> recently</w:t>
      </w:r>
      <w:r>
        <w:rPr>
          <w:spacing w:val="1"/>
        </w:rPr>
        <w:t xml:space="preserve"> come under assault</w:t>
      </w:r>
      <w:r w:rsidRPr="00487303">
        <w:rPr>
          <w:spacing w:val="1"/>
        </w:rPr>
        <w:t xml:space="preserve"> from two independent and unrelated directions.  The only commonality </w:t>
      </w:r>
      <w:r>
        <w:rPr>
          <w:spacing w:val="1"/>
        </w:rPr>
        <w:t>between the two is that both are</w:t>
      </w:r>
      <w:r w:rsidR="009213BC">
        <w:rPr>
          <w:spacing w:val="1"/>
        </w:rPr>
        <w:t xml:space="preserve"> harmful—</w:t>
      </w:r>
      <w:r w:rsidR="002D4CB0">
        <w:rPr>
          <w:spacing w:val="1"/>
        </w:rPr>
        <w:t>both to Shuttle Express a</w:t>
      </w:r>
      <w:r w:rsidR="00AF1A5E">
        <w:rPr>
          <w:spacing w:val="1"/>
        </w:rPr>
        <w:t>nd</w:t>
      </w:r>
      <w:r w:rsidR="000270D2">
        <w:rPr>
          <w:spacing w:val="1"/>
        </w:rPr>
        <w:t xml:space="preserve"> to</w:t>
      </w:r>
      <w:r w:rsidR="00AF1A5E">
        <w:rPr>
          <w:spacing w:val="1"/>
        </w:rPr>
        <w:t xml:space="preserve"> the </w:t>
      </w:r>
      <w:r w:rsidR="002D4CB0">
        <w:rPr>
          <w:spacing w:val="1"/>
        </w:rPr>
        <w:t>public interest.</w:t>
      </w:r>
      <w:r w:rsidRPr="00487303">
        <w:rPr>
          <w:spacing w:val="1"/>
        </w:rPr>
        <w:t xml:space="preserve">  </w:t>
      </w:r>
      <w:r w:rsidR="002D4CB0">
        <w:rPr>
          <w:spacing w:val="1"/>
        </w:rPr>
        <w:t xml:space="preserve">Shuttle Express proactively filed two very different </w:t>
      </w:r>
      <w:r w:rsidR="009213BC">
        <w:rPr>
          <w:spacing w:val="1"/>
        </w:rPr>
        <w:t xml:space="preserve">regulatory </w:t>
      </w:r>
      <w:r w:rsidR="002D4CB0">
        <w:rPr>
          <w:spacing w:val="1"/>
        </w:rPr>
        <w:t xml:space="preserve">proceedings seeking </w:t>
      </w:r>
      <w:r w:rsidR="009213BC">
        <w:rPr>
          <w:spacing w:val="1"/>
        </w:rPr>
        <w:t xml:space="preserve">orders </w:t>
      </w:r>
      <w:r w:rsidR="002D4CB0">
        <w:rPr>
          <w:spacing w:val="1"/>
        </w:rPr>
        <w:t>respond</w:t>
      </w:r>
      <w:r w:rsidR="009213BC">
        <w:rPr>
          <w:spacing w:val="1"/>
        </w:rPr>
        <w:t>ing</w:t>
      </w:r>
      <w:r w:rsidR="002D4CB0">
        <w:rPr>
          <w:spacing w:val="1"/>
        </w:rPr>
        <w:t xml:space="preserve"> to the assaults in </w:t>
      </w:r>
      <w:r w:rsidR="00AF1A5E">
        <w:rPr>
          <w:spacing w:val="1"/>
        </w:rPr>
        <w:t xml:space="preserve">two very different </w:t>
      </w:r>
      <w:r w:rsidR="002D4CB0">
        <w:rPr>
          <w:spacing w:val="1"/>
        </w:rPr>
        <w:t xml:space="preserve">ways </w:t>
      </w:r>
      <w:r w:rsidR="00AF1A5E">
        <w:rPr>
          <w:spacing w:val="1"/>
        </w:rPr>
        <w:t>to</w:t>
      </w:r>
      <w:r w:rsidR="002D4CB0">
        <w:rPr>
          <w:spacing w:val="1"/>
        </w:rPr>
        <w:t xml:space="preserve"> preserve and promote the public interest.  </w:t>
      </w:r>
    </w:p>
    <w:p w:rsidR="00EF7E17" w:rsidRDefault="002D4CB0" w:rsidP="00487303">
      <w:pPr>
        <w:pStyle w:val="BodyText"/>
        <w:numPr>
          <w:ilvl w:val="0"/>
          <w:numId w:val="4"/>
        </w:numPr>
        <w:tabs>
          <w:tab w:val="left" w:pos="821"/>
        </w:tabs>
        <w:spacing w:before="81" w:line="470" w:lineRule="auto"/>
        <w:ind w:right="382"/>
        <w:rPr>
          <w:spacing w:val="1"/>
        </w:rPr>
      </w:pPr>
      <w:r>
        <w:rPr>
          <w:spacing w:val="1"/>
        </w:rPr>
        <w:lastRenderedPageBreak/>
        <w:t xml:space="preserve">One proceeding sought regulatory relief—essentially </w:t>
      </w:r>
      <w:r w:rsidRPr="002D4CB0">
        <w:rPr>
          <w:b/>
          <w:i/>
          <w:spacing w:val="1"/>
        </w:rPr>
        <w:t>regulatory inaction</w:t>
      </w:r>
      <w:r>
        <w:rPr>
          <w:spacing w:val="1"/>
        </w:rPr>
        <w:t>—to hopefully enable Shuttle Express to deal with a new type of competition it has never before faced, from unregulated TNCs.</w:t>
      </w:r>
      <w:r>
        <w:rPr>
          <w:rStyle w:val="FootnoteReference"/>
          <w:spacing w:val="1"/>
        </w:rPr>
        <w:footnoteReference w:id="3"/>
      </w:r>
      <w:r>
        <w:rPr>
          <w:spacing w:val="1"/>
        </w:rPr>
        <w:t xml:space="preserve">  </w:t>
      </w:r>
      <w:r w:rsidR="00EF7E17">
        <w:rPr>
          <w:spacing w:val="1"/>
        </w:rPr>
        <w:t>The regulatory relief afforded by the Commission is fully consistent with the statutes and thus required no legislative action.</w:t>
      </w:r>
      <w:r w:rsidR="008123ED">
        <w:rPr>
          <w:rStyle w:val="FootnoteReference"/>
          <w:spacing w:val="1"/>
        </w:rPr>
        <w:footnoteReference w:id="4"/>
      </w:r>
    </w:p>
    <w:p w:rsidR="002D4CB0" w:rsidRDefault="00EF7E17" w:rsidP="00487303">
      <w:pPr>
        <w:pStyle w:val="BodyText"/>
        <w:numPr>
          <w:ilvl w:val="0"/>
          <w:numId w:val="4"/>
        </w:numPr>
        <w:tabs>
          <w:tab w:val="left" w:pos="821"/>
        </w:tabs>
        <w:spacing w:before="81" w:line="470" w:lineRule="auto"/>
        <w:ind w:right="382"/>
        <w:rPr>
          <w:spacing w:val="1"/>
        </w:rPr>
      </w:pPr>
      <w:r>
        <w:rPr>
          <w:spacing w:val="1"/>
        </w:rPr>
        <w:t xml:space="preserve">In contrast, this proceeding </w:t>
      </w:r>
      <w:r w:rsidR="002D4CB0">
        <w:rPr>
          <w:spacing w:val="1"/>
        </w:rPr>
        <w:t xml:space="preserve">seeks </w:t>
      </w:r>
      <w:r w:rsidR="002D4CB0" w:rsidRPr="002D4CB0">
        <w:rPr>
          <w:b/>
          <w:i/>
          <w:spacing w:val="1"/>
        </w:rPr>
        <w:t>regulatory action</w:t>
      </w:r>
      <w:r w:rsidR="002D4CB0">
        <w:rPr>
          <w:spacing w:val="1"/>
        </w:rPr>
        <w:t xml:space="preserve"> against a traditional, certificated, and fully</w:t>
      </w:r>
      <w:r w:rsidR="008A3293">
        <w:rPr>
          <w:spacing w:val="1"/>
        </w:rPr>
        <w:t>-</w:t>
      </w:r>
      <w:r w:rsidR="002D4CB0">
        <w:rPr>
          <w:spacing w:val="1"/>
        </w:rPr>
        <w:t xml:space="preserve">regulated auto transportation company that appears likely to have obtained its certificate by misrepresenting that its proposed services would be </w:t>
      </w:r>
      <w:r w:rsidR="00F125F2">
        <w:rPr>
          <w:spacing w:val="1"/>
        </w:rPr>
        <w:t>new and different and would carry previously unserve</w:t>
      </w:r>
      <w:r w:rsidR="00AF1A5E">
        <w:rPr>
          <w:spacing w:val="1"/>
        </w:rPr>
        <w:t xml:space="preserve">d demographic of travelers, rather than </w:t>
      </w:r>
      <w:r w:rsidR="00F125F2">
        <w:rPr>
          <w:spacing w:val="1"/>
        </w:rPr>
        <w:t>merely split a shrinking market in</w:t>
      </w:r>
      <w:r w:rsidR="009213BC">
        <w:rPr>
          <w:spacing w:val="1"/>
        </w:rPr>
        <w:t xml:space="preserve"> half</w:t>
      </w:r>
      <w:r w:rsidR="00F125F2">
        <w:rPr>
          <w:spacing w:val="1"/>
        </w:rPr>
        <w:t xml:space="preserve">.  </w:t>
      </w:r>
      <w:r>
        <w:rPr>
          <w:spacing w:val="1"/>
        </w:rPr>
        <w:t>The relief sought here would ensure that the requirements of RCW 81</w:t>
      </w:r>
      <w:r w:rsidR="00DC15CA">
        <w:rPr>
          <w:spacing w:val="1"/>
        </w:rPr>
        <w:t>.68.040 were, and are, fully me</w:t>
      </w:r>
      <w:r>
        <w:rPr>
          <w:spacing w:val="1"/>
        </w:rPr>
        <w:t>t.  And, unlike the TNC proceeding, a decision not to enforce or to vary the restrictions of that statute would require legislative action.</w:t>
      </w:r>
      <w:r w:rsidR="008A3293">
        <w:rPr>
          <w:rStyle w:val="FootnoteReference"/>
          <w:spacing w:val="1"/>
        </w:rPr>
        <w:footnoteReference w:id="5"/>
      </w:r>
    </w:p>
    <w:p w:rsidR="00B54B44" w:rsidRDefault="00F125F2" w:rsidP="00785997">
      <w:pPr>
        <w:pStyle w:val="BodyText"/>
        <w:numPr>
          <w:ilvl w:val="0"/>
          <w:numId w:val="4"/>
        </w:numPr>
        <w:tabs>
          <w:tab w:val="left" w:pos="821"/>
        </w:tabs>
        <w:spacing w:before="81" w:line="470" w:lineRule="auto"/>
        <w:ind w:right="382"/>
        <w:rPr>
          <w:spacing w:val="1"/>
        </w:rPr>
      </w:pPr>
      <w:r>
        <w:rPr>
          <w:spacing w:val="1"/>
        </w:rPr>
        <w:t>The Commission</w:t>
      </w:r>
      <w:r w:rsidR="00487303" w:rsidRPr="00487303">
        <w:rPr>
          <w:spacing w:val="1"/>
        </w:rPr>
        <w:t xml:space="preserve"> has now done its best to deal with one assault</w:t>
      </w:r>
      <w:r>
        <w:rPr>
          <w:spacing w:val="1"/>
        </w:rPr>
        <w:t>, by granting a limited and temporary waiver that may help Shuttle Express compete with TNCs</w:t>
      </w:r>
      <w:r w:rsidR="00487303" w:rsidRPr="00487303">
        <w:rPr>
          <w:spacing w:val="1"/>
        </w:rPr>
        <w:t xml:space="preserve">.  But that </w:t>
      </w:r>
      <w:r>
        <w:rPr>
          <w:spacing w:val="1"/>
        </w:rPr>
        <w:t xml:space="preserve">waiver </w:t>
      </w:r>
      <w:r w:rsidR="00487303" w:rsidRPr="00487303">
        <w:rPr>
          <w:spacing w:val="1"/>
        </w:rPr>
        <w:t>has done nothing to address the other</w:t>
      </w:r>
      <w:r w:rsidR="0025475B">
        <w:rPr>
          <w:spacing w:val="1"/>
        </w:rPr>
        <w:t xml:space="preserve"> (</w:t>
      </w:r>
      <w:r w:rsidR="00A924D5">
        <w:rPr>
          <w:spacing w:val="1"/>
        </w:rPr>
        <w:t>and unrelated</w:t>
      </w:r>
      <w:r w:rsidR="0025475B">
        <w:rPr>
          <w:spacing w:val="1"/>
        </w:rPr>
        <w:t>)</w:t>
      </w:r>
      <w:r w:rsidR="00A924D5">
        <w:rPr>
          <w:spacing w:val="1"/>
        </w:rPr>
        <w:t xml:space="preserve"> </w:t>
      </w:r>
      <w:r>
        <w:rPr>
          <w:spacing w:val="1"/>
        </w:rPr>
        <w:t>assault</w:t>
      </w:r>
      <w:r w:rsidR="009213BC">
        <w:rPr>
          <w:spacing w:val="1"/>
        </w:rPr>
        <w:t>,</w:t>
      </w:r>
      <w:r>
        <w:rPr>
          <w:spacing w:val="1"/>
        </w:rPr>
        <w:t xml:space="preserve"> by </w:t>
      </w:r>
      <w:proofErr w:type="spellStart"/>
      <w:r w:rsidR="0025475B">
        <w:rPr>
          <w:spacing w:val="1"/>
        </w:rPr>
        <w:t>Speedishuttle</w:t>
      </w:r>
      <w:proofErr w:type="spellEnd"/>
      <w:r>
        <w:rPr>
          <w:spacing w:val="1"/>
        </w:rPr>
        <w:t>.  Nor will a 10</w:t>
      </w:r>
      <w:r w:rsidR="00AC6F6A">
        <w:rPr>
          <w:spacing w:val="1"/>
        </w:rPr>
        <w:t>-</w:t>
      </w:r>
      <w:r>
        <w:rPr>
          <w:spacing w:val="1"/>
        </w:rPr>
        <w:t xml:space="preserve">month delay address or ameliorate the alleged harms that flow directly from </w:t>
      </w:r>
      <w:proofErr w:type="spellStart"/>
      <w:r w:rsidR="0025475B">
        <w:rPr>
          <w:spacing w:val="1"/>
        </w:rPr>
        <w:t>Speedishuttle</w:t>
      </w:r>
      <w:r>
        <w:rPr>
          <w:spacing w:val="1"/>
        </w:rPr>
        <w:t>’s</w:t>
      </w:r>
      <w:proofErr w:type="spellEnd"/>
      <w:r>
        <w:rPr>
          <w:spacing w:val="1"/>
        </w:rPr>
        <w:t xml:space="preserve"> artful and successful effort to </w:t>
      </w:r>
      <w:r w:rsidR="00785997">
        <w:rPr>
          <w:spacing w:val="1"/>
        </w:rPr>
        <w:t>give the Commission the impression that, “</w:t>
      </w:r>
      <w:proofErr w:type="spellStart"/>
      <w:r w:rsidR="0025475B">
        <w:rPr>
          <w:spacing w:val="1"/>
        </w:rPr>
        <w:t>Speedishuttle</w:t>
      </w:r>
      <w:proofErr w:type="spellEnd"/>
      <w:r w:rsidR="00785997" w:rsidRPr="00785997">
        <w:rPr>
          <w:spacing w:val="1"/>
        </w:rPr>
        <w:t xml:space="preserve"> would </w:t>
      </w:r>
      <w:r w:rsidR="00785997">
        <w:rPr>
          <w:spacing w:val="1"/>
        </w:rPr>
        <w:t xml:space="preserve">[not] </w:t>
      </w:r>
      <w:r w:rsidR="00785997" w:rsidRPr="00785997">
        <w:rPr>
          <w:spacing w:val="1"/>
        </w:rPr>
        <w:t>offer to serve any and all customers seeking door-to-door service to or from the airport.</w:t>
      </w:r>
      <w:r w:rsidR="00785997">
        <w:rPr>
          <w:spacing w:val="1"/>
        </w:rPr>
        <w:t>”</w:t>
      </w:r>
      <w:r w:rsidR="00785997">
        <w:rPr>
          <w:rStyle w:val="FootnoteReference"/>
          <w:spacing w:val="1"/>
        </w:rPr>
        <w:footnoteReference w:id="6"/>
      </w:r>
      <w:r w:rsidR="00487303" w:rsidRPr="00487303">
        <w:rPr>
          <w:spacing w:val="1"/>
        </w:rPr>
        <w:t xml:space="preserve"> </w:t>
      </w:r>
      <w:r w:rsidR="00785997">
        <w:rPr>
          <w:spacing w:val="1"/>
        </w:rPr>
        <w:t xml:space="preserve"> </w:t>
      </w:r>
    </w:p>
    <w:p w:rsidR="004868C0" w:rsidRPr="006F6C54" w:rsidRDefault="004868C0" w:rsidP="006F6C54">
      <w:pPr>
        <w:pStyle w:val="BodyText"/>
        <w:numPr>
          <w:ilvl w:val="0"/>
          <w:numId w:val="4"/>
        </w:numPr>
        <w:tabs>
          <w:tab w:val="left" w:pos="821"/>
        </w:tabs>
        <w:spacing w:before="81" w:line="470" w:lineRule="auto"/>
        <w:ind w:right="382"/>
        <w:rPr>
          <w:spacing w:val="1"/>
        </w:rPr>
      </w:pPr>
      <w:r w:rsidRPr="00D15762">
        <w:rPr>
          <w:spacing w:val="1"/>
        </w:rPr>
        <w:t xml:space="preserve">Even if Shuttle Express is wildly successful in competing with TNCs under the recent waiver, it will have zero impact on the loss of a quarter to a third of its passenger base to a </w:t>
      </w:r>
      <w:r w:rsidRPr="00D15762">
        <w:rPr>
          <w:spacing w:val="1"/>
        </w:rPr>
        <w:lastRenderedPageBreak/>
        <w:t>new auto transportation company that was not supposed to be offering the same service, except perhaps marginally.</w:t>
      </w:r>
      <w:r>
        <w:rPr>
          <w:rStyle w:val="FootnoteReference"/>
          <w:spacing w:val="1"/>
        </w:rPr>
        <w:footnoteReference w:id="7"/>
      </w:r>
      <w:r w:rsidRPr="00D15762">
        <w:rPr>
          <w:spacing w:val="1"/>
        </w:rPr>
        <w:t xml:space="preserve">  </w:t>
      </w:r>
      <w:r>
        <w:rPr>
          <w:spacing w:val="1"/>
        </w:rPr>
        <w:t>And w</w:t>
      </w:r>
      <w:r w:rsidRPr="00D15762">
        <w:rPr>
          <w:spacing w:val="1"/>
        </w:rPr>
        <w:t xml:space="preserve">hile the Commission may favor more open competition, as it did in Docket </w:t>
      </w:r>
      <w:r>
        <w:rPr>
          <w:spacing w:val="1"/>
        </w:rPr>
        <w:t>TC-160819, the fact remains that it must still follow the law that restricts free entry by new auto transportation companies until the legislature changes that law.  Laudably, the Commission has heretofore done its best in these dockets to follow RCW 81.68.040.  It should not stop now based on an unrelated proceeding.</w:t>
      </w:r>
    </w:p>
    <w:p w:rsidR="00143D62" w:rsidRDefault="00143D62" w:rsidP="004925B9">
      <w:pPr>
        <w:pStyle w:val="BodyText"/>
        <w:tabs>
          <w:tab w:val="left" w:pos="810"/>
        </w:tabs>
        <w:spacing w:before="81"/>
        <w:ind w:left="1440" w:right="382" w:hanging="720"/>
        <w:rPr>
          <w:spacing w:val="1"/>
        </w:rPr>
      </w:pPr>
      <w:r>
        <w:rPr>
          <w:spacing w:val="1"/>
        </w:rPr>
        <w:t>II.</w:t>
      </w:r>
      <w:r>
        <w:rPr>
          <w:spacing w:val="1"/>
        </w:rPr>
        <w:tab/>
      </w:r>
      <w:r w:rsidR="004C202B" w:rsidRPr="004925B9">
        <w:rPr>
          <w:spacing w:val="1"/>
          <w:u w:val="single"/>
        </w:rPr>
        <w:t xml:space="preserve">Granting a 10-month Stay Would Give </w:t>
      </w:r>
      <w:proofErr w:type="spellStart"/>
      <w:r w:rsidR="004C202B" w:rsidRPr="004925B9">
        <w:rPr>
          <w:spacing w:val="1"/>
          <w:u w:val="single"/>
        </w:rPr>
        <w:t>Speedishuttle</w:t>
      </w:r>
      <w:proofErr w:type="spellEnd"/>
      <w:r w:rsidR="004C202B" w:rsidRPr="004925B9">
        <w:rPr>
          <w:spacing w:val="1"/>
          <w:u w:val="single"/>
        </w:rPr>
        <w:t xml:space="preserve"> Exactly What it Has Been Unsuccessfully Seeking Since May, Which is to </w:t>
      </w:r>
      <w:proofErr w:type="gramStart"/>
      <w:r w:rsidR="004C202B" w:rsidRPr="004925B9">
        <w:rPr>
          <w:spacing w:val="1"/>
          <w:u w:val="single"/>
        </w:rPr>
        <w:t>Avoid</w:t>
      </w:r>
      <w:proofErr w:type="gramEnd"/>
      <w:r w:rsidR="004C202B" w:rsidRPr="004925B9">
        <w:rPr>
          <w:spacing w:val="1"/>
          <w:u w:val="single"/>
        </w:rPr>
        <w:t xml:space="preserve"> Any and All Scrutiny of its Alleged Wrongs and the Ongoing Harm to Shuttle Express and the Public Interest</w:t>
      </w:r>
      <w:r w:rsidR="004C202B">
        <w:rPr>
          <w:spacing w:val="1"/>
        </w:rPr>
        <w:t>.</w:t>
      </w:r>
    </w:p>
    <w:p w:rsidR="004C202B" w:rsidRDefault="004C202B" w:rsidP="004925B9">
      <w:pPr>
        <w:pStyle w:val="BodyText"/>
        <w:tabs>
          <w:tab w:val="left" w:pos="821"/>
        </w:tabs>
        <w:spacing w:before="81"/>
        <w:ind w:right="382"/>
        <w:rPr>
          <w:spacing w:val="1"/>
        </w:rPr>
      </w:pPr>
    </w:p>
    <w:p w:rsidR="00E71B33" w:rsidRPr="006F6C54" w:rsidRDefault="00E71B33" w:rsidP="006F6C54">
      <w:pPr>
        <w:pStyle w:val="BodyText"/>
        <w:numPr>
          <w:ilvl w:val="0"/>
          <w:numId w:val="4"/>
        </w:numPr>
        <w:tabs>
          <w:tab w:val="left" w:pos="821"/>
        </w:tabs>
        <w:spacing w:before="81" w:line="470" w:lineRule="auto"/>
        <w:ind w:right="382"/>
        <w:rPr>
          <w:spacing w:val="1"/>
        </w:rPr>
      </w:pPr>
      <w:r>
        <w:t xml:space="preserve">First, </w:t>
      </w:r>
      <w:proofErr w:type="spellStart"/>
      <w:r>
        <w:t>Speedishuttle’s</w:t>
      </w:r>
      <w:proofErr w:type="spellEnd"/>
      <w:r>
        <w:t xml:space="preserve"> request for time to consider exiting the market if its service might be limited to the business plan it proffered is tantamount to an admission that the “entire demographic” that Shuttle Express “could not serve”</w:t>
      </w:r>
      <w:r>
        <w:rPr>
          <w:rStyle w:val="FootnoteReference"/>
        </w:rPr>
        <w:footnoteReference w:id="8"/>
      </w:r>
      <w:r>
        <w:t xml:space="preserve"> either did not exist or is so minimal that there is no </w:t>
      </w:r>
      <w:r w:rsidR="009D65DD">
        <w:t xml:space="preserve">market </w:t>
      </w:r>
      <w:r>
        <w:t xml:space="preserve">that </w:t>
      </w:r>
      <w:r w:rsidR="009D65DD">
        <w:t xml:space="preserve">it could serve at a profit </w:t>
      </w:r>
      <w:r>
        <w:t xml:space="preserve">without also serving a substantial part of the market that was already being served satisfactorily by Shuttle Express.  The supposed “new and unserved market” is so small that </w:t>
      </w:r>
      <w:proofErr w:type="spellStart"/>
      <w:r>
        <w:t>Speedishuttle</w:t>
      </w:r>
      <w:proofErr w:type="spellEnd"/>
      <w:r>
        <w:t xml:space="preserve"> wants “</w:t>
      </w:r>
      <w:r w:rsidRPr="00522D8A">
        <w:t>to reevaluate its mult</w:t>
      </w:r>
      <w:r>
        <w:t>i-million dollar commitment”</w:t>
      </w:r>
      <w:r>
        <w:rPr>
          <w:rStyle w:val="FootnoteReference"/>
        </w:rPr>
        <w:footnoteReference w:id="9"/>
      </w:r>
      <w:r>
        <w:t xml:space="preserve"> and may “exit” the market.</w:t>
      </w:r>
      <w:r>
        <w:rPr>
          <w:rStyle w:val="FootnoteReference"/>
        </w:rPr>
        <w:footnoteReference w:id="10"/>
      </w:r>
      <w:r>
        <w:t xml:space="preserve">  The Co</w:t>
      </w:r>
      <w:r w:rsidR="009D65DD">
        <w:t>mmission should affirm Order 08</w:t>
      </w:r>
      <w:r>
        <w:t xml:space="preserve"> and</w:t>
      </w:r>
      <w:r w:rsidR="009D65DD">
        <w:t xml:space="preserve"> allow</w:t>
      </w:r>
      <w:r>
        <w:t xml:space="preserve"> </w:t>
      </w:r>
      <w:proofErr w:type="spellStart"/>
      <w:r>
        <w:t>Speedishuttle</w:t>
      </w:r>
      <w:proofErr w:type="spellEnd"/>
      <w:r>
        <w:t xml:space="preserve"> </w:t>
      </w:r>
      <w:r w:rsidR="00F373E1">
        <w:t xml:space="preserve">to </w:t>
      </w:r>
      <w:r>
        <w:t>make it</w:t>
      </w:r>
      <w:r w:rsidR="009D65DD">
        <w:t xml:space="preserve">s decision, not reward it by giving it the very </w:t>
      </w:r>
      <w:r>
        <w:t xml:space="preserve">delay </w:t>
      </w:r>
      <w:r w:rsidR="009D65DD">
        <w:t xml:space="preserve">it has been seeking unsuccessfully </w:t>
      </w:r>
      <w:r>
        <w:t xml:space="preserve">for months.  </w:t>
      </w:r>
    </w:p>
    <w:p w:rsidR="00785997" w:rsidRDefault="00B54B44" w:rsidP="00785997">
      <w:pPr>
        <w:pStyle w:val="BodyText"/>
        <w:numPr>
          <w:ilvl w:val="0"/>
          <w:numId w:val="4"/>
        </w:numPr>
        <w:tabs>
          <w:tab w:val="left" w:pos="821"/>
        </w:tabs>
        <w:spacing w:before="81" w:line="470" w:lineRule="auto"/>
        <w:ind w:right="382"/>
        <w:rPr>
          <w:spacing w:val="1"/>
        </w:rPr>
      </w:pPr>
      <w:r>
        <w:rPr>
          <w:spacing w:val="1"/>
        </w:rPr>
        <w:t>All</w:t>
      </w:r>
      <w:r w:rsidR="00785997">
        <w:rPr>
          <w:spacing w:val="1"/>
        </w:rPr>
        <w:t xml:space="preserve"> a </w:t>
      </w:r>
      <w:r w:rsidR="00AC6F6A">
        <w:rPr>
          <w:spacing w:val="1"/>
        </w:rPr>
        <w:t>10-</w:t>
      </w:r>
      <w:r w:rsidR="00785997">
        <w:rPr>
          <w:spacing w:val="1"/>
        </w:rPr>
        <w:t xml:space="preserve">month suspension will </w:t>
      </w:r>
      <w:r>
        <w:rPr>
          <w:spacing w:val="1"/>
        </w:rPr>
        <w:t xml:space="preserve">do is </w:t>
      </w:r>
      <w:r w:rsidR="00785997">
        <w:rPr>
          <w:spacing w:val="1"/>
        </w:rPr>
        <w:t xml:space="preserve">enable </w:t>
      </w:r>
      <w:proofErr w:type="spellStart"/>
      <w:r w:rsidR="0025475B">
        <w:rPr>
          <w:spacing w:val="1"/>
        </w:rPr>
        <w:t>Speedishuttle</w:t>
      </w:r>
      <w:proofErr w:type="spellEnd"/>
      <w:r w:rsidR="00785997">
        <w:rPr>
          <w:spacing w:val="1"/>
        </w:rPr>
        <w:t xml:space="preserve"> to succeed in its Herculean efforts to avoid both discovery and a hearing on the merits of the Shuttle Express Petition and Complaint, at least for another 10 months. </w:t>
      </w:r>
      <w:r w:rsidR="00AF1A5E">
        <w:rPr>
          <w:spacing w:val="1"/>
        </w:rPr>
        <w:t xml:space="preserve"> In essence</w:t>
      </w:r>
      <w:r w:rsidR="00AC6F6A">
        <w:rPr>
          <w:spacing w:val="1"/>
        </w:rPr>
        <w:t>,</w:t>
      </w:r>
      <w:r w:rsidR="00AF1A5E">
        <w:rPr>
          <w:spacing w:val="1"/>
        </w:rPr>
        <w:t xml:space="preserve"> it would reward </w:t>
      </w:r>
      <w:proofErr w:type="spellStart"/>
      <w:r w:rsidR="0025475B">
        <w:rPr>
          <w:spacing w:val="1"/>
        </w:rPr>
        <w:t>Speedishuttle</w:t>
      </w:r>
      <w:proofErr w:type="spellEnd"/>
      <w:r>
        <w:rPr>
          <w:spacing w:val="1"/>
        </w:rPr>
        <w:t xml:space="preserve"> </w:t>
      </w:r>
      <w:r>
        <w:rPr>
          <w:spacing w:val="1"/>
        </w:rPr>
        <w:lastRenderedPageBreak/>
        <w:t>for its</w:t>
      </w:r>
      <w:r w:rsidR="00AF1A5E">
        <w:rPr>
          <w:spacing w:val="1"/>
        </w:rPr>
        <w:t xml:space="preserve"> </w:t>
      </w:r>
      <w:r>
        <w:rPr>
          <w:spacing w:val="1"/>
        </w:rPr>
        <w:t>alleged wrongs</w:t>
      </w:r>
      <w:r w:rsidR="008123ED">
        <w:rPr>
          <w:spacing w:val="1"/>
        </w:rPr>
        <w:t>, and</w:t>
      </w:r>
      <w:r>
        <w:rPr>
          <w:spacing w:val="1"/>
        </w:rPr>
        <w:t xml:space="preserve"> </w:t>
      </w:r>
      <w:r w:rsidR="00AF1A5E">
        <w:rPr>
          <w:spacing w:val="1"/>
        </w:rPr>
        <w:t xml:space="preserve">for reasons that have nothing to do with this case. </w:t>
      </w:r>
      <w:r w:rsidR="00785997">
        <w:rPr>
          <w:spacing w:val="1"/>
        </w:rPr>
        <w:t xml:space="preserve"> </w:t>
      </w:r>
      <w:r w:rsidR="008123ED">
        <w:rPr>
          <w:spacing w:val="1"/>
        </w:rPr>
        <w:t>In</w:t>
      </w:r>
      <w:r w:rsidR="00785997">
        <w:rPr>
          <w:spacing w:val="1"/>
        </w:rPr>
        <w:t xml:space="preserve"> the meantime, both the public interest and Shuttle Express are</w:t>
      </w:r>
      <w:r w:rsidR="00487303" w:rsidRPr="00487303">
        <w:rPr>
          <w:spacing w:val="1"/>
        </w:rPr>
        <w:t xml:space="preserve"> being, and will be,</w:t>
      </w:r>
      <w:r w:rsidR="0031098B">
        <w:rPr>
          <w:spacing w:val="1"/>
        </w:rPr>
        <w:t xml:space="preserve"> further</w:t>
      </w:r>
      <w:r w:rsidR="00487303" w:rsidRPr="00487303">
        <w:rPr>
          <w:spacing w:val="1"/>
        </w:rPr>
        <w:t xml:space="preserve"> harmed.</w:t>
      </w:r>
      <w:r w:rsidR="00F61223">
        <w:rPr>
          <w:rStyle w:val="FootnoteReference"/>
          <w:spacing w:val="1"/>
        </w:rPr>
        <w:footnoteReference w:id="11"/>
      </w:r>
      <w:r w:rsidR="00487303" w:rsidRPr="00487303">
        <w:rPr>
          <w:spacing w:val="1"/>
        </w:rPr>
        <w:t xml:space="preserve">  </w:t>
      </w:r>
      <w:r>
        <w:rPr>
          <w:spacing w:val="1"/>
        </w:rPr>
        <w:t>And if violations</w:t>
      </w:r>
      <w:r w:rsidR="008123ED">
        <w:rPr>
          <w:spacing w:val="1"/>
        </w:rPr>
        <w:t xml:space="preserve">, misrepresentations, or even misunderstandings in the application phase of Docket TC-143691 are </w:t>
      </w:r>
      <w:r>
        <w:rPr>
          <w:spacing w:val="1"/>
        </w:rPr>
        <w:t xml:space="preserve">established, </w:t>
      </w:r>
      <w:proofErr w:type="spellStart"/>
      <w:r w:rsidR="008123ED">
        <w:rPr>
          <w:spacing w:val="1"/>
        </w:rPr>
        <w:t>Speedishuttle</w:t>
      </w:r>
      <w:proofErr w:type="spellEnd"/>
      <w:r w:rsidR="008123ED">
        <w:rPr>
          <w:spacing w:val="1"/>
        </w:rPr>
        <w:t xml:space="preserve"> will have succeeded in accomplishing an “end run” around </w:t>
      </w:r>
      <w:r>
        <w:rPr>
          <w:spacing w:val="1"/>
        </w:rPr>
        <w:t>RCW 81.68.040</w:t>
      </w:r>
      <w:r w:rsidR="008123ED">
        <w:rPr>
          <w:spacing w:val="1"/>
        </w:rPr>
        <w:t>.</w:t>
      </w:r>
    </w:p>
    <w:p w:rsidR="004C202B" w:rsidRDefault="00785997" w:rsidP="000E4DA3">
      <w:pPr>
        <w:pStyle w:val="BodyText"/>
        <w:numPr>
          <w:ilvl w:val="0"/>
          <w:numId w:val="4"/>
        </w:numPr>
        <w:tabs>
          <w:tab w:val="left" w:pos="821"/>
        </w:tabs>
        <w:spacing w:before="81" w:line="470" w:lineRule="auto"/>
        <w:ind w:right="382"/>
        <w:rPr>
          <w:spacing w:val="1"/>
        </w:rPr>
      </w:pPr>
      <w:r>
        <w:rPr>
          <w:spacing w:val="1"/>
        </w:rPr>
        <w:t xml:space="preserve">Shuttle Express is certainly weary of dealing with all the procedural roadblocks that </w:t>
      </w:r>
      <w:proofErr w:type="spellStart"/>
      <w:r w:rsidR="0025475B">
        <w:rPr>
          <w:spacing w:val="1"/>
        </w:rPr>
        <w:t>Speedishuttle</w:t>
      </w:r>
      <w:proofErr w:type="spellEnd"/>
      <w:r w:rsidR="00522A1E">
        <w:rPr>
          <w:spacing w:val="1"/>
        </w:rPr>
        <w:t xml:space="preserve"> has thrown up in an effort to prevent the truth about its services</w:t>
      </w:r>
      <w:r w:rsidR="004868C0">
        <w:rPr>
          <w:spacing w:val="1"/>
        </w:rPr>
        <w:t xml:space="preserve"> and fallout</w:t>
      </w:r>
      <w:r w:rsidR="00522A1E">
        <w:rPr>
          <w:spacing w:val="1"/>
        </w:rPr>
        <w:t xml:space="preserve"> from being aired publicly</w:t>
      </w:r>
      <w:r w:rsidR="00F61223">
        <w:rPr>
          <w:spacing w:val="1"/>
        </w:rPr>
        <w:t xml:space="preserve">.  </w:t>
      </w:r>
      <w:r w:rsidR="004C202B">
        <w:rPr>
          <w:spacing w:val="1"/>
        </w:rPr>
        <w:t xml:space="preserve">Indeed, </w:t>
      </w:r>
      <w:proofErr w:type="spellStart"/>
      <w:r w:rsidR="004C202B">
        <w:rPr>
          <w:spacing w:val="1"/>
        </w:rPr>
        <w:t>Speedishuttle</w:t>
      </w:r>
      <w:proofErr w:type="spellEnd"/>
      <w:r w:rsidR="004C202B">
        <w:rPr>
          <w:spacing w:val="1"/>
        </w:rPr>
        <w:t xml:space="preserve"> has yet again failed to respond timely to discovery that it </w:t>
      </w:r>
      <w:r w:rsidR="006C1A08">
        <w:rPr>
          <w:spacing w:val="1"/>
        </w:rPr>
        <w:t>offered to provide by October 11</w:t>
      </w:r>
      <w:r w:rsidR="006C1A08" w:rsidRPr="004925B9">
        <w:rPr>
          <w:spacing w:val="1"/>
          <w:vertAlign w:val="superscript"/>
        </w:rPr>
        <w:t>th</w:t>
      </w:r>
      <w:r w:rsidR="006C1A08">
        <w:rPr>
          <w:spacing w:val="1"/>
        </w:rPr>
        <w:t>,</w:t>
      </w:r>
      <w:r w:rsidR="006C1A08">
        <w:rPr>
          <w:rStyle w:val="FootnoteReference"/>
          <w:spacing w:val="1"/>
        </w:rPr>
        <w:footnoteReference w:id="12"/>
      </w:r>
      <w:r w:rsidR="006C1A08">
        <w:rPr>
          <w:spacing w:val="1"/>
        </w:rPr>
        <w:t xml:space="preserve"> apparently based on a belief that somehow a suggestion to “stand down” from two unrelated pending matters </w:t>
      </w:r>
      <w:r w:rsidR="00A75C03">
        <w:rPr>
          <w:spacing w:val="1"/>
        </w:rPr>
        <w:t>(</w:t>
      </w:r>
      <w:r w:rsidR="006C1A08">
        <w:rPr>
          <w:spacing w:val="1"/>
        </w:rPr>
        <w:t>that was never agreed to</w:t>
      </w:r>
      <w:r w:rsidR="00A75C03">
        <w:rPr>
          <w:spacing w:val="1"/>
        </w:rPr>
        <w:t>)</w:t>
      </w:r>
      <w:r w:rsidR="006C1A08">
        <w:rPr>
          <w:spacing w:val="1"/>
        </w:rPr>
        <w:t xml:space="preserve"> excused Respondent from providing discovery responses that were</w:t>
      </w:r>
      <w:r w:rsidR="003F599A">
        <w:rPr>
          <w:spacing w:val="1"/>
        </w:rPr>
        <w:t xml:space="preserve"> originally</w:t>
      </w:r>
      <w:r w:rsidR="006C1A08">
        <w:rPr>
          <w:spacing w:val="1"/>
        </w:rPr>
        <w:t xml:space="preserve"> due nearly two months ago, on August 31</w:t>
      </w:r>
      <w:r w:rsidR="006C1A08" w:rsidRPr="004925B9">
        <w:rPr>
          <w:spacing w:val="1"/>
          <w:vertAlign w:val="superscript"/>
        </w:rPr>
        <w:t>st</w:t>
      </w:r>
      <w:r w:rsidR="006C1A08">
        <w:rPr>
          <w:spacing w:val="1"/>
        </w:rPr>
        <w:t>.</w:t>
      </w:r>
      <w:r w:rsidR="004868C0">
        <w:rPr>
          <w:rStyle w:val="FootnoteReference"/>
          <w:spacing w:val="1"/>
        </w:rPr>
        <w:footnoteReference w:id="13"/>
      </w:r>
      <w:r w:rsidR="006C1A08">
        <w:rPr>
          <w:spacing w:val="1"/>
        </w:rPr>
        <w:t xml:space="preserve">   </w:t>
      </w:r>
      <w:r w:rsidR="004868C0">
        <w:rPr>
          <w:spacing w:val="1"/>
        </w:rPr>
        <w:t xml:space="preserve">The </w:t>
      </w:r>
      <w:r w:rsidR="004728A6">
        <w:rPr>
          <w:spacing w:val="1"/>
        </w:rPr>
        <w:t xml:space="preserve">ongoing </w:t>
      </w:r>
      <w:r w:rsidR="004868C0">
        <w:rPr>
          <w:spacing w:val="1"/>
        </w:rPr>
        <w:t>lack of meaningful</w:t>
      </w:r>
      <w:r w:rsidR="004728A6">
        <w:rPr>
          <w:spacing w:val="1"/>
        </w:rPr>
        <w:t>ly complete</w:t>
      </w:r>
      <w:r w:rsidR="004868C0">
        <w:rPr>
          <w:spacing w:val="1"/>
        </w:rPr>
        <w:t xml:space="preserve"> discovery responses despite a motion to compel and direction from the judge is unfortunate, because the Commission is still being denied the facts it truly needs to protect the public interest—which is implicated even in this scheduling decision.</w:t>
      </w:r>
    </w:p>
    <w:p w:rsidR="004728A6" w:rsidRPr="000E4DA3" w:rsidRDefault="004728A6" w:rsidP="004728A6">
      <w:pPr>
        <w:pStyle w:val="BodyText"/>
        <w:numPr>
          <w:ilvl w:val="0"/>
          <w:numId w:val="4"/>
        </w:numPr>
        <w:tabs>
          <w:tab w:val="left" w:pos="821"/>
        </w:tabs>
        <w:spacing w:before="81" w:line="470" w:lineRule="auto"/>
        <w:ind w:right="382"/>
        <w:rPr>
          <w:spacing w:val="1"/>
        </w:rPr>
      </w:pPr>
      <w:proofErr w:type="spellStart"/>
      <w:r>
        <w:rPr>
          <w:spacing w:val="1"/>
        </w:rPr>
        <w:t>Speedishuttle’s</w:t>
      </w:r>
      <w:proofErr w:type="spellEnd"/>
      <w:r>
        <w:rPr>
          <w:spacing w:val="1"/>
        </w:rPr>
        <w:t xml:space="preserve"> foot dragging and unsuccessful procedural maneuvering to date should not be</w:t>
      </w:r>
      <w:r w:rsidRPr="00487303">
        <w:rPr>
          <w:spacing w:val="1"/>
        </w:rPr>
        <w:t xml:space="preserve"> rewarded</w:t>
      </w:r>
      <w:r>
        <w:rPr>
          <w:spacing w:val="1"/>
        </w:rPr>
        <w:t xml:space="preserve"> with a lengthy Commission-initiated delay.  If </w:t>
      </w:r>
      <w:proofErr w:type="spellStart"/>
      <w:r>
        <w:rPr>
          <w:spacing w:val="1"/>
        </w:rPr>
        <w:t>Speedishuttle</w:t>
      </w:r>
      <w:proofErr w:type="spellEnd"/>
      <w:r>
        <w:rPr>
          <w:spacing w:val="1"/>
        </w:rPr>
        <w:t xml:space="preserve"> has committed the wrongs and caused the harms as alleged, it should not avoid review merely because the </w:t>
      </w:r>
      <w:r>
        <w:rPr>
          <w:spacing w:val="1"/>
        </w:rPr>
        <w:lastRenderedPageBreak/>
        <w:t xml:space="preserve">Commission has acted appropriately to allow Shuttle Express to try to respond to the entry of a completely unrelated mode of competition from TNCs.  As the Commission itself just noted: </w:t>
      </w:r>
    </w:p>
    <w:p w:rsidR="004728A6" w:rsidRDefault="004728A6" w:rsidP="004925B9">
      <w:pPr>
        <w:pStyle w:val="BodyText"/>
        <w:tabs>
          <w:tab w:val="left" w:pos="1440"/>
        </w:tabs>
        <w:spacing w:before="81"/>
        <w:ind w:left="1440" w:right="1090"/>
        <w:rPr>
          <w:spacing w:val="1"/>
        </w:rPr>
      </w:pPr>
      <w:r w:rsidRPr="000E4DA3">
        <w:rPr>
          <w:spacing w:val="1"/>
        </w:rPr>
        <w:t xml:space="preserve">Shuttle Express correctly observes that </w:t>
      </w:r>
      <w:r w:rsidRPr="008C670F">
        <w:rPr>
          <w:spacing w:val="1"/>
          <w:u w:val="single"/>
        </w:rPr>
        <w:t>the Commission’s ultimate responsibility is to ensure compliance with RCW 81.68.040</w:t>
      </w:r>
      <w:r w:rsidRPr="000E4DA3">
        <w:rPr>
          <w:spacing w:val="1"/>
        </w:rPr>
        <w:t xml:space="preserve"> and other applicable laws. Consistent with the legislature’s directive, we did not and cannot authorize </w:t>
      </w:r>
      <w:proofErr w:type="spellStart"/>
      <w:r w:rsidRPr="000E4DA3">
        <w:rPr>
          <w:spacing w:val="1"/>
        </w:rPr>
        <w:t>Speedishuttle</w:t>
      </w:r>
      <w:proofErr w:type="spellEnd"/>
      <w:r w:rsidRPr="000E4DA3">
        <w:rPr>
          <w:spacing w:val="1"/>
        </w:rPr>
        <w:t xml:space="preserve"> to depart from its business model and offer the same service Shuttle Express provides. If the evidence demonstrates that </w:t>
      </w:r>
      <w:proofErr w:type="spellStart"/>
      <w:r w:rsidRPr="000E4DA3">
        <w:rPr>
          <w:spacing w:val="1"/>
        </w:rPr>
        <w:t>Speedishuttle</w:t>
      </w:r>
      <w:proofErr w:type="spellEnd"/>
      <w:r w:rsidRPr="000E4DA3">
        <w:rPr>
          <w:spacing w:val="1"/>
        </w:rPr>
        <w:t xml:space="preserve"> is doing so or is otherwise violating its regulatory obligations, we will take appropriate enforcement action.</w:t>
      </w:r>
    </w:p>
    <w:p w:rsidR="004728A6" w:rsidRPr="006F6C54" w:rsidRDefault="004728A6" w:rsidP="004925B9">
      <w:pPr>
        <w:pStyle w:val="BodyText"/>
        <w:tabs>
          <w:tab w:val="left" w:pos="821"/>
        </w:tabs>
        <w:spacing w:before="240" w:line="470" w:lineRule="auto"/>
        <w:ind w:right="389"/>
        <w:rPr>
          <w:spacing w:val="1"/>
        </w:rPr>
      </w:pPr>
      <w:r>
        <w:rPr>
          <w:spacing w:val="1"/>
        </w:rPr>
        <w:t xml:space="preserve">Order 08, ¶ 26 (emphasis added).  </w:t>
      </w:r>
    </w:p>
    <w:p w:rsidR="004728A6" w:rsidRDefault="004728A6" w:rsidP="00F61223">
      <w:pPr>
        <w:pStyle w:val="BodyText"/>
        <w:numPr>
          <w:ilvl w:val="0"/>
          <w:numId w:val="4"/>
        </w:numPr>
        <w:tabs>
          <w:tab w:val="left" w:pos="821"/>
        </w:tabs>
        <w:spacing w:before="81" w:line="470" w:lineRule="auto"/>
        <w:ind w:right="382"/>
        <w:rPr>
          <w:spacing w:val="1"/>
        </w:rPr>
      </w:pPr>
      <w:r>
        <w:rPr>
          <w:spacing w:val="1"/>
        </w:rPr>
        <w:t>Going forward, the legislature may change the law and the Commission may change its rules.  Until that time—which will likely take years, not months—the Commission should enforce the law, protect the public interest, and deal appropriately with Respondent for its unlawful acts and omissions as established after discovery and hearing.</w:t>
      </w:r>
    </w:p>
    <w:p w:rsidR="004728A6" w:rsidRDefault="004728A6" w:rsidP="004925B9">
      <w:pPr>
        <w:pStyle w:val="BodyText"/>
        <w:tabs>
          <w:tab w:val="left" w:pos="810"/>
        </w:tabs>
        <w:spacing w:before="81"/>
        <w:ind w:left="1440" w:right="382" w:hanging="630"/>
        <w:rPr>
          <w:spacing w:val="1"/>
        </w:rPr>
      </w:pPr>
      <w:r>
        <w:rPr>
          <w:spacing w:val="1"/>
        </w:rPr>
        <w:t>III.</w:t>
      </w:r>
      <w:r>
        <w:rPr>
          <w:spacing w:val="1"/>
        </w:rPr>
        <w:tab/>
      </w:r>
      <w:r w:rsidRPr="004925B9">
        <w:rPr>
          <w:spacing w:val="1"/>
          <w:u w:val="single"/>
        </w:rPr>
        <w:t>The Commission Must Gather the Facts Before it Can Determine What Actions—Including Scheduling and Order of Proceeding—Will Best Serve the Public Interest</w:t>
      </w:r>
      <w:r>
        <w:rPr>
          <w:spacing w:val="1"/>
        </w:rPr>
        <w:t>.</w:t>
      </w:r>
    </w:p>
    <w:p w:rsidR="004728A6" w:rsidRDefault="004728A6" w:rsidP="004925B9">
      <w:pPr>
        <w:pStyle w:val="BodyText"/>
        <w:tabs>
          <w:tab w:val="left" w:pos="821"/>
        </w:tabs>
        <w:spacing w:before="81"/>
        <w:ind w:right="382"/>
        <w:rPr>
          <w:spacing w:val="1"/>
        </w:rPr>
      </w:pPr>
    </w:p>
    <w:p w:rsidR="00FA68B3" w:rsidRDefault="009213BC" w:rsidP="00F61223">
      <w:pPr>
        <w:pStyle w:val="BodyText"/>
        <w:numPr>
          <w:ilvl w:val="0"/>
          <w:numId w:val="4"/>
        </w:numPr>
        <w:tabs>
          <w:tab w:val="left" w:pos="821"/>
        </w:tabs>
        <w:spacing w:before="81" w:line="470" w:lineRule="auto"/>
        <w:ind w:right="382"/>
        <w:rPr>
          <w:spacing w:val="1"/>
        </w:rPr>
      </w:pPr>
      <w:r>
        <w:rPr>
          <w:spacing w:val="1"/>
        </w:rPr>
        <w:t xml:space="preserve">The </w:t>
      </w:r>
      <w:r w:rsidR="00FA68B3">
        <w:rPr>
          <w:spacing w:val="1"/>
        </w:rPr>
        <w:t xml:space="preserve">Commission appears poised to effectively determine that the public interest will be served by delaying this case for nearly a year, despite having no facts in the record yet regarding what is actually going on in the real world.  That would put the cart before the horse.  </w:t>
      </w:r>
      <w:r w:rsidR="00FA68B3">
        <w:rPr>
          <w:rFonts w:cs="Times New Roman"/>
        </w:rPr>
        <w:t>Shuttle Express here offers just some of the data it expects to adduce at the hearing.  It is offered not for a ruling</w:t>
      </w:r>
      <w:r w:rsidR="00FA68B3" w:rsidRPr="005B2017">
        <w:rPr>
          <w:rFonts w:cs="Times New Roman"/>
        </w:rPr>
        <w:t xml:space="preserve"> on the merits</w:t>
      </w:r>
      <w:r w:rsidR="00FA68B3">
        <w:rPr>
          <w:rFonts w:cs="Times New Roman"/>
        </w:rPr>
        <w:t>, as it is very preliminary</w:t>
      </w:r>
      <w:r w:rsidR="00FA68B3" w:rsidRPr="005B2017">
        <w:rPr>
          <w:rFonts w:cs="Times New Roman"/>
        </w:rPr>
        <w:t xml:space="preserve">, but rather to </w:t>
      </w:r>
      <w:r w:rsidR="00FA68B3">
        <w:rPr>
          <w:rFonts w:cs="Times New Roman"/>
        </w:rPr>
        <w:t xml:space="preserve">show the lack of a relationship with the TNC issue and to </w:t>
      </w:r>
      <w:r w:rsidR="00FA68B3" w:rsidRPr="005B2017">
        <w:rPr>
          <w:rFonts w:cs="Times New Roman"/>
        </w:rPr>
        <w:t>support the need for prompt action.  The data almost conclusively shows that the suggested delay will likely prove extremely harmful to Shuttle Express.</w:t>
      </w:r>
      <w:r w:rsidR="00A75C03">
        <w:rPr>
          <w:rStyle w:val="FootnoteReference"/>
          <w:rFonts w:cs="Times New Roman"/>
        </w:rPr>
        <w:footnoteReference w:id="14"/>
      </w:r>
      <w:r w:rsidR="00FA68B3" w:rsidRPr="005B2017">
        <w:rPr>
          <w:rFonts w:cs="Times New Roman"/>
        </w:rPr>
        <w:t xml:space="preserve">  And it further strongly implicates potentia</w:t>
      </w:r>
      <w:r w:rsidR="00FA68B3">
        <w:rPr>
          <w:rFonts w:cs="Times New Roman"/>
        </w:rPr>
        <w:t>l harm to the public interest.</w:t>
      </w:r>
    </w:p>
    <w:p w:rsidR="009213BC" w:rsidRDefault="00FA68B3" w:rsidP="00FA68B3">
      <w:pPr>
        <w:pStyle w:val="BodyText"/>
        <w:numPr>
          <w:ilvl w:val="0"/>
          <w:numId w:val="4"/>
        </w:numPr>
        <w:tabs>
          <w:tab w:val="left" w:pos="821"/>
        </w:tabs>
        <w:spacing w:before="81" w:line="470" w:lineRule="auto"/>
        <w:ind w:right="382"/>
        <w:rPr>
          <w:spacing w:val="1"/>
        </w:rPr>
      </w:pPr>
      <w:r>
        <w:rPr>
          <w:spacing w:val="1"/>
        </w:rPr>
        <w:lastRenderedPageBreak/>
        <w:t xml:space="preserve">The </w:t>
      </w:r>
      <w:r w:rsidR="009213BC">
        <w:rPr>
          <w:spacing w:val="1"/>
        </w:rPr>
        <w:t xml:space="preserve">fundamental factual disconnect between the entry of </w:t>
      </w:r>
      <w:proofErr w:type="spellStart"/>
      <w:r w:rsidR="0025475B">
        <w:rPr>
          <w:spacing w:val="1"/>
        </w:rPr>
        <w:t>Speedishuttle</w:t>
      </w:r>
      <w:proofErr w:type="spellEnd"/>
      <w:r w:rsidR="009213BC">
        <w:rPr>
          <w:spacing w:val="1"/>
        </w:rPr>
        <w:t xml:space="preserve"> in 2015 and the entry of TNCs in 2016 can be seen by publicly reported passenger data.</w:t>
      </w:r>
      <w:r w:rsidR="00EC4817">
        <w:rPr>
          <w:rStyle w:val="FootnoteReference"/>
          <w:spacing w:val="1"/>
        </w:rPr>
        <w:footnoteReference w:id="15"/>
      </w:r>
      <w:r w:rsidR="009213BC">
        <w:rPr>
          <w:spacing w:val="1"/>
        </w:rPr>
        <w:t xml:space="preserve">  </w:t>
      </w:r>
      <w:r w:rsidR="00EC4817">
        <w:rPr>
          <w:spacing w:val="1"/>
        </w:rPr>
        <w:t xml:space="preserve">Based on outbound trips reported to the Port of Seattle, there has been a steady decline in the number of </w:t>
      </w:r>
      <w:r w:rsidR="00AD69D2">
        <w:rPr>
          <w:spacing w:val="1"/>
        </w:rPr>
        <w:t xml:space="preserve">auto transportation </w:t>
      </w:r>
      <w:r w:rsidR="00EC4817">
        <w:rPr>
          <w:spacing w:val="1"/>
        </w:rPr>
        <w:t xml:space="preserve">passengers carried by Shuttle Express and </w:t>
      </w:r>
      <w:proofErr w:type="spellStart"/>
      <w:r w:rsidR="0025475B">
        <w:rPr>
          <w:spacing w:val="1"/>
        </w:rPr>
        <w:t>Speedishuttle</w:t>
      </w:r>
      <w:proofErr w:type="spellEnd"/>
      <w:r w:rsidR="00AD69D2">
        <w:rPr>
          <w:spacing w:val="1"/>
        </w:rPr>
        <w:t xml:space="preserve"> </w:t>
      </w:r>
      <w:r w:rsidR="00AD69D2" w:rsidRPr="00AD69D2">
        <w:rPr>
          <w:b/>
          <w:i/>
          <w:spacing w:val="1"/>
        </w:rPr>
        <w:t>combined</w:t>
      </w:r>
      <w:r w:rsidR="003F599A">
        <w:rPr>
          <w:spacing w:val="1"/>
        </w:rPr>
        <w:t xml:space="preserve"> since 2012</w:t>
      </w:r>
      <w:r w:rsidR="00EC4817">
        <w:rPr>
          <w:spacing w:val="1"/>
        </w:rPr>
        <w:t xml:space="preserve">.  It can readily be seen that the entry of </w:t>
      </w:r>
      <w:proofErr w:type="spellStart"/>
      <w:r w:rsidR="0025475B">
        <w:rPr>
          <w:spacing w:val="1"/>
        </w:rPr>
        <w:t>Speedishuttle</w:t>
      </w:r>
      <w:proofErr w:type="spellEnd"/>
      <w:r w:rsidR="00EC4817">
        <w:rPr>
          <w:spacing w:val="1"/>
        </w:rPr>
        <w:t xml:space="preserve"> did nothing to attract a new, entirely unserved demographic of tech-savvy tourists, as promised</w:t>
      </w:r>
      <w:r w:rsidR="00ED222F">
        <w:rPr>
          <w:spacing w:val="1"/>
        </w:rPr>
        <w:t>.  The overall downward trend continued almost without change</w:t>
      </w:r>
      <w:r w:rsidR="00EC4817">
        <w:rPr>
          <w:spacing w:val="1"/>
        </w:rPr>
        <w:t>:</w:t>
      </w:r>
      <w:r w:rsidR="009D65DD">
        <w:rPr>
          <w:rStyle w:val="FootnoteReference"/>
          <w:spacing w:val="1"/>
        </w:rPr>
        <w:footnoteReference w:id="16"/>
      </w:r>
      <w:r w:rsidR="00EC4817">
        <w:rPr>
          <w:spacing w:val="1"/>
        </w:rPr>
        <w:br/>
      </w:r>
      <w:r w:rsidRPr="00FA68B3">
        <w:rPr>
          <w:noProof/>
        </w:rPr>
        <w:t xml:space="preserve"> </w:t>
      </w:r>
      <w:r w:rsidRPr="00FA68B3">
        <w:rPr>
          <w:noProof/>
          <w:spacing w:val="1"/>
        </w:rPr>
        <w:drawing>
          <wp:inline distT="0" distB="0" distL="0" distR="0" wp14:anchorId="1904BB5F" wp14:editId="6594F983">
            <wp:extent cx="4615382" cy="277288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5699" cy="2785095"/>
                    </a:xfrm>
                    <a:prstGeom prst="rect">
                      <a:avLst/>
                    </a:prstGeom>
                  </pic:spPr>
                </pic:pic>
              </a:graphicData>
            </a:graphic>
          </wp:inline>
        </w:drawing>
      </w:r>
    </w:p>
    <w:p w:rsidR="00AD69D2" w:rsidRDefault="00AD69D2" w:rsidP="00AE68DF">
      <w:pPr>
        <w:pStyle w:val="BodyText"/>
        <w:numPr>
          <w:ilvl w:val="0"/>
          <w:numId w:val="4"/>
        </w:numPr>
        <w:tabs>
          <w:tab w:val="left" w:pos="821"/>
        </w:tabs>
        <w:spacing w:before="81" w:line="470" w:lineRule="auto"/>
        <w:ind w:right="382"/>
        <w:rPr>
          <w:spacing w:val="1"/>
        </w:rPr>
      </w:pPr>
      <w:r>
        <w:rPr>
          <w:spacing w:val="1"/>
        </w:rPr>
        <w:t xml:space="preserve">Importantly, </w:t>
      </w:r>
      <w:r w:rsidRPr="00AD69D2">
        <w:rPr>
          <w:spacing w:val="1"/>
          <w:u w:val="single"/>
        </w:rPr>
        <w:t>all the foregoing data precedes the advent of TNC service</w:t>
      </w:r>
      <w:r>
        <w:rPr>
          <w:spacing w:val="1"/>
        </w:rPr>
        <w:t xml:space="preserve"> to SeaTac Airport.</w:t>
      </w:r>
      <w:r w:rsidR="00ED222F">
        <w:rPr>
          <w:rStyle w:val="FootnoteReference"/>
          <w:spacing w:val="1"/>
        </w:rPr>
        <w:footnoteReference w:id="17"/>
      </w:r>
      <w:r>
        <w:rPr>
          <w:spacing w:val="1"/>
        </w:rPr>
        <w:t xml:space="preserve">  Thus, this issue can have nothing to do with the TNC issue raised by the Shuttle Express waiver petition.  It is an independent issue.</w:t>
      </w:r>
    </w:p>
    <w:p w:rsidR="00EC4817" w:rsidRPr="00EC4817" w:rsidRDefault="00EC4817" w:rsidP="00AE68DF">
      <w:pPr>
        <w:pStyle w:val="BodyText"/>
        <w:numPr>
          <w:ilvl w:val="0"/>
          <w:numId w:val="4"/>
        </w:numPr>
        <w:tabs>
          <w:tab w:val="left" w:pos="821"/>
        </w:tabs>
        <w:spacing w:before="81" w:line="470" w:lineRule="auto"/>
        <w:ind w:right="382"/>
        <w:rPr>
          <w:spacing w:val="1"/>
        </w:rPr>
      </w:pPr>
      <w:r w:rsidRPr="00EC4817">
        <w:rPr>
          <w:spacing w:val="1"/>
        </w:rPr>
        <w:t>Separating the reports for two carr</w:t>
      </w:r>
      <w:r w:rsidR="00AD69D2">
        <w:rPr>
          <w:spacing w:val="1"/>
        </w:rPr>
        <w:t xml:space="preserve">iers, it appears that not only did </w:t>
      </w:r>
      <w:proofErr w:type="spellStart"/>
      <w:r w:rsidR="0025475B">
        <w:rPr>
          <w:spacing w:val="1"/>
        </w:rPr>
        <w:t>Speedishuttle</w:t>
      </w:r>
      <w:proofErr w:type="spellEnd"/>
      <w:r w:rsidR="00AD69D2">
        <w:rPr>
          <w:spacing w:val="1"/>
        </w:rPr>
        <w:t xml:space="preserve"> fail to </w:t>
      </w:r>
      <w:r w:rsidR="00AD69D2" w:rsidRPr="00ED222F">
        <w:rPr>
          <w:b/>
          <w:i/>
          <w:spacing w:val="1"/>
        </w:rPr>
        <w:t>grow</w:t>
      </w:r>
      <w:r w:rsidRPr="00EC4817">
        <w:rPr>
          <w:spacing w:val="1"/>
        </w:rPr>
        <w:t xml:space="preserve"> the market for share ride services, </w:t>
      </w:r>
      <w:r w:rsidR="00AD69D2">
        <w:rPr>
          <w:spacing w:val="1"/>
        </w:rPr>
        <w:t xml:space="preserve">in actuality </w:t>
      </w:r>
      <w:r w:rsidRPr="00EC4817">
        <w:rPr>
          <w:spacing w:val="1"/>
        </w:rPr>
        <w:t xml:space="preserve">it merely served the same passengers that would have been served (and were being served to the satisfaction of the Commission) </w:t>
      </w:r>
      <w:r w:rsidRPr="00EC4817">
        <w:rPr>
          <w:spacing w:val="1"/>
        </w:rPr>
        <w:lastRenderedPageBreak/>
        <w:t>by Shuttle Express:</w:t>
      </w:r>
      <w:r w:rsidR="009D65DD" w:rsidRPr="009D65DD">
        <w:rPr>
          <w:rStyle w:val="FootnoteReference"/>
          <w:spacing w:val="1"/>
        </w:rPr>
        <w:t xml:space="preserve"> </w:t>
      </w:r>
      <w:r w:rsidR="009D65DD">
        <w:rPr>
          <w:rStyle w:val="FootnoteReference"/>
          <w:spacing w:val="1"/>
        </w:rPr>
        <w:footnoteReference w:id="18"/>
      </w:r>
    </w:p>
    <w:p w:rsidR="00EC4817" w:rsidRDefault="00F77811" w:rsidP="00EC4817">
      <w:pPr>
        <w:pStyle w:val="BodyText"/>
        <w:tabs>
          <w:tab w:val="left" w:pos="821"/>
        </w:tabs>
        <w:spacing w:before="81" w:line="470" w:lineRule="auto"/>
        <w:ind w:right="382"/>
        <w:rPr>
          <w:spacing w:val="1"/>
        </w:rPr>
      </w:pPr>
      <w:r w:rsidRPr="00F77811">
        <w:rPr>
          <w:noProof/>
          <w:spacing w:val="1"/>
        </w:rPr>
        <w:drawing>
          <wp:inline distT="0" distB="0" distL="0" distR="0" wp14:anchorId="56592652" wp14:editId="351FF6E0">
            <wp:extent cx="4601689" cy="2764662"/>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1794" cy="2776741"/>
                    </a:xfrm>
                    <a:prstGeom prst="rect">
                      <a:avLst/>
                    </a:prstGeom>
                  </pic:spPr>
                </pic:pic>
              </a:graphicData>
            </a:graphic>
          </wp:inline>
        </w:drawing>
      </w:r>
    </w:p>
    <w:p w:rsidR="00E557A8" w:rsidRDefault="00EC4817" w:rsidP="00E557A8">
      <w:pPr>
        <w:pStyle w:val="BodyText"/>
        <w:tabs>
          <w:tab w:val="left" w:pos="821"/>
        </w:tabs>
        <w:spacing w:before="81" w:line="470" w:lineRule="auto"/>
        <w:ind w:right="382"/>
        <w:rPr>
          <w:spacing w:val="1"/>
        </w:rPr>
      </w:pPr>
      <w:r>
        <w:rPr>
          <w:spacing w:val="1"/>
        </w:rPr>
        <w:t xml:space="preserve">As the </w:t>
      </w:r>
      <w:proofErr w:type="spellStart"/>
      <w:r w:rsidR="0025475B">
        <w:rPr>
          <w:spacing w:val="1"/>
        </w:rPr>
        <w:t>Speedishuttle</w:t>
      </w:r>
      <w:proofErr w:type="spellEnd"/>
      <w:r>
        <w:rPr>
          <w:spacing w:val="1"/>
        </w:rPr>
        <w:t xml:space="preserve"> passenger counts grew rapidly, the Shuttle Express counts moved in the opposite direction, b</w:t>
      </w:r>
      <w:r w:rsidR="004B1585">
        <w:rPr>
          <w:spacing w:val="1"/>
        </w:rPr>
        <w:t xml:space="preserve">y nearly the same magnitudes.  </w:t>
      </w:r>
      <w:r w:rsidR="00AD69D2">
        <w:rPr>
          <w:spacing w:val="1"/>
        </w:rPr>
        <w:t xml:space="preserve">Again, all this data </w:t>
      </w:r>
      <w:r w:rsidR="00AD69D2" w:rsidRPr="00AD69D2">
        <w:rPr>
          <w:spacing w:val="1"/>
          <w:u w:val="single"/>
        </w:rPr>
        <w:t>precedes</w:t>
      </w:r>
      <w:r w:rsidR="00AD69D2">
        <w:rPr>
          <w:spacing w:val="1"/>
        </w:rPr>
        <w:t xml:space="preserve"> the entry of TNCs into the airport ground transportation market.  </w:t>
      </w:r>
    </w:p>
    <w:p w:rsidR="00AE2FC3" w:rsidRPr="00EF7E17" w:rsidRDefault="00E557A8" w:rsidP="008843FA">
      <w:pPr>
        <w:pStyle w:val="BodyText"/>
        <w:numPr>
          <w:ilvl w:val="0"/>
          <w:numId w:val="4"/>
        </w:numPr>
        <w:tabs>
          <w:tab w:val="left" w:pos="821"/>
        </w:tabs>
        <w:spacing w:before="81" w:line="470" w:lineRule="auto"/>
        <w:ind w:right="382"/>
        <w:rPr>
          <w:spacing w:val="1"/>
        </w:rPr>
      </w:pPr>
      <w:r>
        <w:rPr>
          <w:spacing w:val="1"/>
        </w:rPr>
        <w:t>Even before the production of any meaningful and substantive d</w:t>
      </w:r>
      <w:r w:rsidR="00AD69D2">
        <w:rPr>
          <w:spacing w:val="1"/>
        </w:rPr>
        <w:t xml:space="preserve">iscovery by </w:t>
      </w:r>
      <w:proofErr w:type="spellStart"/>
      <w:r w:rsidR="0025475B">
        <w:rPr>
          <w:spacing w:val="1"/>
        </w:rPr>
        <w:t>Speedishuttle</w:t>
      </w:r>
      <w:proofErr w:type="spellEnd"/>
      <w:r w:rsidR="00AD69D2">
        <w:rPr>
          <w:spacing w:val="1"/>
        </w:rPr>
        <w:t>, the public data</w:t>
      </w:r>
      <w:r>
        <w:rPr>
          <w:spacing w:val="1"/>
        </w:rPr>
        <w:t xml:space="preserve"> is powerful evidence that no “unserved” demogr</w:t>
      </w:r>
      <w:r w:rsidR="00AD69D2">
        <w:rPr>
          <w:spacing w:val="1"/>
        </w:rPr>
        <w:t xml:space="preserve">aphic has been served since the </w:t>
      </w:r>
      <w:proofErr w:type="spellStart"/>
      <w:r w:rsidR="0025475B">
        <w:rPr>
          <w:spacing w:val="1"/>
        </w:rPr>
        <w:t>Speedishuttle</w:t>
      </w:r>
      <w:proofErr w:type="spellEnd"/>
      <w:r>
        <w:rPr>
          <w:spacing w:val="1"/>
        </w:rPr>
        <w:t xml:space="preserve"> entry.  </w:t>
      </w:r>
      <w:r w:rsidR="00BB2482">
        <w:rPr>
          <w:spacing w:val="1"/>
        </w:rPr>
        <w:t xml:space="preserve">The </w:t>
      </w:r>
      <w:r w:rsidR="003F599A">
        <w:rPr>
          <w:spacing w:val="1"/>
        </w:rPr>
        <w:t xml:space="preserve">public </w:t>
      </w:r>
      <w:r w:rsidR="00BB2482">
        <w:rPr>
          <w:spacing w:val="1"/>
        </w:rPr>
        <w:t xml:space="preserve">data indicates that </w:t>
      </w:r>
      <w:proofErr w:type="spellStart"/>
      <w:r w:rsidR="0025475B">
        <w:rPr>
          <w:spacing w:val="1"/>
        </w:rPr>
        <w:t>Speedishuttle</w:t>
      </w:r>
      <w:proofErr w:type="spellEnd"/>
      <w:r>
        <w:rPr>
          <w:spacing w:val="1"/>
        </w:rPr>
        <w:t xml:space="preserve"> </w:t>
      </w:r>
      <w:r w:rsidR="00BB2482">
        <w:rPr>
          <w:spacing w:val="1"/>
        </w:rPr>
        <w:t xml:space="preserve">has merely </w:t>
      </w:r>
      <w:r>
        <w:rPr>
          <w:spacing w:val="1"/>
        </w:rPr>
        <w:t>captured a significant portio</w:t>
      </w:r>
      <w:r w:rsidR="00F96762">
        <w:rPr>
          <w:spacing w:val="1"/>
        </w:rPr>
        <w:t xml:space="preserve">n of the pre-existing, already-served, </w:t>
      </w:r>
      <w:r w:rsidR="00BB2482">
        <w:rPr>
          <w:spacing w:val="1"/>
        </w:rPr>
        <w:t>base of travelers.  Moreover, a</w:t>
      </w:r>
      <w:r>
        <w:rPr>
          <w:spacing w:val="1"/>
        </w:rPr>
        <w:t>bsent a stay or suspension, discovery is likely t</w:t>
      </w:r>
      <w:r w:rsidR="00BB2482">
        <w:rPr>
          <w:spacing w:val="1"/>
        </w:rPr>
        <w:t xml:space="preserve">o further establish this </w:t>
      </w:r>
      <w:r>
        <w:rPr>
          <w:spacing w:val="1"/>
        </w:rPr>
        <w:t>fact.  For example, it is know</w:t>
      </w:r>
      <w:r w:rsidR="00BF283D">
        <w:rPr>
          <w:spacing w:val="1"/>
        </w:rPr>
        <w:t>n that the Go</w:t>
      </w:r>
      <w:r w:rsidR="00BB2482">
        <w:rPr>
          <w:spacing w:val="1"/>
        </w:rPr>
        <w:t xml:space="preserve"> Group (“</w:t>
      </w:r>
      <w:r w:rsidR="00BF283D">
        <w:rPr>
          <w:spacing w:val="1"/>
        </w:rPr>
        <w:t>Go</w:t>
      </w:r>
      <w:r w:rsidR="00BB2482">
        <w:rPr>
          <w:spacing w:val="1"/>
        </w:rPr>
        <w:t xml:space="preserve">”) supported the </w:t>
      </w:r>
      <w:proofErr w:type="spellStart"/>
      <w:r w:rsidR="0025475B">
        <w:rPr>
          <w:spacing w:val="1"/>
        </w:rPr>
        <w:t>Speedishuttle</w:t>
      </w:r>
      <w:proofErr w:type="spellEnd"/>
      <w:r w:rsidR="00BB2482">
        <w:rPr>
          <w:spacing w:val="1"/>
        </w:rPr>
        <w:t xml:space="preserve"> application because Shuttle Express </w:t>
      </w:r>
      <w:r w:rsidR="00BF283D">
        <w:rPr>
          <w:spacing w:val="1"/>
        </w:rPr>
        <w:t xml:space="preserve">had terminated its Go franchise agreement.  </w:t>
      </w:r>
      <w:r w:rsidR="00F77811" w:rsidRPr="00ED222F">
        <w:rPr>
          <w:spacing w:val="1"/>
        </w:rPr>
        <w:t xml:space="preserve">Marks Declaration, </w:t>
      </w:r>
      <w:r w:rsidR="00ED222F" w:rsidRPr="00ED222F">
        <w:rPr>
          <w:rFonts w:cs="Times New Roman"/>
        </w:rPr>
        <w:t xml:space="preserve">¶ 6.  </w:t>
      </w:r>
      <w:r w:rsidR="00BF283D" w:rsidRPr="00ED222F">
        <w:rPr>
          <w:spacing w:val="1"/>
        </w:rPr>
        <w:t xml:space="preserve">Shuttle Express did not terminate its third party ticket agreement with Go, but after </w:t>
      </w:r>
      <w:proofErr w:type="spellStart"/>
      <w:r w:rsidR="0025475B" w:rsidRPr="00ED222F">
        <w:rPr>
          <w:spacing w:val="1"/>
        </w:rPr>
        <w:t>Speedishuttle</w:t>
      </w:r>
      <w:proofErr w:type="spellEnd"/>
      <w:r w:rsidR="00BF283D" w:rsidRPr="00ED222F">
        <w:rPr>
          <w:spacing w:val="1"/>
        </w:rPr>
        <w:t xml:space="preserve"> was granted its certificate Go refused to renew the Shuttle Express ticket agreement and instead entered into a third party ticket agreement with </w:t>
      </w:r>
      <w:proofErr w:type="spellStart"/>
      <w:r w:rsidR="0025475B" w:rsidRPr="00ED222F">
        <w:rPr>
          <w:spacing w:val="1"/>
        </w:rPr>
        <w:t>Speedishuttle</w:t>
      </w:r>
      <w:proofErr w:type="spellEnd"/>
      <w:r w:rsidR="00F77811" w:rsidRPr="00ED222F">
        <w:rPr>
          <w:spacing w:val="1"/>
        </w:rPr>
        <w:t xml:space="preserve">. </w:t>
      </w:r>
      <w:r w:rsidR="00BF283D" w:rsidRPr="00ED222F">
        <w:rPr>
          <w:spacing w:val="1"/>
        </w:rPr>
        <w:t xml:space="preserve"> </w:t>
      </w:r>
      <w:r w:rsidR="00F77811" w:rsidRPr="00ED222F">
        <w:rPr>
          <w:i/>
          <w:spacing w:val="1"/>
        </w:rPr>
        <w:t>Id</w:t>
      </w:r>
      <w:r w:rsidR="00F77811" w:rsidRPr="00ED222F">
        <w:rPr>
          <w:spacing w:val="1"/>
        </w:rPr>
        <w:t xml:space="preserve">. </w:t>
      </w:r>
    </w:p>
    <w:p w:rsidR="00E557A8" w:rsidRDefault="004B1585" w:rsidP="008843FA">
      <w:pPr>
        <w:pStyle w:val="BodyText"/>
        <w:numPr>
          <w:ilvl w:val="0"/>
          <w:numId w:val="4"/>
        </w:numPr>
        <w:tabs>
          <w:tab w:val="left" w:pos="821"/>
        </w:tabs>
        <w:spacing w:before="81" w:line="470" w:lineRule="auto"/>
        <w:ind w:right="382"/>
        <w:rPr>
          <w:spacing w:val="1"/>
        </w:rPr>
      </w:pPr>
      <w:r>
        <w:rPr>
          <w:spacing w:val="1"/>
        </w:rPr>
        <w:lastRenderedPageBreak/>
        <w:t>By June of 2015,</w:t>
      </w:r>
      <w:r w:rsidR="00BF283D">
        <w:rPr>
          <w:spacing w:val="1"/>
        </w:rPr>
        <w:t xml:space="preserve"> Go’s wholesale ticketing</w:t>
      </w:r>
      <w:r>
        <w:rPr>
          <w:spacing w:val="1"/>
        </w:rPr>
        <w:t xml:space="preserve"> passenger counts</w:t>
      </w:r>
      <w:r w:rsidR="00BF283D">
        <w:rPr>
          <w:spacing w:val="1"/>
        </w:rPr>
        <w:t xml:space="preserve"> for Shuttle Express dropped from four figures</w:t>
      </w:r>
      <w:r>
        <w:rPr>
          <w:spacing w:val="1"/>
        </w:rPr>
        <w:t xml:space="preserve"> per month</w:t>
      </w:r>
      <w:r w:rsidR="00BF283D">
        <w:rPr>
          <w:spacing w:val="1"/>
        </w:rPr>
        <w:t xml:space="preserve"> to essentially </w:t>
      </w:r>
      <w:r w:rsidR="00BF283D" w:rsidRPr="00BF283D">
        <w:rPr>
          <w:b/>
          <w:i/>
          <w:spacing w:val="1"/>
        </w:rPr>
        <w:t>zero</w:t>
      </w:r>
      <w:r>
        <w:rPr>
          <w:spacing w:val="1"/>
        </w:rPr>
        <w:t xml:space="preserve">.  At the same time, </w:t>
      </w:r>
      <w:proofErr w:type="spellStart"/>
      <w:r w:rsidR="0025475B">
        <w:rPr>
          <w:spacing w:val="1"/>
        </w:rPr>
        <w:t>Speedishuttle</w:t>
      </w:r>
      <w:r w:rsidR="004708E3">
        <w:rPr>
          <w:spacing w:val="1"/>
        </w:rPr>
        <w:t>’s</w:t>
      </w:r>
      <w:proofErr w:type="spellEnd"/>
      <w:r w:rsidR="004708E3">
        <w:rPr>
          <w:spacing w:val="1"/>
        </w:rPr>
        <w:t xml:space="preserve"> passenger trip</w:t>
      </w:r>
      <w:r w:rsidR="00BF283D">
        <w:rPr>
          <w:spacing w:val="1"/>
        </w:rPr>
        <w:t xml:space="preserve">s </w:t>
      </w:r>
      <w:r w:rsidR="00BF283D" w:rsidRPr="00BF283D">
        <w:rPr>
          <w:b/>
          <w:i/>
          <w:spacing w:val="1"/>
        </w:rPr>
        <w:t>jumped from zero</w:t>
      </w:r>
      <w:r w:rsidR="00BF283D">
        <w:rPr>
          <w:spacing w:val="1"/>
        </w:rPr>
        <w:t xml:space="preserve"> almost immediately to four figures</w:t>
      </w:r>
      <w:r w:rsidR="00E557A8">
        <w:rPr>
          <w:spacing w:val="1"/>
        </w:rPr>
        <w:t>.</w:t>
      </w:r>
      <w:r w:rsidR="00BF283D">
        <w:rPr>
          <w:spacing w:val="1"/>
        </w:rPr>
        <w:t xml:space="preserve">  It is reasonable to infer that the same passengers wh</w:t>
      </w:r>
      <w:r w:rsidR="00AE2FC3">
        <w:rPr>
          <w:spacing w:val="1"/>
        </w:rPr>
        <w:t xml:space="preserve">o previously booked their transportation on Shuttle Express vans through the Go Group now instead book their transportation on </w:t>
      </w:r>
      <w:proofErr w:type="spellStart"/>
      <w:r w:rsidR="0025475B">
        <w:rPr>
          <w:spacing w:val="1"/>
        </w:rPr>
        <w:t>Speedishuttle</w:t>
      </w:r>
      <w:proofErr w:type="spellEnd"/>
      <w:r w:rsidR="00AE2FC3">
        <w:rPr>
          <w:spacing w:val="1"/>
        </w:rPr>
        <w:t xml:space="preserve"> vans through Go. </w:t>
      </w:r>
      <w:r w:rsidR="00F77811">
        <w:rPr>
          <w:spacing w:val="1"/>
        </w:rPr>
        <w:t xml:space="preserve"> </w:t>
      </w:r>
      <w:r w:rsidR="00ED222F" w:rsidRPr="00ED222F">
        <w:rPr>
          <w:spacing w:val="1"/>
        </w:rPr>
        <w:t xml:space="preserve">Marks Declaration, </w:t>
      </w:r>
      <w:r w:rsidR="00ED222F" w:rsidRPr="00ED222F">
        <w:rPr>
          <w:rFonts w:cs="Times New Roman"/>
        </w:rPr>
        <w:t>¶¶ </w:t>
      </w:r>
      <w:r w:rsidR="004708E3">
        <w:rPr>
          <w:rFonts w:cs="Times New Roman"/>
        </w:rPr>
        <w:t xml:space="preserve">2, </w:t>
      </w:r>
      <w:r w:rsidR="00ED222F" w:rsidRPr="00ED222F">
        <w:rPr>
          <w:rFonts w:cs="Times New Roman"/>
        </w:rPr>
        <w:t>6</w:t>
      </w:r>
      <w:r w:rsidR="004708E3">
        <w:rPr>
          <w:rFonts w:cs="Times New Roman"/>
        </w:rPr>
        <w:t xml:space="preserve">, and </w:t>
      </w:r>
      <w:proofErr w:type="spellStart"/>
      <w:r w:rsidR="004708E3">
        <w:rPr>
          <w:rFonts w:cs="Times New Roman"/>
        </w:rPr>
        <w:t>Exh</w:t>
      </w:r>
      <w:proofErr w:type="spellEnd"/>
      <w:r w:rsidR="004708E3">
        <w:rPr>
          <w:rFonts w:cs="Times New Roman"/>
        </w:rPr>
        <w:t>. A</w:t>
      </w:r>
      <w:r w:rsidR="00ED222F" w:rsidRPr="00ED222F">
        <w:rPr>
          <w:rFonts w:cs="Times New Roman"/>
        </w:rPr>
        <w:t xml:space="preserve">.  </w:t>
      </w:r>
      <w:r w:rsidR="00AE2FC3">
        <w:rPr>
          <w:spacing w:val="1"/>
        </w:rPr>
        <w:t>Discovery should further bolster this conclusion</w:t>
      </w:r>
      <w:r>
        <w:rPr>
          <w:spacing w:val="1"/>
        </w:rPr>
        <w:t xml:space="preserve">, not only from Go, but also from </w:t>
      </w:r>
      <w:proofErr w:type="spellStart"/>
      <w:r w:rsidR="0025475B">
        <w:rPr>
          <w:spacing w:val="1"/>
        </w:rPr>
        <w:t>Speedishuttle</w:t>
      </w:r>
      <w:r>
        <w:rPr>
          <w:spacing w:val="1"/>
        </w:rPr>
        <w:t>’s</w:t>
      </w:r>
      <w:proofErr w:type="spellEnd"/>
      <w:r>
        <w:rPr>
          <w:spacing w:val="1"/>
        </w:rPr>
        <w:t xml:space="preserve"> other wholesale third party ticket sellers.</w:t>
      </w:r>
      <w:r w:rsidR="00AE2FC3">
        <w:rPr>
          <w:spacing w:val="1"/>
        </w:rPr>
        <w:t xml:space="preserve"> </w:t>
      </w:r>
    </w:p>
    <w:p w:rsidR="00F77811" w:rsidRDefault="00F77811" w:rsidP="004925B9">
      <w:pPr>
        <w:pStyle w:val="BodyText"/>
        <w:tabs>
          <w:tab w:val="left" w:pos="810"/>
        </w:tabs>
        <w:spacing w:before="81"/>
        <w:ind w:left="1440" w:right="382" w:hanging="630"/>
        <w:rPr>
          <w:spacing w:val="1"/>
          <w:u w:val="single"/>
        </w:rPr>
      </w:pPr>
      <w:r>
        <w:rPr>
          <w:spacing w:val="1"/>
        </w:rPr>
        <w:t>IV.</w:t>
      </w:r>
      <w:r>
        <w:rPr>
          <w:spacing w:val="1"/>
        </w:rPr>
        <w:tab/>
      </w:r>
      <w:r w:rsidRPr="004925B9">
        <w:rPr>
          <w:spacing w:val="1"/>
          <w:u w:val="single"/>
        </w:rPr>
        <w:t>Long Term Public Policy Initiatives Would be Better Served by Completing This Case First and Then Considering Legislative or Rule Changes.</w:t>
      </w:r>
    </w:p>
    <w:p w:rsidR="00F77811" w:rsidRDefault="00F77811" w:rsidP="004925B9">
      <w:pPr>
        <w:pStyle w:val="BodyText"/>
        <w:tabs>
          <w:tab w:val="left" w:pos="821"/>
        </w:tabs>
        <w:spacing w:before="81"/>
        <w:ind w:right="382"/>
        <w:rPr>
          <w:spacing w:val="1"/>
        </w:rPr>
      </w:pPr>
    </w:p>
    <w:p w:rsidR="00993B45" w:rsidRPr="004925B9" w:rsidRDefault="00F77811" w:rsidP="004925B9">
      <w:pPr>
        <w:pStyle w:val="BodyText"/>
        <w:numPr>
          <w:ilvl w:val="0"/>
          <w:numId w:val="4"/>
        </w:numPr>
        <w:tabs>
          <w:tab w:val="left" w:pos="821"/>
        </w:tabs>
        <w:spacing w:before="81" w:line="470" w:lineRule="auto"/>
        <w:ind w:right="382"/>
        <w:rPr>
          <w:spacing w:val="1"/>
        </w:rPr>
      </w:pPr>
      <w:r w:rsidRPr="006F6C54">
        <w:rPr>
          <w:spacing w:val="1"/>
        </w:rPr>
        <w:t xml:space="preserve">In an unfortunate ironic twist, </w:t>
      </w:r>
      <w:proofErr w:type="spellStart"/>
      <w:r w:rsidRPr="006F6C54">
        <w:rPr>
          <w:spacing w:val="1"/>
        </w:rPr>
        <w:t>Speedishuttle</w:t>
      </w:r>
      <w:proofErr w:type="spellEnd"/>
      <w:r w:rsidRPr="006F6C54">
        <w:rPr>
          <w:spacing w:val="1"/>
        </w:rPr>
        <w:t xml:space="preserve"> misled the Commission into an inadvertent </w:t>
      </w:r>
      <w:r w:rsidRPr="004925B9">
        <w:rPr>
          <w:spacing w:val="1"/>
        </w:rPr>
        <w:t xml:space="preserve">(and unlawful) experiment into </w:t>
      </w:r>
      <w:r w:rsidR="00DC15CA">
        <w:rPr>
          <w:spacing w:val="1"/>
        </w:rPr>
        <w:t>what would happen</w:t>
      </w:r>
      <w:r w:rsidRPr="004925B9">
        <w:rPr>
          <w:spacing w:val="1"/>
        </w:rPr>
        <w:t xml:space="preserve"> if there were two door-to-door share ride van carriers providing the same service to the same territory, King County.  Evidence will show it is not </w:t>
      </w:r>
      <w:r w:rsidR="00993B45" w:rsidRPr="004925B9">
        <w:rPr>
          <w:spacing w:val="1"/>
        </w:rPr>
        <w:t>going that well, for the public and certainly not</w:t>
      </w:r>
      <w:r w:rsidRPr="004925B9">
        <w:rPr>
          <w:spacing w:val="1"/>
        </w:rPr>
        <w:t xml:space="preserve"> for Shuttle Express</w:t>
      </w:r>
      <w:r w:rsidR="00993B45">
        <w:rPr>
          <w:spacing w:val="1"/>
        </w:rPr>
        <w:t>.  It is</w:t>
      </w:r>
      <w:r w:rsidRPr="006F6C54">
        <w:rPr>
          <w:spacing w:val="1"/>
        </w:rPr>
        <w:t xml:space="preserve"> probably not </w:t>
      </w:r>
      <w:r w:rsidR="00993B45">
        <w:rPr>
          <w:spacing w:val="1"/>
        </w:rPr>
        <w:t xml:space="preserve">going well </w:t>
      </w:r>
      <w:r w:rsidRPr="006F6C54">
        <w:rPr>
          <w:spacing w:val="1"/>
        </w:rPr>
        <w:t xml:space="preserve">for </w:t>
      </w:r>
      <w:proofErr w:type="spellStart"/>
      <w:r w:rsidRPr="006F6C54">
        <w:rPr>
          <w:spacing w:val="1"/>
        </w:rPr>
        <w:t>Speedishuttle</w:t>
      </w:r>
      <w:proofErr w:type="spellEnd"/>
      <w:r w:rsidRPr="006F6C54">
        <w:rPr>
          <w:spacing w:val="1"/>
        </w:rPr>
        <w:t xml:space="preserve">, either.  </w:t>
      </w:r>
      <w:r w:rsidR="00993B45">
        <w:rPr>
          <w:spacing w:val="1"/>
        </w:rPr>
        <w:t>After all,</w:t>
      </w:r>
      <w:r w:rsidR="004B1585" w:rsidRPr="006F6C54">
        <w:rPr>
          <w:spacing w:val="1"/>
        </w:rPr>
        <w:t xml:space="preserve"> </w:t>
      </w:r>
      <w:proofErr w:type="spellStart"/>
      <w:r w:rsidR="0025475B" w:rsidRPr="006F6C54">
        <w:rPr>
          <w:spacing w:val="1"/>
        </w:rPr>
        <w:t>Speedishuttle</w:t>
      </w:r>
      <w:r w:rsidR="00993B45">
        <w:rPr>
          <w:spacing w:val="1"/>
        </w:rPr>
        <w:t>’s</w:t>
      </w:r>
      <w:proofErr w:type="spellEnd"/>
      <w:r w:rsidR="00E02B10" w:rsidRPr="006F6C54">
        <w:rPr>
          <w:spacing w:val="1"/>
        </w:rPr>
        <w:t xml:space="preserve"> </w:t>
      </w:r>
      <w:r w:rsidR="00E503D4">
        <w:t xml:space="preserve">Petition sought a </w:t>
      </w:r>
      <w:r w:rsidR="0025475B">
        <w:t xml:space="preserve">conditional and </w:t>
      </w:r>
      <w:r w:rsidR="00E503D4">
        <w:t xml:space="preserve">limited stay </w:t>
      </w:r>
      <w:r w:rsidR="00E02B10">
        <w:t xml:space="preserve">(“sufficient time”) </w:t>
      </w:r>
      <w:r w:rsidR="00E503D4" w:rsidRPr="004925B9">
        <w:rPr>
          <w:b/>
          <w:i/>
        </w:rPr>
        <w:t>to cons</w:t>
      </w:r>
      <w:r w:rsidR="00E02B10" w:rsidRPr="004925B9">
        <w:rPr>
          <w:b/>
          <w:i/>
        </w:rPr>
        <w:t xml:space="preserve">ider exiting the </w:t>
      </w:r>
      <w:r w:rsidR="004B1585" w:rsidRPr="004925B9">
        <w:rPr>
          <w:b/>
          <w:i/>
        </w:rPr>
        <w:t xml:space="preserve">SeaTac </w:t>
      </w:r>
      <w:r w:rsidR="00E02B10" w:rsidRPr="004925B9">
        <w:rPr>
          <w:b/>
          <w:i/>
        </w:rPr>
        <w:t>market</w:t>
      </w:r>
      <w:r w:rsidR="00E02B10">
        <w:t>.</w:t>
      </w:r>
      <w:r w:rsidR="00E71B33">
        <w:rPr>
          <w:rStyle w:val="FootnoteReference"/>
        </w:rPr>
        <w:footnoteReference w:id="19"/>
      </w:r>
      <w:r w:rsidR="00E02B10">
        <w:t xml:space="preserve">  </w:t>
      </w:r>
    </w:p>
    <w:p w:rsidR="00993B45" w:rsidRPr="004925B9" w:rsidRDefault="00993B45" w:rsidP="004925B9">
      <w:pPr>
        <w:pStyle w:val="BodyText"/>
        <w:numPr>
          <w:ilvl w:val="0"/>
          <w:numId w:val="4"/>
        </w:numPr>
        <w:tabs>
          <w:tab w:val="left" w:pos="821"/>
        </w:tabs>
        <w:spacing w:before="81" w:line="470" w:lineRule="auto"/>
        <w:ind w:right="382"/>
        <w:rPr>
          <w:spacing w:val="1"/>
        </w:rPr>
      </w:pPr>
      <w:r>
        <w:t xml:space="preserve">If the Commission stays this case for 10 months, it will presumably hold workshops, conduct a rulemaking, </w:t>
      </w:r>
      <w:r w:rsidR="004708E3">
        <w:t>and</w:t>
      </w:r>
      <w:r w:rsidR="00F17085">
        <w:t xml:space="preserve"> maybe</w:t>
      </w:r>
      <w:r>
        <w:t xml:space="preserve"> go to the legislature.  It can expect that the various stakeholders will pontificate </w:t>
      </w:r>
      <w:r w:rsidR="00E71B33">
        <w:t>and opine</w:t>
      </w:r>
      <w:r>
        <w:t xml:space="preserve"> on what may or may not happen if the laws or r</w:t>
      </w:r>
      <w:r w:rsidR="00F17085">
        <w:t>ules are changed in some way.  But w</w:t>
      </w:r>
      <w:r>
        <w:t>hat generally is sorely lacking in such</w:t>
      </w:r>
      <w:r w:rsidR="00A75C03">
        <w:t xml:space="preserve"> policy</w:t>
      </w:r>
      <w:r>
        <w:t xml:space="preserve"> proceedings is discovery, sworn evidence, and testing of </w:t>
      </w:r>
      <w:r w:rsidR="004708E3">
        <w:t xml:space="preserve">the </w:t>
      </w:r>
      <w:r>
        <w:t xml:space="preserve">evidence with the rigors of cross-examination by the parties and the bench.  This proceeding not only tees up some of the </w:t>
      </w:r>
      <w:r>
        <w:lastRenderedPageBreak/>
        <w:t xml:space="preserve">issues that the Commission may wish to consider in the long term, it provides a perfect—if unintended—opportunity to </w:t>
      </w:r>
      <w:r w:rsidR="00423C1A">
        <w:t>meaningful</w:t>
      </w:r>
      <w:r>
        <w:t>ly investigate what competition in auto transportation bus</w:t>
      </w:r>
      <w:r w:rsidR="00F17085">
        <w:t xml:space="preserve">iness does in the real world.  Actual, rather than merely hypothetical </w:t>
      </w:r>
      <w:proofErr w:type="spellStart"/>
      <w:r>
        <w:t>mpacts</w:t>
      </w:r>
      <w:proofErr w:type="spellEnd"/>
      <w:r>
        <w:t xml:space="preserve"> on the carriers and the public can be demonstrated, under oath, and after reasonable discovery.  </w:t>
      </w:r>
    </w:p>
    <w:p w:rsidR="002B516B" w:rsidRDefault="00423C1A" w:rsidP="004925B9">
      <w:pPr>
        <w:pStyle w:val="BodyText"/>
        <w:numPr>
          <w:ilvl w:val="0"/>
          <w:numId w:val="4"/>
        </w:numPr>
        <w:tabs>
          <w:tab w:val="left" w:pos="821"/>
        </w:tabs>
        <w:spacing w:before="81" w:line="470" w:lineRule="auto"/>
        <w:ind w:right="382"/>
        <w:rPr>
          <w:spacing w:val="1"/>
        </w:rPr>
      </w:pPr>
      <w:r>
        <w:rPr>
          <w:spacing w:val="1"/>
        </w:rPr>
        <w:t>The staff’s vision that “all parties [will] work together” in the as-yet unscheduled and unspecified policy or legislative proceeding</w:t>
      </w:r>
      <w:r w:rsidR="002B516B">
        <w:rPr>
          <w:spacing w:val="1"/>
        </w:rPr>
        <w:t>s</w:t>
      </w:r>
      <w:r>
        <w:rPr>
          <w:spacing w:val="1"/>
        </w:rPr>
        <w:t xml:space="preserve"> is not consistent with the high level of discord between Petitioner and Respondent that the Commission has observed.</w:t>
      </w:r>
      <w:r w:rsidR="002B516B">
        <w:rPr>
          <w:rStyle w:val="FootnoteReference"/>
          <w:spacing w:val="1"/>
        </w:rPr>
        <w:footnoteReference w:id="20"/>
      </w:r>
      <w:r>
        <w:rPr>
          <w:spacing w:val="1"/>
        </w:rPr>
        <w:t xml:space="preserve">  And even if the parties could all agree, they could not rewrite RCW 81.68.040, which is what would be required for </w:t>
      </w:r>
      <w:proofErr w:type="spellStart"/>
      <w:r>
        <w:rPr>
          <w:spacing w:val="1"/>
        </w:rPr>
        <w:t>Speedishuttle</w:t>
      </w:r>
      <w:proofErr w:type="spellEnd"/>
      <w:r>
        <w:rPr>
          <w:spacing w:val="1"/>
        </w:rPr>
        <w:t xml:space="preserve"> to have </w:t>
      </w:r>
      <w:r w:rsidR="004708E3">
        <w:rPr>
          <w:spacing w:val="1"/>
        </w:rPr>
        <w:t xml:space="preserve">had </w:t>
      </w:r>
      <w:r>
        <w:rPr>
          <w:spacing w:val="1"/>
        </w:rPr>
        <w:t>the right to offer the exact same service as Shuttle Express was already</w:t>
      </w:r>
      <w:r w:rsidR="00F17085">
        <w:rPr>
          <w:spacing w:val="1"/>
        </w:rPr>
        <w:t xml:space="preserve"> satisfactorily</w:t>
      </w:r>
      <w:r>
        <w:rPr>
          <w:spacing w:val="1"/>
        </w:rPr>
        <w:t xml:space="preserve"> providing.</w:t>
      </w:r>
      <w:r w:rsidRPr="00423C1A">
        <w:rPr>
          <w:spacing w:val="1"/>
        </w:rPr>
        <w:t xml:space="preserve"> </w:t>
      </w:r>
      <w:r>
        <w:rPr>
          <w:spacing w:val="1"/>
        </w:rPr>
        <w:t xml:space="preserve"> Nor does staff attempt to connect the rule waiver with this case.  </w:t>
      </w:r>
      <w:r w:rsidR="00A75C03">
        <w:rPr>
          <w:spacing w:val="1"/>
        </w:rPr>
        <w:t>Finally, it is likely impossible to change the statute in 10 months, especially if workshops are to be held first.  The earliest a new law could likely become effective would be sometime after the 2018 legislative session.</w:t>
      </w:r>
    </w:p>
    <w:p w:rsidR="00423C1A" w:rsidRPr="004925B9" w:rsidRDefault="00423C1A" w:rsidP="004925B9">
      <w:pPr>
        <w:pStyle w:val="BodyText"/>
        <w:numPr>
          <w:ilvl w:val="0"/>
          <w:numId w:val="4"/>
        </w:numPr>
        <w:tabs>
          <w:tab w:val="left" w:pos="821"/>
        </w:tabs>
        <w:spacing w:before="81" w:line="470" w:lineRule="auto"/>
        <w:ind w:right="382"/>
        <w:rPr>
          <w:spacing w:val="1"/>
        </w:rPr>
      </w:pPr>
      <w:r>
        <w:rPr>
          <w:spacing w:val="1"/>
        </w:rPr>
        <w:t>Shuttle Express urges the Commission to continue this proceeding and enforce the law and its rules as they existed in 2015, as the</w:t>
      </w:r>
      <w:r w:rsidR="002B516B">
        <w:rPr>
          <w:spacing w:val="1"/>
        </w:rPr>
        <w:t>y</w:t>
      </w:r>
      <w:r>
        <w:rPr>
          <w:spacing w:val="1"/>
        </w:rPr>
        <w:t xml:space="preserve"> exist today, </w:t>
      </w:r>
      <w:r w:rsidR="002B516B">
        <w:rPr>
          <w:spacing w:val="1"/>
        </w:rPr>
        <w:t>and as they will likely exist for the foreseeable future.  After the facts are in and appropriate remedies are meted out, the Commission will be in</w:t>
      </w:r>
      <w:r w:rsidR="00DC15CA">
        <w:rPr>
          <w:spacing w:val="1"/>
        </w:rPr>
        <w:t xml:space="preserve"> a better position to make long-</w:t>
      </w:r>
      <w:r w:rsidR="002B516B">
        <w:rPr>
          <w:spacing w:val="1"/>
        </w:rPr>
        <w:t>term policy decisions and it may even be possible for the parties to starting working together.  The staff’s goal of a “greater prize” is reasonable, but th</w:t>
      </w:r>
      <w:bookmarkStart w:id="0" w:name="_GoBack"/>
      <w:bookmarkEnd w:id="0"/>
      <w:r w:rsidR="002B516B">
        <w:rPr>
          <w:spacing w:val="1"/>
        </w:rPr>
        <w:t xml:space="preserve">e suggested timing is backwards. </w:t>
      </w:r>
      <w:r w:rsidR="00A75C03">
        <w:rPr>
          <w:spacing w:val="1"/>
        </w:rPr>
        <w:t xml:space="preserve"> And there is ongoing harm today that needs to b</w:t>
      </w:r>
      <w:r w:rsidR="004708E3">
        <w:rPr>
          <w:spacing w:val="1"/>
        </w:rPr>
        <w:t>e addressed</w:t>
      </w:r>
      <w:r w:rsidR="00A75C03">
        <w:rPr>
          <w:spacing w:val="1"/>
        </w:rPr>
        <w:t xml:space="preserve"> as soon as practicable, not delayed indefinitely.</w:t>
      </w:r>
    </w:p>
    <w:p w:rsidR="00D15762" w:rsidRPr="00F259B0" w:rsidRDefault="00895710" w:rsidP="00D15762">
      <w:pPr>
        <w:pStyle w:val="BodyText"/>
        <w:tabs>
          <w:tab w:val="left" w:pos="821"/>
        </w:tabs>
        <w:spacing w:before="81" w:line="470" w:lineRule="auto"/>
        <w:ind w:right="382"/>
        <w:jc w:val="center"/>
        <w:rPr>
          <w:b/>
          <w:spacing w:val="1"/>
          <w:u w:val="single"/>
        </w:rPr>
      </w:pPr>
      <w:r>
        <w:rPr>
          <w:b/>
          <w:u w:val="single"/>
        </w:rPr>
        <w:br/>
      </w:r>
      <w:r>
        <w:rPr>
          <w:b/>
          <w:u w:val="single"/>
        </w:rPr>
        <w:br/>
      </w:r>
      <w:r w:rsidR="00D15762" w:rsidRPr="00F259B0">
        <w:rPr>
          <w:b/>
          <w:u w:val="single"/>
        </w:rPr>
        <w:t>CONCLUSION</w:t>
      </w:r>
    </w:p>
    <w:p w:rsidR="00F17085" w:rsidRPr="007801EC" w:rsidRDefault="002B516B" w:rsidP="00016C6F">
      <w:pPr>
        <w:pStyle w:val="BodyText"/>
        <w:numPr>
          <w:ilvl w:val="0"/>
          <w:numId w:val="4"/>
        </w:numPr>
        <w:tabs>
          <w:tab w:val="left" w:pos="821"/>
        </w:tabs>
        <w:spacing w:before="81" w:line="470" w:lineRule="auto"/>
        <w:ind w:right="382"/>
      </w:pPr>
      <w:r>
        <w:lastRenderedPageBreak/>
        <w:t xml:space="preserve">The Commission has many tools at its disposal to protect the public interest.  It should not abdicate, even temporarily.  Doing so would fail to deal with substantive issues that are:  readily apparent from public data, all but admitted, and not going away.  Most importantly, </w:t>
      </w:r>
    </w:p>
    <w:p w:rsidR="00F259B0" w:rsidRPr="006F6C54" w:rsidRDefault="002B516B" w:rsidP="00F17085">
      <w:pPr>
        <w:pStyle w:val="BodyText"/>
        <w:tabs>
          <w:tab w:val="left" w:pos="821"/>
        </w:tabs>
        <w:spacing w:before="81" w:line="470" w:lineRule="auto"/>
        <w:ind w:right="382"/>
        <w:rPr>
          <w:spacing w:val="1"/>
        </w:rPr>
      </w:pPr>
      <w:proofErr w:type="gramStart"/>
      <w:r>
        <w:t>in</w:t>
      </w:r>
      <w:proofErr w:type="gramEnd"/>
      <w:r>
        <w:t xml:space="preserve"> the extra 10 months, additional and perhaps irreparable harm to the public interest and Shuttle Express will continue unabated.</w:t>
      </w:r>
      <w:r>
        <w:rPr>
          <w:rStyle w:val="FootnoteReference"/>
        </w:rPr>
        <w:footnoteReference w:id="21"/>
      </w:r>
      <w:r>
        <w:t xml:space="preserve">  </w:t>
      </w:r>
    </w:p>
    <w:p w:rsidR="009D44EF" w:rsidRDefault="004C0841" w:rsidP="00681ECC">
      <w:pPr>
        <w:pStyle w:val="BodyText"/>
        <w:tabs>
          <w:tab w:val="left" w:pos="821"/>
        </w:tabs>
        <w:spacing w:before="81" w:line="470" w:lineRule="auto"/>
        <w:ind w:right="382"/>
        <w:rPr>
          <w:rFonts w:cs="Times New Roman"/>
          <w:sz w:val="26"/>
          <w:szCs w:val="26"/>
        </w:rPr>
      </w:pPr>
      <w:r>
        <w:rPr>
          <w:spacing w:val="-1"/>
        </w:rPr>
        <w:tab/>
      </w:r>
      <w:r>
        <w:rPr>
          <w:spacing w:val="-1"/>
        </w:rPr>
        <w:tab/>
      </w:r>
      <w:r w:rsidR="004B0DF0" w:rsidRPr="001266A0">
        <w:rPr>
          <w:spacing w:val="-1"/>
        </w:rPr>
        <w:t>Respectfully</w:t>
      </w:r>
      <w:r w:rsidR="004B0DF0" w:rsidRPr="001266A0">
        <w:rPr>
          <w:spacing w:val="-5"/>
        </w:rPr>
        <w:t xml:space="preserve"> </w:t>
      </w:r>
      <w:r w:rsidR="004B0DF0" w:rsidRPr="001266A0">
        <w:t>submitted this</w:t>
      </w:r>
      <w:r w:rsidR="004B0DF0" w:rsidRPr="001266A0">
        <w:rPr>
          <w:spacing w:val="2"/>
        </w:rPr>
        <w:t xml:space="preserve"> </w:t>
      </w:r>
      <w:r>
        <w:rPr>
          <w:spacing w:val="-1"/>
        </w:rPr>
        <w:t>21</w:t>
      </w:r>
      <w:r w:rsidRPr="004925B9">
        <w:rPr>
          <w:spacing w:val="-1"/>
          <w:vertAlign w:val="superscript"/>
        </w:rPr>
        <w:t>st</w:t>
      </w:r>
      <w:r>
        <w:rPr>
          <w:spacing w:val="-1"/>
        </w:rPr>
        <w:t xml:space="preserve"> </w:t>
      </w:r>
      <w:r w:rsidR="004B0DF0" w:rsidRPr="001266A0">
        <w:t>day</w:t>
      </w:r>
      <w:r w:rsidR="004B0DF0" w:rsidRPr="001266A0">
        <w:rPr>
          <w:spacing w:val="-5"/>
        </w:rPr>
        <w:t xml:space="preserve"> </w:t>
      </w:r>
      <w:r w:rsidR="004B0DF0" w:rsidRPr="001266A0">
        <w:t xml:space="preserve">of </w:t>
      </w:r>
      <w:r w:rsidR="00662B81">
        <w:t>Octobe</w:t>
      </w:r>
      <w:r w:rsidR="00EF146E" w:rsidRPr="001266A0">
        <w:t>r</w:t>
      </w:r>
      <w:r w:rsidR="004B0DF0" w:rsidRPr="001266A0">
        <w:t>, 2016.</w:t>
      </w:r>
    </w:p>
    <w:p w:rsidR="009D44EF" w:rsidRDefault="004B0DF0" w:rsidP="00493032">
      <w:pPr>
        <w:spacing w:before="230"/>
        <w:ind w:left="5681"/>
        <w:rPr>
          <w:rFonts w:ascii="Times New Roman" w:eastAsia="Times New Roman" w:hAnsi="Times New Roman" w:cs="Times New Roman"/>
          <w:sz w:val="24"/>
          <w:szCs w:val="24"/>
        </w:rPr>
      </w:pPr>
      <w:r>
        <w:rPr>
          <w:rFonts w:ascii="Times New Roman"/>
          <w:spacing w:val="-1"/>
          <w:sz w:val="24"/>
        </w:rPr>
        <w:t>L</w:t>
      </w:r>
      <w:r>
        <w:rPr>
          <w:rFonts w:ascii="Times New Roman"/>
          <w:spacing w:val="-1"/>
          <w:sz w:val="19"/>
        </w:rPr>
        <w:t>UKAS</w:t>
      </w:r>
      <w:r>
        <w:rPr>
          <w:rFonts w:ascii="Times New Roman"/>
          <w:spacing w:val="-1"/>
          <w:sz w:val="24"/>
        </w:rPr>
        <w:t>,</w:t>
      </w:r>
      <w:r>
        <w:rPr>
          <w:rFonts w:ascii="Times New Roman"/>
          <w:spacing w:val="-17"/>
          <w:sz w:val="24"/>
        </w:rPr>
        <w:t xml:space="preserve"> </w:t>
      </w:r>
      <w:r>
        <w:rPr>
          <w:rFonts w:ascii="Times New Roman"/>
          <w:spacing w:val="-1"/>
          <w:sz w:val="24"/>
        </w:rPr>
        <w:t>N</w:t>
      </w:r>
      <w:r>
        <w:rPr>
          <w:rFonts w:ascii="Times New Roman"/>
          <w:spacing w:val="-1"/>
          <w:sz w:val="19"/>
        </w:rPr>
        <w:t>ACE</w:t>
      </w:r>
      <w:r>
        <w:rPr>
          <w:rFonts w:ascii="Times New Roman"/>
          <w:spacing w:val="-1"/>
          <w:sz w:val="24"/>
        </w:rPr>
        <w:t>,</w:t>
      </w:r>
      <w:r>
        <w:rPr>
          <w:rFonts w:ascii="Times New Roman"/>
          <w:spacing w:val="-17"/>
          <w:sz w:val="24"/>
        </w:rPr>
        <w:t xml:space="preserve"> </w:t>
      </w:r>
      <w:r>
        <w:rPr>
          <w:rFonts w:ascii="Times New Roman"/>
          <w:spacing w:val="-1"/>
          <w:sz w:val="24"/>
        </w:rPr>
        <w:t>G</w:t>
      </w:r>
      <w:r>
        <w:rPr>
          <w:rFonts w:ascii="Times New Roman"/>
          <w:spacing w:val="-1"/>
          <w:sz w:val="19"/>
        </w:rPr>
        <w:t>UTIERREZ</w:t>
      </w:r>
      <w:r>
        <w:rPr>
          <w:rFonts w:ascii="Times New Roman"/>
          <w:spacing w:val="-3"/>
          <w:sz w:val="19"/>
        </w:rPr>
        <w:t xml:space="preserve"> </w:t>
      </w:r>
      <w:r>
        <w:rPr>
          <w:rFonts w:ascii="Times New Roman"/>
          <w:sz w:val="24"/>
        </w:rPr>
        <w:t>&amp;</w:t>
      </w:r>
      <w:r>
        <w:rPr>
          <w:rFonts w:ascii="Times New Roman"/>
          <w:spacing w:val="-19"/>
          <w:sz w:val="24"/>
        </w:rPr>
        <w:t xml:space="preserve"> </w:t>
      </w:r>
      <w:r>
        <w:rPr>
          <w:rFonts w:ascii="Times New Roman"/>
          <w:sz w:val="24"/>
        </w:rPr>
        <w:t>S</w:t>
      </w:r>
      <w:r>
        <w:rPr>
          <w:rFonts w:ascii="Times New Roman"/>
          <w:sz w:val="19"/>
        </w:rPr>
        <w:t>ACHS</w:t>
      </w:r>
      <w:r>
        <w:rPr>
          <w:rFonts w:ascii="Times New Roman"/>
          <w:sz w:val="24"/>
        </w:rPr>
        <w:t>,</w:t>
      </w:r>
      <w:r>
        <w:rPr>
          <w:rFonts w:ascii="Times New Roman"/>
          <w:spacing w:val="-15"/>
          <w:sz w:val="24"/>
        </w:rPr>
        <w:t xml:space="preserve"> </w:t>
      </w:r>
      <w:r>
        <w:rPr>
          <w:rFonts w:ascii="Times New Roman"/>
          <w:spacing w:val="-2"/>
          <w:sz w:val="24"/>
        </w:rPr>
        <w:t>LLP</w:t>
      </w:r>
    </w:p>
    <w:p w:rsidR="00D51107" w:rsidRDefault="00D51107">
      <w:pPr>
        <w:spacing w:line="200" w:lineRule="atLeast"/>
        <w:ind w:left="5674"/>
        <w:rPr>
          <w:rFonts w:ascii="Times New Roman" w:eastAsia="Times New Roman" w:hAnsi="Times New Roman" w:cs="Times New Roman"/>
          <w:sz w:val="20"/>
          <w:szCs w:val="20"/>
        </w:rPr>
      </w:pPr>
    </w:p>
    <w:p w:rsidR="00681ECC" w:rsidRDefault="00597B22">
      <w:pPr>
        <w:spacing w:line="200" w:lineRule="atLeast"/>
        <w:ind w:left="5674"/>
        <w:rPr>
          <w:rFonts w:ascii="Times New Roman" w:eastAsia="Times New Roman" w:hAnsi="Times New Roman" w:cs="Times New Roman"/>
          <w:sz w:val="20"/>
          <w:szCs w:val="20"/>
        </w:rPr>
      </w:pPr>
      <w:r w:rsidRPr="00597B22">
        <w:rPr>
          <w:rFonts w:ascii="Times New Roman" w:eastAsia="Times New Roman" w:hAnsi="Times New Roman" w:cs="Times New Roman"/>
          <w:noProof/>
          <w:sz w:val="20"/>
          <w:szCs w:val="20"/>
        </w:rPr>
        <w:drawing>
          <wp:inline distT="0" distB="0" distL="0" distR="0">
            <wp:extent cx="1933575" cy="390525"/>
            <wp:effectExtent l="0" t="0" r="9525" b="9525"/>
            <wp:docPr id="1" name="Picture 1" descr="K:\WP\ES\Admin\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Admin\Digital Signature - BE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rsidR="00EF146E" w:rsidRDefault="00493032">
      <w:pPr>
        <w:spacing w:line="200" w:lineRule="atLeast"/>
        <w:ind w:left="567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9D44EF" w:rsidRDefault="004B0DF0" w:rsidP="00F71673">
      <w:pPr>
        <w:pStyle w:val="BodyText"/>
        <w:spacing w:before="13"/>
        <w:ind w:left="5681" w:right="1090"/>
      </w:pPr>
      <w:r>
        <w:rPr>
          <w:spacing w:val="-1"/>
        </w:rPr>
        <w:t>Brooks</w:t>
      </w:r>
      <w:r w:rsidR="00F71673">
        <w:rPr>
          <w:spacing w:val="-1"/>
        </w:rPr>
        <w:t xml:space="preserve"> </w:t>
      </w:r>
      <w:r>
        <w:rPr>
          <w:spacing w:val="-1"/>
        </w:rPr>
        <w:t>E.</w:t>
      </w:r>
      <w:r>
        <w:t xml:space="preserve"> </w:t>
      </w:r>
      <w:r>
        <w:rPr>
          <w:spacing w:val="-1"/>
        </w:rPr>
        <w:t>Harlow,</w:t>
      </w:r>
      <w:r>
        <w:t xml:space="preserve"> WSBA 11843</w:t>
      </w:r>
      <w:r>
        <w:rPr>
          <w:spacing w:val="25"/>
        </w:rPr>
        <w:t xml:space="preserve"> </w:t>
      </w:r>
      <w:r>
        <w:rPr>
          <w:spacing w:val="-1"/>
        </w:rPr>
        <w:t>Counsel</w:t>
      </w:r>
      <w:r>
        <w:t xml:space="preserve"> for</w:t>
      </w:r>
      <w:r>
        <w:rPr>
          <w:spacing w:val="-1"/>
        </w:rPr>
        <w:t xml:space="preserve"> </w:t>
      </w:r>
      <w:r>
        <w:t xml:space="preserve">Shuttle </w:t>
      </w:r>
      <w:r>
        <w:rPr>
          <w:spacing w:val="-1"/>
        </w:rPr>
        <w:t>Express,</w:t>
      </w:r>
      <w:r>
        <w:rPr>
          <w:spacing w:val="2"/>
        </w:rPr>
        <w:t xml:space="preserve"> </w:t>
      </w:r>
      <w:r>
        <w:rPr>
          <w:spacing w:val="-2"/>
        </w:rPr>
        <w:t>Inc.</w:t>
      </w:r>
      <w:r>
        <w:rPr>
          <w:spacing w:val="27"/>
        </w:rPr>
        <w:t xml:space="preserve"> </w:t>
      </w:r>
      <w:r>
        <w:t xml:space="preserve">8300 </w:t>
      </w:r>
      <w:r>
        <w:rPr>
          <w:spacing w:val="-1"/>
        </w:rPr>
        <w:t>Greensboro</w:t>
      </w:r>
      <w:r>
        <w:t xml:space="preserve"> </w:t>
      </w:r>
      <w:r>
        <w:rPr>
          <w:spacing w:val="-1"/>
        </w:rPr>
        <w:t>Dr.</w:t>
      </w:r>
      <w:r>
        <w:t xml:space="preserve"> Suite 1200</w:t>
      </w:r>
    </w:p>
    <w:p w:rsidR="009D44EF" w:rsidRDefault="004B0DF0">
      <w:pPr>
        <w:pStyle w:val="BodyText"/>
        <w:spacing w:line="275" w:lineRule="exact"/>
        <w:ind w:left="5681"/>
        <w:jc w:val="both"/>
      </w:pPr>
      <w:r>
        <w:rPr>
          <w:spacing w:val="-1"/>
        </w:rPr>
        <w:t>McLean,</w:t>
      </w:r>
      <w:r>
        <w:t xml:space="preserve"> VA 22102</w:t>
      </w:r>
    </w:p>
    <w:p w:rsidR="009D44EF" w:rsidRDefault="004B0DF0">
      <w:pPr>
        <w:pStyle w:val="BodyText"/>
        <w:spacing w:line="275" w:lineRule="exact"/>
        <w:ind w:left="5681"/>
        <w:jc w:val="both"/>
      </w:pPr>
      <w:r>
        <w:rPr>
          <w:spacing w:val="-1"/>
        </w:rPr>
        <w:t>Phone:</w:t>
      </w:r>
      <w:r>
        <w:t xml:space="preserve">  </w:t>
      </w:r>
      <w:r>
        <w:rPr>
          <w:spacing w:val="-1"/>
        </w:rPr>
        <w:t>703-584-8680</w:t>
      </w:r>
    </w:p>
    <w:p w:rsidR="009D44EF" w:rsidRDefault="004B0DF0">
      <w:pPr>
        <w:pStyle w:val="BodyText"/>
        <w:ind w:left="5681"/>
        <w:jc w:val="both"/>
      </w:pPr>
      <w:r>
        <w:rPr>
          <w:spacing w:val="-1"/>
        </w:rPr>
        <w:t>Fax:</w:t>
      </w:r>
      <w:r>
        <w:t xml:space="preserve">  </w:t>
      </w:r>
      <w:r>
        <w:rPr>
          <w:spacing w:val="-1"/>
        </w:rPr>
        <w:t>703-584-8696</w:t>
      </w:r>
    </w:p>
    <w:p w:rsidR="006F6DC4" w:rsidRDefault="00895710">
      <w:pPr>
        <w:pStyle w:val="BodyText"/>
        <w:ind w:left="5681"/>
        <w:jc w:val="both"/>
        <w:rPr>
          <w:spacing w:val="-1"/>
        </w:rPr>
      </w:pPr>
      <w:hyperlink r:id="rId10">
        <w:r w:rsidR="004B0DF0">
          <w:rPr>
            <w:spacing w:val="-1"/>
          </w:rPr>
          <w:t>bharlow@fcclaw.com</w:t>
        </w:r>
      </w:hyperlink>
    </w:p>
    <w:p w:rsidR="006F6DC4" w:rsidRDefault="006F6DC4">
      <w:pPr>
        <w:rPr>
          <w:rFonts w:ascii="Times New Roman" w:eastAsia="Times New Roman" w:hAnsi="Times New Roman"/>
          <w:spacing w:val="-1"/>
          <w:sz w:val="24"/>
          <w:szCs w:val="24"/>
        </w:rPr>
      </w:pPr>
      <w:r>
        <w:rPr>
          <w:spacing w:val="-1"/>
        </w:rPr>
        <w:br w:type="page"/>
      </w:r>
    </w:p>
    <w:p w:rsidR="006F6DC4" w:rsidRPr="00237656" w:rsidRDefault="006F6DC4" w:rsidP="006F6DC4">
      <w:pPr>
        <w:widowControl/>
        <w:kinsoku w:val="0"/>
        <w:overflowPunct w:val="0"/>
        <w:autoSpaceDE w:val="0"/>
        <w:autoSpaceDN w:val="0"/>
        <w:adjustRightInd w:val="0"/>
        <w:spacing w:before="29"/>
        <w:jc w:val="center"/>
        <w:rPr>
          <w:rFonts w:ascii="Times New Roman" w:hAnsi="Times New Roman" w:cs="Times New Roman"/>
          <w:sz w:val="24"/>
          <w:szCs w:val="24"/>
        </w:rPr>
      </w:pPr>
      <w:r w:rsidRPr="00237656">
        <w:rPr>
          <w:rFonts w:ascii="Times New Roman" w:hAnsi="Times New Roman" w:cs="Times New Roman"/>
          <w:b/>
          <w:bCs/>
          <w:spacing w:val="-1"/>
          <w:sz w:val="24"/>
          <w:szCs w:val="24"/>
        </w:rPr>
        <w:lastRenderedPageBreak/>
        <w:t>CERTIFICATE</w:t>
      </w:r>
      <w:r w:rsidRPr="00237656">
        <w:rPr>
          <w:rFonts w:ascii="Times New Roman" w:hAnsi="Times New Roman" w:cs="Times New Roman"/>
          <w:b/>
          <w:bCs/>
          <w:sz w:val="24"/>
          <w:szCs w:val="24"/>
        </w:rPr>
        <w:t xml:space="preserve"> </w:t>
      </w:r>
      <w:r w:rsidRPr="00237656">
        <w:rPr>
          <w:rFonts w:ascii="Times New Roman" w:hAnsi="Times New Roman" w:cs="Times New Roman"/>
          <w:b/>
          <w:bCs/>
          <w:spacing w:val="1"/>
          <w:sz w:val="24"/>
          <w:szCs w:val="24"/>
        </w:rPr>
        <w:t>OF</w:t>
      </w:r>
      <w:r w:rsidRPr="00237656">
        <w:rPr>
          <w:rFonts w:ascii="Times New Roman" w:hAnsi="Times New Roman" w:cs="Times New Roman"/>
          <w:b/>
          <w:bCs/>
          <w:spacing w:val="-3"/>
          <w:sz w:val="24"/>
          <w:szCs w:val="24"/>
        </w:rPr>
        <w:t xml:space="preserve"> </w:t>
      </w:r>
      <w:r w:rsidRPr="00237656">
        <w:rPr>
          <w:rFonts w:ascii="Times New Roman" w:hAnsi="Times New Roman" w:cs="Times New Roman"/>
          <w:b/>
          <w:bCs/>
          <w:spacing w:val="-1"/>
          <w:sz w:val="24"/>
          <w:szCs w:val="24"/>
        </w:rPr>
        <w:t>SERVICE</w:t>
      </w:r>
    </w:p>
    <w:p w:rsidR="006F6DC4" w:rsidRPr="00237656" w:rsidRDefault="006F6DC4" w:rsidP="006F6DC4">
      <w:pPr>
        <w:widowControl/>
        <w:kinsoku w:val="0"/>
        <w:overflowPunct w:val="0"/>
        <w:autoSpaceDE w:val="0"/>
        <w:autoSpaceDN w:val="0"/>
        <w:adjustRightInd w:val="0"/>
        <w:spacing w:before="3"/>
        <w:ind w:firstLine="753"/>
        <w:rPr>
          <w:rFonts w:ascii="Times New Roman" w:hAnsi="Times New Roman" w:cs="Times New Roman"/>
          <w:b/>
          <w:bCs/>
        </w:rPr>
      </w:pPr>
    </w:p>
    <w:p w:rsidR="006F6DC4" w:rsidRPr="00237656" w:rsidRDefault="006F6DC4" w:rsidP="006F6DC4">
      <w:pPr>
        <w:widowControl/>
        <w:kinsoku w:val="0"/>
        <w:overflowPunct w:val="0"/>
        <w:autoSpaceDE w:val="0"/>
        <w:autoSpaceDN w:val="0"/>
        <w:adjustRightInd w:val="0"/>
        <w:ind w:left="230" w:right="389" w:firstLine="753"/>
        <w:rPr>
          <w:rFonts w:ascii="Times New Roman" w:hAnsi="Times New Roman" w:cs="Times New Roman"/>
          <w:sz w:val="24"/>
          <w:szCs w:val="24"/>
        </w:rPr>
      </w:pPr>
      <w:r w:rsidRPr="00237656">
        <w:rPr>
          <w:rFonts w:ascii="Times New Roman" w:hAnsi="Times New Roman" w:cs="Times New Roman"/>
          <w:sz w:val="24"/>
          <w:szCs w:val="24"/>
        </w:rPr>
        <w:t>I</w:t>
      </w:r>
      <w:r w:rsidRPr="00237656">
        <w:rPr>
          <w:rFonts w:ascii="Times New Roman" w:hAnsi="Times New Roman" w:cs="Times New Roman"/>
          <w:spacing w:val="-6"/>
          <w:sz w:val="24"/>
          <w:szCs w:val="24"/>
        </w:rPr>
        <w:t xml:space="preserve"> </w:t>
      </w:r>
      <w:r w:rsidRPr="00237656">
        <w:rPr>
          <w:rFonts w:ascii="Times New Roman" w:hAnsi="Times New Roman" w:cs="Times New Roman"/>
          <w:sz w:val="24"/>
          <w:szCs w:val="24"/>
        </w:rPr>
        <w:t>hereby</w:t>
      </w:r>
      <w:r w:rsidRPr="00237656">
        <w:rPr>
          <w:rFonts w:ascii="Times New Roman" w:hAnsi="Times New Roman" w:cs="Times New Roman"/>
          <w:spacing w:val="-7"/>
          <w:sz w:val="24"/>
          <w:szCs w:val="24"/>
        </w:rPr>
        <w:t xml:space="preserve"> </w:t>
      </w:r>
      <w:r w:rsidRPr="00237656">
        <w:rPr>
          <w:rFonts w:ascii="Times New Roman" w:hAnsi="Times New Roman" w:cs="Times New Roman"/>
          <w:sz w:val="24"/>
          <w:szCs w:val="24"/>
        </w:rPr>
        <w:t>certify</w:t>
      </w:r>
      <w:r w:rsidRPr="00237656">
        <w:rPr>
          <w:rFonts w:ascii="Times New Roman" w:hAnsi="Times New Roman" w:cs="Times New Roman"/>
          <w:spacing w:val="-9"/>
          <w:sz w:val="24"/>
          <w:szCs w:val="24"/>
        </w:rPr>
        <w:t xml:space="preserve"> </w:t>
      </w:r>
      <w:r w:rsidRPr="00237656">
        <w:rPr>
          <w:rFonts w:ascii="Times New Roman" w:hAnsi="Times New Roman" w:cs="Times New Roman"/>
          <w:sz w:val="24"/>
          <w:szCs w:val="24"/>
        </w:rPr>
        <w:t>that on</w:t>
      </w:r>
      <w:r w:rsidRPr="00237656">
        <w:rPr>
          <w:rFonts w:ascii="Times New Roman" w:hAnsi="Times New Roman" w:cs="Times New Roman"/>
          <w:spacing w:val="-10"/>
          <w:sz w:val="24"/>
          <w:szCs w:val="24"/>
        </w:rPr>
        <w:t xml:space="preserve"> </w:t>
      </w:r>
      <w:r w:rsidR="00DC15CA">
        <w:rPr>
          <w:rFonts w:ascii="Times New Roman" w:hAnsi="Times New Roman" w:cs="Times New Roman"/>
          <w:spacing w:val="-1"/>
          <w:sz w:val="24"/>
          <w:szCs w:val="24"/>
        </w:rPr>
        <w:t>October 21,</w:t>
      </w:r>
      <w:r w:rsidRPr="00237656">
        <w:rPr>
          <w:rFonts w:ascii="Times New Roman" w:hAnsi="Times New Roman" w:cs="Times New Roman"/>
          <w:sz w:val="24"/>
          <w:szCs w:val="24"/>
        </w:rPr>
        <w:t xml:space="preserve"> 2016,</w:t>
      </w:r>
      <w:r w:rsidRPr="00237656">
        <w:rPr>
          <w:rFonts w:ascii="Times New Roman" w:hAnsi="Times New Roman" w:cs="Times New Roman"/>
          <w:spacing w:val="2"/>
          <w:sz w:val="24"/>
          <w:szCs w:val="24"/>
        </w:rPr>
        <w:t xml:space="preserve"> </w:t>
      </w:r>
      <w:r w:rsidRPr="00237656">
        <w:rPr>
          <w:rFonts w:ascii="Times New Roman" w:hAnsi="Times New Roman" w:cs="Times New Roman"/>
          <w:sz w:val="24"/>
          <w:szCs w:val="24"/>
        </w:rPr>
        <w:t>I</w:t>
      </w:r>
      <w:r w:rsidRPr="00237656">
        <w:rPr>
          <w:rFonts w:ascii="Times New Roman" w:hAnsi="Times New Roman" w:cs="Times New Roman"/>
          <w:spacing w:val="-8"/>
          <w:sz w:val="24"/>
          <w:szCs w:val="24"/>
        </w:rPr>
        <w:t xml:space="preserve"> </w:t>
      </w:r>
      <w:r w:rsidRPr="00237656">
        <w:rPr>
          <w:rFonts w:ascii="Times New Roman" w:hAnsi="Times New Roman" w:cs="Times New Roman"/>
          <w:spacing w:val="-1"/>
          <w:sz w:val="24"/>
          <w:szCs w:val="24"/>
        </w:rPr>
        <w:t>served</w:t>
      </w:r>
      <w:r w:rsidRPr="00237656">
        <w:rPr>
          <w:rFonts w:ascii="Times New Roman" w:hAnsi="Times New Roman" w:cs="Times New Roman"/>
          <w:sz w:val="24"/>
          <w:szCs w:val="24"/>
        </w:rPr>
        <w:t xml:space="preserve"> a</w:t>
      </w:r>
      <w:r w:rsidRPr="00237656">
        <w:rPr>
          <w:rFonts w:ascii="Times New Roman" w:hAnsi="Times New Roman" w:cs="Times New Roman"/>
          <w:spacing w:val="-1"/>
          <w:sz w:val="24"/>
          <w:szCs w:val="24"/>
        </w:rPr>
        <w:t xml:space="preserve"> </w:t>
      </w:r>
      <w:r w:rsidRPr="00237656">
        <w:rPr>
          <w:rFonts w:ascii="Times New Roman" w:hAnsi="Times New Roman" w:cs="Times New Roman"/>
          <w:sz w:val="24"/>
          <w:szCs w:val="24"/>
        </w:rPr>
        <w:t>copy</w:t>
      </w:r>
      <w:r w:rsidRPr="00237656">
        <w:rPr>
          <w:rFonts w:ascii="Times New Roman" w:hAnsi="Times New Roman" w:cs="Times New Roman"/>
          <w:spacing w:val="-12"/>
          <w:sz w:val="24"/>
          <w:szCs w:val="24"/>
        </w:rPr>
        <w:t xml:space="preserve"> </w:t>
      </w:r>
      <w:r w:rsidRPr="00237656">
        <w:rPr>
          <w:rFonts w:ascii="Times New Roman" w:hAnsi="Times New Roman" w:cs="Times New Roman"/>
          <w:sz w:val="24"/>
          <w:szCs w:val="24"/>
        </w:rPr>
        <w:t>the</w:t>
      </w:r>
      <w:r w:rsidRPr="00237656">
        <w:rPr>
          <w:rFonts w:ascii="Times New Roman" w:hAnsi="Times New Roman" w:cs="Times New Roman"/>
          <w:spacing w:val="-1"/>
          <w:sz w:val="24"/>
          <w:szCs w:val="24"/>
        </w:rPr>
        <w:t xml:space="preserve"> foregoing</w:t>
      </w:r>
      <w:r w:rsidRPr="00237656">
        <w:rPr>
          <w:rFonts w:ascii="Times New Roman" w:hAnsi="Times New Roman" w:cs="Times New Roman"/>
          <w:spacing w:val="-4"/>
          <w:sz w:val="24"/>
          <w:szCs w:val="24"/>
        </w:rPr>
        <w:t xml:space="preserve"> </w:t>
      </w:r>
      <w:r w:rsidRPr="00237656">
        <w:rPr>
          <w:rFonts w:ascii="Times New Roman" w:hAnsi="Times New Roman" w:cs="Times New Roman"/>
          <w:spacing w:val="-1"/>
          <w:sz w:val="24"/>
          <w:szCs w:val="24"/>
        </w:rPr>
        <w:t>document</w:t>
      </w:r>
      <w:r w:rsidRPr="00237656">
        <w:rPr>
          <w:rFonts w:ascii="Times New Roman" w:hAnsi="Times New Roman" w:cs="Times New Roman"/>
          <w:spacing w:val="57"/>
          <w:sz w:val="24"/>
          <w:szCs w:val="24"/>
        </w:rPr>
        <w:t xml:space="preserve"> </w:t>
      </w:r>
      <w:r w:rsidRPr="00237656">
        <w:rPr>
          <w:rFonts w:ascii="Times New Roman" w:hAnsi="Times New Roman" w:cs="Times New Roman"/>
          <w:sz w:val="24"/>
          <w:szCs w:val="24"/>
        </w:rPr>
        <w:t>via</w:t>
      </w:r>
      <w:r w:rsidRPr="00237656">
        <w:rPr>
          <w:rFonts w:ascii="Times New Roman" w:hAnsi="Times New Roman" w:cs="Times New Roman"/>
          <w:spacing w:val="1"/>
          <w:sz w:val="24"/>
          <w:szCs w:val="24"/>
        </w:rPr>
        <w:t xml:space="preserve"> </w:t>
      </w:r>
      <w:r w:rsidRPr="00237656">
        <w:rPr>
          <w:rFonts w:ascii="Times New Roman" w:hAnsi="Times New Roman" w:cs="Times New Roman"/>
          <w:spacing w:val="-1"/>
          <w:sz w:val="24"/>
          <w:szCs w:val="24"/>
        </w:rPr>
        <w:t>email,</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with</w:t>
      </w:r>
      <w:r w:rsidRPr="00237656">
        <w:rPr>
          <w:rFonts w:ascii="Times New Roman" w:hAnsi="Times New Roman" w:cs="Times New Roman"/>
          <w:sz w:val="24"/>
          <w:szCs w:val="24"/>
        </w:rPr>
        <w:t xml:space="preserve"> a copy</w:t>
      </w:r>
      <w:r w:rsidRPr="00237656">
        <w:rPr>
          <w:rFonts w:ascii="Times New Roman" w:hAnsi="Times New Roman" w:cs="Times New Roman"/>
          <w:spacing w:val="-9"/>
          <w:sz w:val="24"/>
          <w:szCs w:val="24"/>
        </w:rPr>
        <w:t xml:space="preserve"> </w:t>
      </w:r>
      <w:r w:rsidRPr="00237656">
        <w:rPr>
          <w:rFonts w:ascii="Times New Roman" w:hAnsi="Times New Roman" w:cs="Times New Roman"/>
          <w:sz w:val="24"/>
          <w:szCs w:val="24"/>
        </w:rPr>
        <w:t>via</w:t>
      </w:r>
      <w:r w:rsidRPr="00237656">
        <w:rPr>
          <w:rFonts w:ascii="Times New Roman" w:hAnsi="Times New Roman" w:cs="Times New Roman"/>
          <w:spacing w:val="-1"/>
          <w:sz w:val="24"/>
          <w:szCs w:val="24"/>
        </w:rPr>
        <w:t xml:space="preserve"> first</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class</w:t>
      </w:r>
      <w:r w:rsidRPr="00237656">
        <w:rPr>
          <w:rFonts w:ascii="Times New Roman" w:hAnsi="Times New Roman" w:cs="Times New Roman"/>
          <w:sz w:val="24"/>
          <w:szCs w:val="24"/>
        </w:rPr>
        <w:t xml:space="preserve"> mail, </w:t>
      </w:r>
      <w:r w:rsidRPr="00237656">
        <w:rPr>
          <w:rFonts w:ascii="Times New Roman" w:hAnsi="Times New Roman" w:cs="Times New Roman"/>
          <w:spacing w:val="-2"/>
          <w:sz w:val="24"/>
          <w:szCs w:val="24"/>
        </w:rPr>
        <w:t>postage</w:t>
      </w:r>
      <w:r w:rsidRPr="00237656">
        <w:rPr>
          <w:rFonts w:ascii="Times New Roman" w:hAnsi="Times New Roman" w:cs="Times New Roman"/>
          <w:spacing w:val="-1"/>
          <w:sz w:val="24"/>
          <w:szCs w:val="24"/>
        </w:rPr>
        <w:t xml:space="preserve"> prepaid,</w:t>
      </w:r>
      <w:r w:rsidRPr="00237656">
        <w:rPr>
          <w:rFonts w:ascii="Times New Roman" w:hAnsi="Times New Roman" w:cs="Times New Roman"/>
          <w:sz w:val="24"/>
          <w:szCs w:val="24"/>
        </w:rPr>
        <w:t xml:space="preserve"> to:</w:t>
      </w:r>
    </w:p>
    <w:p w:rsidR="006F6DC4" w:rsidRPr="00237656" w:rsidRDefault="006F6DC4" w:rsidP="006F6DC4">
      <w:pPr>
        <w:widowControl/>
        <w:kinsoku w:val="0"/>
        <w:overflowPunct w:val="0"/>
        <w:autoSpaceDE w:val="0"/>
        <w:autoSpaceDN w:val="0"/>
        <w:adjustRightInd w:val="0"/>
        <w:ind w:firstLine="753"/>
        <w:rPr>
          <w:rFonts w:ascii="Times New Roman" w:hAnsi="Times New Roman" w:cs="Times New Roman"/>
          <w:sz w:val="20"/>
          <w:szCs w:val="20"/>
        </w:rPr>
      </w:pPr>
    </w:p>
    <w:p w:rsidR="006F6DC4" w:rsidRPr="00237656" w:rsidRDefault="006F6DC4" w:rsidP="006F6DC4">
      <w:pPr>
        <w:widowControl/>
        <w:kinsoku w:val="0"/>
        <w:overflowPunct w:val="0"/>
        <w:autoSpaceDE w:val="0"/>
        <w:autoSpaceDN w:val="0"/>
        <w:adjustRightInd w:val="0"/>
        <w:spacing w:line="200" w:lineRule="atLeast"/>
        <w:ind w:left="114" w:firstLine="753"/>
        <w:rPr>
          <w:rFonts w:ascii="Times New Roman" w:hAnsi="Times New Roman" w:cs="Times New Roman"/>
          <w:sz w:val="20"/>
          <w:szCs w:val="20"/>
        </w:rPr>
      </w:pPr>
      <w:r w:rsidRPr="00237656">
        <w:rPr>
          <w:rFonts w:ascii="Times New Roman" w:hAnsi="Times New Roman" w:cs="Times New Roman"/>
          <w:noProof/>
          <w:sz w:val="20"/>
          <w:szCs w:val="20"/>
        </w:rPr>
        <mc:AlternateContent>
          <mc:Choice Requires="wpg">
            <w:drawing>
              <wp:inline distT="0" distB="0" distL="0" distR="0" wp14:anchorId="3AC55DDD" wp14:editId="40AEABD8">
                <wp:extent cx="5855970" cy="1591310"/>
                <wp:effectExtent l="9525" t="9525" r="1905"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1591310"/>
                          <a:chOff x="0" y="0"/>
                          <a:chExt cx="9222" cy="2506"/>
                        </a:xfrm>
                      </wpg:grpSpPr>
                      <wps:wsp>
                        <wps:cNvPr id="8" name="Freeform 3"/>
                        <wps:cNvSpPr>
                          <a:spLocks/>
                        </wps:cNvSpPr>
                        <wps:spPr bwMode="auto">
                          <a:xfrm>
                            <a:off x="5" y="5"/>
                            <a:ext cx="9211" cy="20"/>
                          </a:xfrm>
                          <a:custGeom>
                            <a:avLst/>
                            <a:gdLst>
                              <a:gd name="T0" fmla="*/ 0 w 9211"/>
                              <a:gd name="T1" fmla="*/ 0 h 20"/>
                              <a:gd name="T2" fmla="*/ 9210 w 9211"/>
                              <a:gd name="T3" fmla="*/ 0 h 20"/>
                            </a:gdLst>
                            <a:ahLst/>
                            <a:cxnLst>
                              <a:cxn ang="0">
                                <a:pos x="T0" y="T1"/>
                              </a:cxn>
                              <a:cxn ang="0">
                                <a:pos x="T2" y="T3"/>
                              </a:cxn>
                            </a:cxnLst>
                            <a:rect l="0" t="0" r="r" b="b"/>
                            <a:pathLst>
                              <a:path w="9211" h="20">
                                <a:moveTo>
                                  <a:pt x="0" y="0"/>
                                </a:moveTo>
                                <a:lnTo>
                                  <a:pt x="92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0"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5" y="2499"/>
                            <a:ext cx="9211" cy="20"/>
                          </a:xfrm>
                          <a:custGeom>
                            <a:avLst/>
                            <a:gdLst>
                              <a:gd name="T0" fmla="*/ 0 w 9211"/>
                              <a:gd name="T1" fmla="*/ 0 h 20"/>
                              <a:gd name="T2" fmla="*/ 9210 w 9211"/>
                              <a:gd name="T3" fmla="*/ 0 h 20"/>
                            </a:gdLst>
                            <a:ahLst/>
                            <a:cxnLst>
                              <a:cxn ang="0">
                                <a:pos x="T0" y="T1"/>
                              </a:cxn>
                              <a:cxn ang="0">
                                <a:pos x="T2" y="T3"/>
                              </a:cxn>
                            </a:cxnLst>
                            <a:rect l="0" t="0" r="r" b="b"/>
                            <a:pathLst>
                              <a:path w="9211" h="2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4350"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9211"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1" y="6"/>
                            <a:ext cx="434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DC4" w:rsidRDefault="006F6DC4" w:rsidP="006F6DC4">
                              <w:pPr>
                                <w:pStyle w:val="BodyText"/>
                                <w:kinsoku w:val="0"/>
                                <w:overflowPunct w:val="0"/>
                                <w:spacing w:before="8"/>
                                <w:ind w:left="0"/>
                                <w:rPr>
                                  <w:sz w:val="23"/>
                                  <w:szCs w:val="23"/>
                                </w:rPr>
                              </w:pPr>
                            </w:p>
                            <w:p w:rsidR="006F6DC4" w:rsidRDefault="006F6DC4" w:rsidP="006F6DC4">
                              <w:pPr>
                                <w:pStyle w:val="BodyText"/>
                                <w:kinsoku w:val="0"/>
                                <w:overflowPunct w:val="0"/>
                                <w:ind w:left="107"/>
                                <w:rPr>
                                  <w:spacing w:val="-1"/>
                                </w:rPr>
                              </w:pPr>
                              <w:r>
                                <w:t xml:space="preserve">Julian </w:t>
                              </w:r>
                              <w:r>
                                <w:rPr>
                                  <w:spacing w:val="-1"/>
                                </w:rPr>
                                <w:t>Beattie</w:t>
                              </w:r>
                            </w:p>
                            <w:p w:rsidR="006F6DC4" w:rsidRDefault="006F6DC4" w:rsidP="006F6DC4">
                              <w:pPr>
                                <w:pStyle w:val="BodyText"/>
                                <w:kinsoku w:val="0"/>
                                <w:overflowPunct w:val="0"/>
                                <w:ind w:left="107" w:right="690"/>
                              </w:pPr>
                              <w:r>
                                <w:rPr>
                                  <w:spacing w:val="-1"/>
                                </w:rPr>
                                <w:t xml:space="preserve">Office </w:t>
                              </w:r>
                              <w:r>
                                <w:rPr>
                                  <w:spacing w:val="1"/>
                                </w:rPr>
                                <w:t>of</w:t>
                              </w:r>
                              <w:r>
                                <w:t xml:space="preserve"> the</w:t>
                              </w:r>
                              <w:r>
                                <w:rPr>
                                  <w:spacing w:val="-2"/>
                                </w:rPr>
                                <w:t xml:space="preserve"> </w:t>
                              </w:r>
                              <w:r>
                                <w:t>Attorney</w:t>
                              </w:r>
                              <w:r>
                                <w:rPr>
                                  <w:spacing w:val="-3"/>
                                </w:rPr>
                                <w:t xml:space="preserve"> </w:t>
                              </w:r>
                              <w:r>
                                <w:rPr>
                                  <w:spacing w:val="-1"/>
                                </w:rPr>
                                <w:t>General</w:t>
                              </w:r>
                              <w:r>
                                <w:rPr>
                                  <w:spacing w:val="29"/>
                                </w:rPr>
                                <w:t xml:space="preserve"> </w:t>
                              </w:r>
                              <w:r>
                                <w:rPr>
                                  <w:spacing w:val="-1"/>
                                </w:rPr>
                                <w:t>Utilities</w:t>
                              </w:r>
                              <w:r>
                                <w:t xml:space="preserve"> </w:t>
                              </w:r>
                              <w:r>
                                <w:rPr>
                                  <w:spacing w:val="-1"/>
                                </w:rPr>
                                <w:t>and</w:t>
                              </w:r>
                              <w:r>
                                <w:t xml:space="preserve"> </w:t>
                              </w:r>
                              <w:r>
                                <w:rPr>
                                  <w:spacing w:val="-1"/>
                                </w:rPr>
                                <w:t>Transportation</w:t>
                              </w:r>
                              <w:r>
                                <w:t xml:space="preserve"> Division</w:t>
                              </w:r>
                              <w:r>
                                <w:rPr>
                                  <w:spacing w:val="43"/>
                                </w:rPr>
                                <w:t xml:space="preserve"> </w:t>
                              </w:r>
                              <w:r>
                                <w:t xml:space="preserve">1400 S. </w:t>
                              </w:r>
                              <w:r>
                                <w:rPr>
                                  <w:spacing w:val="-1"/>
                                </w:rPr>
                                <w:t>Evergreen</w:t>
                              </w:r>
                              <w:r>
                                <w:t xml:space="preserve"> </w:t>
                              </w:r>
                              <w:r>
                                <w:rPr>
                                  <w:spacing w:val="-1"/>
                                </w:rPr>
                                <w:t>Park</w:t>
                              </w:r>
                              <w:r>
                                <w:rPr>
                                  <w:spacing w:val="1"/>
                                </w:rPr>
                                <w:t xml:space="preserve"> </w:t>
                              </w:r>
                              <w:r>
                                <w:rPr>
                                  <w:spacing w:val="-1"/>
                                </w:rPr>
                                <w:t>Dr.</w:t>
                              </w:r>
                              <w:r>
                                <w:t xml:space="preserve"> SW</w:t>
                              </w:r>
                            </w:p>
                            <w:p w:rsidR="006F6DC4" w:rsidRDefault="006F6DC4" w:rsidP="006F6DC4">
                              <w:pPr>
                                <w:pStyle w:val="BodyText"/>
                                <w:kinsoku w:val="0"/>
                                <w:overflowPunct w:val="0"/>
                                <w:ind w:left="107"/>
                              </w:pPr>
                              <w:r>
                                <w:t xml:space="preserve">PO </w:t>
                              </w:r>
                              <w:r>
                                <w:rPr>
                                  <w:spacing w:val="-1"/>
                                </w:rPr>
                                <w:t>Box</w:t>
                              </w:r>
                              <w:r>
                                <w:rPr>
                                  <w:spacing w:val="2"/>
                                </w:rPr>
                                <w:t xml:space="preserve"> </w:t>
                              </w:r>
                              <w:r>
                                <w:t>40128</w:t>
                              </w:r>
                            </w:p>
                            <w:p w:rsidR="006F6DC4" w:rsidRDefault="006F6DC4" w:rsidP="006F6DC4">
                              <w:pPr>
                                <w:pStyle w:val="BodyText"/>
                                <w:kinsoku w:val="0"/>
                                <w:overflowPunct w:val="0"/>
                                <w:ind w:left="107"/>
                              </w:pPr>
                              <w:r>
                                <w:rPr>
                                  <w:spacing w:val="-1"/>
                                </w:rPr>
                                <w:t>Olympia,</w:t>
                              </w:r>
                              <w:r>
                                <w:t xml:space="preserve"> WA  98504-0128</w:t>
                              </w:r>
                            </w:p>
                            <w:p w:rsidR="006F6DC4" w:rsidRDefault="006F6DC4" w:rsidP="006F6DC4">
                              <w:pPr>
                                <w:pStyle w:val="BodyText"/>
                                <w:kinsoku w:val="0"/>
                                <w:overflowPunct w:val="0"/>
                                <w:ind w:left="107"/>
                                <w:rPr>
                                  <w:spacing w:val="-1"/>
                                </w:rPr>
                              </w:pPr>
                              <w:r>
                                <w:t>(360)</w:t>
                              </w:r>
                              <w:r>
                                <w:rPr>
                                  <w:spacing w:val="-2"/>
                                </w:rPr>
                                <w:t xml:space="preserve"> </w:t>
                              </w:r>
                              <w:r>
                                <w:rPr>
                                  <w:spacing w:val="-1"/>
                                </w:rPr>
                                <w:t>664-1192</w:t>
                              </w:r>
                            </w:p>
                            <w:p w:rsidR="006F6DC4" w:rsidRDefault="006F6DC4" w:rsidP="006F6DC4">
                              <w:pPr>
                                <w:pStyle w:val="BodyText"/>
                                <w:kinsoku w:val="0"/>
                                <w:overflowPunct w:val="0"/>
                                <w:ind w:left="107"/>
                                <w:rPr>
                                  <w:spacing w:val="-1"/>
                                </w:rPr>
                              </w:pPr>
                              <w:r>
                                <w:rPr>
                                  <w:spacing w:val="-1"/>
                                </w:rPr>
                                <w:t>Ema</w:t>
                              </w:r>
                              <w:hyperlink r:id="rId11" w:history="1">
                                <w:r>
                                  <w:rPr>
                                    <w:spacing w:val="-1"/>
                                  </w:rPr>
                                  <w:t>il:</w:t>
                                </w:r>
                                <w:r>
                                  <w:t xml:space="preserve"> </w:t>
                                </w:r>
                                <w:r>
                                  <w:rPr>
                                    <w:spacing w:val="-1"/>
                                  </w:rPr>
                                  <w:t>jbeattie@utc.wa.gov</w:t>
                                </w:r>
                              </w:hyperlink>
                            </w:p>
                          </w:txbxContent>
                        </wps:txbx>
                        <wps:bodyPr rot="0" vert="horz" wrap="square" lIns="0" tIns="0" rIns="0" bIns="0" anchor="t" anchorCtr="0" upright="1">
                          <a:noAutofit/>
                        </wps:bodyPr>
                      </wps:wsp>
                      <wps:wsp>
                        <wps:cNvPr id="14" name="Text Box 9"/>
                        <wps:cNvSpPr txBox="1">
                          <a:spLocks noChangeArrowheads="1"/>
                        </wps:cNvSpPr>
                        <wps:spPr bwMode="auto">
                          <a:xfrm>
                            <a:off x="4350" y="6"/>
                            <a:ext cx="4861"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5CA" w:rsidRDefault="00DC15CA" w:rsidP="006F6DC4">
                              <w:pPr>
                                <w:pStyle w:val="BodyText"/>
                                <w:kinsoku w:val="0"/>
                                <w:overflowPunct w:val="0"/>
                                <w:ind w:left="107" w:right="2925"/>
                                <w:rPr>
                                  <w:spacing w:val="-1"/>
                                </w:rPr>
                              </w:pPr>
                            </w:p>
                            <w:p w:rsidR="006F6DC4" w:rsidRDefault="006F6DC4" w:rsidP="006F6DC4">
                              <w:pPr>
                                <w:pStyle w:val="BodyText"/>
                                <w:kinsoku w:val="0"/>
                                <w:overflowPunct w:val="0"/>
                                <w:ind w:left="107" w:right="2925"/>
                                <w:rPr>
                                  <w:spacing w:val="-1"/>
                                </w:rPr>
                              </w:pPr>
                              <w:r>
                                <w:rPr>
                                  <w:spacing w:val="-1"/>
                                </w:rPr>
                                <w:t>David</w:t>
                              </w:r>
                              <w:r>
                                <w:t xml:space="preserve"> W. Wiley</w:t>
                              </w:r>
                              <w:r>
                                <w:rPr>
                                  <w:spacing w:val="26"/>
                                </w:rPr>
                                <w:t xml:space="preserve"> </w:t>
                              </w:r>
                              <w:r>
                                <w:t xml:space="preserve">Williams </w:t>
                              </w:r>
                              <w:proofErr w:type="spellStart"/>
                              <w:r>
                                <w:rPr>
                                  <w:spacing w:val="-1"/>
                                </w:rPr>
                                <w:t>Kastner</w:t>
                              </w:r>
                              <w:proofErr w:type="spellEnd"/>
                              <w:r>
                                <w:rPr>
                                  <w:spacing w:val="26"/>
                                </w:rPr>
                                <w:t xml:space="preserve"> </w:t>
                              </w:r>
                              <w:r>
                                <w:rPr>
                                  <w:spacing w:val="-1"/>
                                </w:rPr>
                                <w:t>Two</w:t>
                              </w:r>
                              <w:r>
                                <w:t xml:space="preserve"> Union </w:t>
                              </w:r>
                              <w:r>
                                <w:rPr>
                                  <w:spacing w:val="-1"/>
                                </w:rPr>
                                <w:t>Square</w:t>
                              </w:r>
                            </w:p>
                            <w:p w:rsidR="006F6DC4" w:rsidRDefault="006F6DC4" w:rsidP="006F6DC4">
                              <w:pPr>
                                <w:pStyle w:val="BodyText"/>
                                <w:kinsoku w:val="0"/>
                                <w:overflowPunct w:val="0"/>
                                <w:ind w:left="107"/>
                              </w:pPr>
                              <w:r>
                                <w:t xml:space="preserve">601 Union </w:t>
                              </w:r>
                              <w:r>
                                <w:rPr>
                                  <w:spacing w:val="-1"/>
                                </w:rPr>
                                <w:t>Street,</w:t>
                              </w:r>
                              <w:r>
                                <w:t xml:space="preserve"> Suite</w:t>
                              </w:r>
                              <w:r>
                                <w:rPr>
                                  <w:spacing w:val="-1"/>
                                </w:rPr>
                                <w:t xml:space="preserve"> </w:t>
                              </w:r>
                              <w:r>
                                <w:t>4100</w:t>
                              </w:r>
                            </w:p>
                            <w:p w:rsidR="006F6DC4" w:rsidRDefault="006F6DC4" w:rsidP="006F6DC4">
                              <w:pPr>
                                <w:pStyle w:val="BodyText"/>
                                <w:kinsoku w:val="0"/>
                                <w:overflowPunct w:val="0"/>
                                <w:ind w:left="107"/>
                              </w:pPr>
                              <w:r>
                                <w:rPr>
                                  <w:spacing w:val="-1"/>
                                </w:rPr>
                                <w:t>Seattle,</w:t>
                              </w:r>
                              <w:r>
                                <w:t xml:space="preserve"> WA 98101</w:t>
                              </w:r>
                            </w:p>
                            <w:p w:rsidR="006F6DC4" w:rsidRDefault="006F6DC4" w:rsidP="006F6DC4">
                              <w:pPr>
                                <w:pStyle w:val="BodyText"/>
                                <w:kinsoku w:val="0"/>
                                <w:overflowPunct w:val="0"/>
                                <w:ind w:left="107"/>
                                <w:rPr>
                                  <w:spacing w:val="-1"/>
                                </w:rPr>
                              </w:pPr>
                              <w:r>
                                <w:rPr>
                                  <w:spacing w:val="-1"/>
                                </w:rPr>
                                <w:t>206-233-2895</w:t>
                              </w:r>
                            </w:p>
                            <w:p w:rsidR="006F6DC4" w:rsidRDefault="006F6DC4" w:rsidP="006F6DC4">
                              <w:pPr>
                                <w:pStyle w:val="BodyText"/>
                                <w:kinsoku w:val="0"/>
                                <w:overflowPunct w:val="0"/>
                                <w:ind w:left="107"/>
                                <w:rPr>
                                  <w:spacing w:val="-1"/>
                                </w:rPr>
                              </w:pPr>
                              <w:r>
                                <w:rPr>
                                  <w:spacing w:val="-1"/>
                                </w:rPr>
                                <w:t>Ema</w:t>
                              </w:r>
                              <w:hyperlink r:id="rId12" w:history="1">
                                <w:r>
                                  <w:rPr>
                                    <w:spacing w:val="-1"/>
                                  </w:rPr>
                                  <w:t>il:</w:t>
                                </w:r>
                                <w:r>
                                  <w:t xml:space="preserve"> </w:t>
                                </w:r>
                                <w:r>
                                  <w:rPr>
                                    <w:spacing w:val="-1"/>
                                  </w:rPr>
                                  <w:t>dwiley@williamskastner.com</w:t>
                                </w:r>
                              </w:hyperlink>
                            </w:p>
                          </w:txbxContent>
                        </wps:txbx>
                        <wps:bodyPr rot="0" vert="horz" wrap="square" lIns="0" tIns="0" rIns="0" bIns="0" anchor="t" anchorCtr="0" upright="1">
                          <a:noAutofit/>
                        </wps:bodyPr>
                      </wps:wsp>
                    </wpg:wgp>
                  </a:graphicData>
                </a:graphic>
              </wp:inline>
            </w:drawing>
          </mc:Choice>
          <mc:Fallback>
            <w:pict>
              <v:group w14:anchorId="3AC55DDD" id="Group 5" o:spid="_x0000_s1032" style="width:461.1pt;height:125.3pt;mso-position-horizontal-relative:char;mso-position-vertical-relative:line" coordsize="9222,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">
                <v:shape id="Freeform 3" o:spid="_x0000_s1033" style="position:absolute;left:5;top:5;width:9211;height:20;visibility:visible;mso-wrap-style:square;v-text-anchor:top" coordsize="9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EL4A&#10;AADaAAAADwAAAGRycy9kb3ducmV2LnhtbERPy4rCMBTdC/5DuMLsbKoLlY5RBlF0I4yPxSwvzbUp&#10;09zUJNrO308WgsvDeS/XvW3Ek3yoHSuYZDkI4tLpmisF18tuvAARIrLGxjEp+KMA69VwsMRCu45P&#10;9DzHSqQQDgUqMDG2hZShNGQxZK4lTtzNeYsxQV9J7bFL4baR0zyfSYs1pwaDLW0Mlb/nh1WwMQu/&#10;3cfb/EiP/Pv+c9TUVVqpj1H/9QkiUh/f4pf7oBWkrelKug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vqRC+AAAA2gAAAA8AAAAAAAAAAAAAAAAAmAIAAGRycy9kb3ducmV2&#10;LnhtbFBLBQYAAAAABAAEAPUAAACDAwAAAAA=&#10;" path="m,l9210,e" filled="f" strokeweight=".20458mm">
                  <v:path arrowok="t" o:connecttype="custom" o:connectlocs="0,0;9210,0" o:connectangles="0,0"/>
                </v:shape>
                <v:shape id="Freeform 4" o:spid="_x0000_s1034" style="position:absolute;left:10;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h2cYA&#10;AADaAAAADwAAAGRycy9kb3ducmV2LnhtbESPzW7CMBCE70i8g7VIvaDitAdUUgxCkVB/DlT8PMDW&#10;3saBeJ3GhqR9eoxUqcfRzHyjmS97V4sLtaHyrOBhkoEg1t5UXCo47Nf3TyBCRDZYeyYFPxRguRgO&#10;5pgb3/GWLrtYigThkKMCG2OTSxm0JYdh4hvi5H351mFMsi2labFLcFfLxyybSocVpwWLDRWW9Gl3&#10;dgqKb/t5/H1777bT83hfvOiw+dhope5G/eoZRKQ+/of/2q9GwQxuV9IN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Jh2cYAAADaAAAADwAAAAAAAAAAAAAAAACYAgAAZHJz&#10;L2Rvd25yZXYueG1sUEsFBgAAAAAEAAQA9QAAAIsDAAAAAA==&#10;" path="m,l,2484e" filled="f" strokeweight=".58pt">
                  <v:path arrowok="t" o:connecttype="custom" o:connectlocs="0,0;0,2484" o:connectangles="0,0"/>
                </v:shape>
                <v:shape id="Freeform 5" o:spid="_x0000_s1035" style="position:absolute;left:5;top:2499;width:9211;height:20;visibility:visible;mso-wrap-style:square;v-text-anchor:top" coordsize="9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4hsAA&#10;AADbAAAADwAAAGRycy9kb3ducmV2LnhtbESPQYvCMBCF7wv+hzCCtzV1BVm6RlGh4NUq7HW2Gdtg&#10;MylN1tZ/7xwEb/OY9715s96OvlV36qMLbGAxz0ARV8E6rg1czsXnN6iYkC22gcnAgyJsN5OPNeY2&#10;DHyie5lqJSEcczTQpNTlWseqIY9xHjpi2V1D7zGJ7Gttexwk3Lf6K8tW2qNjudBgR4eGqlv576VG&#10;UZ4uf8WA4zI7h27Yu9/H0hkzm467H1CJxvQ2v+ijFU7ayy8ygN4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E4hsAAAADbAAAADwAAAAAAAAAAAAAAAACYAgAAZHJzL2Rvd25y&#10;ZXYueG1sUEsFBgAAAAAEAAQA9QAAAIUDAAAAAA==&#10;" path="m,l9210,e" filled="f" strokeweight=".58pt">
                  <v:path arrowok="t" o:connecttype="custom" o:connectlocs="0,0;9210,0" o:connectangles="0,0"/>
                </v:shape>
                <v:shape id="Freeform 6" o:spid="_x0000_s1036" style="position:absolute;left:4350;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zXsMA&#10;AADbAAAADwAAAGRycy9kb3ducmV2LnhtbERPzWoCMRC+C32HMIVepGbtQWRrFFkQbQ8WtQ8wTaab&#10;rZvJuonutk/fCIK3+fh+Z7boXS0u1IbKs4LxKANBrL2puFTweVg9T0GEiGyw9kwKfinAYv4wmGFu&#10;fMc7uuxjKVIIhxwV2BibXMqgLTkMI98QJ+7btw5jgm0pTYtdCne1fMmyiXRYcWqw2FBhSR/3Z6eg&#10;ONmvn7+39243OQ8PxVqH7cdWK/X02C9fQUTq4118c29Mmj+G6y/p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bzXsMAAADbAAAADwAAAAAAAAAAAAAAAACYAgAAZHJzL2Rv&#10;d25yZXYueG1sUEsFBgAAAAAEAAQA9QAAAIgDAAAAAA==&#10;" path="m,l,2484e" filled="f" strokeweight=".58pt">
                  <v:path arrowok="t" o:connecttype="custom" o:connectlocs="0,0;0,2484" o:connectangles="0,0"/>
                </v:shape>
                <v:shape id="Freeform 7" o:spid="_x0000_s1037" style="position:absolute;left:9211;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QCcEA&#10;AADbAAAADwAAAGRycy9kb3ducmV2LnhtbERPTYvCMBC9C/sfwizsTVMLSqlGkV0EZT2sbcHr0Ixt&#10;sZmUJmr990YQ9jaP9znL9WBacaPeNZYVTCcRCOLS6oYrBUW+HScgnEfW2FomBQ9ysF59jJaYanvn&#10;I90yX4kQwi5FBbX3XSqlK2sy6Ca2Iw7c2fYGfYB9JXWP9xBuWhlH0VwabDg01NjRd03lJbsaBT9J&#10;MT3mj2tsT/ND/ud/Z0le7JX6+hw2CxCeBv8vfrt3OsyP4fVLO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DkAnBAAAA2wAAAA8AAAAAAAAAAAAAAAAAmAIAAGRycy9kb3du&#10;cmV2LnhtbFBLBQYAAAAABAAEAPUAAACGAwAAAAA=&#10;" path="m,l,2484e" filled="f" strokeweight=".20458mm">
                  <v:path arrowok="t" o:connecttype="custom" o:connectlocs="0,0;0,2484" o:connectangles="0,0"/>
                </v:shape>
                <v:shape id="Text Box 8" o:spid="_x0000_s1038" type="#_x0000_t202" style="position:absolute;left:11;top:6;width:4340;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F6DC4" w:rsidRDefault="006F6DC4" w:rsidP="006F6DC4">
                        <w:pPr>
                          <w:pStyle w:val="BodyText"/>
                          <w:kinsoku w:val="0"/>
                          <w:overflowPunct w:val="0"/>
                          <w:spacing w:before="8"/>
                          <w:ind w:left="0"/>
                          <w:rPr>
                            <w:sz w:val="23"/>
                            <w:szCs w:val="23"/>
                          </w:rPr>
                        </w:pPr>
                      </w:p>
                      <w:p w:rsidR="006F6DC4" w:rsidRDefault="006F6DC4" w:rsidP="006F6DC4">
                        <w:pPr>
                          <w:pStyle w:val="BodyText"/>
                          <w:kinsoku w:val="0"/>
                          <w:overflowPunct w:val="0"/>
                          <w:ind w:left="107"/>
                          <w:rPr>
                            <w:spacing w:val="-1"/>
                          </w:rPr>
                        </w:pPr>
                        <w:r>
                          <w:t xml:space="preserve">Julian </w:t>
                        </w:r>
                        <w:r>
                          <w:rPr>
                            <w:spacing w:val="-1"/>
                          </w:rPr>
                          <w:t>Beattie</w:t>
                        </w:r>
                      </w:p>
                      <w:p w:rsidR="006F6DC4" w:rsidRDefault="006F6DC4" w:rsidP="006F6DC4">
                        <w:pPr>
                          <w:pStyle w:val="BodyText"/>
                          <w:kinsoku w:val="0"/>
                          <w:overflowPunct w:val="0"/>
                          <w:ind w:left="107" w:right="690"/>
                        </w:pPr>
                        <w:r>
                          <w:rPr>
                            <w:spacing w:val="-1"/>
                          </w:rPr>
                          <w:t xml:space="preserve">Office </w:t>
                        </w:r>
                        <w:r>
                          <w:rPr>
                            <w:spacing w:val="1"/>
                          </w:rPr>
                          <w:t>of</w:t>
                        </w:r>
                        <w:r>
                          <w:t xml:space="preserve"> the</w:t>
                        </w:r>
                        <w:r>
                          <w:rPr>
                            <w:spacing w:val="-2"/>
                          </w:rPr>
                          <w:t xml:space="preserve"> </w:t>
                        </w:r>
                        <w:r>
                          <w:t>Attorney</w:t>
                        </w:r>
                        <w:r>
                          <w:rPr>
                            <w:spacing w:val="-3"/>
                          </w:rPr>
                          <w:t xml:space="preserve"> </w:t>
                        </w:r>
                        <w:r>
                          <w:rPr>
                            <w:spacing w:val="-1"/>
                          </w:rPr>
                          <w:t>General</w:t>
                        </w:r>
                        <w:r>
                          <w:rPr>
                            <w:spacing w:val="29"/>
                          </w:rPr>
                          <w:t xml:space="preserve"> </w:t>
                        </w:r>
                        <w:r>
                          <w:rPr>
                            <w:spacing w:val="-1"/>
                          </w:rPr>
                          <w:t>Utilities</w:t>
                        </w:r>
                        <w:r>
                          <w:t xml:space="preserve"> </w:t>
                        </w:r>
                        <w:r>
                          <w:rPr>
                            <w:spacing w:val="-1"/>
                          </w:rPr>
                          <w:t>and</w:t>
                        </w:r>
                        <w:r>
                          <w:t xml:space="preserve"> </w:t>
                        </w:r>
                        <w:r>
                          <w:rPr>
                            <w:spacing w:val="-1"/>
                          </w:rPr>
                          <w:t>Transportation</w:t>
                        </w:r>
                        <w:r>
                          <w:t xml:space="preserve"> Division</w:t>
                        </w:r>
                        <w:r>
                          <w:rPr>
                            <w:spacing w:val="43"/>
                          </w:rPr>
                          <w:t xml:space="preserve"> </w:t>
                        </w:r>
                        <w:r>
                          <w:t xml:space="preserve">1400 S. </w:t>
                        </w:r>
                        <w:r>
                          <w:rPr>
                            <w:spacing w:val="-1"/>
                          </w:rPr>
                          <w:t>Evergreen</w:t>
                        </w:r>
                        <w:r>
                          <w:t xml:space="preserve"> </w:t>
                        </w:r>
                        <w:r>
                          <w:rPr>
                            <w:spacing w:val="-1"/>
                          </w:rPr>
                          <w:t>Park</w:t>
                        </w:r>
                        <w:r>
                          <w:rPr>
                            <w:spacing w:val="1"/>
                          </w:rPr>
                          <w:t xml:space="preserve"> </w:t>
                        </w:r>
                        <w:r>
                          <w:rPr>
                            <w:spacing w:val="-1"/>
                          </w:rPr>
                          <w:t>Dr.</w:t>
                        </w:r>
                        <w:r>
                          <w:t xml:space="preserve"> SW</w:t>
                        </w:r>
                      </w:p>
                      <w:p w:rsidR="006F6DC4" w:rsidRDefault="006F6DC4" w:rsidP="006F6DC4">
                        <w:pPr>
                          <w:pStyle w:val="BodyText"/>
                          <w:kinsoku w:val="0"/>
                          <w:overflowPunct w:val="0"/>
                          <w:ind w:left="107"/>
                        </w:pPr>
                        <w:r>
                          <w:t xml:space="preserve">PO </w:t>
                        </w:r>
                        <w:r>
                          <w:rPr>
                            <w:spacing w:val="-1"/>
                          </w:rPr>
                          <w:t>Box</w:t>
                        </w:r>
                        <w:r>
                          <w:rPr>
                            <w:spacing w:val="2"/>
                          </w:rPr>
                          <w:t xml:space="preserve"> </w:t>
                        </w:r>
                        <w:r>
                          <w:t>40128</w:t>
                        </w:r>
                      </w:p>
                      <w:p w:rsidR="006F6DC4" w:rsidRDefault="006F6DC4" w:rsidP="006F6DC4">
                        <w:pPr>
                          <w:pStyle w:val="BodyText"/>
                          <w:kinsoku w:val="0"/>
                          <w:overflowPunct w:val="0"/>
                          <w:ind w:left="107"/>
                        </w:pPr>
                        <w:r>
                          <w:rPr>
                            <w:spacing w:val="-1"/>
                          </w:rPr>
                          <w:t>Olympia,</w:t>
                        </w:r>
                        <w:r>
                          <w:t xml:space="preserve"> WA  98504-0128</w:t>
                        </w:r>
                      </w:p>
                      <w:p w:rsidR="006F6DC4" w:rsidRDefault="006F6DC4" w:rsidP="006F6DC4">
                        <w:pPr>
                          <w:pStyle w:val="BodyText"/>
                          <w:kinsoku w:val="0"/>
                          <w:overflowPunct w:val="0"/>
                          <w:ind w:left="107"/>
                          <w:rPr>
                            <w:spacing w:val="-1"/>
                          </w:rPr>
                        </w:pPr>
                        <w:r>
                          <w:t>(360)</w:t>
                        </w:r>
                        <w:r>
                          <w:rPr>
                            <w:spacing w:val="-2"/>
                          </w:rPr>
                          <w:t xml:space="preserve"> </w:t>
                        </w:r>
                        <w:r>
                          <w:rPr>
                            <w:spacing w:val="-1"/>
                          </w:rPr>
                          <w:t>664-1192</w:t>
                        </w:r>
                      </w:p>
                      <w:p w:rsidR="006F6DC4" w:rsidRDefault="006F6DC4" w:rsidP="006F6DC4">
                        <w:pPr>
                          <w:pStyle w:val="BodyText"/>
                          <w:kinsoku w:val="0"/>
                          <w:overflowPunct w:val="0"/>
                          <w:ind w:left="107"/>
                          <w:rPr>
                            <w:spacing w:val="-1"/>
                          </w:rPr>
                        </w:pPr>
                        <w:r>
                          <w:rPr>
                            <w:spacing w:val="-1"/>
                          </w:rPr>
                          <w:t>Ema</w:t>
                        </w:r>
                        <w:hyperlink r:id="rId13" w:history="1">
                          <w:r>
                            <w:rPr>
                              <w:spacing w:val="-1"/>
                            </w:rPr>
                            <w:t>il:</w:t>
                          </w:r>
                          <w:r>
                            <w:t xml:space="preserve"> </w:t>
                          </w:r>
                          <w:r>
                            <w:rPr>
                              <w:spacing w:val="-1"/>
                            </w:rPr>
                            <w:t>jbeattie@utc.wa.gov</w:t>
                          </w:r>
                        </w:hyperlink>
                      </w:p>
                    </w:txbxContent>
                  </v:textbox>
                </v:shape>
                <v:shape id="Text Box 9" o:spid="_x0000_s1039" type="#_x0000_t202" style="position:absolute;left:4350;top:6;width:486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C15CA" w:rsidRDefault="00DC15CA" w:rsidP="006F6DC4">
                        <w:pPr>
                          <w:pStyle w:val="BodyText"/>
                          <w:kinsoku w:val="0"/>
                          <w:overflowPunct w:val="0"/>
                          <w:ind w:left="107" w:right="2925"/>
                          <w:rPr>
                            <w:spacing w:val="-1"/>
                          </w:rPr>
                        </w:pPr>
                      </w:p>
                      <w:p w:rsidR="006F6DC4" w:rsidRDefault="006F6DC4" w:rsidP="006F6DC4">
                        <w:pPr>
                          <w:pStyle w:val="BodyText"/>
                          <w:kinsoku w:val="0"/>
                          <w:overflowPunct w:val="0"/>
                          <w:ind w:left="107" w:right="2925"/>
                          <w:rPr>
                            <w:spacing w:val="-1"/>
                          </w:rPr>
                        </w:pPr>
                        <w:r>
                          <w:rPr>
                            <w:spacing w:val="-1"/>
                          </w:rPr>
                          <w:t>David</w:t>
                        </w:r>
                        <w:r>
                          <w:t xml:space="preserve"> W. Wiley</w:t>
                        </w:r>
                        <w:r>
                          <w:rPr>
                            <w:spacing w:val="26"/>
                          </w:rPr>
                          <w:t xml:space="preserve"> </w:t>
                        </w:r>
                        <w:r>
                          <w:t xml:space="preserve">Williams </w:t>
                        </w:r>
                        <w:proofErr w:type="spellStart"/>
                        <w:r>
                          <w:rPr>
                            <w:spacing w:val="-1"/>
                          </w:rPr>
                          <w:t>Kastner</w:t>
                        </w:r>
                        <w:proofErr w:type="spellEnd"/>
                        <w:r>
                          <w:rPr>
                            <w:spacing w:val="26"/>
                          </w:rPr>
                          <w:t xml:space="preserve"> </w:t>
                        </w:r>
                        <w:r>
                          <w:rPr>
                            <w:spacing w:val="-1"/>
                          </w:rPr>
                          <w:t>Two</w:t>
                        </w:r>
                        <w:r>
                          <w:t xml:space="preserve"> Union </w:t>
                        </w:r>
                        <w:r>
                          <w:rPr>
                            <w:spacing w:val="-1"/>
                          </w:rPr>
                          <w:t>Square</w:t>
                        </w:r>
                      </w:p>
                      <w:p w:rsidR="006F6DC4" w:rsidRDefault="006F6DC4" w:rsidP="006F6DC4">
                        <w:pPr>
                          <w:pStyle w:val="BodyText"/>
                          <w:kinsoku w:val="0"/>
                          <w:overflowPunct w:val="0"/>
                          <w:ind w:left="107"/>
                        </w:pPr>
                        <w:r>
                          <w:t xml:space="preserve">601 Union </w:t>
                        </w:r>
                        <w:r>
                          <w:rPr>
                            <w:spacing w:val="-1"/>
                          </w:rPr>
                          <w:t>Street,</w:t>
                        </w:r>
                        <w:r>
                          <w:t xml:space="preserve"> Suite</w:t>
                        </w:r>
                        <w:r>
                          <w:rPr>
                            <w:spacing w:val="-1"/>
                          </w:rPr>
                          <w:t xml:space="preserve"> </w:t>
                        </w:r>
                        <w:r>
                          <w:t>4100</w:t>
                        </w:r>
                      </w:p>
                      <w:p w:rsidR="006F6DC4" w:rsidRDefault="006F6DC4" w:rsidP="006F6DC4">
                        <w:pPr>
                          <w:pStyle w:val="BodyText"/>
                          <w:kinsoku w:val="0"/>
                          <w:overflowPunct w:val="0"/>
                          <w:ind w:left="107"/>
                        </w:pPr>
                        <w:r>
                          <w:rPr>
                            <w:spacing w:val="-1"/>
                          </w:rPr>
                          <w:t>Seattle,</w:t>
                        </w:r>
                        <w:r>
                          <w:t xml:space="preserve"> WA 98101</w:t>
                        </w:r>
                      </w:p>
                      <w:p w:rsidR="006F6DC4" w:rsidRDefault="006F6DC4" w:rsidP="006F6DC4">
                        <w:pPr>
                          <w:pStyle w:val="BodyText"/>
                          <w:kinsoku w:val="0"/>
                          <w:overflowPunct w:val="0"/>
                          <w:ind w:left="107"/>
                          <w:rPr>
                            <w:spacing w:val="-1"/>
                          </w:rPr>
                        </w:pPr>
                        <w:r>
                          <w:rPr>
                            <w:spacing w:val="-1"/>
                          </w:rPr>
                          <w:t>206-233-2895</w:t>
                        </w:r>
                      </w:p>
                      <w:p w:rsidR="006F6DC4" w:rsidRDefault="006F6DC4" w:rsidP="006F6DC4">
                        <w:pPr>
                          <w:pStyle w:val="BodyText"/>
                          <w:kinsoku w:val="0"/>
                          <w:overflowPunct w:val="0"/>
                          <w:ind w:left="107"/>
                          <w:rPr>
                            <w:spacing w:val="-1"/>
                          </w:rPr>
                        </w:pPr>
                        <w:r>
                          <w:rPr>
                            <w:spacing w:val="-1"/>
                          </w:rPr>
                          <w:t>Ema</w:t>
                        </w:r>
                        <w:hyperlink r:id="rId14" w:history="1">
                          <w:r>
                            <w:rPr>
                              <w:spacing w:val="-1"/>
                            </w:rPr>
                            <w:t>il:</w:t>
                          </w:r>
                          <w:r>
                            <w:t xml:space="preserve"> </w:t>
                          </w:r>
                          <w:r>
                            <w:rPr>
                              <w:spacing w:val="-1"/>
                            </w:rPr>
                            <w:t>dwiley@williamskastner.com</w:t>
                          </w:r>
                        </w:hyperlink>
                      </w:p>
                    </w:txbxContent>
                  </v:textbox>
                </v:shape>
                <w10:anchorlock/>
              </v:group>
            </w:pict>
          </mc:Fallback>
        </mc:AlternateContent>
      </w:r>
    </w:p>
    <w:p w:rsidR="006F6DC4" w:rsidRPr="00237656" w:rsidRDefault="006F6DC4" w:rsidP="006F6DC4">
      <w:pPr>
        <w:widowControl/>
        <w:kinsoku w:val="0"/>
        <w:overflowPunct w:val="0"/>
        <w:autoSpaceDE w:val="0"/>
        <w:autoSpaceDN w:val="0"/>
        <w:adjustRightInd w:val="0"/>
        <w:spacing w:before="3"/>
        <w:ind w:firstLine="753"/>
        <w:rPr>
          <w:rFonts w:ascii="Times New Roman" w:hAnsi="Times New Roman" w:cs="Times New Roman"/>
          <w:sz w:val="18"/>
          <w:szCs w:val="18"/>
        </w:rPr>
      </w:pPr>
    </w:p>
    <w:p w:rsidR="006F6DC4" w:rsidRPr="00237656" w:rsidRDefault="006F6DC4" w:rsidP="006F6DC4">
      <w:pPr>
        <w:widowControl/>
        <w:kinsoku w:val="0"/>
        <w:overflowPunct w:val="0"/>
        <w:autoSpaceDE w:val="0"/>
        <w:autoSpaceDN w:val="0"/>
        <w:adjustRightInd w:val="0"/>
        <w:spacing w:before="41"/>
        <w:ind w:left="840" w:firstLine="753"/>
        <w:rPr>
          <w:rFonts w:ascii="Times New Roman" w:hAnsi="Times New Roman" w:cs="Times New Roman"/>
          <w:sz w:val="24"/>
          <w:szCs w:val="24"/>
        </w:rPr>
      </w:pPr>
      <w:r w:rsidRPr="00237656">
        <w:rPr>
          <w:rFonts w:ascii="Times New Roman" w:hAnsi="Times New Roman" w:cs="Times New Roman"/>
          <w:spacing w:val="-1"/>
          <w:sz w:val="24"/>
          <w:szCs w:val="24"/>
        </w:rPr>
        <w:t>Dated</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at</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McLean,</w:t>
      </w:r>
      <w:r w:rsidRPr="00237656">
        <w:rPr>
          <w:rFonts w:ascii="Times New Roman" w:hAnsi="Times New Roman" w:cs="Times New Roman"/>
          <w:sz w:val="24"/>
          <w:szCs w:val="24"/>
        </w:rPr>
        <w:t xml:space="preserve"> Virginia this</w:t>
      </w:r>
      <w:r w:rsidRPr="00237656">
        <w:rPr>
          <w:rFonts w:ascii="Times New Roman" w:hAnsi="Times New Roman" w:cs="Times New Roman"/>
          <w:spacing w:val="2"/>
          <w:sz w:val="24"/>
          <w:szCs w:val="24"/>
        </w:rPr>
        <w:t xml:space="preserve"> </w:t>
      </w:r>
      <w:r w:rsidR="00DC15CA">
        <w:rPr>
          <w:rFonts w:ascii="Times New Roman" w:hAnsi="Times New Roman" w:cs="Times New Roman"/>
          <w:sz w:val="24"/>
          <w:szCs w:val="24"/>
        </w:rPr>
        <w:t>21st</w:t>
      </w:r>
      <w:r>
        <w:rPr>
          <w:rFonts w:ascii="Times New Roman" w:hAnsi="Times New Roman" w:cs="Times New Roman"/>
          <w:sz w:val="24"/>
          <w:szCs w:val="24"/>
        </w:rPr>
        <w:t xml:space="preserve"> </w:t>
      </w:r>
      <w:r w:rsidRPr="00237656">
        <w:rPr>
          <w:rFonts w:ascii="Times New Roman" w:hAnsi="Times New Roman" w:cs="Times New Roman"/>
          <w:sz w:val="24"/>
          <w:szCs w:val="24"/>
        </w:rPr>
        <w:t>day</w:t>
      </w:r>
      <w:r w:rsidRPr="00237656">
        <w:rPr>
          <w:rFonts w:ascii="Times New Roman" w:hAnsi="Times New Roman" w:cs="Times New Roman"/>
          <w:spacing w:val="-8"/>
          <w:sz w:val="24"/>
          <w:szCs w:val="24"/>
        </w:rPr>
        <w:t xml:space="preserve"> </w:t>
      </w:r>
      <w:r w:rsidRPr="00237656">
        <w:rPr>
          <w:rFonts w:ascii="Times New Roman" w:hAnsi="Times New Roman" w:cs="Times New Roman"/>
          <w:sz w:val="24"/>
          <w:szCs w:val="24"/>
        </w:rPr>
        <w:t xml:space="preserve">of </w:t>
      </w:r>
      <w:r w:rsidR="00F259B0">
        <w:rPr>
          <w:rFonts w:ascii="Times New Roman" w:hAnsi="Times New Roman" w:cs="Times New Roman"/>
          <w:spacing w:val="-1"/>
          <w:sz w:val="24"/>
          <w:szCs w:val="24"/>
        </w:rPr>
        <w:t>Octo</w:t>
      </w:r>
      <w:r w:rsidRPr="00237656">
        <w:rPr>
          <w:rFonts w:ascii="Times New Roman" w:hAnsi="Times New Roman" w:cs="Times New Roman"/>
          <w:spacing w:val="-1"/>
          <w:sz w:val="24"/>
          <w:szCs w:val="24"/>
        </w:rPr>
        <w:t>ber,</w:t>
      </w:r>
      <w:r w:rsidRPr="00237656">
        <w:rPr>
          <w:rFonts w:ascii="Times New Roman" w:hAnsi="Times New Roman" w:cs="Times New Roman"/>
          <w:sz w:val="24"/>
          <w:szCs w:val="24"/>
        </w:rPr>
        <w:t xml:space="preserve"> 2016.</w:t>
      </w:r>
    </w:p>
    <w:p w:rsidR="006F6DC4" w:rsidRPr="00237656" w:rsidRDefault="006F6DC4" w:rsidP="006F6DC4">
      <w:pPr>
        <w:widowControl/>
        <w:kinsoku w:val="0"/>
        <w:overflowPunct w:val="0"/>
        <w:autoSpaceDE w:val="0"/>
        <w:autoSpaceDN w:val="0"/>
        <w:adjustRightInd w:val="0"/>
        <w:ind w:firstLine="753"/>
        <w:rPr>
          <w:rFonts w:ascii="Times New Roman" w:hAnsi="Times New Roman" w:cs="Times New Roman"/>
          <w:sz w:val="20"/>
          <w:szCs w:val="20"/>
        </w:rPr>
      </w:pPr>
    </w:p>
    <w:p w:rsidR="006F6DC4" w:rsidRDefault="006F6DC4" w:rsidP="006F6DC4">
      <w:pPr>
        <w:widowControl/>
        <w:kinsoku w:val="0"/>
        <w:overflowPunct w:val="0"/>
        <w:autoSpaceDE w:val="0"/>
        <w:autoSpaceDN w:val="0"/>
        <w:adjustRightInd w:val="0"/>
        <w:spacing w:line="200" w:lineRule="atLeast"/>
        <w:ind w:left="4728" w:firstLine="753"/>
        <w:rPr>
          <w:rFonts w:ascii="Times New Roman" w:hAnsi="Times New Roman" w:cs="Times New Roman"/>
          <w:sz w:val="20"/>
          <w:szCs w:val="20"/>
        </w:rPr>
      </w:pPr>
    </w:p>
    <w:p w:rsidR="00DC15CA" w:rsidRDefault="003D5B58" w:rsidP="006F6DC4">
      <w:pPr>
        <w:widowControl/>
        <w:kinsoku w:val="0"/>
        <w:overflowPunct w:val="0"/>
        <w:autoSpaceDE w:val="0"/>
        <w:autoSpaceDN w:val="0"/>
        <w:adjustRightInd w:val="0"/>
        <w:spacing w:line="200" w:lineRule="atLeast"/>
        <w:ind w:left="4728" w:firstLine="753"/>
        <w:rPr>
          <w:rFonts w:ascii="Times New Roman" w:hAnsi="Times New Roman" w:cs="Times New Roman"/>
          <w:sz w:val="20"/>
          <w:szCs w:val="20"/>
        </w:rPr>
      </w:pPr>
      <w:r w:rsidRPr="003D5B58">
        <w:rPr>
          <w:rFonts w:ascii="Times New Roman" w:hAnsi="Times New Roman" w:cs="Times New Roman"/>
          <w:noProof/>
          <w:sz w:val="20"/>
          <w:szCs w:val="20"/>
        </w:rPr>
        <w:drawing>
          <wp:inline distT="0" distB="0" distL="0" distR="0">
            <wp:extent cx="2173900" cy="582295"/>
            <wp:effectExtent l="0" t="0" r="0" b="8255"/>
            <wp:docPr id="2" name="Picture 2" descr="K:\WP\ES\Admin\ES Signatur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Admin\ES Signature1.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1004" cy="592234"/>
                    </a:xfrm>
                    <a:prstGeom prst="rect">
                      <a:avLst/>
                    </a:prstGeom>
                    <a:noFill/>
                    <a:ln>
                      <a:noFill/>
                    </a:ln>
                  </pic:spPr>
                </pic:pic>
              </a:graphicData>
            </a:graphic>
          </wp:inline>
        </w:drawing>
      </w:r>
    </w:p>
    <w:p w:rsidR="006F6DC4" w:rsidRPr="00237656" w:rsidRDefault="006F6DC4" w:rsidP="006F6DC4">
      <w:pPr>
        <w:widowControl/>
        <w:kinsoku w:val="0"/>
        <w:overflowPunct w:val="0"/>
        <w:autoSpaceDE w:val="0"/>
        <w:autoSpaceDN w:val="0"/>
        <w:adjustRightInd w:val="0"/>
        <w:ind w:left="5490" w:right="2620" w:hanging="8"/>
        <w:jc w:val="center"/>
        <w:rPr>
          <w:rFonts w:ascii="Times New Roman" w:hAnsi="Times New Roman" w:cs="Times New Roman"/>
          <w:sz w:val="24"/>
          <w:szCs w:val="24"/>
        </w:rPr>
      </w:pPr>
      <w:r w:rsidRPr="00237656">
        <w:rPr>
          <w:rFonts w:ascii="Times New Roman" w:hAnsi="Times New Roman" w:cs="Times New Roman"/>
          <w:spacing w:val="-1"/>
          <w:sz w:val="24"/>
          <w:szCs w:val="24"/>
        </w:rPr>
        <w:t xml:space="preserve">Elisheva </w:t>
      </w:r>
      <w:r w:rsidRPr="00237656">
        <w:rPr>
          <w:rFonts w:ascii="Times New Roman" w:hAnsi="Times New Roman" w:cs="Times New Roman"/>
          <w:sz w:val="24"/>
          <w:szCs w:val="24"/>
        </w:rPr>
        <w:t>Simon</w:t>
      </w:r>
      <w:r w:rsidRPr="00237656">
        <w:rPr>
          <w:rFonts w:ascii="Times New Roman" w:hAnsi="Times New Roman" w:cs="Times New Roman"/>
          <w:spacing w:val="27"/>
          <w:sz w:val="24"/>
          <w:szCs w:val="24"/>
        </w:rPr>
        <w:t xml:space="preserve"> </w:t>
      </w:r>
      <w:r w:rsidRPr="00237656">
        <w:rPr>
          <w:rFonts w:ascii="Times New Roman" w:hAnsi="Times New Roman" w:cs="Times New Roman"/>
          <w:spacing w:val="-1"/>
          <w:sz w:val="24"/>
          <w:szCs w:val="24"/>
        </w:rPr>
        <w:t>Legal</w:t>
      </w:r>
      <w:r w:rsidRPr="00237656">
        <w:rPr>
          <w:rFonts w:ascii="Times New Roman" w:hAnsi="Times New Roman" w:cs="Times New Roman"/>
          <w:sz w:val="24"/>
          <w:szCs w:val="24"/>
        </w:rPr>
        <w:t xml:space="preserve"> Assistant</w:t>
      </w:r>
    </w:p>
    <w:p w:rsidR="009D44EF" w:rsidRDefault="009D44EF">
      <w:pPr>
        <w:pStyle w:val="BodyText"/>
        <w:ind w:left="5681"/>
        <w:jc w:val="both"/>
      </w:pPr>
    </w:p>
    <w:sectPr w:rsidR="009D44EF" w:rsidSect="001A4F6F">
      <w:headerReference w:type="even" r:id="rId16"/>
      <w:headerReference w:type="default" r:id="rId17"/>
      <w:footerReference w:type="even" r:id="rId18"/>
      <w:footerReference w:type="default" r:id="rId19"/>
      <w:headerReference w:type="first" r:id="rId20"/>
      <w:footerReference w:type="first" r:id="rId21"/>
      <w:pgSz w:w="12240" w:h="15840"/>
      <w:pgMar w:top="1380" w:right="1340" w:bottom="920" w:left="810" w:header="0" w:footer="7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DDC" w:rsidRDefault="00797DDC">
      <w:r>
        <w:separator/>
      </w:r>
    </w:p>
  </w:endnote>
  <w:endnote w:type="continuationSeparator" w:id="0">
    <w:p w:rsidR="00797DDC" w:rsidRDefault="0079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A7" w:rsidRDefault="002D5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E9" w:rsidRDefault="00B852E9" w:rsidP="00B852E9">
    <w:pPr>
      <w:pStyle w:val="Footer"/>
    </w:pPr>
  </w:p>
  <w:p w:rsidR="00B852E9" w:rsidRPr="00B852E9" w:rsidRDefault="00B852E9" w:rsidP="00B852E9">
    <w:pPr>
      <w:pStyle w:val="Footer"/>
    </w:pPr>
    <w:r>
      <w:t xml:space="preserve">Opposition of Shuttle Express – </w:t>
    </w:r>
    <w:r>
      <w:fldChar w:fldCharType="begin"/>
    </w:r>
    <w:r>
      <w:instrText xml:space="preserve"> PAGE   \* MERGEFORMAT </w:instrText>
    </w:r>
    <w:r>
      <w:fldChar w:fldCharType="separate"/>
    </w:r>
    <w:r w:rsidR="00895710">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A7" w:rsidRDefault="002D5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DDC" w:rsidRDefault="00797DDC">
      <w:r>
        <w:separator/>
      </w:r>
    </w:p>
  </w:footnote>
  <w:footnote w:type="continuationSeparator" w:id="0">
    <w:p w:rsidR="00797DDC" w:rsidRDefault="00797DDC">
      <w:r>
        <w:continuationSeparator/>
      </w:r>
    </w:p>
  </w:footnote>
  <w:footnote w:id="1">
    <w:p w:rsidR="00487303" w:rsidRPr="00487303" w:rsidRDefault="00487303">
      <w:pPr>
        <w:pStyle w:val="FootnoteText"/>
        <w:rPr>
          <w:rFonts w:ascii="Times New Roman" w:hAnsi="Times New Roman" w:cs="Times New Roman"/>
        </w:rPr>
      </w:pPr>
      <w:r w:rsidRPr="00487303">
        <w:rPr>
          <w:rStyle w:val="FootnoteReference"/>
          <w:rFonts w:ascii="Times New Roman" w:hAnsi="Times New Roman" w:cs="Times New Roman"/>
        </w:rPr>
        <w:footnoteRef/>
      </w:r>
      <w:r w:rsidRPr="00487303">
        <w:rPr>
          <w:rFonts w:ascii="Times New Roman" w:hAnsi="Times New Roman" w:cs="Times New Roman"/>
        </w:rPr>
        <w:t xml:space="preserve"> Petitioner/Complainant Shuttle Express, Inc. (“Shuttle Express”) notes </w:t>
      </w:r>
      <w:r w:rsidR="000270D2">
        <w:rPr>
          <w:rFonts w:ascii="Times New Roman" w:hAnsi="Times New Roman" w:cs="Times New Roman"/>
        </w:rPr>
        <w:t>its appreciation for the consideration of</w:t>
      </w:r>
      <w:r w:rsidRPr="00487303">
        <w:rPr>
          <w:rFonts w:ascii="Times New Roman" w:hAnsi="Times New Roman" w:cs="Times New Roman"/>
        </w:rPr>
        <w:t xml:space="preserve"> counsel’s travel schedule in setting the due date for this answer.</w:t>
      </w:r>
    </w:p>
  </w:footnote>
  <w:footnote w:id="2">
    <w:p w:rsidR="005F23FD" w:rsidRPr="005F23FD" w:rsidRDefault="005F23FD" w:rsidP="005F23FD">
      <w:pPr>
        <w:pStyle w:val="FootnoteText"/>
        <w:rPr>
          <w:rFonts w:ascii="Times New Roman" w:hAnsi="Times New Roman" w:cs="Times New Roman"/>
        </w:rPr>
      </w:pPr>
      <w:r w:rsidRPr="005F23FD">
        <w:rPr>
          <w:rStyle w:val="FootnoteReference"/>
          <w:rFonts w:ascii="Times New Roman" w:hAnsi="Times New Roman" w:cs="Times New Roman"/>
        </w:rPr>
        <w:footnoteRef/>
      </w:r>
      <w:r w:rsidRPr="005F23FD">
        <w:rPr>
          <w:rFonts w:ascii="Times New Roman" w:hAnsi="Times New Roman" w:cs="Times New Roman"/>
        </w:rPr>
        <w:t xml:space="preserve"> </w:t>
      </w:r>
      <w:proofErr w:type="spellStart"/>
      <w:r w:rsidRPr="005F23FD">
        <w:rPr>
          <w:rFonts w:ascii="Times New Roman" w:hAnsi="Times New Roman" w:cs="Times New Roman"/>
        </w:rPr>
        <w:t>Speedishuttle</w:t>
      </w:r>
      <w:proofErr w:type="spellEnd"/>
      <w:r w:rsidRPr="005F23FD">
        <w:rPr>
          <w:rFonts w:ascii="Times New Roman" w:hAnsi="Times New Roman" w:cs="Times New Roman"/>
        </w:rPr>
        <w:t xml:space="preserve"> of Washington, LLC d/b/a </w:t>
      </w:r>
      <w:proofErr w:type="spellStart"/>
      <w:r w:rsidRPr="005F23FD">
        <w:rPr>
          <w:rFonts w:ascii="Times New Roman" w:hAnsi="Times New Roman" w:cs="Times New Roman"/>
        </w:rPr>
        <w:t>Speedishuttle</w:t>
      </w:r>
      <w:proofErr w:type="spellEnd"/>
      <w:r w:rsidRPr="005F23FD">
        <w:rPr>
          <w:rFonts w:ascii="Times New Roman" w:hAnsi="Times New Roman" w:cs="Times New Roman"/>
        </w:rPr>
        <w:t xml:space="preserve"> Seattle (“</w:t>
      </w:r>
      <w:proofErr w:type="spellStart"/>
      <w:r w:rsidRPr="005F23FD">
        <w:rPr>
          <w:rFonts w:ascii="Times New Roman" w:hAnsi="Times New Roman" w:cs="Times New Roman"/>
        </w:rPr>
        <w:t>Speedishuttle</w:t>
      </w:r>
      <w:proofErr w:type="spellEnd"/>
      <w:r w:rsidRPr="005F23FD">
        <w:rPr>
          <w:rFonts w:ascii="Times New Roman" w:hAnsi="Times New Roman" w:cs="Times New Roman"/>
        </w:rPr>
        <w:t>”).</w:t>
      </w:r>
    </w:p>
  </w:footnote>
  <w:footnote w:id="3">
    <w:p w:rsidR="002D4CB0" w:rsidRPr="002D4CB0" w:rsidRDefault="002D4CB0">
      <w:pPr>
        <w:pStyle w:val="FootnoteText"/>
        <w:rPr>
          <w:rFonts w:ascii="Times New Roman" w:hAnsi="Times New Roman" w:cs="Times New Roman"/>
        </w:rPr>
      </w:pPr>
      <w:r w:rsidRPr="002D4CB0">
        <w:rPr>
          <w:rStyle w:val="FootnoteReference"/>
          <w:rFonts w:ascii="Times New Roman" w:hAnsi="Times New Roman" w:cs="Times New Roman"/>
        </w:rPr>
        <w:footnoteRef/>
      </w:r>
      <w:r w:rsidRPr="002D4CB0">
        <w:rPr>
          <w:rFonts w:ascii="Times New Roman" w:hAnsi="Times New Roman" w:cs="Times New Roman"/>
        </w:rPr>
        <w:t xml:space="preserve"> Transportation Network Company, </w:t>
      </w:r>
      <w:r w:rsidRPr="000270D2">
        <w:rPr>
          <w:rFonts w:ascii="Times New Roman" w:hAnsi="Times New Roman" w:cs="Times New Roman"/>
          <w:i/>
        </w:rPr>
        <w:t>e.g.,</w:t>
      </w:r>
      <w:r w:rsidRPr="002D4CB0">
        <w:rPr>
          <w:rFonts w:ascii="Times New Roman" w:hAnsi="Times New Roman" w:cs="Times New Roman"/>
        </w:rPr>
        <w:t xml:space="preserve"> Uber, Lyft, etc.</w:t>
      </w:r>
      <w:r>
        <w:rPr>
          <w:rFonts w:ascii="Times New Roman" w:hAnsi="Times New Roman" w:cs="Times New Roman"/>
        </w:rPr>
        <w:t>, which are not presently regulated by the Commission.</w:t>
      </w:r>
    </w:p>
  </w:footnote>
  <w:footnote w:id="4">
    <w:p w:rsidR="008123ED" w:rsidRPr="004925B9" w:rsidRDefault="008123ED">
      <w:pPr>
        <w:pStyle w:val="FootnoteText"/>
        <w:rPr>
          <w:rFonts w:ascii="Times New Roman" w:hAnsi="Times New Roman" w:cs="Times New Roman"/>
        </w:rPr>
      </w:pPr>
      <w:r w:rsidRPr="004925B9">
        <w:rPr>
          <w:rStyle w:val="FootnoteReference"/>
          <w:rFonts w:ascii="Times New Roman" w:hAnsi="Times New Roman" w:cs="Times New Roman"/>
        </w:rPr>
        <w:footnoteRef/>
      </w:r>
      <w:r w:rsidRPr="004925B9">
        <w:rPr>
          <w:rFonts w:ascii="Times New Roman" w:hAnsi="Times New Roman" w:cs="Times New Roman"/>
        </w:rPr>
        <w:t xml:space="preserve"> It was also an appropriate response and is much appreciated by Shuttle Express.</w:t>
      </w:r>
    </w:p>
  </w:footnote>
  <w:footnote w:id="5">
    <w:p w:rsidR="008A3293" w:rsidRPr="004B1585" w:rsidRDefault="008A3293" w:rsidP="008A3293">
      <w:pPr>
        <w:pStyle w:val="FootnoteText"/>
        <w:rPr>
          <w:rFonts w:ascii="Times New Roman" w:hAnsi="Times New Roman" w:cs="Times New Roman"/>
        </w:rPr>
      </w:pPr>
      <w:r w:rsidRPr="004B1585">
        <w:rPr>
          <w:rStyle w:val="FootnoteReference"/>
          <w:rFonts w:ascii="Times New Roman" w:hAnsi="Times New Roman" w:cs="Times New Roman"/>
        </w:rPr>
        <w:footnoteRef/>
      </w:r>
      <w:r w:rsidRPr="004B1585">
        <w:rPr>
          <w:rFonts w:ascii="Times New Roman" w:hAnsi="Times New Roman" w:cs="Times New Roman"/>
        </w:rPr>
        <w:t xml:space="preserve"> </w:t>
      </w:r>
      <w:r>
        <w:rPr>
          <w:rFonts w:ascii="Times New Roman" w:hAnsi="Times New Roman" w:cs="Times New Roman"/>
        </w:rPr>
        <w:t>The</w:t>
      </w:r>
      <w:r w:rsidRPr="004B1585">
        <w:rPr>
          <w:rFonts w:ascii="Times New Roman" w:hAnsi="Times New Roman" w:cs="Times New Roman"/>
        </w:rPr>
        <w:t xml:space="preserve"> legal standards applicable to the two proceedings</w:t>
      </w:r>
      <w:r w:rsidRPr="008A3293">
        <w:rPr>
          <w:rFonts w:ascii="Times New Roman" w:hAnsi="Times New Roman" w:cs="Times New Roman"/>
        </w:rPr>
        <w:t xml:space="preserve"> </w:t>
      </w:r>
      <w:r>
        <w:rPr>
          <w:rFonts w:ascii="Times New Roman" w:hAnsi="Times New Roman" w:cs="Times New Roman"/>
        </w:rPr>
        <w:t xml:space="preserve">are </w:t>
      </w:r>
      <w:r w:rsidRPr="004B1585">
        <w:rPr>
          <w:rFonts w:ascii="Times New Roman" w:hAnsi="Times New Roman" w:cs="Times New Roman"/>
        </w:rPr>
        <w:t>vastly different.  The legislature expressly mandated that new auto transportation applicants cannot be approved in a territory already served unless the Commission finds the existing certificate holder will not provide satisfactory service.  Thus the Commission lacks authority to waive the requirement.  In contrast, the legislature did not mandate the auto transportation companies must only use employee operators, making the Commission’s rule waivable.</w:t>
      </w:r>
    </w:p>
  </w:footnote>
  <w:footnote w:id="6">
    <w:p w:rsidR="00785997" w:rsidRPr="00785997" w:rsidRDefault="00785997">
      <w:pPr>
        <w:pStyle w:val="FootnoteText"/>
        <w:rPr>
          <w:rFonts w:ascii="Times New Roman" w:hAnsi="Times New Roman" w:cs="Times New Roman"/>
        </w:rPr>
      </w:pPr>
      <w:r w:rsidRPr="00785997">
        <w:rPr>
          <w:rStyle w:val="FootnoteReference"/>
          <w:rFonts w:ascii="Times New Roman" w:hAnsi="Times New Roman" w:cs="Times New Roman"/>
        </w:rPr>
        <w:footnoteRef/>
      </w:r>
      <w:r w:rsidRPr="00785997">
        <w:rPr>
          <w:rFonts w:ascii="Times New Roman" w:hAnsi="Times New Roman" w:cs="Times New Roman"/>
        </w:rPr>
        <w:t xml:space="preserve"> Order 08, ¶ 23.</w:t>
      </w:r>
    </w:p>
  </w:footnote>
  <w:footnote w:id="7">
    <w:p w:rsidR="004868C0" w:rsidRPr="008A3293" w:rsidRDefault="004868C0" w:rsidP="004868C0">
      <w:pPr>
        <w:pStyle w:val="FootnoteText"/>
        <w:rPr>
          <w:rFonts w:ascii="Times New Roman" w:hAnsi="Times New Roman" w:cs="Times New Roman"/>
        </w:rPr>
      </w:pPr>
      <w:r w:rsidRPr="009213BC">
        <w:rPr>
          <w:rStyle w:val="FootnoteReference"/>
          <w:rFonts w:ascii="Times New Roman" w:hAnsi="Times New Roman" w:cs="Times New Roman"/>
        </w:rPr>
        <w:footnoteRef/>
      </w:r>
      <w:r w:rsidRPr="009213BC">
        <w:rPr>
          <w:rFonts w:ascii="Times New Roman" w:hAnsi="Times New Roman" w:cs="Times New Roman"/>
        </w:rPr>
        <w:t xml:space="preserve"> </w:t>
      </w:r>
      <w:r w:rsidRPr="008A3293">
        <w:rPr>
          <w:rFonts w:ascii="Times New Roman" w:hAnsi="Times New Roman" w:cs="Times New Roman"/>
          <w:i/>
        </w:rPr>
        <w:t xml:space="preserve">See </w:t>
      </w:r>
      <w:r w:rsidRPr="009213BC">
        <w:rPr>
          <w:rFonts w:ascii="Times New Roman" w:hAnsi="Times New Roman" w:cs="Times New Roman"/>
        </w:rPr>
        <w:t xml:space="preserve">Order </w:t>
      </w:r>
      <w:r w:rsidRPr="008A3293">
        <w:rPr>
          <w:rFonts w:ascii="Times New Roman" w:hAnsi="Times New Roman" w:cs="Times New Roman"/>
        </w:rPr>
        <w:t>08, ¶ 23.</w:t>
      </w:r>
      <w:r w:rsidR="008A3293">
        <w:rPr>
          <w:rFonts w:ascii="Times New Roman" w:hAnsi="Times New Roman" w:cs="Times New Roman"/>
        </w:rPr>
        <w:t xml:space="preserve">  Indeed, in Order 08 the Commission committed to act if </w:t>
      </w:r>
      <w:proofErr w:type="spellStart"/>
      <w:r w:rsidR="008A3293">
        <w:rPr>
          <w:rFonts w:ascii="Times New Roman" w:hAnsi="Times New Roman" w:cs="Times New Roman"/>
        </w:rPr>
        <w:t>Speedishuttle</w:t>
      </w:r>
      <w:proofErr w:type="spellEnd"/>
      <w:r w:rsidR="008A3293">
        <w:rPr>
          <w:rFonts w:ascii="Times New Roman" w:hAnsi="Times New Roman" w:cs="Times New Roman"/>
        </w:rPr>
        <w:t xml:space="preserve"> is shown to be “offer[</w:t>
      </w:r>
      <w:proofErr w:type="spellStart"/>
      <w:r w:rsidR="008A3293">
        <w:rPr>
          <w:rFonts w:ascii="Times New Roman" w:hAnsi="Times New Roman" w:cs="Times New Roman"/>
        </w:rPr>
        <w:t>ing</w:t>
      </w:r>
      <w:proofErr w:type="spellEnd"/>
      <w:r w:rsidR="008A3293">
        <w:rPr>
          <w:rFonts w:ascii="Times New Roman" w:hAnsi="Times New Roman" w:cs="Times New Roman"/>
        </w:rPr>
        <w:t xml:space="preserve">] </w:t>
      </w:r>
      <w:r w:rsidR="008A3293" w:rsidRPr="008A3293">
        <w:rPr>
          <w:rFonts w:ascii="Times New Roman" w:hAnsi="Times New Roman" w:cs="Times New Roman"/>
        </w:rPr>
        <w:t>the same service Shuttle Express provides</w:t>
      </w:r>
      <w:r w:rsidR="008A3293">
        <w:rPr>
          <w:rFonts w:ascii="Times New Roman" w:hAnsi="Times New Roman" w:cs="Times New Roman"/>
        </w:rPr>
        <w:t xml:space="preserve">.”  </w:t>
      </w:r>
      <w:r w:rsidR="008A3293" w:rsidRPr="008A3293">
        <w:rPr>
          <w:rFonts w:ascii="Times New Roman" w:hAnsi="Times New Roman" w:cs="Times New Roman"/>
          <w:i/>
        </w:rPr>
        <w:t>Id</w:t>
      </w:r>
      <w:r w:rsidR="008A3293">
        <w:rPr>
          <w:rFonts w:ascii="Times New Roman" w:hAnsi="Times New Roman" w:cs="Times New Roman"/>
        </w:rPr>
        <w:t>., ¶ 26</w:t>
      </w:r>
      <w:r w:rsidR="003F599A">
        <w:rPr>
          <w:rFonts w:ascii="Times New Roman" w:hAnsi="Times New Roman" w:cs="Times New Roman"/>
        </w:rPr>
        <w:t>.</w:t>
      </w:r>
    </w:p>
  </w:footnote>
  <w:footnote w:id="8">
    <w:p w:rsidR="00E71B33" w:rsidRPr="008A3293" w:rsidRDefault="00E71B33" w:rsidP="00E71B33">
      <w:pPr>
        <w:pStyle w:val="FootnoteText"/>
        <w:rPr>
          <w:rFonts w:ascii="Times New Roman" w:hAnsi="Times New Roman" w:cs="Times New Roman"/>
        </w:rPr>
      </w:pPr>
      <w:r w:rsidRPr="008A3293">
        <w:rPr>
          <w:rStyle w:val="FootnoteReference"/>
          <w:rFonts w:ascii="Times New Roman" w:hAnsi="Times New Roman" w:cs="Times New Roman"/>
        </w:rPr>
        <w:footnoteRef/>
      </w:r>
      <w:r w:rsidRPr="008A3293">
        <w:rPr>
          <w:rFonts w:ascii="Times New Roman" w:hAnsi="Times New Roman" w:cs="Times New Roman"/>
        </w:rPr>
        <w:t xml:space="preserve"> </w:t>
      </w:r>
      <w:r w:rsidRPr="008A3293">
        <w:rPr>
          <w:rFonts w:ascii="Times New Roman" w:hAnsi="Times New Roman" w:cs="Times New Roman"/>
          <w:i/>
        </w:rPr>
        <w:t>See</w:t>
      </w:r>
      <w:r w:rsidRPr="008A3293">
        <w:rPr>
          <w:rFonts w:ascii="Times New Roman" w:hAnsi="Times New Roman" w:cs="Times New Roman"/>
        </w:rPr>
        <w:t xml:space="preserve"> Order 04, ¶ 20, (</w:t>
      </w:r>
      <w:proofErr w:type="spellStart"/>
      <w:r w:rsidRPr="008A3293">
        <w:rPr>
          <w:rFonts w:ascii="Times New Roman" w:hAnsi="Times New Roman" w:cs="Times New Roman"/>
        </w:rPr>
        <w:t>Dkt</w:t>
      </w:r>
      <w:proofErr w:type="spellEnd"/>
      <w:r w:rsidRPr="008A3293">
        <w:rPr>
          <w:rFonts w:ascii="Times New Roman" w:hAnsi="Times New Roman" w:cs="Times New Roman"/>
        </w:rPr>
        <w:t>. TC-143691).</w:t>
      </w:r>
    </w:p>
  </w:footnote>
  <w:footnote w:id="9">
    <w:p w:rsidR="00E71B33" w:rsidRPr="004925B9" w:rsidRDefault="00E71B33">
      <w:pPr>
        <w:pStyle w:val="FootnoteText"/>
        <w:rPr>
          <w:rFonts w:ascii="Times New Roman" w:hAnsi="Times New Roman" w:cs="Times New Roman"/>
        </w:rPr>
      </w:pPr>
      <w:r w:rsidRPr="008A3293">
        <w:rPr>
          <w:rStyle w:val="FootnoteReference"/>
          <w:rFonts w:ascii="Times New Roman" w:hAnsi="Times New Roman" w:cs="Times New Roman"/>
        </w:rPr>
        <w:footnoteRef/>
      </w:r>
      <w:r w:rsidRPr="008A3293">
        <w:rPr>
          <w:rFonts w:ascii="Times New Roman" w:hAnsi="Times New Roman" w:cs="Times New Roman"/>
        </w:rPr>
        <w:t xml:space="preserve"> Shuttle Express</w:t>
      </w:r>
      <w:r w:rsidRPr="004925B9">
        <w:rPr>
          <w:rFonts w:ascii="Times New Roman" w:hAnsi="Times New Roman" w:cs="Times New Roman"/>
        </w:rPr>
        <w:t xml:space="preserve"> also has a multimillion dollar commitment to this market, built up over the last 20 plus years.  It is being unfairly devastated by </w:t>
      </w:r>
      <w:proofErr w:type="spellStart"/>
      <w:r w:rsidRPr="004925B9">
        <w:rPr>
          <w:rFonts w:ascii="Times New Roman" w:hAnsi="Times New Roman" w:cs="Times New Roman"/>
        </w:rPr>
        <w:t>Speedishuttle</w:t>
      </w:r>
      <w:proofErr w:type="spellEnd"/>
      <w:r w:rsidRPr="004925B9">
        <w:rPr>
          <w:rFonts w:ascii="Times New Roman" w:hAnsi="Times New Roman" w:cs="Times New Roman"/>
        </w:rPr>
        <w:t xml:space="preserve">.  </w:t>
      </w:r>
    </w:p>
  </w:footnote>
  <w:footnote w:id="10">
    <w:p w:rsidR="00E71B33" w:rsidRDefault="00E71B33" w:rsidP="00E71B33">
      <w:pPr>
        <w:pStyle w:val="FootnoteText"/>
      </w:pPr>
      <w:r w:rsidRPr="006F6C54">
        <w:rPr>
          <w:rStyle w:val="FootnoteReference"/>
          <w:rFonts w:ascii="Times New Roman" w:hAnsi="Times New Roman" w:cs="Times New Roman"/>
        </w:rPr>
        <w:footnoteRef/>
      </w:r>
      <w:r w:rsidRPr="006F6C54">
        <w:rPr>
          <w:rFonts w:ascii="Times New Roman" w:hAnsi="Times New Roman" w:cs="Times New Roman"/>
        </w:rPr>
        <w:t xml:space="preserve"> </w:t>
      </w:r>
      <w:r w:rsidRPr="006F6C54">
        <w:rPr>
          <w:rFonts w:ascii="Times New Roman" w:hAnsi="Times New Roman" w:cs="Times New Roman"/>
          <w:i/>
        </w:rPr>
        <w:t xml:space="preserve">See </w:t>
      </w:r>
      <w:r w:rsidRPr="006F6C54">
        <w:rPr>
          <w:rFonts w:ascii="Times New Roman" w:hAnsi="Times New Roman" w:cs="Times New Roman"/>
        </w:rPr>
        <w:t>Petition for Reconsideration of Order 08, ¶ 17.</w:t>
      </w:r>
    </w:p>
  </w:footnote>
  <w:footnote w:id="11">
    <w:p w:rsidR="00F61223" w:rsidRPr="00F61223" w:rsidRDefault="00F61223">
      <w:pPr>
        <w:pStyle w:val="FootnoteText"/>
        <w:rPr>
          <w:rFonts w:ascii="Times New Roman" w:hAnsi="Times New Roman" w:cs="Times New Roman"/>
        </w:rPr>
      </w:pPr>
      <w:r w:rsidRPr="00F61223">
        <w:rPr>
          <w:rStyle w:val="FootnoteReference"/>
          <w:rFonts w:ascii="Times New Roman" w:hAnsi="Times New Roman" w:cs="Times New Roman"/>
        </w:rPr>
        <w:footnoteRef/>
      </w:r>
      <w:r w:rsidRPr="00F61223">
        <w:rPr>
          <w:rFonts w:ascii="Times New Roman" w:hAnsi="Times New Roman" w:cs="Times New Roman"/>
        </w:rPr>
        <w:t xml:space="preserve"> The Petition and Complaint are replete with allegations regarding the ongoing and potential future harm to the public interest, including, for example:  “fewer passengers will be carried per trip, fares may have to be higher, the extent of geographic coverage may be narrowed, and/or passengers will have to wait longer until a shared ride van can be filled to a reasonable capacity.”   Petition and Complaint, ¶ 26.  Shuttle Express already has evidence of some of these harms and discovery will likely provide even more evidence of ongoing harm.  </w:t>
      </w:r>
    </w:p>
  </w:footnote>
  <w:footnote w:id="12">
    <w:p w:rsidR="006C1A08" w:rsidRPr="00F96762" w:rsidRDefault="006C1A08">
      <w:pPr>
        <w:pStyle w:val="FootnoteText"/>
        <w:rPr>
          <w:rFonts w:ascii="Times New Roman" w:hAnsi="Times New Roman" w:cs="Times New Roman"/>
        </w:rPr>
      </w:pPr>
      <w:r w:rsidRPr="004925B9">
        <w:rPr>
          <w:rStyle w:val="FootnoteReference"/>
          <w:rFonts w:ascii="Times New Roman" w:hAnsi="Times New Roman" w:cs="Times New Roman"/>
        </w:rPr>
        <w:footnoteRef/>
      </w:r>
      <w:r w:rsidRPr="004925B9">
        <w:rPr>
          <w:rFonts w:ascii="Times New Roman" w:hAnsi="Times New Roman" w:cs="Times New Roman"/>
        </w:rPr>
        <w:t xml:space="preserve"> At the discovery conference</w:t>
      </w:r>
      <w:r>
        <w:rPr>
          <w:rFonts w:ascii="Times New Roman" w:hAnsi="Times New Roman" w:cs="Times New Roman"/>
        </w:rPr>
        <w:t xml:space="preserve"> on September 27</w:t>
      </w:r>
      <w:r w:rsidRPr="004925B9">
        <w:rPr>
          <w:rFonts w:ascii="Times New Roman" w:hAnsi="Times New Roman" w:cs="Times New Roman"/>
          <w:vertAlign w:val="superscript"/>
        </w:rPr>
        <w:t>th</w:t>
      </w:r>
      <w:r w:rsidRPr="004925B9">
        <w:rPr>
          <w:rFonts w:ascii="Times New Roman" w:hAnsi="Times New Roman" w:cs="Times New Roman"/>
        </w:rPr>
        <w:t>, the Judge order substantial discovery responses over the objections of Respondent and asked when they could be provided.  Respondent offered October 11</w:t>
      </w:r>
      <w:r w:rsidRPr="004925B9">
        <w:rPr>
          <w:rFonts w:ascii="Times New Roman" w:hAnsi="Times New Roman" w:cs="Times New Roman"/>
          <w:vertAlign w:val="superscript"/>
        </w:rPr>
        <w:t>th</w:t>
      </w:r>
      <w:r>
        <w:rPr>
          <w:rFonts w:ascii="Times New Roman" w:hAnsi="Times New Roman" w:cs="Times New Roman"/>
        </w:rPr>
        <w:t>.</w:t>
      </w:r>
      <w:r w:rsidRPr="004925B9">
        <w:rPr>
          <w:rFonts w:ascii="Times New Roman" w:hAnsi="Times New Roman" w:cs="Times New Roman"/>
        </w:rPr>
        <w:t xml:space="preserve">  Petitioner said that October 17</w:t>
      </w:r>
      <w:r w:rsidRPr="004925B9">
        <w:rPr>
          <w:rFonts w:ascii="Times New Roman" w:hAnsi="Times New Roman" w:cs="Times New Roman"/>
          <w:vertAlign w:val="superscript"/>
        </w:rPr>
        <w:t>th</w:t>
      </w:r>
      <w:r>
        <w:rPr>
          <w:rFonts w:ascii="Times New Roman" w:hAnsi="Times New Roman" w:cs="Times New Roman"/>
        </w:rPr>
        <w:t xml:space="preserve"> </w:t>
      </w:r>
      <w:r w:rsidRPr="004925B9">
        <w:rPr>
          <w:rFonts w:ascii="Times New Roman" w:hAnsi="Times New Roman" w:cs="Times New Roman"/>
        </w:rPr>
        <w:t xml:space="preserve">would be acceptable, as its counsel was out of the office until that day.  Respondent stated it’s “appreciation” for the extra days and committed to “go forward right away.”  </w:t>
      </w:r>
      <w:r w:rsidR="00F96762">
        <w:rPr>
          <w:rFonts w:ascii="Times New Roman" w:hAnsi="Times New Roman" w:cs="Times New Roman"/>
        </w:rPr>
        <w:t>However, n</w:t>
      </w:r>
      <w:r>
        <w:rPr>
          <w:rFonts w:ascii="Times New Roman" w:hAnsi="Times New Roman" w:cs="Times New Roman"/>
        </w:rPr>
        <w:t xml:space="preserve">ot a single response was provided on October </w:t>
      </w:r>
      <w:r w:rsidRPr="00F96762">
        <w:rPr>
          <w:rFonts w:ascii="Times New Roman" w:hAnsi="Times New Roman" w:cs="Times New Roman"/>
        </w:rPr>
        <w:t>17</w:t>
      </w:r>
      <w:r w:rsidRPr="00F96762">
        <w:rPr>
          <w:rFonts w:ascii="Times New Roman" w:hAnsi="Times New Roman" w:cs="Times New Roman"/>
          <w:vertAlign w:val="superscript"/>
        </w:rPr>
        <w:t>th</w:t>
      </w:r>
      <w:r w:rsidRPr="00F96762">
        <w:rPr>
          <w:rFonts w:ascii="Times New Roman" w:hAnsi="Times New Roman" w:cs="Times New Roman"/>
        </w:rPr>
        <w:t xml:space="preserve">. Harlow Declaration, </w:t>
      </w:r>
      <w:r w:rsidR="00F96762">
        <w:rPr>
          <w:rFonts w:ascii="Times New Roman" w:hAnsi="Times New Roman" w:cs="Times New Roman"/>
        </w:rPr>
        <w:t>¶ 2</w:t>
      </w:r>
      <w:r w:rsidRPr="00F96762">
        <w:rPr>
          <w:rFonts w:ascii="Times New Roman" w:hAnsi="Times New Roman" w:cs="Times New Roman"/>
        </w:rPr>
        <w:t xml:space="preserve">.  </w:t>
      </w:r>
    </w:p>
  </w:footnote>
  <w:footnote w:id="13">
    <w:p w:rsidR="004868C0" w:rsidRPr="004925B9" w:rsidRDefault="004868C0">
      <w:pPr>
        <w:pStyle w:val="FootnoteText"/>
        <w:rPr>
          <w:rFonts w:ascii="Times New Roman" w:hAnsi="Times New Roman" w:cs="Times New Roman"/>
        </w:rPr>
      </w:pPr>
      <w:r w:rsidRPr="00F96762">
        <w:rPr>
          <w:rStyle w:val="FootnoteReference"/>
          <w:rFonts w:ascii="Times New Roman" w:hAnsi="Times New Roman" w:cs="Times New Roman"/>
        </w:rPr>
        <w:footnoteRef/>
      </w:r>
      <w:r w:rsidRPr="00F96762">
        <w:rPr>
          <w:rFonts w:ascii="Times New Roman" w:hAnsi="Times New Roman" w:cs="Times New Roman"/>
        </w:rPr>
        <w:t xml:space="preserve"> The emails among counsel regarding </w:t>
      </w:r>
      <w:proofErr w:type="spellStart"/>
      <w:r w:rsidRPr="00F96762">
        <w:rPr>
          <w:rFonts w:ascii="Times New Roman" w:hAnsi="Times New Roman" w:cs="Times New Roman"/>
        </w:rPr>
        <w:t>Speedishuttle’s</w:t>
      </w:r>
      <w:proofErr w:type="spellEnd"/>
      <w:r w:rsidRPr="00F96762">
        <w:rPr>
          <w:rFonts w:ascii="Times New Roman" w:hAnsi="Times New Roman" w:cs="Times New Roman"/>
        </w:rPr>
        <w:t xml:space="preserve"> failure to respond and its rationale are attached to the Harlow Declaration as Exhibit</w:t>
      </w:r>
      <w:r w:rsidR="00895555" w:rsidRPr="00F96762">
        <w:rPr>
          <w:rFonts w:ascii="Times New Roman" w:hAnsi="Times New Roman" w:cs="Times New Roman"/>
        </w:rPr>
        <w:t>s</w:t>
      </w:r>
      <w:r w:rsidRPr="00F96762">
        <w:rPr>
          <w:rFonts w:ascii="Times New Roman" w:hAnsi="Times New Roman" w:cs="Times New Roman"/>
        </w:rPr>
        <w:t xml:space="preserve"> A</w:t>
      </w:r>
      <w:r w:rsidR="00895555" w:rsidRPr="00F96762">
        <w:rPr>
          <w:rFonts w:ascii="Times New Roman" w:hAnsi="Times New Roman" w:cs="Times New Roman"/>
        </w:rPr>
        <w:t xml:space="preserve"> and B</w:t>
      </w:r>
      <w:r w:rsidRPr="00F96762">
        <w:rPr>
          <w:rFonts w:ascii="Times New Roman" w:hAnsi="Times New Roman" w:cs="Times New Roman"/>
        </w:rPr>
        <w:t xml:space="preserve">.  The Commission can draw its own conclusion as to what was or </w:t>
      </w:r>
      <w:r w:rsidRPr="00F96762">
        <w:rPr>
          <w:rFonts w:ascii="Times New Roman" w:hAnsi="Times New Roman" w:cs="Times New Roman"/>
          <w:b/>
          <w:i/>
        </w:rPr>
        <w:t>was not</w:t>
      </w:r>
      <w:r w:rsidRPr="00F96762">
        <w:rPr>
          <w:rFonts w:ascii="Times New Roman" w:hAnsi="Times New Roman" w:cs="Times New Roman"/>
        </w:rPr>
        <w:t xml:space="preserve"> agreed regarding the outstanding and </w:t>
      </w:r>
      <w:r w:rsidR="00F96762">
        <w:rPr>
          <w:rFonts w:ascii="Times New Roman" w:hAnsi="Times New Roman" w:cs="Times New Roman"/>
        </w:rPr>
        <w:t xml:space="preserve">long </w:t>
      </w:r>
      <w:r w:rsidRPr="00F96762">
        <w:rPr>
          <w:rFonts w:ascii="Times New Roman" w:hAnsi="Times New Roman" w:cs="Times New Roman"/>
        </w:rPr>
        <w:t>overdue discovery responses.</w:t>
      </w:r>
      <w:r w:rsidRPr="004925B9">
        <w:rPr>
          <w:rFonts w:ascii="Times New Roman" w:hAnsi="Times New Roman" w:cs="Times New Roman"/>
        </w:rPr>
        <w:t xml:space="preserve">  </w:t>
      </w:r>
    </w:p>
  </w:footnote>
  <w:footnote w:id="14">
    <w:p w:rsidR="00A75C03" w:rsidRPr="00A75C03" w:rsidRDefault="00A75C03">
      <w:pPr>
        <w:pStyle w:val="FootnoteText"/>
        <w:rPr>
          <w:rFonts w:ascii="Times New Roman" w:hAnsi="Times New Roman" w:cs="Times New Roman"/>
        </w:rPr>
      </w:pPr>
      <w:r w:rsidRPr="00A75C03">
        <w:rPr>
          <w:rStyle w:val="FootnoteReference"/>
          <w:rFonts w:ascii="Times New Roman" w:hAnsi="Times New Roman" w:cs="Times New Roman"/>
        </w:rPr>
        <w:footnoteRef/>
      </w:r>
      <w:r w:rsidRPr="00A75C03">
        <w:rPr>
          <w:rFonts w:ascii="Times New Roman" w:hAnsi="Times New Roman" w:cs="Times New Roman"/>
        </w:rPr>
        <w:t xml:space="preserve"> It reflects a quintessential “result injuriously affecting [Shuttle Express] which was not considered or anticipated at the former hearing….”  </w:t>
      </w:r>
      <w:r w:rsidRPr="00A75C03">
        <w:rPr>
          <w:rFonts w:ascii="Times New Roman" w:hAnsi="Times New Roman" w:cs="Times New Roman"/>
          <w:spacing w:val="1"/>
        </w:rPr>
        <w:t>Order 08, ¶ 23.</w:t>
      </w:r>
      <w:r w:rsidRPr="00A75C03">
        <w:rPr>
          <w:rFonts w:ascii="Times New Roman" w:hAnsi="Times New Roman" w:cs="Times New Roman"/>
        </w:rPr>
        <w:t xml:space="preserve"> </w:t>
      </w:r>
    </w:p>
  </w:footnote>
  <w:footnote w:id="15">
    <w:p w:rsidR="00EC4817" w:rsidRPr="004925B9" w:rsidRDefault="00EC4817">
      <w:pPr>
        <w:pStyle w:val="FootnoteText"/>
        <w:rPr>
          <w:rFonts w:ascii="Times New Roman" w:hAnsi="Times New Roman" w:cs="Times New Roman"/>
        </w:rPr>
      </w:pPr>
      <w:r w:rsidRPr="004925B9">
        <w:rPr>
          <w:rStyle w:val="FootnoteReference"/>
          <w:rFonts w:ascii="Times New Roman" w:hAnsi="Times New Roman" w:cs="Times New Roman"/>
        </w:rPr>
        <w:footnoteRef/>
      </w:r>
      <w:r w:rsidRPr="004925B9">
        <w:rPr>
          <w:rFonts w:ascii="Times New Roman" w:hAnsi="Times New Roman" w:cs="Times New Roman"/>
        </w:rPr>
        <w:t xml:space="preserve"> </w:t>
      </w:r>
      <w:r w:rsidR="00371543" w:rsidRPr="004925B9">
        <w:rPr>
          <w:rFonts w:ascii="Times New Roman" w:hAnsi="Times New Roman" w:cs="Times New Roman"/>
        </w:rPr>
        <w:t>See Declaration of Wesley Marks, ¶</w:t>
      </w:r>
      <w:r w:rsidR="00ED222F" w:rsidRPr="004925B9">
        <w:rPr>
          <w:rFonts w:ascii="Times New Roman" w:hAnsi="Times New Roman" w:cs="Times New Roman"/>
        </w:rPr>
        <w:t>¶</w:t>
      </w:r>
      <w:r w:rsidR="003F599A">
        <w:rPr>
          <w:rFonts w:ascii="Times New Roman" w:hAnsi="Times New Roman" w:cs="Times New Roman"/>
        </w:rPr>
        <w:t> </w:t>
      </w:r>
      <w:r w:rsidR="00ED222F">
        <w:rPr>
          <w:rFonts w:ascii="Times New Roman" w:hAnsi="Times New Roman" w:cs="Times New Roman"/>
        </w:rPr>
        <w:t>3-4</w:t>
      </w:r>
      <w:r w:rsidR="00371543" w:rsidRPr="004925B9">
        <w:rPr>
          <w:rFonts w:ascii="Times New Roman" w:hAnsi="Times New Roman" w:cs="Times New Roman"/>
        </w:rPr>
        <w:t xml:space="preserve">, filed herewith.  </w:t>
      </w:r>
    </w:p>
  </w:footnote>
  <w:footnote w:id="16">
    <w:p w:rsidR="009D65DD" w:rsidRPr="004925B9" w:rsidRDefault="009D65DD">
      <w:pPr>
        <w:pStyle w:val="FootnoteText"/>
        <w:rPr>
          <w:rFonts w:ascii="Times New Roman" w:hAnsi="Times New Roman" w:cs="Times New Roman"/>
        </w:rPr>
      </w:pPr>
      <w:r w:rsidRPr="004925B9">
        <w:rPr>
          <w:rStyle w:val="FootnoteReference"/>
          <w:rFonts w:ascii="Times New Roman" w:hAnsi="Times New Roman" w:cs="Times New Roman"/>
        </w:rPr>
        <w:footnoteRef/>
      </w:r>
      <w:r w:rsidRPr="004925B9">
        <w:rPr>
          <w:rFonts w:ascii="Times New Roman" w:hAnsi="Times New Roman" w:cs="Times New Roman"/>
        </w:rPr>
        <w:t xml:space="preserve"> Graph and data from Marks Declaration.</w:t>
      </w:r>
    </w:p>
  </w:footnote>
  <w:footnote w:id="17">
    <w:p w:rsidR="00ED222F" w:rsidRDefault="00ED222F">
      <w:pPr>
        <w:pStyle w:val="FootnoteText"/>
      </w:pPr>
      <w:r>
        <w:rPr>
          <w:rStyle w:val="FootnoteReference"/>
        </w:rPr>
        <w:footnoteRef/>
      </w:r>
      <w:r>
        <w:t xml:space="preserve"> </w:t>
      </w:r>
      <w:r w:rsidRPr="004925B9">
        <w:rPr>
          <w:rFonts w:ascii="Times New Roman" w:hAnsi="Times New Roman" w:cs="Times New Roman"/>
        </w:rPr>
        <w:t>Marks</w:t>
      </w:r>
      <w:r>
        <w:rPr>
          <w:rFonts w:ascii="Times New Roman" w:hAnsi="Times New Roman" w:cs="Times New Roman"/>
        </w:rPr>
        <w:t xml:space="preserve"> </w:t>
      </w:r>
      <w:r w:rsidRPr="004925B9">
        <w:rPr>
          <w:rFonts w:ascii="Times New Roman" w:hAnsi="Times New Roman" w:cs="Times New Roman"/>
        </w:rPr>
        <w:t>Declaration, ¶</w:t>
      </w:r>
      <w:r>
        <w:rPr>
          <w:rFonts w:ascii="Times New Roman" w:hAnsi="Times New Roman" w:cs="Times New Roman"/>
        </w:rPr>
        <w:t> 5.</w:t>
      </w:r>
    </w:p>
  </w:footnote>
  <w:footnote w:id="18">
    <w:p w:rsidR="009D65DD" w:rsidRPr="005B2017" w:rsidRDefault="009D65DD" w:rsidP="009D65DD">
      <w:pPr>
        <w:pStyle w:val="FootnoteText"/>
        <w:rPr>
          <w:rFonts w:ascii="Times New Roman" w:hAnsi="Times New Roman" w:cs="Times New Roman"/>
        </w:rPr>
      </w:pPr>
      <w:r w:rsidRPr="005B2017">
        <w:rPr>
          <w:rStyle w:val="FootnoteReference"/>
          <w:rFonts w:ascii="Times New Roman" w:hAnsi="Times New Roman" w:cs="Times New Roman"/>
        </w:rPr>
        <w:footnoteRef/>
      </w:r>
      <w:r w:rsidRPr="005B2017">
        <w:rPr>
          <w:rFonts w:ascii="Times New Roman" w:hAnsi="Times New Roman" w:cs="Times New Roman"/>
        </w:rPr>
        <w:t xml:space="preserve"> Graph and data from Marks Declaration.</w:t>
      </w:r>
      <w:r w:rsidR="00ED222F">
        <w:rPr>
          <w:rFonts w:ascii="Times New Roman" w:hAnsi="Times New Roman" w:cs="Times New Roman"/>
        </w:rPr>
        <w:t xml:space="preserve">  Note:  if printed, a color rendition is needed to clearly see the split in the bars showing the breakout of the Shuttle Express versus </w:t>
      </w:r>
      <w:proofErr w:type="spellStart"/>
      <w:r w:rsidR="00ED222F">
        <w:rPr>
          <w:rFonts w:ascii="Times New Roman" w:hAnsi="Times New Roman" w:cs="Times New Roman"/>
        </w:rPr>
        <w:t>Speedishuttle</w:t>
      </w:r>
      <w:proofErr w:type="spellEnd"/>
      <w:r w:rsidR="00ED222F">
        <w:rPr>
          <w:rFonts w:ascii="Times New Roman" w:hAnsi="Times New Roman" w:cs="Times New Roman"/>
        </w:rPr>
        <w:t xml:space="preserve"> trips after April, 2015.</w:t>
      </w:r>
    </w:p>
  </w:footnote>
  <w:footnote w:id="19">
    <w:p w:rsidR="00E71B33" w:rsidRPr="004925B9" w:rsidRDefault="00E71B33">
      <w:pPr>
        <w:pStyle w:val="FootnoteText"/>
        <w:rPr>
          <w:rFonts w:ascii="Times New Roman" w:hAnsi="Times New Roman" w:cs="Times New Roman"/>
        </w:rPr>
      </w:pPr>
      <w:r w:rsidRPr="004925B9">
        <w:rPr>
          <w:rStyle w:val="FootnoteReference"/>
          <w:rFonts w:ascii="Times New Roman" w:hAnsi="Times New Roman" w:cs="Times New Roman"/>
        </w:rPr>
        <w:footnoteRef/>
      </w:r>
      <w:r w:rsidRPr="004925B9">
        <w:rPr>
          <w:rFonts w:ascii="Times New Roman" w:hAnsi="Times New Roman" w:cs="Times New Roman"/>
        </w:rPr>
        <w:t xml:space="preserve"> It did not ask for a 10-month stay to continue what may well be found in these dockets to be unfair competition, harm to the public interest, or even predatory pricing</w:t>
      </w:r>
      <w:r w:rsidR="00F17085">
        <w:rPr>
          <w:rFonts w:ascii="Times New Roman" w:hAnsi="Times New Roman" w:cs="Times New Roman"/>
        </w:rPr>
        <w:t>, as could occur pursuant to the Commission’s Notice</w:t>
      </w:r>
      <w:r w:rsidRPr="004925B9">
        <w:rPr>
          <w:rFonts w:ascii="Times New Roman" w:hAnsi="Times New Roman" w:cs="Times New Roman"/>
        </w:rPr>
        <w:t xml:space="preserve">.  </w:t>
      </w:r>
    </w:p>
  </w:footnote>
  <w:footnote w:id="20">
    <w:p w:rsidR="002B516B" w:rsidRPr="004925B9" w:rsidRDefault="002B516B">
      <w:pPr>
        <w:pStyle w:val="FootnoteText"/>
        <w:rPr>
          <w:rFonts w:ascii="Times New Roman" w:hAnsi="Times New Roman" w:cs="Times New Roman"/>
        </w:rPr>
      </w:pPr>
      <w:r w:rsidRPr="004925B9">
        <w:rPr>
          <w:rStyle w:val="FootnoteReference"/>
          <w:rFonts w:ascii="Times New Roman" w:hAnsi="Times New Roman" w:cs="Times New Roman"/>
        </w:rPr>
        <w:footnoteRef/>
      </w:r>
      <w:r w:rsidRPr="004925B9">
        <w:rPr>
          <w:rFonts w:ascii="Times New Roman" w:hAnsi="Times New Roman" w:cs="Times New Roman"/>
        </w:rPr>
        <w:t xml:space="preserve"> Commission Staff’s Response, ¶ 3 (Oct. 13, 2016).</w:t>
      </w:r>
    </w:p>
  </w:footnote>
  <w:footnote w:id="21">
    <w:p w:rsidR="002B516B" w:rsidRPr="00F259B0" w:rsidRDefault="002B516B" w:rsidP="002B516B">
      <w:pPr>
        <w:pStyle w:val="FootnoteText"/>
        <w:rPr>
          <w:rFonts w:ascii="Times New Roman" w:hAnsi="Times New Roman" w:cs="Times New Roman"/>
        </w:rPr>
      </w:pPr>
      <w:r w:rsidRPr="00F259B0">
        <w:rPr>
          <w:rStyle w:val="FootnoteReference"/>
          <w:rFonts w:ascii="Times New Roman" w:hAnsi="Times New Roman" w:cs="Times New Roman"/>
        </w:rPr>
        <w:footnoteRef/>
      </w:r>
      <w:r w:rsidR="004708E3">
        <w:rPr>
          <w:rFonts w:ascii="Times New Roman" w:hAnsi="Times New Roman" w:cs="Times New Roman"/>
        </w:rPr>
        <w:t xml:space="preserve"> Because the door-to-</w:t>
      </w:r>
      <w:r w:rsidRPr="00F259B0">
        <w:rPr>
          <w:rFonts w:ascii="Times New Roman" w:hAnsi="Times New Roman" w:cs="Times New Roman"/>
        </w:rPr>
        <w:t>door auto transportation market is continuing to shrink</w:t>
      </w:r>
      <w:r>
        <w:rPr>
          <w:rFonts w:ascii="Times New Roman" w:hAnsi="Times New Roman" w:cs="Times New Roman"/>
        </w:rPr>
        <w:t xml:space="preserve"> overall</w:t>
      </w:r>
      <w:r w:rsidRPr="00F259B0">
        <w:rPr>
          <w:rFonts w:ascii="Times New Roman" w:hAnsi="Times New Roman" w:cs="Times New Roman"/>
        </w:rPr>
        <w:t xml:space="preserve">, for a number of reasons outside the control of either the Commission or Shuttle Express, splitting the market in half as </w:t>
      </w:r>
      <w:proofErr w:type="spellStart"/>
      <w:r>
        <w:rPr>
          <w:rFonts w:ascii="Times New Roman" w:hAnsi="Times New Roman" w:cs="Times New Roman"/>
        </w:rPr>
        <w:t>Speedishuttle</w:t>
      </w:r>
      <w:proofErr w:type="spellEnd"/>
      <w:r w:rsidRPr="00F259B0">
        <w:rPr>
          <w:rFonts w:ascii="Times New Roman" w:hAnsi="Times New Roman" w:cs="Times New Roman"/>
        </w:rPr>
        <w:t xml:space="preserve"> has done may even threaten the long-term viability of county-wide airport shuttle service.   </w:t>
      </w:r>
      <w:r>
        <w:rPr>
          <w:rFonts w:ascii="Times New Roman" w:hAnsi="Times New Roman" w:cs="Times New Roman"/>
        </w:rPr>
        <w:t>In 10 months it could be too late to undo long-term damage to the market.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A7" w:rsidRDefault="002D5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A7" w:rsidRDefault="002D5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A7" w:rsidRDefault="002D5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6"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7"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8" w15:restartNumberingAfterBreak="0">
    <w:nsid w:val="4C825505"/>
    <w:multiLevelType w:val="hybridMultilevel"/>
    <w:tmpl w:val="E95635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82B4567"/>
    <w:multiLevelType w:val="hybridMultilevel"/>
    <w:tmpl w:val="0EC85DC6"/>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DAA81DA4">
      <w:start w:val="1"/>
      <w:numFmt w:val="upperRoman"/>
      <w:lvlText w:val="%2."/>
      <w:lvlJc w:val="left"/>
      <w:pPr>
        <w:ind w:left="1900" w:hanging="720"/>
      </w:pPr>
      <w:rPr>
        <w:rFonts w:ascii="Times New Roman" w:eastAsia="Times New Roman" w:hAnsi="Times New Roman" w:hint="default"/>
        <w:b w:val="0"/>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10"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12"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0"/>
  </w:num>
  <w:num w:numId="8">
    <w:abstractNumId w:val="7"/>
  </w:num>
  <w:num w:numId="9">
    <w:abstractNumId w:val="2"/>
  </w:num>
  <w:num w:numId="10">
    <w:abstractNumId w:val="1"/>
  </w:num>
  <w:num w:numId="11">
    <w:abstractNumId w:val="10"/>
  </w:num>
  <w:num w:numId="12">
    <w:abstractNumId w:val="14"/>
  </w:num>
  <w:num w:numId="13">
    <w:abstractNumId w:val="1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270D2"/>
    <w:rsid w:val="00040F22"/>
    <w:rsid w:val="000466F1"/>
    <w:rsid w:val="00052ADD"/>
    <w:rsid w:val="000776BC"/>
    <w:rsid w:val="00086CA2"/>
    <w:rsid w:val="00091FE6"/>
    <w:rsid w:val="000C12BC"/>
    <w:rsid w:val="000E4DA3"/>
    <w:rsid w:val="000F1C96"/>
    <w:rsid w:val="000F67ED"/>
    <w:rsid w:val="001136CC"/>
    <w:rsid w:val="001266A0"/>
    <w:rsid w:val="00143542"/>
    <w:rsid w:val="00143D62"/>
    <w:rsid w:val="00156AE8"/>
    <w:rsid w:val="00167DAA"/>
    <w:rsid w:val="001740C3"/>
    <w:rsid w:val="00184253"/>
    <w:rsid w:val="001A4F6F"/>
    <w:rsid w:val="001F158B"/>
    <w:rsid w:val="001F79B4"/>
    <w:rsid w:val="00224C30"/>
    <w:rsid w:val="0023658C"/>
    <w:rsid w:val="0025475B"/>
    <w:rsid w:val="0026578C"/>
    <w:rsid w:val="002B516B"/>
    <w:rsid w:val="002D39E9"/>
    <w:rsid w:val="002D4BD8"/>
    <w:rsid w:val="002D4CB0"/>
    <w:rsid w:val="002D5FA7"/>
    <w:rsid w:val="0031098B"/>
    <w:rsid w:val="00323C2C"/>
    <w:rsid w:val="003646A6"/>
    <w:rsid w:val="00367FE2"/>
    <w:rsid w:val="00371543"/>
    <w:rsid w:val="00381604"/>
    <w:rsid w:val="00386D5E"/>
    <w:rsid w:val="00387EC0"/>
    <w:rsid w:val="003C32CE"/>
    <w:rsid w:val="003C7935"/>
    <w:rsid w:val="003D5B58"/>
    <w:rsid w:val="003E15F2"/>
    <w:rsid w:val="003F599A"/>
    <w:rsid w:val="004171D1"/>
    <w:rsid w:val="00420968"/>
    <w:rsid w:val="00423C1A"/>
    <w:rsid w:val="00455BD9"/>
    <w:rsid w:val="004708E3"/>
    <w:rsid w:val="004728A6"/>
    <w:rsid w:val="004757AD"/>
    <w:rsid w:val="00476388"/>
    <w:rsid w:val="004868C0"/>
    <w:rsid w:val="00487303"/>
    <w:rsid w:val="004925B9"/>
    <w:rsid w:val="00493032"/>
    <w:rsid w:val="00495083"/>
    <w:rsid w:val="004A65E5"/>
    <w:rsid w:val="004B0DF0"/>
    <w:rsid w:val="004B1585"/>
    <w:rsid w:val="004B53D1"/>
    <w:rsid w:val="004C0841"/>
    <w:rsid w:val="004C151F"/>
    <w:rsid w:val="004C202B"/>
    <w:rsid w:val="004C5EE6"/>
    <w:rsid w:val="004D3DB0"/>
    <w:rsid w:val="00511521"/>
    <w:rsid w:val="00522A1E"/>
    <w:rsid w:val="00522D8A"/>
    <w:rsid w:val="00534ECF"/>
    <w:rsid w:val="00540C42"/>
    <w:rsid w:val="005975DF"/>
    <w:rsid w:val="00597B22"/>
    <w:rsid w:val="005E23B8"/>
    <w:rsid w:val="005F23FD"/>
    <w:rsid w:val="00602E05"/>
    <w:rsid w:val="00643422"/>
    <w:rsid w:val="00646B06"/>
    <w:rsid w:val="00650105"/>
    <w:rsid w:val="00662B81"/>
    <w:rsid w:val="006721A7"/>
    <w:rsid w:val="00681ECC"/>
    <w:rsid w:val="006833FC"/>
    <w:rsid w:val="00693441"/>
    <w:rsid w:val="00697753"/>
    <w:rsid w:val="006C1A08"/>
    <w:rsid w:val="006F474A"/>
    <w:rsid w:val="006F6C54"/>
    <w:rsid w:val="006F6DC4"/>
    <w:rsid w:val="00716E5E"/>
    <w:rsid w:val="00723909"/>
    <w:rsid w:val="007302FC"/>
    <w:rsid w:val="00747262"/>
    <w:rsid w:val="007801EC"/>
    <w:rsid w:val="00781CED"/>
    <w:rsid w:val="00782A8B"/>
    <w:rsid w:val="00785997"/>
    <w:rsid w:val="00797DDC"/>
    <w:rsid w:val="008026E8"/>
    <w:rsid w:val="008123ED"/>
    <w:rsid w:val="00835370"/>
    <w:rsid w:val="00837D46"/>
    <w:rsid w:val="00845542"/>
    <w:rsid w:val="00846378"/>
    <w:rsid w:val="008502AC"/>
    <w:rsid w:val="00885088"/>
    <w:rsid w:val="00894679"/>
    <w:rsid w:val="00895555"/>
    <w:rsid w:val="00895710"/>
    <w:rsid w:val="008A3293"/>
    <w:rsid w:val="008C0795"/>
    <w:rsid w:val="008C19F3"/>
    <w:rsid w:val="00906243"/>
    <w:rsid w:val="00912F6B"/>
    <w:rsid w:val="009213BC"/>
    <w:rsid w:val="00935E60"/>
    <w:rsid w:val="00951561"/>
    <w:rsid w:val="009544EA"/>
    <w:rsid w:val="00967F6D"/>
    <w:rsid w:val="00970B37"/>
    <w:rsid w:val="0099109B"/>
    <w:rsid w:val="00993B45"/>
    <w:rsid w:val="009A7EEA"/>
    <w:rsid w:val="009D16CE"/>
    <w:rsid w:val="009D3295"/>
    <w:rsid w:val="009D44EF"/>
    <w:rsid w:val="009D65DD"/>
    <w:rsid w:val="009F437F"/>
    <w:rsid w:val="009F55F6"/>
    <w:rsid w:val="009F7E8D"/>
    <w:rsid w:val="00A10ED3"/>
    <w:rsid w:val="00A245F1"/>
    <w:rsid w:val="00A275D2"/>
    <w:rsid w:val="00A4177E"/>
    <w:rsid w:val="00A54C55"/>
    <w:rsid w:val="00A54D02"/>
    <w:rsid w:val="00A651BF"/>
    <w:rsid w:val="00A75C03"/>
    <w:rsid w:val="00A80E32"/>
    <w:rsid w:val="00A82901"/>
    <w:rsid w:val="00A830B5"/>
    <w:rsid w:val="00A924D5"/>
    <w:rsid w:val="00AA0255"/>
    <w:rsid w:val="00AA1E50"/>
    <w:rsid w:val="00AB0737"/>
    <w:rsid w:val="00AC045A"/>
    <w:rsid w:val="00AC6F6A"/>
    <w:rsid w:val="00AD2337"/>
    <w:rsid w:val="00AD69D2"/>
    <w:rsid w:val="00AD75BB"/>
    <w:rsid w:val="00AE2FC3"/>
    <w:rsid w:val="00AF1A5E"/>
    <w:rsid w:val="00AF64E0"/>
    <w:rsid w:val="00B03AB4"/>
    <w:rsid w:val="00B40061"/>
    <w:rsid w:val="00B54B44"/>
    <w:rsid w:val="00B63C1B"/>
    <w:rsid w:val="00B77DFF"/>
    <w:rsid w:val="00B852E9"/>
    <w:rsid w:val="00BA19BE"/>
    <w:rsid w:val="00BA4D3E"/>
    <w:rsid w:val="00BB0E52"/>
    <w:rsid w:val="00BB2482"/>
    <w:rsid w:val="00BE1339"/>
    <w:rsid w:val="00BE4C28"/>
    <w:rsid w:val="00BE534F"/>
    <w:rsid w:val="00BF283D"/>
    <w:rsid w:val="00C174DB"/>
    <w:rsid w:val="00C22E56"/>
    <w:rsid w:val="00C366E7"/>
    <w:rsid w:val="00C643EE"/>
    <w:rsid w:val="00C717A5"/>
    <w:rsid w:val="00C748B8"/>
    <w:rsid w:val="00CB4E77"/>
    <w:rsid w:val="00CC2073"/>
    <w:rsid w:val="00CC3861"/>
    <w:rsid w:val="00CC46DD"/>
    <w:rsid w:val="00CD397F"/>
    <w:rsid w:val="00CD3B6E"/>
    <w:rsid w:val="00CE60C2"/>
    <w:rsid w:val="00CF067C"/>
    <w:rsid w:val="00CF7C5D"/>
    <w:rsid w:val="00D15762"/>
    <w:rsid w:val="00D17B03"/>
    <w:rsid w:val="00D244B3"/>
    <w:rsid w:val="00D51107"/>
    <w:rsid w:val="00D5131F"/>
    <w:rsid w:val="00D531BD"/>
    <w:rsid w:val="00D56DF5"/>
    <w:rsid w:val="00D66FB7"/>
    <w:rsid w:val="00D73399"/>
    <w:rsid w:val="00D9353A"/>
    <w:rsid w:val="00D958B0"/>
    <w:rsid w:val="00D95BF6"/>
    <w:rsid w:val="00D97CDA"/>
    <w:rsid w:val="00DA0DA4"/>
    <w:rsid w:val="00DA2572"/>
    <w:rsid w:val="00DA2A86"/>
    <w:rsid w:val="00DA33FE"/>
    <w:rsid w:val="00DC15CA"/>
    <w:rsid w:val="00DD7733"/>
    <w:rsid w:val="00DE5FFC"/>
    <w:rsid w:val="00E02B10"/>
    <w:rsid w:val="00E503D4"/>
    <w:rsid w:val="00E542F5"/>
    <w:rsid w:val="00E557A8"/>
    <w:rsid w:val="00E715D1"/>
    <w:rsid w:val="00E71B33"/>
    <w:rsid w:val="00E744A1"/>
    <w:rsid w:val="00E95352"/>
    <w:rsid w:val="00EA0D33"/>
    <w:rsid w:val="00EC4817"/>
    <w:rsid w:val="00ED222F"/>
    <w:rsid w:val="00ED2C8B"/>
    <w:rsid w:val="00EF146E"/>
    <w:rsid w:val="00EF71FD"/>
    <w:rsid w:val="00EF7E17"/>
    <w:rsid w:val="00F0464A"/>
    <w:rsid w:val="00F108AD"/>
    <w:rsid w:val="00F125F2"/>
    <w:rsid w:val="00F17085"/>
    <w:rsid w:val="00F1708A"/>
    <w:rsid w:val="00F20C4D"/>
    <w:rsid w:val="00F20E78"/>
    <w:rsid w:val="00F259B0"/>
    <w:rsid w:val="00F373E1"/>
    <w:rsid w:val="00F509CB"/>
    <w:rsid w:val="00F61223"/>
    <w:rsid w:val="00F71673"/>
    <w:rsid w:val="00F77811"/>
    <w:rsid w:val="00F934FD"/>
    <w:rsid w:val="00F96762"/>
    <w:rsid w:val="00FA68B3"/>
    <w:rsid w:val="00FC7749"/>
    <w:rsid w:val="00FE133F"/>
    <w:rsid w:val="00FE6A24"/>
    <w:rsid w:val="00FE7EA7"/>
    <w:rsid w:val="00FF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37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beattie@utc.wa.gov"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dwiley@williamskastner.com"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eattie@utc.wa.gov"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bharlow@fcclaw.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wiley@williamskastner.com"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2016-10-21T07:00:00+00:00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4CD82E-8DC2-4BCB-993A-88BFADBD9CDD}"/>
</file>

<file path=customXml/itemProps2.xml><?xml version="1.0" encoding="utf-8"?>
<ds:datastoreItem xmlns:ds="http://schemas.openxmlformats.org/officeDocument/2006/customXml" ds:itemID="{5BD49D47-26BE-413D-ADB3-113692C14862}"/>
</file>

<file path=customXml/itemProps3.xml><?xml version="1.0" encoding="utf-8"?>
<ds:datastoreItem xmlns:ds="http://schemas.openxmlformats.org/officeDocument/2006/customXml" ds:itemID="{55ACFB8E-71D1-4961-ABB8-3319224FA62D}"/>
</file>

<file path=customXml/itemProps4.xml><?xml version="1.0" encoding="utf-8"?>
<ds:datastoreItem xmlns:ds="http://schemas.openxmlformats.org/officeDocument/2006/customXml" ds:itemID="{F1A38A3A-8E87-49D3-A8C4-5A3D7D401180}"/>
</file>

<file path=docProps/app.xml><?xml version="1.0" encoding="utf-8"?>
<Properties xmlns="http://schemas.openxmlformats.org/officeDocument/2006/extended-properties" xmlns:vt="http://schemas.openxmlformats.org/officeDocument/2006/docPropsVTypes">
  <Template>Normal.dotm</Template>
  <TotalTime>0</TotalTime>
  <Pages>11</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2016-10-21T20:42:00Z</dcterms:created>
  <dcterms:modified xsi:type="dcterms:W3CDTF">2016-10-21T21:25:00Z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