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0D" w:rsidRPr="00F021E3" w:rsidRDefault="0074280D" w:rsidP="0074280D">
      <w:pPr>
        <w:ind w:left="4320" w:right="18" w:firstLine="720"/>
        <w:rPr>
          <w:b/>
          <w:lang w:val="fr-FR"/>
        </w:rPr>
      </w:pPr>
      <w:r w:rsidRPr="00F021E3">
        <w:rPr>
          <w:b/>
        </w:rPr>
        <w:t>Exhibit</w:t>
      </w:r>
      <w:r w:rsidRPr="00F021E3">
        <w:rPr>
          <w:b/>
          <w:lang w:val="fr-FR"/>
        </w:rPr>
        <w:t xml:space="preserve"> No. ___</w:t>
      </w:r>
      <w:r>
        <w:rPr>
          <w:b/>
          <w:lang w:val="fr-FR"/>
        </w:rPr>
        <w:t xml:space="preserve"> </w:t>
      </w:r>
      <w:r w:rsidRPr="00F021E3">
        <w:rPr>
          <w:b/>
          <w:lang w:val="fr-FR"/>
        </w:rPr>
        <w:t>T (</w:t>
      </w:r>
      <w:r>
        <w:rPr>
          <w:b/>
          <w:lang w:val="fr-FR"/>
        </w:rPr>
        <w:t>CH</w:t>
      </w:r>
      <w:r w:rsidRPr="00F021E3">
        <w:rPr>
          <w:b/>
          <w:lang w:val="fr-FR"/>
        </w:rPr>
        <w:t>-</w:t>
      </w:r>
      <w:r>
        <w:rPr>
          <w:b/>
          <w:lang w:val="fr-FR"/>
        </w:rPr>
        <w:t>2</w:t>
      </w:r>
      <w:r w:rsidRPr="00F021E3">
        <w:rPr>
          <w:b/>
          <w:lang w:val="fr-FR"/>
        </w:rPr>
        <w:t>T)</w:t>
      </w:r>
    </w:p>
    <w:p w:rsidR="0074280D" w:rsidRPr="00136C92" w:rsidRDefault="0074280D" w:rsidP="0074280D">
      <w:pPr>
        <w:ind w:left="4320" w:firstLine="720"/>
        <w:rPr>
          <w:b/>
        </w:rPr>
      </w:pPr>
      <w:r w:rsidRPr="00F021E3">
        <w:rPr>
          <w:b/>
        </w:rPr>
        <w:t xml:space="preserve">Docket </w:t>
      </w:r>
      <w:r>
        <w:rPr>
          <w:b/>
        </w:rPr>
        <w:t>UT-111254</w:t>
      </w:r>
    </w:p>
    <w:p w:rsidR="0074280D" w:rsidRDefault="0074280D" w:rsidP="0074280D">
      <w:pPr>
        <w:ind w:left="4320" w:firstLine="720"/>
        <w:rPr>
          <w:b/>
        </w:rPr>
      </w:pPr>
      <w:r w:rsidRPr="00F021E3">
        <w:rPr>
          <w:b/>
        </w:rPr>
        <w:t xml:space="preserve">Witness:  </w:t>
      </w:r>
      <w:r>
        <w:rPr>
          <w:b/>
        </w:rPr>
        <w:t>Christopher Hansen</w:t>
      </w:r>
    </w:p>
    <w:p w:rsidR="0074280D" w:rsidRPr="00B27BAC" w:rsidRDefault="0074280D" w:rsidP="0074280D">
      <w:pPr>
        <w:pStyle w:val="BlockText"/>
        <w:spacing w:line="240" w:lineRule="auto"/>
        <w:ind w:left="0"/>
        <w:rPr>
          <w:b/>
        </w:rPr>
      </w:pPr>
    </w:p>
    <w:p w:rsidR="0074280D" w:rsidRPr="00B27BAC" w:rsidRDefault="0074280D" w:rsidP="0074280D">
      <w:pPr>
        <w:pStyle w:val="BlockText"/>
        <w:spacing w:line="240" w:lineRule="auto"/>
        <w:ind w:left="0"/>
        <w:rPr>
          <w:b/>
        </w:rPr>
      </w:pPr>
    </w:p>
    <w:p w:rsidR="0074280D" w:rsidRPr="00B27BAC" w:rsidRDefault="0074280D" w:rsidP="0074280D">
      <w:pPr>
        <w:pStyle w:val="BlockText"/>
        <w:spacing w:line="240" w:lineRule="auto"/>
        <w:ind w:left="0"/>
        <w:rPr>
          <w:b/>
        </w:rPr>
      </w:pPr>
    </w:p>
    <w:p w:rsidR="0074280D" w:rsidRPr="004332AC" w:rsidRDefault="0074280D" w:rsidP="0074280D">
      <w:pPr>
        <w:tabs>
          <w:tab w:val="center" w:pos="4680"/>
        </w:tabs>
        <w:ind w:right="-108" w:hanging="180"/>
        <w:jc w:val="center"/>
        <w:rPr>
          <w:b/>
        </w:rPr>
      </w:pPr>
      <w:r w:rsidRPr="004332AC">
        <w:rPr>
          <w:b/>
        </w:rPr>
        <w:t>BEFORE THE WASHINGTON UTILITIES AND TRANSPORTATION COMMISSION</w:t>
      </w:r>
    </w:p>
    <w:p w:rsidR="0074280D" w:rsidRDefault="0074280D" w:rsidP="0074280D">
      <w:pPr>
        <w:jc w:val="both"/>
        <w:rPr>
          <w:b/>
        </w:rPr>
      </w:pPr>
    </w:p>
    <w:p w:rsidR="0074280D" w:rsidRPr="004332AC" w:rsidRDefault="0074280D" w:rsidP="0074280D">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74280D" w:rsidRPr="004332AC" w:rsidTr="00CD7686">
        <w:tc>
          <w:tcPr>
            <w:tcW w:w="4590" w:type="dxa"/>
            <w:tcBorders>
              <w:top w:val="single" w:sz="6" w:space="0" w:color="FFFFFF"/>
              <w:left w:val="single" w:sz="6" w:space="0" w:color="FFFFFF"/>
              <w:bottom w:val="single" w:sz="7" w:space="0" w:color="000000"/>
              <w:right w:val="single" w:sz="6" w:space="0" w:color="FFFFFF"/>
            </w:tcBorders>
          </w:tcPr>
          <w:p w:rsidR="0074280D" w:rsidRPr="004332AC" w:rsidRDefault="0074280D" w:rsidP="00CD7686">
            <w:pPr>
              <w:rPr>
                <w:b/>
              </w:rPr>
            </w:pPr>
          </w:p>
          <w:p w:rsidR="0074280D" w:rsidRPr="00FB2A42" w:rsidRDefault="0074280D" w:rsidP="00CD7686">
            <w:pPr>
              <w:spacing w:after="19"/>
              <w:rPr>
                <w:b/>
              </w:rPr>
            </w:pPr>
            <w:r>
              <w:rPr>
                <w:b/>
              </w:rPr>
              <w:t>In the Matter of a Complaint by the Joint CLECs against the Joint Applicants Regarding OSS for Maintenance and Repair</w:t>
            </w:r>
          </w:p>
          <w:p w:rsidR="0074280D" w:rsidRPr="004332AC" w:rsidRDefault="0074280D" w:rsidP="00CD7686">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74280D" w:rsidRPr="004332AC" w:rsidRDefault="0074280D" w:rsidP="00CD7686">
            <w:pPr>
              <w:ind w:firstLine="720"/>
              <w:rPr>
                <w:b/>
              </w:rPr>
            </w:pPr>
          </w:p>
          <w:p w:rsidR="0074280D" w:rsidRPr="004332AC" w:rsidRDefault="0074280D" w:rsidP="00CD7686">
            <w:pPr>
              <w:ind w:firstLine="720"/>
              <w:rPr>
                <w:b/>
              </w:rPr>
            </w:pPr>
            <w:r w:rsidRPr="004332AC">
              <w:rPr>
                <w:b/>
              </w:rPr>
              <w:t>DOCKET UT-</w:t>
            </w:r>
            <w:r>
              <w:rPr>
                <w:b/>
              </w:rPr>
              <w:t>111254</w:t>
            </w:r>
          </w:p>
          <w:p w:rsidR="0074280D" w:rsidRPr="004332AC" w:rsidRDefault="0074280D" w:rsidP="00CD7686">
            <w:pPr>
              <w:rPr>
                <w:b/>
              </w:rPr>
            </w:pPr>
          </w:p>
          <w:p w:rsidR="0074280D" w:rsidRPr="004332AC" w:rsidRDefault="0074280D" w:rsidP="00CD7686">
            <w:pPr>
              <w:spacing w:after="19"/>
              <w:ind w:left="720"/>
              <w:rPr>
                <w:b/>
              </w:rPr>
            </w:pPr>
            <w:r w:rsidRPr="004332AC">
              <w:rPr>
                <w:b/>
              </w:rPr>
              <w:t xml:space="preserve"> </w:t>
            </w:r>
          </w:p>
        </w:tc>
      </w:tr>
    </w:tbl>
    <w:p w:rsidR="0074280D" w:rsidRPr="0002310C" w:rsidRDefault="0074280D" w:rsidP="0074280D">
      <w:pPr>
        <w:jc w:val="both"/>
      </w:pPr>
    </w:p>
    <w:p w:rsidR="0074280D" w:rsidRPr="0002310C" w:rsidRDefault="0074280D" w:rsidP="0074280D">
      <w:pPr>
        <w:rPr>
          <w:b/>
          <w:bCs/>
        </w:rPr>
      </w:pPr>
    </w:p>
    <w:p w:rsidR="0074280D" w:rsidRPr="0002310C" w:rsidRDefault="0074280D" w:rsidP="0074280D">
      <w:pPr>
        <w:rPr>
          <w:b/>
          <w:bCs/>
        </w:rPr>
      </w:pPr>
    </w:p>
    <w:p w:rsidR="002B4D3C" w:rsidRDefault="002B4D3C" w:rsidP="002B4D3C">
      <w:pPr>
        <w:jc w:val="center"/>
        <w:rPr>
          <w:b/>
          <w:bCs/>
        </w:rPr>
      </w:pPr>
    </w:p>
    <w:p w:rsidR="002B4D3C" w:rsidRDefault="002B4D3C" w:rsidP="002B4D3C">
      <w:pPr>
        <w:jc w:val="center"/>
        <w:rPr>
          <w:b/>
          <w:bCs/>
        </w:rPr>
      </w:pPr>
    </w:p>
    <w:p w:rsidR="002B4D3C" w:rsidRDefault="002B4D3C" w:rsidP="002B4D3C">
      <w:pPr>
        <w:jc w:val="center"/>
        <w:rPr>
          <w:b/>
        </w:rPr>
      </w:pPr>
      <w:r>
        <w:rPr>
          <w:b/>
        </w:rPr>
        <w:t xml:space="preserve">REBUTTAL </w:t>
      </w:r>
      <w:r w:rsidR="009D1A5C">
        <w:rPr>
          <w:b/>
        </w:rPr>
        <w:t>TESTIMONY OF</w:t>
      </w:r>
      <w:r>
        <w:rPr>
          <w:b/>
        </w:rPr>
        <w:t xml:space="preserve"> </w:t>
      </w:r>
    </w:p>
    <w:p w:rsidR="002B4D3C" w:rsidRDefault="002B4D3C" w:rsidP="002B4D3C">
      <w:pPr>
        <w:jc w:val="center"/>
        <w:rPr>
          <w:b/>
        </w:rPr>
      </w:pPr>
    </w:p>
    <w:p w:rsidR="002B4D3C" w:rsidRDefault="00E076A4" w:rsidP="002B4D3C">
      <w:pPr>
        <w:jc w:val="center"/>
        <w:rPr>
          <w:b/>
        </w:rPr>
      </w:pPr>
      <w:r>
        <w:rPr>
          <w:b/>
        </w:rPr>
        <w:t>CHRISTOPHER HANSEN</w:t>
      </w:r>
    </w:p>
    <w:p w:rsidR="002B4D3C" w:rsidRDefault="002B4D3C" w:rsidP="002B4D3C">
      <w:pPr>
        <w:jc w:val="center"/>
        <w:rPr>
          <w:b/>
        </w:rPr>
      </w:pPr>
    </w:p>
    <w:p w:rsidR="002B4D3C" w:rsidRDefault="002B4D3C" w:rsidP="002B4D3C">
      <w:pPr>
        <w:jc w:val="center"/>
        <w:rPr>
          <w:b/>
        </w:rPr>
      </w:pPr>
    </w:p>
    <w:p w:rsidR="002B4D3C" w:rsidRDefault="002B4D3C" w:rsidP="002B4D3C">
      <w:pPr>
        <w:jc w:val="center"/>
        <w:rPr>
          <w:b/>
        </w:rPr>
      </w:pPr>
      <w:r>
        <w:rPr>
          <w:b/>
        </w:rPr>
        <w:t>ON BEHALF OF</w:t>
      </w:r>
    </w:p>
    <w:p w:rsidR="002B4D3C" w:rsidRDefault="002B4D3C" w:rsidP="002B4D3C">
      <w:pPr>
        <w:jc w:val="center"/>
        <w:rPr>
          <w:b/>
        </w:rPr>
      </w:pPr>
    </w:p>
    <w:p w:rsidR="00E076A4" w:rsidRDefault="00E076A4" w:rsidP="002B4D3C">
      <w:pPr>
        <w:jc w:val="center"/>
        <w:rPr>
          <w:b/>
        </w:rPr>
      </w:pPr>
      <w:r>
        <w:rPr>
          <w:b/>
        </w:rPr>
        <w:t xml:space="preserve">MCLEOSUSA TELECOMMUNICATIONS SERVICES </w:t>
      </w:r>
      <w:r w:rsidR="00340225">
        <w:rPr>
          <w:b/>
        </w:rPr>
        <w:t>L.L.C.</w:t>
      </w:r>
      <w:r>
        <w:rPr>
          <w:b/>
        </w:rPr>
        <w:t xml:space="preserve"> </w:t>
      </w:r>
    </w:p>
    <w:p w:rsidR="002B4D3C" w:rsidRDefault="00E076A4" w:rsidP="002B4D3C">
      <w:pPr>
        <w:jc w:val="center"/>
        <w:rPr>
          <w:b/>
        </w:rPr>
      </w:pPr>
      <w:r>
        <w:rPr>
          <w:b/>
        </w:rPr>
        <w:t>D/B/A PAETEC BUSINESS SERVICES</w:t>
      </w:r>
    </w:p>
    <w:p w:rsidR="002B4D3C" w:rsidRDefault="002B4D3C" w:rsidP="002B4D3C">
      <w:pPr>
        <w:jc w:val="center"/>
        <w:rPr>
          <w:b/>
        </w:rPr>
      </w:pPr>
    </w:p>
    <w:p w:rsidR="002B4D3C" w:rsidRDefault="002B4D3C" w:rsidP="002B4D3C">
      <w:pPr>
        <w:jc w:val="center"/>
        <w:rPr>
          <w:b/>
        </w:rPr>
      </w:pPr>
    </w:p>
    <w:p w:rsidR="002B4D3C" w:rsidRDefault="002B4D3C" w:rsidP="002B4D3C">
      <w:pPr>
        <w:jc w:val="center"/>
        <w:rPr>
          <w:b/>
        </w:rPr>
      </w:pPr>
    </w:p>
    <w:p w:rsidR="002B4D3C" w:rsidRPr="0032682F" w:rsidRDefault="002B4D3C" w:rsidP="002B4D3C"/>
    <w:p w:rsidR="002B4D3C" w:rsidRDefault="002B4D3C" w:rsidP="002B4D3C">
      <w:pPr>
        <w:jc w:val="center"/>
        <w:rPr>
          <w:b/>
        </w:rPr>
      </w:pPr>
      <w:r>
        <w:rPr>
          <w:b/>
        </w:rPr>
        <w:t>December 1</w:t>
      </w:r>
      <w:r w:rsidR="00786154">
        <w:rPr>
          <w:b/>
        </w:rPr>
        <w:t>5</w:t>
      </w:r>
      <w:r>
        <w:rPr>
          <w:b/>
        </w:rPr>
        <w:t>, 2011</w:t>
      </w:r>
    </w:p>
    <w:p w:rsidR="002B4D3C" w:rsidRDefault="002B4D3C" w:rsidP="002B4D3C">
      <w:pPr>
        <w:jc w:val="center"/>
        <w:rPr>
          <w:b/>
        </w:rPr>
      </w:pPr>
    </w:p>
    <w:p w:rsidR="002B4D3C" w:rsidRDefault="002B4D3C" w:rsidP="002B4D3C">
      <w:pPr>
        <w:jc w:val="center"/>
        <w:rPr>
          <w:b/>
        </w:rPr>
      </w:pPr>
    </w:p>
    <w:p w:rsidR="002B4D3C" w:rsidRPr="00932892" w:rsidRDefault="002B4D3C" w:rsidP="002B4D3C">
      <w:pPr>
        <w:jc w:val="center"/>
        <w:rPr>
          <w:b/>
        </w:rPr>
      </w:pPr>
    </w:p>
    <w:p w:rsidR="002B4D3C" w:rsidRDefault="002B4D3C" w:rsidP="002B4D3C">
      <w:bookmarkStart w:id="0" w:name="_Toc166551111"/>
    </w:p>
    <w:p w:rsidR="002B4D3C" w:rsidRDefault="002B4D3C" w:rsidP="002B4D3C"/>
    <w:p w:rsidR="002B4D3C" w:rsidRPr="00932892" w:rsidRDefault="002B4D3C" w:rsidP="002B4D3C">
      <w:pPr>
        <w:sectPr w:rsidR="002B4D3C" w:rsidRPr="00932892" w:rsidSect="004E7AE0">
          <w:footerReference w:type="even" r:id="rId9"/>
          <w:footerReference w:type="default" r:id="rId10"/>
          <w:pgSz w:w="12240" w:h="15840"/>
          <w:pgMar w:top="1440" w:right="1800" w:bottom="1440" w:left="1800" w:header="720" w:footer="720" w:gutter="0"/>
          <w:cols w:space="720"/>
          <w:docGrid w:linePitch="360"/>
        </w:sectPr>
      </w:pPr>
    </w:p>
    <w:p w:rsidR="009B6281" w:rsidRPr="00703B26" w:rsidRDefault="009B6281" w:rsidP="009B6281">
      <w:pPr>
        <w:pStyle w:val="StyleHeading1TimesNewRoman12ptUnderline"/>
        <w:rPr>
          <w:rFonts w:ascii="Times New Roman" w:hAnsi="Times New Roman"/>
        </w:rPr>
      </w:pPr>
      <w:bookmarkStart w:id="1" w:name="_Toc307757493"/>
      <w:r w:rsidRPr="000A3D8F">
        <w:rPr>
          <w:rFonts w:ascii="Times New Roman" w:hAnsi="Times New Roman"/>
          <w:u w:val="none"/>
        </w:rPr>
        <w:lastRenderedPageBreak/>
        <w:t>I.</w:t>
      </w:r>
      <w:r w:rsidRPr="000A3D8F">
        <w:rPr>
          <w:rFonts w:ascii="Times New Roman" w:hAnsi="Times New Roman"/>
          <w:u w:val="none"/>
        </w:rPr>
        <w:tab/>
      </w:r>
      <w:r w:rsidRPr="000A3D8F">
        <w:rPr>
          <w:rFonts w:ascii="Times New Roman" w:hAnsi="Times New Roman"/>
        </w:rPr>
        <w:t>INTRODUCTION</w:t>
      </w:r>
    </w:p>
    <w:p w:rsidR="009B6281" w:rsidRPr="009250FD" w:rsidRDefault="009B6281" w:rsidP="009B6281">
      <w:pPr>
        <w:pStyle w:val="Question"/>
        <w:rPr>
          <w:szCs w:val="24"/>
        </w:rPr>
      </w:pPr>
      <w:r w:rsidRPr="009250FD">
        <w:rPr>
          <w:szCs w:val="24"/>
        </w:rPr>
        <w:t>Q.</w:t>
      </w:r>
      <w:r w:rsidRPr="009250FD">
        <w:rPr>
          <w:szCs w:val="24"/>
        </w:rPr>
        <w:tab/>
        <w:t>PLEASE STATE YOUR NAME AND BUSINESS ADDRESS.</w:t>
      </w:r>
    </w:p>
    <w:p w:rsidR="009B6281" w:rsidRPr="009250FD" w:rsidRDefault="009B6281" w:rsidP="009B6281">
      <w:pPr>
        <w:spacing w:line="480" w:lineRule="auto"/>
        <w:ind w:left="720" w:hanging="720"/>
        <w:jc w:val="both"/>
      </w:pPr>
      <w:r>
        <w:t>A.</w:t>
      </w:r>
      <w:r>
        <w:tab/>
        <w:t>My name is Christopher Hansen.  My business address is 1450 North Center Point Road, Hiawatha, Iowa 52233.</w:t>
      </w:r>
    </w:p>
    <w:p w:rsidR="009B6281" w:rsidRPr="009250FD" w:rsidRDefault="009B6281" w:rsidP="009B6281">
      <w:pPr>
        <w:pStyle w:val="Question"/>
        <w:rPr>
          <w:bCs/>
          <w:szCs w:val="24"/>
        </w:rPr>
      </w:pPr>
      <w:r w:rsidRPr="009250FD">
        <w:rPr>
          <w:bCs/>
          <w:szCs w:val="24"/>
        </w:rPr>
        <w:t>q.</w:t>
      </w:r>
      <w:r w:rsidRPr="009250FD">
        <w:rPr>
          <w:bCs/>
          <w:szCs w:val="24"/>
        </w:rPr>
        <w:tab/>
      </w:r>
      <w:r>
        <w:rPr>
          <w:bCs/>
          <w:szCs w:val="24"/>
        </w:rPr>
        <w:t>did you PREVIOUSLY file testimony in this docket?</w:t>
      </w:r>
    </w:p>
    <w:p w:rsidR="009B6281" w:rsidRPr="009250FD" w:rsidRDefault="009B6281" w:rsidP="009B6281">
      <w:pPr>
        <w:pStyle w:val="Answer"/>
        <w:rPr>
          <w:szCs w:val="24"/>
        </w:rPr>
      </w:pPr>
      <w:r w:rsidRPr="009250FD">
        <w:rPr>
          <w:szCs w:val="24"/>
        </w:rPr>
        <w:t>A.</w:t>
      </w:r>
      <w:r w:rsidRPr="009250FD">
        <w:rPr>
          <w:szCs w:val="24"/>
        </w:rPr>
        <w:tab/>
      </w:r>
      <w:r>
        <w:rPr>
          <w:szCs w:val="24"/>
        </w:rPr>
        <w:t>Yes.  I filed Direct Testimony in this docket on behalf of McLeodUSA Telecommunications Services L.L.C. d/b/a PAETEC Business Services (“PAETEC”) on October 14, 2011.</w:t>
      </w:r>
    </w:p>
    <w:p w:rsidR="009B6281" w:rsidRPr="009250FD" w:rsidRDefault="009B6281" w:rsidP="009B6281">
      <w:pPr>
        <w:pStyle w:val="Question"/>
        <w:rPr>
          <w:bCs/>
          <w:szCs w:val="24"/>
        </w:rPr>
      </w:pPr>
      <w:r w:rsidRPr="009250FD">
        <w:rPr>
          <w:bCs/>
          <w:szCs w:val="24"/>
        </w:rPr>
        <w:t>Q.</w:t>
      </w:r>
      <w:r w:rsidRPr="009250FD">
        <w:rPr>
          <w:bCs/>
          <w:szCs w:val="24"/>
        </w:rPr>
        <w:tab/>
      </w:r>
      <w:r>
        <w:rPr>
          <w:bCs/>
          <w:szCs w:val="24"/>
        </w:rPr>
        <w:t xml:space="preserve">WHAT IS THE PURPOSE OF THIS REBUTTAL </w:t>
      </w:r>
      <w:r w:rsidRPr="009250FD">
        <w:rPr>
          <w:bCs/>
          <w:szCs w:val="24"/>
        </w:rPr>
        <w:t>TESTIMONY</w:t>
      </w:r>
      <w:r>
        <w:rPr>
          <w:bCs/>
          <w:szCs w:val="24"/>
        </w:rPr>
        <w:t>?</w:t>
      </w:r>
    </w:p>
    <w:p w:rsidR="009B6281" w:rsidRPr="009250FD" w:rsidRDefault="009B6281" w:rsidP="009B6281">
      <w:pPr>
        <w:pStyle w:val="Answer"/>
        <w:rPr>
          <w:szCs w:val="24"/>
        </w:rPr>
      </w:pPr>
      <w:r w:rsidRPr="009250FD">
        <w:rPr>
          <w:szCs w:val="24"/>
        </w:rPr>
        <w:t>A.</w:t>
      </w:r>
      <w:r w:rsidRPr="009250FD">
        <w:rPr>
          <w:szCs w:val="24"/>
        </w:rPr>
        <w:tab/>
      </w:r>
      <w:r>
        <w:rPr>
          <w:szCs w:val="24"/>
        </w:rPr>
        <w:t xml:space="preserve">My testimony responds to Testimony filed by Robert L. Williamson on behalf of Staff and to the Direct Testimony of Renee Albersheim and Michael Hunsucker on behalf of Qwest/CenturyLink.   </w:t>
      </w:r>
    </w:p>
    <w:p w:rsidR="00D00A9C" w:rsidRDefault="00D00A9C" w:rsidP="00D00A9C">
      <w:pPr>
        <w:pStyle w:val="Question"/>
        <w:rPr>
          <w:bCs/>
          <w:szCs w:val="24"/>
        </w:rPr>
      </w:pPr>
      <w:r>
        <w:rPr>
          <w:bCs/>
          <w:szCs w:val="24"/>
        </w:rPr>
        <w:t>I.</w:t>
      </w:r>
      <w:r>
        <w:rPr>
          <w:bCs/>
          <w:szCs w:val="24"/>
        </w:rPr>
        <w:tab/>
        <w:t>RESPONSE TO STAFF</w:t>
      </w:r>
    </w:p>
    <w:p w:rsidR="00D00A9C" w:rsidRDefault="00D00A9C" w:rsidP="00D00A9C">
      <w:pPr>
        <w:pStyle w:val="Question"/>
        <w:rPr>
          <w:bCs/>
          <w:szCs w:val="24"/>
        </w:rPr>
      </w:pPr>
      <w:r>
        <w:rPr>
          <w:bCs/>
          <w:szCs w:val="24"/>
        </w:rPr>
        <w:t>q.</w:t>
      </w:r>
      <w:r>
        <w:rPr>
          <w:bCs/>
          <w:szCs w:val="24"/>
        </w:rPr>
        <w:tab/>
        <w:t xml:space="preserve">IN SECTION II, MR. WILLIAMSON DESCRIBES THE QWEST/CENTURYLINK SETTLEMENT WITH INTEGRA AND THE SEETLEMENT OF JOINT APPLICANTS WITH </w:t>
      </w:r>
      <w:r>
        <w:t>Staff and Public Counsel AS BEING AT THE HEART OF THE DISPUTE</w:t>
      </w:r>
      <w:r>
        <w:rPr>
          <w:bCs/>
          <w:szCs w:val="24"/>
        </w:rPr>
        <w:t xml:space="preserve">.  IS PAETEC A PARTY TO A SEPARATE AGREEMENT THAT IS ALSO AT THE HEART OF THIS DISPUTE?  </w:t>
      </w:r>
    </w:p>
    <w:p w:rsidR="00D00A9C" w:rsidRDefault="00D00A9C" w:rsidP="00D00A9C">
      <w:pPr>
        <w:pStyle w:val="Answer"/>
        <w:rPr>
          <w:szCs w:val="24"/>
        </w:rPr>
      </w:pPr>
      <w:r>
        <w:rPr>
          <w:szCs w:val="24"/>
        </w:rPr>
        <w:lastRenderedPageBreak/>
        <w:t>A.</w:t>
      </w:r>
      <w:r>
        <w:rPr>
          <w:szCs w:val="24"/>
        </w:rPr>
        <w:tab/>
        <w:t>Yes, PAETEC signed its own settlement agreement with Qwest/CenturyLink that starts with the Integra settlement but adds some additional components that are very important to PAETEC.</w:t>
      </w:r>
      <w:r>
        <w:rPr>
          <w:rStyle w:val="FootnoteReference"/>
          <w:szCs w:val="24"/>
        </w:rPr>
        <w:footnoteReference w:id="1"/>
      </w:r>
      <w:r>
        <w:rPr>
          <w:szCs w:val="24"/>
        </w:rPr>
        <w:t xml:space="preserve">  And the reason that we did not sign the Integra agreement is because it did not contain key elements specifically related to the issue at hand.  As I have previously discussed, PAETEC has internally developed its own back office systems to work in an e-bonded manner with the MEDIACC system.  That development, which is unique to PAETEC,  has allowed us to automate many of our internal processes, including trouble ticket management.  The proposed timetable to develop and implement MTG by CenturyLink/Qwest will dramatically impact our operations since PAETEC has a lot of work to do (development, testing, training, and implementation) to our own systems to accommodate the move to MTG.  I understand that the Commission took administrative notice</w:t>
      </w:r>
      <w:r>
        <w:rPr>
          <w:rStyle w:val="FootnoteReference"/>
          <w:szCs w:val="24"/>
        </w:rPr>
        <w:footnoteReference w:id="2"/>
      </w:r>
      <w:r>
        <w:rPr>
          <w:szCs w:val="24"/>
        </w:rPr>
        <w:t xml:space="preserve"> of our settlement agreement in its Final Order approving the transaction.</w:t>
      </w:r>
      <w:r>
        <w:rPr>
          <w:rStyle w:val="FootnoteReference"/>
          <w:szCs w:val="24"/>
        </w:rPr>
        <w:footnoteReference w:id="3"/>
      </w:r>
      <w:r>
        <w:rPr>
          <w:szCs w:val="24"/>
        </w:rPr>
        <w:t xml:space="preserve">  In Count II of the Complaint, PAETEC alleges breach of its settlement agreement with CenturyLink and Qwest.</w:t>
      </w:r>
      <w:r>
        <w:rPr>
          <w:rStyle w:val="FootnoteReference"/>
          <w:szCs w:val="24"/>
        </w:rPr>
        <w:footnoteReference w:id="4"/>
      </w:r>
      <w:r>
        <w:rPr>
          <w:szCs w:val="24"/>
        </w:rPr>
        <w:t xml:space="preserve">  Thus, I believe the Staff’s focus on the requirements of only two settlement agreements is too narrow and ignores the critical elements of our settlement agreement that makes it clear the functionality of any new OSS has to accommodate the functionality of our internal systems.  </w:t>
      </w:r>
    </w:p>
    <w:p w:rsidR="009B6281" w:rsidRPr="009250FD" w:rsidRDefault="009B6281" w:rsidP="009B6281">
      <w:pPr>
        <w:pStyle w:val="Question"/>
        <w:rPr>
          <w:bCs/>
          <w:szCs w:val="24"/>
        </w:rPr>
      </w:pPr>
      <w:bookmarkStart w:id="2" w:name="_GoBack"/>
      <w:bookmarkEnd w:id="2"/>
      <w:r w:rsidRPr="009250FD">
        <w:rPr>
          <w:bCs/>
          <w:szCs w:val="24"/>
        </w:rPr>
        <w:lastRenderedPageBreak/>
        <w:t>q.</w:t>
      </w:r>
      <w:r w:rsidRPr="009250FD">
        <w:rPr>
          <w:bCs/>
          <w:szCs w:val="24"/>
        </w:rPr>
        <w:tab/>
      </w:r>
      <w:r>
        <w:rPr>
          <w:bCs/>
          <w:szCs w:val="24"/>
        </w:rPr>
        <w:t>MR. WILLIAMSON TESTIFIES THAT A WORKING MTG WILL RESOLVE THE ISSUE WITH CEMR IF A CATASTROPHIC FAILURE OF MEDIACC OCCURS.  DOES THAT ADDRESS THE CONCERNS OF PAETEC?</w:t>
      </w:r>
    </w:p>
    <w:p w:rsidR="009B6281" w:rsidRDefault="009B6281" w:rsidP="009B6281">
      <w:pPr>
        <w:pStyle w:val="Answer"/>
        <w:spacing w:after="0"/>
        <w:rPr>
          <w:szCs w:val="24"/>
        </w:rPr>
      </w:pPr>
      <w:r w:rsidRPr="009250FD">
        <w:rPr>
          <w:szCs w:val="24"/>
        </w:rPr>
        <w:t>A.</w:t>
      </w:r>
      <w:r w:rsidRPr="009250FD">
        <w:rPr>
          <w:szCs w:val="24"/>
        </w:rPr>
        <w:tab/>
      </w:r>
      <w:r>
        <w:rPr>
          <w:szCs w:val="24"/>
        </w:rPr>
        <w:t xml:space="preserve">No.  Assuming Mr. Williamson is correct that CEMR users would only be required to make a couple of minor data field changes to continue using CEMR in a seamless fashion, that does nothing to address the concerns of PAETEC that uses the B2B MEDIACC system in the event that system fails.  </w:t>
      </w:r>
    </w:p>
    <w:p w:rsidR="009B6281" w:rsidRPr="009D1A5C" w:rsidRDefault="009B6281" w:rsidP="009B6281">
      <w:pPr>
        <w:pStyle w:val="Answer"/>
        <w:spacing w:after="0"/>
        <w:rPr>
          <w:b/>
          <w:szCs w:val="24"/>
        </w:rPr>
      </w:pPr>
      <w:r w:rsidRPr="000A3D8F">
        <w:rPr>
          <w:b/>
          <w:szCs w:val="24"/>
        </w:rPr>
        <w:t>Q:</w:t>
      </w:r>
      <w:r w:rsidRPr="000A3D8F">
        <w:rPr>
          <w:b/>
          <w:szCs w:val="24"/>
        </w:rPr>
        <w:tab/>
        <w:t>DOES MR. WILLIAMSON DISCUSS WHAT WILL HAPPEN TO MEDIACC USERS IN THE EVENT THERE IS A CATASTROPHIC FAILURE OF MEDIACC?</w:t>
      </w:r>
    </w:p>
    <w:p w:rsidR="009B6281" w:rsidRDefault="009B6281" w:rsidP="009B6281">
      <w:pPr>
        <w:pStyle w:val="Answer"/>
        <w:spacing w:after="0"/>
        <w:rPr>
          <w:szCs w:val="24"/>
        </w:rPr>
      </w:pPr>
      <w:r>
        <w:rPr>
          <w:szCs w:val="24"/>
        </w:rPr>
        <w:t>A:</w:t>
      </w:r>
      <w:r>
        <w:rPr>
          <w:szCs w:val="24"/>
        </w:rPr>
        <w:tab/>
        <w:t>No, Mr. Williamson glosses over the primary issue that PAETEC has raised – what happens in the event of a MEDIACC failure.  Instead, he briefly discusses the existence of a Disaster Recovery Plan and how it should be updated by CenturyLink/Qwest on a regular basis.</w:t>
      </w:r>
      <w:r>
        <w:rPr>
          <w:rStyle w:val="FootnoteReference"/>
          <w:szCs w:val="24"/>
        </w:rPr>
        <w:footnoteReference w:id="5"/>
      </w:r>
      <w:r>
        <w:rPr>
          <w:szCs w:val="24"/>
        </w:rPr>
        <w:t xml:space="preserve">  He then indicates that the development of MTG will address the hardware and software issues that exist with MEDIACC.</w:t>
      </w:r>
      <w:r>
        <w:rPr>
          <w:rStyle w:val="FootnoteReference"/>
          <w:szCs w:val="24"/>
        </w:rPr>
        <w:footnoteReference w:id="6"/>
      </w:r>
      <w:r>
        <w:rPr>
          <w:szCs w:val="24"/>
        </w:rPr>
        <w:t xml:space="preserve">  Based on his conclusion that MTG handles those concerns and the existence of the Disaster Recovery Plan, the following Q &amp; A is put forth:</w:t>
      </w:r>
    </w:p>
    <w:p w:rsidR="009B6281" w:rsidRDefault="009B6281" w:rsidP="009B6281">
      <w:pPr>
        <w:autoSpaceDE w:val="0"/>
        <w:autoSpaceDN w:val="0"/>
        <w:adjustRightInd w:val="0"/>
        <w:spacing w:line="480" w:lineRule="auto"/>
        <w:ind w:left="2160" w:right="720" w:hanging="720"/>
        <w:rPr>
          <w:b/>
        </w:rPr>
      </w:pPr>
      <w:r>
        <w:rPr>
          <w:b/>
        </w:rPr>
        <w:t>Q.</w:t>
      </w:r>
      <w:r>
        <w:tab/>
      </w:r>
      <w:r w:rsidRPr="008E7985">
        <w:rPr>
          <w:b/>
        </w:rPr>
        <w:t>If MTG resolves a possible failure</w:t>
      </w:r>
      <w:r>
        <w:rPr>
          <w:b/>
        </w:rPr>
        <w:t xml:space="preserve"> for the CLECs and Qwest/CenturyLink what is the problem?</w:t>
      </w:r>
    </w:p>
    <w:p w:rsidR="009B6281" w:rsidRDefault="009B6281" w:rsidP="009B6281">
      <w:pPr>
        <w:pStyle w:val="Answer"/>
        <w:spacing w:after="0"/>
        <w:ind w:left="2160" w:right="720"/>
        <w:rPr>
          <w:szCs w:val="24"/>
        </w:rPr>
      </w:pPr>
      <w:r w:rsidRPr="00AF1BFD">
        <w:t>A.</w:t>
      </w:r>
      <w:r w:rsidRPr="00AF1BFD">
        <w:tab/>
      </w:r>
      <w:r>
        <w:t xml:space="preserve">The CLECs argue that the Integra Agreement precludes the </w:t>
      </w:r>
      <w:r w:rsidRPr="00DB55F8">
        <w:t>replacement</w:t>
      </w:r>
      <w:r>
        <w:rPr>
          <w:i/>
        </w:rPr>
        <w:t xml:space="preserve"> </w:t>
      </w:r>
      <w:r w:rsidRPr="00DB55F8">
        <w:t>or</w:t>
      </w:r>
      <w:r>
        <w:rPr>
          <w:i/>
        </w:rPr>
        <w:t xml:space="preserve"> </w:t>
      </w:r>
      <w:r w:rsidRPr="00DB55F8">
        <w:t>retirement</w:t>
      </w:r>
      <w:r>
        <w:t xml:space="preserve"> of a Qwest OSS interface without </w:t>
      </w:r>
      <w:r>
        <w:lastRenderedPageBreak/>
        <w:t xml:space="preserve">sufficient acceptance of the replacement interface by the CLECs.  They opine that the “Merged Company is </w:t>
      </w:r>
      <w:r w:rsidRPr="00DB55F8">
        <w:rPr>
          <w:b/>
        </w:rPr>
        <w:t>replacing</w:t>
      </w:r>
      <w:r>
        <w:rPr>
          <w:b/>
        </w:rPr>
        <w:t xml:space="preserve"> </w:t>
      </w:r>
      <w:r>
        <w:t xml:space="preserve">MEDIACC with MTG when it implements MTG in December of 2011, though it is not </w:t>
      </w:r>
      <w:r w:rsidRPr="00DB55F8">
        <w:rPr>
          <w:b/>
        </w:rPr>
        <w:t>retiring</w:t>
      </w:r>
      <w:r>
        <w:t xml:space="preserve"> MEDIACC until a later date.”  Additionally the CLECs argue that even the development and testing of MTG before the end of the 30 month period is prohibited by the agreement.  It is the CLECs’ opinion that any development and/or testing would cost them time and money that they have not, and should not have to, include in their budgets until the end of the 30 month period.  The CLECs have also voiced a concern that the development of MTG will divert IT resources that should be used to maintain MEDIACC. (footnote deleted).</w:t>
      </w:r>
      <w:r w:rsidR="008B18B9">
        <w:rPr>
          <w:rStyle w:val="FootnoteReference"/>
        </w:rPr>
        <w:footnoteReference w:id="7"/>
      </w:r>
    </w:p>
    <w:p w:rsidR="009B6281" w:rsidRDefault="009B6281" w:rsidP="009B6281">
      <w:pPr>
        <w:pStyle w:val="Answer"/>
        <w:spacing w:after="0"/>
        <w:rPr>
          <w:b/>
          <w:szCs w:val="24"/>
        </w:rPr>
      </w:pPr>
      <w:r>
        <w:rPr>
          <w:b/>
          <w:szCs w:val="24"/>
        </w:rPr>
        <w:t>Q:</w:t>
      </w:r>
      <w:r>
        <w:rPr>
          <w:b/>
          <w:szCs w:val="24"/>
        </w:rPr>
        <w:tab/>
        <w:t>DOES MR. WILLIAMSON ACCURATELY CHARACTERIZE PAETEC’S PRIMARY CONCERN?</w:t>
      </w:r>
    </w:p>
    <w:p w:rsidR="009B6281" w:rsidRDefault="009B6281" w:rsidP="009B6281">
      <w:pPr>
        <w:pStyle w:val="Answer"/>
        <w:spacing w:after="0"/>
        <w:rPr>
          <w:szCs w:val="24"/>
        </w:rPr>
      </w:pPr>
      <w:r>
        <w:rPr>
          <w:b/>
          <w:szCs w:val="24"/>
        </w:rPr>
        <w:t>A:</w:t>
      </w:r>
      <w:r>
        <w:rPr>
          <w:b/>
          <w:szCs w:val="24"/>
        </w:rPr>
        <w:tab/>
      </w:r>
      <w:r>
        <w:rPr>
          <w:szCs w:val="24"/>
        </w:rPr>
        <w:t xml:space="preserve">No.  Our primary concern is that in the event of a catastrophic MEDIACC failure, we will be forced to use manual trouble ticket processing until such time as (a) CenturyLink/Qwest gets MEDIACC operational, or (b) we are able to migrate to the MTG system.  </w:t>
      </w:r>
    </w:p>
    <w:p w:rsidR="009B6281" w:rsidRDefault="009B6281" w:rsidP="009B6281">
      <w:pPr>
        <w:pStyle w:val="Answer"/>
        <w:spacing w:after="0"/>
        <w:ind w:firstLine="720"/>
        <w:rPr>
          <w:szCs w:val="24"/>
        </w:rPr>
      </w:pPr>
      <w:r>
        <w:rPr>
          <w:szCs w:val="24"/>
        </w:rPr>
        <w:t xml:space="preserve">As I explained in my direct testimony, PAETEC is not able to begin working on the internal development to MTG until 3Q 2012.  Being forced to use manual processing of trouble tickets before we have developed, tested, trained and implemented our B2B </w:t>
      </w:r>
      <w:r>
        <w:rPr>
          <w:szCs w:val="24"/>
        </w:rPr>
        <w:lastRenderedPageBreak/>
        <w:t xml:space="preserve">interface to work with MTG would have a huge operational impact on PAETEC as I have discussed in prior testimony. </w:t>
      </w:r>
    </w:p>
    <w:p w:rsidR="009B6281" w:rsidRDefault="009B6281" w:rsidP="009B6281">
      <w:pPr>
        <w:pStyle w:val="Answer"/>
        <w:spacing w:after="0"/>
        <w:rPr>
          <w:b/>
          <w:szCs w:val="24"/>
        </w:rPr>
      </w:pPr>
      <w:r>
        <w:rPr>
          <w:b/>
          <w:szCs w:val="24"/>
        </w:rPr>
        <w:t>Q:</w:t>
      </w:r>
      <w:r>
        <w:rPr>
          <w:b/>
          <w:szCs w:val="24"/>
        </w:rPr>
        <w:tab/>
        <w:t>DOES THE DISASTER RECOVERY PLAN ADEQUATELY PROTECT PAETEC?</w:t>
      </w:r>
    </w:p>
    <w:p w:rsidR="009B6281" w:rsidRDefault="009B6281" w:rsidP="009B6281">
      <w:pPr>
        <w:pStyle w:val="Answer"/>
        <w:spacing w:after="0"/>
        <w:rPr>
          <w:szCs w:val="24"/>
        </w:rPr>
      </w:pPr>
      <w:r>
        <w:rPr>
          <w:b/>
          <w:szCs w:val="24"/>
        </w:rPr>
        <w:t>A:</w:t>
      </w:r>
      <w:r>
        <w:rPr>
          <w:b/>
          <w:szCs w:val="24"/>
        </w:rPr>
        <w:tab/>
      </w:r>
      <w:r w:rsidRPr="00CD7686">
        <w:rPr>
          <w:szCs w:val="24"/>
        </w:rPr>
        <w:t xml:space="preserve">No. </w:t>
      </w:r>
      <w:r>
        <w:rPr>
          <w:b/>
          <w:szCs w:val="24"/>
        </w:rPr>
        <w:t xml:space="preserve"> </w:t>
      </w:r>
      <w:r>
        <w:rPr>
          <w:szCs w:val="24"/>
        </w:rPr>
        <w:t xml:space="preserve">The basic premise of the Disaster Recovery Plan is that CenturyLink/Qwest can recover from a MEDIACC failure by making it operational by finding necessary hardware components, or making necessary software changes.  Yet, the basis given by CenturyLink/Qwest for pushing forward with an aggressive timeframe to implement MTG (and originally retire MEDIACC per the CMP process) was that CenturyLink/Qwest could not be certain it could accomplish either of those. We have been told that they would have to find parts on E-Bay, and that they no longer have the software developer expertise in house familiar with MEDIACC.  Mr. Williamson’s testimony that notes the existence of the Disaster Recovery Plan simply assumes away the entire problem that is our primary concern - what happens if CenturyLink/Qwest is not able to recover from a MEDIACC failure?  </w:t>
      </w:r>
    </w:p>
    <w:p w:rsidR="009B6281" w:rsidRPr="00AD072B" w:rsidRDefault="009B6281" w:rsidP="009B6281">
      <w:pPr>
        <w:pStyle w:val="Answer"/>
        <w:spacing w:after="0"/>
        <w:rPr>
          <w:rFonts w:ascii="Times New Roman Bold" w:hAnsi="Times New Roman Bold"/>
          <w:b/>
          <w:caps/>
          <w:szCs w:val="24"/>
        </w:rPr>
      </w:pPr>
      <w:r>
        <w:rPr>
          <w:b/>
          <w:szCs w:val="24"/>
        </w:rPr>
        <w:t>Q:</w:t>
      </w:r>
      <w:r>
        <w:rPr>
          <w:b/>
          <w:szCs w:val="24"/>
        </w:rPr>
        <w:tab/>
      </w:r>
      <w:r w:rsidRPr="000A3D8F">
        <w:rPr>
          <w:b/>
          <w:caps/>
          <w:szCs w:val="24"/>
        </w:rPr>
        <w:t xml:space="preserve">Does the existence of the </w:t>
      </w:r>
      <w:r>
        <w:rPr>
          <w:b/>
          <w:caps/>
          <w:szCs w:val="24"/>
        </w:rPr>
        <w:t xml:space="preserve">PERFORMANCE ASSURANCE PLAN </w:t>
      </w:r>
      <w:r w:rsidRPr="000A3D8F">
        <w:rPr>
          <w:b/>
          <w:caps/>
          <w:szCs w:val="24"/>
        </w:rPr>
        <w:t>alleviate your concerns?</w:t>
      </w:r>
    </w:p>
    <w:p w:rsidR="009B6281" w:rsidRDefault="009B6281" w:rsidP="009B6281">
      <w:pPr>
        <w:pStyle w:val="Answer"/>
        <w:spacing w:after="0"/>
        <w:rPr>
          <w:szCs w:val="24"/>
        </w:rPr>
      </w:pPr>
      <w:r w:rsidRPr="00AD072B">
        <w:rPr>
          <w:rFonts w:ascii="Times New Roman Bold" w:hAnsi="Times New Roman Bold"/>
          <w:b/>
          <w:caps/>
          <w:szCs w:val="24"/>
        </w:rPr>
        <w:t>A:</w:t>
      </w:r>
      <w:r w:rsidRPr="00AD072B">
        <w:rPr>
          <w:rFonts w:ascii="Times New Roman Bold" w:hAnsi="Times New Roman Bold"/>
          <w:b/>
          <w:caps/>
          <w:szCs w:val="24"/>
        </w:rPr>
        <w:tab/>
      </w:r>
      <w:r>
        <w:rPr>
          <w:szCs w:val="24"/>
        </w:rPr>
        <w:t xml:space="preserve">I defer to Mr. Denney’s expertise, but based on my general understanding, no, it is doubtful payments provided by the PAP would reimburse PAETEC for extra costs it would incur to manually process trouble ticket orders until such time as it is able to move to MTG.  </w:t>
      </w:r>
    </w:p>
    <w:p w:rsidR="009B6281" w:rsidRDefault="009B6281" w:rsidP="009B6281">
      <w:pPr>
        <w:pStyle w:val="Answer"/>
        <w:keepNext/>
        <w:spacing w:after="0"/>
        <w:rPr>
          <w:b/>
          <w:szCs w:val="24"/>
        </w:rPr>
      </w:pPr>
      <w:r>
        <w:rPr>
          <w:b/>
          <w:szCs w:val="24"/>
        </w:rPr>
        <w:lastRenderedPageBreak/>
        <w:t>II.</w:t>
      </w:r>
      <w:r>
        <w:rPr>
          <w:b/>
          <w:szCs w:val="24"/>
        </w:rPr>
        <w:tab/>
        <w:t>RESPONSE TO QWEST/CENTURYLINK</w:t>
      </w:r>
    </w:p>
    <w:p w:rsidR="009B6281" w:rsidRDefault="009B6281" w:rsidP="009B6281">
      <w:pPr>
        <w:spacing w:line="480" w:lineRule="auto"/>
        <w:ind w:left="720" w:hanging="720"/>
        <w:jc w:val="both"/>
        <w:rPr>
          <w:b/>
        </w:rPr>
      </w:pPr>
      <w:r>
        <w:rPr>
          <w:b/>
        </w:rPr>
        <w:t>Q:</w:t>
      </w:r>
      <w:r>
        <w:rPr>
          <w:b/>
        </w:rPr>
        <w:tab/>
        <w:t>MS. ALBERSHEIM, IN HER ANSWER TESTIMONY, HAS ASSERTED THAT MEDIACC NEEDS TO BE REPLACED BECAUSE IT USES A PROTOCOL, CMIP, THAT IS “OUTDATED.”</w:t>
      </w:r>
      <w:r>
        <w:rPr>
          <w:rStyle w:val="FootnoteReference"/>
          <w:b/>
        </w:rPr>
        <w:footnoteReference w:id="8"/>
      </w:r>
      <w:r>
        <w:rPr>
          <w:b/>
        </w:rPr>
        <w:t xml:space="preserve">  PLEASE COMMENT ON WHETHER MEDIACC USES AN OUTDATED PROTOCOL.</w:t>
      </w:r>
    </w:p>
    <w:p w:rsidR="009B6281" w:rsidRPr="00E16D0B" w:rsidRDefault="009B6281" w:rsidP="009B6281">
      <w:pPr>
        <w:pStyle w:val="ListParagraph"/>
        <w:spacing w:line="480" w:lineRule="auto"/>
        <w:ind w:hanging="720"/>
        <w:jc w:val="both"/>
        <w:rPr>
          <w:rFonts w:ascii="Times New Roman" w:hAnsi="Times New Roman" w:cs="Times New Roman"/>
          <w:sz w:val="24"/>
          <w:szCs w:val="24"/>
        </w:rPr>
      </w:pPr>
      <w:r w:rsidRPr="000A3D8F">
        <w:rPr>
          <w:rFonts w:ascii="Times New Roman" w:hAnsi="Times New Roman" w:cs="Times New Roman"/>
          <w:sz w:val="24"/>
          <w:szCs w:val="24"/>
        </w:rPr>
        <w:t>A:</w:t>
      </w:r>
      <w:r w:rsidRPr="000A3D8F">
        <w:rPr>
          <w:rFonts w:ascii="Times New Roman" w:hAnsi="Times New Roman" w:cs="Times New Roman"/>
          <w:sz w:val="24"/>
          <w:szCs w:val="24"/>
        </w:rPr>
        <w:tab/>
        <w:t>The CMIP protocol used by MEDIACC remains an industry standard protocol.</w:t>
      </w:r>
      <w:r w:rsidRPr="000A3D8F">
        <w:rPr>
          <w:rStyle w:val="FootnoteReference"/>
          <w:rFonts w:ascii="Times New Roman" w:hAnsi="Times New Roman" w:cs="Times New Roman"/>
          <w:sz w:val="24"/>
          <w:szCs w:val="24"/>
        </w:rPr>
        <w:footnoteReference w:id="9"/>
      </w:r>
      <w:r w:rsidRPr="000A3D8F">
        <w:rPr>
          <w:rFonts w:ascii="Times New Roman" w:hAnsi="Times New Roman" w:cs="Times New Roman"/>
          <w:sz w:val="24"/>
          <w:szCs w:val="24"/>
        </w:rPr>
        <w:t xml:space="preserve"> In addition to exchanging repair information with Qwest via CMIP, PAETEC exchanges repair information with Verizon Business using CMIP protocol.  From a functional perspective, MEDIACC allows PAETEC’s back office OSS to perform as many automated functions as does the XML protocol based B2B interface that it has in place with AT&amp;T.  But for Qwest/CenturyLink’s actions in CMP and allegations of potential repair OSS failure, PAETEC would not be looking at a move to XML for repair OSS in legacy Qwest territory at this time and instead would be relying upon the 30-month time period in the merger settlement agreement. </w:t>
      </w:r>
    </w:p>
    <w:p w:rsidR="009B6281" w:rsidRPr="00E16D0B" w:rsidRDefault="009B6281" w:rsidP="009B6281">
      <w:pPr>
        <w:pStyle w:val="ListParagraph"/>
        <w:spacing w:line="480" w:lineRule="auto"/>
        <w:ind w:hanging="720"/>
        <w:jc w:val="both"/>
        <w:rPr>
          <w:rFonts w:ascii="Times New Roman" w:hAnsi="Times New Roman" w:cs="Times New Roman"/>
          <w:b/>
          <w:sz w:val="24"/>
          <w:szCs w:val="24"/>
        </w:rPr>
      </w:pPr>
      <w:r w:rsidRPr="000A3D8F">
        <w:rPr>
          <w:rFonts w:ascii="Times New Roman" w:hAnsi="Times New Roman" w:cs="Times New Roman"/>
          <w:b/>
          <w:sz w:val="24"/>
          <w:szCs w:val="24"/>
        </w:rPr>
        <w:t>Q:</w:t>
      </w:r>
      <w:r w:rsidRPr="000A3D8F">
        <w:rPr>
          <w:rFonts w:ascii="Times New Roman" w:hAnsi="Times New Roman" w:cs="Times New Roman"/>
          <w:b/>
          <w:sz w:val="24"/>
          <w:szCs w:val="24"/>
        </w:rPr>
        <w:tab/>
        <w:t>HAS PAETEC CONVERTED TO AN XML PROTOCOL FOR ITS INTERACE WITH ANY OTHER CARRIERS?</w:t>
      </w:r>
    </w:p>
    <w:p w:rsidR="009B6281" w:rsidRPr="00E16D0B" w:rsidRDefault="009B6281" w:rsidP="009B6281">
      <w:pPr>
        <w:pStyle w:val="ListParagraph"/>
        <w:spacing w:line="480" w:lineRule="auto"/>
        <w:ind w:hanging="720"/>
        <w:jc w:val="both"/>
        <w:rPr>
          <w:rFonts w:ascii="Times New Roman" w:hAnsi="Times New Roman" w:cs="Times New Roman"/>
          <w:sz w:val="24"/>
          <w:szCs w:val="24"/>
        </w:rPr>
      </w:pPr>
      <w:r w:rsidRPr="000A3D8F">
        <w:rPr>
          <w:rFonts w:ascii="Times New Roman" w:hAnsi="Times New Roman" w:cs="Times New Roman"/>
          <w:sz w:val="24"/>
          <w:szCs w:val="24"/>
        </w:rPr>
        <w:t>A:</w:t>
      </w:r>
      <w:r w:rsidRPr="000A3D8F">
        <w:rPr>
          <w:rFonts w:ascii="Times New Roman" w:hAnsi="Times New Roman" w:cs="Times New Roman"/>
          <w:sz w:val="24"/>
          <w:szCs w:val="24"/>
        </w:rPr>
        <w:tab/>
        <w:t xml:space="preserve">Yes, PAETEC has an XML interface with AT&amp;T.  The conversion from CMIP to XML protocol in the AT&amp;T territory took approximately 18 months to complete the coding changes, train, test and transition.  The amount of time necessary to perform a conversion from CMIP to XML depends on many variable factors, including any differences in how </w:t>
      </w:r>
      <w:r w:rsidRPr="000A3D8F">
        <w:rPr>
          <w:rFonts w:ascii="Times New Roman" w:hAnsi="Times New Roman" w:cs="Times New Roman"/>
          <w:sz w:val="24"/>
          <w:szCs w:val="24"/>
        </w:rPr>
        <w:lastRenderedPageBreak/>
        <w:t xml:space="preserve">Qwest proceeds as compared to AT&amp;T.  Other factors affecting the time needed are planning and budgeting.  Based on the knowledge gathered from the previous conversion, PAETEC believes that another conversion would take a minimum of six months and could be much longer, depending on whether the conversion to MTG and its XML protocol also impacts the functionality of how PAETEC’s systems are able to interact with MTG beyond the conversion to XML protocol.  Although the fact that PAETEC has converted from CMIP to XML for its interface with one carrier does not mean that it will be cheaper, easier or take less time to perform such a conversion with another carrier, PAETEC has nonetheless attempted to account for any applicable learning gained by the conversion from CMIP to XML protocol in the AT&amp;T territory by estimating a six-month time period for legacy Qwest territory, while at the same time recognizing that violation of the 30-month term of the settlement agreements means that this would require PAETEC to redirect resources to do so at a time when per the merger agreement it should not have to do so.  </w:t>
      </w:r>
    </w:p>
    <w:p w:rsidR="009B6281" w:rsidRPr="00E16D0B" w:rsidRDefault="009B6281" w:rsidP="009B6281">
      <w:pPr>
        <w:pStyle w:val="ListParagraph"/>
        <w:spacing w:line="480" w:lineRule="auto"/>
        <w:ind w:hanging="720"/>
        <w:jc w:val="both"/>
        <w:rPr>
          <w:rFonts w:ascii="Times New Roman" w:hAnsi="Times New Roman" w:cs="Times New Roman"/>
          <w:b/>
          <w:sz w:val="24"/>
          <w:szCs w:val="24"/>
        </w:rPr>
      </w:pPr>
      <w:r w:rsidRPr="000A3D8F">
        <w:rPr>
          <w:rFonts w:ascii="Times New Roman" w:hAnsi="Times New Roman" w:cs="Times New Roman"/>
          <w:b/>
          <w:sz w:val="24"/>
          <w:szCs w:val="24"/>
        </w:rPr>
        <w:t>Q.</w:t>
      </w:r>
      <w:r w:rsidRPr="000A3D8F">
        <w:rPr>
          <w:rFonts w:ascii="Times New Roman" w:hAnsi="Times New Roman" w:cs="Times New Roman"/>
          <w:b/>
          <w:sz w:val="24"/>
          <w:szCs w:val="24"/>
        </w:rPr>
        <w:tab/>
        <w:t>MS. ALBERSHEIM REFERS TO AN “INTERIM SOLUTION” PROPOSED BY PAETEC.</w:t>
      </w:r>
      <w:r w:rsidRPr="000A3D8F">
        <w:rPr>
          <w:rStyle w:val="FootnoteReference"/>
          <w:rFonts w:ascii="Times New Roman" w:hAnsi="Times New Roman" w:cs="Times New Roman"/>
          <w:b/>
          <w:sz w:val="24"/>
          <w:szCs w:val="24"/>
        </w:rPr>
        <w:footnoteReference w:id="10"/>
      </w:r>
      <w:r w:rsidRPr="000A3D8F">
        <w:rPr>
          <w:rFonts w:ascii="Times New Roman" w:hAnsi="Times New Roman" w:cs="Times New Roman"/>
          <w:b/>
          <w:sz w:val="24"/>
          <w:szCs w:val="24"/>
        </w:rPr>
        <w:t xml:space="preserve">  WHY DID PAETEC </w:t>
      </w:r>
      <w:r>
        <w:rPr>
          <w:rFonts w:ascii="Times New Roman" w:hAnsi="Times New Roman" w:cs="Times New Roman"/>
          <w:b/>
          <w:sz w:val="24"/>
          <w:szCs w:val="24"/>
        </w:rPr>
        <w:t>MAKE THIS PROPOSAL</w:t>
      </w:r>
      <w:r w:rsidRPr="000A3D8F">
        <w:rPr>
          <w:rFonts w:ascii="Times New Roman" w:hAnsi="Times New Roman" w:cs="Times New Roman"/>
          <w:b/>
          <w:sz w:val="24"/>
          <w:szCs w:val="24"/>
        </w:rPr>
        <w:t>?</w:t>
      </w:r>
    </w:p>
    <w:p w:rsidR="009B6281" w:rsidRPr="00E16D0B" w:rsidRDefault="009B6281" w:rsidP="009B6281">
      <w:pPr>
        <w:pStyle w:val="ListParagraph"/>
        <w:spacing w:line="480" w:lineRule="auto"/>
        <w:ind w:hanging="720"/>
        <w:jc w:val="both"/>
        <w:rPr>
          <w:rFonts w:ascii="Times New Roman" w:hAnsi="Times New Roman" w:cs="Times New Roman"/>
          <w:b/>
          <w:sz w:val="24"/>
          <w:szCs w:val="24"/>
        </w:rPr>
      </w:pPr>
      <w:r w:rsidRPr="000A3D8F">
        <w:rPr>
          <w:rFonts w:ascii="Times New Roman" w:hAnsi="Times New Roman" w:cs="Times New Roman"/>
          <w:b/>
          <w:sz w:val="24"/>
          <w:szCs w:val="24"/>
        </w:rPr>
        <w:t>A.</w:t>
      </w:r>
      <w:r w:rsidRPr="000A3D8F">
        <w:rPr>
          <w:rFonts w:ascii="Times New Roman" w:hAnsi="Times New Roman" w:cs="Times New Roman"/>
          <w:b/>
          <w:sz w:val="24"/>
          <w:szCs w:val="24"/>
        </w:rPr>
        <w:tab/>
      </w:r>
      <w:r w:rsidRPr="000A3D8F">
        <w:rPr>
          <w:rFonts w:ascii="Times New Roman" w:hAnsi="Times New Roman" w:cs="Times New Roman"/>
          <w:sz w:val="24"/>
          <w:szCs w:val="24"/>
        </w:rPr>
        <w:t xml:space="preserve">Although PAETEC has not experienced problems with stability of MEDIACC, now that the Merged Company has raised this issue, PAETEC cannot simply ignore the Merged Company’s claims about the potential risks of system failure.  PAETEC relies on MEDIACC to obtain repair services for the facilities that it obtains from Qwest and if </w:t>
      </w:r>
      <w:r w:rsidRPr="000A3D8F">
        <w:rPr>
          <w:rFonts w:ascii="Times New Roman" w:hAnsi="Times New Roman" w:cs="Times New Roman"/>
          <w:sz w:val="24"/>
          <w:szCs w:val="24"/>
        </w:rPr>
        <w:lastRenderedPageBreak/>
        <w:t xml:space="preserve">MEDIACC were to fail, this would have potentially very adverse consequences for PAETEC and its customers.  </w:t>
      </w:r>
    </w:p>
    <w:p w:rsidR="009B6281" w:rsidRPr="00E16D0B" w:rsidRDefault="009B6281" w:rsidP="009B6281">
      <w:pPr>
        <w:pStyle w:val="ListParagraph"/>
        <w:spacing w:line="480" w:lineRule="auto"/>
        <w:ind w:hanging="720"/>
        <w:jc w:val="both"/>
        <w:rPr>
          <w:rFonts w:ascii="Times New Roman" w:hAnsi="Times New Roman" w:cs="Times New Roman"/>
          <w:b/>
          <w:sz w:val="24"/>
          <w:szCs w:val="24"/>
        </w:rPr>
      </w:pPr>
      <w:r w:rsidRPr="000A3D8F">
        <w:rPr>
          <w:rFonts w:ascii="Times New Roman" w:hAnsi="Times New Roman" w:cs="Times New Roman"/>
          <w:b/>
          <w:sz w:val="24"/>
          <w:szCs w:val="24"/>
        </w:rPr>
        <w:t>Q.</w:t>
      </w:r>
      <w:r w:rsidRPr="000A3D8F">
        <w:rPr>
          <w:rFonts w:ascii="Times New Roman" w:hAnsi="Times New Roman" w:cs="Times New Roman"/>
          <w:b/>
          <w:sz w:val="24"/>
          <w:szCs w:val="24"/>
        </w:rPr>
        <w:tab/>
        <w:t>PLEASE DESCRIBE PAETETC’S PROPOSAL.</w:t>
      </w:r>
    </w:p>
    <w:p w:rsidR="009B6281" w:rsidRDefault="009B6281" w:rsidP="009B6281">
      <w:pPr>
        <w:spacing w:line="480" w:lineRule="auto"/>
        <w:ind w:left="720" w:hanging="720"/>
        <w:jc w:val="both"/>
      </w:pPr>
      <w:r>
        <w:t>A.</w:t>
      </w:r>
      <w:r>
        <w:tab/>
        <w:t xml:space="preserve">In an attempt to resolve the dilemma that the Merged Company’s conduct has created, PAETEC has proposed a true backup plan that, although requiring some modification of the merger conditions, would minimize both the risk and disruption to CLECs.  A copy of PAETEC’s proposal to the Merged Company was previously provided as </w:t>
      </w:r>
      <w:r w:rsidRPr="009B6281">
        <w:rPr>
          <w:b/>
        </w:rPr>
        <w:t>Exhibit BJJ-64</w:t>
      </w:r>
      <w:r w:rsidRPr="009B6281">
        <w:t xml:space="preserve"> to the Direct Testimony of Bonnie Johnson.</w:t>
      </w:r>
      <w:r>
        <w:t xml:space="preserve">  Under that plan, the Merged Company would proceed now to develop MTG as a backup so that it has the same functionality and is able to communicate with both CMIP – the language currently used by MEDIACC – and XML, but not implement MTG unless and until an unrecoverable failure of MEDIACC.  Because the system would interface using CMIP, this would assure that MEDIACC users continue to receive the same functionality as they do now.  Additionally, for MTG to be a true backup system, the Merged Company would also need to commit the necessary resources to maintain the existing system – MEDIACC – in working order. </w:t>
      </w:r>
    </w:p>
    <w:p w:rsidR="009B6281" w:rsidRDefault="009B6281" w:rsidP="009B6281">
      <w:pPr>
        <w:spacing w:line="480" w:lineRule="auto"/>
        <w:ind w:left="720" w:hanging="720"/>
        <w:jc w:val="both"/>
      </w:pPr>
      <w:r>
        <w:tab/>
      </w:r>
      <w:r>
        <w:tab/>
        <w:t xml:space="preserve">If, however, the Merged Company seeks to implement MTG as a system to replace MEDIACC and/or CEMR (i.e., implement MTG for use by the Merged Company or by any retail or wholesale customer), then the merger conditions must be complied with.  If the Merged Company wishes to proceed with the development of MTG before the expiration of 30 months after the merger, it will need to obtain a modification of the </w:t>
      </w:r>
      <w:r>
        <w:lastRenderedPageBreak/>
        <w:t>30 months moratorium requirement and it is reasonable, as a condition of being given such a modification of the merger conditions, that the Merged Company should bear any costs associated with earlier replacement of a Qwest legacy system.</w:t>
      </w:r>
    </w:p>
    <w:p w:rsidR="009B6281" w:rsidRDefault="009B6281" w:rsidP="009B6281">
      <w:pPr>
        <w:spacing w:line="480" w:lineRule="auto"/>
        <w:ind w:left="720" w:hanging="720"/>
        <w:jc w:val="both"/>
        <w:rPr>
          <w:b/>
        </w:rPr>
      </w:pPr>
      <w:r>
        <w:rPr>
          <w:b/>
        </w:rPr>
        <w:t>Q.</w:t>
      </w:r>
      <w:r>
        <w:rPr>
          <w:b/>
        </w:rPr>
        <w:tab/>
        <w:t>DID PAETEC INTEND FOR ITS PROPOSAL TO BE AN “INTERIM SOLUTION”?</w:t>
      </w:r>
    </w:p>
    <w:p w:rsidR="009B6281" w:rsidRPr="00FF50FC" w:rsidRDefault="009B6281" w:rsidP="009B6281">
      <w:pPr>
        <w:spacing w:line="480" w:lineRule="auto"/>
        <w:ind w:left="720" w:hanging="720"/>
        <w:jc w:val="both"/>
      </w:pPr>
      <w:r>
        <w:t>A.</w:t>
      </w:r>
      <w:r>
        <w:tab/>
        <w:t>Not necessarily.  If MTG were to be developed in a way that would allow PAETEC to interface with it using CMIP and that would retain the automated functionality that PAETEC currently has available when using MEDIACC, it would not be necessary for PAETEC to implement a new interface.</w:t>
      </w:r>
    </w:p>
    <w:p w:rsidR="009B6281" w:rsidRPr="00656A3C" w:rsidRDefault="009B6281" w:rsidP="009B6281">
      <w:pPr>
        <w:spacing w:line="480" w:lineRule="auto"/>
        <w:ind w:left="720" w:hanging="720"/>
        <w:jc w:val="both"/>
        <w:rPr>
          <w:b/>
        </w:rPr>
      </w:pPr>
      <w:r w:rsidRPr="00656A3C">
        <w:rPr>
          <w:b/>
        </w:rPr>
        <w:t>Q.</w:t>
      </w:r>
      <w:r w:rsidRPr="00656A3C">
        <w:rPr>
          <w:b/>
        </w:rPr>
        <w:tab/>
        <w:t>MS. ALBERSHEIM STATES THAT “QWEST/CENTURYLINK IS SERIOUSLY EVALUATING” PAETEC’S PROPOSAL.</w:t>
      </w:r>
      <w:r w:rsidRPr="00656A3C">
        <w:rPr>
          <w:rStyle w:val="FootnoteReference"/>
          <w:b/>
        </w:rPr>
        <w:footnoteReference w:id="11"/>
      </w:r>
      <w:r w:rsidRPr="00656A3C">
        <w:rPr>
          <w:b/>
        </w:rPr>
        <w:t xml:space="preserve">  WHAT IS THE CURRENT STATUS?</w:t>
      </w:r>
    </w:p>
    <w:p w:rsidR="009B6281" w:rsidRDefault="009B6281" w:rsidP="009B6281">
      <w:pPr>
        <w:spacing w:line="480" w:lineRule="auto"/>
        <w:ind w:left="720" w:hanging="720"/>
        <w:jc w:val="both"/>
      </w:pPr>
      <w:r>
        <w:t>A.</w:t>
      </w:r>
      <w:r>
        <w:tab/>
        <w:t>CenturyLink has indicated that it believes that developing an alternative CMIP interface to MTG would be too costly and time-consuming and, accordingly, does not intend to pursue that option.</w:t>
      </w:r>
    </w:p>
    <w:p w:rsidR="009B6281" w:rsidRDefault="009B6281" w:rsidP="009B6281">
      <w:pPr>
        <w:autoSpaceDE w:val="0"/>
        <w:autoSpaceDN w:val="0"/>
        <w:adjustRightInd w:val="0"/>
        <w:spacing w:line="480" w:lineRule="auto"/>
        <w:ind w:left="720" w:hanging="720"/>
        <w:rPr>
          <w:b/>
        </w:rPr>
      </w:pPr>
      <w:r w:rsidRPr="000A3D8F">
        <w:rPr>
          <w:b/>
        </w:rPr>
        <w:t>Q.</w:t>
      </w:r>
      <w:r w:rsidRPr="000A3D8F">
        <w:rPr>
          <w:b/>
        </w:rPr>
        <w:tab/>
        <w:t>DOES THAT CONCLUDE YOUR REBUTTAL TESTIMONY?</w:t>
      </w:r>
    </w:p>
    <w:p w:rsidR="009B6281" w:rsidRPr="00E156B2" w:rsidRDefault="009B6281" w:rsidP="009B6281">
      <w:pPr>
        <w:pStyle w:val="ListParagraph"/>
        <w:spacing w:line="480" w:lineRule="auto"/>
        <w:ind w:hanging="720"/>
        <w:jc w:val="both"/>
        <w:rPr>
          <w:rFonts w:ascii="Times New Roman" w:hAnsi="Times New Roman" w:cs="Times New Roman"/>
          <w:sz w:val="24"/>
          <w:szCs w:val="24"/>
        </w:rPr>
      </w:pPr>
      <w:r w:rsidRPr="000A3D8F">
        <w:rPr>
          <w:rFonts w:ascii="Times New Roman" w:hAnsi="Times New Roman" w:cs="Times New Roman"/>
          <w:sz w:val="24"/>
          <w:szCs w:val="24"/>
        </w:rPr>
        <w:t>A.</w:t>
      </w:r>
      <w:r w:rsidRPr="000A3D8F">
        <w:rPr>
          <w:rFonts w:ascii="Times New Roman" w:hAnsi="Times New Roman" w:cs="Times New Roman"/>
          <w:sz w:val="24"/>
          <w:szCs w:val="24"/>
        </w:rPr>
        <w:tab/>
        <w:t>Yes.</w:t>
      </w:r>
    </w:p>
    <w:bookmarkEnd w:id="0"/>
    <w:bookmarkEnd w:id="1"/>
    <w:p w:rsidR="00E156B2" w:rsidRPr="009B6281" w:rsidRDefault="00E156B2" w:rsidP="00E16D0B">
      <w:pPr>
        <w:pStyle w:val="ListParagraph"/>
        <w:spacing w:line="480" w:lineRule="auto"/>
        <w:ind w:hanging="720"/>
        <w:jc w:val="both"/>
        <w:rPr>
          <w:rFonts w:ascii="Times New Roman" w:hAnsi="Times New Roman" w:cs="Times New Roman"/>
          <w:sz w:val="24"/>
          <w:szCs w:val="24"/>
        </w:rPr>
      </w:pPr>
    </w:p>
    <w:p w:rsidR="0095371D" w:rsidRDefault="00D00A9C">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" fillcolor="white [3212]" stroked="f">
            <v:textbox style="mso-fit-shape-to-text:t" inset="0,10.8pt,0,0">
              <w:txbxContent>
                <w:p w:rsidR="0095371D" w:rsidRDefault="0095371D">
                  <w:pPr>
                    <w:pStyle w:val="MacPacTrailer"/>
                  </w:pPr>
                  <w:bookmarkStart w:id="3" w:name="_mpv138557080000010000000000000000000000"/>
                  <w:bookmarkStart w:id="4" w:name="_mps221416650000000000000004347000000000"/>
                  <w:r>
                    <w:t>GP:3086536 v1</w:t>
                  </w:r>
                  <w:bookmarkEnd w:id="3"/>
                  <w:r>
                    <w:t xml:space="preserve">       </w:t>
                  </w:r>
                  <w:bookmarkEnd w:id="4"/>
                </w:p>
              </w:txbxContent>
            </v:textbox>
            <w10:wrap anchorx="margin"/>
          </v:shape>
        </w:pict>
      </w:r>
    </w:p>
    <w:p w:rsidR="00E16D0B" w:rsidRPr="0095371D" w:rsidRDefault="00E16D0B" w:rsidP="00AD072B">
      <w:pPr>
        <w:pStyle w:val="Answer"/>
        <w:spacing w:after="0"/>
        <w:rPr>
          <w:b/>
        </w:rPr>
      </w:pPr>
    </w:p>
    <w:sectPr w:rsidR="00E16D0B" w:rsidRPr="0095371D" w:rsidSect="004E7AE0">
      <w:headerReference w:type="default" r:id="rId11"/>
      <w:footerReference w:type="default" r:id="rId12"/>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4A1" w:rsidRDefault="007774A1" w:rsidP="002B4D3C">
      <w:r>
        <w:separator/>
      </w:r>
    </w:p>
  </w:endnote>
  <w:endnote w:type="continuationSeparator" w:id="0">
    <w:p w:rsidR="007774A1" w:rsidRDefault="007774A1" w:rsidP="002B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86" w:rsidRDefault="00CD7686" w:rsidP="00605F7F">
    <w:pPr>
      <w:pStyle w:val="Footer"/>
      <w:framePr w:wrap="around" w:vAnchor="text" w:hAnchor="margin" w:xAlign="center" w:y="1"/>
      <w:rPr>
        <w:rStyle w:val="PageNumber"/>
      </w:rPr>
    </w:pPr>
  </w:p>
  <w:p w:rsidR="00CD7686" w:rsidRDefault="00CD7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86" w:rsidRDefault="00CD7686" w:rsidP="00605F7F">
    <w:pPr>
      <w:pStyle w:val="Footer"/>
      <w:framePr w:wrap="around" w:vAnchor="text" w:hAnchor="margin" w:xAlign="center" w:y="1"/>
      <w:rPr>
        <w:rStyle w:val="PageNumber"/>
      </w:rPr>
    </w:pPr>
  </w:p>
  <w:p w:rsidR="00CD7686" w:rsidRDefault="00CD7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7361"/>
      <w:docPartObj>
        <w:docPartGallery w:val="Page Numbers (Bottom of Page)"/>
        <w:docPartUnique/>
      </w:docPartObj>
    </w:sdtPr>
    <w:sdtEndPr>
      <w:rPr>
        <w:noProof/>
      </w:rPr>
    </w:sdtEndPr>
    <w:sdtContent>
      <w:p w:rsidR="00703B26" w:rsidRDefault="00703B26">
        <w:pPr>
          <w:pStyle w:val="Footer"/>
          <w:jc w:val="center"/>
        </w:pPr>
        <w:r>
          <w:fldChar w:fldCharType="begin"/>
        </w:r>
        <w:r>
          <w:instrText xml:space="preserve"> PAGE   \* MERGEFORMAT </w:instrText>
        </w:r>
        <w:r>
          <w:fldChar w:fldCharType="separate"/>
        </w:r>
        <w:r w:rsidR="00D00A9C">
          <w:rPr>
            <w:noProof/>
          </w:rPr>
          <w:t>3</w:t>
        </w:r>
        <w:r>
          <w:rPr>
            <w:noProof/>
          </w:rPr>
          <w:fldChar w:fldCharType="end"/>
        </w:r>
      </w:p>
    </w:sdtContent>
  </w:sdt>
  <w:p w:rsidR="00CD7686" w:rsidRDefault="00CD7686" w:rsidP="00605F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4A1" w:rsidRDefault="007774A1" w:rsidP="002B4D3C">
      <w:r>
        <w:separator/>
      </w:r>
    </w:p>
  </w:footnote>
  <w:footnote w:type="continuationSeparator" w:id="0">
    <w:p w:rsidR="007774A1" w:rsidRDefault="007774A1" w:rsidP="002B4D3C">
      <w:r>
        <w:continuationSeparator/>
      </w:r>
    </w:p>
  </w:footnote>
  <w:footnote w:id="1">
    <w:p w:rsidR="00D00A9C" w:rsidRDefault="00D00A9C" w:rsidP="00D00A9C">
      <w:pPr>
        <w:pStyle w:val="FootnoteText"/>
      </w:pPr>
      <w:r>
        <w:rPr>
          <w:rStyle w:val="FootnoteReference"/>
        </w:rPr>
        <w:footnoteRef/>
      </w:r>
      <w:r>
        <w:t xml:space="preserve"> A copy of the PAETEC settlement agreement is contained in Exhibit BJJ-4 to the Direct Testimony of Bonnie Johnson of Integra in this matter.  Douglas Denney of Integra describes provisions of the PAETEC settlement agreement (also known as the Joint CLEC Merger Agreement) on pages 50-53 of his direct testimony.</w:t>
      </w:r>
    </w:p>
  </w:footnote>
  <w:footnote w:id="2">
    <w:p w:rsidR="00D00A9C" w:rsidRDefault="00D00A9C" w:rsidP="00D00A9C">
      <w:pPr>
        <w:pStyle w:val="FootnoteText"/>
      </w:pPr>
      <w:r>
        <w:rPr>
          <w:rStyle w:val="FootnoteReference"/>
        </w:rPr>
        <w:footnoteRef/>
      </w:r>
      <w:r>
        <w:t xml:space="preserve"> WUTC Order No. 14, pp. 52-53, ¶86.</w:t>
      </w:r>
    </w:p>
  </w:footnote>
  <w:footnote w:id="3">
    <w:p w:rsidR="00D00A9C" w:rsidRDefault="00D00A9C" w:rsidP="00D00A9C">
      <w:pPr>
        <w:pStyle w:val="FootnoteText"/>
      </w:pPr>
      <w:r>
        <w:rPr>
          <w:rStyle w:val="FootnoteReference"/>
        </w:rPr>
        <w:footnoteRef/>
      </w:r>
      <w:r>
        <w:t xml:space="preserve"> As indicated in paragraph 95 of our Complaint, “The Commission has taken administrative notice of the Joint CLEC Merger Agreement, which Joint Applicants have indicated does not require Commission action for its provisions to take effect, and adopted its extended timeframes.”  In paragraph 95 of the Answer of CenturyLink and Qwest, they admit this information.   The CenturyLink and Qwest letter in which they state that the OSS provisions of the PAETEC settlement agreement apply to the 14-state Qwest ILEC region and that there are no provisions in the agreement that require Commission action to take effect is attached to Ms. Johnson’s direct testimony as Exhibit BJJ-6.</w:t>
      </w:r>
    </w:p>
  </w:footnote>
  <w:footnote w:id="4">
    <w:p w:rsidR="00D00A9C" w:rsidRDefault="00D00A9C" w:rsidP="00D00A9C">
      <w:pPr>
        <w:pStyle w:val="FootnoteText"/>
      </w:pPr>
      <w:r>
        <w:rPr>
          <w:rStyle w:val="FootnoteReference"/>
        </w:rPr>
        <w:footnoteRef/>
      </w:r>
      <w:r>
        <w:t xml:space="preserve"> See, e.g., Complaint, p. 34, ¶96.</w:t>
      </w:r>
    </w:p>
  </w:footnote>
  <w:footnote w:id="5">
    <w:p w:rsidR="009B6281" w:rsidRDefault="009B6281" w:rsidP="009B6281">
      <w:pPr>
        <w:pStyle w:val="FootnoteText"/>
      </w:pPr>
      <w:r>
        <w:rPr>
          <w:rStyle w:val="FootnoteReference"/>
        </w:rPr>
        <w:footnoteRef/>
      </w:r>
      <w:r>
        <w:t xml:space="preserve"> Testimony of Robert T. Williamson, p. 19, ll. 10-22.</w:t>
      </w:r>
    </w:p>
  </w:footnote>
  <w:footnote w:id="6">
    <w:p w:rsidR="009B6281" w:rsidRDefault="009B6281" w:rsidP="009B6281">
      <w:pPr>
        <w:pStyle w:val="FootnoteText"/>
      </w:pPr>
      <w:r>
        <w:rPr>
          <w:rStyle w:val="FootnoteReference"/>
        </w:rPr>
        <w:footnoteRef/>
      </w:r>
      <w:r>
        <w:t xml:space="preserve"> Testimony of Robert T. Williamson, p. 20, ll. 2-7.</w:t>
      </w:r>
    </w:p>
  </w:footnote>
  <w:footnote w:id="7">
    <w:p w:rsidR="008B18B9" w:rsidRDefault="008B18B9">
      <w:pPr>
        <w:pStyle w:val="FootnoteText"/>
      </w:pPr>
      <w:r>
        <w:rPr>
          <w:rStyle w:val="FootnoteReference"/>
        </w:rPr>
        <w:footnoteRef/>
      </w:r>
      <w:r>
        <w:t xml:space="preserve"> Testimony of Robert T. Williamson, p. 20, ll. 9-21.</w:t>
      </w:r>
    </w:p>
  </w:footnote>
  <w:footnote w:id="8">
    <w:p w:rsidR="009B6281" w:rsidRPr="00E47EB9" w:rsidRDefault="009B6281" w:rsidP="009B6281">
      <w:pPr>
        <w:pStyle w:val="FootnoteText"/>
      </w:pPr>
      <w:r>
        <w:rPr>
          <w:rStyle w:val="FootnoteReference"/>
        </w:rPr>
        <w:footnoteRef/>
      </w:r>
      <w:r>
        <w:t xml:space="preserve"> Direct</w:t>
      </w:r>
      <w:r w:rsidRPr="00E47EB9">
        <w:t xml:space="preserve"> Testimony of Renee Albersheim, p. 7, l</w:t>
      </w:r>
      <w:r>
        <w:t>l.</w:t>
      </w:r>
      <w:r w:rsidRPr="00E47EB9">
        <w:t xml:space="preserve"> 1-</w:t>
      </w:r>
      <w:r>
        <w:t>4</w:t>
      </w:r>
      <w:r w:rsidRPr="00E47EB9">
        <w:t>.</w:t>
      </w:r>
    </w:p>
  </w:footnote>
  <w:footnote w:id="9">
    <w:p w:rsidR="009B6281" w:rsidRPr="00E47EB9" w:rsidRDefault="009B6281" w:rsidP="009B6281">
      <w:pPr>
        <w:pStyle w:val="FootnoteText"/>
      </w:pPr>
      <w:r w:rsidRPr="00E47EB9">
        <w:rPr>
          <w:rStyle w:val="FootnoteReference"/>
        </w:rPr>
        <w:footnoteRef/>
      </w:r>
      <w:r w:rsidRPr="00E47EB9">
        <w:t xml:space="preserve"> See, e.g., </w:t>
      </w:r>
      <w:r w:rsidRPr="00E47EB9">
        <w:rPr>
          <w:rStyle w:val="Hyperlink"/>
        </w:rPr>
        <w:t>http://www.atis.org/docstore/product.aspx?id=21171</w:t>
      </w:r>
      <w:r w:rsidRPr="00E47EB9">
        <w:t>.</w:t>
      </w:r>
    </w:p>
  </w:footnote>
  <w:footnote w:id="10">
    <w:p w:rsidR="009B6281" w:rsidRDefault="009B6281" w:rsidP="009B6281">
      <w:pPr>
        <w:pStyle w:val="FootnoteText"/>
      </w:pPr>
      <w:r>
        <w:rPr>
          <w:rStyle w:val="FootnoteReference"/>
        </w:rPr>
        <w:footnoteRef/>
      </w:r>
      <w:r>
        <w:t xml:space="preserve"> Direct</w:t>
      </w:r>
      <w:r w:rsidRPr="00E47EB9">
        <w:t xml:space="preserve"> Testimony of Renee Albersheim, p. </w:t>
      </w:r>
      <w:r>
        <w:t>20, l. 8.</w:t>
      </w:r>
    </w:p>
  </w:footnote>
  <w:footnote w:id="11">
    <w:p w:rsidR="009B6281" w:rsidRDefault="009B6281" w:rsidP="009B6281">
      <w:pPr>
        <w:pStyle w:val="FootnoteText"/>
      </w:pPr>
      <w:r>
        <w:rPr>
          <w:rStyle w:val="FootnoteReference"/>
        </w:rPr>
        <w:footnoteRef/>
      </w:r>
      <w:r>
        <w:t xml:space="preserve"> Direct</w:t>
      </w:r>
      <w:r w:rsidRPr="00E47EB9">
        <w:t xml:space="preserve"> Testimony of Renee Albersheim, p. </w:t>
      </w:r>
      <w:r>
        <w:t>20, l.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26" w:rsidRDefault="00703B26" w:rsidP="00703B26">
    <w:pPr>
      <w:pStyle w:val="Header"/>
      <w:tabs>
        <w:tab w:val="clear" w:pos="4320"/>
        <w:tab w:val="clear" w:pos="8640"/>
      </w:tabs>
      <w:ind w:left="5040"/>
      <w:jc w:val="right"/>
      <w:rPr>
        <w:sz w:val="20"/>
        <w:szCs w:val="20"/>
      </w:rPr>
    </w:pPr>
    <w:r>
      <w:rPr>
        <w:sz w:val="20"/>
        <w:szCs w:val="20"/>
      </w:rPr>
      <w:t>WUTC Docket No. Ut-111254</w:t>
    </w:r>
  </w:p>
  <w:p w:rsidR="00CD7686" w:rsidRPr="00E93C83" w:rsidRDefault="00703B26" w:rsidP="009B6281">
    <w:pPr>
      <w:pStyle w:val="Header"/>
      <w:tabs>
        <w:tab w:val="clear" w:pos="4320"/>
        <w:tab w:val="clear" w:pos="8640"/>
      </w:tabs>
      <w:ind w:left="4320"/>
      <w:jc w:val="right"/>
      <w:rPr>
        <w:sz w:val="20"/>
        <w:szCs w:val="20"/>
      </w:rPr>
    </w:pPr>
    <w:r>
      <w:rPr>
        <w:sz w:val="20"/>
        <w:szCs w:val="20"/>
      </w:rPr>
      <w:t>Rebuttal Testimony Of Christoper Hansen</w:t>
    </w:r>
  </w:p>
  <w:p w:rsidR="00CD7686" w:rsidRPr="00E93C83" w:rsidRDefault="00703B26" w:rsidP="002B4D3C">
    <w:pPr>
      <w:pStyle w:val="Header"/>
      <w:tabs>
        <w:tab w:val="clear" w:pos="4320"/>
        <w:tab w:val="clear" w:pos="8640"/>
      </w:tabs>
      <w:ind w:left="5040"/>
      <w:jc w:val="right"/>
      <w:rPr>
        <w:sz w:val="20"/>
        <w:szCs w:val="20"/>
      </w:rPr>
    </w:pPr>
    <w:r>
      <w:rPr>
        <w:sz w:val="20"/>
        <w:szCs w:val="20"/>
      </w:rPr>
      <w:t>December 15, 2011</w:t>
    </w:r>
  </w:p>
  <w:p w:rsidR="00CD7686" w:rsidRPr="00E93C83" w:rsidRDefault="00CD7686" w:rsidP="002B4D3C">
    <w:pPr>
      <w:pStyle w:val="TxBrp3"/>
      <w:spacing w:line="240" w:lineRule="auto"/>
      <w:jc w:val="right"/>
      <w:rPr>
        <w:sz w:val="20"/>
        <w:szCs w:val="20"/>
      </w:rPr>
    </w:pPr>
  </w:p>
  <w:p w:rsidR="00CD7686" w:rsidRDefault="00CD7686" w:rsidP="002B4D3C">
    <w:pPr>
      <w:pStyle w:val="Header"/>
      <w:jc w:val="right"/>
    </w:pPr>
  </w:p>
  <w:p w:rsidR="00CD7686" w:rsidRPr="001B6253" w:rsidRDefault="00CD7686" w:rsidP="00605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23C4"/>
    <w:multiLevelType w:val="hybridMultilevel"/>
    <w:tmpl w:val="4C2825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C3264AB"/>
    <w:multiLevelType w:val="hybridMultilevel"/>
    <w:tmpl w:val="9B940E76"/>
    <w:lvl w:ilvl="0" w:tplc="16FE83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mpo13855708" w:val="ÌÍ^`~#mp!@⌞⌜O#⌖┖┫38zŕ⌔mcJlÊg/bòkrpc·g2k⌄⌄ ˈ⌆†!@%X⌍⌒A7X^73b[011"/>
    <w:docVar w:name="mpo19019264" w:val="ÌÍ^`~#mp!@S(?#⌟┘┪38zŗ⌓mcLkÊi.bôjrpe¶g⌆⌈⌘h⌊c!@H.:X=;_Z;:^_011"/>
    <w:docVar w:name="mpo22141665" w:val="ÌÍ^`~#mp!@Z)4#(┘┩5:|ŗ⌒meLjÌi-dôitpeµi4g⌆⌆⌠Ť⌈‡!@_8⌅⌉&gt;6W[62_Z011"/>
    <w:docVar w:name="mpo37582040" w:val="ÌÍ^`~#mp!@4⌓⌏#&lt;┕┥75}~Ŕ⌎mgIfÎf)fñevpb±k⌃⌃⌜e⌅g!@⌏⌇109:[V:6Z^011"/>
    <w:docVar w:name="mpo98061115" w:val="ÌÍ^`~#mp!@⌠()#U┘┨98ŗ⌑miLiÐi,hôhxpe´m⌆⌆⌞h⌈i!@⌡/⌙⌖=8YZ84^\011"/>
    <w:docVar w:name="zzmp10LastTrailerInserted" w:val="^`~#mp!@.⌘⌌#4┖┥6;3zŔm8c1k2b5iÑhp2aUVQYòeÍeI!kÊb-gIfJfuc)@gJeMe)fZÃå⌊eê)2⌗⌊Gð6¢¬O⌈«MÇ¬⌞+†&quot;‡#⌚°⌞⌓°⌌©$hš1(RÅ⌔ª;⌜ª+⌌G¾§“2Õ⌄․⌙⌓h⌏«BX‿⌅ÞqÊ⌃⌇ú‱;)o:WX:2\^011"/>
    <w:docVar w:name="zzmp10TP" w:val="69040"/>
  </w:docVars>
  <w:rsids>
    <w:rsidRoot w:val="002B4D3C"/>
    <w:rsid w:val="00014DC7"/>
    <w:rsid w:val="0005233A"/>
    <w:rsid w:val="00062207"/>
    <w:rsid w:val="00086167"/>
    <w:rsid w:val="000A27BA"/>
    <w:rsid w:val="000B52DE"/>
    <w:rsid w:val="000C36E6"/>
    <w:rsid w:val="000E0619"/>
    <w:rsid w:val="000E746B"/>
    <w:rsid w:val="000F129D"/>
    <w:rsid w:val="00101AE0"/>
    <w:rsid w:val="001142A1"/>
    <w:rsid w:val="00127515"/>
    <w:rsid w:val="00152C15"/>
    <w:rsid w:val="0016567E"/>
    <w:rsid w:val="001B7F8E"/>
    <w:rsid w:val="001C2C21"/>
    <w:rsid w:val="001C2EFB"/>
    <w:rsid w:val="001C7926"/>
    <w:rsid w:val="0021595E"/>
    <w:rsid w:val="00222A54"/>
    <w:rsid w:val="002311A9"/>
    <w:rsid w:val="00231D4B"/>
    <w:rsid w:val="00242BF4"/>
    <w:rsid w:val="00254F51"/>
    <w:rsid w:val="00260C12"/>
    <w:rsid w:val="0026413A"/>
    <w:rsid w:val="00290A1D"/>
    <w:rsid w:val="00290CD4"/>
    <w:rsid w:val="00292583"/>
    <w:rsid w:val="002A6778"/>
    <w:rsid w:val="002B3C63"/>
    <w:rsid w:val="002B4D3C"/>
    <w:rsid w:val="002C0D0A"/>
    <w:rsid w:val="002C468F"/>
    <w:rsid w:val="002D1027"/>
    <w:rsid w:val="002D35B7"/>
    <w:rsid w:val="002D4954"/>
    <w:rsid w:val="002D50ED"/>
    <w:rsid w:val="002E1277"/>
    <w:rsid w:val="002E4C24"/>
    <w:rsid w:val="00306939"/>
    <w:rsid w:val="0032078F"/>
    <w:rsid w:val="00324864"/>
    <w:rsid w:val="00326B72"/>
    <w:rsid w:val="003349DE"/>
    <w:rsid w:val="00340225"/>
    <w:rsid w:val="00371021"/>
    <w:rsid w:val="00383E04"/>
    <w:rsid w:val="00393462"/>
    <w:rsid w:val="003C12FC"/>
    <w:rsid w:val="003C57E2"/>
    <w:rsid w:val="003F4424"/>
    <w:rsid w:val="00406542"/>
    <w:rsid w:val="0041225C"/>
    <w:rsid w:val="00442AC6"/>
    <w:rsid w:val="00450263"/>
    <w:rsid w:val="004534CE"/>
    <w:rsid w:val="00457A8C"/>
    <w:rsid w:val="00482677"/>
    <w:rsid w:val="004864E9"/>
    <w:rsid w:val="004A6A55"/>
    <w:rsid w:val="004B019D"/>
    <w:rsid w:val="004B25FA"/>
    <w:rsid w:val="004C4134"/>
    <w:rsid w:val="004C6F19"/>
    <w:rsid w:val="004D6B38"/>
    <w:rsid w:val="004E7AE0"/>
    <w:rsid w:val="004F2C67"/>
    <w:rsid w:val="004F4C02"/>
    <w:rsid w:val="004F50FE"/>
    <w:rsid w:val="0050726C"/>
    <w:rsid w:val="00523C8A"/>
    <w:rsid w:val="00535396"/>
    <w:rsid w:val="00554FC3"/>
    <w:rsid w:val="005710A6"/>
    <w:rsid w:val="00577B9B"/>
    <w:rsid w:val="00586125"/>
    <w:rsid w:val="00591AE2"/>
    <w:rsid w:val="00592260"/>
    <w:rsid w:val="005A2AB2"/>
    <w:rsid w:val="005C347B"/>
    <w:rsid w:val="005F1500"/>
    <w:rsid w:val="005F5A4B"/>
    <w:rsid w:val="00601F03"/>
    <w:rsid w:val="00605B11"/>
    <w:rsid w:val="00605F7F"/>
    <w:rsid w:val="006117C4"/>
    <w:rsid w:val="00611C1D"/>
    <w:rsid w:val="00626C83"/>
    <w:rsid w:val="00631F9F"/>
    <w:rsid w:val="00643AB5"/>
    <w:rsid w:val="00644963"/>
    <w:rsid w:val="00656D0F"/>
    <w:rsid w:val="00677C6E"/>
    <w:rsid w:val="00680B17"/>
    <w:rsid w:val="00690C8C"/>
    <w:rsid w:val="006A4612"/>
    <w:rsid w:val="006D2FDE"/>
    <w:rsid w:val="0070120B"/>
    <w:rsid w:val="00703B26"/>
    <w:rsid w:val="0070429F"/>
    <w:rsid w:val="00723505"/>
    <w:rsid w:val="00734D1D"/>
    <w:rsid w:val="0074280D"/>
    <w:rsid w:val="007600C5"/>
    <w:rsid w:val="007637F0"/>
    <w:rsid w:val="007649D1"/>
    <w:rsid w:val="0076667C"/>
    <w:rsid w:val="00767A60"/>
    <w:rsid w:val="007774A1"/>
    <w:rsid w:val="00786154"/>
    <w:rsid w:val="00786616"/>
    <w:rsid w:val="00790EFD"/>
    <w:rsid w:val="007A51A1"/>
    <w:rsid w:val="007F1555"/>
    <w:rsid w:val="007F3B13"/>
    <w:rsid w:val="008048A4"/>
    <w:rsid w:val="00812DA6"/>
    <w:rsid w:val="00814557"/>
    <w:rsid w:val="00815DAE"/>
    <w:rsid w:val="008458AF"/>
    <w:rsid w:val="008521E1"/>
    <w:rsid w:val="00883F7D"/>
    <w:rsid w:val="008950FF"/>
    <w:rsid w:val="008A5C1C"/>
    <w:rsid w:val="008B18B9"/>
    <w:rsid w:val="008B5FD3"/>
    <w:rsid w:val="008C1182"/>
    <w:rsid w:val="008C4EC7"/>
    <w:rsid w:val="008D2D0B"/>
    <w:rsid w:val="008E784A"/>
    <w:rsid w:val="00924963"/>
    <w:rsid w:val="009271D8"/>
    <w:rsid w:val="009271F5"/>
    <w:rsid w:val="0093376F"/>
    <w:rsid w:val="00941545"/>
    <w:rsid w:val="0095371D"/>
    <w:rsid w:val="00956660"/>
    <w:rsid w:val="00956688"/>
    <w:rsid w:val="009721AE"/>
    <w:rsid w:val="00984277"/>
    <w:rsid w:val="00984853"/>
    <w:rsid w:val="009875A5"/>
    <w:rsid w:val="0099059F"/>
    <w:rsid w:val="00992122"/>
    <w:rsid w:val="00996632"/>
    <w:rsid w:val="009A02AA"/>
    <w:rsid w:val="009A5E44"/>
    <w:rsid w:val="009B6281"/>
    <w:rsid w:val="009D1A5C"/>
    <w:rsid w:val="009D2CF6"/>
    <w:rsid w:val="00A00673"/>
    <w:rsid w:val="00A03434"/>
    <w:rsid w:val="00A07BA5"/>
    <w:rsid w:val="00A1042E"/>
    <w:rsid w:val="00A23369"/>
    <w:rsid w:val="00A6432A"/>
    <w:rsid w:val="00A650D0"/>
    <w:rsid w:val="00A812E9"/>
    <w:rsid w:val="00A92188"/>
    <w:rsid w:val="00AA212E"/>
    <w:rsid w:val="00AA2ABD"/>
    <w:rsid w:val="00AB52C4"/>
    <w:rsid w:val="00AC63D2"/>
    <w:rsid w:val="00AC7607"/>
    <w:rsid w:val="00AD072B"/>
    <w:rsid w:val="00AE36F7"/>
    <w:rsid w:val="00AF7D48"/>
    <w:rsid w:val="00B1214B"/>
    <w:rsid w:val="00B26039"/>
    <w:rsid w:val="00B601F6"/>
    <w:rsid w:val="00B767CC"/>
    <w:rsid w:val="00B82639"/>
    <w:rsid w:val="00B90BEB"/>
    <w:rsid w:val="00BE0678"/>
    <w:rsid w:val="00C0061C"/>
    <w:rsid w:val="00C14134"/>
    <w:rsid w:val="00C2472D"/>
    <w:rsid w:val="00C37DDA"/>
    <w:rsid w:val="00C678AC"/>
    <w:rsid w:val="00C7013B"/>
    <w:rsid w:val="00CB241B"/>
    <w:rsid w:val="00CC6864"/>
    <w:rsid w:val="00CD3E1F"/>
    <w:rsid w:val="00CD66B6"/>
    <w:rsid w:val="00CD7686"/>
    <w:rsid w:val="00CE0AD1"/>
    <w:rsid w:val="00CF6E31"/>
    <w:rsid w:val="00CF73D5"/>
    <w:rsid w:val="00D00A9C"/>
    <w:rsid w:val="00D00F9B"/>
    <w:rsid w:val="00D40318"/>
    <w:rsid w:val="00D967C1"/>
    <w:rsid w:val="00DA50CB"/>
    <w:rsid w:val="00DC1E60"/>
    <w:rsid w:val="00DC32F3"/>
    <w:rsid w:val="00DC371A"/>
    <w:rsid w:val="00DE7651"/>
    <w:rsid w:val="00DF158B"/>
    <w:rsid w:val="00E076A4"/>
    <w:rsid w:val="00E130D3"/>
    <w:rsid w:val="00E156B2"/>
    <w:rsid w:val="00E16D0B"/>
    <w:rsid w:val="00E17F5F"/>
    <w:rsid w:val="00E25BCD"/>
    <w:rsid w:val="00E300D1"/>
    <w:rsid w:val="00E7102D"/>
    <w:rsid w:val="00E90F5E"/>
    <w:rsid w:val="00EB6BF1"/>
    <w:rsid w:val="00F12086"/>
    <w:rsid w:val="00F13B13"/>
    <w:rsid w:val="00F14D55"/>
    <w:rsid w:val="00F2130A"/>
    <w:rsid w:val="00F41661"/>
    <w:rsid w:val="00F46A3C"/>
    <w:rsid w:val="00FA038C"/>
    <w:rsid w:val="00FA0B4C"/>
    <w:rsid w:val="00FC08F5"/>
    <w:rsid w:val="00FC64D9"/>
    <w:rsid w:val="00FD0E39"/>
    <w:rsid w:val="00FE11F6"/>
    <w:rsid w:val="00FE3BEB"/>
    <w:rsid w:val="00FE411F"/>
    <w:rsid w:val="00FE5C18"/>
    <w:rsid w:val="00FF50FC"/>
    <w:rsid w:val="00FF76B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3C"/>
    <w:rPr>
      <w:rFonts w:eastAsia="Times New Roman" w:cs="Times New Roman"/>
      <w:szCs w:val="24"/>
    </w:rPr>
  </w:style>
  <w:style w:type="paragraph" w:styleId="Heading1">
    <w:name w:val="heading 1"/>
    <w:basedOn w:val="Normal"/>
    <w:next w:val="Normal"/>
    <w:link w:val="Heading1Char"/>
    <w:uiPriority w:val="99"/>
    <w:qFormat/>
    <w:rsid w:val="002B4D3C"/>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7666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4D3C"/>
    <w:rPr>
      <w:rFonts w:ascii="Cambria" w:eastAsia="Times New Roman" w:hAnsi="Cambria" w:cs="Times New Roman"/>
      <w:b/>
      <w:bCs/>
      <w:kern w:val="32"/>
      <w:sz w:val="32"/>
      <w:szCs w:val="32"/>
    </w:rPr>
  </w:style>
  <w:style w:type="paragraph" w:styleId="TOC1">
    <w:name w:val="toc 1"/>
    <w:basedOn w:val="Normal"/>
    <w:next w:val="Normal"/>
    <w:autoRedefine/>
    <w:uiPriority w:val="39"/>
    <w:rsid w:val="002B4D3C"/>
    <w:pPr>
      <w:spacing w:after="240"/>
      <w:ind w:left="720" w:right="720" w:hanging="720"/>
    </w:pPr>
    <w:rPr>
      <w:szCs w:val="20"/>
    </w:rPr>
  </w:style>
  <w:style w:type="paragraph" w:customStyle="1" w:styleId="Description">
    <w:name w:val="Description"/>
    <w:basedOn w:val="Normal"/>
    <w:uiPriority w:val="99"/>
    <w:rsid w:val="002B4D3C"/>
    <w:rPr>
      <w:b/>
      <w:szCs w:val="20"/>
    </w:rPr>
  </w:style>
  <w:style w:type="paragraph" w:customStyle="1" w:styleId="Question">
    <w:name w:val="Question"/>
    <w:basedOn w:val="Normal"/>
    <w:link w:val="QuestionCharChar"/>
    <w:uiPriority w:val="99"/>
    <w:rsid w:val="002B4D3C"/>
    <w:pPr>
      <w:spacing w:line="480" w:lineRule="auto"/>
      <w:ind w:left="720" w:hanging="720"/>
      <w:jc w:val="both"/>
    </w:pPr>
    <w:rPr>
      <w:b/>
      <w:caps/>
      <w:szCs w:val="20"/>
    </w:rPr>
  </w:style>
  <w:style w:type="paragraph" w:customStyle="1" w:styleId="Answer">
    <w:name w:val="Answer"/>
    <w:basedOn w:val="Normal"/>
    <w:link w:val="AnswerChar"/>
    <w:uiPriority w:val="99"/>
    <w:qFormat/>
    <w:rsid w:val="002B4D3C"/>
    <w:pPr>
      <w:spacing w:after="240" w:line="480" w:lineRule="auto"/>
      <w:ind w:left="720" w:hanging="720"/>
      <w:jc w:val="both"/>
    </w:pPr>
    <w:rPr>
      <w:szCs w:val="20"/>
    </w:rPr>
  </w:style>
  <w:style w:type="character" w:customStyle="1" w:styleId="QuestionCharChar">
    <w:name w:val="Question Char Char"/>
    <w:basedOn w:val="DefaultParagraphFont"/>
    <w:link w:val="Question"/>
    <w:uiPriority w:val="99"/>
    <w:locked/>
    <w:rsid w:val="002B4D3C"/>
    <w:rPr>
      <w:rFonts w:eastAsia="Times New Roman" w:cs="Times New Roman"/>
      <w:b/>
      <w:caps/>
      <w:szCs w:val="20"/>
    </w:rPr>
  </w:style>
  <w:style w:type="character" w:customStyle="1" w:styleId="AnswerChar">
    <w:name w:val="Answer Char"/>
    <w:basedOn w:val="DefaultParagraphFont"/>
    <w:link w:val="Answer"/>
    <w:uiPriority w:val="99"/>
    <w:locked/>
    <w:rsid w:val="002B4D3C"/>
    <w:rPr>
      <w:rFonts w:eastAsia="Times New Roman" w:cs="Times New Roman"/>
      <w:szCs w:val="20"/>
    </w:rPr>
  </w:style>
  <w:style w:type="paragraph" w:styleId="Header">
    <w:name w:val="header"/>
    <w:basedOn w:val="Normal"/>
    <w:link w:val="HeaderChar"/>
    <w:uiPriority w:val="99"/>
    <w:rsid w:val="002B4D3C"/>
    <w:pPr>
      <w:tabs>
        <w:tab w:val="center" w:pos="4320"/>
        <w:tab w:val="right" w:pos="8640"/>
      </w:tabs>
    </w:pPr>
  </w:style>
  <w:style w:type="character" w:customStyle="1" w:styleId="HeaderChar">
    <w:name w:val="Header Char"/>
    <w:basedOn w:val="DefaultParagraphFont"/>
    <w:link w:val="Header"/>
    <w:uiPriority w:val="99"/>
    <w:rsid w:val="002B4D3C"/>
    <w:rPr>
      <w:rFonts w:eastAsia="Times New Roman" w:cs="Times New Roman"/>
      <w:szCs w:val="24"/>
    </w:rPr>
  </w:style>
  <w:style w:type="paragraph" w:styleId="Footer">
    <w:name w:val="footer"/>
    <w:basedOn w:val="Normal"/>
    <w:link w:val="FooterChar"/>
    <w:uiPriority w:val="99"/>
    <w:rsid w:val="002B4D3C"/>
    <w:pPr>
      <w:tabs>
        <w:tab w:val="center" w:pos="4320"/>
        <w:tab w:val="right" w:pos="8640"/>
      </w:tabs>
    </w:pPr>
  </w:style>
  <w:style w:type="character" w:customStyle="1" w:styleId="FooterChar">
    <w:name w:val="Footer Char"/>
    <w:basedOn w:val="DefaultParagraphFont"/>
    <w:link w:val="Footer"/>
    <w:uiPriority w:val="99"/>
    <w:rsid w:val="002B4D3C"/>
    <w:rPr>
      <w:rFonts w:eastAsia="Times New Roman" w:cs="Times New Roman"/>
      <w:szCs w:val="24"/>
    </w:rPr>
  </w:style>
  <w:style w:type="character" w:styleId="PageNumber">
    <w:name w:val="page number"/>
    <w:basedOn w:val="DefaultParagraphFont"/>
    <w:uiPriority w:val="99"/>
    <w:rsid w:val="002B4D3C"/>
    <w:rPr>
      <w:rFonts w:cs="Times New Roman"/>
    </w:rPr>
  </w:style>
  <w:style w:type="paragraph" w:styleId="TOC2">
    <w:name w:val="toc 2"/>
    <w:basedOn w:val="Normal"/>
    <w:next w:val="Normal"/>
    <w:autoRedefine/>
    <w:uiPriority w:val="39"/>
    <w:rsid w:val="002B4D3C"/>
    <w:pPr>
      <w:tabs>
        <w:tab w:val="left" w:pos="720"/>
        <w:tab w:val="right" w:leader="dot" w:pos="9350"/>
      </w:tabs>
      <w:spacing w:after="240"/>
      <w:ind w:left="1440" w:right="720" w:hanging="720"/>
    </w:pPr>
  </w:style>
  <w:style w:type="paragraph" w:customStyle="1" w:styleId="StyleHeading1TimesNewRoman12ptUnderline">
    <w:name w:val="Style Heading 1 + Times New Roman 12 pt Underline"/>
    <w:basedOn w:val="Heading1"/>
    <w:rsid w:val="002B4D3C"/>
    <w:pPr>
      <w:spacing w:before="360" w:after="360"/>
      <w:ind w:left="720" w:hanging="720"/>
    </w:pPr>
    <w:rPr>
      <w:rFonts w:ascii="Times New Roman Bold" w:hAnsi="Times New Roman Bold"/>
      <w:caps/>
      <w:sz w:val="24"/>
      <w:u w:val="single"/>
    </w:rPr>
  </w:style>
  <w:style w:type="paragraph" w:customStyle="1" w:styleId="TxBrp3">
    <w:name w:val="TxBr_p3"/>
    <w:basedOn w:val="Normal"/>
    <w:uiPriority w:val="99"/>
    <w:rsid w:val="002B4D3C"/>
    <w:pPr>
      <w:widowControl w:val="0"/>
      <w:tabs>
        <w:tab w:val="left" w:pos="204"/>
      </w:tabs>
      <w:autoSpaceDE w:val="0"/>
      <w:autoSpaceDN w:val="0"/>
      <w:adjustRightInd w:val="0"/>
      <w:spacing w:line="240" w:lineRule="atLeast"/>
    </w:p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unhideWhenUsed/>
    <w:rsid w:val="00C678AC"/>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rsid w:val="00C678AC"/>
    <w:rPr>
      <w:rFonts w:eastAsia="Times New Roman" w:cs="Times New Roman"/>
      <w:sz w:val="20"/>
      <w:szCs w:val="20"/>
    </w:rPr>
  </w:style>
  <w:style w:type="character" w:styleId="FootnoteReference">
    <w:name w:val="footnote reference"/>
    <w:aliases w:val="Style 3,fr,o,Footnote 1r,Style 17,Style 9,Style 12,(NECG) Footnote Reference,Appel note de bas de p,Style 5,Style 124,Style 6,Style 20,FR,Style 13,callout,Style 2,Style 11,o1,o2,o3,o4,o5,o6,o11,o21,o7,Style 28,Style 8"/>
    <w:basedOn w:val="DefaultParagraphFont"/>
    <w:uiPriority w:val="99"/>
    <w:unhideWhenUsed/>
    <w:rsid w:val="00C678AC"/>
    <w:rPr>
      <w:vertAlign w:val="superscript"/>
    </w:rPr>
  </w:style>
  <w:style w:type="character" w:customStyle="1" w:styleId="FootnoteTextChar1">
    <w:name w:val="Footnote Text Char1"/>
    <w:aliases w:val="ALTS FOOTNOTE Char1,fn Char2,Footnote Text Char Char Char1,Footnote Text Char2 Char Char Char1,Footnote Text Char Char Char1 Char Char1,Footnote Text Char2 Char Char Char1 Char Char1,fn Char Char1,f Char1"/>
    <w:basedOn w:val="DefaultParagraphFont"/>
    <w:uiPriority w:val="99"/>
    <w:locked/>
    <w:rsid w:val="00457A8C"/>
    <w:rPr>
      <w:rFonts w:cs="Times New Roman"/>
    </w:rPr>
  </w:style>
  <w:style w:type="character" w:styleId="Strong">
    <w:name w:val="Strong"/>
    <w:basedOn w:val="DefaultParagraphFont"/>
    <w:uiPriority w:val="99"/>
    <w:qFormat/>
    <w:rsid w:val="00457A8C"/>
    <w:rPr>
      <w:rFonts w:cs="Times New Roman"/>
      <w:b/>
      <w:bCs/>
    </w:rPr>
  </w:style>
  <w:style w:type="character" w:customStyle="1" w:styleId="Heading5Char">
    <w:name w:val="Heading 5 Char"/>
    <w:basedOn w:val="DefaultParagraphFont"/>
    <w:link w:val="Heading5"/>
    <w:uiPriority w:val="99"/>
    <w:rsid w:val="0076667C"/>
    <w:rPr>
      <w:rFonts w:asciiTheme="majorHAnsi" w:eastAsiaTheme="majorEastAsia" w:hAnsiTheme="majorHAnsi" w:cstheme="majorBidi"/>
      <w:color w:val="243F60" w:themeColor="accent1" w:themeShade="7F"/>
      <w:szCs w:val="24"/>
    </w:rPr>
  </w:style>
  <w:style w:type="character" w:styleId="Hyperlink">
    <w:name w:val="Hyperlink"/>
    <w:basedOn w:val="DefaultParagraphFont"/>
    <w:uiPriority w:val="99"/>
    <w:unhideWhenUsed/>
    <w:rsid w:val="00723505"/>
    <w:rPr>
      <w:color w:val="0000FF" w:themeColor="hyperlink"/>
      <w:u w:val="single"/>
    </w:rPr>
  </w:style>
  <w:style w:type="character" w:customStyle="1" w:styleId="hwc">
    <w:name w:val="hwc"/>
    <w:basedOn w:val="DefaultParagraphFont"/>
    <w:rsid w:val="00723505"/>
  </w:style>
  <w:style w:type="paragraph" w:styleId="BodyText">
    <w:name w:val="Body Text"/>
    <w:basedOn w:val="Normal"/>
    <w:link w:val="BodyTextChar1"/>
    <w:uiPriority w:val="99"/>
    <w:rsid w:val="00AE36F7"/>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rsid w:val="00AE36F7"/>
    <w:rPr>
      <w:rFonts w:eastAsia="Times New Roman" w:cs="Times New Roman"/>
      <w:szCs w:val="24"/>
    </w:rPr>
  </w:style>
  <w:style w:type="character" w:customStyle="1" w:styleId="BodyTextChar1">
    <w:name w:val="Body Text Char1"/>
    <w:basedOn w:val="DefaultParagraphFont"/>
    <w:link w:val="BodyText"/>
    <w:uiPriority w:val="99"/>
    <w:locked/>
    <w:rsid w:val="00AE36F7"/>
    <w:rPr>
      <w:rFonts w:eastAsia="Times New Roman" w:cs="Times New Roman"/>
      <w:szCs w:val="24"/>
    </w:rPr>
  </w:style>
  <w:style w:type="character" w:styleId="Emphasis">
    <w:name w:val="Emphasis"/>
    <w:basedOn w:val="DefaultParagraphFont"/>
    <w:uiPriority w:val="99"/>
    <w:qFormat/>
    <w:rsid w:val="00A23369"/>
    <w:rPr>
      <w:rFonts w:cs="Times New Roman"/>
      <w:i/>
      <w:iCs/>
    </w:rPr>
  </w:style>
  <w:style w:type="paragraph" w:styleId="ListParagraph">
    <w:name w:val="List Paragraph"/>
    <w:basedOn w:val="Normal"/>
    <w:uiPriority w:val="99"/>
    <w:qFormat/>
    <w:rsid w:val="00FC08F5"/>
    <w:pPr>
      <w:spacing w:after="200" w:line="276" w:lineRule="auto"/>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92122"/>
    <w:rPr>
      <w:rFonts w:ascii="Tahoma" w:hAnsi="Tahoma" w:cs="Tahoma"/>
      <w:sz w:val="16"/>
      <w:szCs w:val="16"/>
    </w:rPr>
  </w:style>
  <w:style w:type="character" w:customStyle="1" w:styleId="BalloonTextChar">
    <w:name w:val="Balloon Text Char"/>
    <w:basedOn w:val="DefaultParagraphFont"/>
    <w:link w:val="BalloonText"/>
    <w:uiPriority w:val="99"/>
    <w:semiHidden/>
    <w:rsid w:val="00992122"/>
    <w:rPr>
      <w:rFonts w:ascii="Tahoma" w:eastAsia="Times New Roman" w:hAnsi="Tahoma" w:cs="Tahoma"/>
      <w:sz w:val="16"/>
      <w:szCs w:val="16"/>
    </w:rPr>
  </w:style>
  <w:style w:type="paragraph" w:styleId="BlockText">
    <w:name w:val="Block Text"/>
    <w:basedOn w:val="Normal"/>
    <w:rsid w:val="0074280D"/>
    <w:pPr>
      <w:spacing w:line="480" w:lineRule="auto"/>
      <w:ind w:left="2160" w:right="1440"/>
    </w:pPr>
  </w:style>
  <w:style w:type="paragraph" w:styleId="BodyTextIndent">
    <w:name w:val="Body Text Indent"/>
    <w:basedOn w:val="Normal"/>
    <w:link w:val="BodyTextIndentChar"/>
    <w:uiPriority w:val="99"/>
    <w:semiHidden/>
    <w:unhideWhenUsed/>
    <w:rsid w:val="00CD7686"/>
    <w:pPr>
      <w:spacing w:after="120"/>
      <w:ind w:left="360"/>
    </w:pPr>
  </w:style>
  <w:style w:type="character" w:customStyle="1" w:styleId="BodyTextIndentChar">
    <w:name w:val="Body Text Indent Char"/>
    <w:basedOn w:val="DefaultParagraphFont"/>
    <w:link w:val="BodyTextIndent"/>
    <w:uiPriority w:val="99"/>
    <w:semiHidden/>
    <w:rsid w:val="00CD7686"/>
    <w:rPr>
      <w:rFonts w:eastAsia="Times New Roman" w:cs="Times New Roman"/>
      <w:szCs w:val="24"/>
    </w:rPr>
  </w:style>
  <w:style w:type="paragraph" w:customStyle="1" w:styleId="MacPacTrailer">
    <w:name w:val="MacPac Trailer"/>
    <w:rsid w:val="0095371D"/>
    <w:pPr>
      <w:widowControl w:val="0"/>
      <w:spacing w:line="200" w:lineRule="exact"/>
    </w:pPr>
    <w:rPr>
      <w:rFonts w:eastAsia="Times New Roman" w:cs="Times New Roman"/>
      <w:sz w:val="16"/>
    </w:rPr>
  </w:style>
  <w:style w:type="character" w:styleId="PlaceholderText">
    <w:name w:val="Placeholder Text"/>
    <w:basedOn w:val="DefaultParagraphFont"/>
    <w:uiPriority w:val="99"/>
    <w:semiHidden/>
    <w:rsid w:val="0095371D"/>
    <w:rPr>
      <w:color w:val="808080"/>
    </w:rPr>
  </w:style>
  <w:style w:type="character" w:styleId="LineNumber">
    <w:name w:val="line number"/>
    <w:basedOn w:val="DefaultParagraphFont"/>
    <w:uiPriority w:val="99"/>
    <w:semiHidden/>
    <w:unhideWhenUsed/>
    <w:rsid w:val="009B6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3C"/>
    <w:rPr>
      <w:rFonts w:eastAsia="Times New Roman" w:cs="Times New Roman"/>
      <w:szCs w:val="24"/>
    </w:rPr>
  </w:style>
  <w:style w:type="paragraph" w:styleId="Heading1">
    <w:name w:val="heading 1"/>
    <w:basedOn w:val="Normal"/>
    <w:next w:val="Normal"/>
    <w:link w:val="Heading1Char"/>
    <w:uiPriority w:val="99"/>
    <w:qFormat/>
    <w:rsid w:val="002B4D3C"/>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7666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4D3C"/>
    <w:rPr>
      <w:rFonts w:ascii="Cambria" w:eastAsia="Times New Roman" w:hAnsi="Cambria" w:cs="Times New Roman"/>
      <w:b/>
      <w:bCs/>
      <w:kern w:val="32"/>
      <w:sz w:val="32"/>
      <w:szCs w:val="32"/>
    </w:rPr>
  </w:style>
  <w:style w:type="paragraph" w:styleId="TOC1">
    <w:name w:val="toc 1"/>
    <w:basedOn w:val="Normal"/>
    <w:next w:val="Normal"/>
    <w:autoRedefine/>
    <w:uiPriority w:val="39"/>
    <w:rsid w:val="002B4D3C"/>
    <w:pPr>
      <w:spacing w:after="240"/>
      <w:ind w:left="720" w:right="720" w:hanging="720"/>
    </w:pPr>
    <w:rPr>
      <w:szCs w:val="20"/>
    </w:rPr>
  </w:style>
  <w:style w:type="paragraph" w:customStyle="1" w:styleId="Description">
    <w:name w:val="Description"/>
    <w:basedOn w:val="Normal"/>
    <w:uiPriority w:val="99"/>
    <w:rsid w:val="002B4D3C"/>
    <w:rPr>
      <w:b/>
      <w:szCs w:val="20"/>
    </w:rPr>
  </w:style>
  <w:style w:type="paragraph" w:customStyle="1" w:styleId="Question">
    <w:name w:val="Question"/>
    <w:basedOn w:val="Normal"/>
    <w:link w:val="QuestionCharChar"/>
    <w:uiPriority w:val="99"/>
    <w:rsid w:val="002B4D3C"/>
    <w:pPr>
      <w:spacing w:line="480" w:lineRule="auto"/>
      <w:ind w:left="720" w:hanging="720"/>
      <w:jc w:val="both"/>
    </w:pPr>
    <w:rPr>
      <w:b/>
      <w:caps/>
      <w:szCs w:val="20"/>
    </w:rPr>
  </w:style>
  <w:style w:type="paragraph" w:customStyle="1" w:styleId="Answer">
    <w:name w:val="Answer"/>
    <w:basedOn w:val="Normal"/>
    <w:link w:val="AnswerChar"/>
    <w:uiPriority w:val="99"/>
    <w:qFormat/>
    <w:rsid w:val="002B4D3C"/>
    <w:pPr>
      <w:spacing w:after="240" w:line="480" w:lineRule="auto"/>
      <w:ind w:left="720" w:hanging="720"/>
      <w:jc w:val="both"/>
    </w:pPr>
    <w:rPr>
      <w:szCs w:val="20"/>
    </w:rPr>
  </w:style>
  <w:style w:type="character" w:customStyle="1" w:styleId="QuestionCharChar">
    <w:name w:val="Question Char Char"/>
    <w:basedOn w:val="DefaultParagraphFont"/>
    <w:link w:val="Question"/>
    <w:uiPriority w:val="99"/>
    <w:locked/>
    <w:rsid w:val="002B4D3C"/>
    <w:rPr>
      <w:rFonts w:eastAsia="Times New Roman" w:cs="Times New Roman"/>
      <w:b/>
      <w:caps/>
      <w:szCs w:val="20"/>
    </w:rPr>
  </w:style>
  <w:style w:type="character" w:customStyle="1" w:styleId="AnswerChar">
    <w:name w:val="Answer Char"/>
    <w:basedOn w:val="DefaultParagraphFont"/>
    <w:link w:val="Answer"/>
    <w:uiPriority w:val="99"/>
    <w:locked/>
    <w:rsid w:val="002B4D3C"/>
    <w:rPr>
      <w:rFonts w:eastAsia="Times New Roman" w:cs="Times New Roman"/>
      <w:szCs w:val="20"/>
    </w:rPr>
  </w:style>
  <w:style w:type="paragraph" w:styleId="Header">
    <w:name w:val="header"/>
    <w:basedOn w:val="Normal"/>
    <w:link w:val="HeaderChar"/>
    <w:uiPriority w:val="99"/>
    <w:rsid w:val="002B4D3C"/>
    <w:pPr>
      <w:tabs>
        <w:tab w:val="center" w:pos="4320"/>
        <w:tab w:val="right" w:pos="8640"/>
      </w:tabs>
    </w:pPr>
  </w:style>
  <w:style w:type="character" w:customStyle="1" w:styleId="HeaderChar">
    <w:name w:val="Header Char"/>
    <w:basedOn w:val="DefaultParagraphFont"/>
    <w:link w:val="Header"/>
    <w:uiPriority w:val="99"/>
    <w:rsid w:val="002B4D3C"/>
    <w:rPr>
      <w:rFonts w:eastAsia="Times New Roman" w:cs="Times New Roman"/>
      <w:szCs w:val="24"/>
    </w:rPr>
  </w:style>
  <w:style w:type="paragraph" w:styleId="Footer">
    <w:name w:val="footer"/>
    <w:basedOn w:val="Normal"/>
    <w:link w:val="FooterChar"/>
    <w:uiPriority w:val="99"/>
    <w:rsid w:val="002B4D3C"/>
    <w:pPr>
      <w:tabs>
        <w:tab w:val="center" w:pos="4320"/>
        <w:tab w:val="right" w:pos="8640"/>
      </w:tabs>
    </w:pPr>
  </w:style>
  <w:style w:type="character" w:customStyle="1" w:styleId="FooterChar">
    <w:name w:val="Footer Char"/>
    <w:basedOn w:val="DefaultParagraphFont"/>
    <w:link w:val="Footer"/>
    <w:uiPriority w:val="99"/>
    <w:rsid w:val="002B4D3C"/>
    <w:rPr>
      <w:rFonts w:eastAsia="Times New Roman" w:cs="Times New Roman"/>
      <w:szCs w:val="24"/>
    </w:rPr>
  </w:style>
  <w:style w:type="character" w:styleId="PageNumber">
    <w:name w:val="page number"/>
    <w:basedOn w:val="DefaultParagraphFont"/>
    <w:uiPriority w:val="99"/>
    <w:rsid w:val="002B4D3C"/>
    <w:rPr>
      <w:rFonts w:cs="Times New Roman"/>
    </w:rPr>
  </w:style>
  <w:style w:type="paragraph" w:styleId="TOC2">
    <w:name w:val="toc 2"/>
    <w:basedOn w:val="Normal"/>
    <w:next w:val="Normal"/>
    <w:autoRedefine/>
    <w:uiPriority w:val="39"/>
    <w:rsid w:val="002B4D3C"/>
    <w:pPr>
      <w:tabs>
        <w:tab w:val="left" w:pos="720"/>
        <w:tab w:val="right" w:leader="dot" w:pos="9350"/>
      </w:tabs>
      <w:spacing w:after="240"/>
      <w:ind w:left="1440" w:right="720" w:hanging="720"/>
    </w:pPr>
  </w:style>
  <w:style w:type="paragraph" w:customStyle="1" w:styleId="StyleHeading1TimesNewRoman12ptUnderline">
    <w:name w:val="Style Heading 1 + Times New Roman 12 pt Underline"/>
    <w:basedOn w:val="Heading1"/>
    <w:rsid w:val="002B4D3C"/>
    <w:pPr>
      <w:spacing w:before="360" w:after="360"/>
      <w:ind w:left="720" w:hanging="720"/>
    </w:pPr>
    <w:rPr>
      <w:rFonts w:ascii="Times New Roman Bold" w:hAnsi="Times New Roman Bold"/>
      <w:caps/>
      <w:sz w:val="24"/>
      <w:u w:val="single"/>
    </w:rPr>
  </w:style>
  <w:style w:type="paragraph" w:customStyle="1" w:styleId="TxBrp3">
    <w:name w:val="TxBr_p3"/>
    <w:basedOn w:val="Normal"/>
    <w:uiPriority w:val="99"/>
    <w:rsid w:val="002B4D3C"/>
    <w:pPr>
      <w:widowControl w:val="0"/>
      <w:tabs>
        <w:tab w:val="left" w:pos="204"/>
      </w:tabs>
      <w:autoSpaceDE w:val="0"/>
      <w:autoSpaceDN w:val="0"/>
      <w:adjustRightInd w:val="0"/>
      <w:spacing w:line="240" w:lineRule="atLeast"/>
    </w:p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unhideWhenUsed/>
    <w:rsid w:val="00C678AC"/>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rsid w:val="00C678AC"/>
    <w:rPr>
      <w:rFonts w:eastAsia="Times New Roman" w:cs="Times New Roman"/>
      <w:sz w:val="20"/>
      <w:szCs w:val="20"/>
    </w:rPr>
  </w:style>
  <w:style w:type="character" w:styleId="FootnoteReference">
    <w:name w:val="footnote reference"/>
    <w:aliases w:val="Style 3,fr,o,Footnote 1r,Style 17,Style 9,Style 12,(NECG) Footnote Reference,Appel note de bas de p,Style 5,Style 124,Style 6,Style 20,FR,Style 13,callout,Style 2,Style 11,o1,o2,o3,o4,o5,o6,o11,o21,o7,Style 28,Style 8"/>
    <w:basedOn w:val="DefaultParagraphFont"/>
    <w:uiPriority w:val="99"/>
    <w:unhideWhenUsed/>
    <w:rsid w:val="00C678AC"/>
    <w:rPr>
      <w:vertAlign w:val="superscript"/>
    </w:rPr>
  </w:style>
  <w:style w:type="character" w:customStyle="1" w:styleId="FootnoteTextChar1">
    <w:name w:val="Footnote Text Char1"/>
    <w:aliases w:val="ALTS FOOTNOTE Char1,fn Char2,Footnote Text Char Char Char1,Footnote Text Char2 Char Char Char1,Footnote Text Char Char Char1 Char Char1,Footnote Text Char2 Char Char Char1 Char Char1,fn Char Char1,f Char1"/>
    <w:basedOn w:val="DefaultParagraphFont"/>
    <w:uiPriority w:val="99"/>
    <w:locked/>
    <w:rsid w:val="00457A8C"/>
    <w:rPr>
      <w:rFonts w:cs="Times New Roman"/>
    </w:rPr>
  </w:style>
  <w:style w:type="character" w:styleId="Strong">
    <w:name w:val="Strong"/>
    <w:basedOn w:val="DefaultParagraphFont"/>
    <w:uiPriority w:val="99"/>
    <w:qFormat/>
    <w:rsid w:val="00457A8C"/>
    <w:rPr>
      <w:rFonts w:cs="Times New Roman"/>
      <w:b/>
      <w:bCs/>
    </w:rPr>
  </w:style>
  <w:style w:type="character" w:customStyle="1" w:styleId="Heading5Char">
    <w:name w:val="Heading 5 Char"/>
    <w:basedOn w:val="DefaultParagraphFont"/>
    <w:link w:val="Heading5"/>
    <w:uiPriority w:val="99"/>
    <w:rsid w:val="0076667C"/>
    <w:rPr>
      <w:rFonts w:asciiTheme="majorHAnsi" w:eastAsiaTheme="majorEastAsia" w:hAnsiTheme="majorHAnsi" w:cstheme="majorBidi"/>
      <w:color w:val="243F60" w:themeColor="accent1" w:themeShade="7F"/>
      <w:szCs w:val="24"/>
    </w:rPr>
  </w:style>
  <w:style w:type="character" w:styleId="Hyperlink">
    <w:name w:val="Hyperlink"/>
    <w:basedOn w:val="DefaultParagraphFont"/>
    <w:uiPriority w:val="99"/>
    <w:unhideWhenUsed/>
    <w:rsid w:val="00723505"/>
    <w:rPr>
      <w:color w:val="0000FF" w:themeColor="hyperlink"/>
      <w:u w:val="single"/>
    </w:rPr>
  </w:style>
  <w:style w:type="character" w:customStyle="1" w:styleId="hwc">
    <w:name w:val="hwc"/>
    <w:basedOn w:val="DefaultParagraphFont"/>
    <w:rsid w:val="00723505"/>
  </w:style>
  <w:style w:type="paragraph" w:styleId="BodyText">
    <w:name w:val="Body Text"/>
    <w:basedOn w:val="Normal"/>
    <w:link w:val="BodyTextChar1"/>
    <w:uiPriority w:val="99"/>
    <w:rsid w:val="00AE36F7"/>
    <w:pPr>
      <w:overflowPunct w:val="0"/>
      <w:autoSpaceDE w:val="0"/>
      <w:autoSpaceDN w:val="0"/>
      <w:adjustRightInd w:val="0"/>
      <w:spacing w:line="480" w:lineRule="auto"/>
      <w:ind w:firstLine="720"/>
      <w:textAlignment w:val="baseline"/>
    </w:pPr>
  </w:style>
  <w:style w:type="character" w:customStyle="1" w:styleId="BodyTextChar">
    <w:name w:val="Body Text Char"/>
    <w:basedOn w:val="DefaultParagraphFont"/>
    <w:uiPriority w:val="99"/>
    <w:semiHidden/>
    <w:rsid w:val="00AE36F7"/>
    <w:rPr>
      <w:rFonts w:eastAsia="Times New Roman" w:cs="Times New Roman"/>
      <w:szCs w:val="24"/>
    </w:rPr>
  </w:style>
  <w:style w:type="character" w:customStyle="1" w:styleId="BodyTextChar1">
    <w:name w:val="Body Text Char1"/>
    <w:basedOn w:val="DefaultParagraphFont"/>
    <w:link w:val="BodyText"/>
    <w:uiPriority w:val="99"/>
    <w:locked/>
    <w:rsid w:val="00AE36F7"/>
    <w:rPr>
      <w:rFonts w:eastAsia="Times New Roman" w:cs="Times New Roman"/>
      <w:szCs w:val="24"/>
    </w:rPr>
  </w:style>
  <w:style w:type="character" w:styleId="Emphasis">
    <w:name w:val="Emphasis"/>
    <w:basedOn w:val="DefaultParagraphFont"/>
    <w:uiPriority w:val="99"/>
    <w:qFormat/>
    <w:rsid w:val="00A23369"/>
    <w:rPr>
      <w:rFonts w:cs="Times New Roman"/>
      <w:i/>
      <w:iCs/>
    </w:rPr>
  </w:style>
  <w:style w:type="paragraph" w:styleId="ListParagraph">
    <w:name w:val="List Paragraph"/>
    <w:basedOn w:val="Normal"/>
    <w:uiPriority w:val="99"/>
    <w:qFormat/>
    <w:rsid w:val="00FC08F5"/>
    <w:pPr>
      <w:spacing w:after="200" w:line="276" w:lineRule="auto"/>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92122"/>
    <w:rPr>
      <w:rFonts w:ascii="Tahoma" w:hAnsi="Tahoma" w:cs="Tahoma"/>
      <w:sz w:val="16"/>
      <w:szCs w:val="16"/>
    </w:rPr>
  </w:style>
  <w:style w:type="character" w:customStyle="1" w:styleId="BalloonTextChar">
    <w:name w:val="Balloon Text Char"/>
    <w:basedOn w:val="DefaultParagraphFont"/>
    <w:link w:val="BalloonText"/>
    <w:uiPriority w:val="99"/>
    <w:semiHidden/>
    <w:rsid w:val="00992122"/>
    <w:rPr>
      <w:rFonts w:ascii="Tahoma" w:eastAsia="Times New Roman" w:hAnsi="Tahoma" w:cs="Tahoma"/>
      <w:sz w:val="16"/>
      <w:szCs w:val="16"/>
    </w:rPr>
  </w:style>
  <w:style w:type="paragraph" w:styleId="BlockText">
    <w:name w:val="Block Text"/>
    <w:basedOn w:val="Normal"/>
    <w:rsid w:val="0074280D"/>
    <w:pPr>
      <w:spacing w:line="480" w:lineRule="auto"/>
      <w:ind w:left="2160" w:right="1440"/>
    </w:pPr>
  </w:style>
  <w:style w:type="paragraph" w:styleId="BodyTextIndent">
    <w:name w:val="Body Text Indent"/>
    <w:basedOn w:val="Normal"/>
    <w:link w:val="BodyTextIndentChar"/>
    <w:uiPriority w:val="99"/>
    <w:semiHidden/>
    <w:unhideWhenUsed/>
    <w:rsid w:val="00CD7686"/>
    <w:pPr>
      <w:spacing w:after="120"/>
      <w:ind w:left="360"/>
    </w:pPr>
  </w:style>
  <w:style w:type="character" w:customStyle="1" w:styleId="BodyTextIndentChar">
    <w:name w:val="Body Text Indent Char"/>
    <w:basedOn w:val="DefaultParagraphFont"/>
    <w:link w:val="BodyTextIndent"/>
    <w:uiPriority w:val="99"/>
    <w:semiHidden/>
    <w:rsid w:val="00CD7686"/>
    <w:rPr>
      <w:rFonts w:eastAsia="Times New Roman" w:cs="Times New Roman"/>
      <w:szCs w:val="24"/>
    </w:rPr>
  </w:style>
  <w:style w:type="paragraph" w:customStyle="1" w:styleId="MacPacTrailer">
    <w:name w:val="MacPac Trailer"/>
    <w:rsid w:val="0095371D"/>
    <w:pPr>
      <w:widowControl w:val="0"/>
      <w:spacing w:line="200" w:lineRule="exact"/>
    </w:pPr>
    <w:rPr>
      <w:rFonts w:eastAsia="Times New Roman" w:cs="Times New Roman"/>
      <w:sz w:val="16"/>
    </w:rPr>
  </w:style>
  <w:style w:type="character" w:styleId="PlaceholderText">
    <w:name w:val="Placeholder Text"/>
    <w:basedOn w:val="DefaultParagraphFont"/>
    <w:uiPriority w:val="99"/>
    <w:semiHidden/>
    <w:rsid w:val="0095371D"/>
    <w:rPr>
      <w:color w:val="808080"/>
    </w:rPr>
  </w:style>
  <w:style w:type="character" w:styleId="LineNumber">
    <w:name w:val="line number"/>
    <w:basedOn w:val="DefaultParagraphFont"/>
    <w:uiPriority w:val="99"/>
    <w:semiHidden/>
    <w:unhideWhenUsed/>
    <w:rsid w:val="009B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2011-12-15T08:00:00+00:00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967F1E-ECE3-4F89-BCAC-91311A3C9296}"/>
</file>

<file path=customXml/itemProps2.xml><?xml version="1.0" encoding="utf-8"?>
<ds:datastoreItem xmlns:ds="http://schemas.openxmlformats.org/officeDocument/2006/customXml" ds:itemID="{4F0D9C2B-4A8B-4FC9-9484-FAF5E6ED4C0C}"/>
</file>

<file path=customXml/itemProps3.xml><?xml version="1.0" encoding="utf-8"?>
<ds:datastoreItem xmlns:ds="http://schemas.openxmlformats.org/officeDocument/2006/customXml" ds:itemID="{6CF131A8-CD33-4AEF-9C14-5A6175D72701}"/>
</file>

<file path=customXml/itemProps4.xml><?xml version="1.0" encoding="utf-8"?>
<ds:datastoreItem xmlns:ds="http://schemas.openxmlformats.org/officeDocument/2006/customXml" ds:itemID="{2458383F-EF5D-41F9-A899-1A6D6A4E297D}"/>
</file>

<file path=customXml/itemProps5.xml><?xml version="1.0" encoding="utf-8"?>
<ds:datastoreItem xmlns:ds="http://schemas.openxmlformats.org/officeDocument/2006/customXml" ds:itemID="{BAA88352-2790-498B-A262-6F0A2C2FF7E8}"/>
</file>

<file path=docProps/app.xml><?xml version="1.0" encoding="utf-8"?>
<Properties xmlns="http://schemas.openxmlformats.org/officeDocument/2006/extended-properties" xmlns:vt="http://schemas.openxmlformats.org/officeDocument/2006/docPropsVTypes">
  <Template>92E54B6E.dotm</Template>
  <TotalTime>206</TotalTime>
  <Pages>10</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Gray Plant Mooty</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merzgr</cp:lastModifiedBy>
  <cp:revision>13</cp:revision>
  <cp:lastPrinted>2011-12-15T17:26:00Z</cp:lastPrinted>
  <dcterms:created xsi:type="dcterms:W3CDTF">2011-12-14T15:28:00Z</dcterms:created>
  <dcterms:modified xsi:type="dcterms:W3CDTF">2011-12-15T21:02:00Z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