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word/people.xml" ContentType="application/vnd.openxmlformats-officedocument.wordprocessingml.people+xml"/>
  <Override PartName="/word/commentsExtended.xml" ContentType="application/vnd.openxmlformats-officedocument.wordprocessingml.commentsExtended+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31B404" w14:textId="77777777" w:rsidR="00735A6A" w:rsidRPr="003C035C" w:rsidRDefault="00735A6A" w:rsidP="00735A6A">
      <w:pPr>
        <w:pStyle w:val="Header"/>
        <w:spacing w:line="240" w:lineRule="exact"/>
        <w:jc w:val="center"/>
        <w:rPr>
          <w:rFonts w:ascii="Times New Roman" w:hAnsi="Times New Roman"/>
          <w:b/>
        </w:rPr>
      </w:pPr>
    </w:p>
    <w:p w14:paraId="1C83558B" w14:textId="77777777" w:rsidR="00735A6A" w:rsidRPr="003C035C" w:rsidRDefault="00735A6A" w:rsidP="00735A6A">
      <w:pPr>
        <w:pStyle w:val="Header"/>
        <w:spacing w:line="240" w:lineRule="exact"/>
        <w:jc w:val="center"/>
        <w:rPr>
          <w:rFonts w:ascii="Times New Roman" w:hAnsi="Times New Roman"/>
          <w:b/>
        </w:rPr>
      </w:pPr>
    </w:p>
    <w:p w14:paraId="448CD810" w14:textId="56D3F5A3" w:rsidR="00735A6A" w:rsidRPr="003C035C" w:rsidRDefault="00735A6A" w:rsidP="00735A6A">
      <w:pPr>
        <w:pStyle w:val="Header"/>
        <w:spacing w:line="240" w:lineRule="exact"/>
        <w:jc w:val="center"/>
        <w:rPr>
          <w:rFonts w:ascii="Times New Roman" w:hAnsi="Times New Roman"/>
          <w:b/>
        </w:rPr>
      </w:pPr>
      <w:r w:rsidRPr="003C035C">
        <w:rPr>
          <w:rFonts w:ascii="Times New Roman" w:hAnsi="Times New Roman"/>
          <w:b/>
        </w:rPr>
        <w:t>BEFORE THE</w:t>
      </w:r>
    </w:p>
    <w:p w14:paraId="127D7F40" w14:textId="6A49C151" w:rsidR="00735A6A" w:rsidRPr="003C035C" w:rsidRDefault="00735A6A" w:rsidP="00735A6A">
      <w:pPr>
        <w:pStyle w:val="Header"/>
        <w:spacing w:line="240" w:lineRule="exact"/>
        <w:jc w:val="center"/>
        <w:rPr>
          <w:rFonts w:ascii="Times New Roman" w:hAnsi="Times New Roman"/>
          <w:b/>
        </w:rPr>
      </w:pPr>
      <w:r w:rsidRPr="003C035C">
        <w:rPr>
          <w:rFonts w:ascii="Times New Roman" w:hAnsi="Times New Roman"/>
          <w:b/>
        </w:rPr>
        <w:t>WASHINGTON UTILITIES AND TRANSPORTATION COMMISSION</w:t>
      </w:r>
    </w:p>
    <w:p w14:paraId="73878121" w14:textId="77777777" w:rsidR="00735A6A" w:rsidRPr="003C035C" w:rsidRDefault="00735A6A" w:rsidP="00735A6A">
      <w:pPr>
        <w:pStyle w:val="Header"/>
        <w:spacing w:line="240" w:lineRule="exact"/>
        <w:ind w:left="360"/>
        <w:rPr>
          <w:rFonts w:ascii="Times New Roman" w:hAnsi="Times New Roman"/>
          <w:b/>
        </w:rPr>
      </w:pPr>
    </w:p>
    <w:p w14:paraId="106065E5" w14:textId="77777777" w:rsidR="00735A6A" w:rsidRPr="003C035C" w:rsidRDefault="00735A6A" w:rsidP="00735A6A">
      <w:pPr>
        <w:pStyle w:val="Header"/>
        <w:spacing w:line="240" w:lineRule="exact"/>
        <w:ind w:left="360"/>
        <w:rPr>
          <w:rFonts w:ascii="Times New Roman" w:hAnsi="Times New Roman"/>
          <w:b/>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735A6A" w:rsidRPr="003C035C" w14:paraId="4C2AF2E4" w14:textId="77777777" w:rsidTr="000A0211">
        <w:tc>
          <w:tcPr>
            <w:tcW w:w="4590" w:type="dxa"/>
            <w:tcBorders>
              <w:top w:val="single" w:sz="6" w:space="0" w:color="FFFFFF"/>
              <w:left w:val="single" w:sz="6" w:space="0" w:color="FFFFFF"/>
              <w:bottom w:val="single" w:sz="7" w:space="0" w:color="000000"/>
              <w:right w:val="single" w:sz="6" w:space="0" w:color="FFFFFF"/>
            </w:tcBorders>
          </w:tcPr>
          <w:p w14:paraId="3071C8BF" w14:textId="77777777" w:rsidR="00735A6A" w:rsidRPr="003C035C" w:rsidRDefault="00735A6A" w:rsidP="00735A6A">
            <w:pPr>
              <w:pStyle w:val="Header"/>
              <w:tabs>
                <w:tab w:val="left" w:pos="681"/>
                <w:tab w:val="left" w:pos="1401"/>
              </w:tabs>
              <w:spacing w:line="240" w:lineRule="exact"/>
              <w:rPr>
                <w:rFonts w:ascii="Times New Roman" w:hAnsi="Times New Roman"/>
                <w:b/>
              </w:rPr>
            </w:pPr>
            <w:r w:rsidRPr="003C035C">
              <w:rPr>
                <w:rFonts w:ascii="Times New Roman" w:hAnsi="Times New Roman"/>
                <w:b/>
              </w:rPr>
              <w:t>WASHINGTON UTILITIES AND TRANSPORTATION COMMISSION,</w:t>
            </w:r>
          </w:p>
          <w:p w14:paraId="182F27AC" w14:textId="77777777" w:rsidR="00735A6A" w:rsidRPr="003C035C" w:rsidRDefault="00735A6A" w:rsidP="00735A6A">
            <w:pPr>
              <w:pStyle w:val="Header"/>
              <w:tabs>
                <w:tab w:val="left" w:pos="681"/>
                <w:tab w:val="left" w:pos="1401"/>
              </w:tabs>
              <w:spacing w:line="240" w:lineRule="exact"/>
              <w:rPr>
                <w:rFonts w:ascii="Times New Roman" w:hAnsi="Times New Roman"/>
                <w:b/>
              </w:rPr>
            </w:pPr>
          </w:p>
          <w:p w14:paraId="6411B49E" w14:textId="77777777" w:rsidR="00735A6A" w:rsidRPr="003C035C" w:rsidRDefault="00735A6A" w:rsidP="00735A6A">
            <w:pPr>
              <w:pStyle w:val="Header"/>
              <w:tabs>
                <w:tab w:val="left" w:pos="681"/>
                <w:tab w:val="left" w:pos="1401"/>
              </w:tabs>
              <w:spacing w:line="240" w:lineRule="exact"/>
              <w:rPr>
                <w:rFonts w:ascii="Times New Roman" w:hAnsi="Times New Roman"/>
                <w:b/>
              </w:rPr>
            </w:pPr>
            <w:r w:rsidRPr="003C035C">
              <w:rPr>
                <w:rFonts w:ascii="Times New Roman" w:hAnsi="Times New Roman"/>
                <w:b/>
              </w:rPr>
              <w:tab/>
            </w:r>
            <w:r w:rsidRPr="003C035C">
              <w:rPr>
                <w:rFonts w:ascii="Times New Roman" w:hAnsi="Times New Roman"/>
                <w:b/>
              </w:rPr>
              <w:tab/>
              <w:t>Complainant,</w:t>
            </w:r>
          </w:p>
          <w:p w14:paraId="164B0803" w14:textId="77777777" w:rsidR="00735A6A" w:rsidRPr="003C035C" w:rsidRDefault="00735A6A" w:rsidP="00735A6A">
            <w:pPr>
              <w:pStyle w:val="Header"/>
              <w:tabs>
                <w:tab w:val="left" w:pos="681"/>
                <w:tab w:val="left" w:pos="1401"/>
              </w:tabs>
              <w:spacing w:line="240" w:lineRule="exact"/>
              <w:rPr>
                <w:rFonts w:ascii="Times New Roman" w:hAnsi="Times New Roman"/>
                <w:b/>
              </w:rPr>
            </w:pPr>
          </w:p>
          <w:p w14:paraId="577F232B" w14:textId="77777777" w:rsidR="00735A6A" w:rsidRPr="003C035C" w:rsidRDefault="00735A6A" w:rsidP="00735A6A">
            <w:pPr>
              <w:pStyle w:val="Header"/>
              <w:tabs>
                <w:tab w:val="left" w:pos="681"/>
                <w:tab w:val="left" w:pos="1401"/>
              </w:tabs>
              <w:spacing w:line="240" w:lineRule="exact"/>
              <w:rPr>
                <w:rFonts w:ascii="Times New Roman" w:hAnsi="Times New Roman"/>
                <w:b/>
              </w:rPr>
            </w:pPr>
            <w:r w:rsidRPr="003C035C">
              <w:rPr>
                <w:rFonts w:ascii="Times New Roman" w:hAnsi="Times New Roman"/>
                <w:b/>
              </w:rPr>
              <w:t>v.</w:t>
            </w:r>
          </w:p>
          <w:p w14:paraId="43751EC8" w14:textId="77777777" w:rsidR="00735A6A" w:rsidRPr="003C035C" w:rsidRDefault="00735A6A" w:rsidP="00735A6A">
            <w:pPr>
              <w:pStyle w:val="Header"/>
              <w:tabs>
                <w:tab w:val="left" w:pos="681"/>
                <w:tab w:val="left" w:pos="1401"/>
              </w:tabs>
              <w:spacing w:line="240" w:lineRule="exact"/>
              <w:rPr>
                <w:rFonts w:ascii="Times New Roman" w:hAnsi="Times New Roman"/>
                <w:b/>
              </w:rPr>
            </w:pPr>
          </w:p>
          <w:p w14:paraId="7F2AC9A6" w14:textId="77777777" w:rsidR="00735A6A" w:rsidRPr="003C035C" w:rsidRDefault="00735A6A" w:rsidP="00735A6A">
            <w:pPr>
              <w:pStyle w:val="Header"/>
              <w:tabs>
                <w:tab w:val="left" w:pos="681"/>
                <w:tab w:val="left" w:pos="1401"/>
              </w:tabs>
              <w:spacing w:line="240" w:lineRule="exact"/>
              <w:rPr>
                <w:rFonts w:ascii="Times New Roman" w:hAnsi="Times New Roman"/>
                <w:b/>
              </w:rPr>
            </w:pPr>
            <w:r w:rsidRPr="003C035C">
              <w:rPr>
                <w:rFonts w:ascii="Times New Roman" w:hAnsi="Times New Roman"/>
                <w:b/>
              </w:rPr>
              <w:t>WASTE CONTROL, INC.,</w:t>
            </w:r>
          </w:p>
          <w:p w14:paraId="2786F432" w14:textId="77777777" w:rsidR="00735A6A" w:rsidRPr="003C035C" w:rsidRDefault="00735A6A" w:rsidP="00735A6A">
            <w:pPr>
              <w:pStyle w:val="Header"/>
              <w:tabs>
                <w:tab w:val="left" w:pos="681"/>
                <w:tab w:val="left" w:pos="1401"/>
              </w:tabs>
              <w:spacing w:line="240" w:lineRule="exact"/>
              <w:rPr>
                <w:rFonts w:ascii="Times New Roman" w:hAnsi="Times New Roman"/>
                <w:b/>
              </w:rPr>
            </w:pPr>
          </w:p>
          <w:p w14:paraId="7F52E49F" w14:textId="77777777" w:rsidR="00735A6A" w:rsidRPr="003C035C" w:rsidRDefault="00735A6A" w:rsidP="00735A6A">
            <w:pPr>
              <w:pStyle w:val="Header"/>
              <w:tabs>
                <w:tab w:val="left" w:pos="681"/>
                <w:tab w:val="left" w:pos="1401"/>
              </w:tabs>
              <w:spacing w:line="240" w:lineRule="exact"/>
              <w:rPr>
                <w:rFonts w:ascii="Times New Roman" w:hAnsi="Times New Roman"/>
                <w:b/>
              </w:rPr>
            </w:pPr>
            <w:r w:rsidRPr="003C035C">
              <w:rPr>
                <w:rFonts w:ascii="Times New Roman" w:hAnsi="Times New Roman"/>
                <w:b/>
              </w:rPr>
              <w:tab/>
            </w:r>
            <w:r w:rsidRPr="003C035C">
              <w:rPr>
                <w:rFonts w:ascii="Times New Roman" w:hAnsi="Times New Roman"/>
                <w:b/>
              </w:rPr>
              <w:tab/>
              <w:t>Respondent.</w:t>
            </w:r>
          </w:p>
          <w:p w14:paraId="2A19AC63" w14:textId="77777777" w:rsidR="00735A6A" w:rsidRPr="003C035C" w:rsidRDefault="00735A6A" w:rsidP="00735A6A">
            <w:pPr>
              <w:pStyle w:val="Header"/>
              <w:tabs>
                <w:tab w:val="left" w:pos="681"/>
                <w:tab w:val="left" w:pos="1401"/>
              </w:tabs>
              <w:spacing w:line="240" w:lineRule="exact"/>
              <w:rPr>
                <w:rFonts w:ascii="Times New Roman" w:hAnsi="Times New Roman"/>
                <w:b/>
              </w:rPr>
            </w:pPr>
          </w:p>
        </w:tc>
        <w:tc>
          <w:tcPr>
            <w:tcW w:w="4590" w:type="dxa"/>
            <w:tcBorders>
              <w:top w:val="single" w:sz="6" w:space="0" w:color="FFFFFF"/>
              <w:left w:val="single" w:sz="7" w:space="0" w:color="000000"/>
              <w:bottom w:val="single" w:sz="6" w:space="0" w:color="FFFFFF"/>
              <w:right w:val="single" w:sz="6" w:space="0" w:color="FFFFFF"/>
            </w:tcBorders>
          </w:tcPr>
          <w:p w14:paraId="35F718EC" w14:textId="77777777" w:rsidR="00735A6A" w:rsidRPr="003C035C" w:rsidRDefault="00735A6A" w:rsidP="00735A6A">
            <w:pPr>
              <w:pStyle w:val="Header"/>
              <w:spacing w:line="240" w:lineRule="exact"/>
              <w:ind w:left="416"/>
              <w:rPr>
                <w:rFonts w:ascii="Times New Roman" w:hAnsi="Times New Roman"/>
                <w:b/>
              </w:rPr>
            </w:pPr>
            <w:r w:rsidRPr="003C035C">
              <w:rPr>
                <w:rFonts w:ascii="Times New Roman" w:hAnsi="Times New Roman"/>
                <w:b/>
              </w:rPr>
              <w:t>DOCKET TG-140560</w:t>
            </w:r>
          </w:p>
          <w:p w14:paraId="6383F019" w14:textId="77777777" w:rsidR="00735A6A" w:rsidRPr="003C035C" w:rsidRDefault="00735A6A" w:rsidP="00735A6A">
            <w:pPr>
              <w:pStyle w:val="Header"/>
              <w:spacing w:line="240" w:lineRule="exact"/>
              <w:ind w:left="416"/>
              <w:rPr>
                <w:rFonts w:ascii="Times New Roman" w:hAnsi="Times New Roman"/>
                <w:b/>
              </w:rPr>
            </w:pPr>
          </w:p>
          <w:p w14:paraId="01E51388" w14:textId="77777777" w:rsidR="00735A6A" w:rsidRPr="003C035C" w:rsidRDefault="00735A6A" w:rsidP="00735A6A">
            <w:pPr>
              <w:pStyle w:val="BodyTextIndent2"/>
              <w:spacing w:line="240" w:lineRule="exact"/>
              <w:ind w:left="416"/>
              <w:rPr>
                <w:rFonts w:ascii="Times New Roman" w:hAnsi="Times New Roman"/>
                <w:b/>
              </w:rPr>
            </w:pPr>
          </w:p>
        </w:tc>
      </w:tr>
    </w:tbl>
    <w:p w14:paraId="26B4EE4C" w14:textId="77777777" w:rsidR="00735A6A" w:rsidRPr="003C035C" w:rsidRDefault="00735A6A" w:rsidP="00735A6A">
      <w:pPr>
        <w:pStyle w:val="Header"/>
        <w:rPr>
          <w:rFonts w:ascii="Times New Roman" w:hAnsi="Times New Roman"/>
          <w:b/>
        </w:rPr>
      </w:pPr>
    </w:p>
    <w:p w14:paraId="210D5CB4" w14:textId="77777777" w:rsidR="00735A6A" w:rsidRPr="003C035C" w:rsidRDefault="00735A6A" w:rsidP="00735A6A">
      <w:pPr>
        <w:pStyle w:val="Header"/>
        <w:rPr>
          <w:rFonts w:ascii="Times New Roman" w:hAnsi="Times New Roman"/>
          <w:b/>
        </w:rPr>
      </w:pPr>
    </w:p>
    <w:p w14:paraId="18AA3185" w14:textId="77777777" w:rsidR="00735A6A" w:rsidRDefault="00735A6A" w:rsidP="00735A6A">
      <w:pPr>
        <w:pStyle w:val="Header"/>
        <w:rPr>
          <w:rFonts w:ascii="Times New Roman" w:hAnsi="Times New Roman"/>
        </w:rPr>
      </w:pPr>
    </w:p>
    <w:p w14:paraId="543A83C5" w14:textId="77777777" w:rsidR="00735A6A" w:rsidRDefault="00735A6A" w:rsidP="00735A6A">
      <w:pPr>
        <w:pStyle w:val="Header"/>
        <w:rPr>
          <w:rFonts w:ascii="Times New Roman" w:hAnsi="Times New Roman"/>
        </w:rPr>
      </w:pPr>
    </w:p>
    <w:p w14:paraId="63DE0F34" w14:textId="77777777" w:rsidR="00735A6A" w:rsidRDefault="00735A6A" w:rsidP="00735A6A">
      <w:pPr>
        <w:pStyle w:val="Header"/>
        <w:rPr>
          <w:rFonts w:ascii="Times New Roman" w:hAnsi="Times New Roman"/>
        </w:rPr>
      </w:pPr>
    </w:p>
    <w:p w14:paraId="6D67FEBF" w14:textId="77777777" w:rsidR="00735A6A" w:rsidRDefault="00735A6A" w:rsidP="00735A6A">
      <w:pPr>
        <w:pStyle w:val="Header"/>
        <w:rPr>
          <w:rFonts w:ascii="Times New Roman" w:hAnsi="Times New Roman"/>
        </w:rPr>
      </w:pPr>
    </w:p>
    <w:p w14:paraId="49A4C8BE" w14:textId="77777777" w:rsidR="00735A6A" w:rsidRDefault="00735A6A" w:rsidP="00735A6A">
      <w:pPr>
        <w:pStyle w:val="Header"/>
        <w:rPr>
          <w:rFonts w:ascii="Times New Roman" w:hAnsi="Times New Roman"/>
        </w:rPr>
      </w:pPr>
    </w:p>
    <w:p w14:paraId="51B5F578" w14:textId="77777777" w:rsidR="00735A6A" w:rsidRDefault="00735A6A" w:rsidP="00735A6A">
      <w:pPr>
        <w:pStyle w:val="Header"/>
        <w:rPr>
          <w:rFonts w:ascii="Times New Roman" w:hAnsi="Times New Roman"/>
        </w:rPr>
      </w:pPr>
    </w:p>
    <w:p w14:paraId="1D49E38C" w14:textId="3B8C6D34" w:rsidR="000A0211" w:rsidRPr="000A0211" w:rsidRDefault="000A0211" w:rsidP="000A0211">
      <w:pPr>
        <w:spacing w:after="0" w:line="240" w:lineRule="auto"/>
        <w:jc w:val="center"/>
        <w:rPr>
          <w:rFonts w:eastAsia="Times New Roman" w:cs="Times New Roman"/>
          <w:b/>
          <w:bCs/>
          <w:szCs w:val="24"/>
        </w:rPr>
      </w:pPr>
      <w:r>
        <w:rPr>
          <w:rFonts w:eastAsia="Times New Roman" w:cs="Times New Roman"/>
          <w:b/>
          <w:bCs/>
          <w:szCs w:val="24"/>
        </w:rPr>
        <w:t xml:space="preserve">INITIAL </w:t>
      </w:r>
      <w:r w:rsidRPr="000A0211">
        <w:rPr>
          <w:rFonts w:eastAsia="Times New Roman" w:cs="Times New Roman"/>
          <w:b/>
          <w:bCs/>
          <w:szCs w:val="24"/>
        </w:rPr>
        <w:t>BRIEF ON BEHALF OF COMMISSION STAFF</w:t>
      </w:r>
    </w:p>
    <w:p w14:paraId="36AB20B1" w14:textId="77777777" w:rsidR="000A0211" w:rsidRPr="000A0211" w:rsidRDefault="000A0211" w:rsidP="000A0211">
      <w:pPr>
        <w:spacing w:after="0" w:line="240" w:lineRule="auto"/>
        <w:rPr>
          <w:rFonts w:eastAsia="Times New Roman" w:cs="Times New Roman"/>
          <w:b/>
          <w:bCs/>
          <w:szCs w:val="24"/>
        </w:rPr>
      </w:pPr>
    </w:p>
    <w:p w14:paraId="5E11EDEE" w14:textId="77777777" w:rsidR="000A0211" w:rsidRDefault="000A0211" w:rsidP="000A0211">
      <w:pPr>
        <w:spacing w:after="0" w:line="240" w:lineRule="auto"/>
        <w:rPr>
          <w:rFonts w:eastAsia="Times New Roman" w:cs="Times New Roman"/>
          <w:b/>
          <w:bCs/>
          <w:szCs w:val="24"/>
        </w:rPr>
      </w:pPr>
    </w:p>
    <w:p w14:paraId="08436B21" w14:textId="77777777" w:rsidR="000A0211" w:rsidRDefault="000A0211" w:rsidP="000A0211">
      <w:pPr>
        <w:spacing w:after="0" w:line="240" w:lineRule="auto"/>
        <w:rPr>
          <w:rFonts w:eastAsia="Times New Roman" w:cs="Times New Roman"/>
          <w:b/>
          <w:bCs/>
          <w:szCs w:val="24"/>
        </w:rPr>
      </w:pPr>
    </w:p>
    <w:p w14:paraId="1D7194A7" w14:textId="77777777" w:rsidR="000A0211" w:rsidRPr="000A0211" w:rsidRDefault="000A0211" w:rsidP="000A0211">
      <w:pPr>
        <w:spacing w:after="0" w:line="240" w:lineRule="auto"/>
        <w:rPr>
          <w:rFonts w:eastAsia="Times New Roman" w:cs="Times New Roman"/>
          <w:b/>
          <w:bCs/>
          <w:szCs w:val="24"/>
        </w:rPr>
      </w:pPr>
    </w:p>
    <w:p w14:paraId="70E1B62C" w14:textId="2AA78B88" w:rsidR="000A0211" w:rsidRPr="000A0211" w:rsidRDefault="000A0211" w:rsidP="000A0211">
      <w:pPr>
        <w:spacing w:after="0" w:line="240" w:lineRule="auto"/>
        <w:ind w:left="3600" w:firstLine="720"/>
        <w:rPr>
          <w:rFonts w:eastAsia="Times New Roman" w:cs="Times New Roman"/>
          <w:b/>
          <w:bCs/>
          <w:szCs w:val="24"/>
        </w:rPr>
      </w:pPr>
      <w:r>
        <w:rPr>
          <w:rFonts w:eastAsia="Times New Roman" w:cs="Times New Roman"/>
          <w:b/>
          <w:bCs/>
          <w:szCs w:val="24"/>
        </w:rPr>
        <w:t>November 7, 2014</w:t>
      </w:r>
    </w:p>
    <w:p w14:paraId="1E16B9B6" w14:textId="77777777" w:rsidR="000A0211" w:rsidRDefault="000A0211" w:rsidP="000A0211">
      <w:pPr>
        <w:spacing w:after="0" w:line="240" w:lineRule="auto"/>
        <w:rPr>
          <w:rFonts w:eastAsia="Times New Roman" w:cs="Times New Roman"/>
          <w:b/>
          <w:bCs/>
          <w:szCs w:val="24"/>
        </w:rPr>
      </w:pPr>
    </w:p>
    <w:p w14:paraId="7DE2FE51" w14:textId="77777777" w:rsidR="000A0211" w:rsidRPr="000A0211" w:rsidRDefault="000A0211" w:rsidP="000A0211">
      <w:pPr>
        <w:spacing w:after="0" w:line="240" w:lineRule="auto"/>
        <w:rPr>
          <w:rFonts w:eastAsia="Times New Roman" w:cs="Times New Roman"/>
          <w:b/>
          <w:bCs/>
          <w:szCs w:val="24"/>
        </w:rPr>
      </w:pPr>
    </w:p>
    <w:p w14:paraId="68DF3B2E" w14:textId="77777777" w:rsidR="000A0211" w:rsidRPr="000A0211" w:rsidRDefault="000A0211" w:rsidP="000A0211">
      <w:pPr>
        <w:spacing w:after="0" w:line="240" w:lineRule="auto"/>
        <w:rPr>
          <w:rFonts w:eastAsia="Times New Roman" w:cs="Times New Roman"/>
          <w:b/>
          <w:bCs/>
          <w:szCs w:val="24"/>
        </w:rPr>
      </w:pPr>
      <w:r w:rsidRPr="000A0211">
        <w:rPr>
          <w:rFonts w:eastAsia="Times New Roman" w:cs="Times New Roman"/>
          <w:b/>
          <w:bCs/>
          <w:szCs w:val="24"/>
        </w:rPr>
        <w:tab/>
      </w:r>
      <w:r w:rsidRPr="000A0211">
        <w:rPr>
          <w:rFonts w:eastAsia="Times New Roman" w:cs="Times New Roman"/>
          <w:b/>
          <w:bCs/>
          <w:szCs w:val="24"/>
        </w:rPr>
        <w:tab/>
      </w:r>
      <w:r w:rsidRPr="000A0211">
        <w:rPr>
          <w:rFonts w:eastAsia="Times New Roman" w:cs="Times New Roman"/>
          <w:b/>
          <w:bCs/>
          <w:szCs w:val="24"/>
        </w:rPr>
        <w:tab/>
      </w:r>
      <w:r w:rsidRPr="000A0211">
        <w:rPr>
          <w:rFonts w:eastAsia="Times New Roman" w:cs="Times New Roman"/>
          <w:b/>
          <w:bCs/>
          <w:szCs w:val="24"/>
        </w:rPr>
        <w:tab/>
      </w:r>
      <w:r w:rsidRPr="000A0211">
        <w:rPr>
          <w:rFonts w:eastAsia="Times New Roman" w:cs="Times New Roman"/>
          <w:b/>
          <w:bCs/>
          <w:szCs w:val="24"/>
        </w:rPr>
        <w:tab/>
      </w:r>
      <w:r w:rsidRPr="000A0211">
        <w:rPr>
          <w:rFonts w:eastAsia="Times New Roman" w:cs="Times New Roman"/>
          <w:b/>
          <w:bCs/>
          <w:szCs w:val="24"/>
        </w:rPr>
        <w:tab/>
        <w:t>ROBERT W. FERGUSON</w:t>
      </w:r>
    </w:p>
    <w:p w14:paraId="56EE392A" w14:textId="77777777" w:rsidR="000A0211" w:rsidRPr="000A0211" w:rsidRDefault="000A0211" w:rsidP="000A0211">
      <w:pPr>
        <w:spacing w:after="0" w:line="240" w:lineRule="auto"/>
        <w:rPr>
          <w:rFonts w:eastAsia="Times New Roman" w:cs="Times New Roman"/>
          <w:b/>
          <w:bCs/>
          <w:szCs w:val="24"/>
        </w:rPr>
      </w:pPr>
      <w:r w:rsidRPr="000A0211">
        <w:rPr>
          <w:rFonts w:eastAsia="Times New Roman" w:cs="Times New Roman"/>
          <w:b/>
          <w:bCs/>
          <w:szCs w:val="24"/>
        </w:rPr>
        <w:tab/>
      </w:r>
      <w:r w:rsidRPr="000A0211">
        <w:rPr>
          <w:rFonts w:eastAsia="Times New Roman" w:cs="Times New Roman"/>
          <w:b/>
          <w:bCs/>
          <w:szCs w:val="24"/>
        </w:rPr>
        <w:tab/>
      </w:r>
      <w:r w:rsidRPr="000A0211">
        <w:rPr>
          <w:rFonts w:eastAsia="Times New Roman" w:cs="Times New Roman"/>
          <w:b/>
          <w:bCs/>
          <w:szCs w:val="24"/>
        </w:rPr>
        <w:tab/>
      </w:r>
      <w:r w:rsidRPr="000A0211">
        <w:rPr>
          <w:rFonts w:eastAsia="Times New Roman" w:cs="Times New Roman"/>
          <w:b/>
          <w:bCs/>
          <w:szCs w:val="24"/>
        </w:rPr>
        <w:tab/>
      </w:r>
      <w:r w:rsidRPr="000A0211">
        <w:rPr>
          <w:rFonts w:eastAsia="Times New Roman" w:cs="Times New Roman"/>
          <w:b/>
          <w:bCs/>
          <w:szCs w:val="24"/>
        </w:rPr>
        <w:tab/>
      </w:r>
      <w:r w:rsidRPr="000A0211">
        <w:rPr>
          <w:rFonts w:eastAsia="Times New Roman" w:cs="Times New Roman"/>
          <w:b/>
          <w:bCs/>
          <w:szCs w:val="24"/>
        </w:rPr>
        <w:tab/>
        <w:t xml:space="preserve">Attorney General </w:t>
      </w:r>
    </w:p>
    <w:p w14:paraId="0C13D7DA" w14:textId="77777777" w:rsidR="000A0211" w:rsidRPr="000A0211" w:rsidRDefault="000A0211" w:rsidP="000A0211">
      <w:pPr>
        <w:spacing w:after="0" w:line="240" w:lineRule="auto"/>
        <w:rPr>
          <w:rFonts w:eastAsia="Times New Roman" w:cs="Times New Roman"/>
          <w:b/>
          <w:bCs/>
          <w:szCs w:val="24"/>
        </w:rPr>
      </w:pPr>
    </w:p>
    <w:p w14:paraId="704C86A2" w14:textId="080FDA3B" w:rsidR="000A0211" w:rsidRPr="000A0211" w:rsidRDefault="000A0211" w:rsidP="000A0211">
      <w:pPr>
        <w:spacing w:after="0" w:line="240" w:lineRule="auto"/>
        <w:rPr>
          <w:rFonts w:eastAsia="Times New Roman" w:cs="Times New Roman"/>
          <w:b/>
          <w:szCs w:val="24"/>
        </w:rPr>
      </w:pPr>
      <w:r w:rsidRPr="000A0211">
        <w:rPr>
          <w:rFonts w:eastAsia="Times New Roman" w:cs="Times New Roman"/>
          <w:b/>
          <w:bCs/>
          <w:szCs w:val="24"/>
        </w:rPr>
        <w:tab/>
      </w:r>
      <w:r w:rsidRPr="000A0211">
        <w:rPr>
          <w:rFonts w:eastAsia="Times New Roman" w:cs="Times New Roman"/>
          <w:b/>
          <w:bCs/>
          <w:szCs w:val="24"/>
        </w:rPr>
        <w:tab/>
      </w:r>
      <w:r w:rsidRPr="000A0211">
        <w:rPr>
          <w:rFonts w:eastAsia="Times New Roman" w:cs="Times New Roman"/>
          <w:b/>
          <w:bCs/>
          <w:szCs w:val="24"/>
        </w:rPr>
        <w:tab/>
      </w:r>
      <w:r w:rsidRPr="000A0211">
        <w:rPr>
          <w:rFonts w:eastAsia="Times New Roman" w:cs="Times New Roman"/>
          <w:b/>
          <w:bCs/>
          <w:szCs w:val="24"/>
        </w:rPr>
        <w:tab/>
      </w:r>
      <w:r w:rsidRPr="000A0211">
        <w:rPr>
          <w:rFonts w:eastAsia="Times New Roman" w:cs="Times New Roman"/>
          <w:b/>
          <w:bCs/>
          <w:szCs w:val="24"/>
        </w:rPr>
        <w:tab/>
      </w:r>
      <w:r w:rsidRPr="000A0211">
        <w:rPr>
          <w:rFonts w:eastAsia="Times New Roman" w:cs="Times New Roman"/>
          <w:b/>
          <w:bCs/>
          <w:szCs w:val="24"/>
        </w:rPr>
        <w:tab/>
      </w:r>
      <w:r>
        <w:rPr>
          <w:rFonts w:eastAsia="Times New Roman" w:cs="Times New Roman"/>
          <w:b/>
          <w:bCs/>
          <w:szCs w:val="24"/>
        </w:rPr>
        <w:t xml:space="preserve">BRETT P. SHEARER </w:t>
      </w:r>
    </w:p>
    <w:p w14:paraId="42D5D6C8" w14:textId="77777777" w:rsidR="000A0211" w:rsidRPr="000A0211" w:rsidRDefault="000A0211" w:rsidP="000A0211">
      <w:pPr>
        <w:spacing w:after="0" w:line="240" w:lineRule="auto"/>
        <w:rPr>
          <w:rFonts w:eastAsia="Times New Roman" w:cs="Times New Roman"/>
          <w:b/>
          <w:szCs w:val="24"/>
        </w:rPr>
      </w:pPr>
      <w:r w:rsidRPr="000A0211">
        <w:rPr>
          <w:rFonts w:eastAsia="Times New Roman" w:cs="Times New Roman"/>
          <w:b/>
          <w:szCs w:val="24"/>
        </w:rPr>
        <w:tab/>
      </w:r>
      <w:r w:rsidRPr="000A0211">
        <w:rPr>
          <w:rFonts w:eastAsia="Times New Roman" w:cs="Times New Roman"/>
          <w:b/>
          <w:szCs w:val="24"/>
        </w:rPr>
        <w:tab/>
      </w:r>
      <w:r w:rsidRPr="000A0211">
        <w:rPr>
          <w:rFonts w:eastAsia="Times New Roman" w:cs="Times New Roman"/>
          <w:b/>
          <w:szCs w:val="24"/>
        </w:rPr>
        <w:tab/>
      </w:r>
      <w:r w:rsidRPr="000A0211">
        <w:rPr>
          <w:rFonts w:eastAsia="Times New Roman" w:cs="Times New Roman"/>
          <w:b/>
          <w:szCs w:val="24"/>
        </w:rPr>
        <w:tab/>
      </w:r>
      <w:r w:rsidRPr="000A0211">
        <w:rPr>
          <w:rFonts w:eastAsia="Times New Roman" w:cs="Times New Roman"/>
          <w:b/>
          <w:szCs w:val="24"/>
        </w:rPr>
        <w:tab/>
      </w:r>
      <w:r w:rsidRPr="000A0211">
        <w:rPr>
          <w:rFonts w:eastAsia="Times New Roman" w:cs="Times New Roman"/>
          <w:b/>
          <w:szCs w:val="24"/>
        </w:rPr>
        <w:tab/>
        <w:t xml:space="preserve">Assistant Attorney General </w:t>
      </w:r>
    </w:p>
    <w:p w14:paraId="209DA015" w14:textId="77777777" w:rsidR="000A0211" w:rsidRPr="000A0211" w:rsidRDefault="000A0211" w:rsidP="000A0211">
      <w:pPr>
        <w:spacing w:after="0" w:line="240" w:lineRule="auto"/>
        <w:rPr>
          <w:rFonts w:eastAsia="Times New Roman" w:cs="Times New Roman"/>
          <w:b/>
          <w:szCs w:val="24"/>
        </w:rPr>
      </w:pPr>
      <w:r w:rsidRPr="000A0211">
        <w:rPr>
          <w:rFonts w:eastAsia="Times New Roman" w:cs="Times New Roman"/>
          <w:b/>
          <w:szCs w:val="24"/>
        </w:rPr>
        <w:tab/>
      </w:r>
      <w:r w:rsidRPr="000A0211">
        <w:rPr>
          <w:rFonts w:eastAsia="Times New Roman" w:cs="Times New Roman"/>
          <w:b/>
          <w:szCs w:val="24"/>
        </w:rPr>
        <w:tab/>
      </w:r>
      <w:r w:rsidRPr="000A0211">
        <w:rPr>
          <w:rFonts w:eastAsia="Times New Roman" w:cs="Times New Roman"/>
          <w:b/>
          <w:szCs w:val="24"/>
        </w:rPr>
        <w:tab/>
      </w:r>
      <w:r w:rsidRPr="000A0211">
        <w:rPr>
          <w:rFonts w:eastAsia="Times New Roman" w:cs="Times New Roman"/>
          <w:b/>
          <w:szCs w:val="24"/>
        </w:rPr>
        <w:tab/>
      </w:r>
      <w:r w:rsidRPr="000A0211">
        <w:rPr>
          <w:rFonts w:eastAsia="Times New Roman" w:cs="Times New Roman"/>
          <w:b/>
          <w:szCs w:val="24"/>
        </w:rPr>
        <w:tab/>
      </w:r>
      <w:r w:rsidRPr="000A0211">
        <w:rPr>
          <w:rFonts w:eastAsia="Times New Roman" w:cs="Times New Roman"/>
          <w:b/>
          <w:szCs w:val="24"/>
        </w:rPr>
        <w:tab/>
        <w:t xml:space="preserve">Office of the Attorney General </w:t>
      </w:r>
    </w:p>
    <w:p w14:paraId="5A130EE8" w14:textId="77777777" w:rsidR="000A0211" w:rsidRPr="000A0211" w:rsidRDefault="000A0211" w:rsidP="000A0211">
      <w:pPr>
        <w:spacing w:after="0" w:line="240" w:lineRule="auto"/>
        <w:rPr>
          <w:rFonts w:eastAsia="Times New Roman" w:cs="Times New Roman"/>
          <w:b/>
          <w:szCs w:val="24"/>
        </w:rPr>
      </w:pPr>
      <w:r w:rsidRPr="000A0211">
        <w:rPr>
          <w:rFonts w:eastAsia="Times New Roman" w:cs="Times New Roman"/>
          <w:b/>
          <w:szCs w:val="24"/>
        </w:rPr>
        <w:tab/>
      </w:r>
      <w:r w:rsidRPr="000A0211">
        <w:rPr>
          <w:rFonts w:eastAsia="Times New Roman" w:cs="Times New Roman"/>
          <w:b/>
          <w:szCs w:val="24"/>
        </w:rPr>
        <w:tab/>
      </w:r>
      <w:r w:rsidRPr="000A0211">
        <w:rPr>
          <w:rFonts w:eastAsia="Times New Roman" w:cs="Times New Roman"/>
          <w:b/>
          <w:szCs w:val="24"/>
        </w:rPr>
        <w:tab/>
      </w:r>
      <w:r w:rsidRPr="000A0211">
        <w:rPr>
          <w:rFonts w:eastAsia="Times New Roman" w:cs="Times New Roman"/>
          <w:b/>
          <w:szCs w:val="24"/>
        </w:rPr>
        <w:tab/>
      </w:r>
      <w:r w:rsidRPr="000A0211">
        <w:rPr>
          <w:rFonts w:eastAsia="Times New Roman" w:cs="Times New Roman"/>
          <w:b/>
          <w:szCs w:val="24"/>
        </w:rPr>
        <w:tab/>
      </w:r>
      <w:r w:rsidRPr="000A0211">
        <w:rPr>
          <w:rFonts w:eastAsia="Times New Roman" w:cs="Times New Roman"/>
          <w:b/>
          <w:szCs w:val="24"/>
        </w:rPr>
        <w:tab/>
        <w:t>Utilities &amp; Transportation Division</w:t>
      </w:r>
    </w:p>
    <w:p w14:paraId="282FCCD9" w14:textId="77777777" w:rsidR="000A0211" w:rsidRPr="000A0211" w:rsidRDefault="000A0211" w:rsidP="000A0211">
      <w:pPr>
        <w:spacing w:after="0" w:line="240" w:lineRule="auto"/>
        <w:rPr>
          <w:rFonts w:eastAsia="Times New Roman" w:cs="Times New Roman"/>
          <w:b/>
          <w:szCs w:val="24"/>
        </w:rPr>
      </w:pPr>
      <w:r w:rsidRPr="000A0211">
        <w:rPr>
          <w:rFonts w:eastAsia="Times New Roman" w:cs="Times New Roman"/>
          <w:b/>
          <w:szCs w:val="24"/>
        </w:rPr>
        <w:tab/>
      </w:r>
      <w:r w:rsidRPr="000A0211">
        <w:rPr>
          <w:rFonts w:eastAsia="Times New Roman" w:cs="Times New Roman"/>
          <w:b/>
          <w:szCs w:val="24"/>
        </w:rPr>
        <w:tab/>
      </w:r>
      <w:r w:rsidRPr="000A0211">
        <w:rPr>
          <w:rFonts w:eastAsia="Times New Roman" w:cs="Times New Roman"/>
          <w:b/>
          <w:szCs w:val="24"/>
        </w:rPr>
        <w:tab/>
      </w:r>
      <w:r w:rsidRPr="000A0211">
        <w:rPr>
          <w:rFonts w:eastAsia="Times New Roman" w:cs="Times New Roman"/>
          <w:b/>
          <w:szCs w:val="24"/>
        </w:rPr>
        <w:tab/>
      </w:r>
      <w:r w:rsidRPr="000A0211">
        <w:rPr>
          <w:rFonts w:eastAsia="Times New Roman" w:cs="Times New Roman"/>
          <w:b/>
          <w:szCs w:val="24"/>
        </w:rPr>
        <w:tab/>
      </w:r>
      <w:r w:rsidRPr="000A0211">
        <w:rPr>
          <w:rFonts w:eastAsia="Times New Roman" w:cs="Times New Roman"/>
          <w:b/>
          <w:szCs w:val="24"/>
        </w:rPr>
        <w:tab/>
        <w:t xml:space="preserve"> </w:t>
      </w:r>
    </w:p>
    <w:p w14:paraId="4CD27041" w14:textId="77777777" w:rsidR="000A0211" w:rsidRPr="000A0211" w:rsidRDefault="000A0211" w:rsidP="000A0211">
      <w:pPr>
        <w:spacing w:after="0" w:line="240" w:lineRule="auto"/>
        <w:rPr>
          <w:rFonts w:eastAsia="Times New Roman" w:cs="Times New Roman"/>
          <w:b/>
          <w:szCs w:val="24"/>
        </w:rPr>
      </w:pPr>
      <w:r w:rsidRPr="000A0211">
        <w:rPr>
          <w:rFonts w:eastAsia="Times New Roman" w:cs="Times New Roman"/>
          <w:b/>
          <w:szCs w:val="24"/>
        </w:rPr>
        <w:tab/>
      </w:r>
      <w:r w:rsidRPr="000A0211">
        <w:rPr>
          <w:rFonts w:eastAsia="Times New Roman" w:cs="Times New Roman"/>
          <w:b/>
          <w:szCs w:val="24"/>
        </w:rPr>
        <w:tab/>
      </w:r>
      <w:r w:rsidRPr="000A0211">
        <w:rPr>
          <w:rFonts w:eastAsia="Times New Roman" w:cs="Times New Roman"/>
          <w:b/>
          <w:szCs w:val="24"/>
        </w:rPr>
        <w:tab/>
      </w:r>
      <w:r w:rsidRPr="000A0211">
        <w:rPr>
          <w:rFonts w:eastAsia="Times New Roman" w:cs="Times New Roman"/>
          <w:b/>
          <w:szCs w:val="24"/>
        </w:rPr>
        <w:tab/>
      </w:r>
      <w:r w:rsidRPr="000A0211">
        <w:rPr>
          <w:rFonts w:eastAsia="Times New Roman" w:cs="Times New Roman"/>
          <w:b/>
          <w:szCs w:val="24"/>
        </w:rPr>
        <w:tab/>
      </w:r>
      <w:r w:rsidRPr="000A0211">
        <w:rPr>
          <w:rFonts w:eastAsia="Times New Roman" w:cs="Times New Roman"/>
          <w:b/>
          <w:szCs w:val="24"/>
        </w:rPr>
        <w:tab/>
        <w:t>1400 S Evergreen Park Drive S.W.</w:t>
      </w:r>
    </w:p>
    <w:p w14:paraId="40295C22" w14:textId="77777777" w:rsidR="000A0211" w:rsidRPr="000A0211" w:rsidRDefault="000A0211" w:rsidP="000A0211">
      <w:pPr>
        <w:spacing w:after="0" w:line="240" w:lineRule="auto"/>
        <w:rPr>
          <w:rFonts w:eastAsia="Times New Roman" w:cs="Times New Roman"/>
          <w:b/>
          <w:szCs w:val="24"/>
        </w:rPr>
      </w:pPr>
      <w:r w:rsidRPr="000A0211">
        <w:rPr>
          <w:rFonts w:eastAsia="Times New Roman" w:cs="Times New Roman"/>
          <w:b/>
          <w:szCs w:val="24"/>
        </w:rPr>
        <w:tab/>
      </w:r>
      <w:r w:rsidRPr="000A0211">
        <w:rPr>
          <w:rFonts w:eastAsia="Times New Roman" w:cs="Times New Roman"/>
          <w:b/>
          <w:szCs w:val="24"/>
        </w:rPr>
        <w:tab/>
      </w:r>
      <w:r w:rsidRPr="000A0211">
        <w:rPr>
          <w:rFonts w:eastAsia="Times New Roman" w:cs="Times New Roman"/>
          <w:b/>
          <w:szCs w:val="24"/>
        </w:rPr>
        <w:tab/>
      </w:r>
      <w:r w:rsidRPr="000A0211">
        <w:rPr>
          <w:rFonts w:eastAsia="Times New Roman" w:cs="Times New Roman"/>
          <w:b/>
          <w:szCs w:val="24"/>
        </w:rPr>
        <w:tab/>
      </w:r>
      <w:r w:rsidRPr="000A0211">
        <w:rPr>
          <w:rFonts w:eastAsia="Times New Roman" w:cs="Times New Roman"/>
          <w:b/>
          <w:szCs w:val="24"/>
        </w:rPr>
        <w:tab/>
      </w:r>
      <w:r w:rsidRPr="000A0211">
        <w:rPr>
          <w:rFonts w:eastAsia="Times New Roman" w:cs="Times New Roman"/>
          <w:b/>
          <w:szCs w:val="24"/>
        </w:rPr>
        <w:tab/>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0A0211">
                <w:rPr>
                  <w:rFonts w:eastAsia="Times New Roman" w:cs="Times New Roman"/>
                  <w:b/>
                  <w:szCs w:val="24"/>
                </w:rPr>
                <w:t>P.O. Box</w:t>
              </w:r>
            </w:smartTag>
          </w:smartTag>
          <w:r w:rsidRPr="000A0211">
            <w:rPr>
              <w:rFonts w:eastAsia="Times New Roman" w:cs="Times New Roman"/>
              <w:b/>
              <w:szCs w:val="24"/>
            </w:rPr>
            <w:t xml:space="preserve"> 40128</w:t>
          </w:r>
        </w:smartTag>
      </w:smartTag>
    </w:p>
    <w:p w14:paraId="0DC05B1F" w14:textId="77777777" w:rsidR="000A0211" w:rsidRPr="000A0211" w:rsidRDefault="000A0211" w:rsidP="000A0211">
      <w:pPr>
        <w:spacing w:after="0" w:line="240" w:lineRule="auto"/>
        <w:rPr>
          <w:rFonts w:eastAsia="Times New Roman" w:cs="Times New Roman"/>
          <w:b/>
          <w:szCs w:val="24"/>
        </w:rPr>
      </w:pPr>
      <w:r w:rsidRPr="000A0211">
        <w:rPr>
          <w:rFonts w:eastAsia="Times New Roman" w:cs="Times New Roman"/>
          <w:b/>
          <w:szCs w:val="24"/>
        </w:rPr>
        <w:tab/>
      </w:r>
      <w:r w:rsidRPr="000A0211">
        <w:rPr>
          <w:rFonts w:eastAsia="Times New Roman" w:cs="Times New Roman"/>
          <w:b/>
          <w:szCs w:val="24"/>
        </w:rPr>
        <w:tab/>
      </w:r>
      <w:r w:rsidRPr="000A0211">
        <w:rPr>
          <w:rFonts w:eastAsia="Times New Roman" w:cs="Times New Roman"/>
          <w:b/>
          <w:szCs w:val="24"/>
        </w:rPr>
        <w:tab/>
      </w:r>
      <w:r w:rsidRPr="000A0211">
        <w:rPr>
          <w:rFonts w:eastAsia="Times New Roman" w:cs="Times New Roman"/>
          <w:b/>
          <w:szCs w:val="24"/>
        </w:rPr>
        <w:tab/>
      </w:r>
      <w:r w:rsidRPr="000A0211">
        <w:rPr>
          <w:rFonts w:eastAsia="Times New Roman" w:cs="Times New Roman"/>
          <w:b/>
          <w:szCs w:val="24"/>
        </w:rPr>
        <w:tab/>
      </w:r>
      <w:r w:rsidRPr="000A0211">
        <w:rPr>
          <w:rFonts w:eastAsia="Times New Roman" w:cs="Times New Roman"/>
          <w:b/>
          <w:szCs w:val="24"/>
        </w:rPr>
        <w:tab/>
      </w:r>
      <w:smartTag w:uri="urn:schemas-microsoft-com:office:smarttags" w:element="City">
        <w:smartTag w:uri="urn:schemas-microsoft-com:office:smarttags" w:element="place">
          <w:r w:rsidRPr="000A0211">
            <w:rPr>
              <w:rFonts w:eastAsia="Times New Roman" w:cs="Times New Roman"/>
              <w:b/>
              <w:szCs w:val="24"/>
            </w:rPr>
            <w:t>Olympia</w:t>
          </w:r>
        </w:smartTag>
        <w:r w:rsidRPr="000A0211">
          <w:rPr>
            <w:rFonts w:eastAsia="Times New Roman" w:cs="Times New Roman"/>
            <w:b/>
            <w:szCs w:val="24"/>
          </w:rPr>
          <w:t xml:space="preserve">, </w:t>
        </w:r>
        <w:smartTag w:uri="urn:schemas-microsoft-com:office:smarttags" w:element="PostalCode">
          <w:smartTag w:uri="urn:schemas-microsoft-com:office:smarttags" w:element="State">
            <w:r w:rsidRPr="000A0211">
              <w:rPr>
                <w:rFonts w:eastAsia="Times New Roman" w:cs="Times New Roman"/>
                <w:b/>
                <w:szCs w:val="24"/>
              </w:rPr>
              <w:t>WA</w:t>
            </w:r>
          </w:smartTag>
        </w:smartTag>
        <w:r w:rsidRPr="000A0211">
          <w:rPr>
            <w:rFonts w:eastAsia="Times New Roman" w:cs="Times New Roman"/>
            <w:b/>
            <w:szCs w:val="24"/>
          </w:rPr>
          <w:t xml:space="preserve">  </w:t>
        </w:r>
        <w:smartTag w:uri="urn:schemas-microsoft-com:office:smarttags" w:element="PostalCode">
          <w:r w:rsidRPr="000A0211">
            <w:rPr>
              <w:rFonts w:eastAsia="Times New Roman" w:cs="Times New Roman"/>
              <w:b/>
              <w:szCs w:val="24"/>
            </w:rPr>
            <w:t>98504-0128</w:t>
          </w:r>
        </w:smartTag>
      </w:smartTag>
      <w:r w:rsidRPr="000A0211">
        <w:rPr>
          <w:rFonts w:eastAsia="Times New Roman" w:cs="Times New Roman"/>
          <w:b/>
          <w:szCs w:val="24"/>
        </w:rPr>
        <w:t xml:space="preserve"> </w:t>
      </w:r>
    </w:p>
    <w:p w14:paraId="277474C7" w14:textId="6333C932" w:rsidR="000A0211" w:rsidRPr="000A0211" w:rsidRDefault="000A0211" w:rsidP="000A0211">
      <w:pPr>
        <w:spacing w:after="0" w:line="240" w:lineRule="auto"/>
        <w:rPr>
          <w:rFonts w:eastAsia="Times New Roman" w:cs="Times New Roman"/>
          <w:b/>
          <w:bCs/>
          <w:szCs w:val="24"/>
        </w:rPr>
      </w:pPr>
      <w:r w:rsidRPr="000A0211">
        <w:rPr>
          <w:rFonts w:eastAsia="Times New Roman" w:cs="Times New Roman"/>
          <w:b/>
          <w:szCs w:val="24"/>
        </w:rPr>
        <w:tab/>
      </w:r>
      <w:r w:rsidRPr="000A0211">
        <w:rPr>
          <w:rFonts w:eastAsia="Times New Roman" w:cs="Times New Roman"/>
          <w:b/>
          <w:szCs w:val="24"/>
        </w:rPr>
        <w:tab/>
      </w:r>
      <w:r w:rsidRPr="000A0211">
        <w:rPr>
          <w:rFonts w:eastAsia="Times New Roman" w:cs="Times New Roman"/>
          <w:b/>
          <w:szCs w:val="24"/>
        </w:rPr>
        <w:tab/>
      </w:r>
      <w:r w:rsidRPr="000A0211">
        <w:rPr>
          <w:rFonts w:eastAsia="Times New Roman" w:cs="Times New Roman"/>
          <w:b/>
          <w:szCs w:val="24"/>
        </w:rPr>
        <w:tab/>
      </w:r>
      <w:r w:rsidRPr="000A0211">
        <w:rPr>
          <w:rFonts w:eastAsia="Times New Roman" w:cs="Times New Roman"/>
          <w:b/>
          <w:szCs w:val="24"/>
        </w:rPr>
        <w:tab/>
      </w:r>
      <w:r w:rsidRPr="000A0211">
        <w:rPr>
          <w:rFonts w:eastAsia="Times New Roman" w:cs="Times New Roman"/>
          <w:b/>
          <w:szCs w:val="24"/>
        </w:rPr>
        <w:tab/>
        <w:t>(360) 664-</w:t>
      </w:r>
      <w:r>
        <w:rPr>
          <w:rFonts w:eastAsia="Times New Roman" w:cs="Times New Roman"/>
          <w:b/>
          <w:szCs w:val="24"/>
        </w:rPr>
        <w:t>1187</w:t>
      </w:r>
    </w:p>
    <w:p w14:paraId="39B0B8D4" w14:textId="77777777" w:rsidR="000A0211" w:rsidRPr="000A0211" w:rsidRDefault="000A0211" w:rsidP="000A0211">
      <w:pPr>
        <w:spacing w:after="0" w:line="240" w:lineRule="auto"/>
        <w:rPr>
          <w:rFonts w:eastAsia="Times New Roman" w:cs="Times New Roman"/>
          <w:szCs w:val="24"/>
        </w:rPr>
      </w:pPr>
    </w:p>
    <w:p w14:paraId="06269F72" w14:textId="77777777" w:rsidR="00735A6A" w:rsidRDefault="00735A6A" w:rsidP="00735A6A">
      <w:pPr>
        <w:rPr>
          <w:rFonts w:cs="Times New Roman"/>
        </w:rPr>
      </w:pPr>
    </w:p>
    <w:p w14:paraId="44130E3E" w14:textId="77777777" w:rsidR="00735A6A" w:rsidRDefault="00735A6A" w:rsidP="00735A6A">
      <w:pPr>
        <w:rPr>
          <w:rFonts w:cs="Times New Roman"/>
        </w:rPr>
        <w:sectPr w:rsidR="00735A6A" w:rsidSect="000A0211">
          <w:footerReference w:type="default" r:id="rId12"/>
          <w:pgSz w:w="12240" w:h="15840"/>
          <w:pgMar w:top="1440" w:right="1440" w:bottom="1440" w:left="1872" w:header="720" w:footer="720" w:gutter="0"/>
          <w:cols w:space="720"/>
          <w:titlePg/>
          <w:docGrid w:linePitch="360"/>
        </w:sectPr>
      </w:pPr>
    </w:p>
    <w:p w14:paraId="38F06CA1" w14:textId="72A657D1" w:rsidR="003C035C" w:rsidRDefault="003C035C" w:rsidP="003C035C">
      <w:pPr>
        <w:pStyle w:val="ListParagraph"/>
        <w:tabs>
          <w:tab w:val="left" w:pos="720"/>
          <w:tab w:val="left" w:pos="1440"/>
          <w:tab w:val="left" w:pos="2160"/>
          <w:tab w:val="left" w:leader="dot" w:pos="9187"/>
        </w:tabs>
        <w:spacing w:after="0" w:line="480" w:lineRule="auto"/>
        <w:ind w:left="0"/>
        <w:jc w:val="center"/>
        <w:rPr>
          <w:rFonts w:cs="Times New Roman"/>
          <w:b/>
          <w:szCs w:val="24"/>
        </w:rPr>
      </w:pPr>
      <w:r>
        <w:rPr>
          <w:rFonts w:cs="Times New Roman"/>
          <w:b/>
          <w:szCs w:val="24"/>
        </w:rPr>
        <w:lastRenderedPageBreak/>
        <w:t>TABLE OF CONTENTS</w:t>
      </w:r>
    </w:p>
    <w:p w14:paraId="1AD82F96" w14:textId="77777777" w:rsidR="003C035C" w:rsidRDefault="003C035C" w:rsidP="003C035C">
      <w:pPr>
        <w:pStyle w:val="ListParagraph"/>
        <w:tabs>
          <w:tab w:val="left" w:pos="720"/>
          <w:tab w:val="left" w:pos="1440"/>
          <w:tab w:val="left" w:pos="2160"/>
          <w:tab w:val="left" w:leader="dot" w:pos="9187"/>
        </w:tabs>
        <w:spacing w:after="0" w:line="480" w:lineRule="auto"/>
        <w:ind w:left="0"/>
        <w:jc w:val="center"/>
        <w:rPr>
          <w:rFonts w:cs="Times New Roman"/>
          <w:szCs w:val="24"/>
        </w:rPr>
      </w:pPr>
    </w:p>
    <w:p w14:paraId="0B96678D" w14:textId="4E8C928E" w:rsidR="006D7603" w:rsidRDefault="006D7603" w:rsidP="002A1183">
      <w:pPr>
        <w:pStyle w:val="ListParagraph"/>
        <w:numPr>
          <w:ilvl w:val="0"/>
          <w:numId w:val="17"/>
        </w:numPr>
        <w:tabs>
          <w:tab w:val="left" w:pos="720"/>
          <w:tab w:val="left" w:pos="1440"/>
          <w:tab w:val="right" w:leader="dot" w:pos="9000"/>
        </w:tabs>
        <w:spacing w:after="0" w:line="480" w:lineRule="auto"/>
        <w:ind w:left="0" w:firstLine="0"/>
        <w:rPr>
          <w:rFonts w:cs="Times New Roman"/>
          <w:szCs w:val="24"/>
        </w:rPr>
      </w:pPr>
      <w:r w:rsidRPr="007E34CD">
        <w:rPr>
          <w:rFonts w:cs="Times New Roman"/>
          <w:szCs w:val="24"/>
        </w:rPr>
        <w:t>Introduction</w:t>
      </w:r>
      <w:r w:rsidRPr="007E34CD">
        <w:rPr>
          <w:rFonts w:cs="Times New Roman"/>
          <w:szCs w:val="24"/>
        </w:rPr>
        <w:tab/>
        <w:t>1</w:t>
      </w:r>
    </w:p>
    <w:p w14:paraId="240F306A" w14:textId="77777777" w:rsidR="006D7603" w:rsidRDefault="006D7603" w:rsidP="00FC1046">
      <w:pPr>
        <w:pStyle w:val="ListParagraph"/>
        <w:numPr>
          <w:ilvl w:val="0"/>
          <w:numId w:val="18"/>
        </w:numPr>
        <w:tabs>
          <w:tab w:val="left" w:pos="720"/>
          <w:tab w:val="left" w:pos="1440"/>
          <w:tab w:val="left" w:pos="2160"/>
          <w:tab w:val="right" w:leader="dot" w:pos="9000"/>
        </w:tabs>
        <w:spacing w:after="0" w:line="480" w:lineRule="auto"/>
        <w:ind w:left="720" w:firstLine="0"/>
        <w:rPr>
          <w:rFonts w:cs="Times New Roman"/>
          <w:szCs w:val="24"/>
        </w:rPr>
      </w:pPr>
      <w:r w:rsidRPr="007E34CD">
        <w:rPr>
          <w:rFonts w:cs="Times New Roman"/>
          <w:szCs w:val="24"/>
        </w:rPr>
        <w:t>Background</w:t>
      </w:r>
      <w:r w:rsidRPr="007E34CD">
        <w:rPr>
          <w:rFonts w:cs="Times New Roman"/>
          <w:szCs w:val="24"/>
        </w:rPr>
        <w:tab/>
        <w:t>1</w:t>
      </w:r>
    </w:p>
    <w:p w14:paraId="75C12214" w14:textId="77777777" w:rsidR="006D7603" w:rsidRPr="007E34CD" w:rsidRDefault="006D7603" w:rsidP="00FC1046">
      <w:pPr>
        <w:pStyle w:val="ListParagraph"/>
        <w:numPr>
          <w:ilvl w:val="0"/>
          <w:numId w:val="18"/>
        </w:numPr>
        <w:tabs>
          <w:tab w:val="left" w:pos="720"/>
          <w:tab w:val="left" w:pos="1440"/>
          <w:tab w:val="left" w:pos="2160"/>
          <w:tab w:val="left" w:pos="2880"/>
          <w:tab w:val="left" w:pos="3600"/>
          <w:tab w:val="right" w:leader="dot" w:pos="9000"/>
        </w:tabs>
        <w:spacing w:after="0" w:line="480" w:lineRule="auto"/>
        <w:ind w:left="720" w:firstLine="0"/>
        <w:rPr>
          <w:rFonts w:cs="Times New Roman"/>
          <w:szCs w:val="24"/>
        </w:rPr>
      </w:pPr>
      <w:r w:rsidRPr="007E34CD">
        <w:rPr>
          <w:rFonts w:cs="Times New Roman"/>
          <w:szCs w:val="24"/>
        </w:rPr>
        <w:t>Updates to Staff’s Recommendation</w:t>
      </w:r>
      <w:r w:rsidRPr="007E34CD">
        <w:rPr>
          <w:rFonts w:cs="Times New Roman"/>
          <w:szCs w:val="24"/>
        </w:rPr>
        <w:tab/>
        <w:t>2</w:t>
      </w:r>
    </w:p>
    <w:p w14:paraId="0D4555BA" w14:textId="19B778BA" w:rsidR="006D7603" w:rsidRPr="007E34CD" w:rsidRDefault="006D7603" w:rsidP="00FC1046">
      <w:pPr>
        <w:pStyle w:val="ListParagraph"/>
        <w:numPr>
          <w:ilvl w:val="0"/>
          <w:numId w:val="19"/>
        </w:numPr>
        <w:tabs>
          <w:tab w:val="left" w:pos="720"/>
          <w:tab w:val="left" w:pos="1440"/>
          <w:tab w:val="left" w:pos="2160"/>
          <w:tab w:val="left" w:pos="2880"/>
          <w:tab w:val="left" w:pos="3600"/>
          <w:tab w:val="right" w:leader="dot" w:pos="9000"/>
        </w:tabs>
        <w:spacing w:after="0" w:line="480" w:lineRule="auto"/>
        <w:ind w:left="1440" w:firstLine="0"/>
        <w:rPr>
          <w:rFonts w:cs="Times New Roman"/>
          <w:szCs w:val="24"/>
        </w:rPr>
      </w:pPr>
      <w:r w:rsidRPr="007E34CD">
        <w:rPr>
          <w:rFonts w:cs="Times New Roman"/>
          <w:szCs w:val="24"/>
        </w:rPr>
        <w:t>Three-</w:t>
      </w:r>
      <w:r w:rsidR="00FA1B20">
        <w:rPr>
          <w:rFonts w:cs="Times New Roman"/>
          <w:szCs w:val="24"/>
        </w:rPr>
        <w:t>f</w:t>
      </w:r>
      <w:r w:rsidRPr="007E34CD">
        <w:rPr>
          <w:rFonts w:cs="Times New Roman"/>
          <w:szCs w:val="24"/>
        </w:rPr>
        <w:t xml:space="preserve">actor </w:t>
      </w:r>
      <w:r w:rsidR="00FA1B20">
        <w:rPr>
          <w:rFonts w:cs="Times New Roman"/>
          <w:szCs w:val="24"/>
        </w:rPr>
        <w:t>a</w:t>
      </w:r>
      <w:r w:rsidRPr="007E34CD">
        <w:rPr>
          <w:rFonts w:cs="Times New Roman"/>
          <w:szCs w:val="24"/>
        </w:rPr>
        <w:t>llocator</w:t>
      </w:r>
      <w:r w:rsidRPr="007E34CD">
        <w:rPr>
          <w:rFonts w:cs="Times New Roman"/>
          <w:szCs w:val="24"/>
        </w:rPr>
        <w:tab/>
        <w:t>2</w:t>
      </w:r>
    </w:p>
    <w:p w14:paraId="37F668CF" w14:textId="77777777" w:rsidR="006D7603" w:rsidRPr="007E34CD" w:rsidRDefault="006D7603" w:rsidP="00FC1046">
      <w:pPr>
        <w:pStyle w:val="ListParagraph"/>
        <w:numPr>
          <w:ilvl w:val="0"/>
          <w:numId w:val="19"/>
        </w:numPr>
        <w:tabs>
          <w:tab w:val="left" w:pos="720"/>
          <w:tab w:val="left" w:pos="1440"/>
          <w:tab w:val="left" w:pos="2160"/>
          <w:tab w:val="left" w:pos="2880"/>
          <w:tab w:val="left" w:pos="3600"/>
          <w:tab w:val="right" w:leader="dot" w:pos="9000"/>
        </w:tabs>
        <w:spacing w:after="0" w:line="480" w:lineRule="auto"/>
        <w:ind w:left="1440" w:firstLine="0"/>
        <w:rPr>
          <w:rFonts w:cs="Times New Roman"/>
          <w:szCs w:val="24"/>
        </w:rPr>
      </w:pPr>
      <w:r w:rsidRPr="007E34CD">
        <w:rPr>
          <w:rFonts w:cs="Times New Roman"/>
          <w:szCs w:val="24"/>
        </w:rPr>
        <w:t>Including origination fees in the cost of debt for HBI</w:t>
      </w:r>
      <w:r w:rsidRPr="007E34CD">
        <w:rPr>
          <w:rFonts w:cs="Times New Roman"/>
          <w:szCs w:val="24"/>
        </w:rPr>
        <w:tab/>
        <w:t>3</w:t>
      </w:r>
    </w:p>
    <w:p w14:paraId="031F956F" w14:textId="0F94DE27" w:rsidR="006D7603" w:rsidRPr="007E34CD" w:rsidRDefault="006D7603" w:rsidP="002A1183">
      <w:pPr>
        <w:pStyle w:val="ListParagraph"/>
        <w:numPr>
          <w:ilvl w:val="0"/>
          <w:numId w:val="19"/>
        </w:numPr>
        <w:tabs>
          <w:tab w:val="left" w:pos="720"/>
          <w:tab w:val="left" w:pos="1440"/>
          <w:tab w:val="left" w:pos="2160"/>
          <w:tab w:val="right" w:pos="8910"/>
        </w:tabs>
        <w:spacing w:after="0" w:line="240" w:lineRule="auto"/>
        <w:ind w:left="1440" w:firstLine="0"/>
        <w:rPr>
          <w:rFonts w:cs="Times New Roman"/>
          <w:szCs w:val="24"/>
        </w:rPr>
      </w:pPr>
      <w:r w:rsidRPr="007E34CD">
        <w:rPr>
          <w:rFonts w:cs="Times New Roman"/>
          <w:szCs w:val="24"/>
        </w:rPr>
        <w:t xml:space="preserve">Addition of </w:t>
      </w:r>
      <w:r w:rsidR="00FA1B20">
        <w:rPr>
          <w:rFonts w:cs="Times New Roman"/>
          <w:szCs w:val="24"/>
        </w:rPr>
        <w:t>n</w:t>
      </w:r>
      <w:r w:rsidRPr="007E34CD">
        <w:rPr>
          <w:rFonts w:cs="Times New Roman"/>
          <w:szCs w:val="24"/>
        </w:rPr>
        <w:t xml:space="preserve">ew </w:t>
      </w:r>
      <w:r w:rsidR="00FA1B20">
        <w:rPr>
          <w:rFonts w:cs="Times New Roman"/>
          <w:szCs w:val="24"/>
        </w:rPr>
        <w:t>t</w:t>
      </w:r>
      <w:r w:rsidRPr="007E34CD">
        <w:rPr>
          <w:rFonts w:cs="Times New Roman"/>
          <w:szCs w:val="24"/>
        </w:rPr>
        <w:t xml:space="preserve">ruck </w:t>
      </w:r>
      <w:r w:rsidR="00FA1B20">
        <w:rPr>
          <w:rFonts w:cs="Times New Roman"/>
          <w:szCs w:val="24"/>
        </w:rPr>
        <w:t>s</w:t>
      </w:r>
      <w:r w:rsidRPr="007E34CD">
        <w:rPr>
          <w:rFonts w:cs="Times New Roman"/>
          <w:szCs w:val="24"/>
        </w:rPr>
        <w:t xml:space="preserve">hop </w:t>
      </w:r>
      <w:r w:rsidR="00FA1B20">
        <w:rPr>
          <w:rFonts w:cs="Times New Roman"/>
          <w:szCs w:val="24"/>
        </w:rPr>
        <w:t>f</w:t>
      </w:r>
      <w:r w:rsidRPr="007E34CD">
        <w:rPr>
          <w:rFonts w:cs="Times New Roman"/>
          <w:szCs w:val="24"/>
        </w:rPr>
        <w:t xml:space="preserve">acility placed into service </w:t>
      </w:r>
    </w:p>
    <w:p w14:paraId="6DB47AB2" w14:textId="77777777" w:rsidR="006D7603" w:rsidRDefault="006D7603" w:rsidP="00FC1046">
      <w:pPr>
        <w:pStyle w:val="ListParagraph"/>
        <w:tabs>
          <w:tab w:val="left" w:pos="720"/>
          <w:tab w:val="left" w:pos="1440"/>
          <w:tab w:val="left" w:pos="2160"/>
          <w:tab w:val="left" w:pos="2880"/>
          <w:tab w:val="left" w:pos="3600"/>
          <w:tab w:val="right" w:leader="dot" w:pos="9000"/>
        </w:tabs>
        <w:spacing w:after="0" w:line="240" w:lineRule="auto"/>
        <w:ind w:left="1440"/>
        <w:rPr>
          <w:rFonts w:cs="Times New Roman"/>
          <w:szCs w:val="24"/>
        </w:rPr>
      </w:pPr>
      <w:r w:rsidRPr="007E34CD">
        <w:rPr>
          <w:rFonts w:cs="Times New Roman"/>
          <w:szCs w:val="24"/>
        </w:rPr>
        <w:tab/>
        <w:t>after the test year</w:t>
      </w:r>
      <w:r w:rsidRPr="007E34CD">
        <w:rPr>
          <w:rFonts w:cs="Times New Roman"/>
          <w:szCs w:val="24"/>
        </w:rPr>
        <w:tab/>
        <w:t>4</w:t>
      </w:r>
    </w:p>
    <w:p w14:paraId="52A47812" w14:textId="77777777" w:rsidR="006D7603" w:rsidRPr="007E34CD" w:rsidRDefault="006D7603" w:rsidP="002A1183">
      <w:pPr>
        <w:pStyle w:val="ListParagraph"/>
        <w:tabs>
          <w:tab w:val="left" w:pos="720"/>
          <w:tab w:val="left" w:pos="1440"/>
          <w:tab w:val="left" w:pos="2160"/>
          <w:tab w:val="right" w:pos="8910"/>
        </w:tabs>
        <w:spacing w:after="0" w:line="240" w:lineRule="auto"/>
        <w:ind w:left="1440"/>
        <w:rPr>
          <w:rFonts w:cs="Times New Roman"/>
          <w:szCs w:val="24"/>
        </w:rPr>
      </w:pPr>
    </w:p>
    <w:p w14:paraId="3FD3E16C" w14:textId="0D3F5A64" w:rsidR="006D7603" w:rsidRPr="007E34CD" w:rsidRDefault="006D7603" w:rsidP="00FC1046">
      <w:pPr>
        <w:pStyle w:val="ListParagraph"/>
        <w:numPr>
          <w:ilvl w:val="0"/>
          <w:numId w:val="17"/>
        </w:numPr>
        <w:tabs>
          <w:tab w:val="left" w:pos="720"/>
          <w:tab w:val="left" w:pos="1440"/>
          <w:tab w:val="left" w:pos="2160"/>
          <w:tab w:val="left" w:pos="2880"/>
          <w:tab w:val="left" w:pos="3600"/>
          <w:tab w:val="right" w:leader="dot" w:pos="9000"/>
        </w:tabs>
        <w:spacing w:after="0" w:line="480" w:lineRule="auto"/>
        <w:ind w:left="0" w:firstLine="0"/>
        <w:rPr>
          <w:rFonts w:cs="Times New Roman"/>
          <w:szCs w:val="24"/>
        </w:rPr>
      </w:pPr>
      <w:r w:rsidRPr="007E34CD">
        <w:rPr>
          <w:rFonts w:cs="Times New Roman"/>
          <w:szCs w:val="24"/>
        </w:rPr>
        <w:t xml:space="preserve">Shared Utilities Expense, </w:t>
      </w:r>
      <w:r w:rsidR="00ED7BE3">
        <w:rPr>
          <w:rFonts w:cs="Times New Roman"/>
          <w:szCs w:val="24"/>
        </w:rPr>
        <w:t>Adjustment R-6D</w:t>
      </w:r>
      <w:r w:rsidR="00ED7BE3">
        <w:rPr>
          <w:rFonts w:cs="Times New Roman"/>
          <w:szCs w:val="24"/>
        </w:rPr>
        <w:tab/>
      </w:r>
      <w:r w:rsidR="00FA1B20">
        <w:rPr>
          <w:rFonts w:cs="Times New Roman"/>
          <w:szCs w:val="24"/>
        </w:rPr>
        <w:t>4</w:t>
      </w:r>
    </w:p>
    <w:p w14:paraId="3E7BC639" w14:textId="77777777" w:rsidR="006D7603" w:rsidRPr="007E34CD" w:rsidRDefault="006D7603" w:rsidP="00FC1046">
      <w:pPr>
        <w:pStyle w:val="ListParagraph"/>
        <w:numPr>
          <w:ilvl w:val="0"/>
          <w:numId w:val="20"/>
        </w:numPr>
        <w:tabs>
          <w:tab w:val="left" w:pos="720"/>
          <w:tab w:val="left" w:pos="1440"/>
          <w:tab w:val="left" w:pos="2160"/>
          <w:tab w:val="right" w:leader="dot" w:pos="9000"/>
        </w:tabs>
        <w:spacing w:after="0" w:line="480" w:lineRule="auto"/>
        <w:ind w:left="720" w:firstLine="0"/>
        <w:rPr>
          <w:rFonts w:cs="Times New Roman"/>
          <w:szCs w:val="24"/>
        </w:rPr>
      </w:pPr>
      <w:r w:rsidRPr="007E34CD">
        <w:rPr>
          <w:rFonts w:cs="Times New Roman"/>
          <w:szCs w:val="24"/>
        </w:rPr>
        <w:t>Overview</w:t>
      </w:r>
      <w:r w:rsidRPr="007E34CD">
        <w:rPr>
          <w:rFonts w:cs="Times New Roman"/>
          <w:szCs w:val="24"/>
        </w:rPr>
        <w:tab/>
        <w:t>4</w:t>
      </w:r>
    </w:p>
    <w:p w14:paraId="2D705851" w14:textId="4FCA5692" w:rsidR="006D7603" w:rsidRPr="007E34CD" w:rsidRDefault="006D7603" w:rsidP="00FC1046">
      <w:pPr>
        <w:pStyle w:val="ListParagraph"/>
        <w:numPr>
          <w:ilvl w:val="0"/>
          <w:numId w:val="20"/>
        </w:numPr>
        <w:tabs>
          <w:tab w:val="left" w:pos="720"/>
          <w:tab w:val="left" w:pos="1440"/>
          <w:tab w:val="left" w:pos="2160"/>
          <w:tab w:val="left" w:pos="2880"/>
          <w:tab w:val="left" w:pos="3600"/>
          <w:tab w:val="right" w:leader="dot" w:pos="9000"/>
        </w:tabs>
        <w:spacing w:after="0" w:line="480" w:lineRule="auto"/>
        <w:ind w:left="720" w:firstLine="0"/>
        <w:rPr>
          <w:rFonts w:cs="Times New Roman"/>
          <w:szCs w:val="24"/>
        </w:rPr>
      </w:pPr>
      <w:r w:rsidRPr="007E34CD">
        <w:rPr>
          <w:rFonts w:cs="Times New Roman"/>
          <w:szCs w:val="24"/>
        </w:rPr>
        <w:t>Staff’s Recomme</w:t>
      </w:r>
      <w:r w:rsidR="00FA1B20">
        <w:rPr>
          <w:rFonts w:cs="Times New Roman"/>
          <w:szCs w:val="24"/>
        </w:rPr>
        <w:t>ndation is Fair and Reasonable</w:t>
      </w:r>
      <w:r w:rsidR="00FA1B20">
        <w:rPr>
          <w:rFonts w:cs="Times New Roman"/>
          <w:szCs w:val="24"/>
        </w:rPr>
        <w:tab/>
        <w:t>6</w:t>
      </w:r>
    </w:p>
    <w:p w14:paraId="49F8EC93" w14:textId="6726589B" w:rsidR="006D7603" w:rsidRPr="007E34CD" w:rsidRDefault="006D7603" w:rsidP="00FC1046">
      <w:pPr>
        <w:pStyle w:val="ListParagraph"/>
        <w:numPr>
          <w:ilvl w:val="0"/>
          <w:numId w:val="21"/>
        </w:numPr>
        <w:tabs>
          <w:tab w:val="left" w:pos="720"/>
          <w:tab w:val="left" w:pos="1440"/>
          <w:tab w:val="left" w:pos="2160"/>
          <w:tab w:val="left" w:pos="2880"/>
          <w:tab w:val="left" w:pos="3600"/>
          <w:tab w:val="right" w:leader="dot" w:pos="9000"/>
        </w:tabs>
        <w:spacing w:after="0" w:line="480" w:lineRule="auto"/>
        <w:ind w:left="1440" w:firstLine="0"/>
        <w:rPr>
          <w:rFonts w:cs="Times New Roman"/>
          <w:szCs w:val="24"/>
        </w:rPr>
      </w:pPr>
      <w:r w:rsidRPr="007E34CD">
        <w:rPr>
          <w:rFonts w:cs="Times New Roman"/>
          <w:szCs w:val="24"/>
        </w:rPr>
        <w:t xml:space="preserve">Fundamental </w:t>
      </w:r>
      <w:r w:rsidR="00FA1B20">
        <w:rPr>
          <w:rFonts w:cs="Times New Roman"/>
          <w:szCs w:val="24"/>
        </w:rPr>
        <w:t>p</w:t>
      </w:r>
      <w:r w:rsidRPr="007E34CD">
        <w:rPr>
          <w:rFonts w:cs="Times New Roman"/>
          <w:szCs w:val="24"/>
        </w:rPr>
        <w:t>rinc</w:t>
      </w:r>
      <w:r w:rsidR="00FA1B20">
        <w:rPr>
          <w:rFonts w:cs="Times New Roman"/>
          <w:szCs w:val="24"/>
        </w:rPr>
        <w:t>iples and commission precedent</w:t>
      </w:r>
      <w:r w:rsidR="00FA1B20">
        <w:rPr>
          <w:rFonts w:cs="Times New Roman"/>
          <w:szCs w:val="24"/>
        </w:rPr>
        <w:tab/>
        <w:t>6</w:t>
      </w:r>
    </w:p>
    <w:p w14:paraId="6D989260" w14:textId="77777777" w:rsidR="006D7603" w:rsidRPr="007E34CD" w:rsidRDefault="006D7603" w:rsidP="00FC1046">
      <w:pPr>
        <w:pStyle w:val="ListParagraph"/>
        <w:numPr>
          <w:ilvl w:val="0"/>
          <w:numId w:val="21"/>
        </w:numPr>
        <w:tabs>
          <w:tab w:val="left" w:pos="720"/>
          <w:tab w:val="left" w:pos="1440"/>
          <w:tab w:val="left" w:pos="2160"/>
          <w:tab w:val="left" w:pos="2880"/>
          <w:tab w:val="left" w:pos="3600"/>
          <w:tab w:val="right" w:leader="dot" w:pos="9000"/>
        </w:tabs>
        <w:spacing w:after="0" w:line="480" w:lineRule="auto"/>
        <w:ind w:left="1440" w:firstLine="0"/>
        <w:rPr>
          <w:rFonts w:cs="Times New Roman"/>
          <w:szCs w:val="24"/>
        </w:rPr>
      </w:pPr>
      <w:r w:rsidRPr="007E34CD">
        <w:rPr>
          <w:rFonts w:cs="Times New Roman"/>
          <w:szCs w:val="24"/>
        </w:rPr>
        <w:t>Staff’s recommendation reasonably estimates costs</w:t>
      </w:r>
      <w:r w:rsidRPr="007E34CD">
        <w:rPr>
          <w:rFonts w:cs="Times New Roman"/>
          <w:szCs w:val="24"/>
        </w:rPr>
        <w:tab/>
        <w:t>6</w:t>
      </w:r>
    </w:p>
    <w:p w14:paraId="113457F3" w14:textId="77777777" w:rsidR="006D7603" w:rsidRPr="007E34CD" w:rsidRDefault="006D7603" w:rsidP="002A1183">
      <w:pPr>
        <w:pStyle w:val="ListParagraph"/>
        <w:numPr>
          <w:ilvl w:val="0"/>
          <w:numId w:val="21"/>
        </w:numPr>
        <w:tabs>
          <w:tab w:val="left" w:pos="720"/>
          <w:tab w:val="left" w:pos="1440"/>
          <w:tab w:val="left" w:pos="2160"/>
          <w:tab w:val="right" w:pos="8910"/>
          <w:tab w:val="left" w:leader="dot" w:pos="9270"/>
        </w:tabs>
        <w:spacing w:after="0" w:line="240" w:lineRule="auto"/>
        <w:ind w:left="1440" w:firstLine="0"/>
        <w:rPr>
          <w:rFonts w:cs="Times New Roman"/>
          <w:szCs w:val="24"/>
        </w:rPr>
      </w:pPr>
      <w:r w:rsidRPr="007E34CD">
        <w:rPr>
          <w:rFonts w:cs="Times New Roman"/>
          <w:szCs w:val="24"/>
        </w:rPr>
        <w:t xml:space="preserve">Staff’s recommendation consistent with accepted allocators </w:t>
      </w:r>
    </w:p>
    <w:p w14:paraId="201ECE7C" w14:textId="77777777" w:rsidR="006D7603" w:rsidRDefault="006D7603" w:rsidP="00FC1046">
      <w:pPr>
        <w:pStyle w:val="ListParagraph"/>
        <w:tabs>
          <w:tab w:val="left" w:pos="720"/>
          <w:tab w:val="left" w:pos="1440"/>
          <w:tab w:val="left" w:pos="2160"/>
          <w:tab w:val="left" w:pos="2880"/>
          <w:tab w:val="left" w:pos="3600"/>
          <w:tab w:val="right" w:leader="dot" w:pos="9000"/>
        </w:tabs>
        <w:spacing w:after="0" w:line="240" w:lineRule="auto"/>
        <w:ind w:left="1440"/>
        <w:rPr>
          <w:rFonts w:cs="Times New Roman"/>
          <w:szCs w:val="24"/>
        </w:rPr>
      </w:pPr>
      <w:r w:rsidRPr="007E34CD">
        <w:rPr>
          <w:rFonts w:cs="Times New Roman"/>
          <w:szCs w:val="24"/>
        </w:rPr>
        <w:tab/>
        <w:t>in other regulated industries</w:t>
      </w:r>
      <w:r w:rsidRPr="007E34CD">
        <w:rPr>
          <w:rFonts w:cs="Times New Roman"/>
          <w:szCs w:val="24"/>
        </w:rPr>
        <w:tab/>
        <w:t>7</w:t>
      </w:r>
    </w:p>
    <w:p w14:paraId="776401C2" w14:textId="77777777" w:rsidR="006D7603" w:rsidRPr="007E34CD" w:rsidRDefault="006D7603" w:rsidP="002A1183">
      <w:pPr>
        <w:pStyle w:val="ListParagraph"/>
        <w:tabs>
          <w:tab w:val="left" w:pos="720"/>
          <w:tab w:val="left" w:pos="1440"/>
          <w:tab w:val="left" w:pos="2160"/>
          <w:tab w:val="right" w:pos="8910"/>
          <w:tab w:val="left" w:leader="dot" w:pos="9270"/>
        </w:tabs>
        <w:spacing w:after="0" w:line="240" w:lineRule="auto"/>
        <w:ind w:left="1440"/>
        <w:rPr>
          <w:rFonts w:cs="Times New Roman"/>
          <w:szCs w:val="24"/>
        </w:rPr>
      </w:pPr>
    </w:p>
    <w:p w14:paraId="4ECA3C11" w14:textId="77777777" w:rsidR="006D7603" w:rsidRDefault="006D7603" w:rsidP="002A1183">
      <w:pPr>
        <w:pStyle w:val="ListParagraph"/>
        <w:numPr>
          <w:ilvl w:val="0"/>
          <w:numId w:val="21"/>
        </w:numPr>
        <w:tabs>
          <w:tab w:val="left" w:pos="720"/>
          <w:tab w:val="left" w:pos="1440"/>
          <w:tab w:val="left" w:pos="2160"/>
          <w:tab w:val="right" w:pos="8910"/>
          <w:tab w:val="left" w:leader="dot" w:pos="9270"/>
        </w:tabs>
        <w:spacing w:after="0" w:line="240" w:lineRule="auto"/>
        <w:ind w:left="1440" w:firstLine="0"/>
        <w:rPr>
          <w:rFonts w:cs="Times New Roman"/>
          <w:szCs w:val="24"/>
        </w:rPr>
      </w:pPr>
      <w:r w:rsidRPr="007E34CD">
        <w:rPr>
          <w:rFonts w:cs="Times New Roman"/>
          <w:szCs w:val="24"/>
        </w:rPr>
        <w:t xml:space="preserve">WCI and its affiliates are sufficiently similar for reasonable </w:t>
      </w:r>
    </w:p>
    <w:p w14:paraId="58E43048" w14:textId="1310EE48" w:rsidR="006D7603" w:rsidRDefault="006D7603" w:rsidP="00FC1046">
      <w:pPr>
        <w:pStyle w:val="ListParagraph"/>
        <w:tabs>
          <w:tab w:val="left" w:pos="720"/>
          <w:tab w:val="left" w:pos="1440"/>
          <w:tab w:val="left" w:pos="2160"/>
          <w:tab w:val="left" w:pos="2880"/>
          <w:tab w:val="right" w:leader="dot" w:pos="9000"/>
        </w:tabs>
        <w:spacing w:after="0" w:line="240" w:lineRule="auto"/>
        <w:ind w:left="1440"/>
        <w:rPr>
          <w:rFonts w:cs="Times New Roman"/>
          <w:szCs w:val="24"/>
        </w:rPr>
      </w:pPr>
      <w:r>
        <w:rPr>
          <w:rFonts w:cs="Times New Roman"/>
          <w:szCs w:val="24"/>
        </w:rPr>
        <w:tab/>
      </w:r>
      <w:r w:rsidR="00FA1B20">
        <w:rPr>
          <w:rFonts w:cs="Times New Roman"/>
          <w:szCs w:val="24"/>
        </w:rPr>
        <w:t>comparison</w:t>
      </w:r>
      <w:r w:rsidR="00FA1B20">
        <w:rPr>
          <w:rFonts w:cs="Times New Roman"/>
          <w:szCs w:val="24"/>
        </w:rPr>
        <w:tab/>
        <w:t>8</w:t>
      </w:r>
    </w:p>
    <w:p w14:paraId="72DDA038" w14:textId="77777777" w:rsidR="00E13C36" w:rsidRPr="007E34CD" w:rsidRDefault="00E13C36" w:rsidP="002A1183">
      <w:pPr>
        <w:pStyle w:val="ListParagraph"/>
        <w:tabs>
          <w:tab w:val="left" w:pos="720"/>
          <w:tab w:val="left" w:pos="1440"/>
          <w:tab w:val="left" w:pos="2160"/>
          <w:tab w:val="right" w:pos="8910"/>
          <w:tab w:val="left" w:leader="dot" w:pos="9270"/>
        </w:tabs>
        <w:spacing w:after="0" w:line="240" w:lineRule="auto"/>
        <w:ind w:left="1440"/>
        <w:rPr>
          <w:rFonts w:cs="Times New Roman"/>
          <w:szCs w:val="24"/>
        </w:rPr>
      </w:pPr>
    </w:p>
    <w:p w14:paraId="451D0DB4" w14:textId="77777777" w:rsidR="006D7603" w:rsidRPr="007E34CD" w:rsidRDefault="006D7603" w:rsidP="00FC1046">
      <w:pPr>
        <w:pStyle w:val="ListParagraph"/>
        <w:numPr>
          <w:ilvl w:val="0"/>
          <w:numId w:val="20"/>
        </w:numPr>
        <w:tabs>
          <w:tab w:val="left" w:pos="720"/>
          <w:tab w:val="left" w:pos="1440"/>
          <w:tab w:val="left" w:pos="2160"/>
          <w:tab w:val="left" w:pos="2880"/>
          <w:tab w:val="left" w:pos="3600"/>
          <w:tab w:val="right" w:leader="dot" w:pos="9000"/>
        </w:tabs>
        <w:spacing w:after="0" w:line="480" w:lineRule="auto"/>
        <w:ind w:left="720" w:firstLine="0"/>
        <w:rPr>
          <w:rFonts w:cs="Times New Roman"/>
          <w:szCs w:val="24"/>
        </w:rPr>
      </w:pPr>
      <w:r w:rsidRPr="007E34CD">
        <w:rPr>
          <w:rFonts w:cs="Times New Roman"/>
          <w:szCs w:val="24"/>
        </w:rPr>
        <w:t>Absence of any reasonable alternative to Staff’s Proposal</w:t>
      </w:r>
      <w:r w:rsidRPr="007E34CD">
        <w:rPr>
          <w:rFonts w:cs="Times New Roman"/>
          <w:szCs w:val="24"/>
        </w:rPr>
        <w:tab/>
        <w:t>8</w:t>
      </w:r>
    </w:p>
    <w:p w14:paraId="06A37A2D" w14:textId="77777777" w:rsidR="006D7603" w:rsidRPr="007E34CD" w:rsidRDefault="006D7603" w:rsidP="00FC1046">
      <w:pPr>
        <w:pStyle w:val="ListParagraph"/>
        <w:numPr>
          <w:ilvl w:val="0"/>
          <w:numId w:val="22"/>
        </w:numPr>
        <w:tabs>
          <w:tab w:val="left" w:pos="720"/>
          <w:tab w:val="left" w:pos="1440"/>
          <w:tab w:val="left" w:pos="2160"/>
          <w:tab w:val="left" w:pos="2880"/>
          <w:tab w:val="left" w:pos="3600"/>
          <w:tab w:val="right" w:leader="dot" w:pos="9000"/>
        </w:tabs>
        <w:spacing w:after="0" w:line="480" w:lineRule="auto"/>
        <w:ind w:left="1440" w:firstLine="0"/>
        <w:rPr>
          <w:rFonts w:cs="Times New Roman"/>
          <w:szCs w:val="24"/>
        </w:rPr>
      </w:pPr>
      <w:r w:rsidRPr="007E34CD">
        <w:rPr>
          <w:rFonts w:cs="Times New Roman"/>
          <w:szCs w:val="24"/>
        </w:rPr>
        <w:t>Allocation by number of entities sharing a facility</w:t>
      </w:r>
      <w:r w:rsidRPr="007E34CD">
        <w:rPr>
          <w:rFonts w:cs="Times New Roman"/>
          <w:szCs w:val="24"/>
        </w:rPr>
        <w:tab/>
        <w:t>8</w:t>
      </w:r>
    </w:p>
    <w:p w14:paraId="4892C446" w14:textId="2475791D" w:rsidR="006D7603" w:rsidRPr="007E34CD" w:rsidRDefault="00FA1B20" w:rsidP="00FC1046">
      <w:pPr>
        <w:pStyle w:val="ListParagraph"/>
        <w:numPr>
          <w:ilvl w:val="0"/>
          <w:numId w:val="22"/>
        </w:numPr>
        <w:tabs>
          <w:tab w:val="left" w:pos="720"/>
          <w:tab w:val="left" w:pos="1440"/>
          <w:tab w:val="left" w:pos="2160"/>
          <w:tab w:val="left" w:pos="2880"/>
          <w:tab w:val="left" w:pos="3600"/>
          <w:tab w:val="right" w:leader="dot" w:pos="9000"/>
        </w:tabs>
        <w:spacing w:after="0" w:line="480" w:lineRule="auto"/>
        <w:ind w:left="1440" w:firstLine="0"/>
        <w:rPr>
          <w:rFonts w:cs="Times New Roman"/>
          <w:szCs w:val="24"/>
        </w:rPr>
      </w:pPr>
      <w:r>
        <w:rPr>
          <w:rFonts w:cs="Times New Roman"/>
          <w:szCs w:val="24"/>
        </w:rPr>
        <w:t>Square footage</w:t>
      </w:r>
      <w:r>
        <w:rPr>
          <w:rFonts w:cs="Times New Roman"/>
          <w:szCs w:val="24"/>
        </w:rPr>
        <w:tab/>
        <w:t>9</w:t>
      </w:r>
    </w:p>
    <w:p w14:paraId="4180868C" w14:textId="77777777" w:rsidR="006D7603" w:rsidRPr="007E34CD" w:rsidRDefault="006D7603" w:rsidP="00FC1046">
      <w:pPr>
        <w:pStyle w:val="ListParagraph"/>
        <w:numPr>
          <w:ilvl w:val="0"/>
          <w:numId w:val="22"/>
        </w:numPr>
        <w:tabs>
          <w:tab w:val="left" w:pos="720"/>
          <w:tab w:val="left" w:pos="1440"/>
          <w:tab w:val="left" w:pos="2160"/>
          <w:tab w:val="left" w:pos="2880"/>
          <w:tab w:val="left" w:pos="3600"/>
          <w:tab w:val="right" w:leader="dot" w:pos="9000"/>
        </w:tabs>
        <w:spacing w:after="0" w:line="480" w:lineRule="auto"/>
        <w:ind w:left="1440" w:firstLine="0"/>
        <w:rPr>
          <w:rFonts w:cs="Times New Roman"/>
          <w:szCs w:val="24"/>
        </w:rPr>
      </w:pPr>
      <w:r w:rsidRPr="007E34CD">
        <w:rPr>
          <w:rFonts w:cs="Times New Roman"/>
          <w:szCs w:val="24"/>
        </w:rPr>
        <w:t>Adopt the results of Commission’s three-factor with modifications</w:t>
      </w:r>
      <w:r w:rsidRPr="007E34CD">
        <w:rPr>
          <w:rFonts w:cs="Times New Roman"/>
          <w:szCs w:val="24"/>
        </w:rPr>
        <w:tab/>
        <w:t>9</w:t>
      </w:r>
    </w:p>
    <w:p w14:paraId="7AB68FE2" w14:textId="7CEA838D" w:rsidR="006D7603" w:rsidRPr="007E34CD" w:rsidRDefault="006D7603" w:rsidP="00FC1046">
      <w:pPr>
        <w:pStyle w:val="ListParagraph"/>
        <w:numPr>
          <w:ilvl w:val="0"/>
          <w:numId w:val="17"/>
        </w:numPr>
        <w:tabs>
          <w:tab w:val="left" w:pos="720"/>
          <w:tab w:val="left" w:pos="1440"/>
          <w:tab w:val="left" w:pos="2160"/>
          <w:tab w:val="left" w:pos="2880"/>
          <w:tab w:val="left" w:pos="3600"/>
          <w:tab w:val="right" w:leader="dot" w:pos="9000"/>
        </w:tabs>
        <w:spacing w:after="0" w:line="480" w:lineRule="auto"/>
        <w:ind w:left="0" w:firstLine="0"/>
        <w:rPr>
          <w:rFonts w:cs="Times New Roman"/>
          <w:szCs w:val="24"/>
        </w:rPr>
      </w:pPr>
      <w:r w:rsidRPr="007E34CD">
        <w:rPr>
          <w:rFonts w:cs="Times New Roman"/>
          <w:szCs w:val="24"/>
        </w:rPr>
        <w:t>Affiliate Land Rents, Adjustment R-6E</w:t>
      </w:r>
      <w:r w:rsidR="00ED7BE3" w:rsidRPr="007E34CD">
        <w:rPr>
          <w:rFonts w:cs="Times New Roman"/>
          <w:szCs w:val="24"/>
        </w:rPr>
        <w:tab/>
      </w:r>
      <w:r w:rsidR="00FA1B20">
        <w:rPr>
          <w:rFonts w:cs="Times New Roman"/>
          <w:szCs w:val="24"/>
        </w:rPr>
        <w:t>11</w:t>
      </w:r>
    </w:p>
    <w:p w14:paraId="48BAC7F0" w14:textId="77777777" w:rsidR="006D7603" w:rsidRPr="007E34CD" w:rsidRDefault="006D7603" w:rsidP="00FC1046">
      <w:pPr>
        <w:pStyle w:val="ListParagraph"/>
        <w:numPr>
          <w:ilvl w:val="0"/>
          <w:numId w:val="23"/>
        </w:numPr>
        <w:tabs>
          <w:tab w:val="left" w:pos="720"/>
          <w:tab w:val="left" w:pos="1440"/>
          <w:tab w:val="left" w:pos="2160"/>
          <w:tab w:val="left" w:pos="2880"/>
          <w:tab w:val="left" w:pos="3600"/>
          <w:tab w:val="right" w:leader="dot" w:pos="9000"/>
        </w:tabs>
        <w:spacing w:after="0" w:line="480" w:lineRule="auto"/>
        <w:ind w:left="720" w:firstLine="0"/>
        <w:rPr>
          <w:rFonts w:cs="Times New Roman"/>
          <w:szCs w:val="24"/>
        </w:rPr>
      </w:pPr>
      <w:r w:rsidRPr="007E34CD">
        <w:rPr>
          <w:rFonts w:cs="Times New Roman"/>
          <w:szCs w:val="24"/>
        </w:rPr>
        <w:t>Fundamental Principles and Overview</w:t>
      </w:r>
      <w:r w:rsidRPr="007E34CD">
        <w:rPr>
          <w:rFonts w:cs="Times New Roman"/>
          <w:szCs w:val="24"/>
        </w:rPr>
        <w:tab/>
        <w:t>11</w:t>
      </w:r>
    </w:p>
    <w:p w14:paraId="40951F53" w14:textId="77777777" w:rsidR="006D7603" w:rsidRPr="007E34CD" w:rsidRDefault="006D7603" w:rsidP="00FC1046">
      <w:pPr>
        <w:pStyle w:val="ListParagraph"/>
        <w:numPr>
          <w:ilvl w:val="0"/>
          <w:numId w:val="23"/>
        </w:numPr>
        <w:tabs>
          <w:tab w:val="left" w:pos="720"/>
          <w:tab w:val="left" w:pos="1440"/>
          <w:tab w:val="left" w:pos="2160"/>
          <w:tab w:val="left" w:pos="2880"/>
          <w:tab w:val="right" w:leader="dot" w:pos="9000"/>
        </w:tabs>
        <w:spacing w:after="0" w:line="480" w:lineRule="auto"/>
        <w:ind w:left="720" w:firstLine="0"/>
        <w:rPr>
          <w:rFonts w:cs="Times New Roman"/>
          <w:szCs w:val="24"/>
        </w:rPr>
      </w:pPr>
      <w:r w:rsidRPr="007E34CD">
        <w:rPr>
          <w:rFonts w:cs="Times New Roman"/>
          <w:szCs w:val="24"/>
        </w:rPr>
        <w:t>Capital Structure</w:t>
      </w:r>
      <w:r w:rsidRPr="007E34CD">
        <w:rPr>
          <w:rFonts w:cs="Times New Roman"/>
          <w:szCs w:val="24"/>
        </w:rPr>
        <w:tab/>
        <w:t>12</w:t>
      </w:r>
    </w:p>
    <w:p w14:paraId="33DF8487" w14:textId="77777777" w:rsidR="006D7603" w:rsidRPr="007E34CD" w:rsidRDefault="006D7603" w:rsidP="002A1183">
      <w:pPr>
        <w:pStyle w:val="ListParagraph"/>
        <w:numPr>
          <w:ilvl w:val="0"/>
          <w:numId w:val="24"/>
        </w:numPr>
        <w:tabs>
          <w:tab w:val="left" w:pos="720"/>
          <w:tab w:val="left" w:pos="1440"/>
          <w:tab w:val="left" w:pos="2160"/>
          <w:tab w:val="right" w:pos="8910"/>
          <w:tab w:val="left" w:leader="dot" w:pos="9270"/>
        </w:tabs>
        <w:spacing w:after="0" w:line="240" w:lineRule="auto"/>
        <w:ind w:left="1440" w:firstLine="0"/>
        <w:rPr>
          <w:rFonts w:cs="Times New Roman"/>
          <w:szCs w:val="24"/>
        </w:rPr>
      </w:pPr>
      <w:r w:rsidRPr="007E34CD">
        <w:rPr>
          <w:rFonts w:cs="Times New Roman"/>
          <w:szCs w:val="24"/>
        </w:rPr>
        <w:lastRenderedPageBreak/>
        <w:t xml:space="preserve">Commission should use the actual, company-wide capital </w:t>
      </w:r>
    </w:p>
    <w:p w14:paraId="20EBEC90" w14:textId="77777777" w:rsidR="006D7603" w:rsidRDefault="006D7603" w:rsidP="00FC1046">
      <w:pPr>
        <w:pStyle w:val="ListParagraph"/>
        <w:tabs>
          <w:tab w:val="left" w:pos="720"/>
          <w:tab w:val="left" w:pos="1440"/>
          <w:tab w:val="left" w:pos="2160"/>
          <w:tab w:val="left" w:pos="2880"/>
          <w:tab w:val="left" w:pos="3600"/>
          <w:tab w:val="right" w:leader="dot" w:pos="9000"/>
        </w:tabs>
        <w:spacing w:after="0" w:line="240" w:lineRule="auto"/>
        <w:ind w:left="1440"/>
        <w:rPr>
          <w:rFonts w:cs="Times New Roman"/>
          <w:szCs w:val="24"/>
        </w:rPr>
      </w:pPr>
      <w:r w:rsidRPr="007E34CD">
        <w:rPr>
          <w:rFonts w:cs="Times New Roman"/>
          <w:szCs w:val="24"/>
        </w:rPr>
        <w:tab/>
        <w:t>structures for HBI and HBII</w:t>
      </w:r>
      <w:r w:rsidRPr="007E34CD">
        <w:rPr>
          <w:rFonts w:cs="Times New Roman"/>
          <w:szCs w:val="24"/>
        </w:rPr>
        <w:tab/>
        <w:t>12</w:t>
      </w:r>
    </w:p>
    <w:p w14:paraId="0A9F297A" w14:textId="77777777" w:rsidR="006D7603" w:rsidRPr="007E34CD" w:rsidRDefault="006D7603" w:rsidP="002A1183">
      <w:pPr>
        <w:pStyle w:val="ListParagraph"/>
        <w:tabs>
          <w:tab w:val="left" w:pos="720"/>
          <w:tab w:val="left" w:pos="1440"/>
          <w:tab w:val="left" w:pos="2160"/>
          <w:tab w:val="right" w:pos="8910"/>
          <w:tab w:val="left" w:leader="dot" w:pos="9270"/>
        </w:tabs>
        <w:spacing w:after="0" w:line="240" w:lineRule="auto"/>
        <w:ind w:left="1440"/>
        <w:rPr>
          <w:rFonts w:cs="Times New Roman"/>
          <w:szCs w:val="24"/>
        </w:rPr>
      </w:pPr>
    </w:p>
    <w:p w14:paraId="15DF08A9" w14:textId="33E0176E" w:rsidR="006D7603" w:rsidRPr="007E34CD" w:rsidRDefault="00FA1B20" w:rsidP="00FC1046">
      <w:pPr>
        <w:pStyle w:val="ListParagraph"/>
        <w:numPr>
          <w:ilvl w:val="0"/>
          <w:numId w:val="24"/>
        </w:numPr>
        <w:tabs>
          <w:tab w:val="left" w:pos="720"/>
          <w:tab w:val="left" w:pos="1440"/>
          <w:tab w:val="left" w:pos="2160"/>
          <w:tab w:val="left" w:pos="2880"/>
          <w:tab w:val="left" w:pos="3600"/>
          <w:tab w:val="right" w:leader="dot" w:pos="9000"/>
        </w:tabs>
        <w:spacing w:after="0" w:line="480" w:lineRule="auto"/>
        <w:ind w:left="1440" w:firstLine="0"/>
        <w:rPr>
          <w:rFonts w:cs="Times New Roman"/>
          <w:szCs w:val="24"/>
        </w:rPr>
      </w:pPr>
      <w:r>
        <w:rPr>
          <w:rFonts w:cs="Times New Roman"/>
          <w:szCs w:val="24"/>
        </w:rPr>
        <w:t>Commission p</w:t>
      </w:r>
      <w:r w:rsidR="006D7603" w:rsidRPr="007E34CD">
        <w:rPr>
          <w:rFonts w:cs="Times New Roman"/>
          <w:szCs w:val="24"/>
        </w:rPr>
        <w:t>recedent in BKA</w:t>
      </w:r>
      <w:r w:rsidR="006D7603" w:rsidRPr="007E34CD">
        <w:rPr>
          <w:rFonts w:cs="Times New Roman"/>
          <w:szCs w:val="24"/>
        </w:rPr>
        <w:tab/>
        <w:t>14</w:t>
      </w:r>
    </w:p>
    <w:p w14:paraId="285C05A6" w14:textId="2737EF88" w:rsidR="006D7603" w:rsidRPr="007E34CD" w:rsidRDefault="00FA1B20" w:rsidP="00FC1046">
      <w:pPr>
        <w:pStyle w:val="ListParagraph"/>
        <w:numPr>
          <w:ilvl w:val="0"/>
          <w:numId w:val="24"/>
        </w:numPr>
        <w:tabs>
          <w:tab w:val="left" w:pos="720"/>
          <w:tab w:val="left" w:pos="1440"/>
          <w:tab w:val="left" w:pos="2160"/>
          <w:tab w:val="left" w:pos="2880"/>
          <w:tab w:val="left" w:pos="3600"/>
          <w:tab w:val="right" w:leader="dot" w:pos="9000"/>
        </w:tabs>
        <w:spacing w:after="0" w:line="480" w:lineRule="auto"/>
        <w:ind w:left="1440" w:firstLine="0"/>
        <w:rPr>
          <w:rFonts w:cs="Times New Roman"/>
          <w:szCs w:val="24"/>
        </w:rPr>
      </w:pPr>
      <w:r>
        <w:rPr>
          <w:rFonts w:cs="Times New Roman"/>
          <w:szCs w:val="24"/>
        </w:rPr>
        <w:t>WCI’s alternative proposal</w:t>
      </w:r>
      <w:r>
        <w:rPr>
          <w:rFonts w:cs="Times New Roman"/>
          <w:szCs w:val="24"/>
        </w:rPr>
        <w:tab/>
        <w:t>16</w:t>
      </w:r>
    </w:p>
    <w:p w14:paraId="6D518B5E" w14:textId="77777777" w:rsidR="006D7603" w:rsidRPr="007E34CD" w:rsidRDefault="006D7603" w:rsidP="00FC1046">
      <w:pPr>
        <w:pStyle w:val="ListParagraph"/>
        <w:numPr>
          <w:ilvl w:val="0"/>
          <w:numId w:val="23"/>
        </w:numPr>
        <w:tabs>
          <w:tab w:val="left" w:pos="720"/>
          <w:tab w:val="left" w:pos="1440"/>
          <w:tab w:val="left" w:pos="2160"/>
          <w:tab w:val="right" w:leader="dot" w:pos="9000"/>
        </w:tabs>
        <w:spacing w:after="0" w:line="480" w:lineRule="auto"/>
        <w:ind w:left="720" w:firstLine="0"/>
        <w:rPr>
          <w:rFonts w:cs="Times New Roman"/>
          <w:szCs w:val="24"/>
        </w:rPr>
      </w:pPr>
      <w:r w:rsidRPr="007E34CD">
        <w:rPr>
          <w:rFonts w:cs="Times New Roman"/>
          <w:szCs w:val="24"/>
        </w:rPr>
        <w:t>Cost of Debt</w:t>
      </w:r>
      <w:r w:rsidRPr="007E34CD">
        <w:rPr>
          <w:rFonts w:cs="Times New Roman"/>
          <w:szCs w:val="24"/>
        </w:rPr>
        <w:tab/>
        <w:t>16</w:t>
      </w:r>
    </w:p>
    <w:p w14:paraId="6C5C7BB9" w14:textId="77777777" w:rsidR="006D7603" w:rsidRPr="007E34CD" w:rsidRDefault="006D7603" w:rsidP="00FC1046">
      <w:pPr>
        <w:pStyle w:val="ListParagraph"/>
        <w:numPr>
          <w:ilvl w:val="0"/>
          <w:numId w:val="25"/>
        </w:numPr>
        <w:tabs>
          <w:tab w:val="left" w:pos="720"/>
          <w:tab w:val="left" w:pos="1440"/>
          <w:tab w:val="left" w:pos="2160"/>
          <w:tab w:val="left" w:pos="2880"/>
          <w:tab w:val="right" w:leader="dot" w:pos="9000"/>
        </w:tabs>
        <w:spacing w:after="0" w:line="480" w:lineRule="auto"/>
        <w:ind w:left="1440" w:firstLine="0"/>
        <w:rPr>
          <w:rFonts w:cs="Times New Roman"/>
          <w:szCs w:val="24"/>
        </w:rPr>
      </w:pPr>
      <w:r w:rsidRPr="007E34CD">
        <w:rPr>
          <w:rFonts w:cs="Times New Roman"/>
          <w:szCs w:val="24"/>
        </w:rPr>
        <w:t>Overview</w:t>
      </w:r>
      <w:r w:rsidRPr="007E34CD">
        <w:rPr>
          <w:rFonts w:cs="Times New Roman"/>
          <w:szCs w:val="24"/>
        </w:rPr>
        <w:tab/>
        <w:t>16</w:t>
      </w:r>
    </w:p>
    <w:p w14:paraId="33035BAC" w14:textId="74CF936B" w:rsidR="006D7603" w:rsidRPr="007E34CD" w:rsidRDefault="00FA1B20" w:rsidP="00FC1046">
      <w:pPr>
        <w:pStyle w:val="ListParagraph"/>
        <w:numPr>
          <w:ilvl w:val="0"/>
          <w:numId w:val="25"/>
        </w:numPr>
        <w:tabs>
          <w:tab w:val="left" w:pos="720"/>
          <w:tab w:val="left" w:pos="1440"/>
          <w:tab w:val="left" w:pos="2160"/>
          <w:tab w:val="left" w:pos="2880"/>
          <w:tab w:val="left" w:pos="3600"/>
          <w:tab w:val="right" w:leader="dot" w:pos="9000"/>
        </w:tabs>
        <w:spacing w:after="0" w:line="480" w:lineRule="auto"/>
        <w:ind w:left="1440" w:firstLine="0"/>
        <w:rPr>
          <w:rFonts w:cs="Times New Roman"/>
          <w:szCs w:val="24"/>
        </w:rPr>
      </w:pPr>
      <w:r>
        <w:rPr>
          <w:rFonts w:cs="Times New Roman"/>
          <w:szCs w:val="24"/>
        </w:rPr>
        <w:t>Fundamental principle</w:t>
      </w:r>
      <w:r>
        <w:rPr>
          <w:rFonts w:cs="Times New Roman"/>
          <w:szCs w:val="24"/>
        </w:rPr>
        <w:tab/>
        <w:t>17</w:t>
      </w:r>
    </w:p>
    <w:p w14:paraId="22E0ABE1" w14:textId="77777777" w:rsidR="006D7603" w:rsidRPr="007E34CD" w:rsidRDefault="006D7603" w:rsidP="002A1183">
      <w:pPr>
        <w:pStyle w:val="ListParagraph"/>
        <w:numPr>
          <w:ilvl w:val="0"/>
          <w:numId w:val="25"/>
        </w:numPr>
        <w:tabs>
          <w:tab w:val="left" w:pos="720"/>
          <w:tab w:val="left" w:pos="1440"/>
          <w:tab w:val="left" w:pos="2160"/>
          <w:tab w:val="right" w:pos="8910"/>
          <w:tab w:val="left" w:leader="dot" w:pos="9270"/>
        </w:tabs>
        <w:spacing w:after="0" w:line="240" w:lineRule="auto"/>
        <w:ind w:left="1440" w:firstLine="0"/>
        <w:rPr>
          <w:rFonts w:cs="Times New Roman"/>
          <w:szCs w:val="24"/>
        </w:rPr>
      </w:pPr>
      <w:r w:rsidRPr="007E34CD">
        <w:rPr>
          <w:rFonts w:cs="Times New Roman"/>
          <w:szCs w:val="24"/>
        </w:rPr>
        <w:t xml:space="preserve">Staff’s proposal is reasonable and consistent with Commission </w:t>
      </w:r>
    </w:p>
    <w:p w14:paraId="202E9AC7" w14:textId="77777777" w:rsidR="006D7603" w:rsidRDefault="006D7603" w:rsidP="00FC1046">
      <w:pPr>
        <w:pStyle w:val="ListParagraph"/>
        <w:tabs>
          <w:tab w:val="left" w:pos="720"/>
          <w:tab w:val="left" w:pos="1440"/>
          <w:tab w:val="left" w:pos="2160"/>
          <w:tab w:val="left" w:pos="2880"/>
          <w:tab w:val="right" w:leader="dot" w:pos="9000"/>
        </w:tabs>
        <w:spacing w:after="0" w:line="240" w:lineRule="auto"/>
        <w:ind w:left="1440"/>
        <w:rPr>
          <w:rFonts w:cs="Times New Roman"/>
          <w:szCs w:val="24"/>
        </w:rPr>
      </w:pPr>
      <w:r w:rsidRPr="007E34CD">
        <w:rPr>
          <w:rFonts w:cs="Times New Roman"/>
          <w:szCs w:val="24"/>
        </w:rPr>
        <w:tab/>
        <w:t>practice</w:t>
      </w:r>
      <w:r w:rsidRPr="007E34CD">
        <w:rPr>
          <w:rFonts w:cs="Times New Roman"/>
          <w:szCs w:val="24"/>
        </w:rPr>
        <w:tab/>
        <w:t>17</w:t>
      </w:r>
    </w:p>
    <w:p w14:paraId="277FA472" w14:textId="77777777" w:rsidR="006D7603" w:rsidRPr="007E34CD" w:rsidRDefault="006D7603" w:rsidP="002A1183">
      <w:pPr>
        <w:pStyle w:val="ListParagraph"/>
        <w:tabs>
          <w:tab w:val="left" w:pos="720"/>
          <w:tab w:val="left" w:pos="1440"/>
          <w:tab w:val="left" w:pos="2160"/>
          <w:tab w:val="right" w:pos="8910"/>
        </w:tabs>
        <w:spacing w:after="0" w:line="240" w:lineRule="auto"/>
        <w:ind w:left="1440"/>
        <w:rPr>
          <w:rFonts w:cs="Times New Roman"/>
          <w:szCs w:val="24"/>
        </w:rPr>
      </w:pPr>
    </w:p>
    <w:p w14:paraId="36F47512" w14:textId="77777777" w:rsidR="006D7603" w:rsidRPr="007E34CD" w:rsidRDefault="006D7603" w:rsidP="00FC1046">
      <w:pPr>
        <w:pStyle w:val="ListParagraph"/>
        <w:numPr>
          <w:ilvl w:val="0"/>
          <w:numId w:val="23"/>
        </w:numPr>
        <w:tabs>
          <w:tab w:val="left" w:pos="720"/>
          <w:tab w:val="left" w:pos="1440"/>
          <w:tab w:val="left" w:pos="2160"/>
          <w:tab w:val="left" w:pos="2880"/>
          <w:tab w:val="left" w:pos="3600"/>
          <w:tab w:val="right" w:leader="dot" w:pos="9000"/>
        </w:tabs>
        <w:spacing w:after="0" w:line="480" w:lineRule="auto"/>
        <w:ind w:left="720" w:firstLine="0"/>
        <w:rPr>
          <w:rFonts w:cs="Times New Roman"/>
          <w:szCs w:val="24"/>
        </w:rPr>
      </w:pPr>
      <w:r w:rsidRPr="007E34CD">
        <w:rPr>
          <w:rFonts w:cs="Times New Roman"/>
          <w:szCs w:val="24"/>
        </w:rPr>
        <w:t>Cost of Equity/Return on Equity (ROE)</w:t>
      </w:r>
      <w:r w:rsidRPr="007E34CD">
        <w:rPr>
          <w:rFonts w:cs="Times New Roman"/>
          <w:szCs w:val="24"/>
        </w:rPr>
        <w:tab/>
        <w:t>18</w:t>
      </w:r>
    </w:p>
    <w:p w14:paraId="5B3C16E5" w14:textId="758ECCA8" w:rsidR="006D7603" w:rsidRPr="007E34CD" w:rsidRDefault="006D7603" w:rsidP="00FC1046">
      <w:pPr>
        <w:pStyle w:val="ListParagraph"/>
        <w:numPr>
          <w:ilvl w:val="0"/>
          <w:numId w:val="26"/>
        </w:numPr>
        <w:tabs>
          <w:tab w:val="left" w:pos="720"/>
          <w:tab w:val="left" w:pos="1440"/>
          <w:tab w:val="left" w:pos="2160"/>
          <w:tab w:val="left" w:pos="2880"/>
          <w:tab w:val="left" w:pos="3600"/>
          <w:tab w:val="right" w:leader="dot" w:pos="9000"/>
        </w:tabs>
        <w:spacing w:after="0" w:line="480" w:lineRule="auto"/>
        <w:ind w:left="1440" w:firstLine="0"/>
        <w:rPr>
          <w:rFonts w:cs="Times New Roman"/>
          <w:szCs w:val="24"/>
        </w:rPr>
      </w:pPr>
      <w:r w:rsidRPr="007E34CD">
        <w:rPr>
          <w:rFonts w:cs="Times New Roman"/>
          <w:szCs w:val="24"/>
        </w:rPr>
        <w:t xml:space="preserve">Fundamental </w:t>
      </w:r>
      <w:r w:rsidR="00FA1B20">
        <w:rPr>
          <w:rFonts w:cs="Times New Roman"/>
          <w:szCs w:val="24"/>
        </w:rPr>
        <w:t>p</w:t>
      </w:r>
      <w:r w:rsidRPr="007E34CD">
        <w:rPr>
          <w:rFonts w:cs="Times New Roman"/>
          <w:szCs w:val="24"/>
        </w:rPr>
        <w:t>rinciples</w:t>
      </w:r>
      <w:r w:rsidRPr="007E34CD">
        <w:rPr>
          <w:rFonts w:cs="Times New Roman"/>
          <w:szCs w:val="24"/>
        </w:rPr>
        <w:tab/>
        <w:t>18</w:t>
      </w:r>
    </w:p>
    <w:p w14:paraId="2B47237D" w14:textId="77777777" w:rsidR="006D7603" w:rsidRPr="007E34CD" w:rsidRDefault="006D7603" w:rsidP="00FC1046">
      <w:pPr>
        <w:pStyle w:val="ListParagraph"/>
        <w:numPr>
          <w:ilvl w:val="0"/>
          <w:numId w:val="26"/>
        </w:numPr>
        <w:tabs>
          <w:tab w:val="left" w:pos="720"/>
          <w:tab w:val="left" w:pos="1440"/>
          <w:tab w:val="left" w:pos="2160"/>
          <w:tab w:val="left" w:pos="2880"/>
          <w:tab w:val="left" w:pos="3600"/>
          <w:tab w:val="right" w:leader="dot" w:pos="9000"/>
        </w:tabs>
        <w:spacing w:after="0" w:line="480" w:lineRule="auto"/>
        <w:ind w:left="1440" w:firstLine="0"/>
        <w:rPr>
          <w:rFonts w:cs="Times New Roman"/>
          <w:szCs w:val="24"/>
        </w:rPr>
      </w:pPr>
      <w:r w:rsidRPr="007E34CD">
        <w:rPr>
          <w:rFonts w:cs="Times New Roman"/>
          <w:szCs w:val="24"/>
        </w:rPr>
        <w:t>Staff’s recommendation follows Commission precedent</w:t>
      </w:r>
      <w:r w:rsidRPr="007E34CD">
        <w:rPr>
          <w:rFonts w:cs="Times New Roman"/>
          <w:szCs w:val="24"/>
        </w:rPr>
        <w:tab/>
        <w:t>18</w:t>
      </w:r>
    </w:p>
    <w:p w14:paraId="63293325" w14:textId="77777777" w:rsidR="006D7603" w:rsidRPr="007E34CD" w:rsidRDefault="006D7603" w:rsidP="002A1183">
      <w:pPr>
        <w:pStyle w:val="ListParagraph"/>
        <w:numPr>
          <w:ilvl w:val="0"/>
          <w:numId w:val="26"/>
        </w:numPr>
        <w:tabs>
          <w:tab w:val="left" w:pos="720"/>
          <w:tab w:val="left" w:pos="1440"/>
          <w:tab w:val="left" w:pos="2160"/>
          <w:tab w:val="right" w:pos="8910"/>
        </w:tabs>
        <w:spacing w:after="0" w:line="240" w:lineRule="auto"/>
        <w:ind w:left="1440" w:firstLine="0"/>
        <w:rPr>
          <w:rFonts w:cs="Times New Roman"/>
          <w:szCs w:val="24"/>
        </w:rPr>
      </w:pPr>
      <w:r w:rsidRPr="007E34CD">
        <w:rPr>
          <w:rFonts w:cs="Times New Roman"/>
          <w:szCs w:val="24"/>
        </w:rPr>
        <w:t xml:space="preserve">WCI’s proposal is inconsistent with financial principles and </w:t>
      </w:r>
    </w:p>
    <w:p w14:paraId="3E9C103F" w14:textId="77777777" w:rsidR="006D7603" w:rsidRDefault="006D7603" w:rsidP="00FC1046">
      <w:pPr>
        <w:pStyle w:val="ListParagraph"/>
        <w:tabs>
          <w:tab w:val="left" w:pos="720"/>
          <w:tab w:val="left" w:pos="1440"/>
          <w:tab w:val="left" w:pos="2160"/>
          <w:tab w:val="left" w:pos="2880"/>
          <w:tab w:val="left" w:pos="3600"/>
          <w:tab w:val="right" w:leader="dot" w:pos="9000"/>
        </w:tabs>
        <w:spacing w:after="0" w:line="240" w:lineRule="auto"/>
        <w:ind w:left="1440"/>
        <w:rPr>
          <w:rFonts w:cs="Times New Roman"/>
          <w:szCs w:val="24"/>
        </w:rPr>
      </w:pPr>
      <w:r w:rsidRPr="007E34CD">
        <w:rPr>
          <w:rFonts w:cs="Times New Roman"/>
          <w:szCs w:val="24"/>
        </w:rPr>
        <w:tab/>
        <w:t>the Company has failed to carry its evidentiary burden</w:t>
      </w:r>
      <w:r w:rsidRPr="007E34CD">
        <w:rPr>
          <w:rFonts w:cs="Times New Roman"/>
          <w:szCs w:val="24"/>
        </w:rPr>
        <w:tab/>
        <w:t>19</w:t>
      </w:r>
    </w:p>
    <w:p w14:paraId="2EF17CA6" w14:textId="77777777" w:rsidR="006D7603" w:rsidRPr="007E34CD" w:rsidRDefault="006D7603" w:rsidP="002A1183">
      <w:pPr>
        <w:pStyle w:val="ListParagraph"/>
        <w:tabs>
          <w:tab w:val="left" w:pos="720"/>
          <w:tab w:val="left" w:pos="1440"/>
          <w:tab w:val="left" w:pos="2160"/>
          <w:tab w:val="right" w:pos="8910"/>
        </w:tabs>
        <w:spacing w:after="0" w:line="240" w:lineRule="auto"/>
        <w:ind w:left="1440"/>
        <w:rPr>
          <w:rFonts w:cs="Times New Roman"/>
          <w:szCs w:val="24"/>
        </w:rPr>
      </w:pPr>
    </w:p>
    <w:p w14:paraId="042819C1" w14:textId="77777777" w:rsidR="006D7603" w:rsidRPr="007E34CD" w:rsidRDefault="006D7603" w:rsidP="00FC1046">
      <w:pPr>
        <w:pStyle w:val="ListParagraph"/>
        <w:numPr>
          <w:ilvl w:val="0"/>
          <w:numId w:val="23"/>
        </w:numPr>
        <w:tabs>
          <w:tab w:val="left" w:pos="720"/>
          <w:tab w:val="left" w:pos="1440"/>
          <w:tab w:val="left" w:pos="2160"/>
          <w:tab w:val="left" w:pos="2880"/>
          <w:tab w:val="left" w:pos="3600"/>
          <w:tab w:val="right" w:leader="dot" w:pos="9000"/>
        </w:tabs>
        <w:spacing w:after="0" w:line="480" w:lineRule="auto"/>
        <w:ind w:left="720" w:firstLine="0"/>
        <w:rPr>
          <w:rFonts w:cs="Times New Roman"/>
          <w:szCs w:val="24"/>
        </w:rPr>
      </w:pPr>
      <w:r w:rsidRPr="007E34CD">
        <w:rPr>
          <w:rFonts w:cs="Times New Roman"/>
          <w:szCs w:val="24"/>
        </w:rPr>
        <w:t>Allocation of Depreciation and Average Net Investment</w:t>
      </w:r>
      <w:r w:rsidRPr="007E34CD">
        <w:rPr>
          <w:rFonts w:cs="Times New Roman"/>
          <w:szCs w:val="24"/>
        </w:rPr>
        <w:tab/>
        <w:t>20</w:t>
      </w:r>
    </w:p>
    <w:p w14:paraId="1170C4ED" w14:textId="218402EA" w:rsidR="006D7603" w:rsidRPr="007E34CD" w:rsidRDefault="006D7603" w:rsidP="00FC1046">
      <w:pPr>
        <w:pStyle w:val="ListParagraph"/>
        <w:numPr>
          <w:ilvl w:val="0"/>
          <w:numId w:val="27"/>
        </w:numPr>
        <w:tabs>
          <w:tab w:val="left" w:pos="720"/>
          <w:tab w:val="left" w:pos="1440"/>
          <w:tab w:val="left" w:pos="2160"/>
          <w:tab w:val="left" w:pos="2880"/>
          <w:tab w:val="left" w:pos="3600"/>
          <w:tab w:val="right" w:leader="dot" w:pos="9000"/>
        </w:tabs>
        <w:spacing w:after="0" w:line="480" w:lineRule="auto"/>
        <w:ind w:left="1440" w:firstLine="0"/>
        <w:rPr>
          <w:rFonts w:cs="Times New Roman"/>
          <w:szCs w:val="24"/>
        </w:rPr>
      </w:pPr>
      <w:r w:rsidRPr="007E34CD">
        <w:rPr>
          <w:rFonts w:cs="Times New Roman"/>
          <w:szCs w:val="24"/>
        </w:rPr>
        <w:t xml:space="preserve">Overview and </w:t>
      </w:r>
      <w:r w:rsidR="00FA1B20">
        <w:rPr>
          <w:rFonts w:cs="Times New Roman"/>
          <w:szCs w:val="24"/>
        </w:rPr>
        <w:t>f</w:t>
      </w:r>
      <w:r w:rsidRPr="007E34CD">
        <w:rPr>
          <w:rFonts w:cs="Times New Roman"/>
          <w:szCs w:val="24"/>
        </w:rPr>
        <w:t xml:space="preserve">undamental </w:t>
      </w:r>
      <w:r w:rsidR="00FA1B20">
        <w:rPr>
          <w:rFonts w:cs="Times New Roman"/>
          <w:szCs w:val="24"/>
        </w:rPr>
        <w:t>p</w:t>
      </w:r>
      <w:r w:rsidRPr="007E34CD">
        <w:rPr>
          <w:rFonts w:cs="Times New Roman"/>
          <w:szCs w:val="24"/>
        </w:rPr>
        <w:t>rinciples</w:t>
      </w:r>
      <w:r w:rsidRPr="007E34CD">
        <w:rPr>
          <w:rFonts w:cs="Times New Roman"/>
          <w:szCs w:val="24"/>
        </w:rPr>
        <w:tab/>
        <w:t>20</w:t>
      </w:r>
    </w:p>
    <w:p w14:paraId="2E3F7A56" w14:textId="77777777" w:rsidR="006D7603" w:rsidRPr="007E34CD" w:rsidRDefault="006D7603" w:rsidP="002A1183">
      <w:pPr>
        <w:pStyle w:val="ListParagraph"/>
        <w:numPr>
          <w:ilvl w:val="0"/>
          <w:numId w:val="27"/>
        </w:numPr>
        <w:tabs>
          <w:tab w:val="left" w:pos="720"/>
          <w:tab w:val="left" w:pos="1440"/>
          <w:tab w:val="left" w:pos="2160"/>
          <w:tab w:val="right" w:pos="8910"/>
        </w:tabs>
        <w:spacing w:after="0" w:line="240" w:lineRule="auto"/>
        <w:ind w:left="1440" w:firstLine="0"/>
        <w:rPr>
          <w:rFonts w:cs="Times New Roman"/>
          <w:szCs w:val="24"/>
        </w:rPr>
      </w:pPr>
      <w:r w:rsidRPr="007E34CD">
        <w:rPr>
          <w:rFonts w:cs="Times New Roman"/>
          <w:szCs w:val="24"/>
        </w:rPr>
        <w:t xml:space="preserve">Staff’s proposal is reasonable and consistent with regulatory </w:t>
      </w:r>
    </w:p>
    <w:p w14:paraId="5444FE99" w14:textId="77777777" w:rsidR="006D7603" w:rsidRDefault="006D7603" w:rsidP="00FC1046">
      <w:pPr>
        <w:pStyle w:val="ListParagraph"/>
        <w:tabs>
          <w:tab w:val="left" w:pos="720"/>
          <w:tab w:val="left" w:pos="1440"/>
          <w:tab w:val="left" w:pos="2160"/>
          <w:tab w:val="left" w:pos="2880"/>
          <w:tab w:val="right" w:leader="dot" w:pos="9000"/>
        </w:tabs>
        <w:spacing w:after="0" w:line="240" w:lineRule="auto"/>
        <w:ind w:left="1440"/>
        <w:rPr>
          <w:rFonts w:cs="Times New Roman"/>
          <w:szCs w:val="24"/>
        </w:rPr>
      </w:pPr>
      <w:r w:rsidRPr="007E34CD">
        <w:rPr>
          <w:rFonts w:cs="Times New Roman"/>
          <w:szCs w:val="24"/>
        </w:rPr>
        <w:tab/>
        <w:t>principles</w:t>
      </w:r>
      <w:r w:rsidRPr="007E34CD">
        <w:rPr>
          <w:rFonts w:cs="Times New Roman"/>
          <w:szCs w:val="24"/>
        </w:rPr>
        <w:tab/>
        <w:t>21</w:t>
      </w:r>
    </w:p>
    <w:p w14:paraId="4FCB47FA" w14:textId="77777777" w:rsidR="006D7603" w:rsidRPr="007E34CD" w:rsidRDefault="006D7603" w:rsidP="002A1183">
      <w:pPr>
        <w:pStyle w:val="ListParagraph"/>
        <w:tabs>
          <w:tab w:val="left" w:pos="720"/>
          <w:tab w:val="left" w:pos="1440"/>
          <w:tab w:val="left" w:pos="2160"/>
          <w:tab w:val="right" w:pos="8910"/>
        </w:tabs>
        <w:spacing w:after="0" w:line="240" w:lineRule="auto"/>
        <w:ind w:left="1440"/>
        <w:rPr>
          <w:rFonts w:cs="Times New Roman"/>
          <w:szCs w:val="24"/>
        </w:rPr>
      </w:pPr>
    </w:p>
    <w:p w14:paraId="75E806C0" w14:textId="77777777" w:rsidR="006D7603" w:rsidRPr="007E34CD" w:rsidRDefault="006D7603" w:rsidP="00FC1046">
      <w:pPr>
        <w:pStyle w:val="ListParagraph"/>
        <w:numPr>
          <w:ilvl w:val="0"/>
          <w:numId w:val="27"/>
        </w:numPr>
        <w:tabs>
          <w:tab w:val="left" w:pos="720"/>
          <w:tab w:val="left" w:pos="1440"/>
          <w:tab w:val="left" w:pos="2160"/>
          <w:tab w:val="left" w:pos="2880"/>
          <w:tab w:val="left" w:pos="3600"/>
          <w:tab w:val="right" w:leader="dot" w:pos="9000"/>
        </w:tabs>
        <w:spacing w:after="0" w:line="480" w:lineRule="auto"/>
        <w:ind w:left="1440" w:firstLine="0"/>
        <w:rPr>
          <w:rFonts w:cs="Times New Roman"/>
          <w:szCs w:val="24"/>
        </w:rPr>
      </w:pPr>
      <w:r w:rsidRPr="007E34CD">
        <w:rPr>
          <w:rFonts w:cs="Times New Roman"/>
          <w:szCs w:val="24"/>
        </w:rPr>
        <w:t>WCI’s proposal is not supported and ignores cost causation</w:t>
      </w:r>
      <w:r w:rsidRPr="007E34CD">
        <w:rPr>
          <w:rFonts w:cs="Times New Roman"/>
          <w:szCs w:val="24"/>
        </w:rPr>
        <w:tab/>
        <w:t>21</w:t>
      </w:r>
    </w:p>
    <w:p w14:paraId="6157E56A" w14:textId="77777777" w:rsidR="006D7603" w:rsidRPr="007E34CD" w:rsidRDefault="006D7603" w:rsidP="00FC1046">
      <w:pPr>
        <w:pStyle w:val="ListParagraph"/>
        <w:numPr>
          <w:ilvl w:val="0"/>
          <w:numId w:val="17"/>
        </w:numPr>
        <w:tabs>
          <w:tab w:val="left" w:pos="720"/>
          <w:tab w:val="left" w:pos="1440"/>
          <w:tab w:val="left" w:pos="2160"/>
          <w:tab w:val="right" w:leader="dot" w:pos="9000"/>
        </w:tabs>
        <w:spacing w:after="0" w:line="480" w:lineRule="auto"/>
        <w:ind w:left="0" w:firstLine="0"/>
        <w:rPr>
          <w:rFonts w:cs="Times New Roman"/>
          <w:szCs w:val="24"/>
        </w:rPr>
      </w:pPr>
      <w:r w:rsidRPr="007E34CD">
        <w:rPr>
          <w:rFonts w:cs="Times New Roman"/>
          <w:szCs w:val="24"/>
        </w:rPr>
        <w:t>Rate Case Expenses</w:t>
      </w:r>
      <w:r w:rsidRPr="007E34CD">
        <w:rPr>
          <w:rFonts w:cs="Times New Roman"/>
          <w:szCs w:val="24"/>
        </w:rPr>
        <w:tab/>
        <w:t>22</w:t>
      </w:r>
    </w:p>
    <w:p w14:paraId="0409027B" w14:textId="77777777" w:rsidR="006D7603" w:rsidRPr="007E34CD" w:rsidRDefault="006D7603" w:rsidP="00FC1046">
      <w:pPr>
        <w:pStyle w:val="ListParagraph"/>
        <w:numPr>
          <w:ilvl w:val="0"/>
          <w:numId w:val="28"/>
        </w:numPr>
        <w:tabs>
          <w:tab w:val="left" w:pos="720"/>
          <w:tab w:val="left" w:pos="1440"/>
          <w:tab w:val="left" w:pos="2160"/>
          <w:tab w:val="right" w:leader="dot" w:pos="9000"/>
        </w:tabs>
        <w:spacing w:after="0" w:line="480" w:lineRule="auto"/>
        <w:ind w:left="720" w:firstLine="0"/>
        <w:rPr>
          <w:rFonts w:cs="Times New Roman"/>
          <w:szCs w:val="24"/>
        </w:rPr>
      </w:pPr>
      <w:r w:rsidRPr="007E34CD">
        <w:rPr>
          <w:rFonts w:cs="Times New Roman"/>
          <w:szCs w:val="24"/>
        </w:rPr>
        <w:t>Overview</w:t>
      </w:r>
      <w:r>
        <w:rPr>
          <w:rFonts w:cs="Times New Roman"/>
          <w:szCs w:val="24"/>
        </w:rPr>
        <w:tab/>
      </w:r>
      <w:r w:rsidRPr="007E34CD">
        <w:rPr>
          <w:rFonts w:cs="Times New Roman"/>
          <w:szCs w:val="24"/>
        </w:rPr>
        <w:t>22</w:t>
      </w:r>
    </w:p>
    <w:p w14:paraId="68B0DC88" w14:textId="77777777" w:rsidR="006D7603" w:rsidRPr="007E34CD" w:rsidRDefault="006D7603" w:rsidP="00FC1046">
      <w:pPr>
        <w:pStyle w:val="ListParagraph"/>
        <w:numPr>
          <w:ilvl w:val="0"/>
          <w:numId w:val="28"/>
        </w:numPr>
        <w:tabs>
          <w:tab w:val="left" w:pos="720"/>
          <w:tab w:val="left" w:pos="1440"/>
          <w:tab w:val="left" w:pos="2160"/>
          <w:tab w:val="left" w:pos="2880"/>
          <w:tab w:val="left" w:pos="3600"/>
          <w:tab w:val="right" w:leader="dot" w:pos="9000"/>
        </w:tabs>
        <w:spacing w:after="0" w:line="480" w:lineRule="auto"/>
        <w:ind w:left="720" w:firstLine="0"/>
        <w:rPr>
          <w:rFonts w:cs="Times New Roman"/>
          <w:szCs w:val="24"/>
        </w:rPr>
      </w:pPr>
      <w:r w:rsidRPr="007E34CD">
        <w:rPr>
          <w:rFonts w:cs="Times New Roman"/>
          <w:szCs w:val="24"/>
        </w:rPr>
        <w:t>Procedural Background</w:t>
      </w:r>
      <w:r w:rsidRPr="007E34CD">
        <w:rPr>
          <w:rFonts w:cs="Times New Roman"/>
          <w:szCs w:val="24"/>
        </w:rPr>
        <w:tab/>
        <w:t>22</w:t>
      </w:r>
    </w:p>
    <w:p w14:paraId="640941EB" w14:textId="77777777" w:rsidR="006D7603" w:rsidRDefault="006D7603" w:rsidP="002A1183">
      <w:pPr>
        <w:pStyle w:val="ListParagraph"/>
        <w:numPr>
          <w:ilvl w:val="0"/>
          <w:numId w:val="28"/>
        </w:numPr>
        <w:tabs>
          <w:tab w:val="left" w:pos="720"/>
          <w:tab w:val="left" w:pos="1440"/>
          <w:tab w:val="left" w:pos="2160"/>
          <w:tab w:val="right" w:pos="8910"/>
        </w:tabs>
        <w:spacing w:after="0" w:line="240" w:lineRule="auto"/>
        <w:ind w:left="720" w:firstLine="0"/>
        <w:rPr>
          <w:rFonts w:cs="Times New Roman"/>
          <w:szCs w:val="24"/>
        </w:rPr>
      </w:pPr>
      <w:r w:rsidRPr="007E34CD">
        <w:rPr>
          <w:rFonts w:cs="Times New Roman"/>
          <w:szCs w:val="24"/>
        </w:rPr>
        <w:t xml:space="preserve">Rate Case Costs Incurred between August 2013 and </w:t>
      </w:r>
    </w:p>
    <w:p w14:paraId="5232BF85" w14:textId="77777777" w:rsidR="006D7603" w:rsidRDefault="006D7603" w:rsidP="00FC1046">
      <w:pPr>
        <w:pStyle w:val="ListParagraph"/>
        <w:tabs>
          <w:tab w:val="left" w:pos="720"/>
          <w:tab w:val="left" w:pos="1440"/>
          <w:tab w:val="left" w:pos="2160"/>
          <w:tab w:val="left" w:pos="2880"/>
          <w:tab w:val="left" w:pos="3600"/>
          <w:tab w:val="right" w:leader="dot" w:pos="9000"/>
        </w:tabs>
        <w:spacing w:after="0" w:line="240" w:lineRule="auto"/>
        <w:rPr>
          <w:rFonts w:cs="Times New Roman"/>
          <w:szCs w:val="24"/>
        </w:rPr>
      </w:pPr>
      <w:r>
        <w:rPr>
          <w:rFonts w:cs="Times New Roman"/>
          <w:szCs w:val="24"/>
        </w:rPr>
        <w:tab/>
      </w:r>
      <w:r w:rsidRPr="007E34CD">
        <w:rPr>
          <w:rFonts w:cs="Times New Roman"/>
          <w:szCs w:val="24"/>
        </w:rPr>
        <w:t>December 24, 2013 (Informal Audit Docket TG-131794)</w:t>
      </w:r>
      <w:r w:rsidRPr="007E34CD">
        <w:rPr>
          <w:rFonts w:cs="Times New Roman"/>
          <w:szCs w:val="24"/>
        </w:rPr>
        <w:tab/>
        <w:t>23</w:t>
      </w:r>
    </w:p>
    <w:p w14:paraId="78ED0982" w14:textId="77777777" w:rsidR="006D7603" w:rsidRPr="007E34CD" w:rsidRDefault="006D7603" w:rsidP="002A1183">
      <w:pPr>
        <w:pStyle w:val="ListParagraph"/>
        <w:tabs>
          <w:tab w:val="left" w:pos="720"/>
          <w:tab w:val="left" w:pos="1440"/>
          <w:tab w:val="left" w:pos="2160"/>
          <w:tab w:val="right" w:pos="8910"/>
        </w:tabs>
        <w:spacing w:after="0" w:line="240" w:lineRule="auto"/>
        <w:rPr>
          <w:rFonts w:cs="Times New Roman"/>
          <w:szCs w:val="24"/>
        </w:rPr>
      </w:pPr>
    </w:p>
    <w:p w14:paraId="7FEA2169" w14:textId="77777777" w:rsidR="006D7603" w:rsidRDefault="006D7603" w:rsidP="002A1183">
      <w:pPr>
        <w:pStyle w:val="ListParagraph"/>
        <w:numPr>
          <w:ilvl w:val="0"/>
          <w:numId w:val="28"/>
        </w:numPr>
        <w:tabs>
          <w:tab w:val="left" w:pos="720"/>
          <w:tab w:val="left" w:pos="1440"/>
          <w:tab w:val="left" w:pos="2160"/>
          <w:tab w:val="right" w:pos="8910"/>
        </w:tabs>
        <w:spacing w:after="0" w:line="240" w:lineRule="auto"/>
        <w:ind w:left="720" w:firstLine="0"/>
        <w:rPr>
          <w:rFonts w:cs="Times New Roman"/>
          <w:szCs w:val="24"/>
        </w:rPr>
      </w:pPr>
      <w:r w:rsidRPr="007E34CD">
        <w:rPr>
          <w:rFonts w:cs="Times New Roman"/>
          <w:szCs w:val="24"/>
        </w:rPr>
        <w:t xml:space="preserve">Rate Case Costs Incurred between December 24, 2013, and </w:t>
      </w:r>
    </w:p>
    <w:p w14:paraId="5410C004" w14:textId="77777777" w:rsidR="006D7603" w:rsidRDefault="006D7603" w:rsidP="00FC1046">
      <w:pPr>
        <w:pStyle w:val="ListParagraph"/>
        <w:tabs>
          <w:tab w:val="left" w:pos="720"/>
          <w:tab w:val="left" w:pos="1440"/>
          <w:tab w:val="left" w:pos="2160"/>
          <w:tab w:val="left" w:pos="2880"/>
          <w:tab w:val="left" w:pos="3600"/>
          <w:tab w:val="right" w:leader="dot" w:pos="9000"/>
        </w:tabs>
        <w:spacing w:after="0" w:line="240" w:lineRule="auto"/>
        <w:rPr>
          <w:rFonts w:cs="Times New Roman"/>
          <w:szCs w:val="24"/>
        </w:rPr>
      </w:pPr>
      <w:r>
        <w:rPr>
          <w:rFonts w:cs="Times New Roman"/>
          <w:szCs w:val="24"/>
        </w:rPr>
        <w:tab/>
      </w:r>
      <w:r w:rsidRPr="007E34CD">
        <w:rPr>
          <w:rFonts w:cs="Times New Roman"/>
          <w:szCs w:val="24"/>
        </w:rPr>
        <w:t>March 25, 2014 (Formal Adjudicative Proceeding in Docket TG-131794)</w:t>
      </w:r>
      <w:r w:rsidRPr="007E34CD">
        <w:rPr>
          <w:rFonts w:cs="Times New Roman"/>
          <w:szCs w:val="24"/>
        </w:rPr>
        <w:tab/>
        <w:t>23</w:t>
      </w:r>
    </w:p>
    <w:p w14:paraId="3892BA83" w14:textId="77777777" w:rsidR="006D7603" w:rsidRPr="007E34CD" w:rsidRDefault="006D7603" w:rsidP="002A1183">
      <w:pPr>
        <w:pStyle w:val="ListParagraph"/>
        <w:tabs>
          <w:tab w:val="left" w:pos="720"/>
          <w:tab w:val="left" w:pos="1440"/>
          <w:tab w:val="left" w:pos="2160"/>
          <w:tab w:val="right" w:pos="8910"/>
        </w:tabs>
        <w:spacing w:after="0" w:line="240" w:lineRule="auto"/>
        <w:rPr>
          <w:rFonts w:cs="Times New Roman"/>
          <w:szCs w:val="24"/>
        </w:rPr>
      </w:pPr>
    </w:p>
    <w:p w14:paraId="21A3317F" w14:textId="77777777" w:rsidR="006D7603" w:rsidRDefault="006D7603" w:rsidP="00FC1046">
      <w:pPr>
        <w:pStyle w:val="ListParagraph"/>
        <w:numPr>
          <w:ilvl w:val="0"/>
          <w:numId w:val="29"/>
        </w:numPr>
        <w:tabs>
          <w:tab w:val="left" w:pos="720"/>
          <w:tab w:val="left" w:pos="1440"/>
          <w:tab w:val="left" w:pos="2160"/>
          <w:tab w:val="left" w:pos="2880"/>
          <w:tab w:val="left" w:pos="3600"/>
          <w:tab w:val="right" w:leader="dot" w:pos="9000"/>
        </w:tabs>
        <w:spacing w:after="0" w:line="240" w:lineRule="auto"/>
        <w:ind w:left="1440" w:firstLine="0"/>
        <w:rPr>
          <w:rFonts w:cs="Times New Roman"/>
          <w:szCs w:val="24"/>
        </w:rPr>
      </w:pPr>
      <w:r w:rsidRPr="007E34CD">
        <w:rPr>
          <w:rFonts w:cs="Times New Roman"/>
          <w:szCs w:val="24"/>
        </w:rPr>
        <w:t>Fundamental Principles</w:t>
      </w:r>
      <w:r w:rsidRPr="007E34CD">
        <w:rPr>
          <w:rFonts w:cs="Times New Roman"/>
          <w:szCs w:val="24"/>
        </w:rPr>
        <w:tab/>
        <w:t>23</w:t>
      </w:r>
    </w:p>
    <w:p w14:paraId="7009F7D9" w14:textId="77777777" w:rsidR="006D7603" w:rsidRPr="007E34CD" w:rsidRDefault="006D7603" w:rsidP="002A1183">
      <w:pPr>
        <w:pStyle w:val="ListParagraph"/>
        <w:tabs>
          <w:tab w:val="left" w:pos="720"/>
          <w:tab w:val="left" w:pos="1440"/>
          <w:tab w:val="left" w:pos="2160"/>
          <w:tab w:val="right" w:pos="8910"/>
        </w:tabs>
        <w:spacing w:after="0" w:line="240" w:lineRule="auto"/>
        <w:ind w:left="1440"/>
        <w:rPr>
          <w:rFonts w:cs="Times New Roman"/>
          <w:szCs w:val="24"/>
        </w:rPr>
      </w:pPr>
    </w:p>
    <w:p w14:paraId="0CAE9906" w14:textId="77777777" w:rsidR="006D7603" w:rsidRDefault="006D7603" w:rsidP="002A1183">
      <w:pPr>
        <w:pStyle w:val="ListParagraph"/>
        <w:numPr>
          <w:ilvl w:val="0"/>
          <w:numId w:val="29"/>
        </w:numPr>
        <w:tabs>
          <w:tab w:val="left" w:pos="720"/>
          <w:tab w:val="left" w:pos="1440"/>
          <w:tab w:val="left" w:pos="2160"/>
          <w:tab w:val="right" w:pos="8910"/>
        </w:tabs>
        <w:spacing w:after="0" w:line="240" w:lineRule="auto"/>
        <w:ind w:left="1440" w:firstLine="0"/>
        <w:rPr>
          <w:rFonts w:cs="Times New Roman"/>
          <w:szCs w:val="24"/>
        </w:rPr>
      </w:pPr>
      <w:r w:rsidRPr="007E34CD">
        <w:rPr>
          <w:rFonts w:cs="Times New Roman"/>
          <w:szCs w:val="24"/>
        </w:rPr>
        <w:t xml:space="preserve">WCI’s shareholders managed the general rate filing and should </w:t>
      </w:r>
    </w:p>
    <w:p w14:paraId="21314463" w14:textId="77777777" w:rsidR="006D7603" w:rsidRDefault="006D7603" w:rsidP="00FC1046">
      <w:pPr>
        <w:pStyle w:val="ListParagraph"/>
        <w:tabs>
          <w:tab w:val="left" w:pos="720"/>
          <w:tab w:val="left" w:pos="1440"/>
          <w:tab w:val="left" w:pos="2160"/>
          <w:tab w:val="left" w:pos="2880"/>
          <w:tab w:val="left" w:pos="3600"/>
          <w:tab w:val="right" w:leader="dot" w:pos="9000"/>
        </w:tabs>
        <w:spacing w:after="0" w:line="240" w:lineRule="auto"/>
        <w:ind w:left="1440"/>
        <w:rPr>
          <w:rFonts w:cs="Times New Roman"/>
          <w:szCs w:val="24"/>
        </w:rPr>
      </w:pPr>
      <w:r>
        <w:rPr>
          <w:rFonts w:cs="Times New Roman"/>
          <w:szCs w:val="24"/>
        </w:rPr>
        <w:tab/>
      </w:r>
      <w:r w:rsidRPr="007E34CD">
        <w:rPr>
          <w:rFonts w:cs="Times New Roman"/>
          <w:szCs w:val="24"/>
        </w:rPr>
        <w:t>retain some financial obligation for a failed rate case</w:t>
      </w:r>
      <w:r w:rsidRPr="007E34CD">
        <w:rPr>
          <w:rFonts w:cs="Times New Roman"/>
          <w:szCs w:val="24"/>
        </w:rPr>
        <w:tab/>
        <w:t>24</w:t>
      </w:r>
    </w:p>
    <w:p w14:paraId="49762BE1" w14:textId="77777777" w:rsidR="006D7603" w:rsidRPr="007E34CD" w:rsidRDefault="006D7603" w:rsidP="002A1183">
      <w:pPr>
        <w:pStyle w:val="ListParagraph"/>
        <w:tabs>
          <w:tab w:val="left" w:pos="720"/>
          <w:tab w:val="left" w:pos="1440"/>
          <w:tab w:val="left" w:pos="2160"/>
          <w:tab w:val="right" w:pos="8910"/>
        </w:tabs>
        <w:spacing w:after="0" w:line="240" w:lineRule="auto"/>
        <w:ind w:left="1440"/>
        <w:rPr>
          <w:rFonts w:cs="Times New Roman"/>
          <w:szCs w:val="24"/>
        </w:rPr>
      </w:pPr>
    </w:p>
    <w:p w14:paraId="7A194F32" w14:textId="77777777" w:rsidR="006D7603" w:rsidRDefault="006D7603" w:rsidP="00FC1046">
      <w:pPr>
        <w:pStyle w:val="ListParagraph"/>
        <w:numPr>
          <w:ilvl w:val="0"/>
          <w:numId w:val="28"/>
        </w:numPr>
        <w:tabs>
          <w:tab w:val="left" w:pos="720"/>
          <w:tab w:val="left" w:pos="1440"/>
          <w:tab w:val="left" w:pos="2160"/>
          <w:tab w:val="left" w:pos="2880"/>
          <w:tab w:val="left" w:pos="3600"/>
          <w:tab w:val="right" w:leader="dot" w:pos="9000"/>
        </w:tabs>
        <w:spacing w:after="0" w:line="240" w:lineRule="auto"/>
        <w:ind w:left="720" w:firstLine="0"/>
        <w:rPr>
          <w:rFonts w:cs="Times New Roman"/>
          <w:szCs w:val="24"/>
        </w:rPr>
      </w:pPr>
      <w:r w:rsidRPr="007E34CD">
        <w:rPr>
          <w:rFonts w:cs="Times New Roman"/>
          <w:szCs w:val="24"/>
        </w:rPr>
        <w:t>Allocation of Rate Case Costs Incurred in Docket TG-140560</w:t>
      </w:r>
      <w:r w:rsidRPr="007E34CD">
        <w:rPr>
          <w:rFonts w:cs="Times New Roman"/>
          <w:szCs w:val="24"/>
        </w:rPr>
        <w:tab/>
        <w:t>25</w:t>
      </w:r>
    </w:p>
    <w:p w14:paraId="3E19440E" w14:textId="77777777" w:rsidR="006D7603" w:rsidRPr="007E34CD" w:rsidRDefault="006D7603" w:rsidP="002A1183">
      <w:pPr>
        <w:pStyle w:val="ListParagraph"/>
        <w:tabs>
          <w:tab w:val="left" w:pos="720"/>
          <w:tab w:val="left" w:pos="1440"/>
          <w:tab w:val="left" w:pos="2160"/>
          <w:tab w:val="right" w:pos="8910"/>
        </w:tabs>
        <w:spacing w:after="0" w:line="240" w:lineRule="auto"/>
        <w:rPr>
          <w:rFonts w:cs="Times New Roman"/>
          <w:szCs w:val="24"/>
        </w:rPr>
      </w:pPr>
    </w:p>
    <w:p w14:paraId="38002B13" w14:textId="77777777" w:rsidR="006D7603" w:rsidRDefault="006D7603" w:rsidP="00FC1046">
      <w:pPr>
        <w:pStyle w:val="ListParagraph"/>
        <w:numPr>
          <w:ilvl w:val="0"/>
          <w:numId w:val="28"/>
        </w:numPr>
        <w:tabs>
          <w:tab w:val="left" w:pos="720"/>
          <w:tab w:val="left" w:pos="1440"/>
          <w:tab w:val="left" w:pos="2160"/>
          <w:tab w:val="left" w:pos="2880"/>
          <w:tab w:val="right" w:leader="dot" w:pos="9000"/>
        </w:tabs>
        <w:spacing w:after="0" w:line="240" w:lineRule="auto"/>
        <w:ind w:left="720" w:firstLine="0"/>
        <w:rPr>
          <w:rFonts w:cs="Times New Roman"/>
          <w:szCs w:val="24"/>
        </w:rPr>
      </w:pPr>
      <w:r w:rsidRPr="007E34CD">
        <w:rPr>
          <w:rFonts w:cs="Times New Roman"/>
          <w:szCs w:val="24"/>
        </w:rPr>
        <w:t>Amortization Period</w:t>
      </w:r>
      <w:r w:rsidRPr="007E34CD">
        <w:rPr>
          <w:rFonts w:cs="Times New Roman"/>
          <w:szCs w:val="24"/>
        </w:rPr>
        <w:tab/>
        <w:t>27</w:t>
      </w:r>
    </w:p>
    <w:p w14:paraId="557E2DE1" w14:textId="77777777" w:rsidR="006D7603" w:rsidRPr="007E34CD" w:rsidRDefault="006D7603" w:rsidP="002A1183">
      <w:pPr>
        <w:pStyle w:val="ListParagraph"/>
        <w:tabs>
          <w:tab w:val="left" w:pos="720"/>
          <w:tab w:val="left" w:pos="1440"/>
          <w:tab w:val="left" w:pos="2160"/>
          <w:tab w:val="right" w:pos="8910"/>
        </w:tabs>
        <w:spacing w:after="0" w:line="240" w:lineRule="auto"/>
        <w:rPr>
          <w:rFonts w:cs="Times New Roman"/>
          <w:szCs w:val="24"/>
        </w:rPr>
      </w:pPr>
    </w:p>
    <w:p w14:paraId="79813FC1" w14:textId="0FDEE686" w:rsidR="006D7603" w:rsidRDefault="006D7603" w:rsidP="00FC1046">
      <w:pPr>
        <w:pStyle w:val="ListParagraph"/>
        <w:numPr>
          <w:ilvl w:val="0"/>
          <w:numId w:val="30"/>
        </w:numPr>
        <w:tabs>
          <w:tab w:val="left" w:pos="720"/>
          <w:tab w:val="left" w:pos="1440"/>
          <w:tab w:val="left" w:pos="2160"/>
          <w:tab w:val="left" w:pos="2880"/>
          <w:tab w:val="left" w:pos="3600"/>
          <w:tab w:val="right" w:leader="dot" w:pos="9000"/>
        </w:tabs>
        <w:spacing w:after="0" w:line="240" w:lineRule="auto"/>
        <w:ind w:left="1440" w:firstLine="0"/>
        <w:rPr>
          <w:rFonts w:cs="Times New Roman"/>
          <w:szCs w:val="24"/>
        </w:rPr>
      </w:pPr>
      <w:r w:rsidRPr="007E34CD">
        <w:rPr>
          <w:rFonts w:cs="Times New Roman"/>
          <w:szCs w:val="24"/>
        </w:rPr>
        <w:t xml:space="preserve">Fundamental </w:t>
      </w:r>
      <w:r w:rsidR="00FA1B20">
        <w:rPr>
          <w:rFonts w:cs="Times New Roman"/>
          <w:szCs w:val="24"/>
        </w:rPr>
        <w:t>p</w:t>
      </w:r>
      <w:r w:rsidRPr="007E34CD">
        <w:rPr>
          <w:rFonts w:cs="Times New Roman"/>
          <w:szCs w:val="24"/>
        </w:rPr>
        <w:t xml:space="preserve">rinciples and </w:t>
      </w:r>
      <w:r w:rsidR="00FA1B20">
        <w:rPr>
          <w:rFonts w:cs="Times New Roman"/>
          <w:szCs w:val="24"/>
        </w:rPr>
        <w:t>o</w:t>
      </w:r>
      <w:r w:rsidRPr="007E34CD">
        <w:rPr>
          <w:rFonts w:cs="Times New Roman"/>
          <w:szCs w:val="24"/>
        </w:rPr>
        <w:t>verview</w:t>
      </w:r>
      <w:r w:rsidRPr="007E34CD">
        <w:rPr>
          <w:rFonts w:cs="Times New Roman"/>
          <w:szCs w:val="24"/>
        </w:rPr>
        <w:tab/>
        <w:t>27</w:t>
      </w:r>
    </w:p>
    <w:p w14:paraId="6A54B48F" w14:textId="77777777" w:rsidR="006D7603" w:rsidRPr="007E34CD" w:rsidRDefault="006D7603" w:rsidP="002A1183">
      <w:pPr>
        <w:pStyle w:val="ListParagraph"/>
        <w:tabs>
          <w:tab w:val="left" w:pos="720"/>
          <w:tab w:val="left" w:pos="1440"/>
          <w:tab w:val="left" w:pos="2160"/>
          <w:tab w:val="right" w:pos="8910"/>
        </w:tabs>
        <w:spacing w:after="0" w:line="240" w:lineRule="auto"/>
        <w:ind w:left="1440"/>
        <w:rPr>
          <w:rFonts w:cs="Times New Roman"/>
          <w:szCs w:val="24"/>
        </w:rPr>
      </w:pPr>
    </w:p>
    <w:p w14:paraId="6E77D6BB" w14:textId="77777777" w:rsidR="006D7603" w:rsidRDefault="006D7603" w:rsidP="002A1183">
      <w:pPr>
        <w:pStyle w:val="ListParagraph"/>
        <w:numPr>
          <w:ilvl w:val="0"/>
          <w:numId w:val="30"/>
        </w:numPr>
        <w:tabs>
          <w:tab w:val="left" w:pos="720"/>
          <w:tab w:val="left" w:pos="1440"/>
          <w:tab w:val="left" w:pos="2160"/>
          <w:tab w:val="right" w:pos="8910"/>
        </w:tabs>
        <w:spacing w:after="0" w:line="240" w:lineRule="auto"/>
        <w:ind w:left="1440" w:firstLine="0"/>
        <w:rPr>
          <w:rFonts w:cs="Times New Roman"/>
          <w:szCs w:val="24"/>
        </w:rPr>
      </w:pPr>
      <w:r w:rsidRPr="007E34CD">
        <w:rPr>
          <w:rFonts w:cs="Times New Roman"/>
          <w:szCs w:val="24"/>
        </w:rPr>
        <w:t xml:space="preserve">Staff’s recommendation reflects Commission standards </w:t>
      </w:r>
    </w:p>
    <w:p w14:paraId="0675BB73" w14:textId="77777777" w:rsidR="006D7603" w:rsidRDefault="006D7603" w:rsidP="00FC1046">
      <w:pPr>
        <w:pStyle w:val="ListParagraph"/>
        <w:tabs>
          <w:tab w:val="left" w:pos="720"/>
          <w:tab w:val="left" w:pos="1440"/>
          <w:tab w:val="left" w:pos="2160"/>
          <w:tab w:val="left" w:pos="2880"/>
          <w:tab w:val="left" w:pos="3600"/>
          <w:tab w:val="right" w:leader="dot" w:pos="9000"/>
        </w:tabs>
        <w:spacing w:after="0" w:line="240" w:lineRule="auto"/>
        <w:ind w:left="1440"/>
        <w:rPr>
          <w:rFonts w:cs="Times New Roman"/>
          <w:szCs w:val="24"/>
        </w:rPr>
      </w:pPr>
      <w:r>
        <w:rPr>
          <w:rFonts w:cs="Times New Roman"/>
          <w:szCs w:val="24"/>
        </w:rPr>
        <w:tab/>
      </w:r>
      <w:r w:rsidRPr="007E34CD">
        <w:rPr>
          <w:rFonts w:cs="Times New Roman"/>
          <w:szCs w:val="24"/>
        </w:rPr>
        <w:t>and considerations</w:t>
      </w:r>
      <w:r w:rsidRPr="007E34CD">
        <w:rPr>
          <w:rFonts w:cs="Times New Roman"/>
          <w:szCs w:val="24"/>
        </w:rPr>
        <w:tab/>
        <w:t>27</w:t>
      </w:r>
    </w:p>
    <w:p w14:paraId="4E9FCC3B" w14:textId="77777777" w:rsidR="006D7603" w:rsidRPr="007E34CD" w:rsidRDefault="006D7603" w:rsidP="002A1183">
      <w:pPr>
        <w:pStyle w:val="ListParagraph"/>
        <w:tabs>
          <w:tab w:val="left" w:pos="720"/>
          <w:tab w:val="left" w:pos="1440"/>
          <w:tab w:val="left" w:pos="2160"/>
          <w:tab w:val="right" w:pos="8910"/>
        </w:tabs>
        <w:spacing w:after="0" w:line="240" w:lineRule="auto"/>
        <w:ind w:left="1440"/>
        <w:rPr>
          <w:rFonts w:cs="Times New Roman"/>
          <w:szCs w:val="24"/>
        </w:rPr>
      </w:pPr>
    </w:p>
    <w:p w14:paraId="6DA4D376" w14:textId="640FFC98" w:rsidR="006D7603" w:rsidRPr="007E34CD" w:rsidRDefault="00ED7BE3" w:rsidP="00FC1046">
      <w:pPr>
        <w:pStyle w:val="ListParagraph"/>
        <w:numPr>
          <w:ilvl w:val="0"/>
          <w:numId w:val="17"/>
        </w:numPr>
        <w:tabs>
          <w:tab w:val="left" w:pos="720"/>
          <w:tab w:val="left" w:pos="1440"/>
          <w:tab w:val="left" w:pos="2160"/>
          <w:tab w:val="right" w:leader="dot" w:pos="9000"/>
        </w:tabs>
        <w:spacing w:after="0" w:line="480" w:lineRule="auto"/>
        <w:ind w:left="0" w:firstLine="0"/>
        <w:rPr>
          <w:rFonts w:cs="Times New Roman"/>
          <w:szCs w:val="24"/>
        </w:rPr>
      </w:pPr>
      <w:r>
        <w:rPr>
          <w:rFonts w:cs="Times New Roman"/>
          <w:szCs w:val="24"/>
        </w:rPr>
        <w:t>Investigation Fees</w:t>
      </w:r>
      <w:r>
        <w:rPr>
          <w:rFonts w:cs="Times New Roman"/>
          <w:szCs w:val="24"/>
        </w:rPr>
        <w:tab/>
        <w:t>2</w:t>
      </w:r>
      <w:r w:rsidR="003D7560">
        <w:rPr>
          <w:rFonts w:cs="Times New Roman"/>
          <w:szCs w:val="24"/>
        </w:rPr>
        <w:t>8</w:t>
      </w:r>
    </w:p>
    <w:p w14:paraId="675147E8" w14:textId="230EEE01" w:rsidR="006D7603" w:rsidRDefault="003D7560" w:rsidP="00FC1046">
      <w:pPr>
        <w:pStyle w:val="ListParagraph"/>
        <w:numPr>
          <w:ilvl w:val="0"/>
          <w:numId w:val="31"/>
        </w:numPr>
        <w:tabs>
          <w:tab w:val="left" w:pos="720"/>
          <w:tab w:val="left" w:pos="1440"/>
          <w:tab w:val="left" w:pos="2160"/>
          <w:tab w:val="left" w:pos="2880"/>
          <w:tab w:val="left" w:pos="3600"/>
          <w:tab w:val="right" w:leader="dot" w:pos="9000"/>
        </w:tabs>
        <w:spacing w:after="0" w:line="480" w:lineRule="auto"/>
        <w:ind w:left="720" w:firstLine="0"/>
        <w:rPr>
          <w:rFonts w:cs="Times New Roman"/>
          <w:szCs w:val="24"/>
        </w:rPr>
      </w:pPr>
      <w:r>
        <w:rPr>
          <w:rFonts w:cs="Times New Roman"/>
          <w:szCs w:val="24"/>
        </w:rPr>
        <w:t>Fundamental Principles</w:t>
      </w:r>
      <w:r>
        <w:rPr>
          <w:rFonts w:cs="Times New Roman"/>
          <w:szCs w:val="24"/>
        </w:rPr>
        <w:tab/>
        <w:t>28</w:t>
      </w:r>
    </w:p>
    <w:p w14:paraId="34407ACE" w14:textId="77777777" w:rsidR="006D7603" w:rsidRPr="007E34CD" w:rsidRDefault="006D7603" w:rsidP="00FC1046">
      <w:pPr>
        <w:pStyle w:val="ListParagraph"/>
        <w:numPr>
          <w:ilvl w:val="0"/>
          <w:numId w:val="31"/>
        </w:numPr>
        <w:tabs>
          <w:tab w:val="left" w:pos="720"/>
          <w:tab w:val="left" w:pos="1440"/>
          <w:tab w:val="left" w:pos="2160"/>
          <w:tab w:val="left" w:pos="2880"/>
          <w:tab w:val="left" w:pos="3600"/>
          <w:tab w:val="right" w:leader="dot" w:pos="9000"/>
        </w:tabs>
        <w:spacing w:after="0" w:line="480" w:lineRule="auto"/>
        <w:ind w:left="720" w:firstLine="0"/>
        <w:rPr>
          <w:rFonts w:cs="Times New Roman"/>
          <w:szCs w:val="24"/>
        </w:rPr>
      </w:pPr>
      <w:r w:rsidRPr="007E34CD">
        <w:rPr>
          <w:rFonts w:cs="Times New Roman"/>
          <w:szCs w:val="24"/>
        </w:rPr>
        <w:t>Staff’s Recommendation Meets Statutory Standards</w:t>
      </w:r>
      <w:r w:rsidRPr="007E34CD">
        <w:rPr>
          <w:rFonts w:cs="Times New Roman"/>
          <w:szCs w:val="24"/>
        </w:rPr>
        <w:tab/>
        <w:t>29</w:t>
      </w:r>
    </w:p>
    <w:p w14:paraId="28B3FD6A" w14:textId="5D79D694" w:rsidR="006D7603" w:rsidRPr="007E34CD" w:rsidRDefault="006D7603" w:rsidP="00FC1046">
      <w:pPr>
        <w:pStyle w:val="ListParagraph"/>
        <w:numPr>
          <w:ilvl w:val="0"/>
          <w:numId w:val="31"/>
        </w:numPr>
        <w:tabs>
          <w:tab w:val="left" w:pos="720"/>
          <w:tab w:val="left" w:pos="1440"/>
          <w:tab w:val="left" w:pos="2160"/>
          <w:tab w:val="left" w:pos="2880"/>
          <w:tab w:val="left" w:pos="3600"/>
          <w:tab w:val="right" w:leader="dot" w:pos="9000"/>
        </w:tabs>
        <w:spacing w:after="0" w:line="480" w:lineRule="auto"/>
        <w:ind w:left="720" w:firstLine="0"/>
        <w:rPr>
          <w:rFonts w:cs="Times New Roman"/>
          <w:szCs w:val="24"/>
        </w:rPr>
      </w:pPr>
      <w:r w:rsidRPr="007E34CD">
        <w:rPr>
          <w:rFonts w:cs="Times New Roman"/>
          <w:szCs w:val="24"/>
        </w:rPr>
        <w:t>WCI’s Argument does n</w:t>
      </w:r>
      <w:r w:rsidR="00ED7BE3">
        <w:rPr>
          <w:rFonts w:cs="Times New Roman"/>
          <w:szCs w:val="24"/>
        </w:rPr>
        <w:t>ot Refute Statutory Directive</w:t>
      </w:r>
      <w:r w:rsidR="00ED7BE3">
        <w:rPr>
          <w:rFonts w:cs="Times New Roman"/>
          <w:szCs w:val="24"/>
        </w:rPr>
        <w:tab/>
        <w:t>30</w:t>
      </w:r>
    </w:p>
    <w:p w14:paraId="0CC6F02C" w14:textId="3DF23F86" w:rsidR="0016032B" w:rsidRDefault="0016032B">
      <w:pPr>
        <w:rPr>
          <w:rFonts w:cs="Times New Roman"/>
        </w:rPr>
      </w:pPr>
      <w:r>
        <w:rPr>
          <w:rFonts w:cs="Times New Roman"/>
        </w:rPr>
        <w:br w:type="page"/>
      </w:r>
    </w:p>
    <w:p w14:paraId="40A4001B" w14:textId="77777777" w:rsidR="0016032B" w:rsidRPr="00784560" w:rsidRDefault="0016032B" w:rsidP="0016032B">
      <w:pPr>
        <w:widowControl w:val="0"/>
        <w:tabs>
          <w:tab w:val="left" w:pos="720"/>
          <w:tab w:val="left" w:pos="1440"/>
          <w:tab w:val="left" w:pos="2160"/>
          <w:tab w:val="right" w:leader="dot" w:pos="9000"/>
        </w:tabs>
        <w:spacing w:after="0" w:line="240" w:lineRule="auto"/>
        <w:contextualSpacing/>
        <w:jc w:val="center"/>
        <w:rPr>
          <w:rFonts w:eastAsia="Calibri" w:cs="Times New Roman"/>
          <w:b/>
          <w:szCs w:val="24"/>
        </w:rPr>
      </w:pPr>
      <w:r w:rsidRPr="00784560">
        <w:rPr>
          <w:rFonts w:eastAsia="Calibri" w:cs="Times New Roman"/>
          <w:b/>
          <w:szCs w:val="24"/>
        </w:rPr>
        <w:t>TABLE OF AUTHORITIES</w:t>
      </w:r>
    </w:p>
    <w:p w14:paraId="6EA4F202" w14:textId="77777777" w:rsidR="0016032B" w:rsidRDefault="0016032B" w:rsidP="0016032B">
      <w:pPr>
        <w:spacing w:after="0"/>
        <w:jc w:val="center"/>
        <w:rPr>
          <w:rFonts w:cs="Times New Roman"/>
          <w:i/>
          <w:szCs w:val="24"/>
        </w:rPr>
      </w:pPr>
    </w:p>
    <w:p w14:paraId="48E52DA3" w14:textId="77777777" w:rsidR="0016032B" w:rsidRDefault="0016032B" w:rsidP="0016032B">
      <w:pPr>
        <w:spacing w:after="0"/>
        <w:jc w:val="center"/>
        <w:rPr>
          <w:rFonts w:cs="Times New Roman"/>
          <w:i/>
          <w:szCs w:val="24"/>
        </w:rPr>
      </w:pPr>
    </w:p>
    <w:p w14:paraId="1B14AA3F" w14:textId="77777777" w:rsidR="0016032B" w:rsidRPr="0016032B" w:rsidRDefault="0016032B" w:rsidP="0016032B">
      <w:pPr>
        <w:spacing w:after="0"/>
        <w:jc w:val="center"/>
        <w:rPr>
          <w:rFonts w:cs="Times New Roman"/>
          <w:b/>
          <w:i/>
          <w:szCs w:val="24"/>
        </w:rPr>
      </w:pPr>
      <w:r w:rsidRPr="0016032B">
        <w:rPr>
          <w:rFonts w:cs="Times New Roman"/>
          <w:b/>
          <w:i/>
          <w:szCs w:val="24"/>
        </w:rPr>
        <w:t>Table of Cases</w:t>
      </w:r>
    </w:p>
    <w:p w14:paraId="02D3F92C" w14:textId="77777777" w:rsidR="0016032B" w:rsidRPr="00F5126D" w:rsidRDefault="0016032B" w:rsidP="0016032B">
      <w:pPr>
        <w:spacing w:after="0"/>
        <w:jc w:val="center"/>
        <w:rPr>
          <w:rFonts w:cs="Times New Roman"/>
          <w:i/>
          <w:szCs w:val="24"/>
        </w:rPr>
      </w:pPr>
    </w:p>
    <w:p w14:paraId="190ACF00" w14:textId="77777777" w:rsidR="0016032B" w:rsidRDefault="0016032B" w:rsidP="0016032B">
      <w:pPr>
        <w:tabs>
          <w:tab w:val="left" w:pos="720"/>
          <w:tab w:val="left" w:pos="1440"/>
          <w:tab w:val="left" w:pos="2160"/>
          <w:tab w:val="right" w:leader="dot" w:pos="9180"/>
        </w:tabs>
        <w:spacing w:after="0" w:line="240" w:lineRule="auto"/>
        <w:rPr>
          <w:rFonts w:cs="Times New Roman"/>
          <w:szCs w:val="24"/>
        </w:rPr>
      </w:pPr>
      <w:r w:rsidRPr="00F5126D">
        <w:rPr>
          <w:rFonts w:cs="Times New Roman"/>
          <w:i/>
          <w:szCs w:val="24"/>
        </w:rPr>
        <w:t>POWER v. Utilities &amp; Transp. Comm’n.</w:t>
      </w:r>
      <w:r w:rsidRPr="00F5126D">
        <w:rPr>
          <w:rFonts w:cs="Times New Roman"/>
          <w:szCs w:val="24"/>
        </w:rPr>
        <w:t xml:space="preserve">, </w:t>
      </w:r>
    </w:p>
    <w:p w14:paraId="4EB3E774" w14:textId="77777777" w:rsidR="0016032B" w:rsidRPr="00F5126D" w:rsidRDefault="0016032B" w:rsidP="0016032B">
      <w:pPr>
        <w:tabs>
          <w:tab w:val="left" w:pos="720"/>
          <w:tab w:val="left" w:pos="1440"/>
          <w:tab w:val="left" w:pos="2160"/>
          <w:tab w:val="right" w:leader="dot" w:pos="9180"/>
        </w:tabs>
        <w:spacing w:after="0" w:line="240" w:lineRule="auto"/>
        <w:rPr>
          <w:rFonts w:cs="Times New Roman"/>
          <w:szCs w:val="24"/>
        </w:rPr>
      </w:pPr>
      <w:r>
        <w:rPr>
          <w:rFonts w:cs="Times New Roman"/>
          <w:szCs w:val="24"/>
        </w:rPr>
        <w:tab/>
      </w:r>
      <w:r w:rsidRPr="00F5126D">
        <w:rPr>
          <w:rFonts w:cs="Times New Roman"/>
          <w:szCs w:val="24"/>
        </w:rPr>
        <w:t>711 P.2d 319 (Wash. 1985)</w:t>
      </w:r>
      <w:r>
        <w:rPr>
          <w:rFonts w:cs="Times New Roman"/>
          <w:szCs w:val="24"/>
        </w:rPr>
        <w:tab/>
      </w:r>
      <w:r w:rsidRPr="00F5126D">
        <w:rPr>
          <w:rFonts w:cs="Times New Roman"/>
          <w:szCs w:val="24"/>
        </w:rPr>
        <w:t xml:space="preserve">23 </w:t>
      </w:r>
    </w:p>
    <w:p w14:paraId="66C31D50" w14:textId="77777777" w:rsidR="0016032B" w:rsidRDefault="0016032B" w:rsidP="0016032B">
      <w:pPr>
        <w:tabs>
          <w:tab w:val="left" w:pos="720"/>
          <w:tab w:val="left" w:pos="1440"/>
          <w:tab w:val="left" w:pos="2160"/>
          <w:tab w:val="right" w:pos="9180"/>
        </w:tabs>
        <w:spacing w:after="0" w:line="240" w:lineRule="auto"/>
        <w:rPr>
          <w:rFonts w:cs="Times New Roman"/>
          <w:szCs w:val="24"/>
        </w:rPr>
      </w:pPr>
    </w:p>
    <w:p w14:paraId="66486D89" w14:textId="77777777" w:rsidR="0016032B" w:rsidRPr="00F5126D" w:rsidRDefault="0016032B" w:rsidP="0016032B">
      <w:pPr>
        <w:tabs>
          <w:tab w:val="left" w:pos="720"/>
          <w:tab w:val="left" w:pos="1440"/>
          <w:tab w:val="left" w:pos="2160"/>
          <w:tab w:val="right" w:pos="9180"/>
        </w:tabs>
        <w:spacing w:after="0" w:line="240" w:lineRule="auto"/>
        <w:rPr>
          <w:rFonts w:cs="Times New Roman"/>
          <w:szCs w:val="24"/>
        </w:rPr>
      </w:pPr>
    </w:p>
    <w:p w14:paraId="039F1B0E" w14:textId="77777777" w:rsidR="0016032B" w:rsidRPr="0016032B" w:rsidRDefault="0016032B" w:rsidP="0016032B">
      <w:pPr>
        <w:tabs>
          <w:tab w:val="left" w:pos="720"/>
          <w:tab w:val="left" w:pos="1440"/>
          <w:tab w:val="left" w:pos="2160"/>
          <w:tab w:val="right" w:pos="9180"/>
        </w:tabs>
        <w:spacing w:after="0" w:line="240" w:lineRule="auto"/>
        <w:jc w:val="center"/>
        <w:rPr>
          <w:rFonts w:cs="Times New Roman"/>
          <w:b/>
          <w:i/>
          <w:szCs w:val="24"/>
        </w:rPr>
      </w:pPr>
      <w:r w:rsidRPr="0016032B">
        <w:rPr>
          <w:rFonts w:cs="Times New Roman"/>
          <w:b/>
          <w:i/>
          <w:szCs w:val="24"/>
        </w:rPr>
        <w:t>Table of Administrative Cases</w:t>
      </w:r>
    </w:p>
    <w:p w14:paraId="09DDAC59" w14:textId="77777777" w:rsidR="0016032B" w:rsidRPr="00F5126D" w:rsidRDefault="0016032B" w:rsidP="0016032B">
      <w:pPr>
        <w:pStyle w:val="FootnoteText"/>
        <w:tabs>
          <w:tab w:val="left" w:pos="720"/>
          <w:tab w:val="left" w:pos="1440"/>
          <w:tab w:val="left" w:pos="2160"/>
          <w:tab w:val="right" w:pos="9180"/>
        </w:tabs>
        <w:rPr>
          <w:rFonts w:cs="Times New Roman"/>
          <w:i/>
          <w:sz w:val="24"/>
          <w:szCs w:val="24"/>
        </w:rPr>
      </w:pPr>
    </w:p>
    <w:p w14:paraId="18299805" w14:textId="77777777" w:rsidR="0016032B" w:rsidRPr="00F5126D" w:rsidRDefault="0016032B" w:rsidP="0016032B">
      <w:pPr>
        <w:pStyle w:val="FootnoteText"/>
        <w:tabs>
          <w:tab w:val="left" w:pos="720"/>
          <w:tab w:val="left" w:pos="1440"/>
          <w:tab w:val="left" w:pos="2160"/>
          <w:tab w:val="right" w:pos="9180"/>
        </w:tabs>
        <w:rPr>
          <w:rFonts w:cs="Times New Roman"/>
          <w:sz w:val="24"/>
          <w:szCs w:val="24"/>
        </w:rPr>
      </w:pPr>
      <w:r w:rsidRPr="00F5126D">
        <w:rPr>
          <w:rFonts w:cs="Times New Roman"/>
          <w:i/>
          <w:sz w:val="24"/>
          <w:szCs w:val="24"/>
        </w:rPr>
        <w:t>WUTC v. American Water Resources, Inc.</w:t>
      </w:r>
      <w:r w:rsidRPr="00F5126D">
        <w:rPr>
          <w:rFonts w:cs="Times New Roman"/>
          <w:sz w:val="24"/>
          <w:szCs w:val="24"/>
        </w:rPr>
        <w:t xml:space="preserve">, </w:t>
      </w:r>
    </w:p>
    <w:p w14:paraId="0EB9A873" w14:textId="77777777" w:rsidR="0016032B" w:rsidRPr="00F5126D" w:rsidRDefault="0016032B" w:rsidP="0016032B">
      <w:pPr>
        <w:pStyle w:val="FootnoteText"/>
        <w:tabs>
          <w:tab w:val="left" w:pos="720"/>
          <w:tab w:val="left" w:pos="1440"/>
          <w:tab w:val="left" w:pos="2160"/>
          <w:tab w:val="right" w:pos="9180"/>
        </w:tabs>
        <w:ind w:left="720"/>
        <w:rPr>
          <w:rFonts w:cs="Times New Roman"/>
          <w:sz w:val="24"/>
          <w:szCs w:val="24"/>
        </w:rPr>
      </w:pPr>
      <w:r w:rsidRPr="00F5126D">
        <w:rPr>
          <w:rFonts w:cs="Times New Roman"/>
          <w:sz w:val="24"/>
          <w:szCs w:val="24"/>
        </w:rPr>
        <w:t xml:space="preserve">Dockets UW-980072, UW-980258, UW-980265 (consolidated), </w:t>
      </w:r>
    </w:p>
    <w:p w14:paraId="037FF2D6" w14:textId="77777777" w:rsidR="0016032B" w:rsidRPr="00F5126D" w:rsidRDefault="0016032B" w:rsidP="0016032B">
      <w:pPr>
        <w:pStyle w:val="FootnoteText"/>
        <w:tabs>
          <w:tab w:val="right" w:leader="dot" w:pos="720"/>
          <w:tab w:val="left" w:pos="1440"/>
          <w:tab w:val="left" w:pos="2160"/>
          <w:tab w:val="right" w:leader="dot" w:pos="9180"/>
        </w:tabs>
        <w:ind w:left="720"/>
        <w:rPr>
          <w:rFonts w:cs="Times New Roman"/>
          <w:sz w:val="24"/>
          <w:szCs w:val="24"/>
        </w:rPr>
      </w:pPr>
      <w:r w:rsidRPr="00F5126D">
        <w:rPr>
          <w:rFonts w:cs="Times New Roman"/>
          <w:sz w:val="24"/>
          <w:szCs w:val="24"/>
        </w:rPr>
        <w:t>Sixth Supplemental Order (Jan</w:t>
      </w:r>
      <w:r>
        <w:rPr>
          <w:rFonts w:cs="Times New Roman"/>
          <w:sz w:val="24"/>
          <w:szCs w:val="24"/>
        </w:rPr>
        <w:t>uary</w:t>
      </w:r>
      <w:r w:rsidRPr="00F5126D">
        <w:rPr>
          <w:rFonts w:cs="Times New Roman"/>
          <w:sz w:val="24"/>
          <w:szCs w:val="24"/>
        </w:rPr>
        <w:t xml:space="preserve"> 21, 1999) </w:t>
      </w:r>
      <w:r>
        <w:rPr>
          <w:rFonts w:cs="Times New Roman"/>
          <w:sz w:val="24"/>
          <w:szCs w:val="24"/>
        </w:rPr>
        <w:tab/>
      </w:r>
      <w:r w:rsidRPr="00F5126D">
        <w:rPr>
          <w:rFonts w:cs="Times New Roman"/>
          <w:sz w:val="24"/>
          <w:szCs w:val="24"/>
        </w:rPr>
        <w:t xml:space="preserve">6, 10, </w:t>
      </w:r>
      <w:r>
        <w:rPr>
          <w:rFonts w:cs="Times New Roman"/>
          <w:sz w:val="24"/>
          <w:szCs w:val="24"/>
        </w:rPr>
        <w:t>2</w:t>
      </w:r>
      <w:r w:rsidRPr="00F5126D">
        <w:rPr>
          <w:rFonts w:cs="Times New Roman"/>
          <w:sz w:val="24"/>
          <w:szCs w:val="24"/>
        </w:rPr>
        <w:t>0</w:t>
      </w:r>
    </w:p>
    <w:p w14:paraId="5E93B1EA" w14:textId="77777777" w:rsidR="0016032B" w:rsidRPr="00F5126D" w:rsidRDefault="0016032B" w:rsidP="0016032B">
      <w:pPr>
        <w:pStyle w:val="FootnoteText"/>
        <w:tabs>
          <w:tab w:val="left" w:pos="720"/>
          <w:tab w:val="left" w:pos="1440"/>
          <w:tab w:val="left" w:pos="2160"/>
          <w:tab w:val="right" w:pos="9180"/>
        </w:tabs>
        <w:rPr>
          <w:rFonts w:cs="Times New Roman"/>
          <w:sz w:val="24"/>
          <w:szCs w:val="24"/>
        </w:rPr>
      </w:pPr>
    </w:p>
    <w:p w14:paraId="631D445C" w14:textId="77777777" w:rsidR="0016032B" w:rsidRPr="00F5126D" w:rsidRDefault="0016032B" w:rsidP="0016032B">
      <w:pPr>
        <w:pStyle w:val="FootnoteText"/>
        <w:tabs>
          <w:tab w:val="left" w:pos="720"/>
          <w:tab w:val="left" w:pos="1440"/>
          <w:tab w:val="left" w:pos="2160"/>
          <w:tab w:val="right" w:leader="dot" w:pos="9180"/>
        </w:tabs>
        <w:rPr>
          <w:rFonts w:cs="Times New Roman"/>
          <w:sz w:val="24"/>
          <w:szCs w:val="24"/>
        </w:rPr>
      </w:pPr>
      <w:r w:rsidRPr="00F5126D">
        <w:rPr>
          <w:rFonts w:cs="Times New Roman"/>
          <w:i/>
          <w:sz w:val="24"/>
          <w:szCs w:val="24"/>
        </w:rPr>
        <w:t>In the Matter of the Petition of Puget Sound Energy, Inc., and Northwest Energy Coalition for an Order Authorizing PSE to Implement Electric and Natural Gas Decoupling Mechanisms and to Record Accounting Entries Associated with the Mechanisms</w:t>
      </w:r>
      <w:r w:rsidRPr="00F5126D">
        <w:rPr>
          <w:rFonts w:cs="Times New Roman"/>
          <w:sz w:val="24"/>
          <w:szCs w:val="24"/>
        </w:rPr>
        <w:t xml:space="preserve">, </w:t>
      </w:r>
    </w:p>
    <w:p w14:paraId="74D45BE7" w14:textId="77777777" w:rsidR="0016032B" w:rsidRPr="00F5126D" w:rsidRDefault="0016032B" w:rsidP="0016032B">
      <w:pPr>
        <w:pStyle w:val="FootnoteText"/>
        <w:tabs>
          <w:tab w:val="left" w:pos="720"/>
          <w:tab w:val="left" w:pos="1440"/>
          <w:tab w:val="left" w:pos="2160"/>
          <w:tab w:val="right" w:leader="dot" w:pos="9180"/>
        </w:tabs>
        <w:rPr>
          <w:rFonts w:cs="Times New Roman"/>
          <w:sz w:val="24"/>
          <w:szCs w:val="24"/>
        </w:rPr>
      </w:pPr>
      <w:r>
        <w:rPr>
          <w:rFonts w:cs="Times New Roman"/>
          <w:sz w:val="24"/>
          <w:szCs w:val="24"/>
        </w:rPr>
        <w:tab/>
      </w:r>
      <w:r w:rsidRPr="00F5126D">
        <w:rPr>
          <w:rFonts w:cs="Times New Roman"/>
          <w:sz w:val="24"/>
          <w:szCs w:val="24"/>
        </w:rPr>
        <w:t>Dockets UE-121697 and UG-121705</w:t>
      </w:r>
      <w:r>
        <w:rPr>
          <w:rFonts w:cs="Times New Roman"/>
          <w:sz w:val="24"/>
          <w:szCs w:val="24"/>
        </w:rPr>
        <w:t>, Order 09 (December 12, 2013)</w:t>
      </w:r>
      <w:r>
        <w:rPr>
          <w:rFonts w:cs="Times New Roman"/>
          <w:sz w:val="24"/>
          <w:szCs w:val="24"/>
        </w:rPr>
        <w:tab/>
      </w:r>
      <w:r w:rsidRPr="00F5126D">
        <w:rPr>
          <w:rFonts w:cs="Times New Roman"/>
          <w:sz w:val="24"/>
          <w:szCs w:val="24"/>
        </w:rPr>
        <w:t>6, 20</w:t>
      </w:r>
    </w:p>
    <w:p w14:paraId="11D6AEFF" w14:textId="77777777" w:rsidR="0016032B" w:rsidRPr="00F5126D" w:rsidRDefault="0016032B" w:rsidP="0016032B">
      <w:pPr>
        <w:pStyle w:val="FootnoteText"/>
        <w:tabs>
          <w:tab w:val="left" w:pos="720"/>
          <w:tab w:val="left" w:pos="1440"/>
          <w:tab w:val="left" w:pos="2160"/>
          <w:tab w:val="right" w:leader="dot" w:pos="9180"/>
        </w:tabs>
        <w:rPr>
          <w:rFonts w:cs="Times New Roman"/>
          <w:sz w:val="24"/>
          <w:szCs w:val="24"/>
        </w:rPr>
      </w:pPr>
    </w:p>
    <w:p w14:paraId="74042CB3" w14:textId="77777777" w:rsidR="0016032B" w:rsidRPr="00F5126D" w:rsidRDefault="0016032B" w:rsidP="0016032B">
      <w:pPr>
        <w:pStyle w:val="FootnoteText"/>
        <w:tabs>
          <w:tab w:val="left" w:pos="720"/>
          <w:tab w:val="left" w:pos="1440"/>
          <w:tab w:val="left" w:pos="2160"/>
          <w:tab w:val="right" w:leader="dot" w:pos="9180"/>
        </w:tabs>
        <w:rPr>
          <w:rFonts w:cs="Times New Roman"/>
          <w:sz w:val="24"/>
          <w:szCs w:val="24"/>
        </w:rPr>
      </w:pPr>
      <w:r w:rsidRPr="00F5126D">
        <w:rPr>
          <w:rFonts w:cs="Times New Roman"/>
          <w:i/>
          <w:sz w:val="24"/>
          <w:szCs w:val="24"/>
        </w:rPr>
        <w:t>King County Department of Public Works, Solid Waste Division v. Seattle Disposal Company, Rabanco Ltd., d/b/a Eastside Disposal and Container Hauling</w:t>
      </w:r>
      <w:r w:rsidRPr="00F5126D">
        <w:rPr>
          <w:rFonts w:cs="Times New Roman"/>
          <w:sz w:val="24"/>
          <w:szCs w:val="24"/>
        </w:rPr>
        <w:t xml:space="preserve">, </w:t>
      </w:r>
    </w:p>
    <w:p w14:paraId="5F33B47B" w14:textId="77777777" w:rsidR="0016032B" w:rsidRPr="00F5126D" w:rsidRDefault="0016032B" w:rsidP="0016032B">
      <w:pPr>
        <w:pStyle w:val="FootnoteText"/>
        <w:tabs>
          <w:tab w:val="left" w:pos="720"/>
          <w:tab w:val="left" w:pos="1440"/>
          <w:tab w:val="left" w:pos="2160"/>
          <w:tab w:val="right" w:leader="dot" w:pos="9180"/>
        </w:tabs>
        <w:rPr>
          <w:rFonts w:cs="Times New Roman"/>
          <w:sz w:val="24"/>
          <w:szCs w:val="24"/>
        </w:rPr>
      </w:pPr>
      <w:r>
        <w:rPr>
          <w:rFonts w:cs="Times New Roman"/>
          <w:sz w:val="24"/>
          <w:szCs w:val="24"/>
        </w:rPr>
        <w:tab/>
      </w:r>
      <w:r w:rsidRPr="00F5126D">
        <w:rPr>
          <w:rFonts w:cs="Times New Roman"/>
          <w:sz w:val="24"/>
          <w:szCs w:val="24"/>
        </w:rPr>
        <w:t>Docket TG-940411, T</w:t>
      </w:r>
      <w:r>
        <w:rPr>
          <w:rFonts w:cs="Times New Roman"/>
          <w:sz w:val="24"/>
          <w:szCs w:val="24"/>
        </w:rPr>
        <w:t>hird Supplemental Order (September</w:t>
      </w:r>
      <w:r w:rsidRPr="00F5126D">
        <w:rPr>
          <w:rFonts w:cs="Times New Roman"/>
          <w:sz w:val="24"/>
          <w:szCs w:val="24"/>
        </w:rPr>
        <w:t xml:space="preserve"> 14, 1994)</w:t>
      </w:r>
      <w:r>
        <w:rPr>
          <w:rFonts w:cs="Times New Roman"/>
          <w:sz w:val="24"/>
          <w:szCs w:val="24"/>
        </w:rPr>
        <w:tab/>
      </w:r>
      <w:r w:rsidRPr="00F5126D">
        <w:rPr>
          <w:rFonts w:cs="Times New Roman"/>
          <w:sz w:val="24"/>
          <w:szCs w:val="24"/>
        </w:rPr>
        <w:t>6, 20</w:t>
      </w:r>
    </w:p>
    <w:p w14:paraId="5D9FAA6C" w14:textId="77777777" w:rsidR="0016032B" w:rsidRPr="00F5126D" w:rsidRDefault="0016032B" w:rsidP="0016032B">
      <w:pPr>
        <w:pStyle w:val="FootnoteText"/>
        <w:tabs>
          <w:tab w:val="left" w:pos="720"/>
          <w:tab w:val="left" w:pos="1440"/>
          <w:tab w:val="left" w:pos="2160"/>
          <w:tab w:val="right" w:leader="dot" w:pos="9180"/>
        </w:tabs>
        <w:rPr>
          <w:rFonts w:cs="Times New Roman"/>
          <w:i/>
          <w:sz w:val="24"/>
          <w:szCs w:val="24"/>
        </w:rPr>
      </w:pPr>
    </w:p>
    <w:p w14:paraId="5159E5F9" w14:textId="77777777" w:rsidR="0016032B" w:rsidRPr="00F5126D" w:rsidRDefault="0016032B" w:rsidP="0016032B">
      <w:pPr>
        <w:pStyle w:val="FootnoteText"/>
        <w:tabs>
          <w:tab w:val="left" w:pos="720"/>
          <w:tab w:val="left" w:pos="1440"/>
          <w:tab w:val="left" w:pos="2160"/>
          <w:tab w:val="right" w:leader="dot" w:pos="9180"/>
        </w:tabs>
        <w:rPr>
          <w:rFonts w:cs="Times New Roman"/>
          <w:sz w:val="24"/>
          <w:szCs w:val="24"/>
        </w:rPr>
      </w:pPr>
      <w:r w:rsidRPr="00F5126D">
        <w:rPr>
          <w:rFonts w:cs="Times New Roman"/>
          <w:i/>
          <w:sz w:val="24"/>
          <w:szCs w:val="24"/>
        </w:rPr>
        <w:t>WUTC v. Avista Corp. d/b/a Avista Utilities</w:t>
      </w:r>
      <w:r w:rsidRPr="00F5126D">
        <w:rPr>
          <w:rFonts w:cs="Times New Roman"/>
          <w:sz w:val="24"/>
          <w:szCs w:val="24"/>
        </w:rPr>
        <w:t xml:space="preserve">, </w:t>
      </w:r>
    </w:p>
    <w:p w14:paraId="00D85B26" w14:textId="77777777" w:rsidR="0016032B" w:rsidRPr="00F5126D" w:rsidRDefault="0016032B" w:rsidP="0016032B">
      <w:pPr>
        <w:pStyle w:val="FootnoteText"/>
        <w:tabs>
          <w:tab w:val="left" w:pos="720"/>
          <w:tab w:val="left" w:pos="1440"/>
          <w:tab w:val="left" w:pos="2160"/>
          <w:tab w:val="right" w:leader="dot" w:pos="9180"/>
        </w:tabs>
        <w:ind w:left="720"/>
        <w:rPr>
          <w:rFonts w:cs="Times New Roman"/>
          <w:sz w:val="24"/>
          <w:szCs w:val="24"/>
        </w:rPr>
      </w:pPr>
      <w:r w:rsidRPr="00F5126D">
        <w:rPr>
          <w:rFonts w:cs="Times New Roman"/>
          <w:sz w:val="24"/>
          <w:szCs w:val="24"/>
        </w:rPr>
        <w:t xml:space="preserve">Docket UE-140188/UG-140189 (consolidated), </w:t>
      </w:r>
    </w:p>
    <w:p w14:paraId="072D848B" w14:textId="77777777" w:rsidR="0016032B" w:rsidRDefault="0016032B" w:rsidP="0016032B">
      <w:pPr>
        <w:pStyle w:val="FootnoteText"/>
        <w:tabs>
          <w:tab w:val="left" w:pos="720"/>
          <w:tab w:val="left" w:pos="1440"/>
          <w:tab w:val="left" w:pos="2160"/>
          <w:tab w:val="right" w:leader="dot" w:pos="9180"/>
        </w:tabs>
        <w:ind w:left="720"/>
        <w:rPr>
          <w:rFonts w:cs="Times New Roman"/>
          <w:sz w:val="24"/>
          <w:szCs w:val="24"/>
        </w:rPr>
      </w:pPr>
      <w:r w:rsidRPr="00F5126D">
        <w:rPr>
          <w:rFonts w:cs="Times New Roman"/>
          <w:sz w:val="24"/>
          <w:szCs w:val="24"/>
        </w:rPr>
        <w:t xml:space="preserve">Direct Testimony of Elizabeth M. Andrews, </w:t>
      </w:r>
    </w:p>
    <w:p w14:paraId="784283C3" w14:textId="77777777" w:rsidR="0016032B" w:rsidRPr="00F5126D" w:rsidRDefault="0016032B" w:rsidP="0016032B">
      <w:pPr>
        <w:pStyle w:val="FootnoteText"/>
        <w:tabs>
          <w:tab w:val="left" w:pos="720"/>
          <w:tab w:val="left" w:pos="1440"/>
          <w:tab w:val="left" w:pos="2160"/>
          <w:tab w:val="right" w:leader="dot" w:pos="9180"/>
        </w:tabs>
        <w:ind w:left="720"/>
        <w:rPr>
          <w:rFonts w:cs="Times New Roman"/>
          <w:sz w:val="24"/>
          <w:szCs w:val="24"/>
        </w:rPr>
      </w:pPr>
      <w:r>
        <w:rPr>
          <w:rFonts w:cs="Times New Roman"/>
          <w:sz w:val="24"/>
          <w:szCs w:val="24"/>
        </w:rPr>
        <w:t>Exhibit No. __ (EMA-1T) (February</w:t>
      </w:r>
      <w:r w:rsidRPr="00F5126D">
        <w:rPr>
          <w:rFonts w:cs="Times New Roman"/>
          <w:sz w:val="24"/>
          <w:szCs w:val="24"/>
        </w:rPr>
        <w:t xml:space="preserve"> 4, 2014)</w:t>
      </w:r>
      <w:r w:rsidRPr="00F5126D">
        <w:rPr>
          <w:rFonts w:cs="Times New Roman"/>
          <w:sz w:val="24"/>
          <w:szCs w:val="24"/>
        </w:rPr>
        <w:tab/>
        <w:t>7</w:t>
      </w:r>
    </w:p>
    <w:p w14:paraId="2AC5CF2F" w14:textId="77777777" w:rsidR="0016032B" w:rsidRPr="00F5126D" w:rsidRDefault="0016032B" w:rsidP="0016032B">
      <w:pPr>
        <w:pStyle w:val="FootnoteText"/>
        <w:tabs>
          <w:tab w:val="left" w:pos="720"/>
          <w:tab w:val="left" w:pos="1440"/>
          <w:tab w:val="left" w:pos="2160"/>
          <w:tab w:val="right" w:leader="dot" w:pos="9180"/>
        </w:tabs>
        <w:rPr>
          <w:rFonts w:cs="Times New Roman"/>
          <w:sz w:val="24"/>
          <w:szCs w:val="24"/>
        </w:rPr>
      </w:pPr>
    </w:p>
    <w:p w14:paraId="01A9F932" w14:textId="77777777" w:rsidR="0016032B" w:rsidRPr="00F5126D" w:rsidRDefault="0016032B" w:rsidP="0016032B">
      <w:pPr>
        <w:pStyle w:val="FootnoteText"/>
        <w:tabs>
          <w:tab w:val="left" w:pos="720"/>
          <w:tab w:val="left" w:pos="1440"/>
          <w:tab w:val="left" w:pos="2160"/>
          <w:tab w:val="right" w:leader="dot" w:pos="9180"/>
        </w:tabs>
        <w:rPr>
          <w:rFonts w:cs="Times New Roman"/>
          <w:sz w:val="24"/>
          <w:szCs w:val="24"/>
        </w:rPr>
      </w:pPr>
      <w:r w:rsidRPr="00F5126D">
        <w:rPr>
          <w:rFonts w:cs="Times New Roman"/>
          <w:i/>
          <w:sz w:val="24"/>
          <w:szCs w:val="24"/>
        </w:rPr>
        <w:t>WUTC v. PacifiCorp</w:t>
      </w:r>
      <w:r w:rsidRPr="00F5126D">
        <w:rPr>
          <w:rFonts w:cs="Times New Roman"/>
          <w:sz w:val="24"/>
          <w:szCs w:val="24"/>
        </w:rPr>
        <w:t>,</w:t>
      </w:r>
    </w:p>
    <w:p w14:paraId="70C9B2B3" w14:textId="77777777" w:rsidR="0016032B" w:rsidRPr="00F5126D" w:rsidRDefault="0016032B" w:rsidP="0016032B">
      <w:pPr>
        <w:pStyle w:val="FootnoteText"/>
        <w:tabs>
          <w:tab w:val="left" w:pos="720"/>
          <w:tab w:val="left" w:pos="1440"/>
          <w:tab w:val="left" w:pos="2160"/>
          <w:tab w:val="right" w:leader="dot" w:pos="9180"/>
        </w:tabs>
        <w:rPr>
          <w:rFonts w:cs="Times New Roman"/>
          <w:sz w:val="24"/>
          <w:szCs w:val="24"/>
        </w:rPr>
      </w:pPr>
      <w:r>
        <w:rPr>
          <w:rFonts w:cs="Times New Roman"/>
          <w:sz w:val="24"/>
          <w:szCs w:val="24"/>
        </w:rPr>
        <w:tab/>
        <w:t>Docket UE-061546, Order 08</w:t>
      </w:r>
      <w:r w:rsidRPr="00F5126D">
        <w:rPr>
          <w:rFonts w:cs="Times New Roman"/>
          <w:sz w:val="24"/>
          <w:szCs w:val="24"/>
        </w:rPr>
        <w:t xml:space="preserve"> (June 21, 2007) </w:t>
      </w:r>
      <w:r>
        <w:rPr>
          <w:rFonts w:cs="Times New Roman"/>
          <w:sz w:val="24"/>
          <w:szCs w:val="24"/>
        </w:rPr>
        <w:tab/>
      </w:r>
      <w:r w:rsidRPr="00F5126D">
        <w:rPr>
          <w:rFonts w:cs="Times New Roman"/>
          <w:sz w:val="24"/>
          <w:szCs w:val="24"/>
        </w:rPr>
        <w:t>7</w:t>
      </w:r>
    </w:p>
    <w:p w14:paraId="04D97E6F" w14:textId="77777777" w:rsidR="0016032B" w:rsidRPr="00F5126D" w:rsidRDefault="0016032B" w:rsidP="0016032B">
      <w:pPr>
        <w:pStyle w:val="FootnoteText"/>
        <w:tabs>
          <w:tab w:val="left" w:pos="720"/>
          <w:tab w:val="left" w:pos="1440"/>
          <w:tab w:val="left" w:pos="2160"/>
          <w:tab w:val="right" w:leader="dot" w:pos="9180"/>
        </w:tabs>
        <w:rPr>
          <w:rFonts w:cs="Times New Roman"/>
          <w:sz w:val="24"/>
          <w:szCs w:val="24"/>
        </w:rPr>
      </w:pPr>
    </w:p>
    <w:p w14:paraId="26D41BA7" w14:textId="77777777" w:rsidR="0016032B" w:rsidRPr="00F5126D" w:rsidRDefault="0016032B" w:rsidP="0016032B">
      <w:pPr>
        <w:pStyle w:val="FootnoteText"/>
        <w:tabs>
          <w:tab w:val="left" w:pos="720"/>
          <w:tab w:val="left" w:pos="1440"/>
          <w:tab w:val="left" w:pos="2160"/>
          <w:tab w:val="right" w:leader="dot" w:pos="9180"/>
        </w:tabs>
        <w:rPr>
          <w:rFonts w:cs="Times New Roman"/>
          <w:sz w:val="24"/>
          <w:szCs w:val="24"/>
        </w:rPr>
      </w:pPr>
      <w:r w:rsidRPr="00F5126D">
        <w:rPr>
          <w:rFonts w:cs="Times New Roman"/>
          <w:i/>
          <w:sz w:val="24"/>
          <w:szCs w:val="24"/>
        </w:rPr>
        <w:t>WUTC v. PacifiCorp</w:t>
      </w:r>
      <w:r w:rsidRPr="00F5126D">
        <w:rPr>
          <w:rFonts w:cs="Times New Roman"/>
          <w:sz w:val="24"/>
          <w:szCs w:val="24"/>
        </w:rPr>
        <w:t xml:space="preserve">, Docket UE-061546, </w:t>
      </w:r>
    </w:p>
    <w:p w14:paraId="32359968" w14:textId="77777777" w:rsidR="0016032B" w:rsidRDefault="0016032B" w:rsidP="0016032B">
      <w:pPr>
        <w:pStyle w:val="FootnoteText"/>
        <w:tabs>
          <w:tab w:val="left" w:pos="720"/>
          <w:tab w:val="left" w:pos="1440"/>
          <w:tab w:val="left" w:pos="2160"/>
          <w:tab w:val="right" w:leader="dot" w:pos="9180"/>
        </w:tabs>
        <w:ind w:left="720"/>
        <w:rPr>
          <w:rFonts w:cs="Times New Roman"/>
          <w:sz w:val="24"/>
          <w:szCs w:val="24"/>
        </w:rPr>
      </w:pPr>
      <w:r w:rsidRPr="00F5126D">
        <w:rPr>
          <w:rFonts w:cs="Times New Roman"/>
          <w:sz w:val="24"/>
          <w:szCs w:val="24"/>
        </w:rPr>
        <w:t xml:space="preserve">Direct Testimony of William R. Griffith, </w:t>
      </w:r>
    </w:p>
    <w:p w14:paraId="4D4AE60D" w14:textId="77777777" w:rsidR="0016032B" w:rsidRPr="00F5126D" w:rsidRDefault="0016032B" w:rsidP="0016032B">
      <w:pPr>
        <w:pStyle w:val="FootnoteText"/>
        <w:tabs>
          <w:tab w:val="left" w:pos="720"/>
          <w:tab w:val="left" w:pos="1440"/>
          <w:tab w:val="left" w:pos="2160"/>
          <w:tab w:val="right" w:leader="dot" w:pos="9180"/>
        </w:tabs>
        <w:ind w:left="720"/>
        <w:rPr>
          <w:rFonts w:cs="Times New Roman"/>
          <w:sz w:val="24"/>
          <w:szCs w:val="24"/>
        </w:rPr>
      </w:pPr>
      <w:r w:rsidRPr="00F5126D">
        <w:rPr>
          <w:rFonts w:cs="Times New Roman"/>
          <w:sz w:val="24"/>
          <w:szCs w:val="24"/>
        </w:rPr>
        <w:t>Exhibit No. __ (WRG-4) (Oct</w:t>
      </w:r>
      <w:r>
        <w:rPr>
          <w:rFonts w:cs="Times New Roman"/>
          <w:sz w:val="24"/>
          <w:szCs w:val="24"/>
        </w:rPr>
        <w:t>ober</w:t>
      </w:r>
      <w:r w:rsidRPr="00F5126D">
        <w:rPr>
          <w:rFonts w:cs="Times New Roman"/>
          <w:sz w:val="24"/>
          <w:szCs w:val="24"/>
        </w:rPr>
        <w:t>. 3, 2006)</w:t>
      </w:r>
      <w:r w:rsidRPr="00F5126D">
        <w:rPr>
          <w:rFonts w:cs="Times New Roman"/>
          <w:sz w:val="24"/>
          <w:szCs w:val="24"/>
        </w:rPr>
        <w:tab/>
      </w:r>
      <w:r>
        <w:rPr>
          <w:rFonts w:cs="Times New Roman"/>
          <w:sz w:val="24"/>
          <w:szCs w:val="24"/>
        </w:rPr>
        <w:t>7</w:t>
      </w:r>
    </w:p>
    <w:p w14:paraId="4D684E33" w14:textId="77777777" w:rsidR="0016032B" w:rsidRPr="00F5126D" w:rsidRDefault="0016032B" w:rsidP="0016032B">
      <w:pPr>
        <w:tabs>
          <w:tab w:val="left" w:pos="720"/>
          <w:tab w:val="left" w:pos="1440"/>
          <w:tab w:val="left" w:pos="2160"/>
          <w:tab w:val="right" w:leader="dot" w:pos="9180"/>
        </w:tabs>
        <w:spacing w:after="0" w:line="240" w:lineRule="auto"/>
        <w:rPr>
          <w:rFonts w:cs="Times New Roman"/>
          <w:i/>
          <w:szCs w:val="24"/>
        </w:rPr>
      </w:pPr>
    </w:p>
    <w:p w14:paraId="358CCD53" w14:textId="77777777" w:rsidR="0016032B" w:rsidRPr="00F5126D" w:rsidRDefault="0016032B" w:rsidP="0016032B">
      <w:pPr>
        <w:tabs>
          <w:tab w:val="left" w:pos="720"/>
          <w:tab w:val="left" w:pos="1440"/>
          <w:tab w:val="left" w:pos="2160"/>
          <w:tab w:val="right" w:leader="dot" w:pos="9180"/>
        </w:tabs>
        <w:spacing w:after="0" w:line="240" w:lineRule="auto"/>
        <w:rPr>
          <w:rFonts w:cs="Times New Roman"/>
          <w:szCs w:val="24"/>
        </w:rPr>
      </w:pPr>
      <w:r w:rsidRPr="00F5126D">
        <w:rPr>
          <w:rFonts w:cs="Times New Roman"/>
          <w:i/>
          <w:szCs w:val="24"/>
        </w:rPr>
        <w:t>WUTC v. Bremerton-Kitsap Airporter</w:t>
      </w:r>
      <w:r w:rsidRPr="00F5126D">
        <w:rPr>
          <w:rFonts w:cs="Times New Roman"/>
          <w:szCs w:val="24"/>
        </w:rPr>
        <w:t xml:space="preserve">, </w:t>
      </w:r>
    </w:p>
    <w:p w14:paraId="75ADB7F9" w14:textId="75B1BF45" w:rsidR="0016032B" w:rsidRPr="00F5126D" w:rsidRDefault="0016032B" w:rsidP="0016032B">
      <w:pPr>
        <w:tabs>
          <w:tab w:val="left" w:pos="720"/>
          <w:tab w:val="left" w:pos="1440"/>
          <w:tab w:val="left" w:pos="2160"/>
          <w:tab w:val="right" w:leader="dot" w:pos="9180"/>
        </w:tabs>
        <w:spacing w:after="0" w:line="240" w:lineRule="auto"/>
        <w:rPr>
          <w:rFonts w:cs="Times New Roman"/>
          <w:szCs w:val="24"/>
        </w:rPr>
      </w:pPr>
      <w:r>
        <w:rPr>
          <w:rFonts w:cs="Times New Roman"/>
          <w:szCs w:val="24"/>
        </w:rPr>
        <w:tab/>
      </w:r>
      <w:r w:rsidRPr="00F5126D">
        <w:rPr>
          <w:rFonts w:cs="Times New Roman"/>
          <w:szCs w:val="24"/>
        </w:rPr>
        <w:t>Docket TC-001846, Fi</w:t>
      </w:r>
      <w:r>
        <w:rPr>
          <w:rFonts w:cs="Times New Roman"/>
          <w:szCs w:val="24"/>
        </w:rPr>
        <w:t>fth Supplemental Order</w:t>
      </w:r>
      <w:r w:rsidR="006948B3">
        <w:rPr>
          <w:rFonts w:cs="Times New Roman"/>
          <w:szCs w:val="24"/>
        </w:rPr>
        <w:t xml:space="preserve"> (August 2, 2002)</w:t>
      </w:r>
      <w:r w:rsidR="006948B3">
        <w:rPr>
          <w:rFonts w:cs="Times New Roman"/>
          <w:szCs w:val="24"/>
        </w:rPr>
        <w:tab/>
        <w:t>11,</w:t>
      </w:r>
      <w:r w:rsidRPr="00F5126D">
        <w:rPr>
          <w:rFonts w:cs="Times New Roman"/>
          <w:szCs w:val="24"/>
        </w:rPr>
        <w:t xml:space="preserve"> 14, 27</w:t>
      </w:r>
    </w:p>
    <w:p w14:paraId="2477CEF5" w14:textId="77777777" w:rsidR="0016032B" w:rsidRPr="00F5126D" w:rsidRDefault="0016032B" w:rsidP="0016032B">
      <w:pPr>
        <w:tabs>
          <w:tab w:val="left" w:pos="720"/>
          <w:tab w:val="left" w:pos="1440"/>
          <w:tab w:val="left" w:pos="2160"/>
          <w:tab w:val="right" w:leader="dot" w:pos="9180"/>
        </w:tabs>
        <w:spacing w:after="0" w:line="240" w:lineRule="auto"/>
        <w:rPr>
          <w:rFonts w:cs="Times New Roman"/>
          <w:szCs w:val="24"/>
        </w:rPr>
      </w:pPr>
    </w:p>
    <w:p w14:paraId="234B5E74" w14:textId="77777777" w:rsidR="0016032B" w:rsidRPr="00F5126D" w:rsidRDefault="0016032B" w:rsidP="0016032B">
      <w:pPr>
        <w:tabs>
          <w:tab w:val="left" w:pos="720"/>
          <w:tab w:val="left" w:pos="1440"/>
          <w:tab w:val="left" w:pos="2160"/>
          <w:tab w:val="right" w:leader="dot" w:pos="9180"/>
        </w:tabs>
        <w:spacing w:after="0" w:line="240" w:lineRule="auto"/>
        <w:rPr>
          <w:rFonts w:cs="Times New Roman"/>
          <w:szCs w:val="24"/>
        </w:rPr>
      </w:pPr>
      <w:r w:rsidRPr="00F5126D">
        <w:rPr>
          <w:rFonts w:cs="Times New Roman"/>
          <w:i/>
          <w:szCs w:val="24"/>
        </w:rPr>
        <w:t>WUTC v. Bremerton-Kitsap Airporter, Inc.</w:t>
      </w:r>
      <w:r w:rsidRPr="00F5126D">
        <w:rPr>
          <w:rFonts w:cs="Times New Roman"/>
          <w:szCs w:val="24"/>
        </w:rPr>
        <w:t xml:space="preserve">, </w:t>
      </w:r>
    </w:p>
    <w:p w14:paraId="1D734CA1" w14:textId="1570CC9C" w:rsidR="0016032B" w:rsidRPr="00F5126D" w:rsidRDefault="0016032B" w:rsidP="0016032B">
      <w:pPr>
        <w:tabs>
          <w:tab w:val="left" w:pos="720"/>
          <w:tab w:val="left" w:pos="1440"/>
          <w:tab w:val="left" w:pos="2160"/>
          <w:tab w:val="right" w:leader="dot" w:pos="9180"/>
        </w:tabs>
        <w:spacing w:after="0" w:line="240" w:lineRule="auto"/>
        <w:rPr>
          <w:rFonts w:cs="Times New Roman"/>
          <w:szCs w:val="24"/>
        </w:rPr>
      </w:pPr>
      <w:r>
        <w:rPr>
          <w:rFonts w:cs="Times New Roman"/>
          <w:szCs w:val="24"/>
        </w:rPr>
        <w:tab/>
        <w:t xml:space="preserve">Docket TC-001846 </w:t>
      </w:r>
      <w:r w:rsidRPr="00F5126D">
        <w:rPr>
          <w:rFonts w:cs="Times New Roman"/>
          <w:szCs w:val="24"/>
        </w:rPr>
        <w:tab/>
      </w:r>
      <w:r w:rsidR="006948B3">
        <w:rPr>
          <w:rFonts w:cs="Times New Roman"/>
          <w:szCs w:val="24"/>
        </w:rPr>
        <w:t xml:space="preserve">14, </w:t>
      </w:r>
      <w:r w:rsidRPr="00F5126D">
        <w:rPr>
          <w:rFonts w:cs="Times New Roman"/>
          <w:szCs w:val="24"/>
        </w:rPr>
        <w:t>15</w:t>
      </w:r>
    </w:p>
    <w:p w14:paraId="6B4F70B6" w14:textId="77777777" w:rsidR="0016032B" w:rsidRPr="00F5126D" w:rsidRDefault="0016032B" w:rsidP="0016032B">
      <w:pPr>
        <w:tabs>
          <w:tab w:val="left" w:pos="720"/>
          <w:tab w:val="left" w:pos="1440"/>
          <w:tab w:val="left" w:pos="2160"/>
          <w:tab w:val="right" w:leader="dot" w:pos="9180"/>
        </w:tabs>
        <w:spacing w:after="0" w:line="240" w:lineRule="auto"/>
        <w:rPr>
          <w:rFonts w:cs="Times New Roman"/>
          <w:szCs w:val="24"/>
        </w:rPr>
      </w:pPr>
    </w:p>
    <w:p w14:paraId="61A3E71B" w14:textId="77777777" w:rsidR="0016032B" w:rsidRPr="00F5126D" w:rsidRDefault="0016032B" w:rsidP="0016032B">
      <w:pPr>
        <w:tabs>
          <w:tab w:val="left" w:pos="720"/>
          <w:tab w:val="left" w:pos="1440"/>
          <w:tab w:val="left" w:pos="2160"/>
          <w:tab w:val="right" w:leader="dot" w:pos="9180"/>
        </w:tabs>
        <w:spacing w:after="0" w:line="240" w:lineRule="auto"/>
        <w:rPr>
          <w:rFonts w:cs="Times New Roman"/>
          <w:szCs w:val="24"/>
        </w:rPr>
      </w:pPr>
      <w:r w:rsidRPr="00F5126D">
        <w:rPr>
          <w:rFonts w:cs="Times New Roman"/>
          <w:i/>
          <w:szCs w:val="24"/>
        </w:rPr>
        <w:t>WUTC v. Pacific Power &amp; Light Co.</w:t>
      </w:r>
      <w:r w:rsidRPr="00F5126D">
        <w:rPr>
          <w:rFonts w:cs="Times New Roman"/>
          <w:szCs w:val="24"/>
        </w:rPr>
        <w:t xml:space="preserve">, </w:t>
      </w:r>
    </w:p>
    <w:p w14:paraId="67E5F3B6" w14:textId="77777777" w:rsidR="0016032B" w:rsidRPr="00F5126D" w:rsidRDefault="0016032B" w:rsidP="0016032B">
      <w:pPr>
        <w:tabs>
          <w:tab w:val="left" w:pos="720"/>
          <w:tab w:val="left" w:pos="1440"/>
          <w:tab w:val="left" w:pos="2160"/>
          <w:tab w:val="right" w:leader="dot" w:pos="9180"/>
        </w:tabs>
        <w:spacing w:after="0" w:line="240" w:lineRule="auto"/>
        <w:rPr>
          <w:rFonts w:cs="Times New Roman"/>
          <w:szCs w:val="24"/>
        </w:rPr>
      </w:pPr>
      <w:r>
        <w:rPr>
          <w:rFonts w:cs="Times New Roman"/>
          <w:szCs w:val="24"/>
        </w:rPr>
        <w:tab/>
      </w:r>
      <w:r w:rsidRPr="00F5126D">
        <w:rPr>
          <w:rFonts w:cs="Times New Roman"/>
          <w:szCs w:val="24"/>
        </w:rPr>
        <w:t>Docket UE-130043, Order 05 (December 4, 2013)</w:t>
      </w:r>
      <w:r>
        <w:rPr>
          <w:rFonts w:cs="Times New Roman"/>
          <w:szCs w:val="24"/>
        </w:rPr>
        <w:tab/>
      </w:r>
      <w:r w:rsidRPr="00F5126D">
        <w:rPr>
          <w:rFonts w:cs="Times New Roman"/>
          <w:szCs w:val="24"/>
        </w:rPr>
        <w:t>18</w:t>
      </w:r>
    </w:p>
    <w:p w14:paraId="7BC38573" w14:textId="77777777" w:rsidR="0016032B" w:rsidRPr="00F5126D" w:rsidRDefault="0016032B" w:rsidP="0016032B">
      <w:pPr>
        <w:tabs>
          <w:tab w:val="left" w:pos="720"/>
          <w:tab w:val="left" w:pos="1440"/>
          <w:tab w:val="left" w:pos="2160"/>
          <w:tab w:val="right" w:leader="dot" w:pos="9180"/>
        </w:tabs>
        <w:spacing w:after="0" w:line="240" w:lineRule="auto"/>
        <w:rPr>
          <w:rFonts w:cs="Times New Roman"/>
          <w:szCs w:val="24"/>
        </w:rPr>
      </w:pPr>
    </w:p>
    <w:p w14:paraId="16E3820B" w14:textId="77777777" w:rsidR="0016032B" w:rsidRPr="00F5126D" w:rsidRDefault="0016032B" w:rsidP="0016032B">
      <w:pPr>
        <w:keepNext/>
        <w:tabs>
          <w:tab w:val="left" w:pos="720"/>
          <w:tab w:val="left" w:pos="1440"/>
          <w:tab w:val="left" w:pos="2160"/>
          <w:tab w:val="right" w:leader="dot" w:pos="9180"/>
        </w:tabs>
        <w:spacing w:after="0" w:line="240" w:lineRule="auto"/>
        <w:rPr>
          <w:rFonts w:cs="Times New Roman"/>
          <w:szCs w:val="24"/>
        </w:rPr>
      </w:pPr>
      <w:r w:rsidRPr="00F5126D">
        <w:rPr>
          <w:rFonts w:cs="Times New Roman"/>
          <w:i/>
          <w:szCs w:val="24"/>
        </w:rPr>
        <w:t>WUTC v. Sno-King Garbage Co.</w:t>
      </w:r>
      <w:r w:rsidRPr="00F5126D">
        <w:rPr>
          <w:rFonts w:cs="Times New Roman"/>
          <w:szCs w:val="24"/>
        </w:rPr>
        <w:t>,</w:t>
      </w:r>
    </w:p>
    <w:p w14:paraId="31009DD0" w14:textId="77777777" w:rsidR="0016032B" w:rsidRPr="00F5126D" w:rsidRDefault="0016032B" w:rsidP="0016032B">
      <w:pPr>
        <w:tabs>
          <w:tab w:val="left" w:pos="720"/>
          <w:tab w:val="left" w:pos="1440"/>
          <w:tab w:val="left" w:pos="2160"/>
          <w:tab w:val="right" w:leader="dot" w:pos="9180"/>
        </w:tabs>
        <w:spacing w:after="0" w:line="240" w:lineRule="auto"/>
        <w:ind w:left="720"/>
        <w:rPr>
          <w:rFonts w:cs="Times New Roman"/>
          <w:szCs w:val="24"/>
        </w:rPr>
      </w:pPr>
      <w:r w:rsidRPr="00F5126D">
        <w:rPr>
          <w:rFonts w:cs="Times New Roman"/>
          <w:szCs w:val="24"/>
        </w:rPr>
        <w:t xml:space="preserve">Dockets TG-900657 and TG-900658 (consolidated), </w:t>
      </w:r>
    </w:p>
    <w:p w14:paraId="7FB308C7" w14:textId="77777777" w:rsidR="0016032B" w:rsidRPr="00F5126D" w:rsidRDefault="0016032B" w:rsidP="0016032B">
      <w:pPr>
        <w:tabs>
          <w:tab w:val="left" w:pos="720"/>
          <w:tab w:val="left" w:pos="1440"/>
          <w:tab w:val="left" w:pos="2160"/>
          <w:tab w:val="right" w:leader="dot" w:pos="9180"/>
        </w:tabs>
        <w:spacing w:after="0" w:line="240" w:lineRule="auto"/>
        <w:ind w:left="720"/>
        <w:rPr>
          <w:rFonts w:cs="Times New Roman"/>
          <w:szCs w:val="24"/>
        </w:rPr>
      </w:pPr>
      <w:r w:rsidRPr="00F5126D">
        <w:rPr>
          <w:rFonts w:cs="Times New Roman"/>
          <w:szCs w:val="24"/>
        </w:rPr>
        <w:t xml:space="preserve">Fourth </w:t>
      </w:r>
      <w:r>
        <w:rPr>
          <w:rFonts w:cs="Times New Roman"/>
          <w:szCs w:val="24"/>
        </w:rPr>
        <w:t xml:space="preserve">Supplemental Order (December 10, 1991). </w:t>
      </w:r>
      <w:r>
        <w:rPr>
          <w:rFonts w:cs="Times New Roman"/>
          <w:szCs w:val="24"/>
        </w:rPr>
        <w:tab/>
      </w:r>
      <w:r w:rsidRPr="00F5126D">
        <w:rPr>
          <w:rFonts w:cs="Times New Roman"/>
          <w:szCs w:val="24"/>
        </w:rPr>
        <w:t>19</w:t>
      </w:r>
    </w:p>
    <w:p w14:paraId="1264C0CB" w14:textId="77777777" w:rsidR="0016032B" w:rsidRPr="00F5126D" w:rsidRDefault="0016032B" w:rsidP="0016032B">
      <w:pPr>
        <w:tabs>
          <w:tab w:val="left" w:pos="720"/>
          <w:tab w:val="left" w:pos="1440"/>
          <w:tab w:val="left" w:pos="2160"/>
          <w:tab w:val="right" w:leader="dot" w:pos="9180"/>
        </w:tabs>
        <w:spacing w:after="0" w:line="240" w:lineRule="auto"/>
        <w:rPr>
          <w:rFonts w:cs="Times New Roman"/>
          <w:i/>
          <w:szCs w:val="24"/>
        </w:rPr>
      </w:pPr>
    </w:p>
    <w:p w14:paraId="3E44E105" w14:textId="77777777" w:rsidR="0016032B" w:rsidRPr="00F5126D" w:rsidRDefault="0016032B" w:rsidP="0016032B">
      <w:pPr>
        <w:tabs>
          <w:tab w:val="left" w:pos="720"/>
          <w:tab w:val="left" w:pos="1440"/>
          <w:tab w:val="left" w:pos="2160"/>
          <w:tab w:val="right" w:leader="dot" w:pos="9180"/>
        </w:tabs>
        <w:spacing w:after="0" w:line="240" w:lineRule="auto"/>
        <w:rPr>
          <w:rFonts w:cs="Times New Roman"/>
          <w:szCs w:val="24"/>
        </w:rPr>
      </w:pPr>
      <w:r w:rsidRPr="00F5126D">
        <w:rPr>
          <w:rFonts w:cs="Times New Roman"/>
          <w:i/>
          <w:szCs w:val="24"/>
        </w:rPr>
        <w:t>WUTC v. Waste Control, Inc.</w:t>
      </w:r>
      <w:r w:rsidRPr="00F5126D">
        <w:rPr>
          <w:rFonts w:cs="Times New Roman"/>
          <w:szCs w:val="24"/>
        </w:rPr>
        <w:t xml:space="preserve">, </w:t>
      </w:r>
    </w:p>
    <w:p w14:paraId="73795C46" w14:textId="77777777" w:rsidR="0016032B" w:rsidRPr="00F5126D" w:rsidRDefault="0016032B" w:rsidP="0016032B">
      <w:pPr>
        <w:tabs>
          <w:tab w:val="left" w:pos="720"/>
          <w:tab w:val="left" w:pos="1440"/>
          <w:tab w:val="left" w:pos="2160"/>
          <w:tab w:val="right" w:leader="dot" w:pos="9180"/>
        </w:tabs>
        <w:spacing w:after="0" w:line="240" w:lineRule="auto"/>
        <w:rPr>
          <w:rFonts w:cs="Times New Roman"/>
          <w:szCs w:val="24"/>
        </w:rPr>
      </w:pPr>
      <w:r>
        <w:rPr>
          <w:rFonts w:cs="Times New Roman"/>
          <w:szCs w:val="24"/>
        </w:rPr>
        <w:tab/>
      </w:r>
      <w:r w:rsidRPr="00F5126D">
        <w:rPr>
          <w:rFonts w:cs="Times New Roman"/>
          <w:szCs w:val="24"/>
        </w:rPr>
        <w:t>Docket TG-131794, Notice of Prehearing Conference (Dec</w:t>
      </w:r>
      <w:r>
        <w:rPr>
          <w:rFonts w:cs="Times New Roman"/>
          <w:szCs w:val="24"/>
        </w:rPr>
        <w:t>ember</w:t>
      </w:r>
      <w:r w:rsidRPr="00F5126D">
        <w:rPr>
          <w:rFonts w:cs="Times New Roman"/>
          <w:szCs w:val="24"/>
        </w:rPr>
        <w:t xml:space="preserve"> 24, 2013)</w:t>
      </w:r>
      <w:r w:rsidRPr="00F5126D">
        <w:rPr>
          <w:rFonts w:cs="Times New Roman"/>
          <w:szCs w:val="24"/>
        </w:rPr>
        <w:tab/>
        <w:t>24</w:t>
      </w:r>
    </w:p>
    <w:p w14:paraId="11D5D302" w14:textId="77777777" w:rsidR="0016032B" w:rsidRPr="00F5126D" w:rsidRDefault="0016032B" w:rsidP="0016032B">
      <w:pPr>
        <w:tabs>
          <w:tab w:val="left" w:pos="720"/>
          <w:tab w:val="left" w:pos="1440"/>
          <w:tab w:val="left" w:pos="2160"/>
          <w:tab w:val="right" w:leader="dot" w:pos="9180"/>
        </w:tabs>
        <w:spacing w:after="0" w:line="240" w:lineRule="auto"/>
        <w:rPr>
          <w:rFonts w:cs="Times New Roman"/>
          <w:szCs w:val="24"/>
        </w:rPr>
      </w:pPr>
    </w:p>
    <w:p w14:paraId="530CA4A7" w14:textId="77777777" w:rsidR="0016032B" w:rsidRPr="00F5126D" w:rsidRDefault="0016032B" w:rsidP="0016032B">
      <w:pPr>
        <w:tabs>
          <w:tab w:val="left" w:pos="720"/>
          <w:tab w:val="left" w:pos="1440"/>
          <w:tab w:val="left" w:pos="2160"/>
          <w:tab w:val="right" w:leader="dot" w:pos="9180"/>
        </w:tabs>
        <w:spacing w:after="0" w:line="240" w:lineRule="auto"/>
        <w:rPr>
          <w:rFonts w:cs="Times New Roman"/>
          <w:szCs w:val="24"/>
        </w:rPr>
      </w:pPr>
      <w:r w:rsidRPr="00F5126D">
        <w:rPr>
          <w:rFonts w:cs="Times New Roman"/>
          <w:i/>
          <w:szCs w:val="24"/>
        </w:rPr>
        <w:t>WUTC v. Waste Control, Inc.</w:t>
      </w:r>
      <w:r w:rsidRPr="00F5126D">
        <w:rPr>
          <w:rFonts w:cs="Times New Roman"/>
          <w:szCs w:val="24"/>
        </w:rPr>
        <w:t xml:space="preserve">, </w:t>
      </w:r>
    </w:p>
    <w:p w14:paraId="27158BF6" w14:textId="77777777" w:rsidR="0016032B" w:rsidRPr="00F5126D" w:rsidRDefault="0016032B" w:rsidP="0016032B">
      <w:pPr>
        <w:tabs>
          <w:tab w:val="left" w:pos="720"/>
          <w:tab w:val="left" w:pos="1440"/>
          <w:tab w:val="left" w:pos="2160"/>
          <w:tab w:val="right" w:leader="dot" w:pos="9180"/>
        </w:tabs>
        <w:spacing w:after="0" w:line="240" w:lineRule="auto"/>
        <w:rPr>
          <w:rFonts w:cs="Times New Roman"/>
          <w:szCs w:val="24"/>
        </w:rPr>
      </w:pPr>
      <w:r>
        <w:rPr>
          <w:rFonts w:cs="Times New Roman"/>
          <w:szCs w:val="24"/>
        </w:rPr>
        <w:tab/>
      </w:r>
      <w:r w:rsidRPr="00F5126D">
        <w:rPr>
          <w:rFonts w:cs="Times New Roman"/>
          <w:szCs w:val="24"/>
        </w:rPr>
        <w:t>Docket TG-131</w:t>
      </w:r>
      <w:r>
        <w:rPr>
          <w:rFonts w:cs="Times New Roman"/>
          <w:szCs w:val="24"/>
        </w:rPr>
        <w:t>794, Order 05 (March 25, 2014)</w:t>
      </w:r>
      <w:r>
        <w:rPr>
          <w:rFonts w:cs="Times New Roman"/>
          <w:szCs w:val="24"/>
        </w:rPr>
        <w:tab/>
      </w:r>
      <w:r w:rsidRPr="00F5126D">
        <w:rPr>
          <w:rFonts w:cs="Times New Roman"/>
          <w:szCs w:val="24"/>
        </w:rPr>
        <w:t>24, 28</w:t>
      </w:r>
    </w:p>
    <w:p w14:paraId="00A7286C" w14:textId="77777777" w:rsidR="0016032B" w:rsidRPr="00F5126D" w:rsidRDefault="0016032B" w:rsidP="0016032B">
      <w:pPr>
        <w:tabs>
          <w:tab w:val="left" w:pos="720"/>
          <w:tab w:val="left" w:pos="1440"/>
          <w:tab w:val="left" w:pos="2160"/>
          <w:tab w:val="right" w:leader="dot" w:pos="9180"/>
        </w:tabs>
        <w:spacing w:after="0" w:line="240" w:lineRule="auto"/>
        <w:rPr>
          <w:rFonts w:cs="Times New Roman"/>
          <w:szCs w:val="24"/>
        </w:rPr>
      </w:pPr>
    </w:p>
    <w:p w14:paraId="27C678B9" w14:textId="77777777" w:rsidR="0016032B" w:rsidRPr="00F5126D" w:rsidRDefault="0016032B" w:rsidP="0016032B">
      <w:pPr>
        <w:tabs>
          <w:tab w:val="left" w:pos="720"/>
          <w:tab w:val="left" w:pos="1440"/>
          <w:tab w:val="left" w:pos="2160"/>
          <w:tab w:val="right" w:leader="dot" w:pos="9180"/>
        </w:tabs>
        <w:spacing w:after="0" w:line="240" w:lineRule="auto"/>
        <w:rPr>
          <w:rFonts w:cs="Times New Roman"/>
          <w:szCs w:val="24"/>
        </w:rPr>
      </w:pPr>
      <w:r w:rsidRPr="00F5126D">
        <w:rPr>
          <w:rFonts w:cs="Times New Roman"/>
          <w:i/>
          <w:szCs w:val="24"/>
        </w:rPr>
        <w:t>WUTC v. Waste Control, Inc.</w:t>
      </w:r>
      <w:r w:rsidRPr="00F5126D">
        <w:rPr>
          <w:rFonts w:cs="Times New Roman"/>
          <w:szCs w:val="24"/>
        </w:rPr>
        <w:t>,</w:t>
      </w:r>
    </w:p>
    <w:p w14:paraId="0412219C" w14:textId="77777777" w:rsidR="0016032B" w:rsidRPr="00F5126D" w:rsidRDefault="0016032B" w:rsidP="0016032B">
      <w:pPr>
        <w:tabs>
          <w:tab w:val="left" w:pos="720"/>
          <w:tab w:val="left" w:pos="1440"/>
          <w:tab w:val="left" w:pos="2160"/>
          <w:tab w:val="right" w:leader="dot" w:pos="9180"/>
        </w:tabs>
        <w:spacing w:after="0" w:line="240" w:lineRule="auto"/>
        <w:rPr>
          <w:rFonts w:cs="Times New Roman"/>
          <w:szCs w:val="24"/>
        </w:rPr>
      </w:pPr>
      <w:r>
        <w:rPr>
          <w:rFonts w:cs="Times New Roman"/>
          <w:szCs w:val="24"/>
        </w:rPr>
        <w:tab/>
      </w:r>
      <w:r w:rsidRPr="00F5126D">
        <w:rPr>
          <w:rFonts w:cs="Times New Roman"/>
          <w:szCs w:val="24"/>
        </w:rPr>
        <w:t>Docket TG-1</w:t>
      </w:r>
      <w:r>
        <w:rPr>
          <w:rFonts w:cs="Times New Roman"/>
          <w:szCs w:val="24"/>
        </w:rPr>
        <w:t>40560, Order 05 (July 2, 2014)</w:t>
      </w:r>
      <w:r>
        <w:rPr>
          <w:rFonts w:cs="Times New Roman"/>
          <w:szCs w:val="24"/>
        </w:rPr>
        <w:tab/>
      </w:r>
      <w:r w:rsidRPr="00F5126D">
        <w:rPr>
          <w:rFonts w:cs="Times New Roman"/>
          <w:szCs w:val="24"/>
        </w:rPr>
        <w:t>26</w:t>
      </w:r>
    </w:p>
    <w:p w14:paraId="46A018D4" w14:textId="77777777" w:rsidR="0016032B" w:rsidRPr="00F5126D" w:rsidRDefault="0016032B" w:rsidP="0016032B">
      <w:pPr>
        <w:tabs>
          <w:tab w:val="left" w:pos="720"/>
          <w:tab w:val="left" w:pos="1440"/>
          <w:tab w:val="left" w:pos="2160"/>
          <w:tab w:val="right" w:leader="dot" w:pos="9180"/>
        </w:tabs>
        <w:spacing w:after="0" w:line="240" w:lineRule="auto"/>
        <w:rPr>
          <w:rFonts w:cs="Times New Roman"/>
          <w:szCs w:val="24"/>
        </w:rPr>
      </w:pPr>
    </w:p>
    <w:p w14:paraId="06E55339" w14:textId="77777777" w:rsidR="0016032B" w:rsidRPr="00F5126D" w:rsidRDefault="0016032B" w:rsidP="0016032B">
      <w:pPr>
        <w:tabs>
          <w:tab w:val="left" w:pos="720"/>
          <w:tab w:val="left" w:pos="1440"/>
          <w:tab w:val="left" w:pos="2160"/>
          <w:tab w:val="right" w:leader="dot" w:pos="9180"/>
        </w:tabs>
        <w:spacing w:after="0" w:line="240" w:lineRule="auto"/>
        <w:rPr>
          <w:rFonts w:cs="Times New Roman"/>
          <w:szCs w:val="24"/>
        </w:rPr>
      </w:pPr>
      <w:r w:rsidRPr="00F5126D">
        <w:rPr>
          <w:rFonts w:cs="Times New Roman"/>
          <w:i/>
          <w:szCs w:val="24"/>
        </w:rPr>
        <w:t>WUTC v. Bremerton-Kitsap Airporter, Inc.</w:t>
      </w:r>
      <w:r w:rsidRPr="00F5126D">
        <w:rPr>
          <w:rFonts w:cs="Times New Roman"/>
          <w:szCs w:val="24"/>
        </w:rPr>
        <w:t xml:space="preserve">, </w:t>
      </w:r>
    </w:p>
    <w:p w14:paraId="26B6778B" w14:textId="77777777" w:rsidR="0016032B" w:rsidRDefault="0016032B" w:rsidP="0016032B">
      <w:pPr>
        <w:tabs>
          <w:tab w:val="left" w:pos="720"/>
          <w:tab w:val="left" w:pos="1440"/>
          <w:tab w:val="left" w:pos="2160"/>
          <w:tab w:val="right" w:leader="dot" w:pos="9180"/>
        </w:tabs>
        <w:spacing w:after="0" w:line="240" w:lineRule="auto"/>
        <w:ind w:left="720"/>
        <w:rPr>
          <w:rFonts w:cs="Times New Roman"/>
          <w:szCs w:val="24"/>
        </w:rPr>
      </w:pPr>
      <w:r w:rsidRPr="00F5126D">
        <w:rPr>
          <w:rFonts w:cs="Times New Roman"/>
          <w:szCs w:val="24"/>
        </w:rPr>
        <w:t xml:space="preserve">Docket TC-001846, </w:t>
      </w:r>
    </w:p>
    <w:p w14:paraId="4114CE10" w14:textId="77777777" w:rsidR="0016032B" w:rsidRPr="00F5126D" w:rsidRDefault="0016032B" w:rsidP="0016032B">
      <w:pPr>
        <w:tabs>
          <w:tab w:val="left" w:pos="720"/>
          <w:tab w:val="left" w:pos="1440"/>
          <w:tab w:val="left" w:pos="2160"/>
          <w:tab w:val="right" w:leader="dot" w:pos="9180"/>
        </w:tabs>
        <w:spacing w:after="0" w:line="240" w:lineRule="auto"/>
        <w:ind w:left="720"/>
        <w:rPr>
          <w:rFonts w:cs="Times New Roman"/>
          <w:szCs w:val="24"/>
        </w:rPr>
      </w:pPr>
      <w:r>
        <w:rPr>
          <w:rFonts w:cs="Times New Roman"/>
          <w:szCs w:val="24"/>
        </w:rPr>
        <w:t>Third Supplemental Order</w:t>
      </w:r>
      <w:r w:rsidRPr="00F5126D">
        <w:rPr>
          <w:rFonts w:cs="Times New Roman"/>
          <w:szCs w:val="24"/>
        </w:rPr>
        <w:t xml:space="preserve"> (April 15, 2014)</w:t>
      </w:r>
      <w:r w:rsidRPr="00F5126D">
        <w:rPr>
          <w:rFonts w:cs="Times New Roman"/>
          <w:szCs w:val="24"/>
        </w:rPr>
        <w:tab/>
        <w:t>29</w:t>
      </w:r>
    </w:p>
    <w:p w14:paraId="563208FD" w14:textId="77777777" w:rsidR="0016032B" w:rsidRDefault="0016032B" w:rsidP="0016032B">
      <w:pPr>
        <w:tabs>
          <w:tab w:val="left" w:pos="720"/>
          <w:tab w:val="left" w:pos="1440"/>
          <w:tab w:val="left" w:pos="2160"/>
          <w:tab w:val="right" w:pos="9180"/>
        </w:tabs>
        <w:spacing w:after="0" w:line="240" w:lineRule="auto"/>
        <w:rPr>
          <w:rFonts w:cs="Times New Roman"/>
          <w:szCs w:val="24"/>
        </w:rPr>
      </w:pPr>
    </w:p>
    <w:p w14:paraId="588FAF32" w14:textId="77777777" w:rsidR="0016032B" w:rsidRPr="00A05245" w:rsidRDefault="0016032B" w:rsidP="0016032B">
      <w:pPr>
        <w:tabs>
          <w:tab w:val="left" w:pos="720"/>
          <w:tab w:val="left" w:pos="1440"/>
          <w:tab w:val="left" w:pos="2160"/>
          <w:tab w:val="right" w:pos="9180"/>
        </w:tabs>
        <w:spacing w:after="0" w:line="240" w:lineRule="auto"/>
        <w:rPr>
          <w:rFonts w:cs="Times New Roman"/>
          <w:szCs w:val="24"/>
        </w:rPr>
      </w:pPr>
    </w:p>
    <w:p w14:paraId="1B40F07A" w14:textId="77777777" w:rsidR="0016032B" w:rsidRPr="0016032B" w:rsidRDefault="0016032B" w:rsidP="0016032B">
      <w:pPr>
        <w:tabs>
          <w:tab w:val="left" w:pos="720"/>
          <w:tab w:val="left" w:pos="1440"/>
          <w:tab w:val="left" w:pos="2160"/>
          <w:tab w:val="right" w:pos="9180"/>
        </w:tabs>
        <w:spacing w:after="0" w:line="240" w:lineRule="auto"/>
        <w:jc w:val="center"/>
        <w:rPr>
          <w:rFonts w:cs="Times New Roman"/>
          <w:b/>
          <w:i/>
          <w:szCs w:val="24"/>
        </w:rPr>
      </w:pPr>
      <w:r w:rsidRPr="0016032B">
        <w:rPr>
          <w:rFonts w:cs="Times New Roman"/>
          <w:b/>
          <w:i/>
          <w:szCs w:val="24"/>
        </w:rPr>
        <w:t>Statutes and Rules</w:t>
      </w:r>
    </w:p>
    <w:p w14:paraId="25562D99" w14:textId="77777777" w:rsidR="0016032B" w:rsidRPr="00FE0AC6" w:rsidRDefault="0016032B" w:rsidP="0016032B">
      <w:pPr>
        <w:tabs>
          <w:tab w:val="left" w:pos="720"/>
          <w:tab w:val="left" w:pos="1440"/>
          <w:tab w:val="left" w:pos="2160"/>
          <w:tab w:val="right" w:pos="9180"/>
        </w:tabs>
        <w:spacing w:after="0" w:line="240" w:lineRule="auto"/>
        <w:rPr>
          <w:rFonts w:cs="Times New Roman"/>
          <w:szCs w:val="24"/>
        </w:rPr>
      </w:pPr>
    </w:p>
    <w:p w14:paraId="761FFFAD" w14:textId="671A4CFC" w:rsidR="0016032B" w:rsidRDefault="0016032B" w:rsidP="00E13C36">
      <w:pPr>
        <w:tabs>
          <w:tab w:val="left" w:pos="720"/>
          <w:tab w:val="left" w:pos="1440"/>
          <w:tab w:val="left" w:pos="1620"/>
          <w:tab w:val="right" w:leader="dot" w:pos="9180"/>
        </w:tabs>
        <w:spacing w:after="0" w:line="240" w:lineRule="auto"/>
        <w:rPr>
          <w:rFonts w:cs="Times New Roman"/>
          <w:szCs w:val="24"/>
        </w:rPr>
      </w:pPr>
      <w:r w:rsidRPr="00FE0AC6">
        <w:rPr>
          <w:rFonts w:cs="Times New Roman"/>
          <w:szCs w:val="24"/>
        </w:rPr>
        <w:t>RCW 81.16.010</w:t>
      </w:r>
      <w:r w:rsidRPr="00FE0AC6">
        <w:rPr>
          <w:rFonts w:cs="Times New Roman"/>
          <w:szCs w:val="24"/>
        </w:rPr>
        <w:tab/>
      </w:r>
      <w:r>
        <w:rPr>
          <w:rFonts w:cs="Times New Roman"/>
          <w:szCs w:val="24"/>
        </w:rPr>
        <w:tab/>
      </w:r>
      <w:r w:rsidRPr="00FE0AC6">
        <w:rPr>
          <w:rFonts w:cs="Times New Roman"/>
          <w:szCs w:val="24"/>
        </w:rPr>
        <w:t>11, 1</w:t>
      </w:r>
      <w:r w:rsidR="006948B3">
        <w:rPr>
          <w:rFonts w:cs="Times New Roman"/>
          <w:szCs w:val="24"/>
        </w:rPr>
        <w:t>2</w:t>
      </w:r>
    </w:p>
    <w:p w14:paraId="44A0796C" w14:textId="77777777" w:rsidR="0016032B" w:rsidRPr="00FE0AC6" w:rsidRDefault="0016032B" w:rsidP="00E13C36">
      <w:pPr>
        <w:tabs>
          <w:tab w:val="left" w:pos="720"/>
          <w:tab w:val="left" w:pos="1440"/>
          <w:tab w:val="left" w:pos="1620"/>
          <w:tab w:val="right" w:leader="dot" w:pos="9180"/>
        </w:tabs>
        <w:spacing w:after="0" w:line="240" w:lineRule="auto"/>
        <w:rPr>
          <w:rFonts w:cs="Times New Roman"/>
          <w:szCs w:val="24"/>
        </w:rPr>
      </w:pPr>
    </w:p>
    <w:p w14:paraId="5B5EFB86" w14:textId="280C7B04" w:rsidR="0016032B" w:rsidRDefault="0016032B" w:rsidP="00E13C36">
      <w:pPr>
        <w:tabs>
          <w:tab w:val="left" w:pos="720"/>
          <w:tab w:val="left" w:pos="1440"/>
          <w:tab w:val="left" w:pos="1620"/>
          <w:tab w:val="right" w:leader="dot" w:pos="9180"/>
        </w:tabs>
        <w:spacing w:after="0" w:line="240" w:lineRule="auto"/>
        <w:rPr>
          <w:rFonts w:cs="Times New Roman"/>
          <w:szCs w:val="24"/>
        </w:rPr>
      </w:pPr>
      <w:r w:rsidRPr="00FE0AC6">
        <w:rPr>
          <w:rFonts w:cs="Times New Roman"/>
          <w:szCs w:val="24"/>
        </w:rPr>
        <w:t>RCW 81.16.030</w:t>
      </w:r>
      <w:r w:rsidRPr="00FE0AC6">
        <w:rPr>
          <w:rFonts w:cs="Times New Roman"/>
          <w:szCs w:val="24"/>
        </w:rPr>
        <w:tab/>
      </w:r>
      <w:r>
        <w:rPr>
          <w:rFonts w:cs="Times New Roman"/>
          <w:szCs w:val="24"/>
        </w:rPr>
        <w:tab/>
      </w:r>
      <w:r w:rsidRPr="00FE0AC6">
        <w:rPr>
          <w:rFonts w:cs="Times New Roman"/>
          <w:szCs w:val="24"/>
        </w:rPr>
        <w:t>11, 1</w:t>
      </w:r>
      <w:r w:rsidR="006948B3">
        <w:rPr>
          <w:rFonts w:cs="Times New Roman"/>
          <w:szCs w:val="24"/>
        </w:rPr>
        <w:t>2</w:t>
      </w:r>
      <w:r w:rsidRPr="00FE0AC6">
        <w:rPr>
          <w:rFonts w:cs="Times New Roman"/>
          <w:szCs w:val="24"/>
        </w:rPr>
        <w:t>, 15</w:t>
      </w:r>
    </w:p>
    <w:p w14:paraId="65E434F8" w14:textId="77777777" w:rsidR="0016032B" w:rsidRPr="00FE0AC6" w:rsidRDefault="0016032B" w:rsidP="00E13C36">
      <w:pPr>
        <w:tabs>
          <w:tab w:val="left" w:pos="720"/>
          <w:tab w:val="left" w:pos="1440"/>
          <w:tab w:val="left" w:pos="1620"/>
          <w:tab w:val="right" w:leader="dot" w:pos="9180"/>
        </w:tabs>
        <w:spacing w:after="0" w:line="240" w:lineRule="auto"/>
        <w:rPr>
          <w:rFonts w:cs="Times New Roman"/>
          <w:szCs w:val="24"/>
        </w:rPr>
      </w:pPr>
    </w:p>
    <w:p w14:paraId="7ED10081" w14:textId="77777777" w:rsidR="0016032B" w:rsidRDefault="0016032B" w:rsidP="00E13C36">
      <w:pPr>
        <w:tabs>
          <w:tab w:val="left" w:pos="720"/>
          <w:tab w:val="left" w:pos="1440"/>
          <w:tab w:val="left" w:pos="1620"/>
          <w:tab w:val="right" w:leader="dot" w:pos="9180"/>
        </w:tabs>
        <w:spacing w:after="0" w:line="240" w:lineRule="auto"/>
        <w:rPr>
          <w:rFonts w:cs="Times New Roman"/>
          <w:szCs w:val="24"/>
        </w:rPr>
      </w:pPr>
      <w:r w:rsidRPr="00FE0AC6">
        <w:rPr>
          <w:rFonts w:cs="Times New Roman"/>
          <w:szCs w:val="24"/>
        </w:rPr>
        <w:t>RCW 81.28.010</w:t>
      </w:r>
      <w:r w:rsidRPr="00FE0AC6">
        <w:rPr>
          <w:rFonts w:cs="Times New Roman"/>
          <w:szCs w:val="24"/>
        </w:rPr>
        <w:tab/>
      </w:r>
      <w:r>
        <w:rPr>
          <w:rFonts w:cs="Times New Roman"/>
          <w:szCs w:val="24"/>
        </w:rPr>
        <w:tab/>
      </w:r>
      <w:r w:rsidRPr="00FE0AC6">
        <w:rPr>
          <w:rFonts w:cs="Times New Roman"/>
          <w:szCs w:val="24"/>
        </w:rPr>
        <w:t>23</w:t>
      </w:r>
    </w:p>
    <w:p w14:paraId="330D6314" w14:textId="77777777" w:rsidR="0016032B" w:rsidRPr="00FE0AC6" w:rsidRDefault="0016032B" w:rsidP="00E13C36">
      <w:pPr>
        <w:tabs>
          <w:tab w:val="left" w:pos="720"/>
          <w:tab w:val="left" w:pos="1440"/>
          <w:tab w:val="left" w:pos="1620"/>
          <w:tab w:val="right" w:leader="dot" w:pos="9180"/>
        </w:tabs>
        <w:spacing w:after="0" w:line="240" w:lineRule="auto"/>
        <w:rPr>
          <w:rFonts w:cs="Times New Roman"/>
          <w:szCs w:val="24"/>
        </w:rPr>
      </w:pPr>
    </w:p>
    <w:p w14:paraId="239EC6D1" w14:textId="77777777" w:rsidR="0016032B" w:rsidRDefault="0016032B" w:rsidP="00E13C36">
      <w:pPr>
        <w:tabs>
          <w:tab w:val="left" w:pos="720"/>
          <w:tab w:val="left" w:pos="1440"/>
          <w:tab w:val="left" w:pos="1620"/>
          <w:tab w:val="right" w:leader="dot" w:pos="9180"/>
        </w:tabs>
        <w:spacing w:after="0" w:line="240" w:lineRule="auto"/>
        <w:rPr>
          <w:rFonts w:cs="Times New Roman"/>
          <w:szCs w:val="24"/>
        </w:rPr>
      </w:pPr>
      <w:r w:rsidRPr="00FE0AC6">
        <w:rPr>
          <w:rFonts w:cs="Times New Roman"/>
          <w:szCs w:val="24"/>
        </w:rPr>
        <w:t>RCW 81.20.020</w:t>
      </w:r>
      <w:r w:rsidRPr="00FE0AC6">
        <w:rPr>
          <w:rFonts w:cs="Times New Roman"/>
          <w:szCs w:val="24"/>
        </w:rPr>
        <w:tab/>
      </w:r>
      <w:r>
        <w:rPr>
          <w:rFonts w:cs="Times New Roman"/>
          <w:szCs w:val="24"/>
        </w:rPr>
        <w:tab/>
      </w:r>
      <w:r w:rsidRPr="00FE0AC6">
        <w:rPr>
          <w:rFonts w:cs="Times New Roman"/>
          <w:szCs w:val="24"/>
        </w:rPr>
        <w:t>29-30</w:t>
      </w:r>
    </w:p>
    <w:p w14:paraId="1D3DFD85" w14:textId="77777777" w:rsidR="0016032B" w:rsidRDefault="0016032B" w:rsidP="00E13C36">
      <w:pPr>
        <w:tabs>
          <w:tab w:val="left" w:pos="720"/>
          <w:tab w:val="left" w:pos="1440"/>
          <w:tab w:val="left" w:pos="1620"/>
          <w:tab w:val="right" w:leader="dot" w:pos="9180"/>
        </w:tabs>
        <w:spacing w:after="0" w:line="240" w:lineRule="auto"/>
        <w:rPr>
          <w:rFonts w:cs="Times New Roman"/>
          <w:szCs w:val="24"/>
        </w:rPr>
      </w:pPr>
    </w:p>
    <w:p w14:paraId="6E3396A1" w14:textId="77777777" w:rsidR="0016032B" w:rsidRPr="00FE0AC6" w:rsidRDefault="0016032B" w:rsidP="0016032B">
      <w:pPr>
        <w:tabs>
          <w:tab w:val="left" w:pos="720"/>
          <w:tab w:val="left" w:pos="1440"/>
          <w:tab w:val="left" w:pos="2160"/>
          <w:tab w:val="right" w:leader="dot" w:pos="9180"/>
        </w:tabs>
        <w:spacing w:after="0" w:line="240" w:lineRule="auto"/>
        <w:rPr>
          <w:rFonts w:cs="Times New Roman"/>
          <w:szCs w:val="24"/>
        </w:rPr>
      </w:pPr>
    </w:p>
    <w:p w14:paraId="4C268AFC" w14:textId="77777777" w:rsidR="0016032B" w:rsidRPr="0016032B" w:rsidRDefault="0016032B" w:rsidP="0016032B">
      <w:pPr>
        <w:tabs>
          <w:tab w:val="left" w:pos="720"/>
          <w:tab w:val="left" w:pos="1440"/>
          <w:tab w:val="left" w:pos="2160"/>
          <w:tab w:val="right" w:leader="dot" w:pos="9180"/>
        </w:tabs>
        <w:spacing w:after="0" w:line="240" w:lineRule="auto"/>
        <w:jc w:val="center"/>
        <w:rPr>
          <w:rFonts w:cs="Times New Roman"/>
          <w:b/>
          <w:i/>
          <w:szCs w:val="24"/>
        </w:rPr>
      </w:pPr>
      <w:r w:rsidRPr="0016032B">
        <w:rPr>
          <w:rFonts w:cs="Times New Roman"/>
          <w:b/>
          <w:i/>
          <w:szCs w:val="24"/>
        </w:rPr>
        <w:t>Other Authorities</w:t>
      </w:r>
    </w:p>
    <w:p w14:paraId="7DAEBFFB" w14:textId="77777777" w:rsidR="0016032B" w:rsidRPr="00F1453B" w:rsidRDefault="0016032B" w:rsidP="0016032B">
      <w:pPr>
        <w:tabs>
          <w:tab w:val="left" w:pos="720"/>
          <w:tab w:val="left" w:pos="1440"/>
          <w:tab w:val="left" w:pos="2160"/>
          <w:tab w:val="right" w:leader="dot" w:pos="9180"/>
        </w:tabs>
        <w:spacing w:after="0" w:line="240" w:lineRule="auto"/>
        <w:jc w:val="center"/>
        <w:rPr>
          <w:rFonts w:cs="Times New Roman"/>
          <w:i/>
          <w:szCs w:val="24"/>
        </w:rPr>
      </w:pPr>
    </w:p>
    <w:p w14:paraId="3408099A" w14:textId="1DFAF8D6" w:rsidR="0016032B" w:rsidRDefault="0016032B" w:rsidP="0016032B">
      <w:pPr>
        <w:tabs>
          <w:tab w:val="left" w:pos="720"/>
          <w:tab w:val="left" w:pos="1440"/>
          <w:tab w:val="left" w:pos="2160"/>
          <w:tab w:val="right" w:leader="dot" w:pos="9180"/>
        </w:tabs>
        <w:spacing w:after="0" w:line="240" w:lineRule="auto"/>
        <w:rPr>
          <w:rFonts w:cs="Times New Roman"/>
          <w:szCs w:val="24"/>
        </w:rPr>
      </w:pPr>
      <w:r w:rsidRPr="00F1453B">
        <w:rPr>
          <w:rFonts w:cs="Times New Roman"/>
          <w:szCs w:val="24"/>
        </w:rPr>
        <w:t xml:space="preserve">Goodman, Leonard Saul, </w:t>
      </w:r>
      <w:r w:rsidRPr="00F1453B">
        <w:rPr>
          <w:rFonts w:cs="Times New Roman"/>
          <w:i/>
          <w:szCs w:val="24"/>
        </w:rPr>
        <w:t>The Process of Ratemaking</w:t>
      </w:r>
      <w:r>
        <w:rPr>
          <w:rFonts w:cs="Times New Roman"/>
          <w:szCs w:val="24"/>
        </w:rPr>
        <w:t xml:space="preserve"> (1988) </w:t>
      </w:r>
      <w:r>
        <w:rPr>
          <w:rFonts w:cs="Times New Roman"/>
          <w:szCs w:val="24"/>
        </w:rPr>
        <w:tab/>
      </w:r>
      <w:r w:rsidR="006948B3">
        <w:rPr>
          <w:rFonts w:cs="Times New Roman"/>
          <w:szCs w:val="24"/>
        </w:rPr>
        <w:t xml:space="preserve">5, </w:t>
      </w:r>
      <w:r w:rsidRPr="00F1453B">
        <w:rPr>
          <w:rFonts w:cs="Times New Roman"/>
          <w:szCs w:val="24"/>
        </w:rPr>
        <w:t>6, 10, 20</w:t>
      </w:r>
    </w:p>
    <w:p w14:paraId="336537E1" w14:textId="77777777" w:rsidR="0016032B" w:rsidRPr="00F1453B" w:rsidRDefault="0016032B" w:rsidP="0016032B">
      <w:pPr>
        <w:tabs>
          <w:tab w:val="left" w:pos="720"/>
          <w:tab w:val="left" w:pos="1440"/>
          <w:tab w:val="left" w:pos="2160"/>
          <w:tab w:val="right" w:leader="dot" w:pos="9180"/>
        </w:tabs>
        <w:spacing w:after="0" w:line="240" w:lineRule="auto"/>
        <w:rPr>
          <w:rFonts w:cs="Times New Roman"/>
          <w:szCs w:val="24"/>
        </w:rPr>
      </w:pPr>
    </w:p>
    <w:p w14:paraId="4D1D91E6" w14:textId="42246A36" w:rsidR="0016032B" w:rsidRDefault="0016032B" w:rsidP="0016032B">
      <w:pPr>
        <w:tabs>
          <w:tab w:val="left" w:pos="720"/>
          <w:tab w:val="left" w:pos="1440"/>
          <w:tab w:val="left" w:pos="2160"/>
          <w:tab w:val="right" w:leader="dot" w:pos="9180"/>
        </w:tabs>
        <w:spacing w:after="0" w:line="240" w:lineRule="auto"/>
        <w:rPr>
          <w:rFonts w:cs="Times New Roman"/>
          <w:szCs w:val="24"/>
        </w:rPr>
      </w:pPr>
      <w:r w:rsidRPr="00F1453B">
        <w:rPr>
          <w:rFonts w:cs="Times New Roman"/>
          <w:szCs w:val="24"/>
        </w:rPr>
        <w:t xml:space="preserve">Phillips Jr., Charles F., </w:t>
      </w:r>
      <w:r w:rsidRPr="00F1453B">
        <w:rPr>
          <w:rFonts w:cs="Times New Roman"/>
          <w:i/>
          <w:szCs w:val="24"/>
        </w:rPr>
        <w:t>The Regulation of Public Utilities</w:t>
      </w:r>
      <w:r>
        <w:rPr>
          <w:rFonts w:cs="Times New Roman"/>
          <w:szCs w:val="24"/>
        </w:rPr>
        <w:t xml:space="preserve"> (1993)</w:t>
      </w:r>
      <w:r>
        <w:rPr>
          <w:rFonts w:cs="Times New Roman"/>
          <w:szCs w:val="24"/>
        </w:rPr>
        <w:tab/>
      </w:r>
      <w:r w:rsidR="006948B3">
        <w:rPr>
          <w:rFonts w:cs="Times New Roman"/>
          <w:szCs w:val="24"/>
        </w:rPr>
        <w:t>5</w:t>
      </w:r>
      <w:r w:rsidRPr="00F1453B">
        <w:rPr>
          <w:rFonts w:cs="Times New Roman"/>
          <w:szCs w:val="24"/>
        </w:rPr>
        <w:t>, 10, 18, 20</w:t>
      </w:r>
    </w:p>
    <w:p w14:paraId="0272F242" w14:textId="77777777" w:rsidR="0016032B" w:rsidRPr="00F1453B" w:rsidRDefault="0016032B" w:rsidP="0016032B">
      <w:pPr>
        <w:tabs>
          <w:tab w:val="left" w:pos="720"/>
          <w:tab w:val="left" w:pos="1440"/>
          <w:tab w:val="left" w:pos="2160"/>
          <w:tab w:val="right" w:leader="dot" w:pos="9180"/>
        </w:tabs>
        <w:spacing w:after="0" w:line="240" w:lineRule="auto"/>
        <w:rPr>
          <w:rFonts w:cs="Times New Roman"/>
          <w:szCs w:val="24"/>
        </w:rPr>
      </w:pPr>
    </w:p>
    <w:p w14:paraId="0EC48F51" w14:textId="16F0CFFB" w:rsidR="0016032B" w:rsidRDefault="0016032B" w:rsidP="0016032B">
      <w:pPr>
        <w:tabs>
          <w:tab w:val="left" w:pos="720"/>
          <w:tab w:val="left" w:pos="1440"/>
          <w:tab w:val="left" w:pos="2160"/>
          <w:tab w:val="right" w:leader="dot" w:pos="9180"/>
        </w:tabs>
        <w:spacing w:after="0" w:line="240" w:lineRule="auto"/>
        <w:rPr>
          <w:rFonts w:cs="Times New Roman"/>
          <w:szCs w:val="24"/>
        </w:rPr>
      </w:pPr>
      <w:r w:rsidRPr="00F1453B">
        <w:rPr>
          <w:rFonts w:cs="Times New Roman"/>
          <w:szCs w:val="24"/>
        </w:rPr>
        <w:t xml:space="preserve">Bonbright, James C., et. al., </w:t>
      </w:r>
      <w:r w:rsidRPr="00F1453B">
        <w:rPr>
          <w:rFonts w:cs="Times New Roman"/>
          <w:i/>
          <w:szCs w:val="24"/>
        </w:rPr>
        <w:t xml:space="preserve">Principles of Public Utility Rates </w:t>
      </w:r>
      <w:r w:rsidR="00830B32">
        <w:rPr>
          <w:rFonts w:cs="Times New Roman"/>
          <w:szCs w:val="24"/>
        </w:rPr>
        <w:t>(2d</w:t>
      </w:r>
      <w:r w:rsidRPr="00F1453B">
        <w:rPr>
          <w:rFonts w:cs="Times New Roman"/>
          <w:szCs w:val="24"/>
        </w:rPr>
        <w:t xml:space="preserve"> ed</w:t>
      </w:r>
      <w:r w:rsidR="00830B32">
        <w:rPr>
          <w:rFonts w:cs="Times New Roman"/>
          <w:szCs w:val="24"/>
        </w:rPr>
        <w:t>.</w:t>
      </w:r>
      <w:r w:rsidRPr="00F1453B">
        <w:rPr>
          <w:rFonts w:cs="Times New Roman"/>
          <w:szCs w:val="24"/>
        </w:rPr>
        <w:t xml:space="preserve"> 1988)</w:t>
      </w:r>
      <w:r w:rsidRPr="00F1453B">
        <w:rPr>
          <w:rFonts w:cs="Times New Roman"/>
          <w:szCs w:val="24"/>
        </w:rPr>
        <w:tab/>
        <w:t>10</w:t>
      </w:r>
    </w:p>
    <w:p w14:paraId="25BAD8E4" w14:textId="77777777" w:rsidR="0016032B" w:rsidRPr="00F1453B" w:rsidRDefault="0016032B" w:rsidP="0016032B">
      <w:pPr>
        <w:tabs>
          <w:tab w:val="left" w:pos="720"/>
          <w:tab w:val="left" w:pos="1440"/>
          <w:tab w:val="left" w:pos="2160"/>
          <w:tab w:val="right" w:leader="dot" w:pos="9180"/>
        </w:tabs>
        <w:spacing w:after="0" w:line="240" w:lineRule="auto"/>
        <w:rPr>
          <w:rFonts w:cs="Times New Roman"/>
          <w:szCs w:val="24"/>
        </w:rPr>
      </w:pPr>
    </w:p>
    <w:p w14:paraId="0C1F71BB" w14:textId="0ED3C352" w:rsidR="0016032B" w:rsidRDefault="0016032B" w:rsidP="0016032B">
      <w:pPr>
        <w:tabs>
          <w:tab w:val="left" w:pos="720"/>
          <w:tab w:val="left" w:pos="1440"/>
          <w:tab w:val="left" w:pos="2160"/>
          <w:tab w:val="right" w:leader="dot" w:pos="9180"/>
        </w:tabs>
        <w:spacing w:after="0" w:line="240" w:lineRule="auto"/>
        <w:rPr>
          <w:rFonts w:cs="Times New Roman"/>
          <w:szCs w:val="24"/>
        </w:rPr>
      </w:pPr>
      <w:r w:rsidRPr="00F1453B">
        <w:rPr>
          <w:rFonts w:cs="Times New Roman"/>
          <w:szCs w:val="24"/>
        </w:rPr>
        <w:t xml:space="preserve">Ross, Stephen A., et. al., </w:t>
      </w:r>
      <w:r w:rsidRPr="00F1453B">
        <w:rPr>
          <w:rFonts w:cs="Times New Roman"/>
          <w:i/>
          <w:szCs w:val="24"/>
        </w:rPr>
        <w:t xml:space="preserve">Essentials of Corporate Finance </w:t>
      </w:r>
      <w:r w:rsidR="00830B32">
        <w:rPr>
          <w:rFonts w:cs="Times New Roman"/>
          <w:szCs w:val="24"/>
        </w:rPr>
        <w:t>(4th</w:t>
      </w:r>
      <w:r w:rsidR="006948B3">
        <w:rPr>
          <w:rFonts w:cs="Times New Roman"/>
          <w:szCs w:val="24"/>
        </w:rPr>
        <w:t xml:space="preserve"> ed. 2004)</w:t>
      </w:r>
      <w:r w:rsidR="006948B3">
        <w:rPr>
          <w:rFonts w:cs="Times New Roman"/>
          <w:szCs w:val="24"/>
        </w:rPr>
        <w:tab/>
        <w:t>16</w:t>
      </w:r>
    </w:p>
    <w:p w14:paraId="117BC3E3" w14:textId="77777777" w:rsidR="00735A6A" w:rsidRDefault="00735A6A" w:rsidP="000A0211">
      <w:pPr>
        <w:spacing w:after="0" w:line="240" w:lineRule="auto"/>
        <w:rPr>
          <w:rFonts w:cs="Times New Roman"/>
        </w:rPr>
      </w:pPr>
    </w:p>
    <w:p w14:paraId="2D5AD0AD" w14:textId="77777777" w:rsidR="0016032B" w:rsidRDefault="0016032B" w:rsidP="000A0211">
      <w:pPr>
        <w:spacing w:after="0" w:line="240" w:lineRule="auto"/>
        <w:rPr>
          <w:rFonts w:cs="Times New Roman"/>
        </w:rPr>
      </w:pPr>
    </w:p>
    <w:p w14:paraId="5C570F6E" w14:textId="77777777" w:rsidR="0016032B" w:rsidRDefault="0016032B" w:rsidP="000A0211">
      <w:pPr>
        <w:spacing w:after="0" w:line="240" w:lineRule="auto"/>
        <w:rPr>
          <w:rFonts w:cs="Times New Roman"/>
        </w:rPr>
      </w:pPr>
    </w:p>
    <w:p w14:paraId="636763F8" w14:textId="073529B8" w:rsidR="000A0211" w:rsidRDefault="000A0211" w:rsidP="000A0211">
      <w:pPr>
        <w:spacing w:after="0" w:line="240" w:lineRule="auto"/>
        <w:rPr>
          <w:rFonts w:cs="Times New Roman"/>
        </w:rPr>
      </w:pPr>
    </w:p>
    <w:p w14:paraId="6F20BF80" w14:textId="77777777" w:rsidR="000A0211" w:rsidRDefault="000A0211" w:rsidP="00735A6A">
      <w:pPr>
        <w:rPr>
          <w:rFonts w:cs="Times New Roman"/>
        </w:rPr>
        <w:sectPr w:rsidR="000A0211" w:rsidSect="003C035C">
          <w:pgSz w:w="12240" w:h="15840"/>
          <w:pgMar w:top="1440" w:right="1440" w:bottom="1440" w:left="1872" w:header="720" w:footer="720" w:gutter="0"/>
          <w:pgNumType w:fmt="lowerRoman" w:start="1"/>
          <w:cols w:space="720"/>
          <w:docGrid w:linePitch="360"/>
        </w:sectPr>
      </w:pPr>
    </w:p>
    <w:p w14:paraId="4A729F7E" w14:textId="282D95DC" w:rsidR="0093646B" w:rsidRPr="003C035C" w:rsidRDefault="003C035C" w:rsidP="003C035C">
      <w:pPr>
        <w:spacing w:after="0" w:line="480" w:lineRule="auto"/>
        <w:jc w:val="center"/>
        <w:rPr>
          <w:rFonts w:cs="Times New Roman"/>
          <w:b/>
          <w:szCs w:val="24"/>
        </w:rPr>
      </w:pPr>
      <w:r w:rsidRPr="003C035C">
        <w:rPr>
          <w:b/>
        </w:rPr>
        <w:t>I.</w:t>
      </w:r>
      <w:r>
        <w:tab/>
      </w:r>
      <w:r w:rsidR="00E85424" w:rsidRPr="003C035C">
        <w:rPr>
          <w:rFonts w:cs="Times New Roman"/>
          <w:b/>
          <w:szCs w:val="24"/>
        </w:rPr>
        <w:t>INTRODUCTION</w:t>
      </w:r>
    </w:p>
    <w:p w14:paraId="4A729F7F" w14:textId="10D2D8A9" w:rsidR="00480905" w:rsidRPr="00B8482F" w:rsidRDefault="00B8482F" w:rsidP="00B8482F">
      <w:pPr>
        <w:spacing w:after="0" w:line="480" w:lineRule="auto"/>
        <w:rPr>
          <w:rFonts w:cs="Times New Roman"/>
          <w:b/>
          <w:szCs w:val="24"/>
        </w:rPr>
      </w:pPr>
      <w:r w:rsidRPr="00B8482F">
        <w:rPr>
          <w:rFonts w:cs="Times New Roman"/>
          <w:b/>
          <w:szCs w:val="24"/>
        </w:rPr>
        <w:t>A.</w:t>
      </w:r>
      <w:r w:rsidRPr="00B8482F">
        <w:rPr>
          <w:rFonts w:cs="Times New Roman"/>
          <w:b/>
          <w:szCs w:val="24"/>
        </w:rPr>
        <w:tab/>
      </w:r>
      <w:r w:rsidR="00CE00A6" w:rsidRPr="00B8482F">
        <w:rPr>
          <w:rFonts w:cs="Times New Roman"/>
          <w:b/>
          <w:szCs w:val="24"/>
        </w:rPr>
        <w:t>Background</w:t>
      </w:r>
    </w:p>
    <w:p w14:paraId="4A729F80" w14:textId="0C5BDE80" w:rsidR="00F913C5" w:rsidRPr="00B8482F" w:rsidRDefault="00B8482F" w:rsidP="00B8482F">
      <w:pPr>
        <w:pStyle w:val="ListParagraph"/>
        <w:numPr>
          <w:ilvl w:val="0"/>
          <w:numId w:val="32"/>
        </w:numPr>
        <w:spacing w:after="0" w:line="480" w:lineRule="auto"/>
        <w:rPr>
          <w:rFonts w:cs="Times New Roman"/>
          <w:szCs w:val="24"/>
        </w:rPr>
      </w:pPr>
      <w:r>
        <w:rPr>
          <w:rFonts w:cs="Times New Roman"/>
          <w:szCs w:val="24"/>
        </w:rPr>
        <w:tab/>
      </w:r>
      <w:r w:rsidR="00A52948" w:rsidRPr="00B8482F">
        <w:rPr>
          <w:rFonts w:cs="Times New Roman"/>
          <w:szCs w:val="24"/>
        </w:rPr>
        <w:t>Waste Control, Inc. (“WCI” or “Company”) seeks to increase its revenues from solid waste collection by approximately $</w:t>
      </w:r>
      <w:r w:rsidR="00F01A3B" w:rsidRPr="00B8482F">
        <w:rPr>
          <w:rFonts w:cs="Times New Roman"/>
          <w:szCs w:val="24"/>
        </w:rPr>
        <w:t>510</w:t>
      </w:r>
      <w:r w:rsidR="00A52948" w:rsidRPr="00B8482F">
        <w:rPr>
          <w:rFonts w:cs="Times New Roman"/>
          <w:szCs w:val="24"/>
        </w:rPr>
        <w:t>,000, or 12.</w:t>
      </w:r>
      <w:r w:rsidR="00F01A3B" w:rsidRPr="00B8482F">
        <w:rPr>
          <w:rFonts w:cs="Times New Roman"/>
          <w:szCs w:val="24"/>
        </w:rPr>
        <w:t>9</w:t>
      </w:r>
      <w:r w:rsidR="00A52948" w:rsidRPr="00B8482F">
        <w:rPr>
          <w:rFonts w:cs="Times New Roman"/>
          <w:szCs w:val="24"/>
        </w:rPr>
        <w:t xml:space="preserve"> percent.</w:t>
      </w:r>
      <w:r w:rsidR="00A52948" w:rsidRPr="00735A6A">
        <w:rPr>
          <w:rStyle w:val="FootnoteReference"/>
          <w:rFonts w:cs="Times New Roman"/>
          <w:szCs w:val="24"/>
        </w:rPr>
        <w:footnoteReference w:id="1"/>
      </w:r>
      <w:r w:rsidR="00A52948" w:rsidRPr="00B8482F">
        <w:rPr>
          <w:rFonts w:cs="Times New Roman"/>
          <w:szCs w:val="24"/>
        </w:rPr>
        <w:t xml:space="preserve">  Commission Staff (“Staff”) </w:t>
      </w:r>
      <w:r w:rsidR="00F913C5" w:rsidRPr="00B8482F">
        <w:rPr>
          <w:rFonts w:cs="Times New Roman"/>
          <w:szCs w:val="24"/>
        </w:rPr>
        <w:t xml:space="preserve">proposes an increase in </w:t>
      </w:r>
      <w:r w:rsidR="005F2320" w:rsidRPr="00B8482F">
        <w:rPr>
          <w:rFonts w:cs="Times New Roman"/>
          <w:szCs w:val="24"/>
        </w:rPr>
        <w:t xml:space="preserve">annual </w:t>
      </w:r>
      <w:r w:rsidR="00F913C5" w:rsidRPr="00B8482F">
        <w:rPr>
          <w:rFonts w:cs="Times New Roman"/>
          <w:szCs w:val="24"/>
        </w:rPr>
        <w:t>revenues of approximately $</w:t>
      </w:r>
      <w:r w:rsidR="005F2320" w:rsidRPr="00B8482F">
        <w:rPr>
          <w:rFonts w:cs="Times New Roman"/>
          <w:szCs w:val="24"/>
        </w:rPr>
        <w:t>3</w:t>
      </w:r>
      <w:r w:rsidR="00F01A3B" w:rsidRPr="00B8482F">
        <w:rPr>
          <w:rFonts w:cs="Times New Roman"/>
          <w:szCs w:val="24"/>
        </w:rPr>
        <w:t>40,000</w:t>
      </w:r>
      <w:r w:rsidR="005F2320" w:rsidRPr="00B8482F">
        <w:rPr>
          <w:rFonts w:cs="Times New Roman"/>
          <w:szCs w:val="24"/>
        </w:rPr>
        <w:t>, or 8.6</w:t>
      </w:r>
      <w:r w:rsidR="00F913C5" w:rsidRPr="00B8482F">
        <w:rPr>
          <w:rFonts w:cs="Times New Roman"/>
          <w:szCs w:val="24"/>
        </w:rPr>
        <w:t xml:space="preserve"> percent.  </w:t>
      </w:r>
    </w:p>
    <w:p w14:paraId="4A729F81" w14:textId="14F6642D" w:rsidR="00F913C5" w:rsidRPr="00B8482F" w:rsidRDefault="00B8482F" w:rsidP="00B8482F">
      <w:pPr>
        <w:pStyle w:val="ListParagraph"/>
        <w:numPr>
          <w:ilvl w:val="0"/>
          <w:numId w:val="32"/>
        </w:numPr>
        <w:spacing w:after="0" w:line="480" w:lineRule="auto"/>
        <w:rPr>
          <w:rFonts w:cs="Times New Roman"/>
          <w:szCs w:val="24"/>
        </w:rPr>
      </w:pPr>
      <w:r>
        <w:rPr>
          <w:rFonts w:cs="Times New Roman"/>
          <w:szCs w:val="24"/>
        </w:rPr>
        <w:tab/>
      </w:r>
      <w:r w:rsidR="00F913C5" w:rsidRPr="00B8482F">
        <w:rPr>
          <w:rFonts w:cs="Times New Roman"/>
          <w:szCs w:val="24"/>
        </w:rPr>
        <w:t xml:space="preserve">Following the Company’s rebuttal testimony on August 20, 2014, Staff </w:t>
      </w:r>
      <w:r w:rsidR="00A52948" w:rsidRPr="00B8482F">
        <w:rPr>
          <w:rFonts w:cs="Times New Roman"/>
          <w:szCs w:val="24"/>
        </w:rPr>
        <w:t xml:space="preserve">and the Company (collectively “Parties’) reached a partial settlement agreement.  </w:t>
      </w:r>
      <w:r w:rsidR="00F913C5" w:rsidRPr="00B8482F">
        <w:rPr>
          <w:rFonts w:cs="Times New Roman"/>
          <w:szCs w:val="24"/>
        </w:rPr>
        <w:t>The Parties’ proposed settlement resolves 11 of the 15 contested issues.  This brief presents Staff’s position and arguments for the following four issues still in dispute:</w:t>
      </w:r>
    </w:p>
    <w:p w14:paraId="4A729F82" w14:textId="77777777" w:rsidR="00F913C5" w:rsidRPr="00735A6A" w:rsidRDefault="00F913C5" w:rsidP="006D7603">
      <w:pPr>
        <w:pStyle w:val="ListParagraph"/>
        <w:numPr>
          <w:ilvl w:val="0"/>
          <w:numId w:val="11"/>
        </w:numPr>
        <w:spacing w:after="0" w:line="480" w:lineRule="auto"/>
        <w:rPr>
          <w:rFonts w:cs="Times New Roman"/>
          <w:szCs w:val="24"/>
        </w:rPr>
      </w:pPr>
      <w:r w:rsidRPr="00735A6A">
        <w:rPr>
          <w:rFonts w:cs="Times New Roman"/>
          <w:szCs w:val="24"/>
          <w:u w:val="single"/>
        </w:rPr>
        <w:t>Shared Utilities Expense, Adjustment R-6D</w:t>
      </w:r>
      <w:r w:rsidR="00BF0646" w:rsidRPr="00735A6A">
        <w:rPr>
          <w:rFonts w:cs="Times New Roman"/>
          <w:szCs w:val="24"/>
          <w:u w:val="single"/>
        </w:rPr>
        <w:t>.</w:t>
      </w:r>
      <w:r w:rsidR="00BF0646" w:rsidRPr="00735A6A">
        <w:rPr>
          <w:rFonts w:cs="Times New Roman"/>
          <w:b/>
          <w:szCs w:val="24"/>
        </w:rPr>
        <w:t xml:space="preserve">  </w:t>
      </w:r>
      <w:r w:rsidR="00BF0646" w:rsidRPr="00735A6A">
        <w:rPr>
          <w:rFonts w:cs="Times New Roman"/>
          <w:szCs w:val="24"/>
        </w:rPr>
        <w:t xml:space="preserve">The Parties disagree as to the appropriate amount of shared utilities expense to allocate to WCI. </w:t>
      </w:r>
    </w:p>
    <w:p w14:paraId="4A729F83" w14:textId="09C8B051" w:rsidR="00F913C5" w:rsidRPr="00735A6A" w:rsidRDefault="00F913C5" w:rsidP="006D7603">
      <w:pPr>
        <w:pStyle w:val="ListParagraph"/>
        <w:numPr>
          <w:ilvl w:val="0"/>
          <w:numId w:val="11"/>
        </w:numPr>
        <w:spacing w:after="0" w:line="480" w:lineRule="auto"/>
        <w:rPr>
          <w:rFonts w:cs="Times New Roman"/>
          <w:szCs w:val="24"/>
        </w:rPr>
      </w:pPr>
      <w:r w:rsidRPr="00735A6A">
        <w:rPr>
          <w:rFonts w:cs="Times New Roman"/>
          <w:szCs w:val="24"/>
          <w:u w:val="single"/>
        </w:rPr>
        <w:t>Affiliate Land Rents, Adjustment R-6E</w:t>
      </w:r>
      <w:r w:rsidR="00BF0646" w:rsidRPr="00735A6A">
        <w:rPr>
          <w:rFonts w:cs="Times New Roman"/>
          <w:szCs w:val="24"/>
          <w:u w:val="single"/>
        </w:rPr>
        <w:t>.</w:t>
      </w:r>
      <w:r w:rsidR="00BF0646" w:rsidRPr="00735A6A">
        <w:rPr>
          <w:rFonts w:cs="Times New Roman"/>
          <w:b/>
          <w:szCs w:val="24"/>
        </w:rPr>
        <w:t xml:space="preserve">  </w:t>
      </w:r>
      <w:r w:rsidR="00BF0646" w:rsidRPr="00735A6A">
        <w:rPr>
          <w:rFonts w:cs="Times New Roman"/>
          <w:szCs w:val="24"/>
        </w:rPr>
        <w:t xml:space="preserve">The Parties agree on a general methodology for calculating affiliate </w:t>
      </w:r>
      <w:r w:rsidR="000822EB" w:rsidRPr="00735A6A">
        <w:rPr>
          <w:rFonts w:cs="Times New Roman"/>
          <w:szCs w:val="24"/>
        </w:rPr>
        <w:t xml:space="preserve">land </w:t>
      </w:r>
      <w:r w:rsidR="00F01A3B" w:rsidRPr="00735A6A">
        <w:rPr>
          <w:rFonts w:cs="Times New Roman"/>
          <w:szCs w:val="24"/>
        </w:rPr>
        <w:t xml:space="preserve">rent </w:t>
      </w:r>
      <w:r w:rsidR="00BF0646" w:rsidRPr="00735A6A">
        <w:rPr>
          <w:rFonts w:cs="Times New Roman"/>
          <w:szCs w:val="24"/>
        </w:rPr>
        <w:t xml:space="preserve">transactions but disagree as to the appropriate </w:t>
      </w:r>
      <w:r w:rsidR="00B05EF5" w:rsidRPr="00735A6A">
        <w:rPr>
          <w:rFonts w:cs="Times New Roman"/>
          <w:szCs w:val="24"/>
        </w:rPr>
        <w:t>values</w:t>
      </w:r>
      <w:r w:rsidR="0089549E" w:rsidRPr="00735A6A">
        <w:rPr>
          <w:rFonts w:cs="Times New Roman"/>
          <w:szCs w:val="24"/>
        </w:rPr>
        <w:t xml:space="preserve"> </w:t>
      </w:r>
      <w:r w:rsidR="00BF0646" w:rsidRPr="00735A6A">
        <w:rPr>
          <w:rFonts w:cs="Times New Roman"/>
          <w:szCs w:val="24"/>
        </w:rPr>
        <w:t xml:space="preserve">for capital structure, cost of debt, cost of equity, and allocation of depreciation and </w:t>
      </w:r>
      <w:r w:rsidR="0089549E" w:rsidRPr="00735A6A">
        <w:rPr>
          <w:rFonts w:cs="Times New Roman"/>
          <w:szCs w:val="24"/>
        </w:rPr>
        <w:t>average net investment</w:t>
      </w:r>
      <w:r w:rsidR="00BF0646" w:rsidRPr="00735A6A">
        <w:rPr>
          <w:rFonts w:cs="Times New Roman"/>
          <w:szCs w:val="24"/>
        </w:rPr>
        <w:t xml:space="preserve">. </w:t>
      </w:r>
    </w:p>
    <w:p w14:paraId="4A729F84" w14:textId="77777777" w:rsidR="00F913C5" w:rsidRPr="00735A6A" w:rsidRDefault="00F913C5" w:rsidP="006D7603">
      <w:pPr>
        <w:pStyle w:val="ListParagraph"/>
        <w:numPr>
          <w:ilvl w:val="0"/>
          <w:numId w:val="11"/>
        </w:numPr>
        <w:spacing w:after="0" w:line="480" w:lineRule="auto"/>
        <w:rPr>
          <w:rFonts w:cs="Times New Roman"/>
          <w:szCs w:val="24"/>
        </w:rPr>
      </w:pPr>
      <w:r w:rsidRPr="00735A6A">
        <w:rPr>
          <w:rFonts w:cs="Times New Roman"/>
          <w:szCs w:val="24"/>
          <w:u w:val="single"/>
        </w:rPr>
        <w:t>Rate Case Expenses, Adjustments P-2 and P-3</w:t>
      </w:r>
      <w:r w:rsidR="00BF0646" w:rsidRPr="00735A6A">
        <w:rPr>
          <w:rFonts w:cs="Times New Roman"/>
          <w:szCs w:val="24"/>
          <w:u w:val="single"/>
        </w:rPr>
        <w:t>.</w:t>
      </w:r>
      <w:r w:rsidR="00BF0646" w:rsidRPr="00735A6A">
        <w:rPr>
          <w:rFonts w:cs="Times New Roman"/>
          <w:szCs w:val="24"/>
        </w:rPr>
        <w:t xml:space="preserve">  The Parties disagree as to the amount of rate case costs that should be included in rates and the appropriate amortization period.</w:t>
      </w:r>
    </w:p>
    <w:p w14:paraId="4A729F85" w14:textId="5E043A49" w:rsidR="00716A23" w:rsidRPr="00735A6A" w:rsidRDefault="00F913C5" w:rsidP="006D7603">
      <w:pPr>
        <w:pStyle w:val="ListParagraph"/>
        <w:numPr>
          <w:ilvl w:val="0"/>
          <w:numId w:val="11"/>
        </w:numPr>
        <w:spacing w:after="0" w:line="480" w:lineRule="auto"/>
        <w:rPr>
          <w:rFonts w:cs="Times New Roman"/>
          <w:szCs w:val="24"/>
        </w:rPr>
      </w:pPr>
      <w:r w:rsidRPr="00735A6A">
        <w:rPr>
          <w:rFonts w:cs="Times New Roman"/>
          <w:szCs w:val="24"/>
          <w:u w:val="single"/>
        </w:rPr>
        <w:t>Investigation Fees</w:t>
      </w:r>
      <w:r w:rsidR="00BF0646" w:rsidRPr="00735A6A">
        <w:rPr>
          <w:rFonts w:cs="Times New Roman"/>
          <w:szCs w:val="24"/>
          <w:u w:val="single"/>
        </w:rPr>
        <w:t>.</w:t>
      </w:r>
      <w:r w:rsidR="00BF0646" w:rsidRPr="00735A6A">
        <w:rPr>
          <w:rFonts w:cs="Times New Roman"/>
          <w:szCs w:val="24"/>
        </w:rPr>
        <w:t xml:space="preserve">  The Parties disagree as to whether the Commission should require WCI to pay Staff’s investigation fees</w:t>
      </w:r>
      <w:r w:rsidR="00BB16C4" w:rsidRPr="00735A6A">
        <w:rPr>
          <w:rFonts w:cs="Times New Roman"/>
          <w:szCs w:val="24"/>
        </w:rPr>
        <w:t xml:space="preserve">, and, if so, should the </w:t>
      </w:r>
      <w:r w:rsidR="00F45A3F" w:rsidRPr="00735A6A">
        <w:rPr>
          <w:rFonts w:cs="Times New Roman"/>
          <w:szCs w:val="24"/>
        </w:rPr>
        <w:t>C</w:t>
      </w:r>
      <w:r w:rsidR="00BB16C4" w:rsidRPr="00735A6A">
        <w:rPr>
          <w:rFonts w:cs="Times New Roman"/>
          <w:szCs w:val="24"/>
        </w:rPr>
        <w:t xml:space="preserve">ommission allow the </w:t>
      </w:r>
      <w:r w:rsidR="00F45A3F" w:rsidRPr="00735A6A">
        <w:rPr>
          <w:rFonts w:cs="Times New Roman"/>
          <w:szCs w:val="24"/>
        </w:rPr>
        <w:t>C</w:t>
      </w:r>
      <w:r w:rsidR="00BB16C4" w:rsidRPr="00735A6A">
        <w:rPr>
          <w:rFonts w:cs="Times New Roman"/>
          <w:szCs w:val="24"/>
        </w:rPr>
        <w:t xml:space="preserve">ompany to recover the investigation fees from </w:t>
      </w:r>
      <w:r w:rsidR="00D57F01" w:rsidRPr="00735A6A">
        <w:rPr>
          <w:rFonts w:cs="Times New Roman"/>
          <w:szCs w:val="24"/>
        </w:rPr>
        <w:t>ratepayers</w:t>
      </w:r>
      <w:r w:rsidR="00BF0646" w:rsidRPr="00735A6A">
        <w:rPr>
          <w:rFonts w:cs="Times New Roman"/>
          <w:szCs w:val="24"/>
        </w:rPr>
        <w:t xml:space="preserve">. </w:t>
      </w:r>
      <w:r w:rsidRPr="00735A6A">
        <w:rPr>
          <w:rFonts w:cs="Times New Roman"/>
          <w:szCs w:val="24"/>
        </w:rPr>
        <w:t xml:space="preserve"> </w:t>
      </w:r>
    </w:p>
    <w:p w14:paraId="4A729F86" w14:textId="5239D374" w:rsidR="00480905" w:rsidRPr="00B8482F" w:rsidRDefault="00B8482F" w:rsidP="002A3462">
      <w:pPr>
        <w:keepNext/>
        <w:spacing w:after="0" w:line="480" w:lineRule="auto"/>
        <w:rPr>
          <w:rFonts w:cs="Times New Roman"/>
          <w:b/>
          <w:szCs w:val="24"/>
        </w:rPr>
      </w:pPr>
      <w:r w:rsidRPr="00B8482F">
        <w:rPr>
          <w:b/>
        </w:rPr>
        <w:t>B.</w:t>
      </w:r>
      <w:r>
        <w:tab/>
      </w:r>
      <w:r w:rsidR="00CE00A6" w:rsidRPr="00B8482F">
        <w:rPr>
          <w:rFonts w:cs="Times New Roman"/>
          <w:b/>
          <w:szCs w:val="24"/>
        </w:rPr>
        <w:t>Updates to Staff’s Recommendation</w:t>
      </w:r>
    </w:p>
    <w:p w14:paraId="4A729F87" w14:textId="39A5D4F8" w:rsidR="00480905" w:rsidRPr="00B8482F" w:rsidRDefault="00B8482F" w:rsidP="00B8482F">
      <w:pPr>
        <w:pStyle w:val="ListParagraph"/>
        <w:numPr>
          <w:ilvl w:val="0"/>
          <w:numId w:val="32"/>
        </w:numPr>
        <w:spacing w:after="0" w:line="480" w:lineRule="auto"/>
        <w:rPr>
          <w:rFonts w:cs="Times New Roman"/>
          <w:szCs w:val="24"/>
        </w:rPr>
      </w:pPr>
      <w:r>
        <w:rPr>
          <w:rFonts w:cs="Times New Roman"/>
          <w:szCs w:val="24"/>
        </w:rPr>
        <w:tab/>
      </w:r>
      <w:r w:rsidR="00DD47D0" w:rsidRPr="00B8482F">
        <w:rPr>
          <w:rFonts w:cs="Times New Roman"/>
          <w:szCs w:val="24"/>
        </w:rPr>
        <w:t>Based on</w:t>
      </w:r>
      <w:r w:rsidR="00A3461D" w:rsidRPr="00B8482F">
        <w:rPr>
          <w:rFonts w:cs="Times New Roman"/>
          <w:szCs w:val="24"/>
        </w:rPr>
        <w:t xml:space="preserve"> </w:t>
      </w:r>
      <w:r w:rsidR="00DD47D0" w:rsidRPr="00B8482F">
        <w:rPr>
          <w:rFonts w:cs="Times New Roman"/>
          <w:szCs w:val="24"/>
        </w:rPr>
        <w:t xml:space="preserve">WCI’s rebuttal testimony on August 20, 2014, </w:t>
      </w:r>
      <w:r w:rsidR="00BB16C4" w:rsidRPr="00B8482F">
        <w:rPr>
          <w:rFonts w:cs="Times New Roman"/>
          <w:szCs w:val="24"/>
        </w:rPr>
        <w:t xml:space="preserve">and supporting information </w:t>
      </w:r>
      <w:r w:rsidR="00A3461D" w:rsidRPr="00B8482F">
        <w:rPr>
          <w:rFonts w:cs="Times New Roman"/>
          <w:szCs w:val="24"/>
        </w:rPr>
        <w:t>provided</w:t>
      </w:r>
      <w:r w:rsidR="00BB16C4" w:rsidRPr="00B8482F">
        <w:rPr>
          <w:rFonts w:cs="Times New Roman"/>
          <w:szCs w:val="24"/>
        </w:rPr>
        <w:t xml:space="preserve"> later, </w:t>
      </w:r>
      <w:r w:rsidR="00DD47D0" w:rsidRPr="00B8482F">
        <w:rPr>
          <w:rFonts w:cs="Times New Roman"/>
          <w:szCs w:val="24"/>
        </w:rPr>
        <w:t xml:space="preserve">Staff supports </w:t>
      </w:r>
      <w:r w:rsidR="00E64062" w:rsidRPr="00B8482F">
        <w:rPr>
          <w:rFonts w:cs="Times New Roman"/>
          <w:szCs w:val="24"/>
        </w:rPr>
        <w:t>three</w:t>
      </w:r>
      <w:r w:rsidR="00DD47D0" w:rsidRPr="00B8482F">
        <w:rPr>
          <w:rFonts w:cs="Times New Roman"/>
          <w:szCs w:val="24"/>
        </w:rPr>
        <w:t xml:space="preserve"> specific updates to its prior testimony filed on July 18, 2014</w:t>
      </w:r>
      <w:r w:rsidR="00480905" w:rsidRPr="00B8482F">
        <w:rPr>
          <w:rFonts w:cs="Times New Roman"/>
          <w:szCs w:val="24"/>
        </w:rPr>
        <w:t xml:space="preserve">.  </w:t>
      </w:r>
      <w:r w:rsidR="001117BB" w:rsidRPr="00B8482F">
        <w:rPr>
          <w:rFonts w:cs="Times New Roman"/>
          <w:szCs w:val="24"/>
        </w:rPr>
        <w:t xml:space="preserve">Staff’s updates are based on new factual information supporting the inclusion or exclusion of specific figures in specific calculations; Staff’s rationale and underlying methodology have not changed.  </w:t>
      </w:r>
      <w:r w:rsidR="00480905" w:rsidRPr="00B8482F">
        <w:rPr>
          <w:rFonts w:cs="Times New Roman"/>
          <w:szCs w:val="24"/>
        </w:rPr>
        <w:t>Given that Staff supports these updates on the basis of new factual information provided by the Company, it is a better and more expedient use of the Commission’s time and resources if Staff acknowledges its recommended updates in briefing</w:t>
      </w:r>
      <w:r w:rsidR="001117BB" w:rsidRPr="00B8482F">
        <w:rPr>
          <w:rFonts w:cs="Times New Roman"/>
          <w:szCs w:val="24"/>
        </w:rPr>
        <w:t xml:space="preserve"> and points to the reasons</w:t>
      </w:r>
      <w:r w:rsidR="00020DF2" w:rsidRPr="00B8482F">
        <w:rPr>
          <w:rFonts w:cs="Times New Roman"/>
          <w:szCs w:val="24"/>
        </w:rPr>
        <w:t>/support</w:t>
      </w:r>
      <w:r w:rsidR="001117BB" w:rsidRPr="00B8482F">
        <w:rPr>
          <w:rFonts w:cs="Times New Roman"/>
          <w:szCs w:val="24"/>
        </w:rPr>
        <w:t xml:space="preserve"> in the evidentiary record</w:t>
      </w:r>
      <w:r w:rsidR="00480905" w:rsidRPr="00B8482F">
        <w:rPr>
          <w:rFonts w:cs="Times New Roman"/>
          <w:szCs w:val="24"/>
        </w:rPr>
        <w:t xml:space="preserve">.  </w:t>
      </w:r>
    </w:p>
    <w:p w14:paraId="4A729F88" w14:textId="3F496F43" w:rsidR="00480905" w:rsidRPr="00B8482F" w:rsidRDefault="00B8482F" w:rsidP="00B8482F">
      <w:pPr>
        <w:spacing w:after="0" w:line="480" w:lineRule="auto"/>
        <w:ind w:firstLine="720"/>
        <w:rPr>
          <w:rFonts w:cs="Times New Roman"/>
          <w:b/>
          <w:szCs w:val="24"/>
        </w:rPr>
      </w:pPr>
      <w:r w:rsidRPr="00B8482F">
        <w:rPr>
          <w:b/>
        </w:rPr>
        <w:t>1.</w:t>
      </w:r>
      <w:r>
        <w:tab/>
      </w:r>
      <w:r w:rsidR="00480905" w:rsidRPr="00B8482F">
        <w:rPr>
          <w:rFonts w:cs="Times New Roman"/>
          <w:b/>
          <w:szCs w:val="24"/>
        </w:rPr>
        <w:t>Three-factor allocator</w:t>
      </w:r>
      <w:r w:rsidR="00830B32">
        <w:rPr>
          <w:rFonts w:cs="Times New Roman"/>
          <w:b/>
          <w:szCs w:val="24"/>
        </w:rPr>
        <w:t>.</w:t>
      </w:r>
    </w:p>
    <w:p w14:paraId="4A729F89" w14:textId="33EC7A70" w:rsidR="001117BB" w:rsidRPr="00B8482F" w:rsidRDefault="00B8482F" w:rsidP="00B8482F">
      <w:pPr>
        <w:pStyle w:val="ListParagraph"/>
        <w:numPr>
          <w:ilvl w:val="0"/>
          <w:numId w:val="32"/>
        </w:numPr>
        <w:spacing w:after="0" w:line="480" w:lineRule="auto"/>
        <w:rPr>
          <w:rFonts w:cs="Times New Roman"/>
          <w:szCs w:val="24"/>
        </w:rPr>
      </w:pPr>
      <w:r>
        <w:tab/>
      </w:r>
      <w:r w:rsidR="001117BB" w:rsidRPr="00B8482F">
        <w:rPr>
          <w:rFonts w:cs="Times New Roman"/>
          <w:szCs w:val="24"/>
        </w:rPr>
        <w:t>First, Staff supports an update to its three-factor allocator.  The updated three-factor allocator impacts Shared Utilities Expense, Adjustment R-6D, and that portion of Affiliate Land Rents, Adjustment R-6E that allocates depreciation costs</w:t>
      </w:r>
      <w:r w:rsidR="00020DF2" w:rsidRPr="00B8482F">
        <w:rPr>
          <w:rFonts w:cs="Times New Roman"/>
          <w:szCs w:val="24"/>
        </w:rPr>
        <w:t xml:space="preserve"> and average net investment</w:t>
      </w:r>
      <w:r w:rsidR="001117BB" w:rsidRPr="00B8482F">
        <w:rPr>
          <w:rFonts w:cs="Times New Roman"/>
          <w:szCs w:val="24"/>
        </w:rPr>
        <w:t>.</w:t>
      </w:r>
      <w:r w:rsidR="008D650E" w:rsidRPr="00735A6A">
        <w:rPr>
          <w:rStyle w:val="FootnoteReference"/>
          <w:rFonts w:cs="Times New Roman"/>
          <w:szCs w:val="24"/>
        </w:rPr>
        <w:footnoteReference w:id="2"/>
      </w:r>
      <w:r w:rsidR="001117BB" w:rsidRPr="00B8482F">
        <w:rPr>
          <w:rFonts w:cs="Times New Roman"/>
          <w:szCs w:val="24"/>
        </w:rPr>
        <w:t xml:space="preserve"> </w:t>
      </w:r>
    </w:p>
    <w:p w14:paraId="4A729F8A" w14:textId="40214450" w:rsidR="001117BB" w:rsidRPr="00B8482F" w:rsidRDefault="00B8482F" w:rsidP="00B8482F">
      <w:pPr>
        <w:pStyle w:val="ListParagraph"/>
        <w:numPr>
          <w:ilvl w:val="0"/>
          <w:numId w:val="32"/>
        </w:numPr>
        <w:spacing w:after="0" w:line="480" w:lineRule="auto"/>
        <w:rPr>
          <w:rFonts w:cs="Times New Roman"/>
          <w:szCs w:val="24"/>
        </w:rPr>
      </w:pPr>
      <w:r>
        <w:rPr>
          <w:rFonts w:cs="Times New Roman"/>
          <w:szCs w:val="24"/>
        </w:rPr>
        <w:tab/>
      </w:r>
      <w:r w:rsidR="001117BB" w:rsidRPr="00B8482F">
        <w:rPr>
          <w:rFonts w:cs="Times New Roman"/>
          <w:szCs w:val="24"/>
        </w:rPr>
        <w:t xml:space="preserve">In </w:t>
      </w:r>
      <w:r w:rsidR="00020DF2" w:rsidRPr="00B8482F">
        <w:rPr>
          <w:rFonts w:cs="Times New Roman"/>
          <w:szCs w:val="24"/>
        </w:rPr>
        <w:t xml:space="preserve">its </w:t>
      </w:r>
      <w:r w:rsidR="001117BB" w:rsidRPr="00B8482F">
        <w:rPr>
          <w:rFonts w:cs="Times New Roman"/>
          <w:szCs w:val="24"/>
        </w:rPr>
        <w:t>Testimony in Support of Partial Settlement on October 13, 2014, Staff recommended updates to its three-factor allocator for Adjustment R-6G, Property Tax Expense.</w:t>
      </w:r>
      <w:r w:rsidR="001117BB" w:rsidRPr="00735A6A">
        <w:rPr>
          <w:rStyle w:val="FootnoteReference"/>
          <w:rFonts w:cs="Times New Roman"/>
          <w:szCs w:val="24"/>
        </w:rPr>
        <w:footnoteReference w:id="3"/>
      </w:r>
      <w:r w:rsidR="001117BB" w:rsidRPr="00B8482F">
        <w:rPr>
          <w:rFonts w:cs="Times New Roman"/>
          <w:szCs w:val="24"/>
        </w:rPr>
        <w:t xml:space="preserve">  Those same updates and their supporting rationale continue to apply. </w:t>
      </w:r>
      <w:r w:rsidR="00020DF2" w:rsidRPr="00B8482F">
        <w:rPr>
          <w:rFonts w:cs="Times New Roman"/>
          <w:szCs w:val="24"/>
        </w:rPr>
        <w:t xml:space="preserve"> </w:t>
      </w:r>
      <w:r w:rsidR="001117BB" w:rsidRPr="00B8482F">
        <w:rPr>
          <w:rFonts w:cs="Times New Roman"/>
          <w:szCs w:val="24"/>
        </w:rPr>
        <w:t>Staff’s update removes affiliate West Coast Paper Fiber, Inc. (</w:t>
      </w:r>
      <w:r w:rsidR="00020DF2" w:rsidRPr="00B8482F">
        <w:rPr>
          <w:rFonts w:cs="Times New Roman"/>
          <w:szCs w:val="24"/>
        </w:rPr>
        <w:t>“</w:t>
      </w:r>
      <w:r w:rsidR="001117BB" w:rsidRPr="00B8482F">
        <w:rPr>
          <w:rFonts w:cs="Times New Roman"/>
          <w:szCs w:val="24"/>
        </w:rPr>
        <w:t>WCPF</w:t>
      </w:r>
      <w:r w:rsidR="00020DF2" w:rsidRPr="00B8482F">
        <w:rPr>
          <w:rFonts w:cs="Times New Roman"/>
          <w:szCs w:val="24"/>
        </w:rPr>
        <w:t>”</w:t>
      </w:r>
      <w:r w:rsidR="001117BB" w:rsidRPr="00B8482F">
        <w:rPr>
          <w:rFonts w:cs="Times New Roman"/>
          <w:szCs w:val="24"/>
        </w:rPr>
        <w:t>) from its calculation</w:t>
      </w:r>
      <w:r w:rsidR="00020DF2" w:rsidRPr="00B8482F">
        <w:rPr>
          <w:rFonts w:cs="Times New Roman"/>
          <w:szCs w:val="24"/>
        </w:rPr>
        <w:t xml:space="preserve"> and adjusted affiliate Waste Control Recycling, Inc.’s (“WCR”) gross revenues by subtracting the cost of recycled materials</w:t>
      </w:r>
      <w:r w:rsidR="001117BB" w:rsidRPr="00B8482F">
        <w:rPr>
          <w:rFonts w:cs="Times New Roman"/>
          <w:szCs w:val="24"/>
        </w:rPr>
        <w:t>.</w:t>
      </w:r>
      <w:r w:rsidR="001117BB" w:rsidRPr="00735A6A">
        <w:rPr>
          <w:rStyle w:val="FootnoteReference"/>
          <w:rFonts w:cs="Times New Roman"/>
          <w:szCs w:val="24"/>
        </w:rPr>
        <w:footnoteReference w:id="4"/>
      </w:r>
      <w:r w:rsidR="001117BB" w:rsidRPr="00B8482F">
        <w:rPr>
          <w:rFonts w:cs="Times New Roman"/>
          <w:szCs w:val="24"/>
        </w:rPr>
        <w:t xml:space="preserve">  Staff also independently removed </w:t>
      </w:r>
      <w:r w:rsidR="00BB16C4" w:rsidRPr="00B8482F">
        <w:rPr>
          <w:rFonts w:cs="Times New Roman"/>
          <w:szCs w:val="24"/>
        </w:rPr>
        <w:t>pass-through</w:t>
      </w:r>
      <w:r w:rsidR="001117BB" w:rsidRPr="00B8482F">
        <w:rPr>
          <w:rFonts w:cs="Times New Roman"/>
          <w:szCs w:val="24"/>
        </w:rPr>
        <w:t xml:space="preserve"> revenues from its </w:t>
      </w:r>
      <w:r w:rsidR="00410EBB" w:rsidRPr="00B8482F">
        <w:rPr>
          <w:rFonts w:cs="Times New Roman"/>
          <w:szCs w:val="24"/>
        </w:rPr>
        <w:t>three-factor</w:t>
      </w:r>
      <w:r w:rsidR="001117BB" w:rsidRPr="00B8482F">
        <w:rPr>
          <w:rFonts w:cs="Times New Roman"/>
          <w:szCs w:val="24"/>
        </w:rPr>
        <w:t xml:space="preserve"> allocator for Waste Control Equipment, Inc. (</w:t>
      </w:r>
      <w:r w:rsidR="00020DF2" w:rsidRPr="00B8482F">
        <w:rPr>
          <w:rFonts w:cs="Times New Roman"/>
          <w:szCs w:val="24"/>
        </w:rPr>
        <w:t>“</w:t>
      </w:r>
      <w:r w:rsidR="001117BB" w:rsidRPr="00B8482F">
        <w:rPr>
          <w:rFonts w:cs="Times New Roman"/>
          <w:szCs w:val="24"/>
        </w:rPr>
        <w:t>WCE</w:t>
      </w:r>
      <w:r w:rsidR="00020DF2" w:rsidRPr="00B8482F">
        <w:rPr>
          <w:rFonts w:cs="Times New Roman"/>
          <w:szCs w:val="24"/>
        </w:rPr>
        <w:t>”</w:t>
      </w:r>
      <w:r w:rsidR="001117BB" w:rsidRPr="00B8482F">
        <w:rPr>
          <w:rFonts w:cs="Times New Roman"/>
          <w:szCs w:val="24"/>
        </w:rPr>
        <w:t>), and WCI.</w:t>
      </w:r>
      <w:r w:rsidR="001117BB" w:rsidRPr="00B8482F">
        <w:rPr>
          <w:rStyle w:val="FootnoteReference"/>
          <w:rFonts w:cs="Times New Roman"/>
          <w:szCs w:val="24"/>
        </w:rPr>
        <w:t xml:space="preserve"> </w:t>
      </w:r>
      <w:r w:rsidR="001117BB" w:rsidRPr="00735A6A">
        <w:rPr>
          <w:rStyle w:val="FootnoteReference"/>
          <w:rFonts w:cs="Times New Roman"/>
          <w:szCs w:val="24"/>
        </w:rPr>
        <w:footnoteReference w:id="5"/>
      </w:r>
      <w:r w:rsidR="001117BB" w:rsidRPr="00B8482F">
        <w:rPr>
          <w:rFonts w:cs="Times New Roman"/>
          <w:szCs w:val="24"/>
        </w:rPr>
        <w:t xml:space="preserve">   Based on the Company’s rebuttal testimony and exhibits, Staff’s recommendation to the Commission now includes these changes</w:t>
      </w:r>
      <w:r w:rsidR="00020DF2" w:rsidRPr="00B8482F">
        <w:rPr>
          <w:rFonts w:cs="Times New Roman"/>
          <w:szCs w:val="24"/>
        </w:rPr>
        <w:t>.  Staff’s current recommendation is also reflected in Staff’s response to Bench Request 1.</w:t>
      </w:r>
      <w:r w:rsidR="001117BB" w:rsidRPr="00B8482F">
        <w:rPr>
          <w:rFonts w:cs="Times New Roman"/>
          <w:szCs w:val="24"/>
        </w:rPr>
        <w:t xml:space="preserve">  </w:t>
      </w:r>
    </w:p>
    <w:p w14:paraId="4A729F8B" w14:textId="3DBCD5FE" w:rsidR="00480905" w:rsidRPr="00B8482F" w:rsidRDefault="00B8482F" w:rsidP="00B8482F">
      <w:pPr>
        <w:spacing w:after="0" w:line="480" w:lineRule="auto"/>
        <w:ind w:firstLine="720"/>
        <w:rPr>
          <w:rFonts w:cs="Times New Roman"/>
          <w:b/>
          <w:szCs w:val="24"/>
        </w:rPr>
      </w:pPr>
      <w:r w:rsidRPr="00B8482F">
        <w:rPr>
          <w:b/>
        </w:rPr>
        <w:t>2.</w:t>
      </w:r>
      <w:r>
        <w:tab/>
      </w:r>
      <w:r w:rsidR="00480905" w:rsidRPr="00B8482F">
        <w:rPr>
          <w:rFonts w:cs="Times New Roman"/>
          <w:b/>
          <w:szCs w:val="24"/>
        </w:rPr>
        <w:t>Including origination fees in the cost of debt for HBI</w:t>
      </w:r>
      <w:r w:rsidR="00830B32">
        <w:rPr>
          <w:rFonts w:cs="Times New Roman"/>
          <w:b/>
          <w:szCs w:val="24"/>
        </w:rPr>
        <w:t>.</w:t>
      </w:r>
    </w:p>
    <w:p w14:paraId="4A729F8C" w14:textId="24243DE5" w:rsidR="008D650E" w:rsidRPr="00B8482F" w:rsidRDefault="00B8482F" w:rsidP="00B8482F">
      <w:pPr>
        <w:pStyle w:val="ListParagraph"/>
        <w:numPr>
          <w:ilvl w:val="0"/>
          <w:numId w:val="32"/>
        </w:numPr>
        <w:spacing w:after="0" w:line="480" w:lineRule="auto"/>
        <w:rPr>
          <w:rFonts w:cs="Times New Roman"/>
          <w:szCs w:val="24"/>
        </w:rPr>
      </w:pPr>
      <w:r>
        <w:rPr>
          <w:rFonts w:cs="Times New Roman"/>
          <w:szCs w:val="24"/>
        </w:rPr>
        <w:tab/>
      </w:r>
      <w:r w:rsidR="008D650E" w:rsidRPr="00B8482F">
        <w:rPr>
          <w:rFonts w:cs="Times New Roman"/>
          <w:szCs w:val="24"/>
        </w:rPr>
        <w:t xml:space="preserve">Second, Staff supports amortizing loan origination fees over the life of the debt and adding those amortized, </w:t>
      </w:r>
      <w:r w:rsidR="00DB2D6B" w:rsidRPr="00B8482F">
        <w:rPr>
          <w:rFonts w:cs="Times New Roman"/>
          <w:szCs w:val="24"/>
        </w:rPr>
        <w:t>annual amounts to Heirborne Investments I, LLC’s (“HBI”)</w:t>
      </w:r>
      <w:r w:rsidR="008D650E" w:rsidRPr="00B8482F">
        <w:rPr>
          <w:rFonts w:cs="Times New Roman"/>
          <w:szCs w:val="24"/>
        </w:rPr>
        <w:t xml:space="preserve"> cost of debt.  Staff</w:t>
      </w:r>
      <w:r w:rsidR="00020DF2" w:rsidRPr="00B8482F">
        <w:rPr>
          <w:rFonts w:cs="Times New Roman"/>
          <w:szCs w:val="24"/>
        </w:rPr>
        <w:t xml:space="preserve"> otherwise</w:t>
      </w:r>
      <w:r w:rsidR="008D650E" w:rsidRPr="00B8482F">
        <w:rPr>
          <w:rFonts w:cs="Times New Roman"/>
          <w:szCs w:val="24"/>
        </w:rPr>
        <w:t xml:space="preserve"> maintains its position of pricing HBI’s debt at the actual, company-wide cost of debt readily observable in HBI’s financial statements.  An update to HBI’s cost of debt impacts the cost of debt portion of Affiliate Land Rents, Adjustment R-6E.</w:t>
      </w:r>
      <w:r w:rsidR="008D650E" w:rsidRPr="00735A6A">
        <w:rPr>
          <w:rStyle w:val="FootnoteReference"/>
          <w:rFonts w:cs="Times New Roman"/>
          <w:szCs w:val="24"/>
        </w:rPr>
        <w:footnoteReference w:id="6"/>
      </w:r>
      <w:r w:rsidR="008D650E" w:rsidRPr="00B8482F">
        <w:rPr>
          <w:rFonts w:cs="Times New Roman"/>
          <w:szCs w:val="24"/>
        </w:rPr>
        <w:t xml:space="preserve">   </w:t>
      </w:r>
    </w:p>
    <w:p w14:paraId="078BC0B7" w14:textId="05756013" w:rsidR="006C6AE4" w:rsidRPr="00735A6A" w:rsidRDefault="008D650E" w:rsidP="00735A6A">
      <w:pPr>
        <w:spacing w:after="0" w:line="480" w:lineRule="auto"/>
        <w:ind w:firstLine="720"/>
        <w:contextualSpacing/>
        <w:rPr>
          <w:rFonts w:cs="Times New Roman"/>
          <w:szCs w:val="24"/>
        </w:rPr>
      </w:pPr>
      <w:r w:rsidRPr="00735A6A">
        <w:rPr>
          <w:rFonts w:cs="Times New Roman"/>
          <w:szCs w:val="24"/>
        </w:rPr>
        <w:t xml:space="preserve">Amortizing origination fees adds 27 </w:t>
      </w:r>
      <w:r w:rsidR="005F3D9D" w:rsidRPr="00735A6A">
        <w:rPr>
          <w:rFonts w:cs="Times New Roman"/>
          <w:szCs w:val="24"/>
        </w:rPr>
        <w:t xml:space="preserve">basis points </w:t>
      </w:r>
      <w:r w:rsidRPr="00735A6A">
        <w:rPr>
          <w:rFonts w:cs="Times New Roman"/>
          <w:szCs w:val="24"/>
        </w:rPr>
        <w:t>to HBI’s cost of debt.  Staff’s proposed update changes its previous recommendation from 1.93</w:t>
      </w:r>
      <w:r w:rsidR="00BB16C4" w:rsidRPr="00735A6A">
        <w:rPr>
          <w:rFonts w:cs="Times New Roman"/>
          <w:szCs w:val="24"/>
        </w:rPr>
        <w:t xml:space="preserve"> percent</w:t>
      </w:r>
      <w:r w:rsidRPr="00735A6A">
        <w:rPr>
          <w:rFonts w:cs="Times New Roman"/>
          <w:szCs w:val="24"/>
        </w:rPr>
        <w:t xml:space="preserve"> to 2.2</w:t>
      </w:r>
      <w:r w:rsidR="00BB16C4" w:rsidRPr="00735A6A">
        <w:rPr>
          <w:rFonts w:cs="Times New Roman"/>
          <w:szCs w:val="24"/>
        </w:rPr>
        <w:t xml:space="preserve"> percent</w:t>
      </w:r>
      <w:r w:rsidRPr="00735A6A">
        <w:rPr>
          <w:rFonts w:cs="Times New Roman"/>
          <w:szCs w:val="24"/>
        </w:rPr>
        <w:t xml:space="preserve">. </w:t>
      </w:r>
      <w:r w:rsidR="00DB2D6B" w:rsidRPr="00735A6A">
        <w:rPr>
          <w:rFonts w:cs="Times New Roman"/>
          <w:szCs w:val="24"/>
        </w:rPr>
        <w:t xml:space="preserve">Based on the Company’s rebuttal testimony and exhibits, Staff’s recommendation to the Commission now includes this change.  Staff’s current recommendation is also reflected in Staff’s response to Bench Request 1.  </w:t>
      </w:r>
    </w:p>
    <w:p w14:paraId="4A729F8E" w14:textId="1C4C496C" w:rsidR="00E64062" w:rsidRDefault="00B8482F" w:rsidP="002D449B">
      <w:pPr>
        <w:keepNext/>
        <w:tabs>
          <w:tab w:val="left" w:pos="720"/>
        </w:tabs>
        <w:spacing w:after="0" w:line="240" w:lineRule="auto"/>
        <w:ind w:left="1440" w:hanging="1440"/>
        <w:rPr>
          <w:rFonts w:cs="Times New Roman"/>
          <w:b/>
          <w:szCs w:val="24"/>
        </w:rPr>
      </w:pPr>
      <w:r>
        <w:tab/>
      </w:r>
      <w:r w:rsidRPr="00B8482F">
        <w:rPr>
          <w:b/>
        </w:rPr>
        <w:t>3.</w:t>
      </w:r>
      <w:r w:rsidRPr="00B8482F">
        <w:rPr>
          <w:b/>
        </w:rPr>
        <w:tab/>
      </w:r>
      <w:r w:rsidR="00E64062" w:rsidRPr="00B8482F">
        <w:rPr>
          <w:rFonts w:cs="Times New Roman"/>
          <w:b/>
          <w:szCs w:val="24"/>
        </w:rPr>
        <w:t xml:space="preserve">Addition of </w:t>
      </w:r>
      <w:r w:rsidR="00830B32">
        <w:rPr>
          <w:rFonts w:cs="Times New Roman"/>
          <w:b/>
          <w:szCs w:val="24"/>
        </w:rPr>
        <w:t>n</w:t>
      </w:r>
      <w:r w:rsidR="00E64062" w:rsidRPr="00B8482F">
        <w:rPr>
          <w:rFonts w:cs="Times New Roman"/>
          <w:b/>
          <w:szCs w:val="24"/>
        </w:rPr>
        <w:t xml:space="preserve">ew </w:t>
      </w:r>
      <w:r w:rsidR="00830B32">
        <w:rPr>
          <w:rFonts w:cs="Times New Roman"/>
          <w:b/>
          <w:szCs w:val="24"/>
        </w:rPr>
        <w:t>truck s</w:t>
      </w:r>
      <w:r w:rsidR="00E64062" w:rsidRPr="00B8482F">
        <w:rPr>
          <w:rFonts w:cs="Times New Roman"/>
          <w:b/>
          <w:szCs w:val="24"/>
        </w:rPr>
        <w:t xml:space="preserve">hop </w:t>
      </w:r>
      <w:r w:rsidR="00830B32">
        <w:rPr>
          <w:rFonts w:cs="Times New Roman"/>
          <w:b/>
          <w:szCs w:val="24"/>
        </w:rPr>
        <w:t>f</w:t>
      </w:r>
      <w:r w:rsidR="00E64062" w:rsidRPr="00B8482F">
        <w:rPr>
          <w:rFonts w:cs="Times New Roman"/>
          <w:b/>
          <w:szCs w:val="24"/>
        </w:rPr>
        <w:t>acility placed into service after the test year</w:t>
      </w:r>
      <w:r w:rsidR="00830B32">
        <w:rPr>
          <w:rFonts w:cs="Times New Roman"/>
          <w:b/>
          <w:szCs w:val="24"/>
        </w:rPr>
        <w:t>.</w:t>
      </w:r>
    </w:p>
    <w:p w14:paraId="7F3D7D51" w14:textId="77777777" w:rsidR="00B8482F" w:rsidRPr="00B8482F" w:rsidRDefault="00B8482F" w:rsidP="002D449B">
      <w:pPr>
        <w:keepNext/>
        <w:tabs>
          <w:tab w:val="left" w:pos="720"/>
        </w:tabs>
        <w:spacing w:after="0" w:line="240" w:lineRule="auto"/>
        <w:rPr>
          <w:rFonts w:cs="Times New Roman"/>
          <w:b/>
          <w:szCs w:val="24"/>
        </w:rPr>
      </w:pPr>
    </w:p>
    <w:p w14:paraId="4A729F8F" w14:textId="136E80CB" w:rsidR="00020DF2" w:rsidRPr="00B8482F" w:rsidRDefault="00B8482F" w:rsidP="002D449B">
      <w:pPr>
        <w:pStyle w:val="ListParagraph"/>
        <w:keepNext/>
        <w:numPr>
          <w:ilvl w:val="0"/>
          <w:numId w:val="32"/>
        </w:numPr>
        <w:spacing w:after="0" w:line="480" w:lineRule="auto"/>
        <w:rPr>
          <w:rFonts w:cs="Times New Roman"/>
          <w:szCs w:val="24"/>
        </w:rPr>
      </w:pPr>
      <w:r>
        <w:rPr>
          <w:rFonts w:cs="Times New Roman"/>
          <w:szCs w:val="24"/>
        </w:rPr>
        <w:tab/>
      </w:r>
      <w:r w:rsidR="00E64062" w:rsidRPr="00B8482F">
        <w:rPr>
          <w:rFonts w:cs="Times New Roman"/>
          <w:szCs w:val="24"/>
        </w:rPr>
        <w:t>Staff recommends the Commission include the Company’s new truck shop facility placed into service since the end of the test year.</w:t>
      </w:r>
      <w:r w:rsidR="00CE00A6" w:rsidRPr="00735A6A">
        <w:rPr>
          <w:rStyle w:val="FootnoteReference"/>
          <w:rFonts w:cs="Times New Roman"/>
          <w:szCs w:val="24"/>
        </w:rPr>
        <w:footnoteReference w:id="7"/>
      </w:r>
      <w:r w:rsidR="00E64062" w:rsidRPr="00B8482F">
        <w:rPr>
          <w:rFonts w:cs="Times New Roman"/>
          <w:szCs w:val="24"/>
        </w:rPr>
        <w:t xml:space="preserve">  </w:t>
      </w:r>
      <w:r w:rsidR="00020DF2" w:rsidRPr="00B8482F">
        <w:rPr>
          <w:rFonts w:cs="Times New Roman"/>
          <w:szCs w:val="24"/>
        </w:rPr>
        <w:t>Including the new truck shop facility impacts Affiliate Land Rents, Adjustment R-6E.</w:t>
      </w:r>
      <w:r w:rsidR="00020DF2" w:rsidRPr="00735A6A">
        <w:rPr>
          <w:rStyle w:val="FootnoteReference"/>
          <w:rFonts w:cs="Times New Roman"/>
          <w:szCs w:val="24"/>
        </w:rPr>
        <w:footnoteReference w:id="8"/>
      </w:r>
    </w:p>
    <w:p w14:paraId="4A729F90" w14:textId="0CDBF818" w:rsidR="00E64062" w:rsidRDefault="00B8482F" w:rsidP="00B8482F">
      <w:pPr>
        <w:pStyle w:val="ListParagraph"/>
        <w:numPr>
          <w:ilvl w:val="0"/>
          <w:numId w:val="32"/>
        </w:numPr>
        <w:spacing w:after="0" w:line="480" w:lineRule="auto"/>
        <w:rPr>
          <w:rFonts w:cs="Times New Roman"/>
          <w:szCs w:val="24"/>
        </w:rPr>
      </w:pPr>
      <w:r>
        <w:rPr>
          <w:rFonts w:cs="Times New Roman"/>
          <w:szCs w:val="24"/>
        </w:rPr>
        <w:tab/>
      </w:r>
      <w:r w:rsidR="00E64062" w:rsidRPr="00B8482F">
        <w:rPr>
          <w:rFonts w:cs="Times New Roman"/>
          <w:szCs w:val="24"/>
        </w:rPr>
        <w:t xml:space="preserve">As described in Staff’s testimony in support of partial settlement, Staff did not previously include the truck shop facility </w:t>
      </w:r>
      <w:r w:rsidR="002D770C" w:rsidRPr="00B8482F">
        <w:rPr>
          <w:rFonts w:cs="Times New Roman"/>
          <w:szCs w:val="24"/>
        </w:rPr>
        <w:t xml:space="preserve">in its analysis </w:t>
      </w:r>
      <w:r w:rsidR="00E64062" w:rsidRPr="00B8482F">
        <w:rPr>
          <w:rFonts w:cs="Times New Roman"/>
          <w:szCs w:val="24"/>
        </w:rPr>
        <w:t>because the Company did not include it in the general rate filing and did not inform Staff that WCI had placed the facility into service.</w:t>
      </w:r>
      <w:r w:rsidR="00E64062" w:rsidRPr="00735A6A">
        <w:rPr>
          <w:rStyle w:val="FootnoteReference"/>
          <w:rFonts w:cs="Times New Roman"/>
          <w:szCs w:val="24"/>
        </w:rPr>
        <w:footnoteReference w:id="9"/>
      </w:r>
      <w:r w:rsidR="00E64062" w:rsidRPr="00B8482F">
        <w:rPr>
          <w:rFonts w:cs="Times New Roman"/>
          <w:szCs w:val="24"/>
        </w:rPr>
        <w:t xml:space="preserve">  After reviewing the Company’s rebuttal testimony, </w:t>
      </w:r>
      <w:r w:rsidR="00EC3F1E" w:rsidRPr="00B8482F">
        <w:rPr>
          <w:rFonts w:cs="Times New Roman"/>
          <w:szCs w:val="24"/>
        </w:rPr>
        <w:t xml:space="preserve">and subsequent supporting documentation, </w:t>
      </w:r>
      <w:r w:rsidR="00E64062" w:rsidRPr="00B8482F">
        <w:rPr>
          <w:rFonts w:cs="Times New Roman"/>
          <w:szCs w:val="24"/>
        </w:rPr>
        <w:t>Staff believes the new truck shop facility is used and useful.</w:t>
      </w:r>
      <w:r w:rsidR="00E64062" w:rsidRPr="00735A6A">
        <w:rPr>
          <w:rStyle w:val="FootnoteReference"/>
          <w:rFonts w:cs="Times New Roman"/>
          <w:szCs w:val="24"/>
        </w:rPr>
        <w:footnoteReference w:id="10"/>
      </w:r>
      <w:r w:rsidR="00700B92">
        <w:rPr>
          <w:rFonts w:cs="Times New Roman"/>
          <w:szCs w:val="24"/>
        </w:rPr>
        <w:t xml:space="preserve">  Staff’s recommendation to the Commission now includes this change</w:t>
      </w:r>
      <w:r w:rsidR="00E64062" w:rsidRPr="00B8482F">
        <w:rPr>
          <w:rFonts w:cs="Times New Roman"/>
          <w:szCs w:val="24"/>
        </w:rPr>
        <w:t xml:space="preserve">.  </w:t>
      </w:r>
    </w:p>
    <w:p w14:paraId="41B0FD5F" w14:textId="77777777" w:rsidR="00F7445E" w:rsidRPr="00F7445E" w:rsidRDefault="00F7445E" w:rsidP="009C63C5">
      <w:pPr>
        <w:spacing w:after="0" w:line="480" w:lineRule="auto"/>
        <w:jc w:val="center"/>
        <w:rPr>
          <w:rFonts w:cs="Times New Roman"/>
          <w:b/>
          <w:szCs w:val="24"/>
        </w:rPr>
      </w:pPr>
      <w:r w:rsidRPr="00F7445E">
        <w:rPr>
          <w:b/>
        </w:rPr>
        <w:t>II.</w:t>
      </w:r>
      <w:r w:rsidRPr="00F7445E">
        <w:rPr>
          <w:b/>
        </w:rPr>
        <w:tab/>
      </w:r>
      <w:r w:rsidRPr="00F7445E">
        <w:rPr>
          <w:rFonts w:cs="Times New Roman"/>
          <w:b/>
          <w:szCs w:val="24"/>
        </w:rPr>
        <w:t>SHARED UTILITIES EXPENSE, ADJUSTMENT R-6D</w:t>
      </w:r>
    </w:p>
    <w:p w14:paraId="3DF4EA39" w14:textId="77777777" w:rsidR="00F7445E" w:rsidRPr="00F7445E" w:rsidRDefault="00F7445E" w:rsidP="00F7445E">
      <w:pPr>
        <w:spacing w:after="0" w:line="480" w:lineRule="auto"/>
        <w:ind w:left="90"/>
        <w:rPr>
          <w:rFonts w:cs="Times New Roman"/>
          <w:b/>
          <w:szCs w:val="24"/>
        </w:rPr>
      </w:pPr>
      <w:r w:rsidRPr="00F7445E">
        <w:rPr>
          <w:b/>
        </w:rPr>
        <w:t>A.</w:t>
      </w:r>
      <w:r>
        <w:tab/>
      </w:r>
      <w:r w:rsidRPr="00F7445E">
        <w:rPr>
          <w:rFonts w:cs="Times New Roman"/>
          <w:b/>
          <w:szCs w:val="24"/>
        </w:rPr>
        <w:t>Overview</w:t>
      </w:r>
    </w:p>
    <w:p w14:paraId="4A729F95" w14:textId="208D9F1E" w:rsidR="002D770C" w:rsidRPr="00F7445E" w:rsidRDefault="00F7445E" w:rsidP="00F7445E">
      <w:pPr>
        <w:pStyle w:val="ListParagraph"/>
        <w:numPr>
          <w:ilvl w:val="0"/>
          <w:numId w:val="32"/>
        </w:numPr>
        <w:spacing w:after="0" w:line="480" w:lineRule="auto"/>
        <w:rPr>
          <w:rFonts w:cs="Times New Roman"/>
          <w:szCs w:val="24"/>
        </w:rPr>
      </w:pPr>
      <w:r>
        <w:rPr>
          <w:rFonts w:cs="Times New Roman"/>
          <w:szCs w:val="24"/>
        </w:rPr>
        <w:tab/>
      </w:r>
      <w:r w:rsidR="00A672DC" w:rsidRPr="00F7445E">
        <w:rPr>
          <w:rFonts w:cs="Times New Roman"/>
          <w:szCs w:val="24"/>
        </w:rPr>
        <w:t>The Parties</w:t>
      </w:r>
      <w:r w:rsidR="00941044" w:rsidRPr="00F7445E">
        <w:rPr>
          <w:rFonts w:cs="Times New Roman"/>
          <w:szCs w:val="24"/>
        </w:rPr>
        <w:t>’ dispute over</w:t>
      </w:r>
      <w:r w:rsidR="00E27F6A" w:rsidRPr="00F7445E">
        <w:rPr>
          <w:rFonts w:cs="Times New Roman"/>
          <w:szCs w:val="24"/>
        </w:rPr>
        <w:t xml:space="preserve"> </w:t>
      </w:r>
      <w:r w:rsidR="004E5F93" w:rsidRPr="00F7445E">
        <w:rPr>
          <w:rFonts w:cs="Times New Roman"/>
          <w:szCs w:val="24"/>
        </w:rPr>
        <w:t xml:space="preserve">Shared </w:t>
      </w:r>
      <w:r w:rsidR="00E27F6A" w:rsidRPr="00F7445E">
        <w:rPr>
          <w:rFonts w:cs="Times New Roman"/>
          <w:szCs w:val="24"/>
        </w:rPr>
        <w:t>Utilities E</w:t>
      </w:r>
      <w:r w:rsidR="007A0FF8" w:rsidRPr="00F7445E">
        <w:rPr>
          <w:rFonts w:cs="Times New Roman"/>
          <w:szCs w:val="24"/>
        </w:rPr>
        <w:t>xpense</w:t>
      </w:r>
      <w:r w:rsidR="00E27F6A" w:rsidRPr="00F7445E">
        <w:rPr>
          <w:rFonts w:cs="Times New Roman"/>
          <w:szCs w:val="24"/>
        </w:rPr>
        <w:t>, Adjustment R-6D,</w:t>
      </w:r>
      <w:r w:rsidR="00A672DC" w:rsidRPr="00F7445E">
        <w:rPr>
          <w:rFonts w:cs="Times New Roman"/>
          <w:szCs w:val="24"/>
        </w:rPr>
        <w:t xml:space="preserve"> stems from WCI’s relationship with its affiliates.  WCI and its affiliates share common personnel, equipment, and facilities.  Staff and the Company disagree as to the </w:t>
      </w:r>
      <w:r w:rsidR="00941044" w:rsidRPr="00F7445E">
        <w:rPr>
          <w:rFonts w:cs="Times New Roman"/>
          <w:szCs w:val="24"/>
        </w:rPr>
        <w:t>appropriate</w:t>
      </w:r>
      <w:r w:rsidR="00AD2A27" w:rsidRPr="00F7445E">
        <w:rPr>
          <w:rFonts w:cs="Times New Roman"/>
          <w:szCs w:val="24"/>
        </w:rPr>
        <w:t xml:space="preserve"> allocation of</w:t>
      </w:r>
      <w:r w:rsidR="00941044" w:rsidRPr="00F7445E">
        <w:rPr>
          <w:rFonts w:cs="Times New Roman"/>
          <w:szCs w:val="24"/>
        </w:rPr>
        <w:t xml:space="preserve"> </w:t>
      </w:r>
      <w:r w:rsidR="00AD2A27" w:rsidRPr="00F7445E">
        <w:rPr>
          <w:rFonts w:cs="Times New Roman"/>
          <w:szCs w:val="24"/>
        </w:rPr>
        <w:t>ut</w:t>
      </w:r>
      <w:r w:rsidR="00A672DC" w:rsidRPr="00F7445E">
        <w:rPr>
          <w:rFonts w:cs="Times New Roman"/>
          <w:szCs w:val="24"/>
        </w:rPr>
        <w:t xml:space="preserve">ilities expenses tied to </w:t>
      </w:r>
      <w:r w:rsidR="0069281D" w:rsidRPr="00F7445E">
        <w:rPr>
          <w:rFonts w:cs="Times New Roman"/>
          <w:szCs w:val="24"/>
        </w:rPr>
        <w:t>those shared resources</w:t>
      </w:r>
      <w:r w:rsidR="00A672DC" w:rsidRPr="00F7445E">
        <w:rPr>
          <w:rFonts w:cs="Times New Roman"/>
          <w:szCs w:val="24"/>
        </w:rPr>
        <w:t xml:space="preserve">.  </w:t>
      </w:r>
      <w:r w:rsidR="007A0FF8" w:rsidRPr="00F7445E">
        <w:rPr>
          <w:rFonts w:cs="Times New Roman"/>
          <w:szCs w:val="24"/>
        </w:rPr>
        <w:t>Staff recommends the Commission allocate $</w:t>
      </w:r>
      <w:r w:rsidR="001C2BD0" w:rsidRPr="00F7445E">
        <w:rPr>
          <w:rFonts w:cs="Times New Roman"/>
          <w:szCs w:val="24"/>
        </w:rPr>
        <w:t>13,975</w:t>
      </w:r>
      <w:r w:rsidR="007A0FF8" w:rsidRPr="00F7445E">
        <w:rPr>
          <w:rFonts w:cs="Times New Roman"/>
          <w:szCs w:val="24"/>
        </w:rPr>
        <w:t xml:space="preserve"> of shared utilities expenses to WCI’s operations.</w:t>
      </w:r>
      <w:r w:rsidR="00DD4C35" w:rsidRPr="00735A6A">
        <w:rPr>
          <w:rStyle w:val="FootnoteReference"/>
          <w:rFonts w:cs="Times New Roman"/>
          <w:szCs w:val="24"/>
        </w:rPr>
        <w:footnoteReference w:id="11"/>
      </w:r>
      <w:r w:rsidR="007A0FF8" w:rsidRPr="00F7445E">
        <w:rPr>
          <w:rFonts w:cs="Times New Roman"/>
          <w:szCs w:val="24"/>
        </w:rPr>
        <w:t xml:space="preserve">  </w:t>
      </w:r>
      <w:r w:rsidR="002D770C" w:rsidRPr="00F7445E">
        <w:rPr>
          <w:rFonts w:cs="Times New Roman"/>
          <w:szCs w:val="24"/>
        </w:rPr>
        <w:t>The Company proposes to allocate $28,926 in utilities expenses to WCI.</w:t>
      </w:r>
      <w:r w:rsidR="002D770C" w:rsidRPr="00735A6A">
        <w:rPr>
          <w:rStyle w:val="FootnoteReference"/>
          <w:rFonts w:cs="Times New Roman"/>
          <w:szCs w:val="24"/>
        </w:rPr>
        <w:footnoteReference w:id="12"/>
      </w:r>
      <w:r w:rsidR="002D770C" w:rsidRPr="00F7445E">
        <w:rPr>
          <w:rFonts w:cs="Times New Roman"/>
          <w:szCs w:val="24"/>
        </w:rPr>
        <w:t xml:space="preserve"> </w:t>
      </w:r>
    </w:p>
    <w:p w14:paraId="4A729F96" w14:textId="12687F06" w:rsidR="00A672DC" w:rsidRPr="00F7445E" w:rsidRDefault="00F7445E" w:rsidP="00F7445E">
      <w:pPr>
        <w:pStyle w:val="ListParagraph"/>
        <w:numPr>
          <w:ilvl w:val="0"/>
          <w:numId w:val="32"/>
        </w:numPr>
        <w:spacing w:after="0" w:line="480" w:lineRule="auto"/>
        <w:rPr>
          <w:rFonts w:cs="Times New Roman"/>
          <w:szCs w:val="24"/>
        </w:rPr>
      </w:pPr>
      <w:r>
        <w:tab/>
      </w:r>
      <w:r w:rsidR="007A0FF8" w:rsidRPr="00F7445E">
        <w:rPr>
          <w:rFonts w:cs="Times New Roman"/>
          <w:szCs w:val="24"/>
        </w:rPr>
        <w:t>Staff’s recommendation stems from</w:t>
      </w:r>
      <w:r w:rsidR="00A672DC" w:rsidRPr="00F7445E">
        <w:rPr>
          <w:rFonts w:cs="Times New Roman"/>
          <w:szCs w:val="24"/>
        </w:rPr>
        <w:t xml:space="preserve"> a straightforward and transparent allocation based on WCI’s and its affiliates’ </w:t>
      </w:r>
      <w:r w:rsidR="00020DF2" w:rsidRPr="00F7445E">
        <w:rPr>
          <w:rFonts w:cs="Times New Roman"/>
          <w:szCs w:val="24"/>
        </w:rPr>
        <w:t xml:space="preserve">adjusted </w:t>
      </w:r>
      <w:r w:rsidR="00A672DC" w:rsidRPr="00F7445E">
        <w:rPr>
          <w:rFonts w:cs="Times New Roman"/>
          <w:szCs w:val="24"/>
        </w:rPr>
        <w:t xml:space="preserve">revenues, </w:t>
      </w:r>
      <w:r w:rsidR="00CB2EF6" w:rsidRPr="00F7445E">
        <w:rPr>
          <w:rFonts w:cs="Times New Roman"/>
          <w:szCs w:val="24"/>
        </w:rPr>
        <w:t>book value of fixed assets</w:t>
      </w:r>
      <w:r w:rsidR="00A672DC" w:rsidRPr="00F7445E">
        <w:rPr>
          <w:rFonts w:cs="Times New Roman"/>
          <w:szCs w:val="24"/>
        </w:rPr>
        <w:t>, and number of employees.</w:t>
      </w:r>
      <w:r w:rsidR="00DD4C35" w:rsidRPr="00735A6A">
        <w:rPr>
          <w:rStyle w:val="FootnoteReference"/>
          <w:rFonts w:cs="Times New Roman"/>
          <w:szCs w:val="24"/>
        </w:rPr>
        <w:footnoteReference w:id="13"/>
      </w:r>
      <w:r w:rsidR="00A672DC" w:rsidRPr="00F7445E">
        <w:rPr>
          <w:rFonts w:cs="Times New Roman"/>
          <w:szCs w:val="24"/>
        </w:rPr>
        <w:t xml:space="preserve">  The combination of</w:t>
      </w:r>
      <w:r w:rsidR="0069281D" w:rsidRPr="00F7445E">
        <w:rPr>
          <w:rFonts w:cs="Times New Roman"/>
          <w:szCs w:val="24"/>
        </w:rPr>
        <w:t xml:space="preserve"> these three factors is a reasonable indicator of</w:t>
      </w:r>
      <w:r w:rsidR="00A672DC" w:rsidRPr="00F7445E">
        <w:rPr>
          <w:rFonts w:cs="Times New Roman"/>
          <w:szCs w:val="24"/>
        </w:rPr>
        <w:t xml:space="preserve"> the size and scope of each affiliate entity’s operations relative to WCI and one another.</w:t>
      </w:r>
      <w:r w:rsidR="00DD4C35" w:rsidRPr="00735A6A">
        <w:rPr>
          <w:rStyle w:val="FootnoteReference"/>
          <w:rFonts w:cs="Times New Roman"/>
          <w:szCs w:val="24"/>
        </w:rPr>
        <w:footnoteReference w:id="14"/>
      </w:r>
      <w:r w:rsidR="00A672DC" w:rsidRPr="00F7445E">
        <w:rPr>
          <w:rFonts w:cs="Times New Roman"/>
          <w:szCs w:val="24"/>
        </w:rPr>
        <w:t xml:space="preserve">  </w:t>
      </w:r>
      <w:r w:rsidR="0069281D" w:rsidRPr="00F7445E">
        <w:rPr>
          <w:rFonts w:cs="Times New Roman"/>
          <w:szCs w:val="24"/>
        </w:rPr>
        <w:t>In turn, t</w:t>
      </w:r>
      <w:r w:rsidR="00A672DC" w:rsidRPr="00F7445E">
        <w:rPr>
          <w:rFonts w:cs="Times New Roman"/>
          <w:szCs w:val="24"/>
        </w:rPr>
        <w:t>he</w:t>
      </w:r>
      <w:r w:rsidR="0069281D" w:rsidRPr="00F7445E">
        <w:rPr>
          <w:rFonts w:cs="Times New Roman"/>
          <w:szCs w:val="24"/>
        </w:rPr>
        <w:t xml:space="preserve"> relative</w:t>
      </w:r>
      <w:r w:rsidR="00A672DC" w:rsidRPr="00F7445E">
        <w:rPr>
          <w:rFonts w:cs="Times New Roman"/>
          <w:szCs w:val="24"/>
        </w:rPr>
        <w:t xml:space="preserve"> size and scope of each entity’s operations reasonably estimat</w:t>
      </w:r>
      <w:r w:rsidR="0069281D" w:rsidRPr="00F7445E">
        <w:rPr>
          <w:rFonts w:cs="Times New Roman"/>
          <w:szCs w:val="24"/>
        </w:rPr>
        <w:t>es the</w:t>
      </w:r>
      <w:r w:rsidR="0068668F" w:rsidRPr="00F7445E">
        <w:rPr>
          <w:rFonts w:cs="Times New Roman"/>
          <w:szCs w:val="24"/>
        </w:rPr>
        <w:t xml:space="preserve"> </w:t>
      </w:r>
      <w:r w:rsidR="00CB2EF6" w:rsidRPr="00F7445E">
        <w:rPr>
          <w:rFonts w:cs="Times New Roman"/>
          <w:szCs w:val="24"/>
        </w:rPr>
        <w:t xml:space="preserve">proportional </w:t>
      </w:r>
      <w:r w:rsidR="0068668F" w:rsidRPr="00F7445E">
        <w:rPr>
          <w:rFonts w:cs="Times New Roman"/>
          <w:szCs w:val="24"/>
        </w:rPr>
        <w:t>costs</w:t>
      </w:r>
      <w:r w:rsidR="00941044" w:rsidRPr="00F7445E">
        <w:rPr>
          <w:rFonts w:cs="Times New Roman"/>
          <w:szCs w:val="24"/>
        </w:rPr>
        <w:t xml:space="preserve"> </w:t>
      </w:r>
      <w:r w:rsidR="00A672DC" w:rsidRPr="00F7445E">
        <w:rPr>
          <w:rFonts w:cs="Times New Roman"/>
          <w:szCs w:val="24"/>
        </w:rPr>
        <w:t>each entity places on common resources such</w:t>
      </w:r>
      <w:r w:rsidR="00941044" w:rsidRPr="00F7445E">
        <w:rPr>
          <w:rFonts w:cs="Times New Roman"/>
          <w:szCs w:val="24"/>
        </w:rPr>
        <w:t xml:space="preserve"> as </w:t>
      </w:r>
      <w:r w:rsidR="00A672DC" w:rsidRPr="00F7445E">
        <w:rPr>
          <w:rFonts w:cs="Times New Roman"/>
          <w:szCs w:val="24"/>
        </w:rPr>
        <w:t>shared personnel, equipment, and facilitie</w:t>
      </w:r>
      <w:r w:rsidR="0069281D" w:rsidRPr="00F7445E">
        <w:rPr>
          <w:rFonts w:cs="Times New Roman"/>
          <w:szCs w:val="24"/>
        </w:rPr>
        <w:t xml:space="preserve">s.  </w:t>
      </w:r>
      <w:r w:rsidR="00941044" w:rsidRPr="00F7445E">
        <w:rPr>
          <w:rFonts w:cs="Times New Roman"/>
          <w:szCs w:val="24"/>
        </w:rPr>
        <w:t xml:space="preserve">Therefore, </w:t>
      </w:r>
      <w:r w:rsidR="0069281D" w:rsidRPr="00F7445E">
        <w:rPr>
          <w:rFonts w:cs="Times New Roman"/>
          <w:szCs w:val="24"/>
        </w:rPr>
        <w:t xml:space="preserve">Staff’s proposed calculation assigns </w:t>
      </w:r>
      <w:r w:rsidR="004E5F93" w:rsidRPr="00F7445E">
        <w:rPr>
          <w:rFonts w:cs="Times New Roman"/>
          <w:szCs w:val="24"/>
        </w:rPr>
        <w:t xml:space="preserve">shared </w:t>
      </w:r>
      <w:r w:rsidR="0069281D" w:rsidRPr="00F7445E">
        <w:rPr>
          <w:rFonts w:cs="Times New Roman"/>
          <w:szCs w:val="24"/>
        </w:rPr>
        <w:t xml:space="preserve">utilities expense in a fair, transparent manner that is consistent with the </w:t>
      </w:r>
      <w:r w:rsidR="00AD2A27" w:rsidRPr="00F7445E">
        <w:rPr>
          <w:rFonts w:cs="Times New Roman"/>
          <w:szCs w:val="24"/>
        </w:rPr>
        <w:t xml:space="preserve">regulatory </w:t>
      </w:r>
      <w:r w:rsidR="0069281D" w:rsidRPr="00F7445E">
        <w:rPr>
          <w:rFonts w:cs="Times New Roman"/>
          <w:szCs w:val="24"/>
        </w:rPr>
        <w:t xml:space="preserve">principle of cost causation.  </w:t>
      </w:r>
    </w:p>
    <w:p w14:paraId="4A729F97" w14:textId="22837069" w:rsidR="00941044" w:rsidRDefault="00F7445E" w:rsidP="00F7445E">
      <w:pPr>
        <w:pStyle w:val="ListParagraph"/>
        <w:numPr>
          <w:ilvl w:val="0"/>
          <w:numId w:val="32"/>
        </w:numPr>
        <w:spacing w:after="0" w:line="480" w:lineRule="auto"/>
        <w:rPr>
          <w:rFonts w:cs="Times New Roman"/>
          <w:szCs w:val="24"/>
        </w:rPr>
      </w:pPr>
      <w:r>
        <w:rPr>
          <w:rFonts w:cs="Times New Roman"/>
          <w:szCs w:val="24"/>
        </w:rPr>
        <w:tab/>
      </w:r>
      <w:r w:rsidR="00941044" w:rsidRPr="00F7445E">
        <w:rPr>
          <w:rFonts w:cs="Times New Roman"/>
          <w:szCs w:val="24"/>
        </w:rPr>
        <w:t xml:space="preserve">WCI appears to </w:t>
      </w:r>
      <w:r w:rsidR="00AD2A27" w:rsidRPr="00F7445E">
        <w:rPr>
          <w:rFonts w:cs="Times New Roman"/>
          <w:szCs w:val="24"/>
        </w:rPr>
        <w:t xml:space="preserve">simultaneously </w:t>
      </w:r>
      <w:r w:rsidR="00941044" w:rsidRPr="00F7445E">
        <w:rPr>
          <w:rFonts w:cs="Times New Roman"/>
          <w:szCs w:val="24"/>
        </w:rPr>
        <w:t xml:space="preserve">argue in favor of </w:t>
      </w:r>
      <w:r w:rsidR="003D30C0" w:rsidRPr="00F7445E">
        <w:rPr>
          <w:rFonts w:cs="Times New Roman"/>
          <w:szCs w:val="24"/>
        </w:rPr>
        <w:t>several</w:t>
      </w:r>
      <w:r w:rsidR="00941044" w:rsidRPr="00F7445E">
        <w:rPr>
          <w:rFonts w:cs="Times New Roman"/>
          <w:szCs w:val="24"/>
        </w:rPr>
        <w:t xml:space="preserve"> different, mutually exclusive proposals.  First, </w:t>
      </w:r>
      <w:r w:rsidR="003D30C0" w:rsidRPr="00F7445E">
        <w:rPr>
          <w:rFonts w:cs="Times New Roman"/>
          <w:szCs w:val="24"/>
        </w:rPr>
        <w:t>in its direct testimony, the Company proposed to allocate</w:t>
      </w:r>
      <w:r w:rsidR="00F976C4" w:rsidRPr="00F7445E">
        <w:rPr>
          <w:rFonts w:cs="Times New Roman"/>
          <w:szCs w:val="24"/>
        </w:rPr>
        <w:t xml:space="preserve"> </w:t>
      </w:r>
      <w:r w:rsidR="004E5F93" w:rsidRPr="00F7445E">
        <w:rPr>
          <w:rFonts w:cs="Times New Roman"/>
          <w:szCs w:val="24"/>
        </w:rPr>
        <w:t xml:space="preserve">shared </w:t>
      </w:r>
      <w:r w:rsidR="00F976C4" w:rsidRPr="00F7445E">
        <w:rPr>
          <w:rFonts w:cs="Times New Roman"/>
          <w:szCs w:val="24"/>
        </w:rPr>
        <w:t>utilities expense</w:t>
      </w:r>
      <w:r w:rsidR="003D30C0" w:rsidRPr="00F7445E">
        <w:rPr>
          <w:rFonts w:cs="Times New Roman"/>
          <w:szCs w:val="24"/>
        </w:rPr>
        <w:t xml:space="preserve"> based on the number of affiliates sharing a facility; for example, if three affiliates share space, WCI advocated a one-third (1/3) allocation of </w:t>
      </w:r>
      <w:r w:rsidR="00A819DB" w:rsidRPr="00F7445E">
        <w:rPr>
          <w:rFonts w:cs="Times New Roman"/>
          <w:szCs w:val="24"/>
        </w:rPr>
        <w:t xml:space="preserve">shared </w:t>
      </w:r>
      <w:r w:rsidR="003D30C0" w:rsidRPr="00F7445E">
        <w:rPr>
          <w:rFonts w:cs="Times New Roman"/>
          <w:szCs w:val="24"/>
        </w:rPr>
        <w:t>utilities expenses for each entity</w:t>
      </w:r>
      <w:r w:rsidR="00E27F6A" w:rsidRPr="00F7445E">
        <w:rPr>
          <w:rFonts w:cs="Times New Roman"/>
          <w:szCs w:val="24"/>
        </w:rPr>
        <w:t xml:space="preserve"> without any further analysis</w:t>
      </w:r>
      <w:r w:rsidR="003D30C0" w:rsidRPr="00F7445E">
        <w:rPr>
          <w:rFonts w:cs="Times New Roman"/>
          <w:szCs w:val="24"/>
        </w:rPr>
        <w:t>.</w:t>
      </w:r>
      <w:r w:rsidR="00DD4C35" w:rsidRPr="00735A6A">
        <w:rPr>
          <w:rStyle w:val="FootnoteReference"/>
          <w:rFonts w:cs="Times New Roman"/>
          <w:szCs w:val="24"/>
        </w:rPr>
        <w:footnoteReference w:id="15"/>
      </w:r>
      <w:r w:rsidR="003D30C0" w:rsidRPr="00F7445E">
        <w:rPr>
          <w:rFonts w:cs="Times New Roman"/>
          <w:szCs w:val="24"/>
        </w:rPr>
        <w:t xml:space="preserve">  In rebuttal testimony, </w:t>
      </w:r>
      <w:r w:rsidR="00941044" w:rsidRPr="00F7445E">
        <w:rPr>
          <w:rFonts w:cs="Times New Roman"/>
          <w:szCs w:val="24"/>
        </w:rPr>
        <w:t xml:space="preserve">the Company advocates </w:t>
      </w:r>
      <w:r w:rsidR="001F2280" w:rsidRPr="00F7445E">
        <w:rPr>
          <w:rFonts w:cs="Times New Roman"/>
          <w:szCs w:val="24"/>
        </w:rPr>
        <w:t xml:space="preserve">the </w:t>
      </w:r>
      <w:r w:rsidR="00941044" w:rsidRPr="00F7445E">
        <w:rPr>
          <w:rFonts w:cs="Times New Roman"/>
          <w:szCs w:val="24"/>
        </w:rPr>
        <w:t>use of another</w:t>
      </w:r>
      <w:r w:rsidR="00AA2B5B" w:rsidRPr="00F7445E">
        <w:rPr>
          <w:rFonts w:cs="Times New Roman"/>
          <w:szCs w:val="24"/>
        </w:rPr>
        <w:t>, unspecified</w:t>
      </w:r>
      <w:r w:rsidR="00941044" w:rsidRPr="00F7445E">
        <w:rPr>
          <w:rFonts w:cs="Times New Roman"/>
          <w:szCs w:val="24"/>
        </w:rPr>
        <w:t xml:space="preserve"> a</w:t>
      </w:r>
      <w:r w:rsidR="00AD2A27" w:rsidRPr="00F7445E">
        <w:rPr>
          <w:rFonts w:cs="Times New Roman"/>
          <w:szCs w:val="24"/>
        </w:rPr>
        <w:t>llocation methodology</w:t>
      </w:r>
      <w:r w:rsidR="00AB21F7" w:rsidRPr="00F7445E">
        <w:rPr>
          <w:rFonts w:cs="Times New Roman"/>
          <w:szCs w:val="24"/>
        </w:rPr>
        <w:t xml:space="preserve"> apparently based on</w:t>
      </w:r>
      <w:r w:rsidR="00941044" w:rsidRPr="00F7445E">
        <w:rPr>
          <w:rFonts w:cs="Times New Roman"/>
          <w:szCs w:val="24"/>
        </w:rPr>
        <w:t xml:space="preserve"> square footage; however, WCI does not propose a narrative of its methodology, supporting data and calculations, or even the resulting allocator.</w:t>
      </w:r>
      <w:r w:rsidR="00DC5868" w:rsidRPr="00735A6A">
        <w:rPr>
          <w:rStyle w:val="FootnoteReference"/>
          <w:rFonts w:cs="Times New Roman"/>
          <w:szCs w:val="24"/>
        </w:rPr>
        <w:footnoteReference w:id="16"/>
      </w:r>
      <w:r w:rsidR="00941044" w:rsidRPr="00F7445E">
        <w:rPr>
          <w:rFonts w:cs="Times New Roman"/>
          <w:szCs w:val="24"/>
        </w:rPr>
        <w:t xml:space="preserve"> </w:t>
      </w:r>
      <w:r w:rsidR="00AD2A27" w:rsidRPr="00F7445E">
        <w:rPr>
          <w:rFonts w:cs="Times New Roman"/>
          <w:szCs w:val="24"/>
        </w:rPr>
        <w:t xml:space="preserve"> </w:t>
      </w:r>
      <w:r w:rsidR="003D30C0" w:rsidRPr="00F7445E">
        <w:rPr>
          <w:rFonts w:cs="Times New Roman"/>
          <w:szCs w:val="24"/>
        </w:rPr>
        <w:t>Lastly</w:t>
      </w:r>
      <w:r w:rsidR="00AD2A27" w:rsidRPr="00F7445E">
        <w:rPr>
          <w:rFonts w:cs="Times New Roman"/>
          <w:szCs w:val="24"/>
        </w:rPr>
        <w:t xml:space="preserve">, WCI appears to argue in favor of using </w:t>
      </w:r>
      <w:r w:rsidR="00020DF2" w:rsidRPr="00F7445E">
        <w:rPr>
          <w:rFonts w:cs="Times New Roman"/>
          <w:szCs w:val="24"/>
        </w:rPr>
        <w:t xml:space="preserve">a modified version of </w:t>
      </w:r>
      <w:r w:rsidR="00AD2A27" w:rsidRPr="00F7445E">
        <w:rPr>
          <w:rFonts w:cs="Times New Roman"/>
          <w:szCs w:val="24"/>
        </w:rPr>
        <w:t xml:space="preserve">Staff’s allocation methodology </w:t>
      </w:r>
      <w:r w:rsidR="00020DF2" w:rsidRPr="00F7445E">
        <w:rPr>
          <w:rFonts w:cs="Times New Roman"/>
          <w:szCs w:val="24"/>
        </w:rPr>
        <w:t>that includes WCR’s</w:t>
      </w:r>
      <w:r w:rsidR="008922E4" w:rsidRPr="00F7445E">
        <w:rPr>
          <w:rFonts w:cs="Times New Roman"/>
          <w:szCs w:val="24"/>
        </w:rPr>
        <w:t xml:space="preserve"> utilities expense</w:t>
      </w:r>
      <w:r w:rsidR="00020DF2" w:rsidRPr="00F7445E">
        <w:rPr>
          <w:rFonts w:cs="Times New Roman"/>
          <w:szCs w:val="24"/>
        </w:rPr>
        <w:t>s</w:t>
      </w:r>
      <w:r w:rsidR="00AD2A27" w:rsidRPr="00F7445E">
        <w:rPr>
          <w:rFonts w:cs="Times New Roman"/>
          <w:szCs w:val="24"/>
        </w:rPr>
        <w:t xml:space="preserve"> </w:t>
      </w:r>
      <w:r w:rsidR="00020DF2" w:rsidRPr="00F7445E">
        <w:rPr>
          <w:rFonts w:cs="Times New Roman"/>
          <w:szCs w:val="24"/>
        </w:rPr>
        <w:t>from</w:t>
      </w:r>
      <w:r w:rsidR="00AD2A27" w:rsidRPr="00F7445E">
        <w:rPr>
          <w:rFonts w:cs="Times New Roman"/>
          <w:szCs w:val="24"/>
        </w:rPr>
        <w:t xml:space="preserve"> non-shared facilit</w:t>
      </w:r>
      <w:r w:rsidR="00020DF2" w:rsidRPr="00F7445E">
        <w:rPr>
          <w:rFonts w:cs="Times New Roman"/>
          <w:szCs w:val="24"/>
        </w:rPr>
        <w:t>ies</w:t>
      </w:r>
      <w:r w:rsidR="00AD2A27" w:rsidRPr="00F7445E">
        <w:rPr>
          <w:rFonts w:cs="Times New Roman"/>
          <w:szCs w:val="24"/>
        </w:rPr>
        <w:t>.</w:t>
      </w:r>
      <w:r w:rsidR="00F976C4" w:rsidRPr="00735A6A">
        <w:rPr>
          <w:rStyle w:val="FootnoteReference"/>
          <w:rFonts w:cs="Times New Roman"/>
          <w:szCs w:val="24"/>
        </w:rPr>
        <w:footnoteReference w:id="17"/>
      </w:r>
    </w:p>
    <w:p w14:paraId="5228D3C6" w14:textId="77777777" w:rsidR="00F7445E" w:rsidRPr="00F7445E" w:rsidRDefault="00F7445E" w:rsidP="002D449B">
      <w:pPr>
        <w:keepNext/>
        <w:spacing w:after="0" w:line="480" w:lineRule="auto"/>
        <w:rPr>
          <w:rFonts w:cs="Times New Roman"/>
          <w:b/>
          <w:szCs w:val="24"/>
        </w:rPr>
      </w:pPr>
      <w:r w:rsidRPr="00F7445E">
        <w:rPr>
          <w:b/>
        </w:rPr>
        <w:t>B.</w:t>
      </w:r>
      <w:r w:rsidRPr="00F7445E">
        <w:rPr>
          <w:b/>
        </w:rPr>
        <w:tab/>
      </w:r>
      <w:r w:rsidRPr="00F7445E">
        <w:rPr>
          <w:rFonts w:cs="Times New Roman"/>
          <w:b/>
          <w:szCs w:val="24"/>
        </w:rPr>
        <w:t>Staff’s Recommendation is Fair and Reasonable</w:t>
      </w:r>
    </w:p>
    <w:p w14:paraId="03512A60" w14:textId="246CEBC6" w:rsidR="00F7445E" w:rsidRPr="00F7445E" w:rsidRDefault="00F7445E" w:rsidP="002D449B">
      <w:pPr>
        <w:keepNext/>
        <w:spacing w:after="0" w:line="480" w:lineRule="auto"/>
        <w:rPr>
          <w:rFonts w:cs="Times New Roman"/>
          <w:b/>
          <w:szCs w:val="24"/>
        </w:rPr>
      </w:pPr>
      <w:r>
        <w:tab/>
      </w:r>
      <w:r w:rsidRPr="00F7445E">
        <w:rPr>
          <w:b/>
        </w:rPr>
        <w:t>1.</w:t>
      </w:r>
      <w:r w:rsidRPr="00F7445E">
        <w:rPr>
          <w:b/>
        </w:rPr>
        <w:tab/>
      </w:r>
      <w:r w:rsidRPr="00F7445E">
        <w:rPr>
          <w:rFonts w:cs="Times New Roman"/>
          <w:b/>
          <w:szCs w:val="24"/>
        </w:rPr>
        <w:t xml:space="preserve">Fundamental </w:t>
      </w:r>
      <w:r w:rsidR="00830B32">
        <w:rPr>
          <w:rFonts w:cs="Times New Roman"/>
          <w:b/>
          <w:szCs w:val="24"/>
        </w:rPr>
        <w:t>p</w:t>
      </w:r>
      <w:r w:rsidRPr="00F7445E">
        <w:rPr>
          <w:rFonts w:cs="Times New Roman"/>
          <w:b/>
          <w:szCs w:val="24"/>
        </w:rPr>
        <w:t xml:space="preserve">rinciples and Commission </w:t>
      </w:r>
      <w:r w:rsidR="00830B32">
        <w:rPr>
          <w:rFonts w:cs="Times New Roman"/>
          <w:b/>
          <w:szCs w:val="24"/>
        </w:rPr>
        <w:t>p</w:t>
      </w:r>
      <w:r w:rsidRPr="00F7445E">
        <w:rPr>
          <w:rFonts w:cs="Times New Roman"/>
          <w:b/>
          <w:szCs w:val="24"/>
        </w:rPr>
        <w:t>recedent</w:t>
      </w:r>
      <w:r w:rsidR="00830B32">
        <w:rPr>
          <w:rFonts w:cs="Times New Roman"/>
          <w:b/>
          <w:szCs w:val="24"/>
        </w:rPr>
        <w:t>.</w:t>
      </w:r>
    </w:p>
    <w:p w14:paraId="4A729F9C" w14:textId="54FDD19F" w:rsidR="00C0714C" w:rsidRDefault="00F7445E" w:rsidP="00F7445E">
      <w:pPr>
        <w:pStyle w:val="ListParagraph"/>
        <w:numPr>
          <w:ilvl w:val="0"/>
          <w:numId w:val="32"/>
        </w:numPr>
        <w:spacing w:after="0" w:line="480" w:lineRule="auto"/>
        <w:rPr>
          <w:rFonts w:cs="Times New Roman"/>
          <w:szCs w:val="24"/>
        </w:rPr>
      </w:pPr>
      <w:r>
        <w:rPr>
          <w:rFonts w:cs="Times New Roman"/>
          <w:szCs w:val="24"/>
        </w:rPr>
        <w:tab/>
      </w:r>
      <w:r w:rsidR="003E74A7" w:rsidRPr="00F7445E">
        <w:rPr>
          <w:rFonts w:cs="Times New Roman"/>
          <w:szCs w:val="24"/>
        </w:rPr>
        <w:t xml:space="preserve">Generally-accepted, fundamental accounting principles dictate that shared </w:t>
      </w:r>
      <w:r w:rsidR="009D5842" w:rsidRPr="00F7445E">
        <w:rPr>
          <w:rFonts w:cs="Times New Roman"/>
          <w:szCs w:val="24"/>
        </w:rPr>
        <w:t xml:space="preserve">costs </w:t>
      </w:r>
      <w:r w:rsidR="003E74A7" w:rsidRPr="00F7445E">
        <w:rPr>
          <w:rFonts w:cs="Times New Roman"/>
          <w:szCs w:val="24"/>
        </w:rPr>
        <w:t>should b</w:t>
      </w:r>
      <w:r w:rsidR="00AB7367" w:rsidRPr="00F7445E">
        <w:rPr>
          <w:rFonts w:cs="Times New Roman"/>
          <w:szCs w:val="24"/>
        </w:rPr>
        <w:t>e allocated based on cost-drivers</w:t>
      </w:r>
      <w:r w:rsidR="003E74A7" w:rsidRPr="00F7445E">
        <w:rPr>
          <w:rFonts w:cs="Times New Roman"/>
          <w:szCs w:val="24"/>
        </w:rPr>
        <w:t>.</w:t>
      </w:r>
      <w:r w:rsidR="009150F1" w:rsidRPr="00735A6A">
        <w:rPr>
          <w:rStyle w:val="FootnoteReference"/>
          <w:rFonts w:cs="Times New Roman"/>
          <w:szCs w:val="24"/>
        </w:rPr>
        <w:footnoteReference w:id="18"/>
      </w:r>
      <w:r w:rsidR="003E74A7" w:rsidRPr="00F7445E">
        <w:rPr>
          <w:rFonts w:cs="Times New Roman"/>
          <w:szCs w:val="24"/>
        </w:rPr>
        <w:t xml:space="preserve"> </w:t>
      </w:r>
      <w:r w:rsidR="002A0E96" w:rsidRPr="00F7445E">
        <w:rPr>
          <w:rFonts w:cs="Times New Roman"/>
          <w:szCs w:val="24"/>
        </w:rPr>
        <w:t xml:space="preserve"> </w:t>
      </w:r>
      <w:r w:rsidR="00EC6C75" w:rsidRPr="00F7445E">
        <w:rPr>
          <w:rFonts w:cs="Times New Roman"/>
          <w:szCs w:val="24"/>
        </w:rPr>
        <w:t>Allocation factors should reasonably attempt to allocate costs to the entities and operations generating those costs.</w:t>
      </w:r>
      <w:r w:rsidR="00EC6C75" w:rsidRPr="00735A6A">
        <w:rPr>
          <w:rStyle w:val="FootnoteReference"/>
          <w:rFonts w:cs="Times New Roman"/>
          <w:szCs w:val="24"/>
        </w:rPr>
        <w:footnoteReference w:id="19"/>
      </w:r>
      <w:r w:rsidR="00EC6C75" w:rsidRPr="00F7445E">
        <w:rPr>
          <w:rFonts w:cs="Times New Roman"/>
          <w:szCs w:val="24"/>
        </w:rPr>
        <w:t xml:space="preserve">  When expenses cannot be directly assigned, </w:t>
      </w:r>
      <w:r w:rsidR="004E1962" w:rsidRPr="00F7445E">
        <w:rPr>
          <w:rFonts w:cs="Times New Roman"/>
          <w:szCs w:val="24"/>
        </w:rPr>
        <w:t>Commission precedent</w:t>
      </w:r>
      <w:r w:rsidR="007A0FF8" w:rsidRPr="00F7445E">
        <w:rPr>
          <w:rFonts w:cs="Times New Roman"/>
          <w:szCs w:val="24"/>
        </w:rPr>
        <w:t xml:space="preserve"> </w:t>
      </w:r>
      <w:r w:rsidR="00EC6C75" w:rsidRPr="00F7445E">
        <w:rPr>
          <w:rFonts w:cs="Times New Roman"/>
          <w:szCs w:val="24"/>
        </w:rPr>
        <w:t xml:space="preserve">also </w:t>
      </w:r>
      <w:r w:rsidR="007A0FF8" w:rsidRPr="00F7445E">
        <w:rPr>
          <w:rFonts w:cs="Times New Roman"/>
          <w:szCs w:val="24"/>
        </w:rPr>
        <w:t xml:space="preserve">supports </w:t>
      </w:r>
      <w:r w:rsidR="008922E4" w:rsidRPr="00F7445E">
        <w:rPr>
          <w:rFonts w:cs="Times New Roman"/>
          <w:szCs w:val="24"/>
        </w:rPr>
        <w:t>a</w:t>
      </w:r>
      <w:r w:rsidR="00E27F6A" w:rsidRPr="00F7445E">
        <w:rPr>
          <w:rFonts w:cs="Times New Roman"/>
          <w:szCs w:val="24"/>
        </w:rPr>
        <w:t>llocating expenses based on the</w:t>
      </w:r>
      <w:r w:rsidR="00C0714C" w:rsidRPr="00F7445E">
        <w:rPr>
          <w:rFonts w:cs="Times New Roman"/>
          <w:szCs w:val="24"/>
        </w:rPr>
        <w:t xml:space="preserve"> </w:t>
      </w:r>
      <w:r w:rsidR="00DA6C7C" w:rsidRPr="00F7445E">
        <w:rPr>
          <w:rFonts w:cs="Times New Roman"/>
          <w:szCs w:val="24"/>
        </w:rPr>
        <w:t>principle</w:t>
      </w:r>
      <w:r w:rsidR="008922E4" w:rsidRPr="00F7445E">
        <w:rPr>
          <w:rFonts w:cs="Times New Roman"/>
          <w:szCs w:val="24"/>
        </w:rPr>
        <w:t>s</w:t>
      </w:r>
      <w:r w:rsidR="00DA6C7C" w:rsidRPr="00F7445E">
        <w:rPr>
          <w:rFonts w:cs="Times New Roman"/>
          <w:szCs w:val="24"/>
        </w:rPr>
        <w:t xml:space="preserve"> of cost causation</w:t>
      </w:r>
      <w:r w:rsidR="008922E4" w:rsidRPr="00F7445E">
        <w:rPr>
          <w:rFonts w:cs="Times New Roman"/>
          <w:szCs w:val="24"/>
        </w:rPr>
        <w:t xml:space="preserve"> and avoid</w:t>
      </w:r>
      <w:r w:rsidR="00D72BBF" w:rsidRPr="00F7445E">
        <w:rPr>
          <w:rFonts w:cs="Times New Roman"/>
          <w:szCs w:val="24"/>
        </w:rPr>
        <w:t>ance of</w:t>
      </w:r>
      <w:r w:rsidR="008922E4" w:rsidRPr="00F7445E">
        <w:rPr>
          <w:rFonts w:cs="Times New Roman"/>
          <w:szCs w:val="24"/>
        </w:rPr>
        <w:t xml:space="preserve"> cross-subsidies</w:t>
      </w:r>
      <w:r w:rsidR="007A0FF8" w:rsidRPr="00F7445E">
        <w:rPr>
          <w:rFonts w:cs="Times New Roman"/>
          <w:szCs w:val="24"/>
        </w:rPr>
        <w:t>.</w:t>
      </w:r>
      <w:r w:rsidR="007A0FF8" w:rsidRPr="00735A6A">
        <w:rPr>
          <w:rStyle w:val="FootnoteReference"/>
          <w:rFonts w:cs="Times New Roman"/>
          <w:szCs w:val="24"/>
        </w:rPr>
        <w:footnoteReference w:id="20"/>
      </w:r>
      <w:r w:rsidR="002A0E96" w:rsidRPr="00F7445E">
        <w:rPr>
          <w:rFonts w:cs="Times New Roman"/>
          <w:szCs w:val="24"/>
        </w:rPr>
        <w:t xml:space="preserve"> </w:t>
      </w:r>
      <w:r w:rsidR="00F976C4" w:rsidRPr="00F7445E">
        <w:rPr>
          <w:rFonts w:cs="Times New Roman"/>
          <w:szCs w:val="24"/>
        </w:rPr>
        <w:t xml:space="preserve"> </w:t>
      </w:r>
      <w:r w:rsidR="00CB01A5" w:rsidRPr="00F7445E">
        <w:rPr>
          <w:rFonts w:cs="Times New Roman"/>
          <w:szCs w:val="24"/>
        </w:rPr>
        <w:t xml:space="preserve">Only </w:t>
      </w:r>
      <w:r w:rsidR="00F3383A" w:rsidRPr="00F7445E">
        <w:rPr>
          <w:rFonts w:cs="Times New Roman"/>
          <w:szCs w:val="24"/>
        </w:rPr>
        <w:t>Staff</w:t>
      </w:r>
      <w:r w:rsidR="00AB7367" w:rsidRPr="00F7445E">
        <w:rPr>
          <w:rFonts w:cs="Times New Roman"/>
          <w:szCs w:val="24"/>
        </w:rPr>
        <w:t>’s testimony</w:t>
      </w:r>
      <w:r w:rsidR="00CB01A5" w:rsidRPr="00F7445E">
        <w:rPr>
          <w:rFonts w:cs="Times New Roman"/>
          <w:szCs w:val="24"/>
        </w:rPr>
        <w:t xml:space="preserve"> applies these</w:t>
      </w:r>
      <w:r w:rsidR="002A0E96" w:rsidRPr="00F7445E">
        <w:rPr>
          <w:rFonts w:cs="Times New Roman"/>
          <w:szCs w:val="24"/>
        </w:rPr>
        <w:t xml:space="preserve"> principles</w:t>
      </w:r>
      <w:r w:rsidR="00AB7367" w:rsidRPr="00F7445E">
        <w:rPr>
          <w:rFonts w:cs="Times New Roman"/>
          <w:szCs w:val="24"/>
        </w:rPr>
        <w:t xml:space="preserve"> and precedent</w:t>
      </w:r>
      <w:r w:rsidR="008922E4" w:rsidRPr="00F7445E">
        <w:rPr>
          <w:rFonts w:cs="Times New Roman"/>
          <w:szCs w:val="24"/>
        </w:rPr>
        <w:t xml:space="preserve"> in its </w:t>
      </w:r>
      <w:r w:rsidR="00F3383A" w:rsidRPr="00F7445E">
        <w:rPr>
          <w:rFonts w:cs="Times New Roman"/>
          <w:szCs w:val="24"/>
        </w:rPr>
        <w:t xml:space="preserve">recommendation </w:t>
      </w:r>
      <w:r w:rsidR="000C49C6" w:rsidRPr="00F7445E">
        <w:rPr>
          <w:rFonts w:cs="Times New Roman"/>
          <w:szCs w:val="24"/>
        </w:rPr>
        <w:t>to the Commission.</w:t>
      </w:r>
      <w:r w:rsidR="00F3383A" w:rsidRPr="00F7445E">
        <w:rPr>
          <w:rFonts w:cs="Times New Roman"/>
          <w:szCs w:val="24"/>
        </w:rPr>
        <w:t xml:space="preserve"> </w:t>
      </w:r>
    </w:p>
    <w:p w14:paraId="628E987B" w14:textId="019DD50A" w:rsidR="00F7445E" w:rsidRPr="00F7445E" w:rsidRDefault="00F7445E" w:rsidP="00F7445E">
      <w:pPr>
        <w:pStyle w:val="ListParagraph"/>
        <w:tabs>
          <w:tab w:val="left" w:pos="810"/>
        </w:tabs>
        <w:spacing w:after="0" w:line="480" w:lineRule="auto"/>
        <w:ind w:left="0"/>
        <w:rPr>
          <w:rFonts w:cs="Times New Roman"/>
          <w:b/>
          <w:szCs w:val="24"/>
        </w:rPr>
      </w:pPr>
      <w:r>
        <w:tab/>
      </w:r>
      <w:r w:rsidRPr="00F7445E">
        <w:rPr>
          <w:b/>
        </w:rPr>
        <w:t>2.</w:t>
      </w:r>
      <w:r w:rsidRPr="00F7445E">
        <w:rPr>
          <w:b/>
        </w:rPr>
        <w:tab/>
      </w:r>
      <w:r w:rsidRPr="00F7445E">
        <w:rPr>
          <w:rFonts w:cs="Times New Roman"/>
          <w:b/>
          <w:szCs w:val="24"/>
        </w:rPr>
        <w:t>Staff’s recommendation reasonably estimates costs</w:t>
      </w:r>
      <w:r w:rsidR="00830B32">
        <w:rPr>
          <w:rFonts w:cs="Times New Roman"/>
          <w:b/>
          <w:szCs w:val="24"/>
        </w:rPr>
        <w:t>.</w:t>
      </w:r>
    </w:p>
    <w:p w14:paraId="4A729F9E" w14:textId="4F37C8AD" w:rsidR="00725E00" w:rsidRPr="00F7445E" w:rsidRDefault="00F7445E" w:rsidP="00F7445E">
      <w:pPr>
        <w:pStyle w:val="ListParagraph"/>
        <w:numPr>
          <w:ilvl w:val="0"/>
          <w:numId w:val="32"/>
        </w:numPr>
        <w:spacing w:after="0" w:line="480" w:lineRule="auto"/>
        <w:rPr>
          <w:rFonts w:cs="Times New Roman"/>
          <w:szCs w:val="24"/>
        </w:rPr>
      </w:pPr>
      <w:r>
        <w:rPr>
          <w:rFonts w:cs="Times New Roman"/>
          <w:szCs w:val="24"/>
        </w:rPr>
        <w:tab/>
      </w:r>
      <w:r w:rsidR="003F6205" w:rsidRPr="00F7445E">
        <w:rPr>
          <w:rFonts w:cs="Times New Roman"/>
          <w:szCs w:val="24"/>
        </w:rPr>
        <w:t>Staff</w:t>
      </w:r>
      <w:r w:rsidR="000C49C6" w:rsidRPr="00F7445E">
        <w:rPr>
          <w:rFonts w:cs="Times New Roman"/>
          <w:szCs w:val="24"/>
        </w:rPr>
        <w:t xml:space="preserve"> bases </w:t>
      </w:r>
      <w:r w:rsidR="00D37FA0" w:rsidRPr="00F7445E">
        <w:rPr>
          <w:rFonts w:cs="Times New Roman"/>
          <w:szCs w:val="24"/>
        </w:rPr>
        <w:t>its</w:t>
      </w:r>
      <w:r w:rsidR="00F976C4" w:rsidRPr="00F7445E">
        <w:rPr>
          <w:rFonts w:cs="Times New Roman"/>
          <w:szCs w:val="24"/>
        </w:rPr>
        <w:t xml:space="preserve"> </w:t>
      </w:r>
      <w:r w:rsidR="00723949" w:rsidRPr="00F7445E">
        <w:rPr>
          <w:rFonts w:cs="Times New Roman"/>
          <w:szCs w:val="24"/>
        </w:rPr>
        <w:t>three-factor allocator</w:t>
      </w:r>
      <w:r w:rsidR="00251DC5" w:rsidRPr="00F7445E">
        <w:rPr>
          <w:rFonts w:cs="Times New Roman"/>
          <w:szCs w:val="24"/>
        </w:rPr>
        <w:t xml:space="preserve"> on </w:t>
      </w:r>
      <w:r w:rsidR="00D75735" w:rsidRPr="00F7445E">
        <w:rPr>
          <w:rFonts w:cs="Times New Roman"/>
          <w:szCs w:val="24"/>
        </w:rPr>
        <w:t>each affiliate’</w:t>
      </w:r>
      <w:r w:rsidR="000C49C6" w:rsidRPr="00F7445E">
        <w:rPr>
          <w:rFonts w:cs="Times New Roman"/>
          <w:szCs w:val="24"/>
        </w:rPr>
        <w:t>s average percentage of its</w:t>
      </w:r>
      <w:r w:rsidR="00D75735" w:rsidRPr="00F7445E">
        <w:rPr>
          <w:rFonts w:cs="Times New Roman"/>
          <w:szCs w:val="24"/>
        </w:rPr>
        <w:t xml:space="preserve"> relative </w:t>
      </w:r>
      <w:r w:rsidR="00251DC5" w:rsidRPr="00F7445E">
        <w:rPr>
          <w:rFonts w:cs="Times New Roman"/>
          <w:szCs w:val="24"/>
        </w:rPr>
        <w:t xml:space="preserve">number of employees, </w:t>
      </w:r>
      <w:r w:rsidR="00EC6C75" w:rsidRPr="00F7445E">
        <w:rPr>
          <w:rFonts w:cs="Times New Roman"/>
          <w:szCs w:val="24"/>
        </w:rPr>
        <w:t xml:space="preserve">adjusted </w:t>
      </w:r>
      <w:r w:rsidR="00251DC5" w:rsidRPr="00F7445E">
        <w:rPr>
          <w:rFonts w:cs="Times New Roman"/>
          <w:szCs w:val="24"/>
        </w:rPr>
        <w:t>revenue, and fixed asset book value.</w:t>
      </w:r>
      <w:r w:rsidR="00E27F6A" w:rsidRPr="00735A6A">
        <w:rPr>
          <w:rStyle w:val="FootnoteReference"/>
          <w:rFonts w:cs="Times New Roman"/>
          <w:szCs w:val="24"/>
        </w:rPr>
        <w:footnoteReference w:id="21"/>
      </w:r>
      <w:r w:rsidR="00251DC5" w:rsidRPr="00F7445E">
        <w:rPr>
          <w:rFonts w:cs="Times New Roman"/>
          <w:szCs w:val="24"/>
        </w:rPr>
        <w:t xml:space="preserve">  </w:t>
      </w:r>
      <w:r w:rsidR="002F6AF4" w:rsidRPr="00F7445E">
        <w:rPr>
          <w:rFonts w:cs="Times New Roman"/>
          <w:szCs w:val="24"/>
        </w:rPr>
        <w:t xml:space="preserve">Staff </w:t>
      </w:r>
      <w:r w:rsidR="00393562" w:rsidRPr="00F7445E">
        <w:rPr>
          <w:rFonts w:cs="Times New Roman"/>
          <w:szCs w:val="24"/>
        </w:rPr>
        <w:t>does not propose allocating on the basis of any single factor</w:t>
      </w:r>
      <w:r w:rsidR="003D30C0" w:rsidRPr="00F7445E">
        <w:rPr>
          <w:rFonts w:cs="Times New Roman"/>
          <w:szCs w:val="24"/>
        </w:rPr>
        <w:t>.</w:t>
      </w:r>
      <w:r w:rsidR="00E27F6A" w:rsidRPr="00735A6A">
        <w:rPr>
          <w:rStyle w:val="FootnoteReference"/>
          <w:rFonts w:cs="Times New Roman"/>
          <w:szCs w:val="24"/>
        </w:rPr>
        <w:footnoteReference w:id="22"/>
      </w:r>
      <w:r w:rsidR="00F976C4" w:rsidRPr="00F7445E">
        <w:rPr>
          <w:rFonts w:cs="Times New Roman"/>
          <w:szCs w:val="24"/>
        </w:rPr>
        <w:t xml:space="preserve"> </w:t>
      </w:r>
      <w:r w:rsidR="003D30C0" w:rsidRPr="00F7445E">
        <w:rPr>
          <w:rFonts w:cs="Times New Roman"/>
          <w:szCs w:val="24"/>
        </w:rPr>
        <w:t xml:space="preserve"> </w:t>
      </w:r>
      <w:r w:rsidR="00393562" w:rsidRPr="00F7445E">
        <w:rPr>
          <w:rFonts w:cs="Times New Roman"/>
          <w:szCs w:val="24"/>
        </w:rPr>
        <w:t>T</w:t>
      </w:r>
      <w:r w:rsidR="002F6AF4" w:rsidRPr="00F7445E">
        <w:rPr>
          <w:rFonts w:cs="Times New Roman"/>
          <w:szCs w:val="24"/>
        </w:rPr>
        <w:t>he combina</w:t>
      </w:r>
      <w:r w:rsidR="00393562" w:rsidRPr="00F7445E">
        <w:rPr>
          <w:rFonts w:cs="Times New Roman"/>
          <w:szCs w:val="24"/>
        </w:rPr>
        <w:t>tion of</w:t>
      </w:r>
      <w:r w:rsidR="002F6AF4" w:rsidRPr="00F7445E">
        <w:rPr>
          <w:rFonts w:cs="Times New Roman"/>
          <w:szCs w:val="24"/>
        </w:rPr>
        <w:t xml:space="preserve"> </w:t>
      </w:r>
      <w:r w:rsidR="00410EBB" w:rsidRPr="00F7445E">
        <w:rPr>
          <w:rFonts w:cs="Times New Roman"/>
          <w:szCs w:val="24"/>
        </w:rPr>
        <w:t>three-factor</w:t>
      </w:r>
      <w:r w:rsidR="003D30C0" w:rsidRPr="00F7445E">
        <w:rPr>
          <w:rFonts w:cs="Times New Roman"/>
          <w:szCs w:val="24"/>
        </w:rPr>
        <w:t>s</w:t>
      </w:r>
      <w:r w:rsidR="002F6AF4" w:rsidRPr="00F7445E">
        <w:rPr>
          <w:rFonts w:cs="Times New Roman"/>
          <w:szCs w:val="24"/>
        </w:rPr>
        <w:t xml:space="preserve"> provides a reasonable and accurate estimate of each entity’</w:t>
      </w:r>
      <w:r w:rsidR="003D30C0" w:rsidRPr="00F7445E">
        <w:rPr>
          <w:rFonts w:cs="Times New Roman"/>
          <w:szCs w:val="24"/>
        </w:rPr>
        <w:t>s relative size and impact on common resources</w:t>
      </w:r>
      <w:r w:rsidR="002F6AF4" w:rsidRPr="00F7445E">
        <w:rPr>
          <w:rFonts w:cs="Times New Roman"/>
          <w:szCs w:val="24"/>
        </w:rPr>
        <w:t xml:space="preserve">. </w:t>
      </w:r>
      <w:r w:rsidR="00B90C2F" w:rsidRPr="00F7445E">
        <w:rPr>
          <w:rFonts w:cs="Times New Roman"/>
          <w:szCs w:val="24"/>
        </w:rPr>
        <w:t xml:space="preserve"> </w:t>
      </w:r>
      <w:r w:rsidR="00725E00" w:rsidRPr="00F7445E">
        <w:rPr>
          <w:rFonts w:cs="Times New Roman"/>
          <w:szCs w:val="24"/>
        </w:rPr>
        <w:t xml:space="preserve">  </w:t>
      </w:r>
    </w:p>
    <w:p w14:paraId="4A729F9F" w14:textId="01012331" w:rsidR="001A2D9B" w:rsidRDefault="00B27357" w:rsidP="00B27357">
      <w:pPr>
        <w:pStyle w:val="ListParagraph"/>
        <w:numPr>
          <w:ilvl w:val="0"/>
          <w:numId w:val="32"/>
        </w:numPr>
        <w:spacing w:after="0" w:line="480" w:lineRule="auto"/>
        <w:rPr>
          <w:rFonts w:cs="Times New Roman"/>
          <w:szCs w:val="24"/>
        </w:rPr>
      </w:pPr>
      <w:r>
        <w:rPr>
          <w:rFonts w:cs="Times New Roman"/>
          <w:szCs w:val="24"/>
        </w:rPr>
        <w:tab/>
      </w:r>
      <w:r w:rsidR="00725E00" w:rsidRPr="00B27357">
        <w:rPr>
          <w:rFonts w:cs="Times New Roman"/>
          <w:szCs w:val="24"/>
        </w:rPr>
        <w:t>WCI’s rebuttal testimony expressly recognizes that</w:t>
      </w:r>
      <w:r w:rsidR="002F6AF4" w:rsidRPr="00B27357">
        <w:rPr>
          <w:rFonts w:cs="Times New Roman"/>
          <w:szCs w:val="24"/>
        </w:rPr>
        <w:t xml:space="preserve"> number of employees is useful </w:t>
      </w:r>
      <w:r w:rsidR="00725E00" w:rsidRPr="00B27357">
        <w:rPr>
          <w:rFonts w:cs="Times New Roman"/>
          <w:szCs w:val="24"/>
        </w:rPr>
        <w:t xml:space="preserve">as an </w:t>
      </w:r>
      <w:r w:rsidR="002F6AF4" w:rsidRPr="00B27357">
        <w:rPr>
          <w:rFonts w:cs="Times New Roman"/>
          <w:szCs w:val="24"/>
        </w:rPr>
        <w:t>alloca</w:t>
      </w:r>
      <w:r w:rsidR="00725E00" w:rsidRPr="00B27357">
        <w:rPr>
          <w:rFonts w:cs="Times New Roman"/>
          <w:szCs w:val="24"/>
        </w:rPr>
        <w:t>tor for</w:t>
      </w:r>
      <w:r w:rsidR="002F6AF4" w:rsidRPr="00B27357">
        <w:rPr>
          <w:rFonts w:cs="Times New Roman"/>
          <w:szCs w:val="24"/>
        </w:rPr>
        <w:t xml:space="preserve"> certain </w:t>
      </w:r>
      <w:r w:rsidR="003D30C0" w:rsidRPr="00B27357">
        <w:rPr>
          <w:rFonts w:cs="Times New Roman"/>
          <w:szCs w:val="24"/>
        </w:rPr>
        <w:t>shared overhead costs.</w:t>
      </w:r>
      <w:r w:rsidR="003D30C0" w:rsidRPr="00735A6A">
        <w:rPr>
          <w:rStyle w:val="FootnoteReference"/>
          <w:rFonts w:cs="Times New Roman"/>
          <w:szCs w:val="24"/>
        </w:rPr>
        <w:footnoteReference w:id="23"/>
      </w:r>
      <w:r w:rsidR="003D30C0" w:rsidRPr="00B27357">
        <w:rPr>
          <w:rFonts w:cs="Times New Roman"/>
          <w:szCs w:val="24"/>
        </w:rPr>
        <w:t xml:space="preserve">  </w:t>
      </w:r>
      <w:r w:rsidR="00EC6C75" w:rsidRPr="00B27357">
        <w:rPr>
          <w:rFonts w:cs="Times New Roman"/>
          <w:szCs w:val="24"/>
        </w:rPr>
        <w:t xml:space="preserve">Utilities Expense incurred through the use of shared facilities qualifies as a “shared overhead cost.”   </w:t>
      </w:r>
      <w:r w:rsidR="001F2280" w:rsidRPr="00B27357">
        <w:rPr>
          <w:rFonts w:cs="Times New Roman"/>
          <w:szCs w:val="24"/>
        </w:rPr>
        <w:t xml:space="preserve">The Company’s rationale </w:t>
      </w:r>
      <w:r w:rsidR="001A43C3" w:rsidRPr="00B27357">
        <w:rPr>
          <w:rFonts w:cs="Times New Roman"/>
          <w:szCs w:val="24"/>
        </w:rPr>
        <w:t>also applies</w:t>
      </w:r>
      <w:r w:rsidR="000B47DA" w:rsidRPr="00B27357">
        <w:rPr>
          <w:rFonts w:cs="Times New Roman"/>
          <w:szCs w:val="24"/>
        </w:rPr>
        <w:t xml:space="preserve"> to r</w:t>
      </w:r>
      <w:r w:rsidR="00E27F6A" w:rsidRPr="00B27357">
        <w:rPr>
          <w:rFonts w:cs="Times New Roman"/>
          <w:szCs w:val="24"/>
        </w:rPr>
        <w:t>evenues</w:t>
      </w:r>
      <w:r w:rsidR="000B47DA" w:rsidRPr="00B27357">
        <w:rPr>
          <w:rFonts w:cs="Times New Roman"/>
          <w:szCs w:val="24"/>
        </w:rPr>
        <w:t xml:space="preserve"> and book value of fixed assets</w:t>
      </w:r>
      <w:r w:rsidR="00725E00" w:rsidRPr="00B27357">
        <w:rPr>
          <w:rFonts w:cs="Times New Roman"/>
          <w:szCs w:val="24"/>
        </w:rPr>
        <w:t xml:space="preserve">.  </w:t>
      </w:r>
      <w:r w:rsidR="001A2D9B" w:rsidRPr="00B27357">
        <w:rPr>
          <w:rFonts w:cs="Times New Roman"/>
          <w:szCs w:val="24"/>
        </w:rPr>
        <w:t>For net book value of fixed assets, t</w:t>
      </w:r>
      <w:r w:rsidR="0078511E" w:rsidRPr="00B27357">
        <w:rPr>
          <w:rFonts w:cs="Times New Roman"/>
          <w:szCs w:val="24"/>
        </w:rPr>
        <w:t xml:space="preserve">he </w:t>
      </w:r>
      <w:r w:rsidR="000B47DA" w:rsidRPr="00B27357">
        <w:rPr>
          <w:rFonts w:cs="Times New Roman"/>
          <w:szCs w:val="24"/>
        </w:rPr>
        <w:t xml:space="preserve">aggregate </w:t>
      </w:r>
      <w:r w:rsidR="00EC6C75" w:rsidRPr="00B27357">
        <w:rPr>
          <w:rFonts w:cs="Times New Roman"/>
          <w:szCs w:val="24"/>
        </w:rPr>
        <w:t xml:space="preserve">book </w:t>
      </w:r>
      <w:r w:rsidR="000B47DA" w:rsidRPr="00B27357">
        <w:rPr>
          <w:rFonts w:cs="Times New Roman"/>
          <w:szCs w:val="24"/>
        </w:rPr>
        <w:t>value of an entity’s assets</w:t>
      </w:r>
      <w:r w:rsidR="00725E00" w:rsidRPr="00B27357">
        <w:rPr>
          <w:rFonts w:cs="Times New Roman"/>
          <w:szCs w:val="24"/>
        </w:rPr>
        <w:t xml:space="preserve"> </w:t>
      </w:r>
      <w:r w:rsidR="000B47DA" w:rsidRPr="00B27357">
        <w:rPr>
          <w:rFonts w:cs="Times New Roman"/>
          <w:szCs w:val="24"/>
        </w:rPr>
        <w:t>suggests</w:t>
      </w:r>
      <w:r w:rsidR="0078511E" w:rsidRPr="00B27357">
        <w:rPr>
          <w:rFonts w:cs="Times New Roman"/>
          <w:szCs w:val="24"/>
        </w:rPr>
        <w:t xml:space="preserve"> the size of its operation</w:t>
      </w:r>
      <w:r w:rsidR="00725E00" w:rsidRPr="00B27357">
        <w:rPr>
          <w:rFonts w:cs="Times New Roman"/>
          <w:szCs w:val="24"/>
        </w:rPr>
        <w:t xml:space="preserve"> and amount of its investments,</w:t>
      </w:r>
      <w:r w:rsidR="000B47DA" w:rsidRPr="00B27357">
        <w:rPr>
          <w:rFonts w:cs="Times New Roman"/>
          <w:szCs w:val="24"/>
        </w:rPr>
        <w:t xml:space="preserve"> </w:t>
      </w:r>
      <w:r w:rsidR="00725E00" w:rsidRPr="00B27357">
        <w:rPr>
          <w:rFonts w:cs="Times New Roman"/>
          <w:szCs w:val="24"/>
        </w:rPr>
        <w:t>which indicate that entity’s</w:t>
      </w:r>
      <w:r w:rsidR="000B47DA" w:rsidRPr="00B27357">
        <w:rPr>
          <w:rFonts w:cs="Times New Roman"/>
          <w:szCs w:val="24"/>
        </w:rPr>
        <w:t xml:space="preserve"> role in contributing to common overhead costs</w:t>
      </w:r>
      <w:r w:rsidR="0078511E" w:rsidRPr="00B27357">
        <w:rPr>
          <w:rFonts w:cs="Times New Roman"/>
          <w:szCs w:val="24"/>
        </w:rPr>
        <w:t>.  Similarly, the</w:t>
      </w:r>
      <w:r w:rsidR="000B47DA" w:rsidRPr="00B27357">
        <w:rPr>
          <w:rFonts w:cs="Times New Roman"/>
          <w:szCs w:val="24"/>
        </w:rPr>
        <w:t xml:space="preserve"> amount of revenues is indicative of </w:t>
      </w:r>
      <w:r w:rsidR="00725E00" w:rsidRPr="00B27357">
        <w:rPr>
          <w:rFonts w:cs="Times New Roman"/>
          <w:szCs w:val="24"/>
        </w:rPr>
        <w:t>each entity’s level of activity</w:t>
      </w:r>
      <w:r w:rsidR="000B47DA" w:rsidRPr="00B27357">
        <w:rPr>
          <w:rFonts w:cs="Times New Roman"/>
          <w:szCs w:val="24"/>
        </w:rPr>
        <w:t xml:space="preserve"> and </w:t>
      </w:r>
      <w:r w:rsidR="001A2D9B" w:rsidRPr="00B27357">
        <w:rPr>
          <w:rFonts w:cs="Times New Roman"/>
          <w:szCs w:val="24"/>
        </w:rPr>
        <w:t>the corresponding</w:t>
      </w:r>
      <w:r w:rsidR="0078511E" w:rsidRPr="00B27357">
        <w:rPr>
          <w:rFonts w:cs="Times New Roman"/>
          <w:szCs w:val="24"/>
        </w:rPr>
        <w:t xml:space="preserve"> am</w:t>
      </w:r>
      <w:r w:rsidR="000B47DA" w:rsidRPr="00B27357">
        <w:rPr>
          <w:rFonts w:cs="Times New Roman"/>
          <w:szCs w:val="24"/>
        </w:rPr>
        <w:t>ount of time and costs placed</w:t>
      </w:r>
      <w:r w:rsidR="0078511E" w:rsidRPr="00B27357">
        <w:rPr>
          <w:rFonts w:cs="Times New Roman"/>
          <w:szCs w:val="24"/>
        </w:rPr>
        <w:t xml:space="preserve"> on shared resources.</w:t>
      </w:r>
      <w:r w:rsidR="000B47DA" w:rsidRPr="00B27357">
        <w:rPr>
          <w:rFonts w:cs="Times New Roman"/>
          <w:szCs w:val="24"/>
        </w:rPr>
        <w:t xml:space="preserve">  </w:t>
      </w:r>
    </w:p>
    <w:p w14:paraId="7ACD32AF" w14:textId="4EC1DC5E" w:rsidR="00B27357" w:rsidRDefault="00B27357" w:rsidP="00B27357">
      <w:pPr>
        <w:pStyle w:val="ListParagraph"/>
        <w:tabs>
          <w:tab w:val="left" w:pos="720"/>
        </w:tabs>
        <w:spacing w:after="0" w:line="240" w:lineRule="auto"/>
        <w:ind w:left="1440" w:hanging="1440"/>
        <w:rPr>
          <w:rFonts w:cs="Times New Roman"/>
          <w:b/>
          <w:szCs w:val="24"/>
        </w:rPr>
      </w:pPr>
      <w:r>
        <w:rPr>
          <w:b/>
        </w:rPr>
        <w:tab/>
      </w:r>
      <w:r w:rsidRPr="00B27357">
        <w:rPr>
          <w:b/>
        </w:rPr>
        <w:t>3.</w:t>
      </w:r>
      <w:r>
        <w:tab/>
      </w:r>
      <w:r w:rsidRPr="00B27357">
        <w:rPr>
          <w:rFonts w:cs="Times New Roman"/>
          <w:b/>
          <w:szCs w:val="24"/>
        </w:rPr>
        <w:t>Staff’s recommendation consistent with accepted allocators in other regulated industries</w:t>
      </w:r>
      <w:r w:rsidR="00830B32">
        <w:rPr>
          <w:rFonts w:cs="Times New Roman"/>
          <w:b/>
          <w:szCs w:val="24"/>
        </w:rPr>
        <w:t>.</w:t>
      </w:r>
    </w:p>
    <w:p w14:paraId="7C5A519F" w14:textId="77777777" w:rsidR="00B27357" w:rsidRDefault="00B27357" w:rsidP="00B27357">
      <w:pPr>
        <w:pStyle w:val="ListParagraph"/>
        <w:tabs>
          <w:tab w:val="left" w:pos="720"/>
        </w:tabs>
        <w:spacing w:after="0" w:line="240" w:lineRule="auto"/>
        <w:ind w:left="1440" w:hanging="1440"/>
        <w:rPr>
          <w:rFonts w:cs="Times New Roman"/>
          <w:szCs w:val="24"/>
        </w:rPr>
      </w:pPr>
    </w:p>
    <w:p w14:paraId="4A729FA1" w14:textId="49FD50B8" w:rsidR="002029A1" w:rsidRDefault="00B27357" w:rsidP="00B27357">
      <w:pPr>
        <w:pStyle w:val="ListParagraph"/>
        <w:numPr>
          <w:ilvl w:val="0"/>
          <w:numId w:val="32"/>
        </w:numPr>
        <w:spacing w:after="0" w:line="480" w:lineRule="auto"/>
        <w:rPr>
          <w:rFonts w:cs="Times New Roman"/>
          <w:szCs w:val="24"/>
        </w:rPr>
      </w:pPr>
      <w:r>
        <w:rPr>
          <w:rFonts w:cs="Times New Roman"/>
          <w:szCs w:val="24"/>
        </w:rPr>
        <w:tab/>
      </w:r>
      <w:r w:rsidR="002029A1" w:rsidRPr="00B27357">
        <w:rPr>
          <w:rFonts w:cs="Times New Roman"/>
          <w:szCs w:val="24"/>
        </w:rPr>
        <w:t>It is important to note that Staff’s proposal is consistent with the Commission’s generally accepted allocation methodologies.  Multi-state utilities under the Commission’s jurisdiction allocate certain shared costs partially on the basi</w:t>
      </w:r>
      <w:r w:rsidR="00346B15" w:rsidRPr="00B27357">
        <w:rPr>
          <w:rFonts w:cs="Times New Roman"/>
          <w:szCs w:val="24"/>
        </w:rPr>
        <w:t xml:space="preserve">s of </w:t>
      </w:r>
      <w:r w:rsidR="00EC6C75" w:rsidRPr="00B27357">
        <w:rPr>
          <w:rFonts w:cs="Times New Roman"/>
          <w:szCs w:val="24"/>
        </w:rPr>
        <w:t>fixed asset book value</w:t>
      </w:r>
      <w:r w:rsidR="002029A1" w:rsidRPr="00B27357">
        <w:rPr>
          <w:rFonts w:cs="Times New Roman"/>
          <w:szCs w:val="24"/>
        </w:rPr>
        <w:t>.</w:t>
      </w:r>
      <w:r w:rsidR="002029A1" w:rsidRPr="00735A6A">
        <w:rPr>
          <w:rStyle w:val="FootnoteReference"/>
          <w:rFonts w:cs="Times New Roman"/>
          <w:szCs w:val="24"/>
        </w:rPr>
        <w:footnoteReference w:id="24"/>
      </w:r>
      <w:r w:rsidR="002029A1" w:rsidRPr="00B27357">
        <w:rPr>
          <w:rFonts w:cs="Times New Roman"/>
          <w:szCs w:val="24"/>
        </w:rPr>
        <w:t xml:space="preserve">  Those same multi-state utilities also include the number of customers and specific cost data in calculating allocation factors.</w:t>
      </w:r>
      <w:r w:rsidR="00AB21F7" w:rsidRPr="00735A6A">
        <w:rPr>
          <w:rStyle w:val="FootnoteReference"/>
          <w:rFonts w:cs="Times New Roman"/>
          <w:szCs w:val="24"/>
        </w:rPr>
        <w:footnoteReference w:id="25"/>
      </w:r>
      <w:r w:rsidR="002029A1" w:rsidRPr="00B27357">
        <w:rPr>
          <w:rFonts w:cs="Times New Roman"/>
          <w:szCs w:val="24"/>
        </w:rPr>
        <w:t xml:space="preserve">  </w:t>
      </w:r>
      <w:r w:rsidR="001F2280" w:rsidRPr="00B27357">
        <w:rPr>
          <w:rFonts w:cs="Times New Roman"/>
          <w:szCs w:val="24"/>
        </w:rPr>
        <w:t xml:space="preserve">Although </w:t>
      </w:r>
      <w:r w:rsidR="002029A1" w:rsidRPr="00B27357">
        <w:rPr>
          <w:rFonts w:cs="Times New Roman"/>
          <w:szCs w:val="24"/>
        </w:rPr>
        <w:t>WCI did not</w:t>
      </w:r>
      <w:r w:rsidR="001F2280" w:rsidRPr="00B27357">
        <w:rPr>
          <w:rFonts w:cs="Times New Roman"/>
          <w:szCs w:val="24"/>
        </w:rPr>
        <w:t xml:space="preserve"> maintain</w:t>
      </w:r>
      <w:r w:rsidR="00346B15" w:rsidRPr="00B27357">
        <w:rPr>
          <w:rFonts w:cs="Times New Roman"/>
          <w:szCs w:val="24"/>
        </w:rPr>
        <w:t xml:space="preserve"> detailed customer or</w:t>
      </w:r>
      <w:r w:rsidR="00CB2EF6" w:rsidRPr="00B27357">
        <w:rPr>
          <w:rFonts w:cs="Times New Roman"/>
          <w:szCs w:val="24"/>
        </w:rPr>
        <w:t xml:space="preserve"> cost tracking</w:t>
      </w:r>
      <w:r w:rsidR="00346B15" w:rsidRPr="00B27357">
        <w:rPr>
          <w:rFonts w:cs="Times New Roman"/>
          <w:szCs w:val="24"/>
        </w:rPr>
        <w:t xml:space="preserve"> data, Staff relied on the</w:t>
      </w:r>
      <w:r w:rsidR="00CB2EF6" w:rsidRPr="00B27357">
        <w:rPr>
          <w:rFonts w:cs="Times New Roman"/>
          <w:szCs w:val="24"/>
        </w:rPr>
        <w:t xml:space="preserve"> </w:t>
      </w:r>
      <w:r w:rsidR="002029A1" w:rsidRPr="00B27357">
        <w:rPr>
          <w:rFonts w:cs="Times New Roman"/>
          <w:szCs w:val="24"/>
        </w:rPr>
        <w:t xml:space="preserve">number of employees and revenues </w:t>
      </w:r>
      <w:r w:rsidR="00346B15" w:rsidRPr="00B27357">
        <w:rPr>
          <w:rFonts w:cs="Times New Roman"/>
          <w:szCs w:val="24"/>
        </w:rPr>
        <w:t>as</w:t>
      </w:r>
      <w:r w:rsidR="002029A1" w:rsidRPr="00B27357">
        <w:rPr>
          <w:rFonts w:cs="Times New Roman"/>
          <w:szCs w:val="24"/>
        </w:rPr>
        <w:t xml:space="preserve"> analogous factors.  </w:t>
      </w:r>
      <w:r w:rsidR="001A43C3" w:rsidRPr="00B27357">
        <w:rPr>
          <w:rFonts w:cs="Times New Roman"/>
          <w:szCs w:val="24"/>
        </w:rPr>
        <w:t xml:space="preserve">The number of employees correlates to the number of customers served, and cost data necessarily derives from revenues.  </w:t>
      </w:r>
      <w:r w:rsidR="00AB21F7" w:rsidRPr="00B27357">
        <w:rPr>
          <w:rFonts w:cs="Times New Roman"/>
          <w:szCs w:val="24"/>
        </w:rPr>
        <w:t>Thus, Staff’s rec</w:t>
      </w:r>
      <w:r w:rsidR="000B47DA" w:rsidRPr="00B27357">
        <w:rPr>
          <w:rFonts w:cs="Times New Roman"/>
          <w:szCs w:val="24"/>
        </w:rPr>
        <w:t xml:space="preserve">ommended </w:t>
      </w:r>
      <w:r w:rsidR="00410EBB" w:rsidRPr="00B27357">
        <w:rPr>
          <w:rFonts w:cs="Times New Roman"/>
          <w:szCs w:val="24"/>
        </w:rPr>
        <w:t>three-factor</w:t>
      </w:r>
      <w:r w:rsidR="000B47DA" w:rsidRPr="00B27357">
        <w:rPr>
          <w:rFonts w:cs="Times New Roman"/>
          <w:szCs w:val="24"/>
        </w:rPr>
        <w:t xml:space="preserve"> allocator</w:t>
      </w:r>
      <w:r w:rsidR="00AB21F7" w:rsidRPr="00B27357">
        <w:rPr>
          <w:rFonts w:cs="Times New Roman"/>
          <w:szCs w:val="24"/>
        </w:rPr>
        <w:t xml:space="preserve"> is </w:t>
      </w:r>
      <w:r w:rsidR="001A43C3" w:rsidRPr="00B27357">
        <w:rPr>
          <w:rFonts w:cs="Times New Roman"/>
          <w:szCs w:val="24"/>
        </w:rPr>
        <w:t xml:space="preserve">as </w:t>
      </w:r>
      <w:r w:rsidR="00AB21F7" w:rsidRPr="00B27357">
        <w:rPr>
          <w:rFonts w:cs="Times New Roman"/>
          <w:szCs w:val="24"/>
        </w:rPr>
        <w:t>consistent</w:t>
      </w:r>
      <w:r w:rsidR="001A43C3" w:rsidRPr="00B27357">
        <w:rPr>
          <w:rFonts w:cs="Times New Roman"/>
          <w:szCs w:val="24"/>
        </w:rPr>
        <w:t xml:space="preserve"> as possible</w:t>
      </w:r>
      <w:r w:rsidR="00AB21F7" w:rsidRPr="00B27357">
        <w:rPr>
          <w:rFonts w:cs="Times New Roman"/>
          <w:szCs w:val="24"/>
        </w:rPr>
        <w:t xml:space="preserve"> with Commission-accepted allocation methodologies in other regulated industries.  </w:t>
      </w:r>
    </w:p>
    <w:p w14:paraId="0931790B" w14:textId="6ED71B1E" w:rsidR="00B27357" w:rsidRPr="00B27357" w:rsidRDefault="00B27357" w:rsidP="002D449B">
      <w:pPr>
        <w:pStyle w:val="ListParagraph"/>
        <w:keepNext/>
        <w:spacing w:after="0" w:line="480" w:lineRule="auto"/>
        <w:ind w:left="0"/>
        <w:rPr>
          <w:rFonts w:cs="Times New Roman"/>
          <w:b/>
          <w:szCs w:val="24"/>
        </w:rPr>
      </w:pPr>
      <w:r>
        <w:rPr>
          <w:rFonts w:cs="Times New Roman"/>
          <w:b/>
          <w:szCs w:val="24"/>
        </w:rPr>
        <w:tab/>
      </w:r>
      <w:r w:rsidRPr="00B27357">
        <w:rPr>
          <w:rFonts w:cs="Times New Roman"/>
          <w:b/>
          <w:szCs w:val="24"/>
        </w:rPr>
        <w:t>4.</w:t>
      </w:r>
      <w:r w:rsidRPr="00B27357">
        <w:rPr>
          <w:rFonts w:cs="Times New Roman"/>
          <w:b/>
          <w:szCs w:val="24"/>
        </w:rPr>
        <w:tab/>
        <w:t>WCI and its affiliates are sufficiently similar for reasonable comparison</w:t>
      </w:r>
      <w:r w:rsidR="00830B32">
        <w:rPr>
          <w:rFonts w:cs="Times New Roman"/>
          <w:b/>
          <w:szCs w:val="24"/>
        </w:rPr>
        <w:t>.</w:t>
      </w:r>
    </w:p>
    <w:p w14:paraId="4A729FA3" w14:textId="41CE5144" w:rsidR="003F3912" w:rsidRDefault="00B27357" w:rsidP="002D449B">
      <w:pPr>
        <w:pStyle w:val="ListParagraph"/>
        <w:keepNext/>
        <w:numPr>
          <w:ilvl w:val="0"/>
          <w:numId w:val="32"/>
        </w:numPr>
        <w:spacing w:after="0" w:line="480" w:lineRule="auto"/>
        <w:rPr>
          <w:rFonts w:cs="Times New Roman"/>
          <w:szCs w:val="24"/>
        </w:rPr>
      </w:pPr>
      <w:r>
        <w:rPr>
          <w:rFonts w:cs="Times New Roman"/>
          <w:szCs w:val="24"/>
        </w:rPr>
        <w:tab/>
      </w:r>
      <w:r w:rsidR="00B76298" w:rsidRPr="00B27357">
        <w:rPr>
          <w:rFonts w:cs="Times New Roman"/>
          <w:szCs w:val="24"/>
        </w:rPr>
        <w:t>T</w:t>
      </w:r>
      <w:r w:rsidR="007670ED" w:rsidRPr="00B27357">
        <w:rPr>
          <w:rFonts w:cs="Times New Roman"/>
          <w:szCs w:val="24"/>
        </w:rPr>
        <w:t>he Company’s argument that WCI and its affiliate entities are so disparate as to render any comparison or allocation unfair and unreasonable</w:t>
      </w:r>
      <w:r w:rsidR="00B76298" w:rsidRPr="00B27357">
        <w:rPr>
          <w:rFonts w:cs="Times New Roman"/>
          <w:szCs w:val="24"/>
        </w:rPr>
        <w:t xml:space="preserve"> is without merit</w:t>
      </w:r>
      <w:r w:rsidR="007670ED" w:rsidRPr="00B27357">
        <w:rPr>
          <w:rFonts w:cs="Times New Roman"/>
          <w:szCs w:val="24"/>
        </w:rPr>
        <w:t>.</w:t>
      </w:r>
      <w:r w:rsidR="001A43C3" w:rsidRPr="00735A6A">
        <w:rPr>
          <w:rStyle w:val="FootnoteReference"/>
          <w:rFonts w:cs="Times New Roman"/>
          <w:szCs w:val="24"/>
        </w:rPr>
        <w:footnoteReference w:id="26"/>
      </w:r>
      <w:r w:rsidR="007670ED" w:rsidRPr="00B27357">
        <w:rPr>
          <w:rFonts w:cs="Times New Roman"/>
          <w:szCs w:val="24"/>
        </w:rPr>
        <w:t xml:space="preserve">  </w:t>
      </w:r>
      <w:r w:rsidR="00811CB1" w:rsidRPr="00B27357">
        <w:rPr>
          <w:rFonts w:cs="Times New Roman"/>
          <w:szCs w:val="24"/>
        </w:rPr>
        <w:t>WCI</w:t>
      </w:r>
      <w:r w:rsidR="00D57BB6" w:rsidRPr="00B27357">
        <w:rPr>
          <w:rFonts w:cs="Times New Roman"/>
          <w:szCs w:val="24"/>
        </w:rPr>
        <w:t>’s owner</w:t>
      </w:r>
      <w:r w:rsidR="00811CB1" w:rsidRPr="00B27357">
        <w:rPr>
          <w:rFonts w:cs="Times New Roman"/>
          <w:szCs w:val="24"/>
        </w:rPr>
        <w:t xml:space="preserve"> </w:t>
      </w:r>
      <w:r w:rsidR="00D57BB6" w:rsidRPr="00B27357">
        <w:rPr>
          <w:rFonts w:cs="Times New Roman"/>
          <w:szCs w:val="24"/>
        </w:rPr>
        <w:t xml:space="preserve">states </w:t>
      </w:r>
      <w:r w:rsidR="00811CB1" w:rsidRPr="00B27357">
        <w:rPr>
          <w:rFonts w:cs="Times New Roman"/>
          <w:szCs w:val="24"/>
        </w:rPr>
        <w:t xml:space="preserve">in </w:t>
      </w:r>
      <w:r w:rsidR="00D57BB6" w:rsidRPr="00B27357">
        <w:rPr>
          <w:rFonts w:cs="Times New Roman"/>
          <w:szCs w:val="24"/>
        </w:rPr>
        <w:t>his</w:t>
      </w:r>
      <w:r w:rsidR="00811CB1" w:rsidRPr="00B27357">
        <w:rPr>
          <w:rFonts w:cs="Times New Roman"/>
          <w:szCs w:val="24"/>
        </w:rPr>
        <w:t xml:space="preserve"> direct testimony that </w:t>
      </w:r>
      <w:r w:rsidR="00D57BB6" w:rsidRPr="00B27357">
        <w:rPr>
          <w:rFonts w:cs="Times New Roman"/>
          <w:szCs w:val="24"/>
        </w:rPr>
        <w:t>there are</w:t>
      </w:r>
      <w:r w:rsidR="00811CB1" w:rsidRPr="00B27357">
        <w:rPr>
          <w:rFonts w:cs="Times New Roman"/>
          <w:szCs w:val="24"/>
        </w:rPr>
        <w:t xml:space="preserve"> “five </w:t>
      </w:r>
      <w:r w:rsidR="00811CB1" w:rsidRPr="00B27357">
        <w:rPr>
          <w:rFonts w:cs="Times New Roman"/>
          <w:i/>
          <w:szCs w:val="24"/>
        </w:rPr>
        <w:t xml:space="preserve">related </w:t>
      </w:r>
      <w:r w:rsidR="00811CB1" w:rsidRPr="00B27357">
        <w:rPr>
          <w:rFonts w:cs="Times New Roman"/>
          <w:szCs w:val="24"/>
        </w:rPr>
        <w:t>solid waste collection/recycling reclamation and transfer/disposal-related entities operating at our Longview facility” (emphasis added).</w:t>
      </w:r>
      <w:r w:rsidR="00811CB1" w:rsidRPr="00735A6A">
        <w:rPr>
          <w:rStyle w:val="FootnoteReference"/>
          <w:rFonts w:cs="Times New Roman"/>
          <w:szCs w:val="24"/>
        </w:rPr>
        <w:footnoteReference w:id="27"/>
      </w:r>
      <w:r w:rsidR="00811CB1" w:rsidRPr="00B27357">
        <w:rPr>
          <w:rFonts w:cs="Times New Roman"/>
          <w:szCs w:val="24"/>
        </w:rPr>
        <w:t xml:space="preserve">  </w:t>
      </w:r>
      <w:r w:rsidR="007670ED" w:rsidRPr="00B27357">
        <w:rPr>
          <w:rFonts w:cs="Times New Roman"/>
          <w:szCs w:val="24"/>
        </w:rPr>
        <w:t xml:space="preserve">Staff recognizes distinctions between the various businesses, but </w:t>
      </w:r>
      <w:r w:rsidR="00811CB1" w:rsidRPr="00B27357">
        <w:rPr>
          <w:rFonts w:cs="Times New Roman"/>
          <w:szCs w:val="24"/>
        </w:rPr>
        <w:t xml:space="preserve">agrees with the Company’s </w:t>
      </w:r>
      <w:r w:rsidR="00CB2732" w:rsidRPr="00B27357">
        <w:rPr>
          <w:rFonts w:cs="Times New Roman"/>
          <w:szCs w:val="24"/>
        </w:rPr>
        <w:t>co-</w:t>
      </w:r>
      <w:r w:rsidR="00811CB1" w:rsidRPr="00B27357">
        <w:rPr>
          <w:rFonts w:cs="Times New Roman"/>
          <w:szCs w:val="24"/>
        </w:rPr>
        <w:t xml:space="preserve">owner that </w:t>
      </w:r>
      <w:r w:rsidR="007670ED" w:rsidRPr="00B27357">
        <w:rPr>
          <w:rFonts w:cs="Times New Roman"/>
          <w:szCs w:val="24"/>
        </w:rPr>
        <w:t xml:space="preserve">common ownership, </w:t>
      </w:r>
      <w:r w:rsidR="0049226E" w:rsidRPr="00B27357">
        <w:rPr>
          <w:rFonts w:cs="Times New Roman"/>
          <w:szCs w:val="24"/>
        </w:rPr>
        <w:t xml:space="preserve">management, </w:t>
      </w:r>
      <w:r w:rsidR="007670ED" w:rsidRPr="00B27357">
        <w:rPr>
          <w:rFonts w:cs="Times New Roman"/>
          <w:szCs w:val="24"/>
        </w:rPr>
        <w:t>equipment use, facilities, personnel, financing, and</w:t>
      </w:r>
      <w:r w:rsidR="00811CB1" w:rsidRPr="00B27357">
        <w:rPr>
          <w:rFonts w:cs="Times New Roman"/>
          <w:szCs w:val="24"/>
        </w:rPr>
        <w:t xml:space="preserve"> geographic</w:t>
      </w:r>
      <w:r w:rsidR="007670ED" w:rsidRPr="00B27357">
        <w:rPr>
          <w:rFonts w:cs="Times New Roman"/>
          <w:szCs w:val="24"/>
        </w:rPr>
        <w:t xml:space="preserve"> location</w:t>
      </w:r>
      <w:r w:rsidR="003C518D" w:rsidRPr="00B27357">
        <w:rPr>
          <w:rFonts w:cs="Times New Roman"/>
          <w:szCs w:val="24"/>
        </w:rPr>
        <w:t>s</w:t>
      </w:r>
      <w:r w:rsidR="003F3912" w:rsidRPr="00B27357">
        <w:rPr>
          <w:rFonts w:cs="Times New Roman"/>
          <w:szCs w:val="24"/>
        </w:rPr>
        <w:t xml:space="preserve"> </w:t>
      </w:r>
      <w:r w:rsidR="007670ED" w:rsidRPr="00B27357">
        <w:rPr>
          <w:rFonts w:cs="Times New Roman"/>
          <w:szCs w:val="24"/>
        </w:rPr>
        <w:t>demonstrate that WCI and its affiliates are</w:t>
      </w:r>
      <w:r w:rsidR="00346B15" w:rsidRPr="00B27357">
        <w:rPr>
          <w:rFonts w:cs="Times New Roman"/>
          <w:szCs w:val="24"/>
        </w:rPr>
        <w:t xml:space="preserve"> </w:t>
      </w:r>
      <w:r w:rsidR="00D57BB6" w:rsidRPr="00B27357">
        <w:rPr>
          <w:rFonts w:cs="Times New Roman"/>
          <w:szCs w:val="24"/>
        </w:rPr>
        <w:t>closely related</w:t>
      </w:r>
      <w:r w:rsidR="0049226E" w:rsidRPr="00B27357">
        <w:rPr>
          <w:rFonts w:cs="Times New Roman"/>
          <w:szCs w:val="24"/>
        </w:rPr>
        <w:t>.</w:t>
      </w:r>
      <w:r w:rsidR="0049226E" w:rsidRPr="00735A6A">
        <w:rPr>
          <w:rStyle w:val="FootnoteReference"/>
          <w:rFonts w:cs="Times New Roman"/>
          <w:szCs w:val="24"/>
        </w:rPr>
        <w:footnoteReference w:id="28"/>
      </w:r>
      <w:r w:rsidR="0049226E" w:rsidRPr="00B27357">
        <w:rPr>
          <w:rFonts w:cs="Times New Roman"/>
          <w:szCs w:val="24"/>
        </w:rPr>
        <w:t xml:space="preserve">  Given the commonalities, WCI and its various affiliates cannot possibly be so</w:t>
      </w:r>
      <w:r w:rsidR="0078511E" w:rsidRPr="00B27357">
        <w:rPr>
          <w:rFonts w:cs="Times New Roman"/>
          <w:szCs w:val="24"/>
        </w:rPr>
        <w:t xml:space="preserve"> disparate</w:t>
      </w:r>
      <w:r w:rsidR="001A2D9B" w:rsidRPr="00B27357">
        <w:rPr>
          <w:rFonts w:cs="Times New Roman"/>
          <w:szCs w:val="24"/>
        </w:rPr>
        <w:t xml:space="preserve"> as</w:t>
      </w:r>
      <w:r w:rsidR="0078511E" w:rsidRPr="00B27357">
        <w:rPr>
          <w:rFonts w:cs="Times New Roman"/>
          <w:szCs w:val="24"/>
        </w:rPr>
        <w:t xml:space="preserve"> to render comparisons</w:t>
      </w:r>
      <w:r w:rsidR="001A2D9B" w:rsidRPr="00B27357">
        <w:rPr>
          <w:rFonts w:cs="Times New Roman"/>
          <w:szCs w:val="24"/>
        </w:rPr>
        <w:t xml:space="preserve"> unreasonable.</w:t>
      </w:r>
      <w:r w:rsidR="003F3912" w:rsidRPr="00B27357">
        <w:rPr>
          <w:rFonts w:cs="Times New Roman"/>
          <w:szCs w:val="24"/>
        </w:rPr>
        <w:t xml:space="preserve">  </w:t>
      </w:r>
    </w:p>
    <w:p w14:paraId="66BEC002" w14:textId="293898D8" w:rsidR="00B27357" w:rsidRPr="00B27357" w:rsidRDefault="003F3D04" w:rsidP="00B27357">
      <w:pPr>
        <w:spacing w:after="0" w:line="480" w:lineRule="auto"/>
        <w:rPr>
          <w:rFonts w:cs="Times New Roman"/>
          <w:b/>
          <w:szCs w:val="24"/>
        </w:rPr>
      </w:pPr>
      <w:r>
        <w:rPr>
          <w:b/>
        </w:rPr>
        <w:t>C</w:t>
      </w:r>
      <w:r w:rsidR="00B27357" w:rsidRPr="00B27357">
        <w:rPr>
          <w:b/>
        </w:rPr>
        <w:t>.</w:t>
      </w:r>
      <w:r w:rsidR="00B27357" w:rsidRPr="00B27357">
        <w:rPr>
          <w:b/>
        </w:rPr>
        <w:tab/>
      </w:r>
      <w:r w:rsidR="00B27357" w:rsidRPr="00B27357">
        <w:rPr>
          <w:rFonts w:cs="Times New Roman"/>
          <w:b/>
          <w:szCs w:val="24"/>
        </w:rPr>
        <w:t xml:space="preserve">Absence of any </w:t>
      </w:r>
      <w:r w:rsidR="00091977">
        <w:rPr>
          <w:rFonts w:cs="Times New Roman"/>
          <w:b/>
          <w:szCs w:val="24"/>
        </w:rPr>
        <w:t>R</w:t>
      </w:r>
      <w:r w:rsidR="00B27357" w:rsidRPr="00B27357">
        <w:rPr>
          <w:rFonts w:cs="Times New Roman"/>
          <w:b/>
          <w:szCs w:val="24"/>
        </w:rPr>
        <w:t xml:space="preserve">easonable </w:t>
      </w:r>
      <w:r w:rsidR="00091977">
        <w:rPr>
          <w:rFonts w:cs="Times New Roman"/>
          <w:b/>
          <w:szCs w:val="24"/>
        </w:rPr>
        <w:t>A</w:t>
      </w:r>
      <w:r w:rsidR="00B27357" w:rsidRPr="00B27357">
        <w:rPr>
          <w:rFonts w:cs="Times New Roman"/>
          <w:b/>
          <w:szCs w:val="24"/>
        </w:rPr>
        <w:t>lternative to Staff’s Proposal</w:t>
      </w:r>
    </w:p>
    <w:p w14:paraId="4A729FA5" w14:textId="44A217A5" w:rsidR="00092A30" w:rsidRDefault="00B27357" w:rsidP="00B27357">
      <w:pPr>
        <w:pStyle w:val="ListParagraph"/>
        <w:numPr>
          <w:ilvl w:val="0"/>
          <w:numId w:val="32"/>
        </w:numPr>
        <w:spacing w:after="0" w:line="480" w:lineRule="auto"/>
        <w:rPr>
          <w:rFonts w:cs="Times New Roman"/>
          <w:szCs w:val="24"/>
        </w:rPr>
      </w:pPr>
      <w:r>
        <w:rPr>
          <w:rFonts w:cs="Times New Roman"/>
          <w:szCs w:val="24"/>
        </w:rPr>
        <w:tab/>
      </w:r>
      <w:r w:rsidR="00D30161" w:rsidRPr="00B27357">
        <w:rPr>
          <w:rFonts w:cs="Times New Roman"/>
          <w:szCs w:val="24"/>
        </w:rPr>
        <w:t xml:space="preserve">Staff’s proposal is the only reasonable allocation methodology in the record of this proceeding.  </w:t>
      </w:r>
      <w:r w:rsidR="00092A30" w:rsidRPr="00B27357">
        <w:rPr>
          <w:rFonts w:cs="Times New Roman"/>
          <w:szCs w:val="24"/>
        </w:rPr>
        <w:t xml:space="preserve">The Company’s </w:t>
      </w:r>
      <w:r w:rsidR="002D1B2F" w:rsidRPr="00B27357">
        <w:rPr>
          <w:rFonts w:cs="Times New Roman"/>
          <w:szCs w:val="24"/>
        </w:rPr>
        <w:t xml:space="preserve">three </w:t>
      </w:r>
      <w:r w:rsidR="00092A30" w:rsidRPr="00B27357">
        <w:rPr>
          <w:rFonts w:cs="Times New Roman"/>
          <w:szCs w:val="24"/>
        </w:rPr>
        <w:t xml:space="preserve">proposals are either unsupported, not </w:t>
      </w:r>
      <w:r w:rsidR="002D1B2F" w:rsidRPr="00B27357">
        <w:rPr>
          <w:rFonts w:cs="Times New Roman"/>
          <w:szCs w:val="24"/>
        </w:rPr>
        <w:t xml:space="preserve">actually </w:t>
      </w:r>
      <w:r w:rsidR="00092A30" w:rsidRPr="00B27357">
        <w:rPr>
          <w:rFonts w:cs="Times New Roman"/>
          <w:szCs w:val="24"/>
        </w:rPr>
        <w:t>provided at all, or contravene fund</w:t>
      </w:r>
      <w:r w:rsidR="00FD196A" w:rsidRPr="00B27357">
        <w:rPr>
          <w:rFonts w:cs="Times New Roman"/>
          <w:szCs w:val="24"/>
        </w:rPr>
        <w:t>amental accounting principles</w:t>
      </w:r>
      <w:r w:rsidR="002B6B30" w:rsidRPr="00B27357">
        <w:rPr>
          <w:rFonts w:cs="Times New Roman"/>
          <w:szCs w:val="24"/>
        </w:rPr>
        <w:t xml:space="preserve"> and Commission precedent</w:t>
      </w:r>
      <w:r w:rsidR="00FD196A" w:rsidRPr="00B27357">
        <w:rPr>
          <w:rFonts w:cs="Times New Roman"/>
          <w:szCs w:val="24"/>
        </w:rPr>
        <w:t xml:space="preserve">.  As a result, </w:t>
      </w:r>
      <w:r w:rsidR="00A11F3F" w:rsidRPr="00B27357">
        <w:rPr>
          <w:rFonts w:cs="Times New Roman"/>
          <w:szCs w:val="24"/>
        </w:rPr>
        <w:t>WCI</w:t>
      </w:r>
      <w:r w:rsidR="00725E00" w:rsidRPr="00B27357">
        <w:rPr>
          <w:rFonts w:cs="Times New Roman"/>
          <w:szCs w:val="24"/>
        </w:rPr>
        <w:t xml:space="preserve"> has not met its evidentiary burden and </w:t>
      </w:r>
      <w:r w:rsidR="00FD196A" w:rsidRPr="00B27357">
        <w:rPr>
          <w:rFonts w:cs="Times New Roman"/>
          <w:szCs w:val="24"/>
        </w:rPr>
        <w:t>the Commission should adopt Staff’s recommendation</w:t>
      </w:r>
      <w:r w:rsidR="00CB2EF6" w:rsidRPr="00B27357">
        <w:rPr>
          <w:rFonts w:cs="Times New Roman"/>
          <w:szCs w:val="24"/>
        </w:rPr>
        <w:t xml:space="preserve"> to allocate $</w:t>
      </w:r>
      <w:r w:rsidR="00725E00" w:rsidRPr="00B27357">
        <w:rPr>
          <w:rFonts w:cs="Times New Roman"/>
          <w:szCs w:val="24"/>
        </w:rPr>
        <w:t>13,975</w:t>
      </w:r>
      <w:r w:rsidR="00CB2EF6" w:rsidRPr="00B27357">
        <w:rPr>
          <w:rFonts w:cs="Times New Roman"/>
          <w:szCs w:val="24"/>
        </w:rPr>
        <w:t xml:space="preserve"> of</w:t>
      </w:r>
      <w:r w:rsidR="009913FB" w:rsidRPr="00B27357">
        <w:rPr>
          <w:rFonts w:cs="Times New Roman"/>
          <w:szCs w:val="24"/>
        </w:rPr>
        <w:t xml:space="preserve"> shared</w:t>
      </w:r>
      <w:r w:rsidR="00CB2EF6" w:rsidRPr="00B27357">
        <w:rPr>
          <w:rFonts w:cs="Times New Roman"/>
          <w:szCs w:val="24"/>
        </w:rPr>
        <w:t xml:space="preserve"> utilities expense to WCI</w:t>
      </w:r>
      <w:r w:rsidR="00FD196A" w:rsidRPr="00B27357">
        <w:rPr>
          <w:rFonts w:cs="Times New Roman"/>
          <w:szCs w:val="24"/>
        </w:rPr>
        <w:t xml:space="preserve">. </w:t>
      </w:r>
    </w:p>
    <w:p w14:paraId="4D6C0900" w14:textId="04199E33" w:rsidR="00B27357" w:rsidRPr="00B27357" w:rsidRDefault="00B27357" w:rsidP="00B27357">
      <w:pPr>
        <w:pStyle w:val="ListParagraph"/>
        <w:spacing w:after="0" w:line="480" w:lineRule="auto"/>
        <w:ind w:left="0"/>
        <w:rPr>
          <w:rFonts w:cs="Times New Roman"/>
          <w:b/>
          <w:szCs w:val="24"/>
        </w:rPr>
      </w:pPr>
      <w:r>
        <w:rPr>
          <w:rFonts w:cs="Times New Roman"/>
          <w:b/>
          <w:szCs w:val="24"/>
        </w:rPr>
        <w:tab/>
        <w:t>1.</w:t>
      </w:r>
      <w:r>
        <w:rPr>
          <w:rFonts w:cs="Times New Roman"/>
          <w:b/>
          <w:szCs w:val="24"/>
        </w:rPr>
        <w:tab/>
      </w:r>
      <w:r w:rsidRPr="00735A6A">
        <w:rPr>
          <w:rFonts w:cs="Times New Roman"/>
          <w:b/>
          <w:szCs w:val="24"/>
        </w:rPr>
        <w:t>Allocation by number of entities s</w:t>
      </w:r>
      <w:r>
        <w:rPr>
          <w:rFonts w:cs="Times New Roman"/>
          <w:b/>
          <w:szCs w:val="24"/>
        </w:rPr>
        <w:t>haring a facility</w:t>
      </w:r>
      <w:r w:rsidR="00830B32">
        <w:rPr>
          <w:rFonts w:cs="Times New Roman"/>
          <w:b/>
          <w:szCs w:val="24"/>
        </w:rPr>
        <w:t>.</w:t>
      </w:r>
    </w:p>
    <w:p w14:paraId="4A729FA7" w14:textId="7E1E0DAF" w:rsidR="000566B0" w:rsidRDefault="00B27357" w:rsidP="00B27357">
      <w:pPr>
        <w:pStyle w:val="ListParagraph"/>
        <w:numPr>
          <w:ilvl w:val="0"/>
          <w:numId w:val="32"/>
        </w:numPr>
        <w:spacing w:after="0" w:line="480" w:lineRule="auto"/>
        <w:rPr>
          <w:rFonts w:cs="Times New Roman"/>
          <w:szCs w:val="24"/>
        </w:rPr>
      </w:pPr>
      <w:r>
        <w:rPr>
          <w:rFonts w:cs="Times New Roman"/>
          <w:szCs w:val="24"/>
        </w:rPr>
        <w:tab/>
      </w:r>
      <w:r w:rsidR="000566B0" w:rsidRPr="00B27357">
        <w:rPr>
          <w:rFonts w:cs="Times New Roman"/>
          <w:szCs w:val="24"/>
        </w:rPr>
        <w:t xml:space="preserve">The Company’s initial proposal of </w:t>
      </w:r>
      <w:r w:rsidR="00092A30" w:rsidRPr="00B27357">
        <w:rPr>
          <w:rFonts w:cs="Times New Roman"/>
          <w:szCs w:val="24"/>
        </w:rPr>
        <w:t xml:space="preserve">a </w:t>
      </w:r>
      <w:r w:rsidR="00410EBB" w:rsidRPr="00B27357">
        <w:rPr>
          <w:rFonts w:cs="Times New Roman"/>
          <w:szCs w:val="24"/>
        </w:rPr>
        <w:t>“</w:t>
      </w:r>
      <w:r w:rsidR="000566B0" w:rsidRPr="00B27357">
        <w:rPr>
          <w:rFonts w:cs="Times New Roman"/>
          <w:szCs w:val="24"/>
        </w:rPr>
        <w:t>one</w:t>
      </w:r>
      <w:r w:rsidR="00410EBB" w:rsidRPr="00B27357">
        <w:rPr>
          <w:rFonts w:cs="Times New Roman"/>
          <w:szCs w:val="24"/>
        </w:rPr>
        <w:t xml:space="preserve"> </w:t>
      </w:r>
      <w:r w:rsidR="000566B0" w:rsidRPr="00B27357">
        <w:rPr>
          <w:rFonts w:cs="Times New Roman"/>
          <w:szCs w:val="24"/>
        </w:rPr>
        <w:t>divided by</w:t>
      </w:r>
      <w:r w:rsidR="00410EBB" w:rsidRPr="00B27357">
        <w:rPr>
          <w:rFonts w:cs="Times New Roman"/>
          <w:szCs w:val="24"/>
        </w:rPr>
        <w:t xml:space="preserve"> </w:t>
      </w:r>
      <w:r w:rsidR="000566B0" w:rsidRPr="00B27357">
        <w:rPr>
          <w:rFonts w:cs="Times New Roman"/>
          <w:szCs w:val="24"/>
        </w:rPr>
        <w:t>three</w:t>
      </w:r>
      <w:r w:rsidR="00410EBB" w:rsidRPr="00B27357">
        <w:rPr>
          <w:rFonts w:cs="Times New Roman"/>
          <w:szCs w:val="24"/>
        </w:rPr>
        <w:t>”</w:t>
      </w:r>
      <w:r w:rsidR="00092A30" w:rsidRPr="00B27357">
        <w:rPr>
          <w:rFonts w:cs="Times New Roman"/>
          <w:szCs w:val="24"/>
        </w:rPr>
        <w:t xml:space="preserve"> allocation</w:t>
      </w:r>
      <w:r w:rsidR="000566B0" w:rsidRPr="00B27357">
        <w:rPr>
          <w:rFonts w:cs="Times New Roman"/>
          <w:szCs w:val="24"/>
        </w:rPr>
        <w:t xml:space="preserve"> does not reflect, or even attempt to estimate relevant cost drivers. </w:t>
      </w:r>
      <w:r w:rsidR="00DF1F8D" w:rsidRPr="00B27357">
        <w:rPr>
          <w:rFonts w:cs="Times New Roman"/>
          <w:szCs w:val="24"/>
        </w:rPr>
        <w:t xml:space="preserve"> </w:t>
      </w:r>
      <w:r w:rsidR="000566B0" w:rsidRPr="00B27357">
        <w:rPr>
          <w:rFonts w:cs="Times New Roman"/>
          <w:szCs w:val="24"/>
        </w:rPr>
        <w:t xml:space="preserve">The Commission should reject WCI’s initial proposal </w:t>
      </w:r>
      <w:r w:rsidR="00092A30" w:rsidRPr="00B27357">
        <w:rPr>
          <w:rFonts w:cs="Times New Roman"/>
          <w:szCs w:val="24"/>
        </w:rPr>
        <w:t xml:space="preserve">for that reason alone.  The proposal is </w:t>
      </w:r>
      <w:r w:rsidR="000566B0" w:rsidRPr="00B27357">
        <w:rPr>
          <w:rFonts w:cs="Times New Roman"/>
          <w:szCs w:val="24"/>
        </w:rPr>
        <w:t>overly-simplistic, unsupported, and unreasonable</w:t>
      </w:r>
      <w:r w:rsidR="00D72BBF" w:rsidRPr="00B27357">
        <w:rPr>
          <w:rFonts w:cs="Times New Roman"/>
          <w:szCs w:val="24"/>
        </w:rPr>
        <w:t xml:space="preserve"> given the Commission’s </w:t>
      </w:r>
      <w:r w:rsidR="00346B15" w:rsidRPr="00B27357">
        <w:rPr>
          <w:rFonts w:cs="Times New Roman"/>
          <w:szCs w:val="24"/>
        </w:rPr>
        <w:t>precedent supporting allocations</w:t>
      </w:r>
      <w:r w:rsidR="00D72BBF" w:rsidRPr="00B27357">
        <w:rPr>
          <w:rFonts w:cs="Times New Roman"/>
          <w:szCs w:val="24"/>
        </w:rPr>
        <w:t xml:space="preserve"> on the basis of cost</w:t>
      </w:r>
      <w:r w:rsidR="000566B0" w:rsidRPr="00B27357">
        <w:rPr>
          <w:rFonts w:cs="Times New Roman"/>
          <w:szCs w:val="24"/>
        </w:rPr>
        <w:t xml:space="preserve">.  </w:t>
      </w:r>
    </w:p>
    <w:p w14:paraId="0BB673A4" w14:textId="10253C37" w:rsidR="00B27357" w:rsidRPr="00B27357" w:rsidRDefault="00B27357" w:rsidP="00B27357">
      <w:pPr>
        <w:spacing w:after="0" w:line="480" w:lineRule="auto"/>
        <w:rPr>
          <w:rFonts w:cs="Times New Roman"/>
          <w:b/>
          <w:szCs w:val="24"/>
        </w:rPr>
      </w:pPr>
      <w:r w:rsidRPr="00B27357">
        <w:rPr>
          <w:rFonts w:cs="Times New Roman"/>
          <w:b/>
          <w:szCs w:val="24"/>
        </w:rPr>
        <w:tab/>
        <w:t>2.</w:t>
      </w:r>
      <w:r w:rsidRPr="00B27357">
        <w:rPr>
          <w:rFonts w:cs="Times New Roman"/>
          <w:b/>
          <w:szCs w:val="24"/>
        </w:rPr>
        <w:tab/>
        <w:t xml:space="preserve">Square </w:t>
      </w:r>
      <w:r w:rsidR="00091977">
        <w:rPr>
          <w:rFonts w:cs="Times New Roman"/>
          <w:b/>
          <w:szCs w:val="24"/>
        </w:rPr>
        <w:t>f</w:t>
      </w:r>
      <w:r w:rsidRPr="00B27357">
        <w:rPr>
          <w:rFonts w:cs="Times New Roman"/>
          <w:b/>
          <w:szCs w:val="24"/>
        </w:rPr>
        <w:t>ootage</w:t>
      </w:r>
      <w:r w:rsidR="00830B32">
        <w:rPr>
          <w:rFonts w:cs="Times New Roman"/>
          <w:b/>
          <w:szCs w:val="24"/>
        </w:rPr>
        <w:t>.</w:t>
      </w:r>
    </w:p>
    <w:p w14:paraId="4A729FA9" w14:textId="5DD56DE6" w:rsidR="002F2642" w:rsidRDefault="00B27357" w:rsidP="00B27357">
      <w:pPr>
        <w:pStyle w:val="ListParagraph"/>
        <w:numPr>
          <w:ilvl w:val="0"/>
          <w:numId w:val="32"/>
        </w:numPr>
        <w:spacing w:after="0" w:line="480" w:lineRule="auto"/>
        <w:rPr>
          <w:rFonts w:cs="Times New Roman"/>
          <w:szCs w:val="24"/>
        </w:rPr>
      </w:pPr>
      <w:r>
        <w:rPr>
          <w:rFonts w:cs="Times New Roman"/>
          <w:szCs w:val="24"/>
        </w:rPr>
        <w:tab/>
      </w:r>
      <w:r w:rsidR="000566B0" w:rsidRPr="00B27357">
        <w:rPr>
          <w:rFonts w:cs="Times New Roman"/>
          <w:szCs w:val="24"/>
        </w:rPr>
        <w:t xml:space="preserve">Ms. Davis’s rebuttal testimony articulates a preference for a square footage allocator but </w:t>
      </w:r>
      <w:r w:rsidR="00E27153" w:rsidRPr="00B27357">
        <w:rPr>
          <w:rFonts w:cs="Times New Roman"/>
          <w:szCs w:val="24"/>
        </w:rPr>
        <w:t>fails to</w:t>
      </w:r>
      <w:r w:rsidR="000566B0" w:rsidRPr="00B27357">
        <w:rPr>
          <w:rFonts w:cs="Times New Roman"/>
          <w:szCs w:val="24"/>
        </w:rPr>
        <w:t xml:space="preserve"> provide </w:t>
      </w:r>
      <w:r w:rsidR="00E27153" w:rsidRPr="00B27357">
        <w:rPr>
          <w:rFonts w:cs="Times New Roman"/>
          <w:szCs w:val="24"/>
        </w:rPr>
        <w:t xml:space="preserve">a </w:t>
      </w:r>
      <w:r w:rsidR="000566B0" w:rsidRPr="00B27357">
        <w:rPr>
          <w:rFonts w:cs="Times New Roman"/>
          <w:szCs w:val="24"/>
        </w:rPr>
        <w:t xml:space="preserve">calculation or </w:t>
      </w:r>
      <w:r w:rsidR="00E27153" w:rsidRPr="00B27357">
        <w:rPr>
          <w:rFonts w:cs="Times New Roman"/>
          <w:szCs w:val="24"/>
        </w:rPr>
        <w:t>the</w:t>
      </w:r>
      <w:r w:rsidR="000566B0" w:rsidRPr="00B27357">
        <w:rPr>
          <w:rFonts w:cs="Times New Roman"/>
          <w:szCs w:val="24"/>
        </w:rPr>
        <w:t xml:space="preserve"> allocator.</w:t>
      </w:r>
      <w:r w:rsidR="00DF1F8D" w:rsidRPr="00735A6A">
        <w:rPr>
          <w:rStyle w:val="FootnoteReference"/>
          <w:rFonts w:cs="Times New Roman"/>
          <w:szCs w:val="24"/>
        </w:rPr>
        <w:footnoteReference w:id="29"/>
      </w:r>
      <w:r w:rsidR="000566B0" w:rsidRPr="00B27357">
        <w:rPr>
          <w:rFonts w:cs="Times New Roman"/>
          <w:szCs w:val="24"/>
        </w:rPr>
        <w:t xml:space="preserve">  </w:t>
      </w:r>
      <w:r w:rsidR="00A11F3F" w:rsidRPr="00B27357">
        <w:rPr>
          <w:rFonts w:cs="Times New Roman"/>
          <w:szCs w:val="24"/>
        </w:rPr>
        <w:t xml:space="preserve">Consequently, </w:t>
      </w:r>
      <w:r w:rsidR="00E20FD8" w:rsidRPr="00B27357">
        <w:rPr>
          <w:rFonts w:cs="Times New Roman"/>
          <w:szCs w:val="24"/>
        </w:rPr>
        <w:t xml:space="preserve">WCI has not met </w:t>
      </w:r>
      <w:r w:rsidR="00A11F3F" w:rsidRPr="00B27357">
        <w:rPr>
          <w:rFonts w:cs="Times New Roman"/>
          <w:szCs w:val="24"/>
        </w:rPr>
        <w:t>its</w:t>
      </w:r>
      <w:r w:rsidR="00E20FD8" w:rsidRPr="00B27357">
        <w:rPr>
          <w:rFonts w:cs="Times New Roman"/>
          <w:szCs w:val="24"/>
        </w:rPr>
        <w:t xml:space="preserve"> evidentiary burden</w:t>
      </w:r>
      <w:r w:rsidR="00026D99" w:rsidRPr="00B27357">
        <w:rPr>
          <w:rFonts w:cs="Times New Roman"/>
          <w:szCs w:val="24"/>
        </w:rPr>
        <w:t xml:space="preserve"> to support a square footage allocator</w:t>
      </w:r>
      <w:r w:rsidR="00A11F3F" w:rsidRPr="00B27357">
        <w:rPr>
          <w:rFonts w:cs="Times New Roman"/>
          <w:szCs w:val="24"/>
        </w:rPr>
        <w:t>.  T</w:t>
      </w:r>
      <w:r w:rsidR="000566B0" w:rsidRPr="00B27357">
        <w:rPr>
          <w:rFonts w:cs="Times New Roman"/>
          <w:szCs w:val="24"/>
        </w:rPr>
        <w:t>he Commission cannot rely on a stated preference without supporting data or</w:t>
      </w:r>
      <w:r w:rsidR="00FD196A" w:rsidRPr="00B27357">
        <w:rPr>
          <w:rFonts w:cs="Times New Roman"/>
          <w:szCs w:val="24"/>
        </w:rPr>
        <w:t xml:space="preserve"> even a </w:t>
      </w:r>
      <w:r w:rsidR="000566B0" w:rsidRPr="00B27357">
        <w:rPr>
          <w:rFonts w:cs="Times New Roman"/>
          <w:szCs w:val="24"/>
        </w:rPr>
        <w:t>specific request to allocate a</w:t>
      </w:r>
      <w:r w:rsidR="00FD196A" w:rsidRPr="00B27357">
        <w:rPr>
          <w:rFonts w:cs="Times New Roman"/>
          <w:szCs w:val="24"/>
        </w:rPr>
        <w:t>n expense in a certain manner</w:t>
      </w:r>
      <w:r w:rsidR="000566B0" w:rsidRPr="00B27357">
        <w:rPr>
          <w:rFonts w:cs="Times New Roman"/>
          <w:szCs w:val="24"/>
        </w:rPr>
        <w:t>.</w:t>
      </w:r>
      <w:r w:rsidR="00FD196A" w:rsidRPr="00B27357">
        <w:rPr>
          <w:rFonts w:cs="Times New Roman"/>
          <w:szCs w:val="24"/>
        </w:rPr>
        <w:t xml:space="preserve">  A short reference to a data request in the previously-dismissed docket does not provide a</w:t>
      </w:r>
      <w:r w:rsidR="00CB2EF6" w:rsidRPr="00B27357">
        <w:rPr>
          <w:rFonts w:cs="Times New Roman"/>
          <w:szCs w:val="24"/>
        </w:rPr>
        <w:t xml:space="preserve"> record on which the Commission </w:t>
      </w:r>
      <w:r w:rsidR="0069675A" w:rsidRPr="00B27357">
        <w:rPr>
          <w:rFonts w:cs="Times New Roman"/>
          <w:szCs w:val="24"/>
        </w:rPr>
        <w:t xml:space="preserve">could or </w:t>
      </w:r>
      <w:r w:rsidR="00CB2EF6" w:rsidRPr="00B27357">
        <w:rPr>
          <w:rFonts w:cs="Times New Roman"/>
          <w:szCs w:val="24"/>
        </w:rPr>
        <w:t>should</w:t>
      </w:r>
      <w:r w:rsidR="00FD196A" w:rsidRPr="00B27357">
        <w:rPr>
          <w:rFonts w:cs="Times New Roman"/>
          <w:szCs w:val="24"/>
        </w:rPr>
        <w:t xml:space="preserve"> adopt such a proposal.</w:t>
      </w:r>
      <w:r w:rsidR="00FD196A" w:rsidRPr="00735A6A">
        <w:rPr>
          <w:rStyle w:val="FootnoteReference"/>
          <w:rFonts w:cs="Times New Roman"/>
          <w:szCs w:val="24"/>
        </w:rPr>
        <w:footnoteReference w:id="30"/>
      </w:r>
      <w:r w:rsidR="00FD196A" w:rsidRPr="00B27357">
        <w:rPr>
          <w:rFonts w:cs="Times New Roman"/>
          <w:szCs w:val="24"/>
        </w:rPr>
        <w:t xml:space="preserve"> </w:t>
      </w:r>
      <w:r w:rsidR="002029A1" w:rsidRPr="00B27357">
        <w:rPr>
          <w:rFonts w:cs="Times New Roman"/>
          <w:szCs w:val="24"/>
        </w:rPr>
        <w:t xml:space="preserve"> </w:t>
      </w:r>
      <w:r w:rsidR="00CB2EF6" w:rsidRPr="00B27357">
        <w:rPr>
          <w:rFonts w:cs="Times New Roman"/>
          <w:szCs w:val="24"/>
        </w:rPr>
        <w:t>Thus, t</w:t>
      </w:r>
      <w:r w:rsidR="002029A1" w:rsidRPr="00B27357">
        <w:rPr>
          <w:rFonts w:cs="Times New Roman"/>
          <w:szCs w:val="24"/>
        </w:rPr>
        <w:t>he Commission should reject WCI’s apparent proposal for a square footage allocator.</w:t>
      </w:r>
      <w:r w:rsidR="00A11F3F" w:rsidRPr="00735A6A">
        <w:rPr>
          <w:rStyle w:val="FootnoteReference"/>
          <w:rFonts w:cs="Times New Roman"/>
          <w:szCs w:val="24"/>
        </w:rPr>
        <w:footnoteReference w:id="31"/>
      </w:r>
      <w:r w:rsidR="002029A1" w:rsidRPr="00B27357">
        <w:rPr>
          <w:rFonts w:cs="Times New Roman"/>
          <w:szCs w:val="24"/>
        </w:rPr>
        <w:t xml:space="preserve"> </w:t>
      </w:r>
      <w:r w:rsidR="005B53DD">
        <w:rPr>
          <w:rFonts w:cs="Times New Roman"/>
          <w:szCs w:val="24"/>
        </w:rPr>
        <w:t xml:space="preserve">  </w:t>
      </w:r>
    </w:p>
    <w:p w14:paraId="21DAB16D" w14:textId="7F83C698" w:rsidR="005B53DD" w:rsidRPr="00961DF2" w:rsidRDefault="00961DF2" w:rsidP="00961DF2">
      <w:pPr>
        <w:pStyle w:val="ListParagraph"/>
        <w:spacing w:after="0" w:line="480" w:lineRule="auto"/>
        <w:ind w:left="0" w:firstLine="720"/>
        <w:rPr>
          <w:rFonts w:cs="Times New Roman"/>
          <w:b/>
          <w:szCs w:val="24"/>
        </w:rPr>
      </w:pPr>
      <w:r>
        <w:rPr>
          <w:rFonts w:cs="Times New Roman"/>
          <w:b/>
          <w:szCs w:val="24"/>
        </w:rPr>
        <w:t>3.</w:t>
      </w:r>
      <w:r>
        <w:rPr>
          <w:rFonts w:cs="Times New Roman"/>
          <w:b/>
          <w:szCs w:val="24"/>
        </w:rPr>
        <w:tab/>
      </w:r>
      <w:r w:rsidR="005B53DD" w:rsidRPr="00735A6A">
        <w:rPr>
          <w:rFonts w:cs="Times New Roman"/>
          <w:b/>
          <w:szCs w:val="24"/>
        </w:rPr>
        <w:t>Adopt the results of Commission’s three-factor with modifications</w:t>
      </w:r>
      <w:r w:rsidR="00830B32">
        <w:rPr>
          <w:rFonts w:cs="Times New Roman"/>
          <w:b/>
          <w:szCs w:val="24"/>
        </w:rPr>
        <w:t>.</w:t>
      </w:r>
    </w:p>
    <w:p w14:paraId="4A729FAB" w14:textId="2604D135" w:rsidR="002F2642" w:rsidRPr="005B53DD" w:rsidRDefault="005B53DD" w:rsidP="005B53DD">
      <w:pPr>
        <w:pStyle w:val="ListParagraph"/>
        <w:numPr>
          <w:ilvl w:val="0"/>
          <w:numId w:val="32"/>
        </w:numPr>
        <w:spacing w:after="0" w:line="480" w:lineRule="auto"/>
        <w:rPr>
          <w:rFonts w:cs="Times New Roman"/>
          <w:szCs w:val="24"/>
        </w:rPr>
      </w:pPr>
      <w:r>
        <w:rPr>
          <w:rFonts w:cs="Times New Roman"/>
          <w:szCs w:val="24"/>
        </w:rPr>
        <w:tab/>
      </w:r>
      <w:r w:rsidR="000566B0" w:rsidRPr="005B53DD">
        <w:rPr>
          <w:rFonts w:cs="Times New Roman"/>
          <w:szCs w:val="24"/>
        </w:rPr>
        <w:t xml:space="preserve">Ms. Davis goes on to </w:t>
      </w:r>
      <w:r w:rsidR="00DF1F8D" w:rsidRPr="005B53DD">
        <w:rPr>
          <w:rFonts w:cs="Times New Roman"/>
          <w:szCs w:val="24"/>
        </w:rPr>
        <w:t xml:space="preserve">propose </w:t>
      </w:r>
      <w:r w:rsidR="000566B0" w:rsidRPr="005B53DD">
        <w:rPr>
          <w:rFonts w:cs="Times New Roman"/>
          <w:szCs w:val="24"/>
        </w:rPr>
        <w:t xml:space="preserve">that the Commission </w:t>
      </w:r>
      <w:r w:rsidR="002F2642" w:rsidRPr="005B53DD">
        <w:rPr>
          <w:rFonts w:cs="Times New Roman"/>
          <w:szCs w:val="24"/>
        </w:rPr>
        <w:t xml:space="preserve">should </w:t>
      </w:r>
      <w:r w:rsidR="000566B0" w:rsidRPr="005B53DD">
        <w:rPr>
          <w:rFonts w:cs="Times New Roman"/>
          <w:szCs w:val="24"/>
        </w:rPr>
        <w:t>adopt</w:t>
      </w:r>
      <w:r w:rsidR="00DF1F8D" w:rsidRPr="005B53DD">
        <w:rPr>
          <w:rFonts w:cs="Times New Roman"/>
          <w:szCs w:val="24"/>
        </w:rPr>
        <w:t xml:space="preserve"> the results of</w:t>
      </w:r>
      <w:r w:rsidR="000566B0" w:rsidRPr="005B53DD">
        <w:rPr>
          <w:rFonts w:cs="Times New Roman"/>
          <w:szCs w:val="24"/>
        </w:rPr>
        <w:t xml:space="preserve"> Staff’s methodology with</w:t>
      </w:r>
      <w:r w:rsidR="00DF1F8D" w:rsidRPr="005B53DD">
        <w:rPr>
          <w:rFonts w:cs="Times New Roman"/>
          <w:szCs w:val="24"/>
        </w:rPr>
        <w:t xml:space="preserve"> three </w:t>
      </w:r>
      <w:r w:rsidR="002F2642" w:rsidRPr="005B53DD">
        <w:rPr>
          <w:rFonts w:cs="Times New Roman"/>
          <w:szCs w:val="24"/>
        </w:rPr>
        <w:t>modifications</w:t>
      </w:r>
      <w:r w:rsidR="00DF1F8D" w:rsidRPr="005B53DD">
        <w:rPr>
          <w:rFonts w:cs="Times New Roman"/>
          <w:szCs w:val="24"/>
        </w:rPr>
        <w:t xml:space="preserve">.  First, </w:t>
      </w:r>
      <w:r w:rsidR="00D57F01" w:rsidRPr="005B53DD">
        <w:rPr>
          <w:rFonts w:cs="Times New Roman"/>
          <w:szCs w:val="24"/>
        </w:rPr>
        <w:t xml:space="preserve">WCI argues that </w:t>
      </w:r>
      <w:r w:rsidR="00DF1F8D" w:rsidRPr="005B53DD">
        <w:rPr>
          <w:rFonts w:cs="Times New Roman"/>
          <w:szCs w:val="24"/>
        </w:rPr>
        <w:t xml:space="preserve">affiliate WCR’s obligation should </w:t>
      </w:r>
      <w:r w:rsidR="00410EBB" w:rsidRPr="005B53DD">
        <w:rPr>
          <w:rFonts w:cs="Times New Roman"/>
          <w:szCs w:val="24"/>
        </w:rPr>
        <w:t xml:space="preserve">be </w:t>
      </w:r>
      <w:r w:rsidR="0072618E" w:rsidRPr="005B53DD">
        <w:rPr>
          <w:rFonts w:cs="Times New Roman"/>
          <w:szCs w:val="24"/>
        </w:rPr>
        <w:t xml:space="preserve">adjusted to </w:t>
      </w:r>
      <w:r w:rsidR="00EA2B6D" w:rsidRPr="005B53DD">
        <w:rPr>
          <w:rFonts w:cs="Times New Roman"/>
          <w:szCs w:val="24"/>
        </w:rPr>
        <w:t xml:space="preserve">include </w:t>
      </w:r>
      <w:r w:rsidR="00DF1F8D" w:rsidRPr="005B53DD">
        <w:rPr>
          <w:rFonts w:cs="Times New Roman"/>
          <w:szCs w:val="24"/>
        </w:rPr>
        <w:t>$59,215</w:t>
      </w:r>
      <w:r w:rsidR="00E20FD8" w:rsidRPr="005B53DD">
        <w:rPr>
          <w:rFonts w:cs="Times New Roman"/>
          <w:szCs w:val="24"/>
        </w:rPr>
        <w:t xml:space="preserve"> </w:t>
      </w:r>
      <w:r w:rsidR="0072618E" w:rsidRPr="005B53DD">
        <w:rPr>
          <w:rFonts w:cs="Times New Roman"/>
          <w:szCs w:val="24"/>
        </w:rPr>
        <w:t xml:space="preserve">in </w:t>
      </w:r>
      <w:r w:rsidR="00E20FD8" w:rsidRPr="005B53DD">
        <w:rPr>
          <w:rFonts w:cs="Times New Roman"/>
          <w:szCs w:val="24"/>
        </w:rPr>
        <w:t xml:space="preserve">utility bills paid for </w:t>
      </w:r>
      <w:r w:rsidR="00DF1F8D" w:rsidRPr="005B53DD">
        <w:rPr>
          <w:rFonts w:cs="Times New Roman"/>
          <w:szCs w:val="24"/>
        </w:rPr>
        <w:t>non-shared facilities.</w:t>
      </w:r>
      <w:r w:rsidR="00DF1F8D" w:rsidRPr="00735A6A">
        <w:rPr>
          <w:rStyle w:val="FootnoteReference"/>
          <w:rFonts w:cs="Times New Roman"/>
          <w:szCs w:val="24"/>
        </w:rPr>
        <w:footnoteReference w:id="32"/>
      </w:r>
      <w:r w:rsidR="00DF1F8D" w:rsidRPr="005B53DD">
        <w:rPr>
          <w:rFonts w:cs="Times New Roman"/>
          <w:szCs w:val="24"/>
        </w:rPr>
        <w:t xml:space="preserve">  Second, affiliate WCPF should be removed from the calculations.</w:t>
      </w:r>
      <w:r w:rsidR="00DF1F8D" w:rsidRPr="00735A6A">
        <w:rPr>
          <w:rStyle w:val="FootnoteReference"/>
          <w:rFonts w:cs="Times New Roman"/>
          <w:szCs w:val="24"/>
        </w:rPr>
        <w:footnoteReference w:id="33"/>
      </w:r>
      <w:r w:rsidR="00DF1F8D" w:rsidRPr="005B53DD">
        <w:rPr>
          <w:rFonts w:cs="Times New Roman"/>
          <w:szCs w:val="24"/>
        </w:rPr>
        <w:t xml:space="preserve"> Third, WCR’</w:t>
      </w:r>
      <w:r w:rsidR="002F2642" w:rsidRPr="005B53DD">
        <w:rPr>
          <w:rFonts w:cs="Times New Roman"/>
          <w:szCs w:val="24"/>
        </w:rPr>
        <w:t>s materials costs</w:t>
      </w:r>
      <w:r w:rsidR="00DF1F8D" w:rsidRPr="005B53DD">
        <w:rPr>
          <w:rFonts w:cs="Times New Roman"/>
          <w:szCs w:val="24"/>
        </w:rPr>
        <w:t xml:space="preserve"> should be removed</w:t>
      </w:r>
      <w:r w:rsidR="002F2642" w:rsidRPr="005B53DD">
        <w:rPr>
          <w:rFonts w:cs="Times New Roman"/>
          <w:szCs w:val="24"/>
        </w:rPr>
        <w:t xml:space="preserve"> from the revenue portion of Staff’s three-factor allocation</w:t>
      </w:r>
      <w:r w:rsidR="00DF1F8D" w:rsidRPr="005B53DD">
        <w:rPr>
          <w:rFonts w:cs="Times New Roman"/>
          <w:szCs w:val="24"/>
        </w:rPr>
        <w:t xml:space="preserve"> because</w:t>
      </w:r>
      <w:r w:rsidR="002F2642" w:rsidRPr="005B53DD">
        <w:rPr>
          <w:rFonts w:cs="Times New Roman"/>
          <w:szCs w:val="24"/>
        </w:rPr>
        <w:t xml:space="preserve"> those</w:t>
      </w:r>
      <w:r w:rsidR="00DF1F8D" w:rsidRPr="005B53DD">
        <w:rPr>
          <w:rFonts w:cs="Times New Roman"/>
          <w:szCs w:val="24"/>
        </w:rPr>
        <w:t xml:space="preserve"> costs</w:t>
      </w:r>
      <w:r w:rsidR="002F2642" w:rsidRPr="005B53DD">
        <w:rPr>
          <w:rFonts w:cs="Times New Roman"/>
          <w:szCs w:val="24"/>
        </w:rPr>
        <w:t xml:space="preserve"> </w:t>
      </w:r>
      <w:r w:rsidR="00851F6B" w:rsidRPr="005B53DD">
        <w:rPr>
          <w:rFonts w:cs="Times New Roman"/>
          <w:szCs w:val="24"/>
        </w:rPr>
        <w:t xml:space="preserve">are matched </w:t>
      </w:r>
      <w:r w:rsidR="002F2642" w:rsidRPr="005B53DD">
        <w:rPr>
          <w:rFonts w:cs="Times New Roman"/>
          <w:szCs w:val="24"/>
        </w:rPr>
        <w:t xml:space="preserve">dollar-for-dollar </w:t>
      </w:r>
      <w:r w:rsidR="00851F6B" w:rsidRPr="005B53DD">
        <w:rPr>
          <w:rFonts w:cs="Times New Roman"/>
          <w:szCs w:val="24"/>
        </w:rPr>
        <w:t>in revenues</w:t>
      </w:r>
      <w:r w:rsidR="002F2642" w:rsidRPr="005B53DD">
        <w:rPr>
          <w:rFonts w:cs="Times New Roman"/>
          <w:szCs w:val="24"/>
        </w:rPr>
        <w:t>.</w:t>
      </w:r>
      <w:r w:rsidR="002F2642" w:rsidRPr="00735A6A">
        <w:rPr>
          <w:rStyle w:val="FootnoteReference"/>
          <w:rFonts w:cs="Times New Roman"/>
          <w:szCs w:val="24"/>
        </w:rPr>
        <w:footnoteReference w:id="34"/>
      </w:r>
      <w:r w:rsidR="002F2642" w:rsidRPr="005B53DD">
        <w:rPr>
          <w:rFonts w:cs="Times New Roman"/>
          <w:szCs w:val="24"/>
        </w:rPr>
        <w:t xml:space="preserve">  </w:t>
      </w:r>
    </w:p>
    <w:p w14:paraId="4A729FAC" w14:textId="4C14DBE2" w:rsidR="002029A1" w:rsidRPr="00961DF2" w:rsidRDefault="00961DF2" w:rsidP="00961DF2">
      <w:pPr>
        <w:pStyle w:val="ListParagraph"/>
        <w:numPr>
          <w:ilvl w:val="0"/>
          <w:numId w:val="32"/>
        </w:numPr>
        <w:spacing w:after="0" w:line="480" w:lineRule="auto"/>
        <w:rPr>
          <w:rFonts w:cs="Times New Roman"/>
          <w:szCs w:val="24"/>
        </w:rPr>
      </w:pPr>
      <w:r>
        <w:rPr>
          <w:rFonts w:cs="Times New Roman"/>
          <w:szCs w:val="24"/>
        </w:rPr>
        <w:tab/>
      </w:r>
      <w:r w:rsidR="002F2642" w:rsidRPr="00961DF2">
        <w:rPr>
          <w:rFonts w:cs="Times New Roman"/>
          <w:szCs w:val="24"/>
        </w:rPr>
        <w:t xml:space="preserve">Staff’s </w:t>
      </w:r>
      <w:r w:rsidR="00CB2EF6" w:rsidRPr="00961DF2">
        <w:rPr>
          <w:rFonts w:cs="Times New Roman"/>
          <w:szCs w:val="24"/>
        </w:rPr>
        <w:t>updated</w:t>
      </w:r>
      <w:r w:rsidR="002F2642" w:rsidRPr="00961DF2">
        <w:rPr>
          <w:rFonts w:cs="Times New Roman"/>
          <w:szCs w:val="24"/>
        </w:rPr>
        <w:t xml:space="preserve"> proposal </w:t>
      </w:r>
      <w:r w:rsidR="002029A1" w:rsidRPr="00961DF2">
        <w:rPr>
          <w:rFonts w:cs="Times New Roman"/>
          <w:szCs w:val="24"/>
        </w:rPr>
        <w:t>largely accepts Ms. Davis’s second and third modifications</w:t>
      </w:r>
      <w:r w:rsidR="00410EBB" w:rsidRPr="00961DF2">
        <w:rPr>
          <w:rFonts w:cs="Times New Roman"/>
          <w:szCs w:val="24"/>
        </w:rPr>
        <w:t>,</w:t>
      </w:r>
      <w:r w:rsidR="002029A1" w:rsidRPr="00961DF2">
        <w:rPr>
          <w:rFonts w:cs="Times New Roman"/>
          <w:szCs w:val="24"/>
        </w:rPr>
        <w:t xml:space="preserve"> excluding</w:t>
      </w:r>
      <w:r w:rsidR="002F2642" w:rsidRPr="00961DF2">
        <w:rPr>
          <w:rFonts w:cs="Times New Roman"/>
          <w:szCs w:val="24"/>
        </w:rPr>
        <w:t xml:space="preserve"> WCPF</w:t>
      </w:r>
      <w:r w:rsidR="002029A1" w:rsidRPr="00961DF2">
        <w:rPr>
          <w:rFonts w:cs="Times New Roman"/>
          <w:szCs w:val="24"/>
        </w:rPr>
        <w:t xml:space="preserve"> completely </w:t>
      </w:r>
      <w:r w:rsidR="002F2642" w:rsidRPr="00961DF2">
        <w:rPr>
          <w:rFonts w:cs="Times New Roman"/>
          <w:szCs w:val="24"/>
        </w:rPr>
        <w:t xml:space="preserve">and </w:t>
      </w:r>
      <w:r w:rsidR="002029A1" w:rsidRPr="00961DF2">
        <w:rPr>
          <w:rFonts w:cs="Times New Roman"/>
          <w:szCs w:val="24"/>
        </w:rPr>
        <w:t xml:space="preserve">removing </w:t>
      </w:r>
      <w:r w:rsidR="002F2642" w:rsidRPr="00961DF2">
        <w:rPr>
          <w:rFonts w:cs="Times New Roman"/>
          <w:szCs w:val="24"/>
        </w:rPr>
        <w:t>WCR’s materials costs.</w:t>
      </w:r>
      <w:r w:rsidR="00E20FD8" w:rsidRPr="00735A6A">
        <w:rPr>
          <w:rStyle w:val="FootnoteReference"/>
          <w:rFonts w:cs="Times New Roman"/>
          <w:szCs w:val="24"/>
        </w:rPr>
        <w:footnoteReference w:id="35"/>
      </w:r>
      <w:r w:rsidR="002F2642" w:rsidRPr="00961DF2">
        <w:rPr>
          <w:rFonts w:cs="Times New Roman"/>
          <w:szCs w:val="24"/>
        </w:rPr>
        <w:t xml:space="preserve">  In order to ensure </w:t>
      </w:r>
      <w:r w:rsidR="00CB2EF6" w:rsidRPr="00961DF2">
        <w:rPr>
          <w:rFonts w:cs="Times New Roman"/>
          <w:szCs w:val="24"/>
        </w:rPr>
        <w:t xml:space="preserve">accounting </w:t>
      </w:r>
      <w:r w:rsidR="002F2642" w:rsidRPr="00961DF2">
        <w:rPr>
          <w:rFonts w:cs="Times New Roman"/>
          <w:szCs w:val="24"/>
        </w:rPr>
        <w:t>consistency, Staff’s recommendation additionally removes pass through revenues associated with WCI</w:t>
      </w:r>
      <w:r w:rsidR="00851F6B" w:rsidRPr="00961DF2">
        <w:rPr>
          <w:rFonts w:cs="Times New Roman"/>
          <w:szCs w:val="24"/>
        </w:rPr>
        <w:t xml:space="preserve"> and WCE</w:t>
      </w:r>
      <w:r w:rsidR="002F2642" w:rsidRPr="00961DF2">
        <w:rPr>
          <w:rFonts w:cs="Times New Roman"/>
          <w:szCs w:val="24"/>
        </w:rPr>
        <w:t>.</w:t>
      </w:r>
      <w:r w:rsidR="00851F6B" w:rsidRPr="00735A6A">
        <w:rPr>
          <w:rStyle w:val="FootnoteReference"/>
          <w:rFonts w:cs="Times New Roman"/>
          <w:szCs w:val="24"/>
        </w:rPr>
        <w:footnoteReference w:id="36"/>
      </w:r>
      <w:r w:rsidR="002F2642" w:rsidRPr="00961DF2">
        <w:rPr>
          <w:rFonts w:cs="Times New Roman"/>
          <w:szCs w:val="24"/>
        </w:rPr>
        <w:t xml:space="preserve">  </w:t>
      </w:r>
    </w:p>
    <w:p w14:paraId="4A729FAD" w14:textId="1B8498CD" w:rsidR="00E64062" w:rsidRPr="00961DF2" w:rsidRDefault="00961DF2" w:rsidP="00961DF2">
      <w:pPr>
        <w:pStyle w:val="ListParagraph"/>
        <w:numPr>
          <w:ilvl w:val="0"/>
          <w:numId w:val="32"/>
        </w:numPr>
        <w:spacing w:after="0" w:line="480" w:lineRule="auto"/>
        <w:rPr>
          <w:rFonts w:cs="Times New Roman"/>
          <w:szCs w:val="24"/>
        </w:rPr>
      </w:pPr>
      <w:r>
        <w:rPr>
          <w:rFonts w:cs="Times New Roman"/>
          <w:szCs w:val="24"/>
        </w:rPr>
        <w:tab/>
      </w:r>
      <w:r w:rsidR="00A11F3F" w:rsidRPr="00961DF2">
        <w:rPr>
          <w:rFonts w:cs="Times New Roman"/>
          <w:szCs w:val="24"/>
        </w:rPr>
        <w:t xml:space="preserve">The Commission should reject </w:t>
      </w:r>
      <w:r w:rsidR="002029A1" w:rsidRPr="00961DF2">
        <w:rPr>
          <w:rFonts w:cs="Times New Roman"/>
          <w:szCs w:val="24"/>
        </w:rPr>
        <w:t xml:space="preserve">Ms. Davis’s </w:t>
      </w:r>
      <w:r w:rsidR="00A11F3F" w:rsidRPr="00961DF2">
        <w:rPr>
          <w:rFonts w:cs="Times New Roman"/>
          <w:szCs w:val="24"/>
        </w:rPr>
        <w:t>proposal</w:t>
      </w:r>
      <w:r w:rsidR="002029A1" w:rsidRPr="00961DF2">
        <w:rPr>
          <w:rFonts w:cs="Times New Roman"/>
          <w:szCs w:val="24"/>
        </w:rPr>
        <w:t xml:space="preserve"> to</w:t>
      </w:r>
      <w:r w:rsidR="00851F6B" w:rsidRPr="00961DF2">
        <w:rPr>
          <w:rFonts w:cs="Times New Roman"/>
          <w:szCs w:val="24"/>
        </w:rPr>
        <w:t xml:space="preserve"> adjust</w:t>
      </w:r>
      <w:r w:rsidR="002029A1" w:rsidRPr="00961DF2">
        <w:rPr>
          <w:rFonts w:cs="Times New Roman"/>
          <w:szCs w:val="24"/>
        </w:rPr>
        <w:t xml:space="preserve"> WCR’s allocation </w:t>
      </w:r>
      <w:r w:rsidR="000110AE" w:rsidRPr="00961DF2">
        <w:rPr>
          <w:rFonts w:cs="Times New Roman"/>
          <w:szCs w:val="24"/>
        </w:rPr>
        <w:t>of utilities expense</w:t>
      </w:r>
      <w:r w:rsidR="00E64062" w:rsidRPr="00961DF2">
        <w:rPr>
          <w:rFonts w:cs="Times New Roman"/>
          <w:szCs w:val="24"/>
        </w:rPr>
        <w:t xml:space="preserve">.  </w:t>
      </w:r>
      <w:r w:rsidR="00A11F3F" w:rsidRPr="00961DF2">
        <w:rPr>
          <w:rFonts w:cs="Times New Roman"/>
          <w:szCs w:val="24"/>
        </w:rPr>
        <w:t>There is</w:t>
      </w:r>
      <w:r w:rsidR="00E64062" w:rsidRPr="00961DF2">
        <w:rPr>
          <w:rFonts w:cs="Times New Roman"/>
          <w:szCs w:val="24"/>
        </w:rPr>
        <w:t xml:space="preserve"> simply</w:t>
      </w:r>
      <w:r w:rsidR="00A11F3F" w:rsidRPr="00961DF2">
        <w:rPr>
          <w:rFonts w:cs="Times New Roman"/>
          <w:szCs w:val="24"/>
        </w:rPr>
        <w:t xml:space="preserve"> noth</w:t>
      </w:r>
      <w:r w:rsidR="00D062AF" w:rsidRPr="00961DF2">
        <w:rPr>
          <w:rFonts w:cs="Times New Roman"/>
          <w:szCs w:val="24"/>
        </w:rPr>
        <w:t>ing in the record documenting or supporting</w:t>
      </w:r>
      <w:r w:rsidR="00A11F3F" w:rsidRPr="00961DF2">
        <w:rPr>
          <w:rFonts w:cs="Times New Roman"/>
          <w:szCs w:val="24"/>
        </w:rPr>
        <w:t xml:space="preserve"> the Company’s proposal</w:t>
      </w:r>
      <w:r w:rsidR="00236817" w:rsidRPr="00961DF2">
        <w:rPr>
          <w:rFonts w:cs="Times New Roman"/>
          <w:szCs w:val="24"/>
        </w:rPr>
        <w:t xml:space="preserve"> to include utilities expense for non-shared facilities or why adjusting only WCR’s gross revenues results in a reasonable and fair </w:t>
      </w:r>
      <w:r w:rsidR="00D57F01" w:rsidRPr="00961DF2">
        <w:rPr>
          <w:rFonts w:cs="Times New Roman"/>
          <w:szCs w:val="24"/>
        </w:rPr>
        <w:t>allocation</w:t>
      </w:r>
      <w:r w:rsidR="00851F6B" w:rsidRPr="00961DF2">
        <w:rPr>
          <w:rFonts w:cs="Times New Roman"/>
          <w:szCs w:val="24"/>
        </w:rPr>
        <w:t>.  WCI’s proposal</w:t>
      </w:r>
      <w:r w:rsidR="00E64062" w:rsidRPr="00961DF2">
        <w:rPr>
          <w:rFonts w:cs="Times New Roman"/>
          <w:szCs w:val="24"/>
        </w:rPr>
        <w:t xml:space="preserve"> fail</w:t>
      </w:r>
      <w:r w:rsidR="00D57F01" w:rsidRPr="00961DF2">
        <w:rPr>
          <w:rFonts w:cs="Times New Roman"/>
          <w:szCs w:val="24"/>
        </w:rPr>
        <w:t>s</w:t>
      </w:r>
      <w:r w:rsidR="00E64062" w:rsidRPr="00961DF2">
        <w:rPr>
          <w:rFonts w:cs="Times New Roman"/>
          <w:szCs w:val="24"/>
        </w:rPr>
        <w:t xml:space="preserve"> to meet </w:t>
      </w:r>
      <w:r w:rsidR="00851F6B" w:rsidRPr="00961DF2">
        <w:rPr>
          <w:rFonts w:cs="Times New Roman"/>
          <w:szCs w:val="24"/>
        </w:rPr>
        <w:t>the required</w:t>
      </w:r>
      <w:r w:rsidR="00E64062" w:rsidRPr="00961DF2">
        <w:rPr>
          <w:rFonts w:cs="Times New Roman"/>
          <w:szCs w:val="24"/>
        </w:rPr>
        <w:t xml:space="preserve"> evidentiary burden</w:t>
      </w:r>
      <w:r w:rsidR="00D062AF" w:rsidRPr="00961DF2">
        <w:rPr>
          <w:rFonts w:cs="Times New Roman"/>
          <w:szCs w:val="24"/>
        </w:rPr>
        <w:t xml:space="preserve">.  </w:t>
      </w:r>
    </w:p>
    <w:p w14:paraId="4A729FAF" w14:textId="60D23B0C" w:rsidR="00851F6B" w:rsidRPr="00961DF2" w:rsidRDefault="00961DF2" w:rsidP="00961DF2">
      <w:pPr>
        <w:pStyle w:val="ListParagraph"/>
        <w:numPr>
          <w:ilvl w:val="0"/>
          <w:numId w:val="32"/>
        </w:numPr>
        <w:spacing w:after="0" w:line="480" w:lineRule="auto"/>
        <w:rPr>
          <w:rFonts w:cs="Times New Roman"/>
          <w:szCs w:val="24"/>
        </w:rPr>
      </w:pPr>
      <w:r>
        <w:rPr>
          <w:rFonts w:cs="Times New Roman"/>
          <w:szCs w:val="24"/>
        </w:rPr>
        <w:tab/>
      </w:r>
      <w:r w:rsidR="00D062AF" w:rsidRPr="00961DF2">
        <w:rPr>
          <w:rFonts w:cs="Times New Roman"/>
          <w:szCs w:val="24"/>
        </w:rPr>
        <w:t>In addition</w:t>
      </w:r>
      <w:r w:rsidR="00A11F3F" w:rsidRPr="00961DF2">
        <w:rPr>
          <w:rFonts w:cs="Times New Roman"/>
          <w:szCs w:val="24"/>
        </w:rPr>
        <w:t xml:space="preserve">, </w:t>
      </w:r>
      <w:r w:rsidR="00D57BB6" w:rsidRPr="00961DF2">
        <w:rPr>
          <w:rFonts w:cs="Times New Roman"/>
          <w:szCs w:val="24"/>
        </w:rPr>
        <w:t>WCR’s</w:t>
      </w:r>
      <w:r w:rsidR="00D062AF" w:rsidRPr="00961DF2">
        <w:rPr>
          <w:rFonts w:cs="Times New Roman"/>
          <w:szCs w:val="24"/>
        </w:rPr>
        <w:t xml:space="preserve"> claimed</w:t>
      </w:r>
      <w:r w:rsidR="00D57BB6" w:rsidRPr="00961DF2">
        <w:rPr>
          <w:rFonts w:cs="Times New Roman"/>
          <w:szCs w:val="24"/>
        </w:rPr>
        <w:t xml:space="preserve"> </w:t>
      </w:r>
      <w:r w:rsidR="00A11F3F" w:rsidRPr="00961DF2">
        <w:rPr>
          <w:rFonts w:cs="Times New Roman"/>
          <w:szCs w:val="24"/>
        </w:rPr>
        <w:t xml:space="preserve">$59,215 in </w:t>
      </w:r>
      <w:r w:rsidR="00D57BB6" w:rsidRPr="00961DF2">
        <w:rPr>
          <w:rFonts w:cs="Times New Roman"/>
          <w:szCs w:val="24"/>
        </w:rPr>
        <w:t>utilities payments appear to relate to non-shared facilities in which WCR conducts non-regulated activity.</w:t>
      </w:r>
      <w:r w:rsidR="00D57BB6" w:rsidRPr="00735A6A">
        <w:rPr>
          <w:rStyle w:val="FootnoteReference"/>
          <w:rFonts w:cs="Times New Roman"/>
          <w:szCs w:val="24"/>
        </w:rPr>
        <w:footnoteReference w:id="37"/>
      </w:r>
      <w:r w:rsidR="00624469" w:rsidRPr="00961DF2">
        <w:rPr>
          <w:rFonts w:cs="Times New Roman"/>
          <w:szCs w:val="24"/>
        </w:rPr>
        <w:t xml:space="preserve">  Thus, the rebuttal testimony of Ms. Davis </w:t>
      </w:r>
      <w:r w:rsidR="00D57F01" w:rsidRPr="00961DF2">
        <w:rPr>
          <w:rFonts w:cs="Times New Roman"/>
          <w:szCs w:val="24"/>
        </w:rPr>
        <w:t>seek</w:t>
      </w:r>
      <w:r w:rsidR="00624469" w:rsidRPr="00961DF2">
        <w:rPr>
          <w:rFonts w:cs="Times New Roman"/>
          <w:szCs w:val="24"/>
        </w:rPr>
        <w:t>s to reduce WCR’s allocation of costs</w:t>
      </w:r>
      <w:r w:rsidR="00D57BB6" w:rsidRPr="00961DF2">
        <w:rPr>
          <w:rFonts w:cs="Times New Roman"/>
          <w:szCs w:val="24"/>
        </w:rPr>
        <w:t xml:space="preserve"> for shared facilities on the basis of</w:t>
      </w:r>
      <w:r w:rsidR="002D1B2F" w:rsidRPr="00961DF2">
        <w:rPr>
          <w:rFonts w:cs="Times New Roman"/>
          <w:szCs w:val="24"/>
        </w:rPr>
        <w:t xml:space="preserve"> WCR’s</w:t>
      </w:r>
      <w:r w:rsidR="00D57BB6" w:rsidRPr="00961DF2">
        <w:rPr>
          <w:rFonts w:cs="Times New Roman"/>
          <w:szCs w:val="24"/>
        </w:rPr>
        <w:t xml:space="preserve"> payments </w:t>
      </w:r>
      <w:r w:rsidR="00624469" w:rsidRPr="00961DF2">
        <w:rPr>
          <w:rFonts w:cs="Times New Roman"/>
          <w:szCs w:val="24"/>
        </w:rPr>
        <w:t>relating to non-shared facilities.</w:t>
      </w:r>
      <w:r w:rsidR="00624469" w:rsidRPr="00735A6A">
        <w:rPr>
          <w:rStyle w:val="FootnoteReference"/>
          <w:rFonts w:cs="Times New Roman"/>
          <w:szCs w:val="24"/>
        </w:rPr>
        <w:footnoteReference w:id="38"/>
      </w:r>
      <w:r w:rsidR="002F2642" w:rsidRPr="00961DF2">
        <w:rPr>
          <w:rFonts w:cs="Times New Roman"/>
          <w:szCs w:val="24"/>
        </w:rPr>
        <w:t xml:space="preserve"> </w:t>
      </w:r>
      <w:r w:rsidR="00D062AF" w:rsidRPr="00961DF2" w:rsidDel="00D062AF">
        <w:rPr>
          <w:rStyle w:val="CommentReference"/>
          <w:rFonts w:cs="Times New Roman"/>
          <w:sz w:val="24"/>
          <w:szCs w:val="24"/>
        </w:rPr>
        <w:t xml:space="preserve"> </w:t>
      </w:r>
    </w:p>
    <w:p w14:paraId="4A729FB0" w14:textId="6F0D2D59" w:rsidR="00941044" w:rsidRDefault="00961DF2" w:rsidP="00961DF2">
      <w:pPr>
        <w:pStyle w:val="ListParagraph"/>
        <w:numPr>
          <w:ilvl w:val="0"/>
          <w:numId w:val="32"/>
        </w:numPr>
        <w:spacing w:after="0" w:line="480" w:lineRule="auto"/>
        <w:rPr>
          <w:rFonts w:cs="Times New Roman"/>
          <w:szCs w:val="24"/>
        </w:rPr>
      </w:pPr>
      <w:r>
        <w:rPr>
          <w:rFonts w:cs="Times New Roman"/>
          <w:szCs w:val="24"/>
        </w:rPr>
        <w:tab/>
      </w:r>
      <w:r w:rsidR="002F2642" w:rsidRPr="00961DF2">
        <w:rPr>
          <w:rFonts w:cs="Times New Roman"/>
          <w:szCs w:val="24"/>
        </w:rPr>
        <w:t>Fundamental accounting principles dictate that direct costs should be directly a</w:t>
      </w:r>
      <w:r w:rsidR="00092A30" w:rsidRPr="00961DF2">
        <w:rPr>
          <w:rFonts w:cs="Times New Roman"/>
          <w:szCs w:val="24"/>
        </w:rPr>
        <w:t>ssigned rather than allocated.</w:t>
      </w:r>
      <w:r w:rsidR="00092A30" w:rsidRPr="00735A6A">
        <w:rPr>
          <w:rStyle w:val="FootnoteReference"/>
          <w:rFonts w:cs="Times New Roman"/>
          <w:szCs w:val="24"/>
        </w:rPr>
        <w:footnoteReference w:id="39"/>
      </w:r>
      <w:r w:rsidR="00092A30" w:rsidRPr="00961DF2">
        <w:rPr>
          <w:rFonts w:cs="Times New Roman"/>
          <w:szCs w:val="24"/>
        </w:rPr>
        <w:t xml:space="preserve">  </w:t>
      </w:r>
      <w:r w:rsidR="00CB5A88" w:rsidRPr="00961DF2">
        <w:rPr>
          <w:rFonts w:cs="Times New Roman"/>
          <w:szCs w:val="24"/>
        </w:rPr>
        <w:t>Commission precedent also reflects a preference for direct assignment of costs where feasible.</w:t>
      </w:r>
      <w:r w:rsidR="00CB5A88" w:rsidRPr="00735A6A">
        <w:rPr>
          <w:rStyle w:val="FootnoteReference"/>
          <w:rFonts w:cs="Times New Roman"/>
          <w:szCs w:val="24"/>
        </w:rPr>
        <w:footnoteReference w:id="40"/>
      </w:r>
      <w:r w:rsidR="00CB5A88" w:rsidRPr="00961DF2">
        <w:rPr>
          <w:rFonts w:cs="Times New Roman"/>
          <w:szCs w:val="24"/>
        </w:rPr>
        <w:t xml:space="preserve">  </w:t>
      </w:r>
      <w:r w:rsidR="002D1B2F" w:rsidRPr="00961DF2">
        <w:rPr>
          <w:rFonts w:cs="Times New Roman"/>
          <w:szCs w:val="24"/>
        </w:rPr>
        <w:t>The entire purpose of an allocation is to fairly allocate common</w:t>
      </w:r>
      <w:r w:rsidR="00851F6B" w:rsidRPr="00961DF2">
        <w:rPr>
          <w:rFonts w:cs="Times New Roman"/>
          <w:szCs w:val="24"/>
        </w:rPr>
        <w:t>, indirect</w:t>
      </w:r>
      <w:r w:rsidR="002D1B2F" w:rsidRPr="00961DF2">
        <w:rPr>
          <w:rFonts w:cs="Times New Roman"/>
          <w:szCs w:val="24"/>
        </w:rPr>
        <w:t xml:space="preserve"> costs.  </w:t>
      </w:r>
      <w:r w:rsidR="00092A30" w:rsidRPr="00961DF2">
        <w:rPr>
          <w:rFonts w:cs="Times New Roman"/>
          <w:szCs w:val="24"/>
        </w:rPr>
        <w:t>Therefore, b</w:t>
      </w:r>
      <w:r w:rsidR="002F2642" w:rsidRPr="00961DF2">
        <w:rPr>
          <w:rFonts w:cs="Times New Roman"/>
          <w:szCs w:val="24"/>
        </w:rPr>
        <w:t>y definition, allocation for common costs should apply</w:t>
      </w:r>
      <w:r w:rsidR="00092A30" w:rsidRPr="00961DF2">
        <w:rPr>
          <w:rFonts w:cs="Times New Roman"/>
          <w:szCs w:val="24"/>
        </w:rPr>
        <w:t xml:space="preserve"> only</w:t>
      </w:r>
      <w:r w:rsidR="002F2642" w:rsidRPr="00961DF2">
        <w:rPr>
          <w:rFonts w:cs="Times New Roman"/>
          <w:szCs w:val="24"/>
        </w:rPr>
        <w:t xml:space="preserve"> to common</w:t>
      </w:r>
      <w:r w:rsidR="00092A30" w:rsidRPr="00961DF2">
        <w:rPr>
          <w:rFonts w:cs="Times New Roman"/>
          <w:szCs w:val="24"/>
        </w:rPr>
        <w:t>, indirect</w:t>
      </w:r>
      <w:r w:rsidR="002F2642" w:rsidRPr="00961DF2">
        <w:rPr>
          <w:rFonts w:cs="Times New Roman"/>
          <w:szCs w:val="24"/>
        </w:rPr>
        <w:t xml:space="preserve"> </w:t>
      </w:r>
      <w:r w:rsidR="002029A1" w:rsidRPr="00961DF2">
        <w:rPr>
          <w:rFonts w:cs="Times New Roman"/>
          <w:szCs w:val="24"/>
        </w:rPr>
        <w:t>costs</w:t>
      </w:r>
      <w:r w:rsidR="002D1B2F" w:rsidRPr="00961DF2">
        <w:rPr>
          <w:rFonts w:cs="Times New Roman"/>
          <w:szCs w:val="24"/>
        </w:rPr>
        <w:t xml:space="preserve"> such as shared facilities.  </w:t>
      </w:r>
      <w:r w:rsidR="00092A30" w:rsidRPr="00961DF2">
        <w:rPr>
          <w:rFonts w:cs="Times New Roman"/>
          <w:szCs w:val="24"/>
        </w:rPr>
        <w:t xml:space="preserve">The Commission should </w:t>
      </w:r>
      <w:r w:rsidR="002029A1" w:rsidRPr="00961DF2">
        <w:rPr>
          <w:rFonts w:cs="Times New Roman"/>
          <w:szCs w:val="24"/>
        </w:rPr>
        <w:t xml:space="preserve">continue to </w:t>
      </w:r>
      <w:r w:rsidR="00092A30" w:rsidRPr="00961DF2">
        <w:rPr>
          <w:rFonts w:cs="Times New Roman"/>
          <w:szCs w:val="24"/>
        </w:rPr>
        <w:t xml:space="preserve">adhere to basic accounting principles and reject the Company’s proposal to reduce an affiliate’s portion of </w:t>
      </w:r>
      <w:r w:rsidR="00E27153" w:rsidRPr="00961DF2">
        <w:rPr>
          <w:rFonts w:cs="Times New Roman"/>
          <w:szCs w:val="24"/>
        </w:rPr>
        <w:t>common, indirect</w:t>
      </w:r>
      <w:r w:rsidR="00092A30" w:rsidRPr="00961DF2">
        <w:rPr>
          <w:rFonts w:cs="Times New Roman"/>
          <w:szCs w:val="24"/>
        </w:rPr>
        <w:t xml:space="preserve"> expenses </w:t>
      </w:r>
      <w:r w:rsidR="000110AE" w:rsidRPr="00961DF2">
        <w:rPr>
          <w:rFonts w:cs="Times New Roman"/>
          <w:szCs w:val="24"/>
        </w:rPr>
        <w:t>based on payment of</w:t>
      </w:r>
      <w:r w:rsidR="00092A30" w:rsidRPr="00961DF2">
        <w:rPr>
          <w:rFonts w:cs="Times New Roman"/>
          <w:szCs w:val="24"/>
        </w:rPr>
        <w:t xml:space="preserve"> its unrelated, direct costs.</w:t>
      </w:r>
      <w:r>
        <w:rPr>
          <w:rFonts w:cs="Times New Roman"/>
          <w:szCs w:val="24"/>
        </w:rPr>
        <w:t xml:space="preserve">  </w:t>
      </w:r>
    </w:p>
    <w:p w14:paraId="413D7DBA" w14:textId="011C41C8" w:rsidR="00961DF2" w:rsidRPr="00961DF2" w:rsidRDefault="00961DF2" w:rsidP="00961DF2">
      <w:pPr>
        <w:spacing w:after="0" w:line="480" w:lineRule="auto"/>
        <w:ind w:left="-720"/>
        <w:jc w:val="center"/>
        <w:rPr>
          <w:rFonts w:cs="Times New Roman"/>
          <w:b/>
          <w:szCs w:val="24"/>
        </w:rPr>
      </w:pPr>
      <w:r w:rsidRPr="00961DF2">
        <w:rPr>
          <w:b/>
        </w:rPr>
        <w:t>III.</w:t>
      </w:r>
      <w:r w:rsidRPr="00961DF2">
        <w:rPr>
          <w:b/>
        </w:rPr>
        <w:tab/>
      </w:r>
      <w:r w:rsidRPr="00961DF2">
        <w:rPr>
          <w:rFonts w:cs="Times New Roman"/>
          <w:b/>
          <w:szCs w:val="24"/>
        </w:rPr>
        <w:t>AFFILIATE LAND RENTS</w:t>
      </w:r>
    </w:p>
    <w:p w14:paraId="4A729FB3" w14:textId="19BC495E" w:rsidR="002D770C" w:rsidRDefault="00961DF2" w:rsidP="00961DF2">
      <w:pPr>
        <w:pStyle w:val="ListParagraph"/>
        <w:numPr>
          <w:ilvl w:val="0"/>
          <w:numId w:val="32"/>
        </w:numPr>
        <w:spacing w:after="0" w:line="480" w:lineRule="auto"/>
        <w:rPr>
          <w:rFonts w:cs="Times New Roman"/>
          <w:szCs w:val="24"/>
        </w:rPr>
      </w:pPr>
      <w:r>
        <w:tab/>
      </w:r>
      <w:r w:rsidR="00A65006" w:rsidRPr="00961DF2">
        <w:rPr>
          <w:rFonts w:cs="Times New Roman"/>
          <w:szCs w:val="24"/>
        </w:rPr>
        <w:t>The Parties’ dispute over Affiliate Land Rents, Restating Adjustment R-6E, stems from WCI’s relationship with its affiliates.  WCI leases its premises from affiliate</w:t>
      </w:r>
      <w:r w:rsidR="005D3168" w:rsidRPr="00961DF2">
        <w:rPr>
          <w:rFonts w:cs="Times New Roman"/>
          <w:szCs w:val="24"/>
        </w:rPr>
        <w:t>d</w:t>
      </w:r>
      <w:r w:rsidR="001151DD" w:rsidRPr="00961DF2">
        <w:rPr>
          <w:rFonts w:cs="Times New Roman"/>
          <w:szCs w:val="24"/>
        </w:rPr>
        <w:t xml:space="preserve"> landlords</w:t>
      </w:r>
      <w:r w:rsidR="00E64062" w:rsidRPr="00961DF2">
        <w:rPr>
          <w:rFonts w:cs="Times New Roman"/>
          <w:szCs w:val="24"/>
        </w:rPr>
        <w:t xml:space="preserve"> Heirborne Investments I, LLC (“HBI”) and Heirborne Investments II, LLC (“HBII”)</w:t>
      </w:r>
      <w:r w:rsidR="00A65006" w:rsidRPr="00961DF2">
        <w:rPr>
          <w:rFonts w:cs="Times New Roman"/>
          <w:szCs w:val="24"/>
        </w:rPr>
        <w:t>.</w:t>
      </w:r>
      <w:r w:rsidR="00A65006" w:rsidRPr="00735A6A">
        <w:rPr>
          <w:rStyle w:val="FootnoteReference"/>
          <w:rFonts w:cs="Times New Roman"/>
          <w:szCs w:val="24"/>
        </w:rPr>
        <w:footnoteReference w:id="41"/>
      </w:r>
      <w:r w:rsidR="002D770C" w:rsidRPr="00961DF2">
        <w:rPr>
          <w:rFonts w:cs="Times New Roman"/>
          <w:szCs w:val="24"/>
        </w:rPr>
        <w:t xml:space="preserve">  </w:t>
      </w:r>
      <w:r w:rsidR="00851F6B" w:rsidRPr="00961DF2">
        <w:rPr>
          <w:rFonts w:cs="Times New Roman"/>
          <w:szCs w:val="24"/>
        </w:rPr>
        <w:t xml:space="preserve">WCI shares its leased premises with affiliates WCR and WCE.  </w:t>
      </w:r>
      <w:r w:rsidR="002D770C" w:rsidRPr="00961DF2">
        <w:rPr>
          <w:rFonts w:cs="Times New Roman"/>
          <w:szCs w:val="24"/>
        </w:rPr>
        <w:t xml:space="preserve">Staff recommends the Commission allow WCI to include </w:t>
      </w:r>
      <w:r w:rsidR="00236817" w:rsidRPr="00961DF2">
        <w:rPr>
          <w:rFonts w:cs="Times New Roman"/>
          <w:szCs w:val="24"/>
        </w:rPr>
        <w:t>$85,217</w:t>
      </w:r>
      <w:r w:rsidR="002D770C" w:rsidRPr="00961DF2">
        <w:rPr>
          <w:rFonts w:cs="Times New Roman"/>
          <w:szCs w:val="24"/>
        </w:rPr>
        <w:t xml:space="preserve"> of its affiliate lease payments in rates.  WCI</w:t>
      </w:r>
      <w:r w:rsidR="00FD70A1" w:rsidRPr="00961DF2">
        <w:rPr>
          <w:rFonts w:cs="Times New Roman"/>
          <w:szCs w:val="24"/>
        </w:rPr>
        <w:t xml:space="preserve"> proposes to include</w:t>
      </w:r>
      <w:r w:rsidR="002D770C" w:rsidRPr="00961DF2">
        <w:rPr>
          <w:rFonts w:cs="Times New Roman"/>
          <w:szCs w:val="24"/>
        </w:rPr>
        <w:t xml:space="preserve"> </w:t>
      </w:r>
      <w:r w:rsidR="00FD70A1" w:rsidRPr="00961DF2">
        <w:rPr>
          <w:rFonts w:cs="Times New Roman"/>
          <w:szCs w:val="24"/>
        </w:rPr>
        <w:t>$</w:t>
      </w:r>
      <w:r w:rsidR="008F44AD" w:rsidRPr="00961DF2">
        <w:rPr>
          <w:rFonts w:cs="Times New Roman"/>
          <w:szCs w:val="24"/>
        </w:rPr>
        <w:t>164,303</w:t>
      </w:r>
      <w:r w:rsidR="00FD70A1" w:rsidRPr="00961DF2">
        <w:rPr>
          <w:rFonts w:cs="Times New Roman"/>
          <w:szCs w:val="24"/>
        </w:rPr>
        <w:t xml:space="preserve"> of the </w:t>
      </w:r>
      <w:r w:rsidR="002D770C" w:rsidRPr="00961DF2">
        <w:rPr>
          <w:rFonts w:cs="Times New Roman"/>
          <w:szCs w:val="24"/>
        </w:rPr>
        <w:t>affiliate lease payments</w:t>
      </w:r>
      <w:r w:rsidR="00FD70A1" w:rsidRPr="00961DF2">
        <w:rPr>
          <w:rFonts w:cs="Times New Roman"/>
          <w:szCs w:val="24"/>
        </w:rPr>
        <w:t xml:space="preserve"> in the Company’s results of operations.</w:t>
      </w:r>
      <w:r w:rsidR="002D770C" w:rsidRPr="00735A6A">
        <w:rPr>
          <w:rStyle w:val="FootnoteReference"/>
          <w:rFonts w:cs="Times New Roman"/>
          <w:szCs w:val="24"/>
        </w:rPr>
        <w:footnoteReference w:id="42"/>
      </w:r>
      <w:r w:rsidR="00BE28D4">
        <w:rPr>
          <w:rFonts w:cs="Times New Roman"/>
          <w:szCs w:val="24"/>
        </w:rPr>
        <w:t xml:space="preserve">  </w:t>
      </w:r>
    </w:p>
    <w:p w14:paraId="7EB8FC84" w14:textId="590A1C57" w:rsidR="00BE28D4" w:rsidRPr="00BE28D4" w:rsidRDefault="00BE28D4" w:rsidP="00BE28D4">
      <w:pPr>
        <w:pStyle w:val="ListParagraph"/>
        <w:spacing w:after="0" w:line="480" w:lineRule="auto"/>
        <w:ind w:left="0"/>
        <w:rPr>
          <w:rFonts w:cs="Times New Roman"/>
          <w:b/>
          <w:szCs w:val="24"/>
        </w:rPr>
      </w:pPr>
      <w:r>
        <w:rPr>
          <w:rFonts w:cs="Times New Roman"/>
          <w:b/>
          <w:szCs w:val="24"/>
        </w:rPr>
        <w:t>A.</w:t>
      </w:r>
      <w:r>
        <w:rPr>
          <w:rFonts w:cs="Times New Roman"/>
          <w:b/>
          <w:szCs w:val="24"/>
        </w:rPr>
        <w:tab/>
      </w:r>
      <w:r w:rsidRPr="00BE28D4">
        <w:rPr>
          <w:rFonts w:cs="Times New Roman"/>
          <w:b/>
          <w:szCs w:val="24"/>
        </w:rPr>
        <w:t>Fundamental Principles and Overview</w:t>
      </w:r>
    </w:p>
    <w:p w14:paraId="4A729FB6" w14:textId="70B584EA" w:rsidR="004C2777" w:rsidRPr="00BE28D4" w:rsidRDefault="00BE28D4" w:rsidP="00BE28D4">
      <w:pPr>
        <w:pStyle w:val="ListParagraph"/>
        <w:numPr>
          <w:ilvl w:val="0"/>
          <w:numId w:val="32"/>
        </w:numPr>
        <w:spacing w:after="0" w:line="480" w:lineRule="auto"/>
        <w:rPr>
          <w:rFonts w:cs="Times New Roman"/>
          <w:szCs w:val="24"/>
        </w:rPr>
      </w:pPr>
      <w:r>
        <w:rPr>
          <w:rFonts w:cs="Times New Roman"/>
          <w:szCs w:val="24"/>
        </w:rPr>
        <w:tab/>
      </w:r>
      <w:r w:rsidR="009A10F5" w:rsidRPr="00BE28D4">
        <w:rPr>
          <w:rFonts w:cs="Times New Roman"/>
          <w:szCs w:val="24"/>
        </w:rPr>
        <w:t xml:space="preserve">WCI’s lease payments to HBI and HBII are affiliate interest transactions under RCW 81.16.010.  Under the terms of RCW 81.16.030, the Commission may disallow payments to an affiliate interest </w:t>
      </w:r>
      <w:r w:rsidR="00D84153" w:rsidRPr="00BE28D4">
        <w:rPr>
          <w:rFonts w:cs="Times New Roman"/>
          <w:szCs w:val="24"/>
        </w:rPr>
        <w:t xml:space="preserve">in whole or in part </w:t>
      </w:r>
      <w:r w:rsidR="009A10F5" w:rsidRPr="00BE28D4">
        <w:rPr>
          <w:rFonts w:cs="Times New Roman"/>
          <w:szCs w:val="24"/>
        </w:rPr>
        <w:t>if those payments are unreasonable.</w:t>
      </w:r>
      <w:r w:rsidR="009A10F5" w:rsidRPr="00735A6A">
        <w:rPr>
          <w:rStyle w:val="FootnoteReference"/>
          <w:rFonts w:cs="Times New Roman"/>
          <w:szCs w:val="24"/>
        </w:rPr>
        <w:footnoteReference w:id="43"/>
      </w:r>
      <w:r w:rsidR="009A10F5" w:rsidRPr="00BE28D4">
        <w:rPr>
          <w:rFonts w:cs="Times New Roman"/>
          <w:szCs w:val="24"/>
        </w:rPr>
        <w:t xml:space="preserve">  The Commission determines reasonableness by pricing affiliate transactions at the lower of cost or market.</w:t>
      </w:r>
      <w:r w:rsidR="009A10F5" w:rsidRPr="00735A6A">
        <w:rPr>
          <w:rStyle w:val="FootnoteReference"/>
          <w:rFonts w:cs="Times New Roman"/>
          <w:szCs w:val="24"/>
        </w:rPr>
        <w:footnoteReference w:id="44"/>
      </w:r>
      <w:r w:rsidR="001151DD" w:rsidRPr="00BE28D4">
        <w:rPr>
          <w:rFonts w:cs="Times New Roman"/>
          <w:szCs w:val="24"/>
        </w:rPr>
        <w:t xml:space="preserve">  </w:t>
      </w:r>
      <w:r w:rsidR="00D03012" w:rsidRPr="00BE28D4">
        <w:rPr>
          <w:rFonts w:cs="Times New Roman"/>
          <w:szCs w:val="24"/>
        </w:rPr>
        <w:t xml:space="preserve">“Market” is simply the market price for a similar good or service; “cost” is the underlying cost of the good or service plus a reasonable return, </w:t>
      </w:r>
      <w:r w:rsidR="00D84153" w:rsidRPr="00BE28D4">
        <w:rPr>
          <w:rFonts w:cs="Times New Roman"/>
          <w:szCs w:val="24"/>
        </w:rPr>
        <w:t xml:space="preserve">or </w:t>
      </w:r>
      <w:r w:rsidR="00D03012" w:rsidRPr="00BE28D4">
        <w:rPr>
          <w:rFonts w:cs="Times New Roman"/>
          <w:szCs w:val="24"/>
        </w:rPr>
        <w:t>“</w:t>
      </w:r>
      <w:r w:rsidR="00D83088" w:rsidRPr="00BE28D4">
        <w:rPr>
          <w:rFonts w:cs="Times New Roman"/>
          <w:szCs w:val="24"/>
        </w:rPr>
        <w:t>cost-plus-return</w:t>
      </w:r>
      <w:r w:rsidR="00D03012" w:rsidRPr="00BE28D4">
        <w:rPr>
          <w:rFonts w:cs="Times New Roman"/>
          <w:szCs w:val="24"/>
        </w:rPr>
        <w:t xml:space="preserve">.”  </w:t>
      </w:r>
    </w:p>
    <w:p w14:paraId="4A729FB7" w14:textId="41EB2783" w:rsidR="001151DD" w:rsidRPr="00BE28D4" w:rsidRDefault="00BE28D4" w:rsidP="00BE28D4">
      <w:pPr>
        <w:pStyle w:val="ListParagraph"/>
        <w:numPr>
          <w:ilvl w:val="0"/>
          <w:numId w:val="32"/>
        </w:numPr>
        <w:spacing w:after="0" w:line="480" w:lineRule="auto"/>
        <w:rPr>
          <w:rFonts w:cs="Times New Roman"/>
          <w:szCs w:val="24"/>
        </w:rPr>
      </w:pPr>
      <w:r>
        <w:rPr>
          <w:rFonts w:cs="Times New Roman"/>
          <w:szCs w:val="24"/>
        </w:rPr>
        <w:tab/>
      </w:r>
      <w:r w:rsidR="00D03012" w:rsidRPr="00BE28D4">
        <w:rPr>
          <w:rFonts w:cs="Times New Roman"/>
          <w:szCs w:val="24"/>
        </w:rPr>
        <w:t xml:space="preserve">The Commission </w:t>
      </w:r>
      <w:r w:rsidR="004C2777" w:rsidRPr="00BE28D4">
        <w:rPr>
          <w:rFonts w:cs="Times New Roman"/>
          <w:szCs w:val="24"/>
        </w:rPr>
        <w:t xml:space="preserve">has </w:t>
      </w:r>
      <w:r w:rsidR="00D03012" w:rsidRPr="00BE28D4">
        <w:rPr>
          <w:rFonts w:cs="Times New Roman"/>
          <w:szCs w:val="24"/>
        </w:rPr>
        <w:t>previously endorsed a cost-plus-return methodology for affiliate lease payments.</w:t>
      </w:r>
      <w:r w:rsidR="00D03012" w:rsidRPr="00735A6A">
        <w:rPr>
          <w:rStyle w:val="FootnoteReference"/>
          <w:rFonts w:cs="Times New Roman"/>
          <w:szCs w:val="24"/>
        </w:rPr>
        <w:footnoteReference w:id="45"/>
      </w:r>
      <w:r w:rsidR="00D03012" w:rsidRPr="00BE28D4">
        <w:rPr>
          <w:rFonts w:cs="Times New Roman"/>
          <w:szCs w:val="24"/>
        </w:rPr>
        <w:t xml:space="preserve">  The Commission’s </w:t>
      </w:r>
      <w:r w:rsidR="00A41447" w:rsidRPr="00BE28D4">
        <w:rPr>
          <w:rFonts w:cs="Times New Roman"/>
          <w:szCs w:val="24"/>
        </w:rPr>
        <w:t xml:space="preserve">previously-accepted </w:t>
      </w:r>
      <w:r w:rsidR="00D03012" w:rsidRPr="00BE28D4">
        <w:rPr>
          <w:rFonts w:cs="Times New Roman"/>
          <w:szCs w:val="24"/>
        </w:rPr>
        <w:t xml:space="preserve">cost-plus-return calculation relies on capital structure, cost of debt, cost of equity, and </w:t>
      </w:r>
      <w:r w:rsidR="00036DA9" w:rsidRPr="00BE28D4">
        <w:rPr>
          <w:rFonts w:cs="Times New Roman"/>
          <w:szCs w:val="24"/>
        </w:rPr>
        <w:t>allocation of depreciation</w:t>
      </w:r>
      <w:r w:rsidR="008F44AD" w:rsidRPr="00BE28D4">
        <w:rPr>
          <w:rFonts w:cs="Times New Roman"/>
          <w:szCs w:val="24"/>
        </w:rPr>
        <w:t xml:space="preserve"> and average net investment</w:t>
      </w:r>
      <w:r w:rsidR="00D03012" w:rsidRPr="00BE28D4">
        <w:rPr>
          <w:rFonts w:cs="Times New Roman"/>
          <w:szCs w:val="24"/>
        </w:rPr>
        <w:t xml:space="preserve">.  </w:t>
      </w:r>
      <w:r w:rsidR="00F25105" w:rsidRPr="00BE28D4">
        <w:rPr>
          <w:rFonts w:cs="Times New Roman"/>
          <w:szCs w:val="24"/>
        </w:rPr>
        <w:t>Staff and WCI</w:t>
      </w:r>
      <w:r w:rsidR="00D03012" w:rsidRPr="00BE28D4">
        <w:rPr>
          <w:rFonts w:cs="Times New Roman"/>
          <w:szCs w:val="24"/>
        </w:rPr>
        <w:t xml:space="preserve"> disagree as to the appropriate </w:t>
      </w:r>
      <w:r w:rsidR="007D2F54" w:rsidRPr="00BE28D4">
        <w:rPr>
          <w:rFonts w:cs="Times New Roman"/>
          <w:szCs w:val="24"/>
        </w:rPr>
        <w:t>values</w:t>
      </w:r>
      <w:r w:rsidR="008F44AD" w:rsidRPr="00BE28D4">
        <w:rPr>
          <w:rFonts w:cs="Times New Roman"/>
          <w:szCs w:val="24"/>
        </w:rPr>
        <w:t xml:space="preserve"> </w:t>
      </w:r>
      <w:r w:rsidR="00D03012" w:rsidRPr="00BE28D4">
        <w:rPr>
          <w:rFonts w:cs="Times New Roman"/>
          <w:szCs w:val="24"/>
        </w:rPr>
        <w:t xml:space="preserve">for all of these terms.  </w:t>
      </w:r>
    </w:p>
    <w:p w14:paraId="4A729FB8" w14:textId="66ED9DA2" w:rsidR="001B3B7D" w:rsidRPr="00BE28D4" w:rsidRDefault="00BE28D4" w:rsidP="00BE28D4">
      <w:pPr>
        <w:pStyle w:val="ListParagraph"/>
        <w:numPr>
          <w:ilvl w:val="0"/>
          <w:numId w:val="32"/>
        </w:numPr>
        <w:spacing w:after="0" w:line="480" w:lineRule="auto"/>
        <w:rPr>
          <w:rFonts w:cs="Times New Roman"/>
          <w:szCs w:val="24"/>
        </w:rPr>
      </w:pPr>
      <w:r>
        <w:rPr>
          <w:rFonts w:cs="Times New Roman"/>
          <w:szCs w:val="24"/>
        </w:rPr>
        <w:tab/>
      </w:r>
      <w:r w:rsidR="001B3B7D" w:rsidRPr="00BE28D4">
        <w:rPr>
          <w:rFonts w:cs="Times New Roman"/>
          <w:szCs w:val="24"/>
        </w:rPr>
        <w:t xml:space="preserve">As described in the testimony of Ms. Melissa Cheesman, each of Staff’s recommended </w:t>
      </w:r>
      <w:r w:rsidR="0014316A" w:rsidRPr="00BE28D4">
        <w:rPr>
          <w:rFonts w:cs="Times New Roman"/>
          <w:szCs w:val="24"/>
        </w:rPr>
        <w:t xml:space="preserve">values </w:t>
      </w:r>
      <w:r w:rsidR="001B3B7D" w:rsidRPr="00BE28D4">
        <w:rPr>
          <w:rFonts w:cs="Times New Roman"/>
          <w:szCs w:val="24"/>
        </w:rPr>
        <w:t>in the cost-plus-return calculation is based on reasonable estimates of the underlying cost to the affiliate.</w:t>
      </w:r>
      <w:r w:rsidR="001B3B7D" w:rsidRPr="00735A6A">
        <w:rPr>
          <w:rStyle w:val="FootnoteReference"/>
          <w:rFonts w:cs="Times New Roman"/>
          <w:szCs w:val="24"/>
        </w:rPr>
        <w:footnoteReference w:id="46"/>
      </w:r>
      <w:r w:rsidR="001B3B7D" w:rsidRPr="00BE28D4">
        <w:rPr>
          <w:rFonts w:cs="Times New Roman"/>
          <w:szCs w:val="24"/>
        </w:rPr>
        <w:t xml:space="preserve">  Conversely, the Company’s proposal and recommended </w:t>
      </w:r>
      <w:r w:rsidR="0014316A" w:rsidRPr="00BE28D4">
        <w:rPr>
          <w:rFonts w:cs="Times New Roman"/>
          <w:szCs w:val="24"/>
        </w:rPr>
        <w:t>values</w:t>
      </w:r>
      <w:r w:rsidR="008F44AD" w:rsidRPr="00BE28D4">
        <w:rPr>
          <w:rFonts w:cs="Times New Roman"/>
          <w:szCs w:val="24"/>
        </w:rPr>
        <w:t xml:space="preserve"> </w:t>
      </w:r>
      <w:r w:rsidR="001B3B7D" w:rsidRPr="00BE28D4">
        <w:rPr>
          <w:rFonts w:cs="Times New Roman"/>
          <w:szCs w:val="24"/>
        </w:rPr>
        <w:t xml:space="preserve">are unsupported, inconsistent with previous Commission treatment, and contravene regulatory accounting principles. </w:t>
      </w:r>
    </w:p>
    <w:p w14:paraId="4A729FBD" w14:textId="56688937" w:rsidR="00C12F3F" w:rsidRPr="00BE28D4" w:rsidRDefault="00BE28D4" w:rsidP="00BE28D4">
      <w:pPr>
        <w:keepNext/>
        <w:spacing w:after="0" w:line="480" w:lineRule="auto"/>
        <w:rPr>
          <w:rFonts w:cs="Times New Roman"/>
          <w:b/>
          <w:szCs w:val="24"/>
        </w:rPr>
      </w:pPr>
      <w:r w:rsidRPr="00BE28D4">
        <w:rPr>
          <w:b/>
        </w:rPr>
        <w:t>B.</w:t>
      </w:r>
      <w:r>
        <w:tab/>
      </w:r>
      <w:r w:rsidR="00CE00A6" w:rsidRPr="00BE28D4">
        <w:rPr>
          <w:rFonts w:cs="Times New Roman"/>
          <w:b/>
          <w:szCs w:val="24"/>
        </w:rPr>
        <w:t>Capital Structure</w:t>
      </w:r>
    </w:p>
    <w:p w14:paraId="4A729FBF" w14:textId="75908FB2" w:rsidR="0088694B" w:rsidRDefault="00BE28D4" w:rsidP="00BE28D4">
      <w:pPr>
        <w:tabs>
          <w:tab w:val="left" w:pos="720"/>
        </w:tabs>
        <w:spacing w:after="0" w:line="240" w:lineRule="auto"/>
        <w:ind w:left="1440" w:hanging="1440"/>
        <w:rPr>
          <w:rFonts w:cs="Times New Roman"/>
          <w:b/>
          <w:szCs w:val="24"/>
        </w:rPr>
      </w:pPr>
      <w:r>
        <w:rPr>
          <w:rFonts w:cs="Times New Roman"/>
          <w:b/>
          <w:szCs w:val="24"/>
        </w:rPr>
        <w:tab/>
        <w:t>1.</w:t>
      </w:r>
      <w:r>
        <w:rPr>
          <w:rFonts w:cs="Times New Roman"/>
          <w:b/>
          <w:szCs w:val="24"/>
        </w:rPr>
        <w:tab/>
      </w:r>
      <w:r w:rsidR="00C12F3F" w:rsidRPr="00BE28D4">
        <w:rPr>
          <w:rFonts w:cs="Times New Roman"/>
          <w:b/>
          <w:szCs w:val="24"/>
        </w:rPr>
        <w:t>C</w:t>
      </w:r>
      <w:r w:rsidR="0088694B" w:rsidRPr="00BE28D4">
        <w:rPr>
          <w:rFonts w:cs="Times New Roman"/>
          <w:b/>
          <w:szCs w:val="24"/>
        </w:rPr>
        <w:t>ommis</w:t>
      </w:r>
      <w:r w:rsidR="00B42748" w:rsidRPr="00BE28D4">
        <w:rPr>
          <w:rFonts w:cs="Times New Roman"/>
          <w:b/>
          <w:szCs w:val="24"/>
        </w:rPr>
        <w:t xml:space="preserve">sion should </w:t>
      </w:r>
      <w:r w:rsidR="004A20E5" w:rsidRPr="00BE28D4">
        <w:rPr>
          <w:rFonts w:cs="Times New Roman"/>
          <w:b/>
          <w:szCs w:val="24"/>
        </w:rPr>
        <w:t>use</w:t>
      </w:r>
      <w:r w:rsidR="00B42748" w:rsidRPr="00BE28D4">
        <w:rPr>
          <w:rFonts w:cs="Times New Roman"/>
          <w:b/>
          <w:szCs w:val="24"/>
        </w:rPr>
        <w:t xml:space="preserve"> the actual</w:t>
      </w:r>
      <w:r w:rsidR="0088694B" w:rsidRPr="00BE28D4">
        <w:rPr>
          <w:rFonts w:cs="Times New Roman"/>
          <w:b/>
          <w:szCs w:val="24"/>
        </w:rPr>
        <w:t xml:space="preserve">, company-wide </w:t>
      </w:r>
      <w:r w:rsidR="00B42748" w:rsidRPr="00BE28D4">
        <w:rPr>
          <w:rFonts w:cs="Times New Roman"/>
          <w:b/>
          <w:szCs w:val="24"/>
        </w:rPr>
        <w:t>capital structures for HBI and HBII</w:t>
      </w:r>
      <w:r w:rsidR="00830B32">
        <w:rPr>
          <w:rFonts w:cs="Times New Roman"/>
          <w:b/>
          <w:szCs w:val="24"/>
        </w:rPr>
        <w:t>.</w:t>
      </w:r>
    </w:p>
    <w:p w14:paraId="58DE61C1" w14:textId="77777777" w:rsidR="00BE28D4" w:rsidRPr="00BE28D4" w:rsidRDefault="00BE28D4" w:rsidP="00BE28D4">
      <w:pPr>
        <w:tabs>
          <w:tab w:val="left" w:pos="720"/>
        </w:tabs>
        <w:spacing w:after="0" w:line="240" w:lineRule="auto"/>
        <w:ind w:left="1440" w:hanging="1440"/>
        <w:rPr>
          <w:rFonts w:cs="Times New Roman"/>
          <w:b/>
          <w:szCs w:val="24"/>
        </w:rPr>
      </w:pPr>
    </w:p>
    <w:p w14:paraId="4A729FC0" w14:textId="4C2884C4" w:rsidR="009A7FF0" w:rsidRPr="00BE28D4" w:rsidRDefault="00BE28D4" w:rsidP="00BE28D4">
      <w:pPr>
        <w:pStyle w:val="ListParagraph"/>
        <w:numPr>
          <w:ilvl w:val="0"/>
          <w:numId w:val="32"/>
        </w:numPr>
        <w:spacing w:after="0" w:line="480" w:lineRule="auto"/>
        <w:rPr>
          <w:rFonts w:cs="Times New Roman"/>
          <w:szCs w:val="24"/>
        </w:rPr>
      </w:pPr>
      <w:r>
        <w:rPr>
          <w:rFonts w:cs="Times New Roman"/>
          <w:szCs w:val="24"/>
        </w:rPr>
        <w:tab/>
      </w:r>
      <w:r w:rsidR="00785BDA" w:rsidRPr="00BE28D4">
        <w:rPr>
          <w:rFonts w:cs="Times New Roman"/>
          <w:szCs w:val="24"/>
        </w:rPr>
        <w:t>Staff recommends the Commission use the actual</w:t>
      </w:r>
      <w:r w:rsidR="00B42748" w:rsidRPr="00BE28D4">
        <w:rPr>
          <w:rFonts w:cs="Times New Roman"/>
          <w:szCs w:val="24"/>
        </w:rPr>
        <w:t>, company-wide</w:t>
      </w:r>
      <w:r w:rsidR="00785BDA" w:rsidRPr="00BE28D4">
        <w:rPr>
          <w:rFonts w:cs="Times New Roman"/>
          <w:szCs w:val="24"/>
        </w:rPr>
        <w:t xml:space="preserve"> capital structures of </w:t>
      </w:r>
      <w:r w:rsidR="008D414F" w:rsidRPr="00BE28D4">
        <w:rPr>
          <w:rFonts w:cs="Times New Roman"/>
          <w:szCs w:val="24"/>
        </w:rPr>
        <w:t xml:space="preserve">the affiliate landlords, </w:t>
      </w:r>
      <w:r w:rsidR="00785BDA" w:rsidRPr="00BE28D4">
        <w:rPr>
          <w:rFonts w:cs="Times New Roman"/>
          <w:szCs w:val="24"/>
        </w:rPr>
        <w:t>HBI and HBII</w:t>
      </w:r>
      <w:r w:rsidR="008D414F" w:rsidRPr="00BE28D4">
        <w:rPr>
          <w:rFonts w:cs="Times New Roman"/>
          <w:szCs w:val="24"/>
        </w:rPr>
        <w:t>,</w:t>
      </w:r>
      <w:r w:rsidR="00785BDA" w:rsidRPr="00BE28D4">
        <w:rPr>
          <w:rFonts w:cs="Times New Roman"/>
          <w:szCs w:val="24"/>
        </w:rPr>
        <w:t xml:space="preserve"> in calculating fair and reasonable affili</w:t>
      </w:r>
      <w:r w:rsidR="004C2777" w:rsidRPr="00BE28D4">
        <w:rPr>
          <w:rFonts w:cs="Times New Roman"/>
          <w:szCs w:val="24"/>
        </w:rPr>
        <w:t>ate land rents.</w:t>
      </w:r>
      <w:r w:rsidR="006D4983" w:rsidRPr="00BE28D4">
        <w:rPr>
          <w:rFonts w:cs="Times New Roman"/>
          <w:szCs w:val="24"/>
        </w:rPr>
        <w:t xml:space="preserve">  </w:t>
      </w:r>
      <w:r w:rsidR="001B3B7D" w:rsidRPr="00BE28D4">
        <w:rPr>
          <w:rFonts w:cs="Times New Roman"/>
          <w:szCs w:val="24"/>
        </w:rPr>
        <w:t xml:space="preserve">Based on December 31, 2013, balance sheets, </w:t>
      </w:r>
      <w:r w:rsidR="00785BDA" w:rsidRPr="00BE28D4">
        <w:rPr>
          <w:rFonts w:cs="Times New Roman"/>
          <w:szCs w:val="24"/>
        </w:rPr>
        <w:t xml:space="preserve">HBI’s actual capital structure is 93.7 percent </w:t>
      </w:r>
      <w:r w:rsidR="00510590" w:rsidRPr="00BE28D4">
        <w:rPr>
          <w:rFonts w:cs="Times New Roman"/>
          <w:szCs w:val="24"/>
        </w:rPr>
        <w:t>debt and 6.3</w:t>
      </w:r>
      <w:r w:rsidR="00785BDA" w:rsidRPr="00BE28D4">
        <w:rPr>
          <w:rFonts w:cs="Times New Roman"/>
          <w:szCs w:val="24"/>
        </w:rPr>
        <w:t xml:space="preserve"> percent equity</w:t>
      </w:r>
      <w:r w:rsidR="001B3B7D" w:rsidRPr="00BE28D4">
        <w:rPr>
          <w:rFonts w:cs="Times New Roman"/>
          <w:szCs w:val="24"/>
        </w:rPr>
        <w:t>,</w:t>
      </w:r>
      <w:r w:rsidR="00785BDA" w:rsidRPr="00BE28D4">
        <w:rPr>
          <w:rFonts w:cs="Times New Roman"/>
          <w:szCs w:val="24"/>
        </w:rPr>
        <w:t xml:space="preserve"> </w:t>
      </w:r>
      <w:r w:rsidR="001B3B7D" w:rsidRPr="00BE28D4">
        <w:rPr>
          <w:rFonts w:cs="Times New Roman"/>
          <w:szCs w:val="24"/>
        </w:rPr>
        <w:t>and</w:t>
      </w:r>
      <w:r w:rsidR="00785BDA" w:rsidRPr="00BE28D4">
        <w:rPr>
          <w:rFonts w:cs="Times New Roman"/>
          <w:szCs w:val="24"/>
        </w:rPr>
        <w:t xml:space="preserve"> HBII’s actual capital structure is 53.8 percent debt and 46.2 percent equity.</w:t>
      </w:r>
      <w:r w:rsidR="001B3B7D" w:rsidRPr="00BE28D4">
        <w:rPr>
          <w:rStyle w:val="FootnoteReference"/>
          <w:rFonts w:cs="Times New Roman"/>
          <w:szCs w:val="24"/>
        </w:rPr>
        <w:t xml:space="preserve"> </w:t>
      </w:r>
      <w:r w:rsidR="001B3B7D" w:rsidRPr="00735A6A">
        <w:rPr>
          <w:rStyle w:val="FootnoteReference"/>
          <w:rFonts w:cs="Times New Roman"/>
          <w:szCs w:val="24"/>
        </w:rPr>
        <w:footnoteReference w:id="47"/>
      </w:r>
      <w:r w:rsidR="00785BDA" w:rsidRPr="00BE28D4">
        <w:rPr>
          <w:rFonts w:cs="Times New Roman"/>
          <w:szCs w:val="24"/>
        </w:rPr>
        <w:t xml:space="preserve">  </w:t>
      </w:r>
      <w:r w:rsidR="00206173" w:rsidRPr="00BE28D4">
        <w:rPr>
          <w:rFonts w:cs="Times New Roman"/>
          <w:szCs w:val="24"/>
        </w:rPr>
        <w:t>Staff</w:t>
      </w:r>
      <w:r w:rsidR="00477FE6" w:rsidRPr="00BE28D4">
        <w:rPr>
          <w:rFonts w:cs="Times New Roman"/>
          <w:szCs w:val="24"/>
        </w:rPr>
        <w:t xml:space="preserve">’s recommendation </w:t>
      </w:r>
      <w:r w:rsidR="00822533" w:rsidRPr="00BE28D4">
        <w:rPr>
          <w:rFonts w:cs="Times New Roman"/>
          <w:szCs w:val="24"/>
        </w:rPr>
        <w:t xml:space="preserve">is appropriate </w:t>
      </w:r>
      <w:r w:rsidR="009A7FF0" w:rsidRPr="00BE28D4">
        <w:rPr>
          <w:rFonts w:cs="Times New Roman"/>
          <w:szCs w:val="24"/>
        </w:rPr>
        <w:t xml:space="preserve">for several reasons. </w:t>
      </w:r>
      <w:r w:rsidR="002B197A" w:rsidRPr="00BE28D4">
        <w:rPr>
          <w:rFonts w:cs="Times New Roman"/>
          <w:szCs w:val="24"/>
        </w:rPr>
        <w:t xml:space="preserve"> </w:t>
      </w:r>
    </w:p>
    <w:p w14:paraId="4A729FC1" w14:textId="06A31E1E" w:rsidR="00E0441A" w:rsidRPr="00BE28D4" w:rsidRDefault="00BE28D4" w:rsidP="00BE28D4">
      <w:pPr>
        <w:pStyle w:val="ListParagraph"/>
        <w:numPr>
          <w:ilvl w:val="0"/>
          <w:numId w:val="32"/>
        </w:numPr>
        <w:spacing w:after="0" w:line="480" w:lineRule="auto"/>
        <w:rPr>
          <w:rFonts w:cs="Times New Roman"/>
          <w:szCs w:val="24"/>
        </w:rPr>
      </w:pPr>
      <w:r>
        <w:rPr>
          <w:rFonts w:cs="Times New Roman"/>
          <w:szCs w:val="24"/>
        </w:rPr>
        <w:tab/>
      </w:r>
      <w:r w:rsidR="002B197A" w:rsidRPr="00BE28D4">
        <w:rPr>
          <w:rFonts w:cs="Times New Roman"/>
          <w:szCs w:val="24"/>
        </w:rPr>
        <w:t xml:space="preserve">First, and most important from a regulatory policy perspective, </w:t>
      </w:r>
      <w:r w:rsidR="0071225A" w:rsidRPr="00BE28D4">
        <w:rPr>
          <w:rFonts w:cs="Times New Roman"/>
          <w:szCs w:val="24"/>
        </w:rPr>
        <w:t xml:space="preserve">Staff’s recommendation for </w:t>
      </w:r>
      <w:r w:rsidR="002B197A" w:rsidRPr="00BE28D4">
        <w:rPr>
          <w:rFonts w:cs="Times New Roman"/>
          <w:szCs w:val="24"/>
        </w:rPr>
        <w:t xml:space="preserve">a company-wide, consolidated capital structure removes HBI’s and HBII’s ability to manipulate debt and equity levels between non-regulated and regulated facilities. </w:t>
      </w:r>
      <w:r w:rsidR="006663EF" w:rsidRPr="00BE28D4">
        <w:rPr>
          <w:rFonts w:cs="Times New Roman"/>
          <w:szCs w:val="24"/>
        </w:rPr>
        <w:t xml:space="preserve"> </w:t>
      </w:r>
      <w:r w:rsidR="002B197A" w:rsidRPr="00BE28D4">
        <w:rPr>
          <w:rFonts w:cs="Times New Roman"/>
          <w:szCs w:val="24"/>
        </w:rPr>
        <w:t>Use of an asset-specific capital structure</w:t>
      </w:r>
      <w:r w:rsidR="00822533" w:rsidRPr="00BE28D4">
        <w:rPr>
          <w:rFonts w:cs="Times New Roman"/>
          <w:szCs w:val="24"/>
        </w:rPr>
        <w:t>, as WCI proposes,</w:t>
      </w:r>
      <w:r w:rsidR="002B197A" w:rsidRPr="00BE28D4">
        <w:rPr>
          <w:rFonts w:cs="Times New Roman"/>
          <w:szCs w:val="24"/>
        </w:rPr>
        <w:t xml:space="preserve"> would allow an entity to shift equity to a</w:t>
      </w:r>
      <w:r w:rsidR="004A20E5" w:rsidRPr="00BE28D4">
        <w:rPr>
          <w:rFonts w:cs="Times New Roman"/>
          <w:szCs w:val="24"/>
        </w:rPr>
        <w:t>ssets associated with regulated</w:t>
      </w:r>
      <w:r w:rsidR="002B197A" w:rsidRPr="00BE28D4">
        <w:rPr>
          <w:rFonts w:cs="Times New Roman"/>
          <w:szCs w:val="24"/>
        </w:rPr>
        <w:t xml:space="preserve"> operations while shifting debt to assets associated with non-regulated operations.</w:t>
      </w:r>
      <w:r w:rsidR="002B197A" w:rsidRPr="00735A6A">
        <w:rPr>
          <w:rStyle w:val="FootnoteReference"/>
          <w:rFonts w:cs="Times New Roman"/>
          <w:szCs w:val="24"/>
        </w:rPr>
        <w:footnoteReference w:id="48"/>
      </w:r>
      <w:r w:rsidR="002B197A" w:rsidRPr="00BE28D4">
        <w:rPr>
          <w:rFonts w:cs="Times New Roman"/>
          <w:szCs w:val="24"/>
        </w:rPr>
        <w:t xml:space="preserve">  Under such a scenario</w:t>
      </w:r>
      <w:r w:rsidR="00555C41" w:rsidRPr="00BE28D4">
        <w:rPr>
          <w:rFonts w:cs="Times New Roman"/>
          <w:szCs w:val="24"/>
        </w:rPr>
        <w:t>, an entity could manipulat</w:t>
      </w:r>
      <w:r w:rsidR="0071225A" w:rsidRPr="00BE28D4">
        <w:rPr>
          <w:rFonts w:cs="Times New Roman"/>
          <w:szCs w:val="24"/>
        </w:rPr>
        <w:t>e</w:t>
      </w:r>
      <w:r w:rsidR="002B197A" w:rsidRPr="00BE28D4">
        <w:rPr>
          <w:rFonts w:cs="Times New Roman"/>
          <w:szCs w:val="24"/>
        </w:rPr>
        <w:t xml:space="preserve"> </w:t>
      </w:r>
      <w:r w:rsidR="00555C41" w:rsidRPr="00BE28D4">
        <w:rPr>
          <w:rFonts w:cs="Times New Roman"/>
          <w:szCs w:val="24"/>
        </w:rPr>
        <w:t xml:space="preserve">asset-specific </w:t>
      </w:r>
      <w:r w:rsidR="002B197A" w:rsidRPr="00BE28D4">
        <w:rPr>
          <w:rFonts w:cs="Times New Roman"/>
          <w:szCs w:val="24"/>
        </w:rPr>
        <w:t>capital structure</w:t>
      </w:r>
      <w:r w:rsidR="00555C41" w:rsidRPr="00BE28D4">
        <w:rPr>
          <w:rFonts w:cs="Times New Roman"/>
          <w:szCs w:val="24"/>
        </w:rPr>
        <w:t>s</w:t>
      </w:r>
      <w:r w:rsidR="002B197A" w:rsidRPr="00BE28D4">
        <w:rPr>
          <w:rFonts w:cs="Times New Roman"/>
          <w:szCs w:val="24"/>
        </w:rPr>
        <w:t xml:space="preserve"> to increase </w:t>
      </w:r>
      <w:r w:rsidR="0071225A" w:rsidRPr="00BE28D4">
        <w:rPr>
          <w:rFonts w:cs="Times New Roman"/>
          <w:szCs w:val="24"/>
        </w:rPr>
        <w:t xml:space="preserve">affiliate lease payments </w:t>
      </w:r>
      <w:r w:rsidR="002B197A" w:rsidRPr="00BE28D4">
        <w:rPr>
          <w:rFonts w:cs="Times New Roman"/>
          <w:szCs w:val="24"/>
        </w:rPr>
        <w:t>with</w:t>
      </w:r>
      <w:r w:rsidR="00382D6E" w:rsidRPr="00BE28D4">
        <w:rPr>
          <w:rFonts w:cs="Times New Roman"/>
          <w:szCs w:val="24"/>
        </w:rPr>
        <w:t xml:space="preserve"> no</w:t>
      </w:r>
      <w:r w:rsidR="002B197A" w:rsidRPr="00BE28D4">
        <w:rPr>
          <w:rFonts w:cs="Times New Roman"/>
          <w:szCs w:val="24"/>
        </w:rPr>
        <w:t xml:space="preserve"> </w:t>
      </w:r>
      <w:r w:rsidR="00382D6E" w:rsidRPr="00BE28D4">
        <w:rPr>
          <w:rFonts w:cs="Times New Roman"/>
          <w:szCs w:val="24"/>
        </w:rPr>
        <w:t xml:space="preserve">increase in </w:t>
      </w:r>
      <w:r w:rsidR="0071225A" w:rsidRPr="00BE28D4">
        <w:rPr>
          <w:rFonts w:cs="Times New Roman"/>
          <w:szCs w:val="24"/>
        </w:rPr>
        <w:t xml:space="preserve">actual </w:t>
      </w:r>
      <w:r w:rsidR="00382D6E" w:rsidRPr="00BE28D4">
        <w:rPr>
          <w:rFonts w:cs="Times New Roman"/>
          <w:szCs w:val="24"/>
        </w:rPr>
        <w:t>risk</w:t>
      </w:r>
      <w:r w:rsidR="00822533" w:rsidRPr="00BE28D4">
        <w:rPr>
          <w:rFonts w:cs="Times New Roman"/>
          <w:szCs w:val="24"/>
        </w:rPr>
        <w:t xml:space="preserve"> to the entity</w:t>
      </w:r>
      <w:r w:rsidR="00382D6E" w:rsidRPr="00BE28D4">
        <w:rPr>
          <w:rFonts w:cs="Times New Roman"/>
          <w:szCs w:val="24"/>
        </w:rPr>
        <w:t xml:space="preserve"> or</w:t>
      </w:r>
      <w:r w:rsidR="002B197A" w:rsidRPr="00BE28D4">
        <w:rPr>
          <w:rFonts w:cs="Times New Roman"/>
          <w:szCs w:val="24"/>
        </w:rPr>
        <w:t xml:space="preserve"> corresponding benefit to ratepayers. </w:t>
      </w:r>
      <w:r w:rsidR="0071225A" w:rsidRPr="00BE28D4">
        <w:rPr>
          <w:rFonts w:cs="Times New Roman"/>
          <w:szCs w:val="24"/>
        </w:rPr>
        <w:t xml:space="preserve"> </w:t>
      </w:r>
      <w:r w:rsidR="00851F6B" w:rsidRPr="00BE28D4">
        <w:rPr>
          <w:rFonts w:cs="Times New Roman"/>
          <w:szCs w:val="24"/>
        </w:rPr>
        <w:t>Therefore, a</w:t>
      </w:r>
      <w:r w:rsidR="00E0441A" w:rsidRPr="00BE28D4">
        <w:rPr>
          <w:rFonts w:cs="Times New Roman"/>
          <w:szCs w:val="24"/>
        </w:rPr>
        <w:t>sset-specific capital structures allow</w:t>
      </w:r>
      <w:bookmarkStart w:id="0" w:name="_GoBack"/>
      <w:bookmarkEnd w:id="0"/>
      <w:r w:rsidR="00E0441A" w:rsidRPr="00BE28D4">
        <w:rPr>
          <w:rFonts w:cs="Times New Roman"/>
          <w:szCs w:val="24"/>
        </w:rPr>
        <w:t xml:space="preserve"> for and incent cross subsidies, which violates the reasonableness standard</w:t>
      </w:r>
      <w:r w:rsidR="00FD70A1" w:rsidRPr="00BE28D4">
        <w:rPr>
          <w:rFonts w:cs="Times New Roman"/>
          <w:szCs w:val="24"/>
        </w:rPr>
        <w:t xml:space="preserve"> </w:t>
      </w:r>
      <w:r w:rsidR="00E0441A" w:rsidRPr="00BE28D4">
        <w:rPr>
          <w:rFonts w:cs="Times New Roman"/>
          <w:szCs w:val="24"/>
        </w:rPr>
        <w:t>in RCW Chapter 81.16 and Commission precedent.</w:t>
      </w:r>
      <w:r w:rsidR="00851F6B" w:rsidRPr="00BE28D4">
        <w:rPr>
          <w:rFonts w:cs="Times New Roman"/>
          <w:szCs w:val="24"/>
        </w:rPr>
        <w:t xml:space="preserve">  </w:t>
      </w:r>
      <w:r w:rsidR="00E0441A" w:rsidRPr="00BE28D4">
        <w:rPr>
          <w:rFonts w:cs="Times New Roman"/>
          <w:szCs w:val="24"/>
        </w:rPr>
        <w:t xml:space="preserve">  </w:t>
      </w:r>
    </w:p>
    <w:p w14:paraId="4A729FC2" w14:textId="76AF3833" w:rsidR="002B197A" w:rsidRPr="00BE28D4" w:rsidRDefault="00BE28D4" w:rsidP="00BE28D4">
      <w:pPr>
        <w:pStyle w:val="ListParagraph"/>
        <w:numPr>
          <w:ilvl w:val="0"/>
          <w:numId w:val="32"/>
        </w:numPr>
        <w:spacing w:after="0" w:line="480" w:lineRule="auto"/>
        <w:rPr>
          <w:rFonts w:cs="Times New Roman"/>
          <w:szCs w:val="24"/>
        </w:rPr>
      </w:pPr>
      <w:r>
        <w:rPr>
          <w:rFonts w:cs="Times New Roman"/>
          <w:szCs w:val="24"/>
        </w:rPr>
        <w:tab/>
      </w:r>
      <w:r w:rsidR="00574D3A" w:rsidRPr="00BE28D4">
        <w:rPr>
          <w:rFonts w:cs="Times New Roman"/>
          <w:szCs w:val="24"/>
        </w:rPr>
        <w:t>Staff’s concern is not entirely speculative.</w:t>
      </w:r>
      <w:r w:rsidR="002B197A" w:rsidRPr="00BE28D4">
        <w:rPr>
          <w:rFonts w:cs="Times New Roman"/>
          <w:szCs w:val="24"/>
        </w:rPr>
        <w:t xml:space="preserve"> </w:t>
      </w:r>
      <w:r w:rsidR="00574D3A" w:rsidRPr="00BE28D4">
        <w:rPr>
          <w:rFonts w:cs="Times New Roman"/>
          <w:szCs w:val="24"/>
        </w:rPr>
        <w:t xml:space="preserve"> Indeed, </w:t>
      </w:r>
      <w:r w:rsidR="00500AC6" w:rsidRPr="00BE28D4">
        <w:rPr>
          <w:rFonts w:cs="Times New Roman"/>
          <w:szCs w:val="24"/>
        </w:rPr>
        <w:t xml:space="preserve">although </w:t>
      </w:r>
      <w:r w:rsidR="00500AC6" w:rsidRPr="00BE28D4">
        <w:rPr>
          <w:rFonts w:cs="Times New Roman"/>
          <w:i/>
          <w:szCs w:val="24"/>
        </w:rPr>
        <w:t>all</w:t>
      </w:r>
      <w:r w:rsidR="00500AC6" w:rsidRPr="00BE28D4">
        <w:rPr>
          <w:rFonts w:cs="Times New Roman"/>
          <w:szCs w:val="24"/>
        </w:rPr>
        <w:t xml:space="preserve"> of the affiliate entities’ assets secure HBI’s and HBII’s debts,</w:t>
      </w:r>
      <w:r w:rsidR="00500AC6" w:rsidRPr="00735A6A">
        <w:rPr>
          <w:rStyle w:val="FootnoteReference"/>
          <w:rFonts w:cs="Times New Roman"/>
          <w:szCs w:val="24"/>
        </w:rPr>
        <w:footnoteReference w:id="49"/>
      </w:r>
      <w:r w:rsidR="00500AC6" w:rsidRPr="00BE28D4">
        <w:rPr>
          <w:rFonts w:cs="Times New Roman"/>
          <w:szCs w:val="24"/>
        </w:rPr>
        <w:t xml:space="preserve"> </w:t>
      </w:r>
      <w:r w:rsidR="00574D3A" w:rsidRPr="00BE28D4">
        <w:rPr>
          <w:rFonts w:cs="Times New Roman"/>
          <w:szCs w:val="24"/>
        </w:rPr>
        <w:t>WCI argues in this proceeding that</w:t>
      </w:r>
      <w:r w:rsidR="00500AC6" w:rsidRPr="00BE28D4">
        <w:rPr>
          <w:rFonts w:cs="Times New Roman"/>
          <w:szCs w:val="24"/>
        </w:rPr>
        <w:t xml:space="preserve"> </w:t>
      </w:r>
      <w:r w:rsidR="002B197A" w:rsidRPr="00BE28D4">
        <w:rPr>
          <w:rFonts w:cs="Times New Roman"/>
          <w:szCs w:val="24"/>
        </w:rPr>
        <w:t>the vast majority of HBI and HBII debt is associ</w:t>
      </w:r>
      <w:r w:rsidR="00555C41" w:rsidRPr="00BE28D4">
        <w:rPr>
          <w:rFonts w:cs="Times New Roman"/>
          <w:szCs w:val="24"/>
        </w:rPr>
        <w:t xml:space="preserve">ated </w:t>
      </w:r>
      <w:r w:rsidR="00574D3A" w:rsidRPr="00BE28D4">
        <w:rPr>
          <w:rFonts w:cs="Times New Roman"/>
          <w:i/>
          <w:szCs w:val="24"/>
        </w:rPr>
        <w:t>only</w:t>
      </w:r>
      <w:r w:rsidR="00574D3A" w:rsidRPr="00BE28D4">
        <w:rPr>
          <w:rFonts w:cs="Times New Roman"/>
          <w:szCs w:val="24"/>
        </w:rPr>
        <w:t xml:space="preserve"> </w:t>
      </w:r>
      <w:r w:rsidR="00555C41" w:rsidRPr="00BE28D4">
        <w:rPr>
          <w:rFonts w:cs="Times New Roman"/>
          <w:szCs w:val="24"/>
        </w:rPr>
        <w:t>with non-regulated operations</w:t>
      </w:r>
      <w:r w:rsidR="00382D6E" w:rsidRPr="00BE28D4">
        <w:rPr>
          <w:rFonts w:cs="Times New Roman"/>
          <w:szCs w:val="24"/>
        </w:rPr>
        <w:t>.</w:t>
      </w:r>
      <w:r w:rsidR="00555C41" w:rsidRPr="00735A6A">
        <w:rPr>
          <w:rStyle w:val="FootnoteReference"/>
          <w:rFonts w:cs="Times New Roman"/>
          <w:szCs w:val="24"/>
        </w:rPr>
        <w:footnoteReference w:id="50"/>
      </w:r>
      <w:r w:rsidR="00FD70A1" w:rsidRPr="00BE28D4">
        <w:rPr>
          <w:rFonts w:cs="Times New Roman"/>
          <w:szCs w:val="24"/>
        </w:rPr>
        <w:t xml:space="preserve"> </w:t>
      </w:r>
      <w:r w:rsidR="002B197A" w:rsidRPr="00BE28D4">
        <w:rPr>
          <w:rFonts w:cs="Times New Roman"/>
          <w:szCs w:val="24"/>
        </w:rPr>
        <w:t xml:space="preserve"> </w:t>
      </w:r>
      <w:r w:rsidR="00382D6E" w:rsidRPr="00BE28D4">
        <w:rPr>
          <w:rFonts w:cs="Times New Roman"/>
          <w:szCs w:val="24"/>
        </w:rPr>
        <w:t xml:space="preserve">At the same time, WCI’s testimony </w:t>
      </w:r>
      <w:r w:rsidR="00574D3A" w:rsidRPr="00BE28D4">
        <w:rPr>
          <w:rFonts w:cs="Times New Roman"/>
          <w:szCs w:val="24"/>
        </w:rPr>
        <w:t>states</w:t>
      </w:r>
      <w:r w:rsidR="00382D6E" w:rsidRPr="00BE28D4">
        <w:rPr>
          <w:rFonts w:cs="Times New Roman"/>
          <w:szCs w:val="24"/>
        </w:rPr>
        <w:t xml:space="preserve"> that the majority </w:t>
      </w:r>
      <w:r w:rsidR="002B197A" w:rsidRPr="00BE28D4">
        <w:rPr>
          <w:rFonts w:cs="Times New Roman"/>
          <w:szCs w:val="24"/>
        </w:rPr>
        <w:t xml:space="preserve">of </w:t>
      </w:r>
      <w:r w:rsidR="0071225A" w:rsidRPr="00BE28D4">
        <w:rPr>
          <w:rFonts w:cs="Times New Roman"/>
          <w:szCs w:val="24"/>
        </w:rPr>
        <w:t>HBI’s and HBII’s</w:t>
      </w:r>
      <w:r w:rsidR="00382D6E" w:rsidRPr="00BE28D4">
        <w:rPr>
          <w:rFonts w:cs="Times New Roman"/>
          <w:szCs w:val="24"/>
        </w:rPr>
        <w:t xml:space="preserve"> </w:t>
      </w:r>
      <w:r w:rsidR="002B197A" w:rsidRPr="00BE28D4">
        <w:rPr>
          <w:rFonts w:cs="Times New Roman"/>
          <w:szCs w:val="24"/>
        </w:rPr>
        <w:t>assets associated with regulated operations hold little or no debt</w:t>
      </w:r>
      <w:r w:rsidR="00382D6E" w:rsidRPr="00BE28D4">
        <w:rPr>
          <w:rFonts w:cs="Times New Roman"/>
          <w:szCs w:val="24"/>
        </w:rPr>
        <w:t>.</w:t>
      </w:r>
      <w:r w:rsidR="00382D6E" w:rsidRPr="00735A6A">
        <w:rPr>
          <w:rStyle w:val="FootnoteReference"/>
          <w:rFonts w:cs="Times New Roman"/>
          <w:szCs w:val="24"/>
        </w:rPr>
        <w:footnoteReference w:id="51"/>
      </w:r>
      <w:r w:rsidR="00382D6E" w:rsidRPr="00BE28D4">
        <w:rPr>
          <w:rFonts w:cs="Times New Roman"/>
          <w:szCs w:val="24"/>
        </w:rPr>
        <w:t xml:space="preserve">   </w:t>
      </w:r>
      <w:r w:rsidR="00695143" w:rsidRPr="00BE28D4">
        <w:rPr>
          <w:rFonts w:cs="Times New Roman"/>
          <w:szCs w:val="24"/>
        </w:rPr>
        <w:t xml:space="preserve">WCI’s </w:t>
      </w:r>
      <w:r w:rsidR="00C7735B" w:rsidRPr="00BE28D4">
        <w:rPr>
          <w:rFonts w:cs="Times New Roman"/>
          <w:szCs w:val="24"/>
        </w:rPr>
        <w:t xml:space="preserve">proposal </w:t>
      </w:r>
      <w:r w:rsidR="00851F6B" w:rsidRPr="00BE28D4">
        <w:rPr>
          <w:rFonts w:cs="Times New Roman"/>
          <w:szCs w:val="24"/>
        </w:rPr>
        <w:t>uses</w:t>
      </w:r>
      <w:r w:rsidR="00C7735B" w:rsidRPr="00BE28D4">
        <w:rPr>
          <w:rFonts w:cs="Times New Roman"/>
          <w:szCs w:val="24"/>
        </w:rPr>
        <w:t xml:space="preserve"> affiliate transactions to allocate debt to non-regulated operations</w:t>
      </w:r>
      <w:r w:rsidR="00851F6B" w:rsidRPr="00BE28D4">
        <w:rPr>
          <w:rFonts w:cs="Times New Roman"/>
          <w:szCs w:val="24"/>
        </w:rPr>
        <w:t xml:space="preserve"> and equity to</w:t>
      </w:r>
      <w:r w:rsidR="00C7735B" w:rsidRPr="00BE28D4">
        <w:rPr>
          <w:rFonts w:cs="Times New Roman"/>
          <w:szCs w:val="24"/>
        </w:rPr>
        <w:t xml:space="preserve"> regulated operations.  WCI’s proposal demonstrates the merits of Staff’s concerns.  Use of an asset-specific capital structure </w:t>
      </w:r>
      <w:r w:rsidR="002E1016" w:rsidRPr="00BE28D4">
        <w:rPr>
          <w:rFonts w:cs="Times New Roman"/>
          <w:szCs w:val="24"/>
        </w:rPr>
        <w:t>incentivizes regulated companies to manipulate</w:t>
      </w:r>
      <w:r w:rsidR="00C7735B" w:rsidRPr="00BE28D4">
        <w:rPr>
          <w:rFonts w:cs="Times New Roman"/>
          <w:szCs w:val="24"/>
        </w:rPr>
        <w:t xml:space="preserve"> debt ratios</w:t>
      </w:r>
      <w:r w:rsidR="002E1016" w:rsidRPr="00BE28D4">
        <w:rPr>
          <w:rFonts w:cs="Times New Roman"/>
          <w:szCs w:val="24"/>
        </w:rPr>
        <w:t xml:space="preserve"> through affiliate transactions with no corresponding change in risk profile or benefits to ratepayers</w:t>
      </w:r>
      <w:r w:rsidR="00510590" w:rsidRPr="00BE28D4">
        <w:rPr>
          <w:rFonts w:cs="Times New Roman"/>
          <w:szCs w:val="24"/>
        </w:rPr>
        <w:t xml:space="preserve">.     </w:t>
      </w:r>
    </w:p>
    <w:p w14:paraId="4A729FC3" w14:textId="72F5E08E" w:rsidR="00E0441A" w:rsidRPr="00BE28D4" w:rsidRDefault="00BE28D4" w:rsidP="00BE28D4">
      <w:pPr>
        <w:pStyle w:val="ListParagraph"/>
        <w:numPr>
          <w:ilvl w:val="0"/>
          <w:numId w:val="32"/>
        </w:numPr>
        <w:spacing w:after="0" w:line="480" w:lineRule="auto"/>
        <w:rPr>
          <w:rFonts w:cs="Times New Roman"/>
          <w:szCs w:val="24"/>
        </w:rPr>
      </w:pPr>
      <w:r>
        <w:tab/>
      </w:r>
      <w:r w:rsidR="002B197A" w:rsidRPr="00BE28D4">
        <w:rPr>
          <w:rFonts w:cs="Times New Roman"/>
          <w:szCs w:val="24"/>
        </w:rPr>
        <w:t>Second</w:t>
      </w:r>
      <w:r w:rsidR="009A7FF0" w:rsidRPr="00BE28D4">
        <w:rPr>
          <w:rFonts w:cs="Times New Roman"/>
          <w:szCs w:val="24"/>
        </w:rPr>
        <w:t>,</w:t>
      </w:r>
      <w:r w:rsidR="002B197A" w:rsidRPr="00BE28D4">
        <w:rPr>
          <w:rFonts w:cs="Times New Roman"/>
          <w:szCs w:val="24"/>
        </w:rPr>
        <w:t xml:space="preserve"> </w:t>
      </w:r>
      <w:r w:rsidR="00E0441A" w:rsidRPr="00BE28D4">
        <w:rPr>
          <w:rFonts w:cs="Times New Roman"/>
          <w:szCs w:val="24"/>
        </w:rPr>
        <w:t>a</w:t>
      </w:r>
      <w:r w:rsidR="002B197A" w:rsidRPr="00BE28D4">
        <w:rPr>
          <w:rFonts w:cs="Times New Roman"/>
          <w:szCs w:val="24"/>
        </w:rPr>
        <w:t xml:space="preserve"> company-wide capital structure</w:t>
      </w:r>
      <w:r w:rsidR="00E0441A" w:rsidRPr="00BE28D4">
        <w:rPr>
          <w:rFonts w:cs="Times New Roman"/>
          <w:szCs w:val="24"/>
        </w:rPr>
        <w:t xml:space="preserve"> is appropriate</w:t>
      </w:r>
      <w:r w:rsidR="00881EBA" w:rsidRPr="00BE28D4">
        <w:rPr>
          <w:rFonts w:cs="Times New Roman"/>
          <w:szCs w:val="24"/>
        </w:rPr>
        <w:t xml:space="preserve"> in this case </w:t>
      </w:r>
      <w:r w:rsidR="00C7735B" w:rsidRPr="00BE28D4">
        <w:rPr>
          <w:rFonts w:cs="Times New Roman"/>
          <w:szCs w:val="24"/>
        </w:rPr>
        <w:t>because a</w:t>
      </w:r>
      <w:r w:rsidR="00881EBA" w:rsidRPr="00BE28D4">
        <w:rPr>
          <w:rFonts w:cs="Times New Roman"/>
          <w:szCs w:val="24"/>
        </w:rPr>
        <w:t>ll of HBI’s and HBII’s facilities, including those lease</w:t>
      </w:r>
      <w:r w:rsidR="00695143" w:rsidRPr="00BE28D4">
        <w:rPr>
          <w:rFonts w:cs="Times New Roman"/>
          <w:szCs w:val="24"/>
        </w:rPr>
        <w:t>d to</w:t>
      </w:r>
      <w:r w:rsidR="00C7735B" w:rsidRPr="00BE28D4">
        <w:rPr>
          <w:rFonts w:cs="Times New Roman"/>
          <w:szCs w:val="24"/>
        </w:rPr>
        <w:t xml:space="preserve"> WCI, secure all of HBI’s and HBII’s</w:t>
      </w:r>
      <w:r w:rsidR="00695143" w:rsidRPr="00BE28D4">
        <w:rPr>
          <w:rFonts w:cs="Times New Roman"/>
          <w:szCs w:val="24"/>
        </w:rPr>
        <w:t xml:space="preserve"> </w:t>
      </w:r>
      <w:r w:rsidR="00C7735B" w:rsidRPr="00BE28D4">
        <w:rPr>
          <w:rFonts w:cs="Times New Roman"/>
          <w:szCs w:val="24"/>
        </w:rPr>
        <w:t>debts.</w:t>
      </w:r>
      <w:r w:rsidR="002E1016" w:rsidRPr="00735A6A">
        <w:rPr>
          <w:rStyle w:val="FootnoteReference"/>
          <w:rFonts w:cs="Times New Roman"/>
          <w:szCs w:val="24"/>
        </w:rPr>
        <w:footnoteReference w:id="52"/>
      </w:r>
      <w:r w:rsidR="00C93696" w:rsidRPr="00BE28D4">
        <w:rPr>
          <w:rFonts w:cs="Times New Roman"/>
          <w:szCs w:val="24"/>
        </w:rPr>
        <w:t xml:space="preserve">  </w:t>
      </w:r>
      <w:r w:rsidR="00715812" w:rsidRPr="00BE28D4">
        <w:rPr>
          <w:rFonts w:cs="Times New Roman"/>
          <w:szCs w:val="24"/>
        </w:rPr>
        <w:t xml:space="preserve">Therefore, </w:t>
      </w:r>
      <w:r w:rsidR="00785BDA" w:rsidRPr="00BE28D4">
        <w:rPr>
          <w:rFonts w:cs="Times New Roman"/>
          <w:szCs w:val="24"/>
        </w:rPr>
        <w:t xml:space="preserve">for all practical and economic purposes, </w:t>
      </w:r>
      <w:r w:rsidR="00C93696" w:rsidRPr="00BE28D4">
        <w:rPr>
          <w:rFonts w:cs="Times New Roman"/>
          <w:szCs w:val="24"/>
        </w:rPr>
        <w:t xml:space="preserve">HBI and HBII’s </w:t>
      </w:r>
      <w:r w:rsidR="00206173" w:rsidRPr="00BE28D4">
        <w:rPr>
          <w:rFonts w:cs="Times New Roman"/>
          <w:szCs w:val="24"/>
        </w:rPr>
        <w:t xml:space="preserve">facilities are encumbered </w:t>
      </w:r>
      <w:r w:rsidR="00785BDA" w:rsidRPr="00BE28D4">
        <w:rPr>
          <w:rFonts w:cs="Times New Roman"/>
          <w:szCs w:val="24"/>
        </w:rPr>
        <w:t>and</w:t>
      </w:r>
      <w:r w:rsidR="00715812" w:rsidRPr="00BE28D4">
        <w:rPr>
          <w:rFonts w:cs="Times New Roman"/>
          <w:szCs w:val="24"/>
        </w:rPr>
        <w:t xml:space="preserve"> carrying </w:t>
      </w:r>
      <w:r w:rsidR="002E1016" w:rsidRPr="00BE28D4">
        <w:rPr>
          <w:rFonts w:cs="Times New Roman"/>
          <w:szCs w:val="24"/>
        </w:rPr>
        <w:t xml:space="preserve">a pro rata share of </w:t>
      </w:r>
      <w:r w:rsidR="00C93696" w:rsidRPr="00BE28D4">
        <w:rPr>
          <w:rFonts w:cs="Times New Roman"/>
          <w:szCs w:val="24"/>
        </w:rPr>
        <w:t xml:space="preserve">the companies’ </w:t>
      </w:r>
      <w:r w:rsidR="00715812" w:rsidRPr="00BE28D4">
        <w:rPr>
          <w:rFonts w:cs="Times New Roman"/>
          <w:szCs w:val="24"/>
        </w:rPr>
        <w:t>debts.</w:t>
      </w:r>
      <w:r w:rsidR="00C841CB" w:rsidRPr="00735A6A">
        <w:rPr>
          <w:rStyle w:val="FootnoteReference"/>
          <w:rFonts w:cs="Times New Roman"/>
          <w:szCs w:val="24"/>
        </w:rPr>
        <w:footnoteReference w:id="53"/>
      </w:r>
      <w:r w:rsidR="00785BDA" w:rsidRPr="00BE28D4">
        <w:rPr>
          <w:rFonts w:cs="Times New Roman"/>
          <w:szCs w:val="24"/>
        </w:rPr>
        <w:t xml:space="preserve">  </w:t>
      </w:r>
      <w:r w:rsidR="00BB1873" w:rsidRPr="00BE28D4">
        <w:rPr>
          <w:rFonts w:cs="Times New Roman"/>
          <w:szCs w:val="24"/>
        </w:rPr>
        <w:t>There is simply</w:t>
      </w:r>
      <w:r w:rsidR="0071225A" w:rsidRPr="00BE28D4">
        <w:rPr>
          <w:rFonts w:cs="Times New Roman"/>
          <w:szCs w:val="24"/>
        </w:rPr>
        <w:t xml:space="preserve"> no economic difference between </w:t>
      </w:r>
      <w:r w:rsidR="00E0441A" w:rsidRPr="00BE28D4">
        <w:rPr>
          <w:rFonts w:cs="Times New Roman"/>
          <w:szCs w:val="24"/>
        </w:rPr>
        <w:t>pledging assets as security for a bond</w:t>
      </w:r>
      <w:r w:rsidR="0071225A" w:rsidRPr="00BE28D4">
        <w:rPr>
          <w:rFonts w:cs="Times New Roman"/>
          <w:szCs w:val="24"/>
        </w:rPr>
        <w:t xml:space="preserve"> and mortgaging </w:t>
      </w:r>
      <w:r w:rsidR="00BB1873" w:rsidRPr="00BE28D4">
        <w:rPr>
          <w:rFonts w:cs="Times New Roman"/>
          <w:szCs w:val="24"/>
        </w:rPr>
        <w:t xml:space="preserve">those </w:t>
      </w:r>
      <w:r w:rsidR="0071225A" w:rsidRPr="00BE28D4">
        <w:rPr>
          <w:rFonts w:cs="Times New Roman"/>
          <w:szCs w:val="24"/>
        </w:rPr>
        <w:t xml:space="preserve">assets directly.  The Commission should reject </w:t>
      </w:r>
      <w:r w:rsidR="00BB1873" w:rsidRPr="00BE28D4">
        <w:rPr>
          <w:rFonts w:cs="Times New Roman"/>
          <w:szCs w:val="24"/>
        </w:rPr>
        <w:t xml:space="preserve">the Company’s </w:t>
      </w:r>
      <w:r w:rsidR="0071225A" w:rsidRPr="00BE28D4">
        <w:rPr>
          <w:rFonts w:cs="Times New Roman"/>
          <w:szCs w:val="24"/>
        </w:rPr>
        <w:t xml:space="preserve">false distinction.  </w:t>
      </w:r>
      <w:r w:rsidR="005850C8" w:rsidRPr="00BE28D4">
        <w:rPr>
          <w:rFonts w:cs="Times New Roman"/>
          <w:szCs w:val="24"/>
        </w:rPr>
        <w:t>Regardless of the Commission’s preference for a company-wide or asset-specific capital structure, a</w:t>
      </w:r>
      <w:r w:rsidR="002D07AC" w:rsidRPr="00BE28D4">
        <w:rPr>
          <w:rFonts w:cs="Times New Roman"/>
          <w:szCs w:val="24"/>
        </w:rPr>
        <w:t xml:space="preserve"> fair calculation of </w:t>
      </w:r>
      <w:r w:rsidR="00BB1873" w:rsidRPr="00BE28D4">
        <w:rPr>
          <w:rFonts w:cs="Times New Roman"/>
          <w:szCs w:val="24"/>
        </w:rPr>
        <w:t>each facility’s</w:t>
      </w:r>
      <w:r w:rsidR="002D07AC" w:rsidRPr="00BE28D4">
        <w:rPr>
          <w:rFonts w:cs="Times New Roman"/>
          <w:szCs w:val="24"/>
        </w:rPr>
        <w:t xml:space="preserve"> capital structure</w:t>
      </w:r>
      <w:r w:rsidR="005850C8" w:rsidRPr="00BE28D4">
        <w:rPr>
          <w:rFonts w:cs="Times New Roman"/>
          <w:szCs w:val="24"/>
        </w:rPr>
        <w:t xml:space="preserve"> in this case</w:t>
      </w:r>
      <w:r w:rsidR="002D07AC" w:rsidRPr="00BE28D4">
        <w:rPr>
          <w:rFonts w:cs="Times New Roman"/>
          <w:szCs w:val="24"/>
        </w:rPr>
        <w:t xml:space="preserve"> must reflect the Company’s overall debt</w:t>
      </w:r>
      <w:r w:rsidR="00E0441A" w:rsidRPr="00BE28D4">
        <w:rPr>
          <w:rFonts w:cs="Times New Roman"/>
          <w:szCs w:val="24"/>
        </w:rPr>
        <w:t xml:space="preserve"> ratios</w:t>
      </w:r>
      <w:r w:rsidR="002D07AC" w:rsidRPr="00BE28D4">
        <w:rPr>
          <w:rFonts w:cs="Times New Roman"/>
          <w:szCs w:val="24"/>
        </w:rPr>
        <w:t>.</w:t>
      </w:r>
    </w:p>
    <w:p w14:paraId="4A729FC5" w14:textId="298B13E1" w:rsidR="00477FE6" w:rsidRDefault="00BE28D4" w:rsidP="00BE28D4">
      <w:pPr>
        <w:pStyle w:val="ListParagraph"/>
        <w:numPr>
          <w:ilvl w:val="0"/>
          <w:numId w:val="32"/>
        </w:numPr>
        <w:spacing w:after="0" w:line="480" w:lineRule="auto"/>
        <w:rPr>
          <w:rFonts w:cs="Times New Roman"/>
          <w:szCs w:val="24"/>
        </w:rPr>
      </w:pPr>
      <w:r>
        <w:rPr>
          <w:rFonts w:cs="Times New Roman"/>
          <w:szCs w:val="24"/>
        </w:rPr>
        <w:tab/>
      </w:r>
      <w:r w:rsidR="00B42232" w:rsidRPr="00BE28D4">
        <w:rPr>
          <w:rFonts w:cs="Times New Roman"/>
          <w:szCs w:val="24"/>
        </w:rPr>
        <w:t>Third,</w:t>
      </w:r>
      <w:r w:rsidR="00B47D44" w:rsidRPr="00BE28D4">
        <w:rPr>
          <w:rFonts w:cs="Times New Roman"/>
          <w:szCs w:val="24"/>
        </w:rPr>
        <w:t xml:space="preserve"> </w:t>
      </w:r>
      <w:r w:rsidR="00881EBA" w:rsidRPr="00BE28D4">
        <w:rPr>
          <w:rFonts w:cs="Times New Roman"/>
          <w:szCs w:val="24"/>
        </w:rPr>
        <w:t xml:space="preserve">Staff’s testimony points out that </w:t>
      </w:r>
      <w:r w:rsidR="00785BDA" w:rsidRPr="00BE28D4">
        <w:rPr>
          <w:rFonts w:cs="Times New Roman"/>
          <w:szCs w:val="24"/>
        </w:rPr>
        <w:t>H</w:t>
      </w:r>
      <w:r w:rsidR="00206173" w:rsidRPr="00BE28D4">
        <w:rPr>
          <w:rFonts w:cs="Times New Roman"/>
          <w:szCs w:val="24"/>
        </w:rPr>
        <w:t xml:space="preserve">BI’s and HBII’s company-wide capital structures </w:t>
      </w:r>
      <w:r w:rsidR="00785BDA" w:rsidRPr="00BE28D4">
        <w:rPr>
          <w:rFonts w:cs="Times New Roman"/>
          <w:szCs w:val="24"/>
        </w:rPr>
        <w:t>reflect those companies’</w:t>
      </w:r>
      <w:r w:rsidR="00206173" w:rsidRPr="00BE28D4">
        <w:rPr>
          <w:rFonts w:cs="Times New Roman"/>
          <w:szCs w:val="24"/>
        </w:rPr>
        <w:t xml:space="preserve"> actual </w:t>
      </w:r>
      <w:r w:rsidR="00477FE6" w:rsidRPr="00BE28D4">
        <w:rPr>
          <w:rFonts w:cs="Times New Roman"/>
          <w:szCs w:val="24"/>
        </w:rPr>
        <w:t>risk profiles and costs of capital.</w:t>
      </w:r>
      <w:r w:rsidR="00881EBA" w:rsidRPr="00735A6A">
        <w:rPr>
          <w:rStyle w:val="FootnoteReference"/>
          <w:rFonts w:cs="Times New Roman"/>
          <w:szCs w:val="24"/>
        </w:rPr>
        <w:footnoteReference w:id="54"/>
      </w:r>
      <w:r w:rsidR="00477FE6" w:rsidRPr="00BE28D4">
        <w:rPr>
          <w:rFonts w:cs="Times New Roman"/>
          <w:szCs w:val="24"/>
        </w:rPr>
        <w:t xml:space="preserve">  The actual risk profiles and cost of capital are necessarily the appropriate figures when calculating cost</w:t>
      </w:r>
      <w:r w:rsidR="00881EBA" w:rsidRPr="00BE28D4">
        <w:rPr>
          <w:rFonts w:cs="Times New Roman"/>
          <w:szCs w:val="24"/>
        </w:rPr>
        <w:t>-</w:t>
      </w:r>
      <w:r w:rsidR="00477FE6" w:rsidRPr="00BE28D4">
        <w:rPr>
          <w:rFonts w:cs="Times New Roman"/>
          <w:szCs w:val="24"/>
        </w:rPr>
        <w:t>plus</w:t>
      </w:r>
      <w:r w:rsidR="00881EBA" w:rsidRPr="00BE28D4">
        <w:rPr>
          <w:rFonts w:cs="Times New Roman"/>
          <w:szCs w:val="24"/>
        </w:rPr>
        <w:t>-</w:t>
      </w:r>
      <w:r w:rsidR="00477FE6" w:rsidRPr="00BE28D4">
        <w:rPr>
          <w:rFonts w:cs="Times New Roman"/>
          <w:szCs w:val="24"/>
        </w:rPr>
        <w:t>return</w:t>
      </w:r>
      <w:r w:rsidR="00695143" w:rsidRPr="00BE28D4">
        <w:rPr>
          <w:rFonts w:cs="Times New Roman"/>
          <w:szCs w:val="24"/>
        </w:rPr>
        <w:t>.</w:t>
      </w:r>
      <w:r w:rsidR="009163AE" w:rsidRPr="00735A6A">
        <w:rPr>
          <w:rStyle w:val="FootnoteReference"/>
          <w:rFonts w:cs="Times New Roman"/>
          <w:szCs w:val="24"/>
        </w:rPr>
        <w:footnoteReference w:id="55"/>
      </w:r>
      <w:r w:rsidR="00695143" w:rsidRPr="00BE28D4">
        <w:rPr>
          <w:rFonts w:cs="Times New Roman"/>
          <w:szCs w:val="24"/>
        </w:rPr>
        <w:t xml:space="preserve">  An </w:t>
      </w:r>
      <w:r w:rsidR="009A7FF0" w:rsidRPr="00BE28D4">
        <w:rPr>
          <w:rFonts w:cs="Times New Roman"/>
          <w:szCs w:val="24"/>
        </w:rPr>
        <w:t>asset-specific capital structure is not indicative of an entity’s risk profile and thus cannot be used to calculate an accurate cost of capital or adequate return.  An asset-specific capital structure is particularly</w:t>
      </w:r>
      <w:r w:rsidR="008D414F" w:rsidRPr="00BE28D4">
        <w:rPr>
          <w:rFonts w:cs="Times New Roman"/>
          <w:szCs w:val="24"/>
        </w:rPr>
        <w:t xml:space="preserve"> inadequate</w:t>
      </w:r>
      <w:r w:rsidR="009A7FF0" w:rsidRPr="00BE28D4">
        <w:rPr>
          <w:rFonts w:cs="Times New Roman"/>
          <w:szCs w:val="24"/>
        </w:rPr>
        <w:t xml:space="preserve"> whe</w:t>
      </w:r>
      <w:r w:rsidR="008D414F" w:rsidRPr="00BE28D4">
        <w:rPr>
          <w:rFonts w:cs="Times New Roman"/>
          <w:szCs w:val="24"/>
        </w:rPr>
        <w:t xml:space="preserve">re the underlying assets are old and no longer reflective of the </w:t>
      </w:r>
      <w:r w:rsidR="009163AE" w:rsidRPr="00BE28D4">
        <w:rPr>
          <w:rFonts w:cs="Times New Roman"/>
          <w:szCs w:val="24"/>
        </w:rPr>
        <w:t xml:space="preserve">ownership </w:t>
      </w:r>
      <w:r w:rsidR="008D414F" w:rsidRPr="00BE28D4">
        <w:rPr>
          <w:rFonts w:cs="Times New Roman"/>
          <w:szCs w:val="24"/>
        </w:rPr>
        <w:t>entity’s financial position</w:t>
      </w:r>
      <w:r w:rsidR="009A7FF0" w:rsidRPr="00BE28D4">
        <w:rPr>
          <w:rFonts w:cs="Times New Roman"/>
          <w:szCs w:val="24"/>
        </w:rPr>
        <w:t>.</w:t>
      </w:r>
      <w:r>
        <w:rPr>
          <w:rFonts w:cs="Times New Roman"/>
          <w:szCs w:val="24"/>
        </w:rPr>
        <w:t xml:space="preserve">  </w:t>
      </w:r>
    </w:p>
    <w:p w14:paraId="5B7EC652" w14:textId="7E987BB7" w:rsidR="00BE28D4" w:rsidRPr="00BE28D4" w:rsidRDefault="003F3D04" w:rsidP="00BE28D4">
      <w:pPr>
        <w:pStyle w:val="ListParagraph"/>
        <w:spacing w:after="0" w:line="480" w:lineRule="auto"/>
        <w:ind w:left="0"/>
        <w:rPr>
          <w:rFonts w:cs="Times New Roman"/>
          <w:b/>
          <w:szCs w:val="24"/>
        </w:rPr>
      </w:pPr>
      <w:r>
        <w:rPr>
          <w:rFonts w:cs="Times New Roman"/>
          <w:b/>
          <w:szCs w:val="24"/>
        </w:rPr>
        <w:tab/>
        <w:t>2</w:t>
      </w:r>
      <w:r w:rsidR="00BE28D4">
        <w:rPr>
          <w:rFonts w:cs="Times New Roman"/>
          <w:b/>
          <w:szCs w:val="24"/>
        </w:rPr>
        <w:t>.</w:t>
      </w:r>
      <w:r w:rsidR="00BE28D4">
        <w:rPr>
          <w:rFonts w:cs="Times New Roman"/>
          <w:b/>
          <w:szCs w:val="24"/>
        </w:rPr>
        <w:tab/>
        <w:t>Commission Precedent in BKA</w:t>
      </w:r>
      <w:r w:rsidR="00830B32">
        <w:rPr>
          <w:rFonts w:cs="Times New Roman"/>
          <w:b/>
          <w:szCs w:val="24"/>
        </w:rPr>
        <w:t>.</w:t>
      </w:r>
    </w:p>
    <w:p w14:paraId="4A729FC7" w14:textId="7E30DA03" w:rsidR="00390345" w:rsidRPr="00BE28D4" w:rsidRDefault="00BE28D4" w:rsidP="00BE28D4">
      <w:pPr>
        <w:pStyle w:val="ListParagraph"/>
        <w:numPr>
          <w:ilvl w:val="0"/>
          <w:numId w:val="32"/>
        </w:numPr>
        <w:spacing w:after="0" w:line="480" w:lineRule="auto"/>
        <w:rPr>
          <w:rFonts w:cs="Times New Roman"/>
          <w:szCs w:val="24"/>
        </w:rPr>
      </w:pPr>
      <w:r>
        <w:rPr>
          <w:rFonts w:cs="Times New Roman"/>
          <w:szCs w:val="24"/>
        </w:rPr>
        <w:tab/>
      </w:r>
      <w:r w:rsidR="002B197A" w:rsidRPr="00BE28D4">
        <w:rPr>
          <w:rFonts w:cs="Times New Roman"/>
          <w:szCs w:val="24"/>
        </w:rPr>
        <w:t xml:space="preserve">WCI supports its proposal on the basis of </w:t>
      </w:r>
      <w:r w:rsidR="00B66454" w:rsidRPr="00BE28D4">
        <w:rPr>
          <w:rFonts w:cs="Times New Roman"/>
          <w:szCs w:val="24"/>
        </w:rPr>
        <w:t xml:space="preserve">the Commission’s final order in Docket TC-001846, </w:t>
      </w:r>
      <w:r w:rsidR="00B66454" w:rsidRPr="00BE28D4">
        <w:rPr>
          <w:rFonts w:cs="Times New Roman"/>
          <w:i/>
          <w:szCs w:val="24"/>
        </w:rPr>
        <w:t>WUTC v. Bremerton-Kitsap Airporter</w:t>
      </w:r>
      <w:r w:rsidR="00B66454" w:rsidRPr="00BE28D4">
        <w:rPr>
          <w:rFonts w:cs="Times New Roman"/>
          <w:szCs w:val="24"/>
        </w:rPr>
        <w:t xml:space="preserve"> (“BKA”).</w:t>
      </w:r>
      <w:r w:rsidR="008E41BF" w:rsidRPr="00735A6A">
        <w:rPr>
          <w:rStyle w:val="FootnoteReference"/>
          <w:rFonts w:cs="Times New Roman"/>
          <w:szCs w:val="24"/>
        </w:rPr>
        <w:footnoteReference w:id="56"/>
      </w:r>
      <w:r w:rsidR="00B66454" w:rsidRPr="00BE28D4">
        <w:rPr>
          <w:rFonts w:cs="Times New Roman"/>
          <w:szCs w:val="24"/>
        </w:rPr>
        <w:t xml:space="preserve"> </w:t>
      </w:r>
      <w:r w:rsidR="002B197A" w:rsidRPr="00BE28D4">
        <w:rPr>
          <w:rFonts w:cs="Times New Roman"/>
          <w:szCs w:val="24"/>
        </w:rPr>
        <w:t xml:space="preserve"> </w:t>
      </w:r>
      <w:r w:rsidR="00B66454" w:rsidRPr="00BE28D4">
        <w:rPr>
          <w:rFonts w:cs="Times New Roman"/>
          <w:szCs w:val="24"/>
        </w:rPr>
        <w:t xml:space="preserve">However, the Commission’s order in </w:t>
      </w:r>
      <w:r w:rsidR="002B197A" w:rsidRPr="00BE28D4">
        <w:rPr>
          <w:rFonts w:cs="Times New Roman"/>
          <w:szCs w:val="24"/>
        </w:rPr>
        <w:t>BKA does not mandate, or e</w:t>
      </w:r>
      <w:r w:rsidR="004C2777" w:rsidRPr="00BE28D4">
        <w:rPr>
          <w:rFonts w:cs="Times New Roman"/>
          <w:szCs w:val="24"/>
        </w:rPr>
        <w:t>ven expressly support, an asset-</w:t>
      </w:r>
      <w:r w:rsidR="002B197A" w:rsidRPr="00BE28D4">
        <w:rPr>
          <w:rFonts w:cs="Times New Roman"/>
          <w:szCs w:val="24"/>
        </w:rPr>
        <w:t>specific capital structure for calculating appropriate affiliate lease payments.</w:t>
      </w:r>
      <w:r w:rsidR="008E41BF" w:rsidRPr="00735A6A">
        <w:rPr>
          <w:rStyle w:val="FootnoteReference"/>
          <w:rFonts w:cs="Times New Roman"/>
          <w:szCs w:val="24"/>
        </w:rPr>
        <w:footnoteReference w:id="57"/>
      </w:r>
      <w:r w:rsidR="002B197A" w:rsidRPr="00BE28D4">
        <w:rPr>
          <w:rFonts w:cs="Times New Roman"/>
          <w:szCs w:val="24"/>
        </w:rPr>
        <w:t xml:space="preserve">  </w:t>
      </w:r>
      <w:r w:rsidR="00B66454" w:rsidRPr="00BE28D4">
        <w:rPr>
          <w:rFonts w:cs="Times New Roman"/>
          <w:szCs w:val="24"/>
        </w:rPr>
        <w:t>The Commission simply never</w:t>
      </w:r>
      <w:r w:rsidR="00390345" w:rsidRPr="00BE28D4">
        <w:rPr>
          <w:rFonts w:cs="Times New Roman"/>
          <w:szCs w:val="24"/>
        </w:rPr>
        <w:t xml:space="preserve"> address</w:t>
      </w:r>
      <w:r w:rsidR="00B66454" w:rsidRPr="00BE28D4">
        <w:rPr>
          <w:rFonts w:cs="Times New Roman"/>
          <w:szCs w:val="24"/>
        </w:rPr>
        <w:t>ed</w:t>
      </w:r>
      <w:r w:rsidR="00390345" w:rsidRPr="00BE28D4">
        <w:rPr>
          <w:rFonts w:cs="Times New Roman"/>
          <w:szCs w:val="24"/>
        </w:rPr>
        <w:t xml:space="preserve"> whether an asset-specific capital structure is appropriate to calculate allowable affiliate land rents.</w:t>
      </w:r>
      <w:r w:rsidR="009325BA" w:rsidRPr="00BE28D4">
        <w:rPr>
          <w:rFonts w:cs="Times New Roman"/>
          <w:szCs w:val="24"/>
        </w:rPr>
        <w:t xml:space="preserve">  At the very least</w:t>
      </w:r>
      <w:r w:rsidR="00390345" w:rsidRPr="00BE28D4">
        <w:rPr>
          <w:rFonts w:cs="Times New Roman"/>
          <w:szCs w:val="24"/>
        </w:rPr>
        <w:t>, the Commission did not address whether asset specific capital structures should apply universally to all affiliate rent transactions.</w:t>
      </w:r>
    </w:p>
    <w:p w14:paraId="4A729FC8" w14:textId="795F4F13" w:rsidR="006E5A1A" w:rsidRPr="00BE28D4" w:rsidRDefault="00BE28D4" w:rsidP="00BE28D4">
      <w:pPr>
        <w:pStyle w:val="ListParagraph"/>
        <w:numPr>
          <w:ilvl w:val="0"/>
          <w:numId w:val="32"/>
        </w:numPr>
        <w:spacing w:after="0" w:line="480" w:lineRule="auto"/>
        <w:rPr>
          <w:rFonts w:cs="Times New Roman"/>
          <w:szCs w:val="24"/>
        </w:rPr>
      </w:pPr>
      <w:r>
        <w:rPr>
          <w:rFonts w:cs="Times New Roman"/>
          <w:szCs w:val="24"/>
        </w:rPr>
        <w:tab/>
      </w:r>
      <w:r w:rsidR="00B66454" w:rsidRPr="00BE28D4">
        <w:rPr>
          <w:rFonts w:cs="Times New Roman"/>
          <w:szCs w:val="24"/>
        </w:rPr>
        <w:t xml:space="preserve">Both a plain reading of the Commission’s order in BKA and a brief examination of the underlying facts support Staff’s position that BKA does not require the use of an asset-specific capital structure in affiliate </w:t>
      </w:r>
      <w:r w:rsidR="009163AE" w:rsidRPr="00BE28D4">
        <w:rPr>
          <w:rFonts w:cs="Times New Roman"/>
          <w:szCs w:val="24"/>
        </w:rPr>
        <w:t xml:space="preserve">rent </w:t>
      </w:r>
      <w:r w:rsidR="00B66454" w:rsidRPr="00BE28D4">
        <w:rPr>
          <w:rFonts w:cs="Times New Roman"/>
          <w:szCs w:val="24"/>
        </w:rPr>
        <w:t xml:space="preserve">transactions.  </w:t>
      </w:r>
      <w:r w:rsidR="0002760F" w:rsidRPr="00BE28D4">
        <w:rPr>
          <w:rFonts w:cs="Times New Roman"/>
          <w:szCs w:val="24"/>
        </w:rPr>
        <w:t>First, n</w:t>
      </w:r>
      <w:r w:rsidR="002B197A" w:rsidRPr="00BE28D4">
        <w:rPr>
          <w:rFonts w:cs="Times New Roman"/>
          <w:szCs w:val="24"/>
        </w:rPr>
        <w:t xml:space="preserve">either the </w:t>
      </w:r>
      <w:r w:rsidR="00C93696" w:rsidRPr="00BE28D4">
        <w:rPr>
          <w:rFonts w:cs="Times New Roman"/>
          <w:szCs w:val="24"/>
        </w:rPr>
        <w:t>Commission’s order</w:t>
      </w:r>
      <w:r w:rsidR="002B197A" w:rsidRPr="00BE28D4">
        <w:rPr>
          <w:rFonts w:cs="Times New Roman"/>
          <w:szCs w:val="24"/>
        </w:rPr>
        <w:t xml:space="preserve"> </w:t>
      </w:r>
      <w:r w:rsidR="0002760F" w:rsidRPr="00BE28D4">
        <w:rPr>
          <w:rFonts w:cs="Times New Roman"/>
          <w:szCs w:val="24"/>
        </w:rPr>
        <w:t>n</w:t>
      </w:r>
      <w:r w:rsidR="002B197A" w:rsidRPr="00BE28D4">
        <w:rPr>
          <w:rFonts w:cs="Times New Roman"/>
          <w:szCs w:val="24"/>
        </w:rPr>
        <w:t xml:space="preserve">or any documentation in the record leading up to the Commission’s decision </w:t>
      </w:r>
      <w:r w:rsidR="00CC2A1C" w:rsidRPr="00BE28D4">
        <w:rPr>
          <w:rFonts w:cs="Times New Roman"/>
          <w:szCs w:val="24"/>
        </w:rPr>
        <w:t>requires or even discusses</w:t>
      </w:r>
      <w:r w:rsidR="002B197A" w:rsidRPr="00BE28D4">
        <w:rPr>
          <w:rFonts w:cs="Times New Roman"/>
          <w:szCs w:val="24"/>
        </w:rPr>
        <w:t xml:space="preserve"> an asset-specific capital structure.</w:t>
      </w:r>
      <w:r w:rsidR="008E41BF" w:rsidRPr="00735A6A">
        <w:rPr>
          <w:rStyle w:val="FootnoteReference"/>
          <w:rFonts w:cs="Times New Roman"/>
          <w:szCs w:val="24"/>
        </w:rPr>
        <w:footnoteReference w:id="58"/>
      </w:r>
      <w:r w:rsidR="0002760F" w:rsidRPr="00BE28D4">
        <w:rPr>
          <w:rFonts w:cs="Times New Roman"/>
          <w:szCs w:val="24"/>
        </w:rPr>
        <w:t xml:space="preserve">  Second, the present situation between WCI and its affiliates is </w:t>
      </w:r>
      <w:r w:rsidR="009325BA" w:rsidRPr="00BE28D4">
        <w:rPr>
          <w:rFonts w:cs="Times New Roman"/>
          <w:szCs w:val="24"/>
        </w:rPr>
        <w:t>distinguishable</w:t>
      </w:r>
      <w:r w:rsidR="0002760F" w:rsidRPr="00BE28D4">
        <w:rPr>
          <w:rFonts w:cs="Times New Roman"/>
          <w:szCs w:val="24"/>
        </w:rPr>
        <w:t xml:space="preserve"> from the BKA case.  The record in BKA </w:t>
      </w:r>
      <w:r w:rsidR="0025357D" w:rsidRPr="00BE28D4">
        <w:rPr>
          <w:rFonts w:cs="Times New Roman"/>
          <w:szCs w:val="24"/>
        </w:rPr>
        <w:t xml:space="preserve">indicates that the regulated entity and its owner did not have </w:t>
      </w:r>
      <w:r w:rsidR="00CC2A1C" w:rsidRPr="00BE28D4">
        <w:rPr>
          <w:rFonts w:cs="Times New Roman"/>
          <w:szCs w:val="24"/>
        </w:rPr>
        <w:t xml:space="preserve">multiple facilities, </w:t>
      </w:r>
      <w:r w:rsidR="0002760F" w:rsidRPr="00BE28D4">
        <w:rPr>
          <w:rFonts w:cs="Times New Roman"/>
          <w:szCs w:val="24"/>
        </w:rPr>
        <w:t xml:space="preserve">affiliate entities, non-regulated operations, </w:t>
      </w:r>
      <w:r w:rsidR="009163AE" w:rsidRPr="00BE28D4">
        <w:rPr>
          <w:rFonts w:cs="Times New Roman"/>
          <w:szCs w:val="24"/>
        </w:rPr>
        <w:t xml:space="preserve">the </w:t>
      </w:r>
      <w:r w:rsidR="0002760F" w:rsidRPr="00BE28D4">
        <w:rPr>
          <w:rFonts w:cs="Times New Roman"/>
          <w:szCs w:val="24"/>
        </w:rPr>
        <w:t xml:space="preserve">potential </w:t>
      </w:r>
      <w:r w:rsidR="009163AE" w:rsidRPr="00BE28D4">
        <w:rPr>
          <w:rFonts w:cs="Times New Roman"/>
          <w:szCs w:val="24"/>
        </w:rPr>
        <w:t xml:space="preserve">for </w:t>
      </w:r>
      <w:r w:rsidR="0002760F" w:rsidRPr="00BE28D4">
        <w:rPr>
          <w:rFonts w:cs="Times New Roman"/>
          <w:szCs w:val="24"/>
        </w:rPr>
        <w:t xml:space="preserve">cross subsidies, or </w:t>
      </w:r>
      <w:r w:rsidR="00226BEA" w:rsidRPr="00BE28D4">
        <w:rPr>
          <w:rFonts w:cs="Times New Roman"/>
          <w:szCs w:val="24"/>
        </w:rPr>
        <w:t>present an</w:t>
      </w:r>
      <w:r w:rsidR="004E19C4" w:rsidRPr="00BE28D4">
        <w:rPr>
          <w:rFonts w:cs="Times New Roman"/>
          <w:szCs w:val="24"/>
        </w:rPr>
        <w:t xml:space="preserve">y </w:t>
      </w:r>
      <w:r w:rsidR="0002760F" w:rsidRPr="00BE28D4">
        <w:rPr>
          <w:rFonts w:cs="Times New Roman"/>
          <w:szCs w:val="24"/>
        </w:rPr>
        <w:t xml:space="preserve">other regulatory concern that </w:t>
      </w:r>
      <w:r w:rsidR="00555C41" w:rsidRPr="00BE28D4">
        <w:rPr>
          <w:rFonts w:cs="Times New Roman"/>
          <w:szCs w:val="24"/>
        </w:rPr>
        <w:t>the owner would or could manipulate</w:t>
      </w:r>
      <w:r w:rsidR="0002760F" w:rsidRPr="00BE28D4">
        <w:rPr>
          <w:rFonts w:cs="Times New Roman"/>
          <w:szCs w:val="24"/>
        </w:rPr>
        <w:t xml:space="preserve"> ca</w:t>
      </w:r>
      <w:r w:rsidR="00555C41" w:rsidRPr="00BE28D4">
        <w:rPr>
          <w:rFonts w:cs="Times New Roman"/>
          <w:szCs w:val="24"/>
        </w:rPr>
        <w:t>pital structure to inflate affiliate lease</w:t>
      </w:r>
      <w:r w:rsidR="0002760F" w:rsidRPr="00BE28D4">
        <w:rPr>
          <w:rFonts w:cs="Times New Roman"/>
          <w:szCs w:val="24"/>
        </w:rPr>
        <w:t xml:space="preserve"> payments.</w:t>
      </w:r>
      <w:r w:rsidR="008E41BF" w:rsidRPr="00735A6A">
        <w:rPr>
          <w:rStyle w:val="FootnoteReference"/>
          <w:rFonts w:cs="Times New Roman"/>
          <w:szCs w:val="24"/>
        </w:rPr>
        <w:footnoteReference w:id="59"/>
      </w:r>
      <w:r w:rsidR="0002760F" w:rsidRPr="00BE28D4">
        <w:rPr>
          <w:rFonts w:cs="Times New Roman"/>
          <w:szCs w:val="24"/>
        </w:rPr>
        <w:t xml:space="preserve">  </w:t>
      </w:r>
      <w:r w:rsidR="00CC2A1C" w:rsidRPr="00BE28D4">
        <w:rPr>
          <w:rFonts w:cs="Times New Roman"/>
          <w:szCs w:val="24"/>
        </w:rPr>
        <w:t xml:space="preserve">In a scenario with one facility, one owner, and one business, </w:t>
      </w:r>
      <w:r w:rsidR="008E41BF" w:rsidRPr="00BE28D4">
        <w:rPr>
          <w:rFonts w:cs="Times New Roman"/>
          <w:szCs w:val="24"/>
        </w:rPr>
        <w:t xml:space="preserve">cross subsidies are not possible and </w:t>
      </w:r>
      <w:r w:rsidR="00BB1873" w:rsidRPr="00BE28D4">
        <w:rPr>
          <w:rFonts w:cs="Times New Roman"/>
          <w:szCs w:val="24"/>
        </w:rPr>
        <w:t>an asset-specific capital structure cann</w:t>
      </w:r>
      <w:r w:rsidR="00CC2A1C" w:rsidRPr="00BE28D4">
        <w:rPr>
          <w:rFonts w:cs="Times New Roman"/>
          <w:szCs w:val="24"/>
        </w:rPr>
        <w:t xml:space="preserve">ot raise questions of reasonableness under RCW 81.16.030.  </w:t>
      </w:r>
    </w:p>
    <w:p w14:paraId="4A729FC9" w14:textId="79C9145E" w:rsidR="0002760F" w:rsidRDefault="00BE28D4" w:rsidP="00BE28D4">
      <w:pPr>
        <w:pStyle w:val="ListParagraph"/>
        <w:numPr>
          <w:ilvl w:val="0"/>
          <w:numId w:val="32"/>
        </w:numPr>
        <w:spacing w:after="0" w:line="480" w:lineRule="auto"/>
        <w:rPr>
          <w:rFonts w:cs="Times New Roman"/>
          <w:szCs w:val="24"/>
        </w:rPr>
      </w:pPr>
      <w:r>
        <w:rPr>
          <w:rFonts w:cs="Times New Roman"/>
          <w:szCs w:val="24"/>
        </w:rPr>
        <w:tab/>
      </w:r>
      <w:r w:rsidR="004A20E5" w:rsidRPr="00BE28D4">
        <w:rPr>
          <w:rFonts w:cs="Times New Roman"/>
          <w:szCs w:val="24"/>
        </w:rPr>
        <w:t>In contrast</w:t>
      </w:r>
      <w:r w:rsidR="00555C41" w:rsidRPr="00BE28D4">
        <w:rPr>
          <w:rFonts w:cs="Times New Roman"/>
          <w:szCs w:val="24"/>
        </w:rPr>
        <w:t xml:space="preserve">, </w:t>
      </w:r>
      <w:r w:rsidR="007D3248" w:rsidRPr="00BE28D4">
        <w:rPr>
          <w:rFonts w:cs="Times New Roman"/>
          <w:szCs w:val="24"/>
        </w:rPr>
        <w:t>HBI and HBII</w:t>
      </w:r>
      <w:r w:rsidR="00555C41" w:rsidRPr="00BE28D4">
        <w:rPr>
          <w:rFonts w:cs="Times New Roman"/>
          <w:szCs w:val="24"/>
        </w:rPr>
        <w:t xml:space="preserve"> have </w:t>
      </w:r>
      <w:r w:rsidR="00D84153" w:rsidRPr="00BE28D4">
        <w:rPr>
          <w:rFonts w:cs="Times New Roman"/>
          <w:szCs w:val="24"/>
        </w:rPr>
        <w:t xml:space="preserve">several facilities, </w:t>
      </w:r>
      <w:r w:rsidR="00555C41" w:rsidRPr="00BE28D4">
        <w:rPr>
          <w:rFonts w:cs="Times New Roman"/>
          <w:szCs w:val="24"/>
        </w:rPr>
        <w:t>numerous affiliates, can manipulate capital structures for regulated and non-regulated facilities, their affiliates conduct non-regulated operations</w:t>
      </w:r>
      <w:r w:rsidR="00CC2A1C" w:rsidRPr="00BE28D4">
        <w:rPr>
          <w:rFonts w:cs="Times New Roman"/>
          <w:szCs w:val="24"/>
        </w:rPr>
        <w:t xml:space="preserve"> in the same or similar industries</w:t>
      </w:r>
      <w:r w:rsidR="00555C41" w:rsidRPr="00BE28D4">
        <w:rPr>
          <w:rFonts w:cs="Times New Roman"/>
          <w:szCs w:val="24"/>
        </w:rPr>
        <w:t>, and there is an inherent incentive to create cross subsidies</w:t>
      </w:r>
      <w:r w:rsidR="003111BE" w:rsidRPr="00BE28D4">
        <w:rPr>
          <w:rFonts w:cs="Times New Roman"/>
          <w:szCs w:val="24"/>
        </w:rPr>
        <w:t xml:space="preserve"> between regulated and non-regulated entities</w:t>
      </w:r>
      <w:r w:rsidR="009325BA" w:rsidRPr="00BE28D4">
        <w:rPr>
          <w:rFonts w:cs="Times New Roman"/>
          <w:szCs w:val="24"/>
        </w:rPr>
        <w:t xml:space="preserve">.  </w:t>
      </w:r>
      <w:r w:rsidR="00CC2A1C" w:rsidRPr="00BE28D4">
        <w:rPr>
          <w:rFonts w:cs="Times New Roman"/>
          <w:szCs w:val="24"/>
        </w:rPr>
        <w:t>Therefore, using an asset</w:t>
      </w:r>
      <w:r w:rsidR="00226BEA" w:rsidRPr="00BE28D4">
        <w:rPr>
          <w:rFonts w:cs="Times New Roman"/>
          <w:szCs w:val="24"/>
        </w:rPr>
        <w:t>-</w:t>
      </w:r>
      <w:r w:rsidR="00CC2A1C" w:rsidRPr="00BE28D4">
        <w:rPr>
          <w:rFonts w:cs="Times New Roman"/>
          <w:szCs w:val="24"/>
        </w:rPr>
        <w:t xml:space="preserve">specific capital structure </w:t>
      </w:r>
      <w:r w:rsidR="0071225A" w:rsidRPr="00BE28D4">
        <w:rPr>
          <w:rFonts w:cs="Times New Roman"/>
          <w:szCs w:val="24"/>
        </w:rPr>
        <w:t xml:space="preserve">for HBI and HBII in this case </w:t>
      </w:r>
      <w:r w:rsidR="00CC2A1C" w:rsidRPr="00BE28D4">
        <w:rPr>
          <w:rFonts w:cs="Times New Roman"/>
          <w:szCs w:val="24"/>
        </w:rPr>
        <w:t xml:space="preserve">does not establish a reasonable result or in any way alleviate </w:t>
      </w:r>
      <w:r w:rsidR="007D3248" w:rsidRPr="00BE28D4">
        <w:rPr>
          <w:rFonts w:cs="Times New Roman"/>
          <w:szCs w:val="24"/>
        </w:rPr>
        <w:t xml:space="preserve">the </w:t>
      </w:r>
      <w:r w:rsidR="00CC2A1C" w:rsidRPr="00BE28D4">
        <w:rPr>
          <w:rFonts w:cs="Times New Roman"/>
          <w:szCs w:val="24"/>
        </w:rPr>
        <w:t>regulatory concerns</w:t>
      </w:r>
      <w:r w:rsidR="006E5A1A" w:rsidRPr="00BE28D4">
        <w:rPr>
          <w:rFonts w:cs="Times New Roman"/>
          <w:szCs w:val="24"/>
        </w:rPr>
        <w:t xml:space="preserve"> over cross subsidies</w:t>
      </w:r>
      <w:r w:rsidR="007D3248" w:rsidRPr="00BE28D4">
        <w:rPr>
          <w:rFonts w:cs="Times New Roman"/>
          <w:szCs w:val="24"/>
        </w:rPr>
        <w:t xml:space="preserve"> underlying RCW 81.16.030</w:t>
      </w:r>
      <w:r w:rsidR="00CC2A1C" w:rsidRPr="00BE28D4">
        <w:rPr>
          <w:rFonts w:cs="Times New Roman"/>
          <w:szCs w:val="24"/>
        </w:rPr>
        <w:t xml:space="preserve">.  </w:t>
      </w:r>
      <w:r w:rsidR="00D84153" w:rsidRPr="00BE28D4">
        <w:rPr>
          <w:rFonts w:cs="Times New Roman"/>
          <w:szCs w:val="24"/>
        </w:rPr>
        <w:t>U</w:t>
      </w:r>
      <w:r w:rsidR="009325BA" w:rsidRPr="00BE28D4">
        <w:rPr>
          <w:rFonts w:cs="Times New Roman"/>
          <w:szCs w:val="24"/>
        </w:rPr>
        <w:t xml:space="preserve">nder any reasonable reading of the Commission’s order, </w:t>
      </w:r>
      <w:r w:rsidR="0088694B" w:rsidRPr="00BE28D4">
        <w:rPr>
          <w:rFonts w:cs="Times New Roman"/>
          <w:szCs w:val="24"/>
        </w:rPr>
        <w:t xml:space="preserve">BKA </w:t>
      </w:r>
      <w:r w:rsidR="009325BA" w:rsidRPr="00BE28D4">
        <w:rPr>
          <w:rFonts w:cs="Times New Roman"/>
          <w:szCs w:val="24"/>
        </w:rPr>
        <w:t>does not mandate</w:t>
      </w:r>
      <w:r w:rsidR="0088694B" w:rsidRPr="00BE28D4">
        <w:rPr>
          <w:rFonts w:cs="Times New Roman"/>
          <w:szCs w:val="24"/>
        </w:rPr>
        <w:t xml:space="preserve"> or </w:t>
      </w:r>
      <w:r w:rsidR="009325BA" w:rsidRPr="00BE28D4">
        <w:rPr>
          <w:rFonts w:cs="Times New Roman"/>
          <w:szCs w:val="24"/>
        </w:rPr>
        <w:t>support</w:t>
      </w:r>
      <w:r w:rsidR="0088694B" w:rsidRPr="00BE28D4">
        <w:rPr>
          <w:rFonts w:cs="Times New Roman"/>
          <w:szCs w:val="24"/>
        </w:rPr>
        <w:t xml:space="preserve"> an asset</w:t>
      </w:r>
      <w:r w:rsidR="009325BA" w:rsidRPr="00BE28D4">
        <w:rPr>
          <w:rFonts w:cs="Times New Roman"/>
          <w:szCs w:val="24"/>
        </w:rPr>
        <w:t xml:space="preserve">-specific capital structure to </w:t>
      </w:r>
      <w:r w:rsidR="0088694B" w:rsidRPr="00BE28D4">
        <w:rPr>
          <w:rFonts w:cs="Times New Roman"/>
          <w:szCs w:val="24"/>
        </w:rPr>
        <w:t>calculate affiliate lease payments in this</w:t>
      </w:r>
      <w:r w:rsidR="004A20E5" w:rsidRPr="00BE28D4">
        <w:rPr>
          <w:rFonts w:cs="Times New Roman"/>
          <w:szCs w:val="24"/>
        </w:rPr>
        <w:t>, or any other,</w:t>
      </w:r>
      <w:r w:rsidR="0088694B" w:rsidRPr="00BE28D4">
        <w:rPr>
          <w:rFonts w:cs="Times New Roman"/>
          <w:szCs w:val="24"/>
        </w:rPr>
        <w:t xml:space="preserve"> case. </w:t>
      </w:r>
      <w:r w:rsidR="00555C41" w:rsidRPr="00BE28D4">
        <w:rPr>
          <w:rFonts w:cs="Times New Roman"/>
          <w:szCs w:val="24"/>
        </w:rPr>
        <w:t xml:space="preserve"> </w:t>
      </w:r>
      <w:r w:rsidR="00CE23E7" w:rsidRPr="00BE28D4">
        <w:rPr>
          <w:rFonts w:cs="Times New Roman"/>
          <w:szCs w:val="24"/>
        </w:rPr>
        <w:t xml:space="preserve">The Commission reviews each case on its unique facts and surrounding circumstances, and a previous decision under one set of facts is not binding on the Commission in all situations. </w:t>
      </w:r>
    </w:p>
    <w:p w14:paraId="7E395D9C" w14:textId="048D60D5" w:rsidR="00BE28D4" w:rsidRPr="00BE28D4" w:rsidRDefault="003F3D04" w:rsidP="00BE28D4">
      <w:pPr>
        <w:pStyle w:val="ListParagraph"/>
        <w:spacing w:after="0" w:line="480" w:lineRule="auto"/>
        <w:ind w:left="0" w:firstLine="720"/>
        <w:rPr>
          <w:rFonts w:cs="Times New Roman"/>
          <w:b/>
          <w:szCs w:val="24"/>
        </w:rPr>
      </w:pPr>
      <w:r>
        <w:rPr>
          <w:rFonts w:cs="Times New Roman"/>
          <w:b/>
          <w:szCs w:val="24"/>
        </w:rPr>
        <w:t>3</w:t>
      </w:r>
      <w:r w:rsidR="00BE28D4">
        <w:rPr>
          <w:rFonts w:cs="Times New Roman"/>
          <w:b/>
          <w:szCs w:val="24"/>
        </w:rPr>
        <w:t>.</w:t>
      </w:r>
      <w:r w:rsidR="00BE28D4">
        <w:rPr>
          <w:rFonts w:cs="Times New Roman"/>
          <w:b/>
          <w:szCs w:val="24"/>
        </w:rPr>
        <w:tab/>
      </w:r>
      <w:r w:rsidR="00BE28D4" w:rsidRPr="00BE28D4">
        <w:rPr>
          <w:rFonts w:cs="Times New Roman"/>
          <w:b/>
          <w:szCs w:val="24"/>
        </w:rPr>
        <w:t>WCI’s alternative proposal</w:t>
      </w:r>
      <w:r w:rsidR="00830B32">
        <w:rPr>
          <w:rFonts w:cs="Times New Roman"/>
          <w:b/>
          <w:szCs w:val="24"/>
        </w:rPr>
        <w:t>.</w:t>
      </w:r>
    </w:p>
    <w:p w14:paraId="4A729FCB" w14:textId="3ACE7244" w:rsidR="00390345" w:rsidRDefault="009464A8" w:rsidP="00735A6A">
      <w:pPr>
        <w:pStyle w:val="ListParagraph"/>
        <w:numPr>
          <w:ilvl w:val="0"/>
          <w:numId w:val="32"/>
        </w:numPr>
        <w:spacing w:after="0" w:line="480" w:lineRule="auto"/>
        <w:rPr>
          <w:rFonts w:cs="Times New Roman"/>
          <w:szCs w:val="24"/>
        </w:rPr>
      </w:pPr>
      <w:r w:rsidRPr="00BE28D4">
        <w:rPr>
          <w:rFonts w:cs="Times New Roman"/>
          <w:szCs w:val="24"/>
        </w:rPr>
        <w:tab/>
        <w:t xml:space="preserve">WCI </w:t>
      </w:r>
      <w:r w:rsidR="00555C41" w:rsidRPr="00BE28D4">
        <w:rPr>
          <w:rFonts w:cs="Times New Roman"/>
          <w:szCs w:val="24"/>
        </w:rPr>
        <w:t>alternatively proposes to use WCI’s capital structure</w:t>
      </w:r>
      <w:r w:rsidRPr="00BE28D4">
        <w:rPr>
          <w:rFonts w:cs="Times New Roman"/>
          <w:szCs w:val="24"/>
        </w:rPr>
        <w:t xml:space="preserve"> for calculating an affiliate lease payment</w:t>
      </w:r>
      <w:r w:rsidR="00555C41" w:rsidRPr="00BE28D4">
        <w:rPr>
          <w:rFonts w:cs="Times New Roman"/>
          <w:szCs w:val="24"/>
        </w:rPr>
        <w:t>.</w:t>
      </w:r>
      <w:r w:rsidRPr="00735A6A">
        <w:rPr>
          <w:rStyle w:val="FootnoteReference"/>
          <w:rFonts w:cs="Times New Roman"/>
          <w:szCs w:val="24"/>
        </w:rPr>
        <w:footnoteReference w:id="60"/>
      </w:r>
      <w:r w:rsidRPr="00BE28D4">
        <w:rPr>
          <w:rFonts w:cs="Times New Roman"/>
          <w:szCs w:val="24"/>
        </w:rPr>
        <w:t xml:space="preserve">  Calculating an appropriate </w:t>
      </w:r>
      <w:r w:rsidR="00D83088" w:rsidRPr="00BE28D4">
        <w:rPr>
          <w:rFonts w:cs="Times New Roman"/>
          <w:szCs w:val="24"/>
        </w:rPr>
        <w:t>cost-plus-return</w:t>
      </w:r>
      <w:r w:rsidRPr="00BE28D4">
        <w:rPr>
          <w:rFonts w:cs="Times New Roman"/>
          <w:szCs w:val="24"/>
        </w:rPr>
        <w:t xml:space="preserve"> on the basis of the tenant rather than </w:t>
      </w:r>
      <w:r w:rsidR="00D84153" w:rsidRPr="00BE28D4">
        <w:rPr>
          <w:rFonts w:cs="Times New Roman"/>
          <w:szCs w:val="24"/>
        </w:rPr>
        <w:t xml:space="preserve">the </w:t>
      </w:r>
      <w:r w:rsidRPr="00BE28D4">
        <w:rPr>
          <w:rFonts w:cs="Times New Roman"/>
          <w:szCs w:val="24"/>
        </w:rPr>
        <w:t>landlord violates basic accounting and common sense.  Cost</w:t>
      </w:r>
      <w:r w:rsidR="006E5A1A" w:rsidRPr="00BE28D4">
        <w:rPr>
          <w:rFonts w:cs="Times New Roman"/>
          <w:szCs w:val="24"/>
        </w:rPr>
        <w:t>-</w:t>
      </w:r>
      <w:r w:rsidRPr="00BE28D4">
        <w:rPr>
          <w:rFonts w:cs="Times New Roman"/>
          <w:szCs w:val="24"/>
        </w:rPr>
        <w:t>plus</w:t>
      </w:r>
      <w:r w:rsidR="006E5A1A" w:rsidRPr="00BE28D4">
        <w:rPr>
          <w:rFonts w:cs="Times New Roman"/>
          <w:szCs w:val="24"/>
        </w:rPr>
        <w:t>-</w:t>
      </w:r>
      <w:r w:rsidRPr="00BE28D4">
        <w:rPr>
          <w:rFonts w:cs="Times New Roman"/>
          <w:szCs w:val="24"/>
        </w:rPr>
        <w:t>return is fundamentally tied to the entity that incurs the cost and receives the return</w:t>
      </w:r>
      <w:r w:rsidR="006E5A1A" w:rsidRPr="00BE28D4">
        <w:rPr>
          <w:rFonts w:cs="Times New Roman"/>
          <w:szCs w:val="24"/>
        </w:rPr>
        <w:t xml:space="preserve"> (i.e. the landlord)</w:t>
      </w:r>
      <w:r w:rsidRPr="00BE28D4">
        <w:rPr>
          <w:rFonts w:cs="Times New Roman"/>
          <w:szCs w:val="24"/>
        </w:rPr>
        <w:t xml:space="preserve">.  </w:t>
      </w:r>
      <w:r w:rsidR="00554103" w:rsidRPr="00BE28D4">
        <w:rPr>
          <w:rFonts w:cs="Times New Roman"/>
          <w:szCs w:val="24"/>
        </w:rPr>
        <w:t>WCI</w:t>
      </w:r>
      <w:r w:rsidR="00B42748" w:rsidRPr="00BE28D4">
        <w:rPr>
          <w:rFonts w:cs="Times New Roman"/>
          <w:szCs w:val="24"/>
        </w:rPr>
        <w:t xml:space="preserve"> has not supported its novel proposal with any policy narrative, accounting or regulatory principle, or Commission precedent. </w:t>
      </w:r>
      <w:r w:rsidR="00AF1F53" w:rsidRPr="00BE28D4">
        <w:rPr>
          <w:rFonts w:cs="Times New Roman"/>
          <w:szCs w:val="24"/>
        </w:rPr>
        <w:t xml:space="preserve"> </w:t>
      </w:r>
      <w:r w:rsidR="00B42748" w:rsidRPr="00BE28D4">
        <w:rPr>
          <w:rFonts w:cs="Times New Roman"/>
          <w:szCs w:val="24"/>
        </w:rPr>
        <w:t>Therefore, the Commission should reject WCI’s alternative</w:t>
      </w:r>
      <w:r w:rsidR="00390345" w:rsidRPr="00BE28D4">
        <w:rPr>
          <w:rFonts w:cs="Times New Roman"/>
          <w:szCs w:val="24"/>
        </w:rPr>
        <w:t xml:space="preserve"> proposal to calculate an appropriate </w:t>
      </w:r>
      <w:r w:rsidR="00D83088" w:rsidRPr="00BE28D4">
        <w:rPr>
          <w:rFonts w:cs="Times New Roman"/>
          <w:szCs w:val="24"/>
        </w:rPr>
        <w:t>cost-plus-return</w:t>
      </w:r>
      <w:r w:rsidR="00390345" w:rsidRPr="00BE28D4">
        <w:rPr>
          <w:rFonts w:cs="Times New Roman"/>
          <w:szCs w:val="24"/>
        </w:rPr>
        <w:t xml:space="preserve"> on the basis of the tenant’</w:t>
      </w:r>
      <w:r w:rsidR="0088694B" w:rsidRPr="00BE28D4">
        <w:rPr>
          <w:rFonts w:cs="Times New Roman"/>
          <w:szCs w:val="24"/>
        </w:rPr>
        <w:t>s financial structure</w:t>
      </w:r>
      <w:r w:rsidR="00390345" w:rsidRPr="00BE28D4">
        <w:rPr>
          <w:rFonts w:cs="Times New Roman"/>
          <w:szCs w:val="24"/>
        </w:rPr>
        <w:t>.</w:t>
      </w:r>
    </w:p>
    <w:p w14:paraId="7E00B15F" w14:textId="0040F6D1" w:rsidR="00BE28D4" w:rsidRPr="00BE28D4" w:rsidRDefault="00BE28D4" w:rsidP="00BE28D4">
      <w:pPr>
        <w:spacing w:after="0" w:line="480" w:lineRule="auto"/>
        <w:rPr>
          <w:rFonts w:cs="Times New Roman"/>
          <w:b/>
          <w:szCs w:val="24"/>
        </w:rPr>
      </w:pPr>
      <w:r>
        <w:rPr>
          <w:rFonts w:cs="Times New Roman"/>
          <w:b/>
          <w:szCs w:val="24"/>
        </w:rPr>
        <w:t>C.</w:t>
      </w:r>
      <w:r>
        <w:rPr>
          <w:rFonts w:cs="Times New Roman"/>
          <w:b/>
          <w:szCs w:val="24"/>
        </w:rPr>
        <w:tab/>
      </w:r>
      <w:r w:rsidRPr="00BE28D4">
        <w:rPr>
          <w:rFonts w:cs="Times New Roman"/>
          <w:b/>
          <w:szCs w:val="24"/>
        </w:rPr>
        <w:t>Cost of Debt</w:t>
      </w:r>
    </w:p>
    <w:p w14:paraId="49A0D9C0" w14:textId="5FA9A03D" w:rsidR="00BE28D4" w:rsidRPr="00BE28D4" w:rsidRDefault="00BE28D4" w:rsidP="00BE28D4">
      <w:pPr>
        <w:pStyle w:val="ListParagraph"/>
        <w:spacing w:after="0" w:line="480" w:lineRule="auto"/>
        <w:ind w:left="0"/>
        <w:rPr>
          <w:rFonts w:cs="Times New Roman"/>
          <w:b/>
          <w:szCs w:val="24"/>
        </w:rPr>
      </w:pPr>
      <w:r>
        <w:rPr>
          <w:rFonts w:cs="Times New Roman"/>
          <w:b/>
          <w:szCs w:val="24"/>
        </w:rPr>
        <w:tab/>
        <w:t>1.</w:t>
      </w:r>
      <w:r>
        <w:rPr>
          <w:rFonts w:cs="Times New Roman"/>
          <w:b/>
          <w:szCs w:val="24"/>
        </w:rPr>
        <w:tab/>
        <w:t>Overview</w:t>
      </w:r>
      <w:r w:rsidR="00830B32">
        <w:rPr>
          <w:rFonts w:cs="Times New Roman"/>
          <w:b/>
          <w:szCs w:val="24"/>
        </w:rPr>
        <w:t>.</w:t>
      </w:r>
    </w:p>
    <w:p w14:paraId="4A729FCE" w14:textId="66650B28" w:rsidR="00707471" w:rsidRDefault="00BE28D4" w:rsidP="00BE28D4">
      <w:pPr>
        <w:pStyle w:val="ListParagraph"/>
        <w:numPr>
          <w:ilvl w:val="0"/>
          <w:numId w:val="32"/>
        </w:numPr>
        <w:spacing w:after="0" w:line="480" w:lineRule="auto"/>
        <w:rPr>
          <w:rFonts w:cs="Times New Roman"/>
          <w:szCs w:val="24"/>
        </w:rPr>
      </w:pPr>
      <w:r>
        <w:rPr>
          <w:rFonts w:cs="Times New Roman"/>
          <w:szCs w:val="24"/>
        </w:rPr>
        <w:tab/>
      </w:r>
      <w:r w:rsidR="00AF1F53" w:rsidRPr="00BE28D4">
        <w:rPr>
          <w:rFonts w:cs="Times New Roman"/>
          <w:szCs w:val="24"/>
        </w:rPr>
        <w:t>Staff recommends the Commission use HBI and HBII’</w:t>
      </w:r>
      <w:r w:rsidR="00C93696" w:rsidRPr="00BE28D4">
        <w:rPr>
          <w:rFonts w:cs="Times New Roman"/>
          <w:szCs w:val="24"/>
        </w:rPr>
        <w:t xml:space="preserve">s actual costs of debt, </w:t>
      </w:r>
      <w:r w:rsidR="009163AE" w:rsidRPr="00BE28D4">
        <w:rPr>
          <w:rFonts w:cs="Times New Roman"/>
          <w:szCs w:val="24"/>
        </w:rPr>
        <w:t>2.2</w:t>
      </w:r>
      <w:r w:rsidR="00BB16C4" w:rsidRPr="00BE28D4">
        <w:rPr>
          <w:rFonts w:cs="Times New Roman"/>
          <w:szCs w:val="24"/>
        </w:rPr>
        <w:t xml:space="preserve"> percent</w:t>
      </w:r>
      <w:r w:rsidR="00C93696" w:rsidRPr="00BE28D4">
        <w:rPr>
          <w:rFonts w:cs="Times New Roman"/>
          <w:szCs w:val="24"/>
        </w:rPr>
        <w:t xml:space="preserve"> and 4.</w:t>
      </w:r>
      <w:r w:rsidR="009163AE" w:rsidRPr="00BE28D4">
        <w:rPr>
          <w:rFonts w:cs="Times New Roman"/>
          <w:szCs w:val="24"/>
        </w:rPr>
        <w:t>3</w:t>
      </w:r>
      <w:r w:rsidR="00BB16C4" w:rsidRPr="00BE28D4">
        <w:rPr>
          <w:rFonts w:cs="Times New Roman"/>
          <w:szCs w:val="24"/>
        </w:rPr>
        <w:t xml:space="preserve"> percent</w:t>
      </w:r>
      <w:r w:rsidR="00D41B08" w:rsidRPr="00BE28D4">
        <w:rPr>
          <w:rFonts w:cs="Times New Roman"/>
          <w:szCs w:val="24"/>
        </w:rPr>
        <w:t xml:space="preserve">, respectively.  </w:t>
      </w:r>
      <w:r w:rsidR="00A41460" w:rsidRPr="00BE28D4">
        <w:rPr>
          <w:rFonts w:cs="Times New Roman"/>
          <w:szCs w:val="24"/>
        </w:rPr>
        <w:t xml:space="preserve">WCI </w:t>
      </w:r>
      <w:r w:rsidR="002A4EB6" w:rsidRPr="00BE28D4">
        <w:rPr>
          <w:rFonts w:cs="Times New Roman"/>
          <w:szCs w:val="24"/>
        </w:rPr>
        <w:t xml:space="preserve">proposes </w:t>
      </w:r>
      <w:r w:rsidR="00A41460" w:rsidRPr="00BE28D4">
        <w:rPr>
          <w:rFonts w:cs="Times New Roman"/>
          <w:szCs w:val="24"/>
        </w:rPr>
        <w:t>a</w:t>
      </w:r>
      <w:r w:rsidR="00F22909" w:rsidRPr="00BE28D4">
        <w:rPr>
          <w:rFonts w:cs="Times New Roman"/>
          <w:szCs w:val="24"/>
        </w:rPr>
        <w:t>n</w:t>
      </w:r>
      <w:r w:rsidR="002A4EB6" w:rsidRPr="00BE28D4">
        <w:rPr>
          <w:rFonts w:cs="Times New Roman"/>
          <w:szCs w:val="24"/>
        </w:rPr>
        <w:t xml:space="preserve"> </w:t>
      </w:r>
      <w:r w:rsidR="00F22909" w:rsidRPr="00BE28D4">
        <w:rPr>
          <w:rFonts w:cs="Times New Roman"/>
          <w:szCs w:val="24"/>
        </w:rPr>
        <w:t>asset</w:t>
      </w:r>
      <w:r w:rsidR="002A4EB6" w:rsidRPr="00BE28D4">
        <w:rPr>
          <w:rFonts w:cs="Times New Roman"/>
          <w:szCs w:val="24"/>
        </w:rPr>
        <w:t>-specific</w:t>
      </w:r>
      <w:r w:rsidR="00A41460" w:rsidRPr="00BE28D4">
        <w:rPr>
          <w:rFonts w:cs="Times New Roman"/>
          <w:szCs w:val="24"/>
        </w:rPr>
        <w:t xml:space="preserve"> cost of debt</w:t>
      </w:r>
      <w:r w:rsidR="008A6AFA" w:rsidRPr="00BE28D4">
        <w:rPr>
          <w:rFonts w:cs="Times New Roman"/>
          <w:szCs w:val="24"/>
        </w:rPr>
        <w:t>.</w:t>
      </w:r>
      <w:r w:rsidR="00A41460" w:rsidRPr="00BE28D4">
        <w:rPr>
          <w:rFonts w:cs="Times New Roman"/>
          <w:szCs w:val="24"/>
        </w:rPr>
        <w:t xml:space="preserve"> </w:t>
      </w:r>
      <w:r w:rsidR="00C841CB" w:rsidRPr="00BE28D4">
        <w:rPr>
          <w:rFonts w:cs="Times New Roman"/>
          <w:szCs w:val="24"/>
        </w:rPr>
        <w:t xml:space="preserve"> </w:t>
      </w:r>
      <w:r w:rsidR="008A6AFA" w:rsidRPr="00BE28D4">
        <w:rPr>
          <w:rFonts w:cs="Times New Roman"/>
          <w:szCs w:val="24"/>
        </w:rPr>
        <w:t>T</w:t>
      </w:r>
      <w:r w:rsidR="00A41460" w:rsidRPr="00BE28D4">
        <w:rPr>
          <w:rFonts w:cs="Times New Roman"/>
          <w:szCs w:val="24"/>
        </w:rPr>
        <w:t>he rebuttal testimony of Ms. Davis proposes an asset-specific</w:t>
      </w:r>
      <w:r w:rsidR="00707471" w:rsidRPr="00735A6A">
        <w:rPr>
          <w:rStyle w:val="FootnoteReference"/>
          <w:rFonts w:cs="Times New Roman"/>
          <w:szCs w:val="24"/>
        </w:rPr>
        <w:footnoteReference w:id="61"/>
      </w:r>
      <w:r w:rsidR="00A41460" w:rsidRPr="00BE28D4">
        <w:rPr>
          <w:rFonts w:cs="Times New Roman"/>
          <w:szCs w:val="24"/>
        </w:rPr>
        <w:t xml:space="preserve"> cost of debt</w:t>
      </w:r>
      <w:r w:rsidR="00707471" w:rsidRPr="00BE28D4">
        <w:rPr>
          <w:rFonts w:cs="Times New Roman"/>
          <w:szCs w:val="24"/>
        </w:rPr>
        <w:t xml:space="preserve"> o</w:t>
      </w:r>
      <w:r w:rsidR="008A6AFA" w:rsidRPr="00BE28D4">
        <w:rPr>
          <w:rFonts w:cs="Times New Roman"/>
          <w:szCs w:val="24"/>
        </w:rPr>
        <w:t>f</w:t>
      </w:r>
      <w:r w:rsidR="00707471" w:rsidRPr="00BE28D4">
        <w:rPr>
          <w:rFonts w:cs="Times New Roman"/>
          <w:szCs w:val="24"/>
        </w:rPr>
        <w:t xml:space="preserve"> 2.635</w:t>
      </w:r>
      <w:r w:rsidR="00BB16C4" w:rsidRPr="00BE28D4">
        <w:rPr>
          <w:rFonts w:cs="Times New Roman"/>
          <w:szCs w:val="24"/>
        </w:rPr>
        <w:t xml:space="preserve"> percent</w:t>
      </w:r>
      <w:r w:rsidR="00707471" w:rsidRPr="00BE28D4">
        <w:rPr>
          <w:rFonts w:cs="Times New Roman"/>
          <w:szCs w:val="24"/>
        </w:rPr>
        <w:t xml:space="preserve"> </w:t>
      </w:r>
      <w:r w:rsidR="008A6AFA" w:rsidRPr="00BE28D4">
        <w:rPr>
          <w:rFonts w:cs="Times New Roman"/>
          <w:szCs w:val="24"/>
        </w:rPr>
        <w:t>for two of HBI properties, zero percent for the remaining HBI properties, and 5.27 percent for the HBII property</w:t>
      </w:r>
      <w:r w:rsidR="00707471" w:rsidRPr="00BE28D4">
        <w:rPr>
          <w:rFonts w:cs="Times New Roman"/>
          <w:szCs w:val="24"/>
        </w:rPr>
        <w:t>.</w:t>
      </w:r>
      <w:r w:rsidR="00707471" w:rsidRPr="00735A6A">
        <w:rPr>
          <w:rStyle w:val="FootnoteReference"/>
          <w:rFonts w:cs="Times New Roman"/>
          <w:szCs w:val="24"/>
        </w:rPr>
        <w:footnoteReference w:id="62"/>
      </w:r>
      <w:r w:rsidR="00707471" w:rsidRPr="00BE28D4">
        <w:rPr>
          <w:rFonts w:cs="Times New Roman"/>
          <w:szCs w:val="24"/>
        </w:rPr>
        <w:t xml:space="preserve">  Ms. Davis’s proposal is based on apportioning a specific portion of HBI</w:t>
      </w:r>
      <w:r w:rsidR="005F16EF" w:rsidRPr="00BE28D4">
        <w:rPr>
          <w:rFonts w:cs="Times New Roman"/>
          <w:szCs w:val="24"/>
        </w:rPr>
        <w:t xml:space="preserve"> and HBII</w:t>
      </w:r>
      <w:r w:rsidR="00707471" w:rsidRPr="00BE28D4">
        <w:rPr>
          <w:rFonts w:cs="Times New Roman"/>
          <w:szCs w:val="24"/>
        </w:rPr>
        <w:t>’s debt obligations to facilities leased to WCI</w:t>
      </w:r>
      <w:r w:rsidR="007A3358">
        <w:rPr>
          <w:rFonts w:cs="Times New Roman"/>
          <w:szCs w:val="24"/>
        </w:rPr>
        <w:t>,</w:t>
      </w:r>
      <w:r w:rsidR="00707471" w:rsidRPr="00BE28D4">
        <w:rPr>
          <w:rFonts w:cs="Times New Roman"/>
          <w:szCs w:val="24"/>
        </w:rPr>
        <w:t xml:space="preserve"> and </w:t>
      </w:r>
      <w:r w:rsidR="00C841CB" w:rsidRPr="00BE28D4">
        <w:rPr>
          <w:rFonts w:cs="Times New Roman"/>
          <w:szCs w:val="24"/>
        </w:rPr>
        <w:t xml:space="preserve">appears </w:t>
      </w:r>
      <w:r w:rsidR="00707471" w:rsidRPr="00BE28D4">
        <w:rPr>
          <w:rFonts w:cs="Times New Roman"/>
          <w:szCs w:val="24"/>
        </w:rPr>
        <w:t>conditioned on Staff’s acceptance of an asset-specific capital structure.</w:t>
      </w:r>
      <w:r w:rsidR="00707471" w:rsidRPr="00735A6A">
        <w:rPr>
          <w:rStyle w:val="FootnoteReference"/>
          <w:rFonts w:cs="Times New Roman"/>
          <w:szCs w:val="24"/>
        </w:rPr>
        <w:footnoteReference w:id="63"/>
      </w:r>
      <w:r w:rsidR="00707471" w:rsidRPr="00BE28D4">
        <w:rPr>
          <w:rFonts w:cs="Times New Roman"/>
          <w:szCs w:val="24"/>
        </w:rPr>
        <w:t xml:space="preserve">  </w:t>
      </w:r>
    </w:p>
    <w:p w14:paraId="1A1D6163" w14:textId="02E834EF" w:rsidR="00BE28D4" w:rsidRPr="00BE28D4" w:rsidRDefault="00BE28D4" w:rsidP="00BE28D4">
      <w:pPr>
        <w:pStyle w:val="ListParagraph"/>
        <w:spacing w:after="0" w:line="480" w:lineRule="auto"/>
        <w:ind w:left="0"/>
        <w:rPr>
          <w:rFonts w:cs="Times New Roman"/>
          <w:b/>
          <w:szCs w:val="24"/>
        </w:rPr>
      </w:pPr>
      <w:r>
        <w:rPr>
          <w:rFonts w:cs="Times New Roman"/>
          <w:b/>
          <w:szCs w:val="24"/>
        </w:rPr>
        <w:tab/>
        <w:t>2.</w:t>
      </w:r>
      <w:r>
        <w:rPr>
          <w:rFonts w:cs="Times New Roman"/>
          <w:b/>
          <w:szCs w:val="24"/>
        </w:rPr>
        <w:tab/>
      </w:r>
      <w:r w:rsidRPr="00BE28D4">
        <w:rPr>
          <w:rFonts w:cs="Times New Roman"/>
          <w:b/>
          <w:szCs w:val="24"/>
        </w:rPr>
        <w:t xml:space="preserve">Fundamental </w:t>
      </w:r>
      <w:r w:rsidR="00830B32">
        <w:rPr>
          <w:rFonts w:cs="Times New Roman"/>
          <w:b/>
          <w:szCs w:val="24"/>
        </w:rPr>
        <w:t>p</w:t>
      </w:r>
      <w:r w:rsidRPr="00BE28D4">
        <w:rPr>
          <w:rFonts w:cs="Times New Roman"/>
          <w:b/>
          <w:szCs w:val="24"/>
        </w:rPr>
        <w:t>rinciple</w:t>
      </w:r>
      <w:r w:rsidR="00830B32">
        <w:rPr>
          <w:rFonts w:cs="Times New Roman"/>
          <w:b/>
          <w:szCs w:val="24"/>
        </w:rPr>
        <w:t>.</w:t>
      </w:r>
    </w:p>
    <w:p w14:paraId="4A729FD0" w14:textId="45CB0F79" w:rsidR="00AF1F53" w:rsidRPr="00BE28D4" w:rsidRDefault="00BE28D4" w:rsidP="00BE28D4">
      <w:pPr>
        <w:pStyle w:val="ListParagraph"/>
        <w:numPr>
          <w:ilvl w:val="0"/>
          <w:numId w:val="32"/>
        </w:numPr>
        <w:spacing w:after="0" w:line="480" w:lineRule="auto"/>
        <w:rPr>
          <w:rFonts w:cs="Times New Roman"/>
          <w:szCs w:val="24"/>
        </w:rPr>
      </w:pPr>
      <w:r>
        <w:rPr>
          <w:rFonts w:cs="Times New Roman"/>
          <w:szCs w:val="24"/>
        </w:rPr>
        <w:tab/>
      </w:r>
      <w:r w:rsidR="00AF1F53" w:rsidRPr="00BE28D4">
        <w:rPr>
          <w:rFonts w:cs="Times New Roman"/>
          <w:szCs w:val="24"/>
        </w:rPr>
        <w:t xml:space="preserve">An entity’s actual </w:t>
      </w:r>
      <w:r w:rsidR="00113F16" w:rsidRPr="00BE28D4">
        <w:rPr>
          <w:rFonts w:cs="Times New Roman"/>
          <w:szCs w:val="24"/>
        </w:rPr>
        <w:t xml:space="preserve">cost of debt </w:t>
      </w:r>
      <w:r w:rsidR="00AF1F53" w:rsidRPr="00BE28D4">
        <w:rPr>
          <w:rFonts w:cs="Times New Roman"/>
          <w:szCs w:val="24"/>
        </w:rPr>
        <w:t>is readily observable in fi</w:t>
      </w:r>
      <w:r w:rsidR="00D41B08" w:rsidRPr="00BE28D4">
        <w:rPr>
          <w:rFonts w:cs="Times New Roman"/>
          <w:szCs w:val="24"/>
        </w:rPr>
        <w:t>nancial statements.</w:t>
      </w:r>
      <w:r w:rsidR="00084863" w:rsidRPr="00735A6A">
        <w:rPr>
          <w:rStyle w:val="FootnoteReference"/>
          <w:rFonts w:cs="Times New Roman"/>
          <w:szCs w:val="24"/>
        </w:rPr>
        <w:footnoteReference w:id="64"/>
      </w:r>
      <w:r w:rsidR="00D41B08" w:rsidRPr="00BE28D4">
        <w:rPr>
          <w:rFonts w:cs="Times New Roman"/>
          <w:szCs w:val="24"/>
        </w:rPr>
        <w:t xml:space="preserve">  Financia</w:t>
      </w:r>
      <w:r w:rsidR="00E9647F" w:rsidRPr="00BE28D4">
        <w:rPr>
          <w:rFonts w:cs="Times New Roman"/>
          <w:szCs w:val="24"/>
        </w:rPr>
        <w:t xml:space="preserve">l statements capture </w:t>
      </w:r>
      <w:r w:rsidR="00D41B08" w:rsidRPr="00BE28D4">
        <w:rPr>
          <w:rFonts w:cs="Times New Roman"/>
          <w:szCs w:val="24"/>
        </w:rPr>
        <w:t>an entity’s risk profile and financial obligations.</w:t>
      </w:r>
      <w:r w:rsidR="00084863" w:rsidRPr="00735A6A">
        <w:rPr>
          <w:rStyle w:val="FootnoteReference"/>
          <w:rFonts w:cs="Times New Roman"/>
          <w:szCs w:val="24"/>
        </w:rPr>
        <w:footnoteReference w:id="65"/>
      </w:r>
      <w:r w:rsidR="00D41B08" w:rsidRPr="00BE28D4">
        <w:rPr>
          <w:rFonts w:cs="Times New Roman"/>
          <w:szCs w:val="24"/>
        </w:rPr>
        <w:t xml:space="preserve">  </w:t>
      </w:r>
      <w:r w:rsidR="00E9647F" w:rsidRPr="00BE28D4">
        <w:rPr>
          <w:rFonts w:cs="Times New Roman"/>
          <w:szCs w:val="24"/>
        </w:rPr>
        <w:t xml:space="preserve">Thus, a company-wide cost of debt accurately reflects both the underlying costs and an appropriate return </w:t>
      </w:r>
      <w:r w:rsidR="00CF08F0" w:rsidRPr="00BE28D4">
        <w:rPr>
          <w:rFonts w:cs="Times New Roman"/>
          <w:szCs w:val="24"/>
        </w:rPr>
        <w:t xml:space="preserve">tied to </w:t>
      </w:r>
      <w:r w:rsidR="00A83364" w:rsidRPr="00BE28D4">
        <w:rPr>
          <w:rFonts w:cs="Times New Roman"/>
          <w:szCs w:val="24"/>
        </w:rPr>
        <w:t>an entity’s level of risk</w:t>
      </w:r>
      <w:r w:rsidR="00E9647F" w:rsidRPr="00BE28D4">
        <w:rPr>
          <w:rFonts w:cs="Times New Roman"/>
          <w:szCs w:val="24"/>
        </w:rPr>
        <w:t xml:space="preserve">. </w:t>
      </w:r>
    </w:p>
    <w:p w14:paraId="4A729FD1" w14:textId="21436F0C" w:rsidR="00CE4D9F" w:rsidRPr="00BE28D4" w:rsidRDefault="00BE28D4" w:rsidP="00BE28D4">
      <w:pPr>
        <w:spacing w:after="0" w:line="480" w:lineRule="auto"/>
        <w:rPr>
          <w:rFonts w:cs="Times New Roman"/>
          <w:b/>
          <w:szCs w:val="24"/>
        </w:rPr>
      </w:pPr>
      <w:r>
        <w:tab/>
      </w:r>
      <w:r>
        <w:rPr>
          <w:b/>
        </w:rPr>
        <w:t>3.</w:t>
      </w:r>
      <w:r>
        <w:rPr>
          <w:b/>
        </w:rPr>
        <w:tab/>
      </w:r>
      <w:r w:rsidR="00CE4D9F" w:rsidRPr="00BE28D4">
        <w:rPr>
          <w:rFonts w:cs="Times New Roman"/>
          <w:b/>
          <w:szCs w:val="24"/>
        </w:rPr>
        <w:t xml:space="preserve">Staff’s proposal </w:t>
      </w:r>
      <w:r w:rsidR="0026757B" w:rsidRPr="00BE28D4">
        <w:rPr>
          <w:rFonts w:cs="Times New Roman"/>
          <w:b/>
          <w:szCs w:val="24"/>
        </w:rPr>
        <w:t>is reasonable and consist</w:t>
      </w:r>
      <w:r w:rsidR="00716A23" w:rsidRPr="00BE28D4">
        <w:rPr>
          <w:rFonts w:cs="Times New Roman"/>
          <w:b/>
          <w:szCs w:val="24"/>
        </w:rPr>
        <w:t>ent with Commission practice</w:t>
      </w:r>
      <w:r w:rsidR="00830B32">
        <w:rPr>
          <w:rFonts w:cs="Times New Roman"/>
          <w:b/>
          <w:szCs w:val="24"/>
        </w:rPr>
        <w:t>.</w:t>
      </w:r>
      <w:r w:rsidR="0026757B" w:rsidRPr="00BE28D4">
        <w:rPr>
          <w:rFonts w:cs="Times New Roman"/>
          <w:b/>
          <w:szCs w:val="24"/>
        </w:rPr>
        <w:t xml:space="preserve"> </w:t>
      </w:r>
    </w:p>
    <w:p w14:paraId="4A729FD2" w14:textId="41A8AE87" w:rsidR="001D1980" w:rsidRPr="00BE28D4" w:rsidRDefault="00BE28D4" w:rsidP="00BE28D4">
      <w:pPr>
        <w:pStyle w:val="ListParagraph"/>
        <w:numPr>
          <w:ilvl w:val="0"/>
          <w:numId w:val="32"/>
        </w:numPr>
        <w:spacing w:after="0" w:line="480" w:lineRule="auto"/>
        <w:rPr>
          <w:rFonts w:cs="Times New Roman"/>
          <w:szCs w:val="24"/>
        </w:rPr>
      </w:pPr>
      <w:r>
        <w:rPr>
          <w:rFonts w:cs="Times New Roman"/>
          <w:szCs w:val="24"/>
        </w:rPr>
        <w:tab/>
      </w:r>
      <w:r w:rsidR="00CF08F0" w:rsidRPr="00BE28D4">
        <w:rPr>
          <w:rFonts w:cs="Times New Roman"/>
          <w:szCs w:val="24"/>
        </w:rPr>
        <w:t xml:space="preserve">Staff is unaware of any case in which the Commission evaluated an entity’s cost of debt on an asset-by-asset basis.  </w:t>
      </w:r>
      <w:r w:rsidR="00A83364" w:rsidRPr="00BE28D4">
        <w:rPr>
          <w:rFonts w:cs="Times New Roman"/>
          <w:szCs w:val="24"/>
        </w:rPr>
        <w:t>Such a process would require the Commission t</w:t>
      </w:r>
      <w:r w:rsidR="001D1980" w:rsidRPr="00BE28D4">
        <w:rPr>
          <w:rFonts w:cs="Times New Roman"/>
          <w:szCs w:val="24"/>
        </w:rPr>
        <w:t xml:space="preserve">o examine debt levels for every </w:t>
      </w:r>
      <w:r w:rsidR="00A83364" w:rsidRPr="00BE28D4">
        <w:rPr>
          <w:rFonts w:cs="Times New Roman"/>
          <w:szCs w:val="24"/>
        </w:rPr>
        <w:t>truck, facili</w:t>
      </w:r>
      <w:r w:rsidR="001D1980" w:rsidRPr="00BE28D4">
        <w:rPr>
          <w:rFonts w:cs="Times New Roman"/>
          <w:szCs w:val="24"/>
        </w:rPr>
        <w:t>ty,</w:t>
      </w:r>
      <w:r w:rsidR="00A83364" w:rsidRPr="00BE28D4">
        <w:rPr>
          <w:rFonts w:cs="Times New Roman"/>
          <w:szCs w:val="24"/>
        </w:rPr>
        <w:t xml:space="preserve"> </w:t>
      </w:r>
      <w:r w:rsidR="001D1980" w:rsidRPr="00BE28D4">
        <w:rPr>
          <w:rFonts w:cs="Times New Roman"/>
          <w:szCs w:val="24"/>
        </w:rPr>
        <w:t xml:space="preserve">and </w:t>
      </w:r>
      <w:r w:rsidR="00A83364" w:rsidRPr="00BE28D4">
        <w:rPr>
          <w:rFonts w:cs="Times New Roman"/>
          <w:szCs w:val="24"/>
        </w:rPr>
        <w:t>construction project.</w:t>
      </w:r>
      <w:r w:rsidR="00D83088" w:rsidRPr="00BE28D4">
        <w:rPr>
          <w:rFonts w:cs="Times New Roman"/>
          <w:szCs w:val="24"/>
        </w:rPr>
        <w:t xml:space="preserve"> </w:t>
      </w:r>
      <w:r w:rsidR="00A83364" w:rsidRPr="00BE28D4">
        <w:rPr>
          <w:rFonts w:cs="Times New Roman"/>
          <w:szCs w:val="24"/>
        </w:rPr>
        <w:t xml:space="preserve"> </w:t>
      </w:r>
      <w:r w:rsidR="00CF08F0" w:rsidRPr="00BE28D4">
        <w:rPr>
          <w:rFonts w:cs="Times New Roman"/>
          <w:szCs w:val="24"/>
        </w:rPr>
        <w:t>Not only is such an exercise time consuming</w:t>
      </w:r>
      <w:r w:rsidR="00356196" w:rsidRPr="00BE28D4">
        <w:rPr>
          <w:rFonts w:cs="Times New Roman"/>
          <w:szCs w:val="24"/>
        </w:rPr>
        <w:t xml:space="preserve"> and infeasible, but,</w:t>
      </w:r>
      <w:r w:rsidR="001D1980" w:rsidRPr="00BE28D4">
        <w:rPr>
          <w:rFonts w:cs="Times New Roman"/>
          <w:szCs w:val="24"/>
        </w:rPr>
        <w:t xml:space="preserve"> absent a series of transactions or self-dealing to artificially inflate debt costs, the results are irrelevant.</w:t>
      </w:r>
      <w:r w:rsidR="00BB6A2C" w:rsidRPr="00BE28D4">
        <w:rPr>
          <w:rFonts w:cs="Times New Roman"/>
          <w:szCs w:val="24"/>
        </w:rPr>
        <w:t xml:space="preserve">  </w:t>
      </w:r>
      <w:r w:rsidR="001D1980" w:rsidRPr="00BE28D4">
        <w:rPr>
          <w:rFonts w:cs="Times New Roman"/>
          <w:szCs w:val="24"/>
        </w:rPr>
        <w:t xml:space="preserve">An entity’s company-wide cost of debt will equal the weighted-average cost of debt of all individual projects.  Staff’s recommendation simply goes to the finish line and recommends </w:t>
      </w:r>
      <w:r w:rsidR="00356196" w:rsidRPr="00BE28D4">
        <w:rPr>
          <w:rFonts w:cs="Times New Roman"/>
          <w:szCs w:val="24"/>
        </w:rPr>
        <w:t xml:space="preserve">the </w:t>
      </w:r>
      <w:r w:rsidR="001D1980" w:rsidRPr="00BE28D4">
        <w:rPr>
          <w:rFonts w:cs="Times New Roman"/>
          <w:szCs w:val="24"/>
        </w:rPr>
        <w:t>cost of debt</w:t>
      </w:r>
      <w:r w:rsidR="00356196" w:rsidRPr="00BE28D4">
        <w:rPr>
          <w:rFonts w:cs="Times New Roman"/>
          <w:szCs w:val="24"/>
        </w:rPr>
        <w:t xml:space="preserve"> readily</w:t>
      </w:r>
      <w:r w:rsidR="001D1980" w:rsidRPr="00BE28D4">
        <w:rPr>
          <w:rFonts w:cs="Times New Roman"/>
          <w:szCs w:val="24"/>
        </w:rPr>
        <w:t xml:space="preserve"> observable on HBI’s and HBII’s financial statements</w:t>
      </w:r>
      <w:r w:rsidR="00554103" w:rsidRPr="00BE28D4">
        <w:rPr>
          <w:rFonts w:cs="Times New Roman"/>
          <w:szCs w:val="24"/>
        </w:rPr>
        <w:t xml:space="preserve"> as of December 31, 2013.</w:t>
      </w:r>
      <w:r w:rsidR="00113F16" w:rsidRPr="00735A6A">
        <w:rPr>
          <w:rStyle w:val="FootnoteReference"/>
          <w:rFonts w:cs="Times New Roman"/>
          <w:szCs w:val="24"/>
        </w:rPr>
        <w:footnoteReference w:id="66"/>
      </w:r>
      <w:r w:rsidR="00554103" w:rsidRPr="00BE28D4">
        <w:rPr>
          <w:rFonts w:cs="Times New Roman"/>
          <w:szCs w:val="24"/>
        </w:rPr>
        <w:t xml:space="preserve"> </w:t>
      </w:r>
      <w:r w:rsidR="001D1980" w:rsidRPr="00BE28D4">
        <w:rPr>
          <w:rFonts w:cs="Times New Roman"/>
          <w:szCs w:val="24"/>
        </w:rPr>
        <w:t xml:space="preserve"> </w:t>
      </w:r>
    </w:p>
    <w:p w14:paraId="4A729FD3" w14:textId="45F8AF32" w:rsidR="00DE2258" w:rsidRPr="00BE28D4" w:rsidRDefault="00BE28D4" w:rsidP="00BE28D4">
      <w:pPr>
        <w:pStyle w:val="ListParagraph"/>
        <w:numPr>
          <w:ilvl w:val="0"/>
          <w:numId w:val="32"/>
        </w:numPr>
        <w:spacing w:after="0" w:line="480" w:lineRule="auto"/>
        <w:rPr>
          <w:rFonts w:cs="Times New Roman"/>
          <w:szCs w:val="24"/>
        </w:rPr>
      </w:pPr>
      <w:r>
        <w:rPr>
          <w:rFonts w:cs="Times New Roman"/>
          <w:szCs w:val="24"/>
        </w:rPr>
        <w:tab/>
      </w:r>
      <w:r w:rsidR="00A41460" w:rsidRPr="00BE28D4">
        <w:rPr>
          <w:rFonts w:cs="Times New Roman"/>
          <w:szCs w:val="24"/>
        </w:rPr>
        <w:t xml:space="preserve">Ms. Davis’s rebuttal testimony </w:t>
      </w:r>
      <w:r w:rsidR="00496F9F" w:rsidRPr="00BE28D4">
        <w:rPr>
          <w:rFonts w:cs="Times New Roman"/>
          <w:szCs w:val="24"/>
        </w:rPr>
        <w:t>proposes to allocate</w:t>
      </w:r>
      <w:r w:rsidR="00DE2258" w:rsidRPr="00BE28D4">
        <w:rPr>
          <w:rFonts w:cs="Times New Roman"/>
          <w:szCs w:val="24"/>
        </w:rPr>
        <w:t xml:space="preserve"> specific portions of HBI’s and HBII’</w:t>
      </w:r>
      <w:r w:rsidR="00A41460" w:rsidRPr="00BE28D4">
        <w:rPr>
          <w:rFonts w:cs="Times New Roman"/>
          <w:szCs w:val="24"/>
        </w:rPr>
        <w:t>s</w:t>
      </w:r>
      <w:r w:rsidR="00496F9F" w:rsidRPr="00BE28D4">
        <w:rPr>
          <w:rFonts w:cs="Times New Roman"/>
          <w:szCs w:val="24"/>
        </w:rPr>
        <w:t xml:space="preserve"> debts</w:t>
      </w:r>
      <w:r w:rsidR="00113F16" w:rsidRPr="00BE28D4">
        <w:rPr>
          <w:rFonts w:cs="Times New Roman"/>
          <w:szCs w:val="24"/>
        </w:rPr>
        <w:t xml:space="preserve"> between</w:t>
      </w:r>
      <w:r w:rsidR="00A41460" w:rsidRPr="00BE28D4">
        <w:rPr>
          <w:rFonts w:cs="Times New Roman"/>
          <w:szCs w:val="24"/>
        </w:rPr>
        <w:t xml:space="preserve"> regulated and non-regulated operations</w:t>
      </w:r>
      <w:r w:rsidR="00DE2258" w:rsidRPr="00BE28D4">
        <w:rPr>
          <w:rFonts w:cs="Times New Roman"/>
          <w:szCs w:val="24"/>
        </w:rPr>
        <w:t>.</w:t>
      </w:r>
      <w:r w:rsidR="00DE2258" w:rsidRPr="00735A6A">
        <w:rPr>
          <w:rStyle w:val="FootnoteReference"/>
          <w:rFonts w:cs="Times New Roman"/>
          <w:szCs w:val="24"/>
        </w:rPr>
        <w:footnoteReference w:id="67"/>
      </w:r>
      <w:r w:rsidR="00DE2258" w:rsidRPr="00BE28D4">
        <w:rPr>
          <w:rFonts w:cs="Times New Roman"/>
          <w:szCs w:val="24"/>
        </w:rPr>
        <w:t xml:space="preserve">  As Staff’</w:t>
      </w:r>
      <w:r w:rsidR="00A41460" w:rsidRPr="00BE28D4">
        <w:rPr>
          <w:rFonts w:cs="Times New Roman"/>
          <w:szCs w:val="24"/>
        </w:rPr>
        <w:t>s testimony points out,</w:t>
      </w:r>
      <w:r w:rsidR="00DE2258" w:rsidRPr="00BE28D4">
        <w:rPr>
          <w:rFonts w:cs="Times New Roman"/>
          <w:szCs w:val="24"/>
        </w:rPr>
        <w:t xml:space="preserve"> and the Company’s testimony </w:t>
      </w:r>
      <w:r w:rsidR="00496F9F" w:rsidRPr="00BE28D4">
        <w:rPr>
          <w:rFonts w:cs="Times New Roman"/>
          <w:szCs w:val="24"/>
        </w:rPr>
        <w:t>expressly acknowledges</w:t>
      </w:r>
      <w:r w:rsidR="00DE2258" w:rsidRPr="00BE28D4">
        <w:rPr>
          <w:rFonts w:cs="Times New Roman"/>
          <w:szCs w:val="24"/>
        </w:rPr>
        <w:t>,</w:t>
      </w:r>
      <w:r w:rsidR="00A41460" w:rsidRPr="00BE28D4">
        <w:rPr>
          <w:rFonts w:cs="Times New Roman"/>
          <w:szCs w:val="24"/>
        </w:rPr>
        <w:t xml:space="preserve"> </w:t>
      </w:r>
      <w:r w:rsidR="00DE2258" w:rsidRPr="00BE28D4">
        <w:rPr>
          <w:rFonts w:cs="Times New Roman"/>
          <w:szCs w:val="24"/>
        </w:rPr>
        <w:t>all of HBI’s and HBII’</w:t>
      </w:r>
      <w:r w:rsidR="00A41460" w:rsidRPr="00BE28D4">
        <w:rPr>
          <w:rFonts w:cs="Times New Roman"/>
          <w:szCs w:val="24"/>
        </w:rPr>
        <w:t>s facilities secure all of th</w:t>
      </w:r>
      <w:r w:rsidR="00496F9F" w:rsidRPr="00BE28D4">
        <w:rPr>
          <w:rFonts w:cs="Times New Roman"/>
          <w:szCs w:val="24"/>
        </w:rPr>
        <w:t>ose</w:t>
      </w:r>
      <w:r w:rsidR="00A41460" w:rsidRPr="00BE28D4">
        <w:rPr>
          <w:rFonts w:cs="Times New Roman"/>
          <w:szCs w:val="24"/>
        </w:rPr>
        <w:t xml:space="preserve"> companies’ debts.</w:t>
      </w:r>
      <w:r w:rsidR="00A41460" w:rsidRPr="00735A6A">
        <w:rPr>
          <w:rStyle w:val="FootnoteReference"/>
          <w:rFonts w:cs="Times New Roman"/>
          <w:szCs w:val="24"/>
        </w:rPr>
        <w:footnoteReference w:id="68"/>
      </w:r>
      <w:r w:rsidR="00CE4D9F" w:rsidRPr="00BE28D4">
        <w:rPr>
          <w:rFonts w:cs="Times New Roman"/>
          <w:szCs w:val="24"/>
        </w:rPr>
        <w:t xml:space="preserve">  </w:t>
      </w:r>
      <w:r w:rsidR="0026757B" w:rsidRPr="00BE28D4">
        <w:rPr>
          <w:rFonts w:cs="Times New Roman"/>
          <w:szCs w:val="24"/>
        </w:rPr>
        <w:t xml:space="preserve">Ms. Davis’s proposal </w:t>
      </w:r>
      <w:r w:rsidR="00CE4D9F" w:rsidRPr="00BE28D4">
        <w:rPr>
          <w:rFonts w:cs="Times New Roman"/>
          <w:szCs w:val="24"/>
        </w:rPr>
        <w:t xml:space="preserve">to apportion or bifurcate specific debt obligations between buildings does not represent </w:t>
      </w:r>
      <w:r w:rsidR="00496F9F" w:rsidRPr="00BE28D4">
        <w:rPr>
          <w:rFonts w:cs="Times New Roman"/>
          <w:szCs w:val="24"/>
        </w:rPr>
        <w:t>the economic reality that c</w:t>
      </w:r>
      <w:r w:rsidR="00CE4D9F" w:rsidRPr="00BE28D4">
        <w:rPr>
          <w:rFonts w:cs="Times New Roman"/>
          <w:szCs w:val="24"/>
        </w:rPr>
        <w:t>reditors</w:t>
      </w:r>
      <w:r w:rsidR="00496F9F" w:rsidRPr="00BE28D4">
        <w:rPr>
          <w:rFonts w:cs="Times New Roman"/>
          <w:szCs w:val="24"/>
        </w:rPr>
        <w:t xml:space="preserve"> hold</w:t>
      </w:r>
      <w:r w:rsidR="00CE4D9F" w:rsidRPr="00BE28D4">
        <w:rPr>
          <w:rFonts w:cs="Times New Roman"/>
          <w:szCs w:val="24"/>
        </w:rPr>
        <w:t xml:space="preserve"> </w:t>
      </w:r>
      <w:r w:rsidR="00496F9F" w:rsidRPr="00BE28D4">
        <w:rPr>
          <w:rFonts w:cs="Times New Roman"/>
          <w:szCs w:val="24"/>
        </w:rPr>
        <w:t xml:space="preserve">equal </w:t>
      </w:r>
      <w:r w:rsidR="00CE4D9F" w:rsidRPr="00BE28D4">
        <w:rPr>
          <w:rFonts w:cs="Times New Roman"/>
          <w:szCs w:val="24"/>
        </w:rPr>
        <w:t xml:space="preserve">claims on all of </w:t>
      </w:r>
      <w:r w:rsidR="0026757B" w:rsidRPr="00BE28D4">
        <w:rPr>
          <w:rFonts w:cs="Times New Roman"/>
          <w:szCs w:val="24"/>
        </w:rPr>
        <w:t>the</w:t>
      </w:r>
      <w:r w:rsidR="00496F9F" w:rsidRPr="00BE28D4">
        <w:rPr>
          <w:rFonts w:cs="Times New Roman"/>
          <w:szCs w:val="24"/>
        </w:rPr>
        <w:t xml:space="preserve"> borrowers’</w:t>
      </w:r>
      <w:r w:rsidR="0026757B" w:rsidRPr="00BE28D4">
        <w:rPr>
          <w:rFonts w:cs="Times New Roman"/>
          <w:szCs w:val="24"/>
        </w:rPr>
        <w:t xml:space="preserve"> facilities</w:t>
      </w:r>
      <w:r w:rsidR="00496F9F" w:rsidRPr="00BE28D4">
        <w:rPr>
          <w:rFonts w:cs="Times New Roman"/>
          <w:szCs w:val="24"/>
        </w:rPr>
        <w:t>.  The cost of debt for each facility should reflect its owner’s (i.e.</w:t>
      </w:r>
      <w:r w:rsidR="002D449B">
        <w:rPr>
          <w:rFonts w:cs="Times New Roman"/>
          <w:szCs w:val="24"/>
        </w:rPr>
        <w:t>,</w:t>
      </w:r>
      <w:r w:rsidR="00496F9F" w:rsidRPr="00BE28D4">
        <w:rPr>
          <w:rFonts w:cs="Times New Roman"/>
          <w:szCs w:val="24"/>
        </w:rPr>
        <w:t xml:space="preserve"> HBI or HBII) actual, company-wide cost of debt.  As a result, t</w:t>
      </w:r>
      <w:r w:rsidR="00CE4D9F" w:rsidRPr="00BE28D4">
        <w:rPr>
          <w:rFonts w:cs="Times New Roman"/>
          <w:szCs w:val="24"/>
        </w:rPr>
        <w:t xml:space="preserve">he Commission should accept Staff’s recommendation and reject the Company’s alternative proposals. </w:t>
      </w:r>
    </w:p>
    <w:p w14:paraId="4A729FD4" w14:textId="378E11FE" w:rsidR="004E1962" w:rsidRPr="00D97E48" w:rsidRDefault="00D97E48" w:rsidP="00D97E48">
      <w:pPr>
        <w:keepNext/>
        <w:spacing w:after="0" w:line="480" w:lineRule="auto"/>
        <w:rPr>
          <w:rFonts w:cs="Times New Roman"/>
          <w:b/>
          <w:szCs w:val="24"/>
        </w:rPr>
      </w:pPr>
      <w:r w:rsidRPr="00D97E48">
        <w:rPr>
          <w:b/>
        </w:rPr>
        <w:t>D.</w:t>
      </w:r>
      <w:r>
        <w:tab/>
      </w:r>
      <w:r w:rsidR="00033C76" w:rsidRPr="00D97E48">
        <w:rPr>
          <w:rFonts w:cs="Times New Roman"/>
          <w:b/>
          <w:szCs w:val="24"/>
        </w:rPr>
        <w:t>Cost of Equity/Return on Equity (ROE)</w:t>
      </w:r>
    </w:p>
    <w:p w14:paraId="4A729FD5" w14:textId="79C0A513" w:rsidR="00CE4D9F" w:rsidRPr="00D97E48" w:rsidRDefault="00D97E48" w:rsidP="00D97E48">
      <w:pPr>
        <w:keepNext/>
        <w:spacing w:after="0" w:line="480" w:lineRule="auto"/>
        <w:ind w:firstLine="720"/>
        <w:rPr>
          <w:rFonts w:cs="Times New Roman"/>
          <w:b/>
          <w:szCs w:val="24"/>
        </w:rPr>
      </w:pPr>
      <w:r w:rsidRPr="00D97E48">
        <w:rPr>
          <w:b/>
        </w:rPr>
        <w:t>1.</w:t>
      </w:r>
      <w:r>
        <w:tab/>
      </w:r>
      <w:r w:rsidR="00830B32">
        <w:rPr>
          <w:rFonts w:cs="Times New Roman"/>
          <w:b/>
          <w:szCs w:val="24"/>
        </w:rPr>
        <w:t>Fundamental p</w:t>
      </w:r>
      <w:r w:rsidR="00CE4D9F" w:rsidRPr="00D97E48">
        <w:rPr>
          <w:rFonts w:cs="Times New Roman"/>
          <w:b/>
          <w:szCs w:val="24"/>
        </w:rPr>
        <w:t>rinciples</w:t>
      </w:r>
      <w:r w:rsidR="00830B32">
        <w:rPr>
          <w:rFonts w:cs="Times New Roman"/>
          <w:b/>
          <w:szCs w:val="24"/>
        </w:rPr>
        <w:t>.</w:t>
      </w:r>
    </w:p>
    <w:p w14:paraId="4A729FD8" w14:textId="7C83C33B" w:rsidR="001219FA" w:rsidRPr="00D97E48" w:rsidRDefault="00D97E48" w:rsidP="00D97E48">
      <w:pPr>
        <w:pStyle w:val="ListParagraph"/>
        <w:numPr>
          <w:ilvl w:val="0"/>
          <w:numId w:val="32"/>
        </w:numPr>
        <w:spacing w:after="0" w:line="480" w:lineRule="auto"/>
        <w:rPr>
          <w:rFonts w:cs="Times New Roman"/>
          <w:szCs w:val="24"/>
        </w:rPr>
      </w:pPr>
      <w:r>
        <w:rPr>
          <w:rFonts w:cs="Times New Roman"/>
          <w:szCs w:val="24"/>
        </w:rPr>
        <w:tab/>
      </w:r>
      <w:r w:rsidR="001219FA" w:rsidRPr="00D97E48">
        <w:rPr>
          <w:rFonts w:cs="Times New Roman"/>
          <w:szCs w:val="24"/>
        </w:rPr>
        <w:t xml:space="preserve">The </w:t>
      </w:r>
      <w:r w:rsidR="004E1962" w:rsidRPr="00D97E48">
        <w:rPr>
          <w:rFonts w:cs="Times New Roman"/>
          <w:szCs w:val="24"/>
        </w:rPr>
        <w:t xml:space="preserve">return on </w:t>
      </w:r>
      <w:r w:rsidR="001219FA" w:rsidRPr="00D97E48">
        <w:rPr>
          <w:rFonts w:cs="Times New Roman"/>
          <w:szCs w:val="24"/>
        </w:rPr>
        <w:t>equity</w:t>
      </w:r>
      <w:r w:rsidR="00113F16" w:rsidRPr="00D97E48">
        <w:rPr>
          <w:rFonts w:cs="Times New Roman"/>
          <w:szCs w:val="24"/>
        </w:rPr>
        <w:t>, or cost of equity,</w:t>
      </w:r>
      <w:r w:rsidR="001219FA" w:rsidRPr="00D97E48">
        <w:rPr>
          <w:rFonts w:cs="Times New Roman"/>
          <w:szCs w:val="24"/>
        </w:rPr>
        <w:t xml:space="preserve"> represents the return an investor demands in exchange for providing equity capital to a business.</w:t>
      </w:r>
      <w:r w:rsidR="00E27153" w:rsidRPr="00735A6A">
        <w:rPr>
          <w:rStyle w:val="FootnoteReference"/>
          <w:rFonts w:cs="Times New Roman"/>
          <w:szCs w:val="24"/>
        </w:rPr>
        <w:footnoteReference w:id="69"/>
      </w:r>
      <w:r w:rsidR="001219FA" w:rsidRPr="00D97E48">
        <w:rPr>
          <w:rFonts w:cs="Times New Roman"/>
          <w:szCs w:val="24"/>
        </w:rPr>
        <w:t xml:space="preserve">  The cost of equity is not static.</w:t>
      </w:r>
      <w:r w:rsidR="00E27153" w:rsidRPr="00735A6A">
        <w:rPr>
          <w:rStyle w:val="FootnoteReference"/>
          <w:rFonts w:cs="Times New Roman"/>
          <w:szCs w:val="24"/>
        </w:rPr>
        <w:footnoteReference w:id="70"/>
      </w:r>
      <w:r w:rsidR="001219FA" w:rsidRPr="00D97E48">
        <w:rPr>
          <w:rFonts w:cs="Times New Roman"/>
          <w:szCs w:val="24"/>
        </w:rPr>
        <w:t xml:space="preserve">  The Commission recognizes that capital markets</w:t>
      </w:r>
      <w:r w:rsidR="008C3E8C" w:rsidRPr="00D97E48">
        <w:rPr>
          <w:rFonts w:cs="Times New Roman"/>
          <w:szCs w:val="24"/>
        </w:rPr>
        <w:t xml:space="preserve"> </w:t>
      </w:r>
      <w:r w:rsidR="001219FA" w:rsidRPr="00D97E48">
        <w:rPr>
          <w:rFonts w:cs="Times New Roman"/>
          <w:szCs w:val="24"/>
        </w:rPr>
        <w:t>are cons</w:t>
      </w:r>
      <w:r w:rsidR="00967EE9" w:rsidRPr="00D97E48">
        <w:rPr>
          <w:rFonts w:cs="Times New Roman"/>
          <w:szCs w:val="24"/>
        </w:rPr>
        <w:t>tantly changing</w:t>
      </w:r>
      <w:r w:rsidR="001219FA" w:rsidRPr="00D97E48">
        <w:rPr>
          <w:rFonts w:cs="Times New Roman"/>
          <w:szCs w:val="24"/>
        </w:rPr>
        <w:t>.</w:t>
      </w:r>
      <w:r w:rsidR="00E27153" w:rsidRPr="00735A6A">
        <w:rPr>
          <w:rStyle w:val="FootnoteReference"/>
          <w:rFonts w:cs="Times New Roman"/>
          <w:szCs w:val="24"/>
        </w:rPr>
        <w:footnoteReference w:id="71"/>
      </w:r>
      <w:r w:rsidR="001219FA" w:rsidRPr="00D97E48">
        <w:rPr>
          <w:rFonts w:cs="Times New Roman"/>
          <w:szCs w:val="24"/>
        </w:rPr>
        <w:t xml:space="preserve">  </w:t>
      </w:r>
      <w:r w:rsidR="00500040" w:rsidRPr="00D97E48">
        <w:rPr>
          <w:rFonts w:cs="Times New Roman"/>
          <w:szCs w:val="24"/>
        </w:rPr>
        <w:t xml:space="preserve">A recent Commission order </w:t>
      </w:r>
      <w:r w:rsidR="00967EE9" w:rsidRPr="00D97E48">
        <w:rPr>
          <w:rFonts w:cs="Times New Roman"/>
          <w:szCs w:val="24"/>
        </w:rPr>
        <w:t xml:space="preserve">even </w:t>
      </w:r>
      <w:r w:rsidR="00500040" w:rsidRPr="00D97E48">
        <w:rPr>
          <w:rFonts w:cs="Times New Roman"/>
          <w:szCs w:val="24"/>
        </w:rPr>
        <w:t xml:space="preserve">reiterated the inadequacy of a </w:t>
      </w:r>
      <w:r w:rsidR="00033C76" w:rsidRPr="00D97E48">
        <w:rPr>
          <w:rFonts w:cs="Times New Roman"/>
          <w:szCs w:val="24"/>
        </w:rPr>
        <w:t>discounted cash flow (“DCF”)</w:t>
      </w:r>
      <w:r w:rsidR="00500040" w:rsidRPr="00D97E48">
        <w:rPr>
          <w:rFonts w:cs="Times New Roman"/>
          <w:szCs w:val="24"/>
        </w:rPr>
        <w:t xml:space="preserve"> analysis that relied on historic</w:t>
      </w:r>
      <w:r w:rsidR="00967EE9" w:rsidRPr="00D97E48">
        <w:rPr>
          <w:rFonts w:cs="Times New Roman"/>
          <w:szCs w:val="24"/>
        </w:rPr>
        <w:t xml:space="preserve">al, rather than forward looking, </w:t>
      </w:r>
      <w:r w:rsidR="00500040" w:rsidRPr="00D97E48">
        <w:rPr>
          <w:rFonts w:cs="Times New Roman"/>
          <w:szCs w:val="24"/>
        </w:rPr>
        <w:t>figures.</w:t>
      </w:r>
      <w:r w:rsidR="00500040" w:rsidRPr="00735A6A">
        <w:rPr>
          <w:rStyle w:val="FootnoteReference"/>
          <w:rFonts w:cs="Times New Roman"/>
          <w:szCs w:val="24"/>
        </w:rPr>
        <w:footnoteReference w:id="72"/>
      </w:r>
      <w:r w:rsidR="00500040" w:rsidRPr="00D97E48">
        <w:rPr>
          <w:rFonts w:cs="Times New Roman"/>
          <w:szCs w:val="24"/>
        </w:rPr>
        <w:t xml:space="preserve">  </w:t>
      </w:r>
      <w:r w:rsidR="001219FA" w:rsidRPr="00D97E48">
        <w:rPr>
          <w:rFonts w:cs="Times New Roman"/>
          <w:szCs w:val="24"/>
        </w:rPr>
        <w:t xml:space="preserve">Only Staff’s </w:t>
      </w:r>
      <w:r w:rsidR="008C3E8C" w:rsidRPr="00D97E48">
        <w:rPr>
          <w:rFonts w:cs="Times New Roman"/>
          <w:szCs w:val="24"/>
        </w:rPr>
        <w:t>testimony and recommendation adhere</w:t>
      </w:r>
      <w:r w:rsidR="001219FA" w:rsidRPr="00D97E48">
        <w:rPr>
          <w:rFonts w:cs="Times New Roman"/>
          <w:szCs w:val="24"/>
        </w:rPr>
        <w:t xml:space="preserve"> to these fundamental principles of finance and Commission precedent. </w:t>
      </w:r>
    </w:p>
    <w:p w14:paraId="4A729FD9" w14:textId="6E89B4BF" w:rsidR="00CE4D9F" w:rsidRPr="00735A6A" w:rsidRDefault="00F02100" w:rsidP="00F02100">
      <w:pPr>
        <w:pStyle w:val="ListParagraph"/>
        <w:spacing w:after="0" w:line="480" w:lineRule="auto"/>
        <w:ind w:left="0"/>
        <w:rPr>
          <w:rFonts w:cs="Times New Roman"/>
          <w:b/>
          <w:szCs w:val="24"/>
        </w:rPr>
      </w:pPr>
      <w:r>
        <w:rPr>
          <w:rFonts w:cs="Times New Roman"/>
          <w:b/>
          <w:szCs w:val="24"/>
        </w:rPr>
        <w:tab/>
        <w:t>2.</w:t>
      </w:r>
      <w:r>
        <w:rPr>
          <w:rFonts w:cs="Times New Roman"/>
          <w:b/>
          <w:szCs w:val="24"/>
        </w:rPr>
        <w:tab/>
      </w:r>
      <w:r w:rsidR="00CE4D9F" w:rsidRPr="00735A6A">
        <w:rPr>
          <w:rFonts w:cs="Times New Roman"/>
          <w:b/>
          <w:szCs w:val="24"/>
        </w:rPr>
        <w:t>Staff’s recommendation follows Commission precedent</w:t>
      </w:r>
      <w:r w:rsidR="00830B32">
        <w:rPr>
          <w:rFonts w:cs="Times New Roman"/>
          <w:b/>
          <w:szCs w:val="24"/>
        </w:rPr>
        <w:t>.</w:t>
      </w:r>
    </w:p>
    <w:p w14:paraId="4A729FDA" w14:textId="729AFFC9" w:rsidR="00CE4D9F" w:rsidRPr="00F02100" w:rsidRDefault="00F02100" w:rsidP="00F02100">
      <w:pPr>
        <w:pStyle w:val="ListParagraph"/>
        <w:numPr>
          <w:ilvl w:val="0"/>
          <w:numId w:val="32"/>
        </w:numPr>
        <w:spacing w:after="0" w:line="480" w:lineRule="auto"/>
        <w:rPr>
          <w:rFonts w:cs="Times New Roman"/>
          <w:szCs w:val="24"/>
        </w:rPr>
      </w:pPr>
      <w:r>
        <w:rPr>
          <w:rFonts w:cs="Times New Roman"/>
          <w:szCs w:val="24"/>
        </w:rPr>
        <w:tab/>
      </w:r>
      <w:r w:rsidR="001219FA" w:rsidRPr="00F02100">
        <w:rPr>
          <w:rFonts w:cs="Times New Roman"/>
          <w:szCs w:val="24"/>
        </w:rPr>
        <w:t>Staff recommends</w:t>
      </w:r>
      <w:r w:rsidR="00113F16" w:rsidRPr="00F02100">
        <w:rPr>
          <w:rFonts w:cs="Times New Roman"/>
          <w:szCs w:val="24"/>
        </w:rPr>
        <w:t xml:space="preserve"> </w:t>
      </w:r>
      <w:r w:rsidR="001D1980" w:rsidRPr="00F02100">
        <w:rPr>
          <w:rFonts w:cs="Times New Roman"/>
          <w:szCs w:val="24"/>
        </w:rPr>
        <w:t>DCF-based return</w:t>
      </w:r>
      <w:r w:rsidR="00113F16" w:rsidRPr="00F02100">
        <w:rPr>
          <w:rFonts w:cs="Times New Roman"/>
          <w:szCs w:val="24"/>
        </w:rPr>
        <w:t>s</w:t>
      </w:r>
      <w:r w:rsidR="001D1980" w:rsidRPr="00F02100">
        <w:rPr>
          <w:rFonts w:cs="Times New Roman"/>
          <w:szCs w:val="24"/>
        </w:rPr>
        <w:t xml:space="preserve"> on equity of 12.5 percent for HBI and 13.1 percent for HBII.  </w:t>
      </w:r>
      <w:r w:rsidR="00675710" w:rsidRPr="00F02100">
        <w:rPr>
          <w:rFonts w:cs="Times New Roman"/>
          <w:szCs w:val="24"/>
        </w:rPr>
        <w:t>Ms. Cheesman</w:t>
      </w:r>
      <w:r w:rsidR="00F06E34" w:rsidRPr="00F02100">
        <w:rPr>
          <w:rFonts w:cs="Times New Roman"/>
          <w:szCs w:val="24"/>
        </w:rPr>
        <w:t>’s testimony</w:t>
      </w:r>
      <w:r w:rsidR="00675710" w:rsidRPr="00F02100">
        <w:rPr>
          <w:rFonts w:cs="Times New Roman"/>
          <w:szCs w:val="24"/>
        </w:rPr>
        <w:t xml:space="preserve"> relies on</w:t>
      </w:r>
      <w:r w:rsidR="00113F16" w:rsidRPr="00F02100">
        <w:rPr>
          <w:rFonts w:cs="Times New Roman"/>
          <w:szCs w:val="24"/>
        </w:rPr>
        <w:t xml:space="preserve"> </w:t>
      </w:r>
      <w:r w:rsidR="000021B0" w:rsidRPr="00F02100">
        <w:rPr>
          <w:rFonts w:cs="Times New Roman"/>
          <w:szCs w:val="24"/>
        </w:rPr>
        <w:t xml:space="preserve">the earnings growth projections and dividend yields of </w:t>
      </w:r>
      <w:r w:rsidR="00A02011" w:rsidRPr="00F02100">
        <w:rPr>
          <w:rFonts w:cs="Times New Roman"/>
          <w:szCs w:val="24"/>
        </w:rPr>
        <w:t xml:space="preserve">publicly-traded </w:t>
      </w:r>
      <w:r w:rsidR="00F05395" w:rsidRPr="00F02100">
        <w:rPr>
          <w:rFonts w:cs="Times New Roman"/>
          <w:szCs w:val="24"/>
        </w:rPr>
        <w:t xml:space="preserve">real estate </w:t>
      </w:r>
      <w:r w:rsidR="00A02011" w:rsidRPr="00F02100">
        <w:rPr>
          <w:rFonts w:cs="Times New Roman"/>
          <w:szCs w:val="24"/>
        </w:rPr>
        <w:t xml:space="preserve">companies </w:t>
      </w:r>
      <w:r w:rsidR="000021B0" w:rsidRPr="00F02100">
        <w:rPr>
          <w:rFonts w:cs="Times New Roman"/>
          <w:szCs w:val="24"/>
        </w:rPr>
        <w:t xml:space="preserve">listed in </w:t>
      </w:r>
      <w:r w:rsidR="00A02011" w:rsidRPr="00F02100">
        <w:rPr>
          <w:rFonts w:cs="Times New Roman"/>
          <w:szCs w:val="24"/>
        </w:rPr>
        <w:t>ValueLine</w:t>
      </w:r>
      <w:r w:rsidR="00356196" w:rsidRPr="00F02100">
        <w:rPr>
          <w:rFonts w:cs="Times New Roman"/>
          <w:szCs w:val="24"/>
        </w:rPr>
        <w:t xml:space="preserve"> Investment Survey</w:t>
      </w:r>
      <w:r w:rsidR="00A02011" w:rsidRPr="00F02100">
        <w:rPr>
          <w:rFonts w:cs="Times New Roman"/>
          <w:szCs w:val="24"/>
        </w:rPr>
        <w:t>.</w:t>
      </w:r>
      <w:r w:rsidR="00356196" w:rsidRPr="00735A6A">
        <w:rPr>
          <w:rStyle w:val="FootnoteReference"/>
          <w:rFonts w:cs="Times New Roman"/>
          <w:szCs w:val="24"/>
        </w:rPr>
        <w:footnoteReference w:id="73"/>
      </w:r>
      <w:r w:rsidR="00675710" w:rsidRPr="00F02100">
        <w:rPr>
          <w:rFonts w:cs="Times New Roman"/>
          <w:szCs w:val="24"/>
        </w:rPr>
        <w:t xml:space="preserve"> </w:t>
      </w:r>
      <w:r w:rsidR="00967EE9" w:rsidRPr="00F02100">
        <w:rPr>
          <w:rFonts w:cs="Times New Roman"/>
          <w:szCs w:val="24"/>
        </w:rPr>
        <w:t xml:space="preserve"> </w:t>
      </w:r>
      <w:r w:rsidR="006E5A1A" w:rsidRPr="00F02100">
        <w:rPr>
          <w:rFonts w:cs="Times New Roman"/>
          <w:szCs w:val="24"/>
        </w:rPr>
        <w:t>Following the Commission’</w:t>
      </w:r>
      <w:r w:rsidR="001A6417" w:rsidRPr="00F02100">
        <w:rPr>
          <w:rFonts w:cs="Times New Roman"/>
          <w:szCs w:val="24"/>
        </w:rPr>
        <w:t>s principles supporting</w:t>
      </w:r>
      <w:r w:rsidR="006E5A1A" w:rsidRPr="00F02100">
        <w:rPr>
          <w:rFonts w:cs="Times New Roman"/>
          <w:szCs w:val="24"/>
        </w:rPr>
        <w:t xml:space="preserve"> the</w:t>
      </w:r>
      <w:r w:rsidR="00F05395" w:rsidRPr="00F02100">
        <w:rPr>
          <w:rFonts w:cs="Times New Roman"/>
          <w:szCs w:val="24"/>
        </w:rPr>
        <w:t xml:space="preserve"> temporal nature of the return on equity, </w:t>
      </w:r>
      <w:r w:rsidR="00967EE9" w:rsidRPr="00F02100">
        <w:rPr>
          <w:rFonts w:cs="Times New Roman"/>
          <w:szCs w:val="24"/>
        </w:rPr>
        <w:t>Staff’s analysis reflects current economic conditions and investors</w:t>
      </w:r>
      <w:r w:rsidR="003111BE" w:rsidRPr="00F02100">
        <w:rPr>
          <w:rFonts w:cs="Times New Roman"/>
          <w:szCs w:val="24"/>
        </w:rPr>
        <w:t>’</w:t>
      </w:r>
      <w:r w:rsidR="00967EE9" w:rsidRPr="00F02100">
        <w:rPr>
          <w:rFonts w:cs="Times New Roman"/>
          <w:szCs w:val="24"/>
        </w:rPr>
        <w:t xml:space="preserve"> current expectations for equity returns in the</w:t>
      </w:r>
      <w:r w:rsidR="000021B0" w:rsidRPr="00F02100">
        <w:rPr>
          <w:rFonts w:cs="Times New Roman"/>
          <w:szCs w:val="24"/>
        </w:rPr>
        <w:t xml:space="preserve"> real estate industry</w:t>
      </w:r>
      <w:r w:rsidR="00967EE9" w:rsidRPr="00F02100">
        <w:rPr>
          <w:rFonts w:cs="Times New Roman"/>
          <w:szCs w:val="24"/>
        </w:rPr>
        <w:t>.</w:t>
      </w:r>
    </w:p>
    <w:p w14:paraId="4A729FDB" w14:textId="5111DC36" w:rsidR="00675710" w:rsidRDefault="00F02100" w:rsidP="00F02100">
      <w:pPr>
        <w:pStyle w:val="ListParagraph"/>
        <w:keepNext/>
        <w:tabs>
          <w:tab w:val="left" w:pos="720"/>
        </w:tabs>
        <w:spacing w:after="0" w:line="240" w:lineRule="auto"/>
        <w:ind w:left="1526" w:hanging="1526"/>
        <w:rPr>
          <w:rFonts w:cs="Times New Roman"/>
          <w:b/>
          <w:szCs w:val="24"/>
        </w:rPr>
      </w:pPr>
      <w:r>
        <w:rPr>
          <w:rFonts w:cs="Times New Roman"/>
          <w:b/>
          <w:szCs w:val="24"/>
        </w:rPr>
        <w:tab/>
        <w:t>3.</w:t>
      </w:r>
      <w:r>
        <w:rPr>
          <w:rFonts w:cs="Times New Roman"/>
          <w:b/>
          <w:szCs w:val="24"/>
        </w:rPr>
        <w:tab/>
      </w:r>
      <w:r w:rsidR="00CE4D9F" w:rsidRPr="00735A6A">
        <w:rPr>
          <w:rFonts w:cs="Times New Roman"/>
          <w:b/>
          <w:szCs w:val="24"/>
        </w:rPr>
        <w:t>WCI’s proposal is inconsistent with financial principles and the Company has failed to carry its evidentiary burden</w:t>
      </w:r>
      <w:r w:rsidR="00830B32">
        <w:rPr>
          <w:rFonts w:cs="Times New Roman"/>
          <w:b/>
          <w:szCs w:val="24"/>
        </w:rPr>
        <w:t>.</w:t>
      </w:r>
    </w:p>
    <w:p w14:paraId="6F87E793" w14:textId="77777777" w:rsidR="00F02100" w:rsidRPr="00735A6A" w:rsidRDefault="00F02100" w:rsidP="00F02100">
      <w:pPr>
        <w:pStyle w:val="ListParagraph"/>
        <w:keepNext/>
        <w:tabs>
          <w:tab w:val="left" w:pos="720"/>
        </w:tabs>
        <w:spacing w:after="0" w:line="240" w:lineRule="auto"/>
        <w:ind w:left="1526" w:hanging="1526"/>
        <w:rPr>
          <w:rFonts w:cs="Times New Roman"/>
          <w:b/>
          <w:szCs w:val="24"/>
        </w:rPr>
      </w:pPr>
    </w:p>
    <w:p w14:paraId="4A729FDC" w14:textId="3FAEEE52" w:rsidR="003111BE" w:rsidRPr="00F02100" w:rsidRDefault="00F02100" w:rsidP="00F02100">
      <w:pPr>
        <w:pStyle w:val="ListParagraph"/>
        <w:numPr>
          <w:ilvl w:val="0"/>
          <w:numId w:val="32"/>
        </w:numPr>
        <w:spacing w:after="0" w:line="480" w:lineRule="auto"/>
        <w:rPr>
          <w:rFonts w:cs="Times New Roman"/>
          <w:szCs w:val="24"/>
        </w:rPr>
      </w:pPr>
      <w:r>
        <w:rPr>
          <w:rFonts w:cs="Times New Roman"/>
          <w:szCs w:val="24"/>
        </w:rPr>
        <w:tab/>
      </w:r>
      <w:r w:rsidR="00675710" w:rsidRPr="00F02100">
        <w:rPr>
          <w:rFonts w:cs="Times New Roman"/>
          <w:szCs w:val="24"/>
        </w:rPr>
        <w:t xml:space="preserve">WCI argues </w:t>
      </w:r>
      <w:r w:rsidR="008D64AC" w:rsidRPr="00F02100">
        <w:rPr>
          <w:rFonts w:cs="Times New Roman"/>
          <w:szCs w:val="24"/>
        </w:rPr>
        <w:t>in its rebuttal testimony for a return on equity of 15</w:t>
      </w:r>
      <w:r w:rsidR="00BB16C4" w:rsidRPr="00F02100">
        <w:rPr>
          <w:rFonts w:cs="Times New Roman"/>
          <w:szCs w:val="24"/>
        </w:rPr>
        <w:t xml:space="preserve"> percent</w:t>
      </w:r>
      <w:r w:rsidR="008D64AC" w:rsidRPr="00F02100">
        <w:rPr>
          <w:rFonts w:cs="Times New Roman"/>
          <w:szCs w:val="24"/>
        </w:rPr>
        <w:t xml:space="preserve"> despite an admitted lack of quantitative analysis.</w:t>
      </w:r>
      <w:r w:rsidR="008D64AC" w:rsidRPr="00735A6A">
        <w:rPr>
          <w:rStyle w:val="FootnoteReference"/>
          <w:rFonts w:cs="Times New Roman"/>
          <w:szCs w:val="24"/>
        </w:rPr>
        <w:footnoteReference w:id="74"/>
      </w:r>
      <w:r w:rsidR="00675710" w:rsidRPr="00F02100">
        <w:rPr>
          <w:rFonts w:cs="Times New Roman"/>
          <w:szCs w:val="24"/>
        </w:rPr>
        <w:t xml:space="preserve">  </w:t>
      </w:r>
      <w:r w:rsidR="008D64AC" w:rsidRPr="00F02100">
        <w:rPr>
          <w:rFonts w:cs="Times New Roman"/>
          <w:szCs w:val="24"/>
        </w:rPr>
        <w:t xml:space="preserve">The Company offers no supporting calculation or rationale for its proposed ROE other than </w:t>
      </w:r>
      <w:r w:rsidR="00E15BB2" w:rsidRPr="00F02100">
        <w:rPr>
          <w:rFonts w:cs="Times New Roman"/>
          <w:szCs w:val="24"/>
        </w:rPr>
        <w:t xml:space="preserve">to </w:t>
      </w:r>
      <w:r w:rsidR="008D64AC" w:rsidRPr="00F02100">
        <w:rPr>
          <w:rFonts w:cs="Times New Roman"/>
          <w:szCs w:val="24"/>
        </w:rPr>
        <w:t xml:space="preserve">note that </w:t>
      </w:r>
      <w:r w:rsidR="00E15BB2" w:rsidRPr="00F02100">
        <w:rPr>
          <w:rFonts w:cs="Times New Roman"/>
          <w:szCs w:val="24"/>
        </w:rPr>
        <w:t>the Commission previously allowed 15</w:t>
      </w:r>
      <w:r w:rsidR="00BB16C4" w:rsidRPr="00F02100">
        <w:rPr>
          <w:rFonts w:cs="Times New Roman"/>
          <w:szCs w:val="24"/>
        </w:rPr>
        <w:t xml:space="preserve"> percent</w:t>
      </w:r>
      <w:r w:rsidR="001A6417" w:rsidRPr="00F02100">
        <w:rPr>
          <w:rFonts w:cs="Times New Roman"/>
          <w:szCs w:val="24"/>
        </w:rPr>
        <w:t xml:space="preserve"> in </w:t>
      </w:r>
      <w:r w:rsidR="00026CE2" w:rsidRPr="00F02100">
        <w:rPr>
          <w:rFonts w:cs="Times New Roman"/>
          <w:szCs w:val="24"/>
        </w:rPr>
        <w:t xml:space="preserve">the </w:t>
      </w:r>
      <w:r w:rsidR="001A6417" w:rsidRPr="00F02100">
        <w:rPr>
          <w:rFonts w:cs="Times New Roman"/>
          <w:szCs w:val="24"/>
        </w:rPr>
        <w:t>2002</w:t>
      </w:r>
      <w:r w:rsidR="00026CE2" w:rsidRPr="00F02100">
        <w:rPr>
          <w:rFonts w:cs="Times New Roman"/>
          <w:szCs w:val="24"/>
        </w:rPr>
        <w:t xml:space="preserve"> BKA case</w:t>
      </w:r>
      <w:r w:rsidR="00E15BB2" w:rsidRPr="00F02100">
        <w:rPr>
          <w:rFonts w:cs="Times New Roman"/>
          <w:szCs w:val="24"/>
        </w:rPr>
        <w:t>,</w:t>
      </w:r>
      <w:r w:rsidR="00E15BB2" w:rsidRPr="00735A6A">
        <w:rPr>
          <w:rStyle w:val="FootnoteReference"/>
          <w:rFonts w:cs="Times New Roman"/>
          <w:szCs w:val="24"/>
        </w:rPr>
        <w:footnoteReference w:id="75"/>
      </w:r>
      <w:r w:rsidR="00E15BB2" w:rsidRPr="00F02100">
        <w:rPr>
          <w:rFonts w:cs="Times New Roman"/>
          <w:szCs w:val="24"/>
        </w:rPr>
        <w:t xml:space="preserve"> </w:t>
      </w:r>
      <w:r w:rsidR="00E27153" w:rsidRPr="00F02100">
        <w:rPr>
          <w:rFonts w:cs="Times New Roman"/>
          <w:szCs w:val="24"/>
        </w:rPr>
        <w:t>HBI and HBII are small private companies</w:t>
      </w:r>
      <w:r w:rsidR="00E15BB2" w:rsidRPr="00F02100">
        <w:rPr>
          <w:rFonts w:cs="Times New Roman"/>
          <w:szCs w:val="24"/>
        </w:rPr>
        <w:t>,</w:t>
      </w:r>
      <w:r w:rsidR="008D64AC" w:rsidRPr="00F02100">
        <w:rPr>
          <w:rFonts w:cs="Times New Roman"/>
          <w:szCs w:val="24"/>
        </w:rPr>
        <w:t xml:space="preserve"> and </w:t>
      </w:r>
      <w:r w:rsidR="001A6417" w:rsidRPr="00F02100">
        <w:rPr>
          <w:rFonts w:cs="Times New Roman"/>
          <w:szCs w:val="24"/>
        </w:rPr>
        <w:t xml:space="preserve">a conclusory statement that </w:t>
      </w:r>
      <w:r w:rsidR="008D64AC" w:rsidRPr="00F02100">
        <w:rPr>
          <w:rFonts w:cs="Times New Roman"/>
          <w:szCs w:val="24"/>
        </w:rPr>
        <w:t>15</w:t>
      </w:r>
      <w:r w:rsidR="00BB16C4" w:rsidRPr="00F02100">
        <w:rPr>
          <w:rFonts w:cs="Times New Roman"/>
          <w:szCs w:val="24"/>
        </w:rPr>
        <w:t xml:space="preserve"> percent</w:t>
      </w:r>
      <w:r w:rsidR="008D64AC" w:rsidRPr="00F02100">
        <w:rPr>
          <w:rFonts w:cs="Times New Roman"/>
          <w:szCs w:val="24"/>
        </w:rPr>
        <w:t xml:space="preserve"> has “obviously been fair.”</w:t>
      </w:r>
      <w:r w:rsidR="008D64AC" w:rsidRPr="00735A6A">
        <w:rPr>
          <w:rStyle w:val="FootnoteReference"/>
          <w:rFonts w:cs="Times New Roman"/>
          <w:szCs w:val="24"/>
        </w:rPr>
        <w:footnoteReference w:id="76"/>
      </w:r>
      <w:r w:rsidR="008D64AC" w:rsidRPr="00F02100">
        <w:rPr>
          <w:rFonts w:cs="Times New Roman"/>
          <w:szCs w:val="24"/>
        </w:rPr>
        <w:t xml:space="preserve">  The Company also points to Dr. Lurito’s testimony </w:t>
      </w:r>
      <w:r w:rsidR="00943F68" w:rsidRPr="00F02100">
        <w:rPr>
          <w:rFonts w:cs="Times New Roman"/>
          <w:szCs w:val="24"/>
        </w:rPr>
        <w:t>to the Commissio</w:t>
      </w:r>
      <w:r w:rsidR="00500040" w:rsidRPr="00F02100">
        <w:rPr>
          <w:rFonts w:cs="Times New Roman"/>
          <w:szCs w:val="24"/>
        </w:rPr>
        <w:t xml:space="preserve">n in </w:t>
      </w:r>
      <w:r w:rsidR="00580818" w:rsidRPr="00F02100">
        <w:rPr>
          <w:rFonts w:cs="Times New Roman"/>
          <w:szCs w:val="24"/>
        </w:rPr>
        <w:t xml:space="preserve">approximately </w:t>
      </w:r>
      <w:r w:rsidR="00500040" w:rsidRPr="00F02100">
        <w:rPr>
          <w:rFonts w:cs="Times New Roman"/>
          <w:szCs w:val="24"/>
        </w:rPr>
        <w:t>1990.</w:t>
      </w:r>
      <w:r w:rsidR="00500040" w:rsidRPr="00735A6A">
        <w:rPr>
          <w:rStyle w:val="FootnoteReference"/>
          <w:rFonts w:cs="Times New Roman"/>
          <w:szCs w:val="24"/>
        </w:rPr>
        <w:footnoteReference w:id="77"/>
      </w:r>
      <w:r w:rsidR="008D64AC" w:rsidRPr="00F02100">
        <w:rPr>
          <w:rFonts w:cs="Times New Roman"/>
          <w:szCs w:val="24"/>
        </w:rPr>
        <w:t xml:space="preserve"> </w:t>
      </w:r>
      <w:r w:rsidR="00500040" w:rsidRPr="00F02100">
        <w:rPr>
          <w:rFonts w:cs="Times New Roman"/>
          <w:szCs w:val="24"/>
        </w:rPr>
        <w:t xml:space="preserve"> </w:t>
      </w:r>
      <w:r w:rsidR="00496F9F" w:rsidRPr="00F02100">
        <w:rPr>
          <w:rFonts w:cs="Times New Roman"/>
          <w:szCs w:val="24"/>
        </w:rPr>
        <w:t>Given the Commission precedent</w:t>
      </w:r>
      <w:r w:rsidR="00580818" w:rsidRPr="00F02100">
        <w:rPr>
          <w:rFonts w:cs="Times New Roman"/>
          <w:szCs w:val="24"/>
        </w:rPr>
        <w:t xml:space="preserve"> that the cost of capital is dynamic</w:t>
      </w:r>
      <w:r w:rsidR="003111BE" w:rsidRPr="00F02100">
        <w:rPr>
          <w:rFonts w:cs="Times New Roman"/>
          <w:szCs w:val="24"/>
        </w:rPr>
        <w:t xml:space="preserve">, </w:t>
      </w:r>
      <w:r w:rsidR="001A6417" w:rsidRPr="00F02100">
        <w:rPr>
          <w:rFonts w:cs="Times New Roman"/>
          <w:szCs w:val="24"/>
        </w:rPr>
        <w:t>testimony and precedent</w:t>
      </w:r>
      <w:r w:rsidR="003111BE" w:rsidRPr="00F02100">
        <w:rPr>
          <w:rFonts w:cs="Times New Roman"/>
          <w:szCs w:val="24"/>
        </w:rPr>
        <w:t xml:space="preserve"> from </w:t>
      </w:r>
      <w:r w:rsidR="001A6417" w:rsidRPr="00F02100">
        <w:rPr>
          <w:rFonts w:cs="Times New Roman"/>
          <w:szCs w:val="24"/>
        </w:rPr>
        <w:t xml:space="preserve">12 and </w:t>
      </w:r>
      <w:r w:rsidR="003111BE" w:rsidRPr="00F02100">
        <w:rPr>
          <w:rFonts w:cs="Times New Roman"/>
          <w:szCs w:val="24"/>
        </w:rPr>
        <w:t xml:space="preserve">25 years ago is of </w:t>
      </w:r>
      <w:r w:rsidR="001A6417" w:rsidRPr="00F02100">
        <w:rPr>
          <w:rFonts w:cs="Times New Roman"/>
          <w:szCs w:val="24"/>
        </w:rPr>
        <w:t>extremely limited value</w:t>
      </w:r>
      <w:r w:rsidR="003111BE" w:rsidRPr="00F02100">
        <w:rPr>
          <w:rFonts w:cs="Times New Roman"/>
          <w:szCs w:val="24"/>
        </w:rPr>
        <w:t xml:space="preserve"> in assessing current </w:t>
      </w:r>
      <w:r w:rsidR="00496F9F" w:rsidRPr="00F02100">
        <w:rPr>
          <w:rFonts w:cs="Times New Roman"/>
          <w:szCs w:val="24"/>
        </w:rPr>
        <w:t>costs of equity</w:t>
      </w:r>
      <w:r w:rsidR="003111BE" w:rsidRPr="00F02100">
        <w:rPr>
          <w:rFonts w:cs="Times New Roman"/>
          <w:szCs w:val="24"/>
        </w:rPr>
        <w:t>.</w:t>
      </w:r>
      <w:r w:rsidR="001A6417" w:rsidRPr="00F02100">
        <w:rPr>
          <w:rFonts w:cs="Times New Roman"/>
          <w:szCs w:val="24"/>
        </w:rPr>
        <w:t xml:space="preserve">    </w:t>
      </w:r>
    </w:p>
    <w:p w14:paraId="4A729FDD" w14:textId="25A8D920" w:rsidR="006D4983" w:rsidRPr="00F02100" w:rsidRDefault="00F02100" w:rsidP="00F02100">
      <w:pPr>
        <w:pStyle w:val="ListParagraph"/>
        <w:numPr>
          <w:ilvl w:val="0"/>
          <w:numId w:val="32"/>
        </w:numPr>
        <w:spacing w:after="0" w:line="480" w:lineRule="auto"/>
        <w:rPr>
          <w:rFonts w:cs="Times New Roman"/>
          <w:szCs w:val="24"/>
        </w:rPr>
      </w:pPr>
      <w:r>
        <w:rPr>
          <w:rFonts w:cs="Times New Roman"/>
          <w:szCs w:val="24"/>
        </w:rPr>
        <w:tab/>
      </w:r>
      <w:r w:rsidR="008D64AC" w:rsidRPr="00F02100">
        <w:rPr>
          <w:rFonts w:cs="Times New Roman"/>
          <w:szCs w:val="24"/>
        </w:rPr>
        <w:t xml:space="preserve">WCI’s </w:t>
      </w:r>
      <w:r w:rsidR="001A6417" w:rsidRPr="00F02100">
        <w:rPr>
          <w:rFonts w:cs="Times New Roman"/>
          <w:szCs w:val="24"/>
        </w:rPr>
        <w:t xml:space="preserve">testimony </w:t>
      </w:r>
      <w:r w:rsidR="003111BE" w:rsidRPr="00F02100">
        <w:rPr>
          <w:rFonts w:cs="Times New Roman"/>
          <w:szCs w:val="24"/>
        </w:rPr>
        <w:t xml:space="preserve">relies solely on historical capital costs.  </w:t>
      </w:r>
      <w:r w:rsidR="008D64AC" w:rsidRPr="00F02100">
        <w:rPr>
          <w:rFonts w:cs="Times New Roman"/>
          <w:szCs w:val="24"/>
        </w:rPr>
        <w:t>Commission precedent acknowledges and supports a dynamic</w:t>
      </w:r>
      <w:r w:rsidR="00500040" w:rsidRPr="00F02100">
        <w:rPr>
          <w:rFonts w:cs="Times New Roman"/>
          <w:szCs w:val="24"/>
        </w:rPr>
        <w:t xml:space="preserve"> cost of capital approach</w:t>
      </w:r>
      <w:r w:rsidR="00967EE9" w:rsidRPr="00F02100">
        <w:rPr>
          <w:rFonts w:cs="Times New Roman"/>
          <w:szCs w:val="24"/>
        </w:rPr>
        <w:t xml:space="preserve"> and constantly changing capital markets</w:t>
      </w:r>
      <w:r w:rsidR="00496F9F" w:rsidRPr="00F02100">
        <w:rPr>
          <w:rFonts w:cs="Times New Roman"/>
          <w:szCs w:val="24"/>
        </w:rPr>
        <w:t xml:space="preserve">.  Consequently, </w:t>
      </w:r>
      <w:r w:rsidR="00967EE9" w:rsidRPr="00F02100">
        <w:rPr>
          <w:rFonts w:cs="Times New Roman"/>
          <w:szCs w:val="24"/>
        </w:rPr>
        <w:t>WCI</w:t>
      </w:r>
      <w:r w:rsidR="003111BE" w:rsidRPr="00F02100">
        <w:rPr>
          <w:rFonts w:cs="Times New Roman"/>
          <w:szCs w:val="24"/>
        </w:rPr>
        <w:t>’s testimony</w:t>
      </w:r>
      <w:r w:rsidR="00967EE9" w:rsidRPr="00F02100">
        <w:rPr>
          <w:rFonts w:cs="Times New Roman"/>
          <w:szCs w:val="24"/>
        </w:rPr>
        <w:t xml:space="preserve"> </w:t>
      </w:r>
      <w:r w:rsidR="00E27153" w:rsidRPr="00F02100">
        <w:rPr>
          <w:rFonts w:cs="Times New Roman"/>
          <w:szCs w:val="24"/>
        </w:rPr>
        <w:t xml:space="preserve">fails </w:t>
      </w:r>
      <w:r w:rsidR="001A6417" w:rsidRPr="00F02100">
        <w:rPr>
          <w:rFonts w:cs="Times New Roman"/>
          <w:szCs w:val="24"/>
        </w:rPr>
        <w:t xml:space="preserve">to carry the requisite evidentiary burden to </w:t>
      </w:r>
      <w:r w:rsidR="00E27153" w:rsidRPr="00F02100">
        <w:rPr>
          <w:rFonts w:cs="Times New Roman"/>
          <w:szCs w:val="24"/>
        </w:rPr>
        <w:t>support a</w:t>
      </w:r>
      <w:r w:rsidR="00500040" w:rsidRPr="00F02100">
        <w:rPr>
          <w:rFonts w:cs="Times New Roman"/>
          <w:szCs w:val="24"/>
        </w:rPr>
        <w:t xml:space="preserve"> </w:t>
      </w:r>
      <w:r w:rsidR="00E27153" w:rsidRPr="00F02100">
        <w:rPr>
          <w:rFonts w:cs="Times New Roman"/>
          <w:szCs w:val="24"/>
        </w:rPr>
        <w:t xml:space="preserve">present-day </w:t>
      </w:r>
      <w:r w:rsidR="00500040" w:rsidRPr="00F02100">
        <w:rPr>
          <w:rFonts w:cs="Times New Roman"/>
          <w:szCs w:val="24"/>
        </w:rPr>
        <w:t>15 p</w:t>
      </w:r>
      <w:r w:rsidR="00967EE9" w:rsidRPr="00F02100">
        <w:rPr>
          <w:rFonts w:cs="Times New Roman"/>
          <w:szCs w:val="24"/>
        </w:rPr>
        <w:t>ercent return on equity</w:t>
      </w:r>
      <w:r w:rsidR="001A6417" w:rsidRPr="00F02100">
        <w:rPr>
          <w:rFonts w:cs="Times New Roman"/>
          <w:szCs w:val="24"/>
        </w:rPr>
        <w:t xml:space="preserve"> for HBI and HBII</w:t>
      </w:r>
      <w:r w:rsidR="00500040" w:rsidRPr="00F02100">
        <w:rPr>
          <w:rFonts w:cs="Times New Roman"/>
          <w:szCs w:val="24"/>
        </w:rPr>
        <w:t>.</w:t>
      </w:r>
      <w:r w:rsidR="008D64AC" w:rsidRPr="00F02100">
        <w:rPr>
          <w:rFonts w:cs="Times New Roman"/>
          <w:szCs w:val="24"/>
        </w:rPr>
        <w:t xml:space="preserve">  </w:t>
      </w:r>
      <w:r w:rsidR="000021B0" w:rsidRPr="00F02100">
        <w:rPr>
          <w:rFonts w:cs="Times New Roman"/>
          <w:szCs w:val="24"/>
        </w:rPr>
        <w:t>Therefore, t</w:t>
      </w:r>
      <w:r w:rsidR="00496F9F" w:rsidRPr="00F02100">
        <w:rPr>
          <w:rFonts w:cs="Times New Roman"/>
          <w:szCs w:val="24"/>
        </w:rPr>
        <w:t>he</w:t>
      </w:r>
      <w:r w:rsidR="00967EE9" w:rsidRPr="00F02100">
        <w:rPr>
          <w:rFonts w:cs="Times New Roman"/>
          <w:szCs w:val="24"/>
        </w:rPr>
        <w:t xml:space="preserve"> Commission should reject WCI’s proposal to impute a 15 percent ROE for its </w:t>
      </w:r>
      <w:r w:rsidR="00E27153" w:rsidRPr="00F02100">
        <w:rPr>
          <w:rFonts w:cs="Times New Roman"/>
          <w:szCs w:val="24"/>
        </w:rPr>
        <w:t xml:space="preserve">landlord </w:t>
      </w:r>
      <w:r w:rsidR="00967EE9" w:rsidRPr="00F02100">
        <w:rPr>
          <w:rFonts w:cs="Times New Roman"/>
          <w:szCs w:val="24"/>
        </w:rPr>
        <w:t xml:space="preserve">affiliates and adopt Staff’s recommendation. </w:t>
      </w:r>
      <w:r w:rsidR="00675710" w:rsidRPr="00F02100">
        <w:rPr>
          <w:rFonts w:cs="Times New Roman"/>
          <w:szCs w:val="24"/>
        </w:rPr>
        <w:t xml:space="preserve"> </w:t>
      </w:r>
      <w:r w:rsidR="00500040" w:rsidRPr="00F02100">
        <w:rPr>
          <w:rFonts w:cs="Times New Roman"/>
          <w:szCs w:val="24"/>
        </w:rPr>
        <w:t xml:space="preserve"> </w:t>
      </w:r>
    </w:p>
    <w:p w14:paraId="4A729FDE" w14:textId="0A6383E9" w:rsidR="00695DEC" w:rsidRPr="00F02100" w:rsidRDefault="00F02100" w:rsidP="00F02100">
      <w:pPr>
        <w:keepNext/>
        <w:spacing w:after="0" w:line="480" w:lineRule="auto"/>
        <w:rPr>
          <w:rFonts w:cs="Times New Roman"/>
          <w:b/>
          <w:szCs w:val="24"/>
        </w:rPr>
      </w:pPr>
      <w:r w:rsidRPr="00F02100">
        <w:rPr>
          <w:b/>
        </w:rPr>
        <w:t>E.</w:t>
      </w:r>
      <w:r w:rsidRPr="00F02100">
        <w:rPr>
          <w:b/>
        </w:rPr>
        <w:tab/>
      </w:r>
      <w:r w:rsidR="00042875">
        <w:rPr>
          <w:rFonts w:cs="Times New Roman"/>
          <w:b/>
          <w:szCs w:val="24"/>
        </w:rPr>
        <w:t>Allocation of Depreciation a</w:t>
      </w:r>
      <w:r w:rsidR="00042875" w:rsidRPr="00F02100">
        <w:rPr>
          <w:rFonts w:cs="Times New Roman"/>
          <w:b/>
          <w:szCs w:val="24"/>
        </w:rPr>
        <w:t>nd Average Net Investment</w:t>
      </w:r>
      <w:r w:rsidR="00042875">
        <w:rPr>
          <w:rFonts w:cs="Times New Roman"/>
          <w:b/>
          <w:szCs w:val="24"/>
        </w:rPr>
        <w:t xml:space="preserve"> </w:t>
      </w:r>
    </w:p>
    <w:p w14:paraId="4A729FDF" w14:textId="28E7235B" w:rsidR="00496F9F" w:rsidRPr="00F02100" w:rsidRDefault="00F02100" w:rsidP="00F02100">
      <w:pPr>
        <w:keepNext/>
        <w:spacing w:after="0" w:line="480" w:lineRule="auto"/>
        <w:ind w:firstLine="720"/>
        <w:rPr>
          <w:rFonts w:cs="Times New Roman"/>
          <w:b/>
          <w:szCs w:val="24"/>
        </w:rPr>
      </w:pPr>
      <w:r w:rsidRPr="00F02100">
        <w:rPr>
          <w:b/>
        </w:rPr>
        <w:t>1.</w:t>
      </w:r>
      <w:r>
        <w:tab/>
      </w:r>
      <w:r w:rsidR="00496F9F" w:rsidRPr="00F02100">
        <w:rPr>
          <w:rFonts w:cs="Times New Roman"/>
          <w:b/>
          <w:szCs w:val="24"/>
        </w:rPr>
        <w:t xml:space="preserve">Overview and </w:t>
      </w:r>
      <w:r w:rsidR="00830B32">
        <w:rPr>
          <w:rFonts w:cs="Times New Roman"/>
          <w:b/>
          <w:szCs w:val="24"/>
        </w:rPr>
        <w:t>f</w:t>
      </w:r>
      <w:r w:rsidR="00496F9F" w:rsidRPr="00F02100">
        <w:rPr>
          <w:rFonts w:cs="Times New Roman"/>
          <w:b/>
          <w:szCs w:val="24"/>
        </w:rPr>
        <w:t xml:space="preserve">undamental </w:t>
      </w:r>
      <w:r w:rsidR="00830B32">
        <w:rPr>
          <w:rFonts w:cs="Times New Roman"/>
          <w:b/>
          <w:szCs w:val="24"/>
        </w:rPr>
        <w:t>p</w:t>
      </w:r>
      <w:r w:rsidR="00496F9F" w:rsidRPr="00F02100">
        <w:rPr>
          <w:rFonts w:cs="Times New Roman"/>
          <w:b/>
          <w:szCs w:val="24"/>
        </w:rPr>
        <w:t>rinciples</w:t>
      </w:r>
      <w:r w:rsidR="00830B32">
        <w:rPr>
          <w:rFonts w:cs="Times New Roman"/>
          <w:b/>
          <w:szCs w:val="24"/>
        </w:rPr>
        <w:t>.</w:t>
      </w:r>
    </w:p>
    <w:p w14:paraId="4A729FE0" w14:textId="6B809171" w:rsidR="00373535" w:rsidRPr="00F02100" w:rsidRDefault="00F02100" w:rsidP="00F02100">
      <w:pPr>
        <w:pStyle w:val="ListParagraph"/>
        <w:numPr>
          <w:ilvl w:val="0"/>
          <w:numId w:val="32"/>
        </w:numPr>
        <w:spacing w:after="0" w:line="480" w:lineRule="auto"/>
        <w:rPr>
          <w:rFonts w:cs="Times New Roman"/>
          <w:szCs w:val="24"/>
        </w:rPr>
      </w:pPr>
      <w:r>
        <w:rPr>
          <w:rFonts w:cs="Times New Roman"/>
          <w:szCs w:val="24"/>
        </w:rPr>
        <w:tab/>
      </w:r>
      <w:r w:rsidR="000021B0" w:rsidRPr="00F02100">
        <w:rPr>
          <w:rFonts w:cs="Times New Roman"/>
          <w:szCs w:val="24"/>
        </w:rPr>
        <w:t>D</w:t>
      </w:r>
      <w:r w:rsidR="00FD57F1" w:rsidRPr="00F02100">
        <w:rPr>
          <w:rFonts w:cs="Times New Roman"/>
          <w:szCs w:val="24"/>
        </w:rPr>
        <w:t xml:space="preserve">epreciation and </w:t>
      </w:r>
      <w:r w:rsidR="000021B0" w:rsidRPr="00F02100">
        <w:rPr>
          <w:rFonts w:cs="Times New Roman"/>
          <w:szCs w:val="24"/>
        </w:rPr>
        <w:t>average net investment</w:t>
      </w:r>
      <w:r w:rsidR="00FD57F1" w:rsidRPr="00F02100">
        <w:rPr>
          <w:rFonts w:cs="Times New Roman"/>
          <w:szCs w:val="24"/>
        </w:rPr>
        <w:t xml:space="preserve"> are</w:t>
      </w:r>
      <w:r w:rsidR="000021B0" w:rsidRPr="00F02100">
        <w:rPr>
          <w:rFonts w:cs="Times New Roman"/>
          <w:szCs w:val="24"/>
        </w:rPr>
        <w:t xml:space="preserve"> legitimate </w:t>
      </w:r>
      <w:r w:rsidR="0014316A" w:rsidRPr="00F02100">
        <w:rPr>
          <w:rFonts w:cs="Times New Roman"/>
          <w:szCs w:val="24"/>
        </w:rPr>
        <w:t>components</w:t>
      </w:r>
      <w:r w:rsidR="007B0DF4" w:rsidRPr="00F02100">
        <w:rPr>
          <w:rFonts w:cs="Times New Roman"/>
          <w:szCs w:val="24"/>
        </w:rPr>
        <w:t xml:space="preserve"> </w:t>
      </w:r>
      <w:r w:rsidR="000021B0" w:rsidRPr="00F02100">
        <w:rPr>
          <w:rFonts w:cs="Times New Roman"/>
          <w:szCs w:val="24"/>
        </w:rPr>
        <w:t>and</w:t>
      </w:r>
      <w:r w:rsidR="00FD57F1" w:rsidRPr="00F02100">
        <w:rPr>
          <w:rFonts w:cs="Times New Roman"/>
          <w:szCs w:val="24"/>
        </w:rPr>
        <w:t xml:space="preserve"> </w:t>
      </w:r>
      <w:r w:rsidR="0014316A" w:rsidRPr="00F02100">
        <w:rPr>
          <w:rFonts w:cs="Times New Roman"/>
          <w:szCs w:val="24"/>
        </w:rPr>
        <w:t xml:space="preserve">are </w:t>
      </w:r>
      <w:r w:rsidR="00FD57F1" w:rsidRPr="00F02100">
        <w:rPr>
          <w:rFonts w:cs="Times New Roman"/>
          <w:szCs w:val="24"/>
        </w:rPr>
        <w:t xml:space="preserve">important </w:t>
      </w:r>
      <w:r w:rsidR="007B0DF4" w:rsidRPr="00F02100">
        <w:rPr>
          <w:rFonts w:cs="Times New Roman"/>
          <w:szCs w:val="24"/>
        </w:rPr>
        <w:t>to</w:t>
      </w:r>
      <w:r w:rsidR="00FD57F1" w:rsidRPr="00F02100">
        <w:rPr>
          <w:rFonts w:cs="Times New Roman"/>
          <w:szCs w:val="24"/>
        </w:rPr>
        <w:t xml:space="preserve"> any cost</w:t>
      </w:r>
      <w:r w:rsidR="002655FD" w:rsidRPr="00F02100">
        <w:rPr>
          <w:rFonts w:cs="Times New Roman"/>
          <w:szCs w:val="24"/>
        </w:rPr>
        <w:t>-plus-</w:t>
      </w:r>
      <w:r w:rsidR="00FD57F1" w:rsidRPr="00F02100">
        <w:rPr>
          <w:rFonts w:cs="Times New Roman"/>
          <w:szCs w:val="24"/>
        </w:rPr>
        <w:t>return calculation.</w:t>
      </w:r>
      <w:r w:rsidR="000021B0" w:rsidRPr="00735A6A">
        <w:rPr>
          <w:rStyle w:val="FootnoteReference"/>
          <w:rFonts w:cs="Times New Roman"/>
          <w:szCs w:val="24"/>
        </w:rPr>
        <w:footnoteReference w:id="78"/>
      </w:r>
      <w:r w:rsidR="00FD57F1" w:rsidRPr="00F02100">
        <w:rPr>
          <w:rFonts w:cs="Times New Roman"/>
          <w:szCs w:val="24"/>
        </w:rPr>
        <w:t xml:space="preserve">  It is necessary to allocate depreciation and </w:t>
      </w:r>
      <w:r w:rsidR="000021B0" w:rsidRPr="00F02100">
        <w:rPr>
          <w:rFonts w:cs="Times New Roman"/>
          <w:szCs w:val="24"/>
        </w:rPr>
        <w:t>average net investment</w:t>
      </w:r>
      <w:r w:rsidR="00FD57F1" w:rsidRPr="00F02100">
        <w:rPr>
          <w:rFonts w:cs="Times New Roman"/>
          <w:szCs w:val="24"/>
        </w:rPr>
        <w:t xml:space="preserve"> among tenants because several of HBI’s and HBII’s facilities have multiple tenants</w:t>
      </w:r>
      <w:r w:rsidR="00817F1B" w:rsidRPr="00F02100">
        <w:rPr>
          <w:rFonts w:cs="Times New Roman"/>
          <w:szCs w:val="24"/>
        </w:rPr>
        <w:t xml:space="preserve"> and each tenant should be responsible for its proportional share of costs</w:t>
      </w:r>
      <w:r w:rsidR="00FD57F1" w:rsidRPr="00F02100">
        <w:rPr>
          <w:rFonts w:cs="Times New Roman"/>
          <w:szCs w:val="24"/>
        </w:rPr>
        <w:t xml:space="preserve">.  </w:t>
      </w:r>
      <w:r w:rsidR="0035010F" w:rsidRPr="00F02100">
        <w:rPr>
          <w:rFonts w:cs="Times New Roman"/>
          <w:szCs w:val="24"/>
        </w:rPr>
        <w:t>Staff recommends its three-factor allocator for assigning costs whereas WCI proposes a one-third</w:t>
      </w:r>
      <w:r w:rsidR="00817F1B" w:rsidRPr="00F02100">
        <w:rPr>
          <w:rFonts w:cs="Times New Roman"/>
          <w:szCs w:val="24"/>
        </w:rPr>
        <w:t xml:space="preserve"> allocation</w:t>
      </w:r>
      <w:r w:rsidR="0035010F" w:rsidRPr="00F02100">
        <w:rPr>
          <w:rFonts w:cs="Times New Roman"/>
          <w:szCs w:val="24"/>
        </w:rPr>
        <w:t>.  WCI has not provided a calculation or specific rationale for why one-third is an appropriate allocator.</w:t>
      </w:r>
      <w:r w:rsidR="002655FD" w:rsidRPr="00735A6A">
        <w:rPr>
          <w:rStyle w:val="FootnoteReference"/>
          <w:rFonts w:cs="Times New Roman"/>
          <w:szCs w:val="24"/>
        </w:rPr>
        <w:footnoteReference w:id="79"/>
      </w:r>
      <w:r w:rsidR="0035010F" w:rsidRPr="00F02100">
        <w:rPr>
          <w:rFonts w:cs="Times New Roman"/>
          <w:szCs w:val="24"/>
        </w:rPr>
        <w:t xml:space="preserve"> </w:t>
      </w:r>
    </w:p>
    <w:p w14:paraId="4A729FE1" w14:textId="5386F075" w:rsidR="00FD57F1" w:rsidRPr="00F02100" w:rsidRDefault="00F02100" w:rsidP="00F02100">
      <w:pPr>
        <w:pStyle w:val="ListParagraph"/>
        <w:numPr>
          <w:ilvl w:val="0"/>
          <w:numId w:val="32"/>
        </w:numPr>
        <w:spacing w:after="0" w:line="480" w:lineRule="auto"/>
        <w:rPr>
          <w:rFonts w:cs="Times New Roman"/>
          <w:szCs w:val="24"/>
        </w:rPr>
      </w:pPr>
      <w:r>
        <w:rPr>
          <w:rFonts w:cs="Times New Roman"/>
          <w:szCs w:val="24"/>
        </w:rPr>
        <w:tab/>
      </w:r>
      <w:r w:rsidR="00FD57F1" w:rsidRPr="00F02100">
        <w:rPr>
          <w:rFonts w:cs="Times New Roman"/>
          <w:szCs w:val="24"/>
        </w:rPr>
        <w:t>Under generally-accepted accounting principles, shared costs should be allocated based on cost-driving factors.</w:t>
      </w:r>
      <w:r w:rsidR="00FD57F1" w:rsidRPr="00735A6A">
        <w:rPr>
          <w:rStyle w:val="FootnoteReference"/>
          <w:rFonts w:cs="Times New Roman"/>
          <w:szCs w:val="24"/>
        </w:rPr>
        <w:footnoteReference w:id="80"/>
      </w:r>
      <w:r w:rsidR="00FD57F1" w:rsidRPr="00F02100">
        <w:rPr>
          <w:rFonts w:cs="Times New Roman"/>
          <w:szCs w:val="24"/>
        </w:rPr>
        <w:t xml:space="preserve">  The </w:t>
      </w:r>
      <w:r w:rsidR="002655FD" w:rsidRPr="00F02100">
        <w:rPr>
          <w:rFonts w:cs="Times New Roman"/>
          <w:szCs w:val="24"/>
        </w:rPr>
        <w:t xml:space="preserve">regulatory </w:t>
      </w:r>
      <w:r w:rsidR="00FD57F1" w:rsidRPr="00F02100">
        <w:rPr>
          <w:rFonts w:cs="Times New Roman"/>
          <w:szCs w:val="24"/>
        </w:rPr>
        <w:t xml:space="preserve">goal </w:t>
      </w:r>
      <w:r w:rsidR="002655FD" w:rsidRPr="00F02100">
        <w:rPr>
          <w:rFonts w:cs="Times New Roman"/>
          <w:szCs w:val="24"/>
        </w:rPr>
        <w:t>is</w:t>
      </w:r>
      <w:r w:rsidR="00FD57F1" w:rsidRPr="00F02100">
        <w:rPr>
          <w:rFonts w:cs="Times New Roman"/>
          <w:szCs w:val="24"/>
        </w:rPr>
        <w:t xml:space="preserve"> to assign expenses to </w:t>
      </w:r>
      <w:r w:rsidR="002655FD" w:rsidRPr="00F02100">
        <w:rPr>
          <w:rFonts w:cs="Times New Roman"/>
          <w:szCs w:val="24"/>
        </w:rPr>
        <w:t xml:space="preserve">the </w:t>
      </w:r>
      <w:r w:rsidR="00FD57F1" w:rsidRPr="00F02100">
        <w:rPr>
          <w:rFonts w:cs="Times New Roman"/>
          <w:szCs w:val="24"/>
        </w:rPr>
        <w:t xml:space="preserve">entities </w:t>
      </w:r>
      <w:r w:rsidR="00A65904" w:rsidRPr="00F02100">
        <w:rPr>
          <w:rFonts w:cs="Times New Roman"/>
          <w:szCs w:val="24"/>
        </w:rPr>
        <w:t>or operations that generate th</w:t>
      </w:r>
      <w:r w:rsidR="002655FD" w:rsidRPr="00F02100">
        <w:rPr>
          <w:rFonts w:cs="Times New Roman"/>
          <w:szCs w:val="24"/>
        </w:rPr>
        <w:t>ose</w:t>
      </w:r>
      <w:r w:rsidR="00A65904" w:rsidRPr="00F02100">
        <w:rPr>
          <w:rFonts w:cs="Times New Roman"/>
          <w:szCs w:val="24"/>
        </w:rPr>
        <w:t xml:space="preserve"> expenses</w:t>
      </w:r>
      <w:r w:rsidR="00FD57F1" w:rsidRPr="00F02100">
        <w:rPr>
          <w:rFonts w:cs="Times New Roman"/>
          <w:szCs w:val="24"/>
        </w:rPr>
        <w:t xml:space="preserve"> and</w:t>
      </w:r>
      <w:r w:rsidR="00A65904" w:rsidRPr="00F02100">
        <w:rPr>
          <w:rFonts w:cs="Times New Roman"/>
          <w:szCs w:val="24"/>
        </w:rPr>
        <w:t xml:space="preserve"> </w:t>
      </w:r>
      <w:r w:rsidR="00FD57F1" w:rsidRPr="00F02100">
        <w:rPr>
          <w:rFonts w:cs="Times New Roman"/>
          <w:szCs w:val="24"/>
        </w:rPr>
        <w:t>avoid cross-subsidization between regulated and non-regulated operations.</w:t>
      </w:r>
      <w:r w:rsidR="00FD57F1" w:rsidRPr="00735A6A">
        <w:rPr>
          <w:rStyle w:val="FootnoteReference"/>
          <w:rFonts w:cs="Times New Roman"/>
          <w:szCs w:val="24"/>
        </w:rPr>
        <w:footnoteReference w:id="81"/>
      </w:r>
      <w:r w:rsidR="00FD57F1" w:rsidRPr="00F02100">
        <w:rPr>
          <w:rFonts w:cs="Times New Roman"/>
          <w:szCs w:val="24"/>
        </w:rPr>
        <w:t xml:space="preserve">  The Commission supports allocating expenses on the basis of cost causation and avoidance of cross-subsidies.</w:t>
      </w:r>
      <w:r w:rsidR="00FD57F1" w:rsidRPr="00735A6A">
        <w:rPr>
          <w:rStyle w:val="FootnoteReference"/>
          <w:rFonts w:cs="Times New Roman"/>
          <w:szCs w:val="24"/>
        </w:rPr>
        <w:footnoteReference w:id="82"/>
      </w:r>
      <w:r w:rsidR="00FD57F1" w:rsidRPr="00F02100">
        <w:rPr>
          <w:rFonts w:cs="Times New Roman"/>
          <w:szCs w:val="24"/>
        </w:rPr>
        <w:t xml:space="preserve">  </w:t>
      </w:r>
      <w:r w:rsidR="0035010F" w:rsidRPr="00F02100">
        <w:rPr>
          <w:rFonts w:cs="Times New Roman"/>
          <w:szCs w:val="24"/>
        </w:rPr>
        <w:t xml:space="preserve">Ms. Cheesman’s testimony applies these regulatory and Commission-approved principles.  WCI’s recommendation does not adhere </w:t>
      </w:r>
      <w:r w:rsidR="00817F1B" w:rsidRPr="00F02100">
        <w:rPr>
          <w:rFonts w:cs="Times New Roman"/>
          <w:szCs w:val="24"/>
        </w:rPr>
        <w:t>to the principle of cost causation</w:t>
      </w:r>
      <w:r w:rsidR="002655FD" w:rsidRPr="00F02100">
        <w:rPr>
          <w:rFonts w:cs="Times New Roman"/>
          <w:szCs w:val="24"/>
        </w:rPr>
        <w:t>,</w:t>
      </w:r>
      <w:r w:rsidR="00817F1B" w:rsidRPr="00F02100">
        <w:rPr>
          <w:rFonts w:cs="Times New Roman"/>
          <w:szCs w:val="24"/>
        </w:rPr>
        <w:t xml:space="preserve"> and the Company has not put forward information indicating that its proposal somehow estimates, or even attempts to estimate, each entity’s impact on costs</w:t>
      </w:r>
      <w:r w:rsidR="00496F9F" w:rsidRPr="00F02100">
        <w:rPr>
          <w:rFonts w:cs="Times New Roman"/>
          <w:szCs w:val="24"/>
        </w:rPr>
        <w:t>.</w:t>
      </w:r>
    </w:p>
    <w:p w14:paraId="4A729FE2" w14:textId="464422BD" w:rsidR="00496F9F" w:rsidRPr="00F02100" w:rsidRDefault="00F02100" w:rsidP="00F02100">
      <w:pPr>
        <w:spacing w:after="0" w:line="480" w:lineRule="auto"/>
        <w:ind w:firstLine="720"/>
        <w:rPr>
          <w:rFonts w:cs="Times New Roman"/>
          <w:b/>
          <w:szCs w:val="24"/>
        </w:rPr>
      </w:pPr>
      <w:r w:rsidRPr="00F02100">
        <w:rPr>
          <w:b/>
        </w:rPr>
        <w:t>2.</w:t>
      </w:r>
      <w:r>
        <w:tab/>
      </w:r>
      <w:r w:rsidR="00496F9F" w:rsidRPr="00F02100">
        <w:rPr>
          <w:rFonts w:cs="Times New Roman"/>
          <w:b/>
          <w:szCs w:val="24"/>
        </w:rPr>
        <w:t>Staff’s proposal is reasonable and consistent with regulatory principles</w:t>
      </w:r>
      <w:r w:rsidR="00830B32">
        <w:rPr>
          <w:rFonts w:cs="Times New Roman"/>
          <w:b/>
          <w:szCs w:val="24"/>
        </w:rPr>
        <w:t>.</w:t>
      </w:r>
    </w:p>
    <w:p w14:paraId="4A729FE3" w14:textId="5DC62ECF" w:rsidR="005E34DE" w:rsidRPr="00F02100" w:rsidRDefault="00F02100" w:rsidP="00F02100">
      <w:pPr>
        <w:pStyle w:val="ListParagraph"/>
        <w:numPr>
          <w:ilvl w:val="0"/>
          <w:numId w:val="32"/>
        </w:numPr>
        <w:spacing w:after="0" w:line="480" w:lineRule="auto"/>
        <w:rPr>
          <w:rFonts w:cs="Times New Roman"/>
          <w:szCs w:val="24"/>
        </w:rPr>
      </w:pPr>
      <w:r>
        <w:rPr>
          <w:rFonts w:cs="Times New Roman"/>
          <w:szCs w:val="24"/>
        </w:rPr>
        <w:tab/>
      </w:r>
      <w:r w:rsidR="00AC7367" w:rsidRPr="00F02100">
        <w:rPr>
          <w:rFonts w:cs="Times New Roman"/>
          <w:szCs w:val="24"/>
        </w:rPr>
        <w:t xml:space="preserve">Staff’s </w:t>
      </w:r>
      <w:r w:rsidR="005E34DE" w:rsidRPr="00F02100">
        <w:rPr>
          <w:rFonts w:cs="Times New Roman"/>
          <w:szCs w:val="24"/>
        </w:rPr>
        <w:t xml:space="preserve">three-factor allocator </w:t>
      </w:r>
      <w:r w:rsidR="00AC7367" w:rsidRPr="00F02100">
        <w:rPr>
          <w:rFonts w:cs="Times New Roman"/>
          <w:szCs w:val="24"/>
        </w:rPr>
        <w:t>is the average percentage of each tenant’s number of employees, fixed assets per book value, and revenues.</w:t>
      </w:r>
      <w:r w:rsidR="002655FD" w:rsidRPr="00735A6A">
        <w:rPr>
          <w:rStyle w:val="FootnoteReference"/>
          <w:rFonts w:cs="Times New Roman"/>
          <w:szCs w:val="24"/>
        </w:rPr>
        <w:footnoteReference w:id="83"/>
      </w:r>
      <w:r w:rsidR="00AC7367" w:rsidRPr="00F02100">
        <w:rPr>
          <w:rFonts w:cs="Times New Roman"/>
          <w:szCs w:val="24"/>
        </w:rPr>
        <w:t xml:space="preserve"> </w:t>
      </w:r>
      <w:r w:rsidR="005E34DE" w:rsidRPr="00F02100">
        <w:rPr>
          <w:rFonts w:cs="Times New Roman"/>
          <w:szCs w:val="24"/>
        </w:rPr>
        <w:t xml:space="preserve"> Staff’s arguments in favor of its three-factor allocator </w:t>
      </w:r>
      <w:r w:rsidR="00817F1B" w:rsidRPr="00F02100">
        <w:rPr>
          <w:rFonts w:cs="Times New Roman"/>
          <w:szCs w:val="24"/>
        </w:rPr>
        <w:t xml:space="preserve">here are the same as those </w:t>
      </w:r>
      <w:r w:rsidR="002655FD" w:rsidRPr="00F02100">
        <w:rPr>
          <w:rFonts w:cs="Times New Roman"/>
          <w:szCs w:val="24"/>
        </w:rPr>
        <w:t xml:space="preserve">described for </w:t>
      </w:r>
      <w:r w:rsidR="00F65B7F" w:rsidRPr="002A3462">
        <w:rPr>
          <w:rFonts w:cs="Times New Roman"/>
          <w:szCs w:val="24"/>
        </w:rPr>
        <w:t>Section II. Shared Utilities Expense, Adjustment R-6D</w:t>
      </w:r>
      <w:r w:rsidR="003D4728" w:rsidRPr="002A3462">
        <w:rPr>
          <w:rFonts w:cs="Times New Roman"/>
          <w:szCs w:val="24"/>
        </w:rPr>
        <w:t xml:space="preserve"> </w:t>
      </w:r>
      <w:r w:rsidR="005E34DE" w:rsidRPr="00F02100">
        <w:rPr>
          <w:rFonts w:cs="Times New Roman"/>
          <w:szCs w:val="24"/>
        </w:rPr>
        <w:t>and need not be repeated verbatim.</w:t>
      </w:r>
      <w:r w:rsidR="002655FD" w:rsidRPr="00735A6A">
        <w:rPr>
          <w:rStyle w:val="FootnoteReference"/>
          <w:rFonts w:cs="Times New Roman"/>
          <w:szCs w:val="24"/>
        </w:rPr>
        <w:footnoteReference w:id="84"/>
      </w:r>
      <w:r w:rsidR="005E34DE" w:rsidRPr="00F02100">
        <w:rPr>
          <w:rFonts w:cs="Times New Roman"/>
          <w:szCs w:val="24"/>
        </w:rPr>
        <w:t xml:space="preserve">  In principle, Staff’s three-factor allocator is a reasonable estimate of each entity’s relative size and scope of operations, which in turn reasonably estimates each entity’s impact on common resources.  Thus, Staff’s allocation is consistent with basic fairness and regulatory accounting principles to assign expenses on the basis of cost causation.  Staff’s recommendation is also analogous to similar allocation factors accepted by the Commission.</w:t>
      </w:r>
      <w:r w:rsidR="002655FD" w:rsidRPr="00735A6A">
        <w:rPr>
          <w:rStyle w:val="FootnoteReference"/>
          <w:rFonts w:cs="Times New Roman"/>
          <w:szCs w:val="24"/>
        </w:rPr>
        <w:footnoteReference w:id="85"/>
      </w:r>
      <w:r w:rsidR="005E34DE" w:rsidRPr="00F02100">
        <w:rPr>
          <w:rFonts w:cs="Times New Roman"/>
          <w:szCs w:val="24"/>
        </w:rPr>
        <w:t xml:space="preserve"> </w:t>
      </w:r>
    </w:p>
    <w:p w14:paraId="4A729FE4" w14:textId="195C30A9" w:rsidR="00496F9F" w:rsidRPr="00F02100" w:rsidRDefault="00F02100" w:rsidP="00F02100">
      <w:pPr>
        <w:spacing w:after="0" w:line="480" w:lineRule="auto"/>
        <w:ind w:firstLine="720"/>
        <w:rPr>
          <w:rFonts w:cs="Times New Roman"/>
          <w:b/>
          <w:szCs w:val="24"/>
        </w:rPr>
      </w:pPr>
      <w:r w:rsidRPr="00F02100">
        <w:rPr>
          <w:b/>
        </w:rPr>
        <w:t>3.</w:t>
      </w:r>
      <w:r>
        <w:tab/>
      </w:r>
      <w:r w:rsidR="00496F9F" w:rsidRPr="00F02100">
        <w:rPr>
          <w:rFonts w:cs="Times New Roman"/>
          <w:b/>
          <w:szCs w:val="24"/>
        </w:rPr>
        <w:t>WCI’s proposal is not supported and ignores cost causation</w:t>
      </w:r>
      <w:r w:rsidR="00830B32">
        <w:rPr>
          <w:rFonts w:cs="Times New Roman"/>
          <w:b/>
          <w:szCs w:val="24"/>
        </w:rPr>
        <w:t>.</w:t>
      </w:r>
    </w:p>
    <w:p w14:paraId="4A729FE5" w14:textId="69965AC8" w:rsidR="005E34DE" w:rsidRPr="00F02100" w:rsidRDefault="00F02100" w:rsidP="00F02100">
      <w:pPr>
        <w:pStyle w:val="ListParagraph"/>
        <w:numPr>
          <w:ilvl w:val="0"/>
          <w:numId w:val="32"/>
        </w:numPr>
        <w:spacing w:after="0" w:line="480" w:lineRule="auto"/>
        <w:rPr>
          <w:rFonts w:cs="Times New Roman"/>
          <w:szCs w:val="24"/>
        </w:rPr>
      </w:pPr>
      <w:r>
        <w:rPr>
          <w:rFonts w:cs="Times New Roman"/>
          <w:szCs w:val="24"/>
        </w:rPr>
        <w:tab/>
      </w:r>
      <w:r w:rsidR="005E34DE" w:rsidRPr="00F02100">
        <w:rPr>
          <w:rFonts w:cs="Times New Roman"/>
          <w:szCs w:val="24"/>
        </w:rPr>
        <w:t xml:space="preserve">The rebuttal testimony of Ms. Davis requests that the Commission allocate depreciation and </w:t>
      </w:r>
      <w:r w:rsidR="003226E7" w:rsidRPr="00F02100">
        <w:rPr>
          <w:rFonts w:cs="Times New Roman"/>
          <w:szCs w:val="24"/>
        </w:rPr>
        <w:t>average net investment</w:t>
      </w:r>
      <w:r w:rsidR="005E34DE" w:rsidRPr="00F02100">
        <w:rPr>
          <w:rFonts w:cs="Times New Roman"/>
          <w:szCs w:val="24"/>
        </w:rPr>
        <w:t xml:space="preserve"> by the number of entities sharing a facility.</w:t>
      </w:r>
      <w:r w:rsidR="00817F1B" w:rsidRPr="00735A6A">
        <w:rPr>
          <w:rStyle w:val="FootnoteReference"/>
          <w:rFonts w:cs="Times New Roman"/>
          <w:szCs w:val="24"/>
        </w:rPr>
        <w:footnoteReference w:id="86"/>
      </w:r>
      <w:r w:rsidR="005E34DE" w:rsidRPr="00F02100">
        <w:rPr>
          <w:rFonts w:cs="Times New Roman"/>
          <w:szCs w:val="24"/>
        </w:rPr>
        <w:t xml:space="preserve">  </w:t>
      </w:r>
      <w:r w:rsidR="00046AEA" w:rsidRPr="00F02100">
        <w:rPr>
          <w:rFonts w:cs="Times New Roman"/>
          <w:szCs w:val="24"/>
        </w:rPr>
        <w:t xml:space="preserve">The Company’s proposal relies on </w:t>
      </w:r>
      <w:r w:rsidR="00A36FA2" w:rsidRPr="00F02100">
        <w:rPr>
          <w:rFonts w:cs="Times New Roman"/>
          <w:szCs w:val="24"/>
        </w:rPr>
        <w:t xml:space="preserve">its own </w:t>
      </w:r>
      <w:r w:rsidR="00046AEA" w:rsidRPr="00F02100">
        <w:rPr>
          <w:rFonts w:cs="Times New Roman"/>
          <w:szCs w:val="24"/>
        </w:rPr>
        <w:t>statements of “reasonable” and “consistent.”</w:t>
      </w:r>
      <w:r w:rsidR="00046AEA" w:rsidRPr="00735A6A">
        <w:rPr>
          <w:rStyle w:val="FootnoteReference"/>
          <w:rFonts w:cs="Times New Roman"/>
          <w:szCs w:val="24"/>
        </w:rPr>
        <w:footnoteReference w:id="87"/>
      </w:r>
      <w:r w:rsidR="00046AEA" w:rsidRPr="00F02100">
        <w:rPr>
          <w:rFonts w:cs="Times New Roman"/>
          <w:szCs w:val="24"/>
        </w:rPr>
        <w:t xml:space="preserve">  </w:t>
      </w:r>
      <w:r w:rsidR="005E34DE" w:rsidRPr="00F02100">
        <w:rPr>
          <w:rFonts w:cs="Times New Roman"/>
          <w:szCs w:val="24"/>
        </w:rPr>
        <w:t xml:space="preserve">WCI does not provide a supporting calculation or demonstrate anywhere in the record that such an allocation </w:t>
      </w:r>
      <w:r w:rsidR="00046AEA" w:rsidRPr="00F02100">
        <w:rPr>
          <w:rFonts w:cs="Times New Roman"/>
          <w:szCs w:val="24"/>
        </w:rPr>
        <w:t>fairly</w:t>
      </w:r>
      <w:r w:rsidR="005E34DE" w:rsidRPr="00F02100">
        <w:rPr>
          <w:rFonts w:cs="Times New Roman"/>
          <w:szCs w:val="24"/>
        </w:rPr>
        <w:t xml:space="preserve"> corresponds to each entity’s contribution to costs.  </w:t>
      </w:r>
      <w:r w:rsidR="00A36FA2" w:rsidRPr="00F02100">
        <w:rPr>
          <w:rFonts w:cs="Times New Roman"/>
          <w:szCs w:val="24"/>
        </w:rPr>
        <w:t>Thus, t</w:t>
      </w:r>
      <w:r w:rsidR="00FD57F1" w:rsidRPr="00F02100">
        <w:rPr>
          <w:rFonts w:cs="Times New Roman"/>
          <w:szCs w:val="24"/>
        </w:rPr>
        <w:t xml:space="preserve">he Commission should reject </w:t>
      </w:r>
      <w:r w:rsidR="00A36FA2" w:rsidRPr="00F02100">
        <w:rPr>
          <w:rFonts w:cs="Times New Roman"/>
          <w:szCs w:val="24"/>
        </w:rPr>
        <w:t xml:space="preserve">the Company’s </w:t>
      </w:r>
      <w:r w:rsidR="00FD57F1" w:rsidRPr="00F02100">
        <w:rPr>
          <w:rFonts w:cs="Times New Roman"/>
          <w:szCs w:val="24"/>
        </w:rPr>
        <w:t xml:space="preserve">proposal </w:t>
      </w:r>
      <w:r w:rsidR="00817F1B" w:rsidRPr="00F02100">
        <w:rPr>
          <w:rFonts w:cs="Times New Roman"/>
          <w:szCs w:val="24"/>
        </w:rPr>
        <w:t>as</w:t>
      </w:r>
      <w:r w:rsidR="00FD57F1" w:rsidRPr="00F02100">
        <w:rPr>
          <w:rFonts w:cs="Times New Roman"/>
          <w:szCs w:val="24"/>
        </w:rPr>
        <w:t xml:space="preserve"> overly-simplistic, unsupported, and unreasonable given general regulatory principles and the Commission’s </w:t>
      </w:r>
      <w:r w:rsidR="00033C76" w:rsidRPr="00F02100">
        <w:rPr>
          <w:rFonts w:cs="Times New Roman"/>
          <w:szCs w:val="24"/>
        </w:rPr>
        <w:t>precedent</w:t>
      </w:r>
      <w:r w:rsidR="00FD57F1" w:rsidRPr="00F02100">
        <w:rPr>
          <w:rFonts w:cs="Times New Roman"/>
          <w:szCs w:val="24"/>
        </w:rPr>
        <w:t xml:space="preserve"> </w:t>
      </w:r>
      <w:r w:rsidR="00033C76" w:rsidRPr="00F02100">
        <w:rPr>
          <w:rFonts w:cs="Times New Roman"/>
          <w:szCs w:val="24"/>
        </w:rPr>
        <w:t xml:space="preserve">supporting </w:t>
      </w:r>
      <w:r w:rsidR="00FD57F1" w:rsidRPr="00F02100">
        <w:rPr>
          <w:rFonts w:cs="Times New Roman"/>
          <w:szCs w:val="24"/>
        </w:rPr>
        <w:t>allocati</w:t>
      </w:r>
      <w:r w:rsidR="00033C76" w:rsidRPr="00F02100">
        <w:rPr>
          <w:rFonts w:cs="Times New Roman"/>
          <w:szCs w:val="24"/>
        </w:rPr>
        <w:t>ons</w:t>
      </w:r>
      <w:r w:rsidR="00FD57F1" w:rsidRPr="00F02100">
        <w:rPr>
          <w:rFonts w:cs="Times New Roman"/>
          <w:szCs w:val="24"/>
        </w:rPr>
        <w:t xml:space="preserve"> on the basis of cost</w:t>
      </w:r>
      <w:r w:rsidR="000021B0" w:rsidRPr="00F02100">
        <w:rPr>
          <w:rFonts w:cs="Times New Roman"/>
          <w:szCs w:val="24"/>
        </w:rPr>
        <w:t xml:space="preserve"> drivers</w:t>
      </w:r>
      <w:r w:rsidR="00FD57F1" w:rsidRPr="00F02100">
        <w:rPr>
          <w:rFonts w:cs="Times New Roman"/>
          <w:szCs w:val="24"/>
        </w:rPr>
        <w:t xml:space="preserve">.  </w:t>
      </w:r>
    </w:p>
    <w:p w14:paraId="4A729FE6" w14:textId="55F785CD" w:rsidR="00695DEC" w:rsidRPr="00F02100" w:rsidRDefault="00042875" w:rsidP="00042875">
      <w:pPr>
        <w:spacing w:after="0" w:line="480" w:lineRule="auto"/>
        <w:jc w:val="center"/>
        <w:rPr>
          <w:rFonts w:cs="Times New Roman"/>
          <w:b/>
          <w:szCs w:val="24"/>
        </w:rPr>
      </w:pPr>
      <w:r w:rsidRPr="00042875">
        <w:rPr>
          <w:b/>
        </w:rPr>
        <w:t>IV</w:t>
      </w:r>
      <w:r>
        <w:t>.</w:t>
      </w:r>
      <w:r>
        <w:tab/>
      </w:r>
      <w:r w:rsidR="00695DEC" w:rsidRPr="00F02100">
        <w:rPr>
          <w:rFonts w:cs="Times New Roman"/>
          <w:b/>
          <w:szCs w:val="24"/>
        </w:rPr>
        <w:t>RATE CASE EXPENSES</w:t>
      </w:r>
    </w:p>
    <w:p w14:paraId="4A729FE7" w14:textId="086FAD03" w:rsidR="00033C76" w:rsidRPr="00042875" w:rsidRDefault="00042875" w:rsidP="00042875">
      <w:pPr>
        <w:spacing w:after="0" w:line="480" w:lineRule="auto"/>
        <w:rPr>
          <w:rFonts w:cs="Times New Roman"/>
          <w:b/>
          <w:szCs w:val="24"/>
        </w:rPr>
      </w:pPr>
      <w:r w:rsidRPr="00042875">
        <w:rPr>
          <w:b/>
        </w:rPr>
        <w:t>A.</w:t>
      </w:r>
      <w:r>
        <w:tab/>
      </w:r>
      <w:r w:rsidR="00033C76" w:rsidRPr="00042875">
        <w:rPr>
          <w:rFonts w:cs="Times New Roman"/>
          <w:b/>
          <w:szCs w:val="24"/>
        </w:rPr>
        <w:t>Overview</w:t>
      </w:r>
    </w:p>
    <w:p w14:paraId="4A729FE9" w14:textId="3A04D97D" w:rsidR="00170D7F" w:rsidRPr="00042875" w:rsidRDefault="00042875" w:rsidP="00042875">
      <w:pPr>
        <w:pStyle w:val="ListParagraph"/>
        <w:numPr>
          <w:ilvl w:val="0"/>
          <w:numId w:val="32"/>
        </w:numPr>
        <w:spacing w:after="0" w:line="480" w:lineRule="auto"/>
        <w:rPr>
          <w:rFonts w:cs="Times New Roman"/>
          <w:szCs w:val="24"/>
        </w:rPr>
      </w:pPr>
      <w:r>
        <w:rPr>
          <w:rFonts w:cs="Times New Roman"/>
          <w:szCs w:val="24"/>
        </w:rPr>
        <w:tab/>
      </w:r>
      <w:r w:rsidR="00046AEA" w:rsidRPr="00042875">
        <w:rPr>
          <w:rFonts w:cs="Times New Roman"/>
          <w:szCs w:val="24"/>
        </w:rPr>
        <w:t>WCI incurred significant costs over the course of its rate cases in docket</w:t>
      </w:r>
      <w:r w:rsidR="00A65904" w:rsidRPr="00042875">
        <w:rPr>
          <w:rFonts w:cs="Times New Roman"/>
          <w:szCs w:val="24"/>
        </w:rPr>
        <w:t>s TG-131794 and</w:t>
      </w:r>
      <w:r w:rsidR="00046AEA" w:rsidRPr="00042875">
        <w:rPr>
          <w:rFonts w:cs="Times New Roman"/>
          <w:szCs w:val="24"/>
        </w:rPr>
        <w:t xml:space="preserve"> TG-140560.  The majority of the Company’s rate case costs are payments to legal and accounting professionals.</w:t>
      </w:r>
      <w:r w:rsidR="00C42D12" w:rsidRPr="00042875">
        <w:rPr>
          <w:rFonts w:cs="Times New Roman"/>
          <w:szCs w:val="24"/>
        </w:rPr>
        <w:t xml:space="preserve"> </w:t>
      </w:r>
      <w:r w:rsidR="003D4728" w:rsidRPr="00042875">
        <w:rPr>
          <w:rFonts w:cs="Times New Roman"/>
          <w:szCs w:val="24"/>
        </w:rPr>
        <w:t xml:space="preserve"> </w:t>
      </w:r>
      <w:r w:rsidR="00B615D3" w:rsidRPr="00042875">
        <w:rPr>
          <w:rFonts w:cs="Times New Roman"/>
          <w:szCs w:val="24"/>
        </w:rPr>
        <w:t>Staff has not reviewed rate case cost data beyond June 2014.</w:t>
      </w:r>
      <w:r w:rsidR="008B7EFC" w:rsidRPr="00735A6A">
        <w:rPr>
          <w:rStyle w:val="FootnoteReference"/>
          <w:rFonts w:cs="Times New Roman"/>
          <w:szCs w:val="24"/>
        </w:rPr>
        <w:footnoteReference w:id="88"/>
      </w:r>
      <w:r w:rsidR="00B615D3" w:rsidRPr="00042875">
        <w:rPr>
          <w:rFonts w:cs="Times New Roman"/>
          <w:szCs w:val="24"/>
        </w:rPr>
        <w:t xml:space="preserve"> </w:t>
      </w:r>
    </w:p>
    <w:p w14:paraId="4A729FEA" w14:textId="37AB99E9" w:rsidR="00C42D12" w:rsidRPr="00042875" w:rsidRDefault="00042875" w:rsidP="00042875">
      <w:pPr>
        <w:pStyle w:val="ListParagraph"/>
        <w:numPr>
          <w:ilvl w:val="0"/>
          <w:numId w:val="32"/>
        </w:numPr>
        <w:spacing w:after="0" w:line="480" w:lineRule="auto"/>
        <w:rPr>
          <w:rFonts w:cs="Times New Roman"/>
          <w:szCs w:val="24"/>
        </w:rPr>
      </w:pPr>
      <w:r>
        <w:rPr>
          <w:rFonts w:cs="Times New Roman"/>
          <w:szCs w:val="24"/>
        </w:rPr>
        <w:tab/>
      </w:r>
      <w:r w:rsidR="00170D7F" w:rsidRPr="00042875">
        <w:rPr>
          <w:rFonts w:cs="Times New Roman"/>
          <w:szCs w:val="24"/>
        </w:rPr>
        <w:t xml:space="preserve">Staff and the Company dispute both the allocation of rate case costs and the appropriate amortization period.  Staff recommends the Commission allow the Company to </w:t>
      </w:r>
      <w:r w:rsidR="007A49DF" w:rsidRPr="00042875">
        <w:rPr>
          <w:rFonts w:cs="Times New Roman"/>
          <w:szCs w:val="24"/>
        </w:rPr>
        <w:t xml:space="preserve">recover </w:t>
      </w:r>
      <w:r w:rsidR="00170D7F" w:rsidRPr="00042875">
        <w:rPr>
          <w:rFonts w:cs="Times New Roman"/>
          <w:szCs w:val="24"/>
        </w:rPr>
        <w:t>100</w:t>
      </w:r>
      <w:r w:rsidR="00BB16C4" w:rsidRPr="00042875">
        <w:rPr>
          <w:rFonts w:cs="Times New Roman"/>
          <w:szCs w:val="24"/>
        </w:rPr>
        <w:t xml:space="preserve"> percent</w:t>
      </w:r>
      <w:r w:rsidR="00170D7F" w:rsidRPr="00042875">
        <w:rPr>
          <w:rFonts w:cs="Times New Roman"/>
          <w:szCs w:val="24"/>
        </w:rPr>
        <w:t xml:space="preserve"> of costs associated with the informal auditing process in Docket TG-131794, 50</w:t>
      </w:r>
      <w:r w:rsidR="00BB16C4" w:rsidRPr="00042875">
        <w:rPr>
          <w:rFonts w:cs="Times New Roman"/>
          <w:szCs w:val="24"/>
        </w:rPr>
        <w:t xml:space="preserve"> percent</w:t>
      </w:r>
      <w:r w:rsidR="00170D7F" w:rsidRPr="00042875">
        <w:rPr>
          <w:rFonts w:cs="Times New Roman"/>
          <w:szCs w:val="24"/>
        </w:rPr>
        <w:t xml:space="preserve"> of the costs associated with the formal adjudicative proceeding in Docket TG-131794, and 50</w:t>
      </w:r>
      <w:r w:rsidR="00BB16C4" w:rsidRPr="00042875">
        <w:rPr>
          <w:rFonts w:cs="Times New Roman"/>
          <w:szCs w:val="24"/>
        </w:rPr>
        <w:t xml:space="preserve"> percent</w:t>
      </w:r>
      <w:r w:rsidR="00170D7F" w:rsidRPr="00042875">
        <w:rPr>
          <w:rFonts w:cs="Times New Roman"/>
          <w:szCs w:val="24"/>
        </w:rPr>
        <w:t xml:space="preserve"> of all costs associated with Docket TG-140560.</w:t>
      </w:r>
      <w:r w:rsidR="000021B0" w:rsidRPr="00735A6A">
        <w:rPr>
          <w:rStyle w:val="FootnoteReference"/>
          <w:rFonts w:cs="Times New Roman"/>
          <w:szCs w:val="24"/>
        </w:rPr>
        <w:footnoteReference w:id="89"/>
      </w:r>
      <w:r w:rsidR="00170D7F" w:rsidRPr="00042875">
        <w:rPr>
          <w:rFonts w:cs="Times New Roman"/>
          <w:szCs w:val="24"/>
        </w:rPr>
        <w:t xml:space="preserve">  The Company proposes to recoup 100</w:t>
      </w:r>
      <w:r w:rsidR="00BB16C4" w:rsidRPr="00042875">
        <w:rPr>
          <w:rFonts w:cs="Times New Roman"/>
          <w:szCs w:val="24"/>
        </w:rPr>
        <w:t xml:space="preserve"> percent</w:t>
      </w:r>
      <w:r w:rsidR="00170D7F" w:rsidRPr="00042875">
        <w:rPr>
          <w:rFonts w:cs="Times New Roman"/>
          <w:szCs w:val="24"/>
        </w:rPr>
        <w:t xml:space="preserve"> of all rate case expenses associated with both dockets.</w:t>
      </w:r>
      <w:r w:rsidR="0090397F" w:rsidRPr="00735A6A">
        <w:rPr>
          <w:rStyle w:val="FootnoteReference"/>
          <w:rFonts w:cs="Times New Roman"/>
          <w:szCs w:val="24"/>
        </w:rPr>
        <w:footnoteReference w:id="90"/>
      </w:r>
      <w:r w:rsidR="00170D7F" w:rsidRPr="00042875">
        <w:rPr>
          <w:rFonts w:cs="Times New Roman"/>
          <w:szCs w:val="24"/>
        </w:rPr>
        <w:t xml:space="preserve">  For an appropriate amortization, Staff proposes</w:t>
      </w:r>
      <w:r w:rsidR="000021B0" w:rsidRPr="00042875">
        <w:rPr>
          <w:rFonts w:cs="Times New Roman"/>
          <w:szCs w:val="24"/>
        </w:rPr>
        <w:t xml:space="preserve"> a minimum</w:t>
      </w:r>
      <w:r w:rsidR="00170D7F" w:rsidRPr="00042875">
        <w:rPr>
          <w:rFonts w:cs="Times New Roman"/>
          <w:szCs w:val="24"/>
        </w:rPr>
        <w:t xml:space="preserve"> five years while WCI proposes </w:t>
      </w:r>
      <w:r w:rsidR="0011542F" w:rsidRPr="00042875">
        <w:rPr>
          <w:rFonts w:cs="Times New Roman"/>
          <w:szCs w:val="24"/>
        </w:rPr>
        <w:t>four</w:t>
      </w:r>
      <w:r w:rsidR="00170D7F" w:rsidRPr="00042875">
        <w:rPr>
          <w:rFonts w:cs="Times New Roman"/>
          <w:szCs w:val="24"/>
        </w:rPr>
        <w:t xml:space="preserve"> years.</w:t>
      </w:r>
      <w:r w:rsidR="0090397F" w:rsidRPr="00735A6A">
        <w:rPr>
          <w:rStyle w:val="FootnoteReference"/>
          <w:rFonts w:cs="Times New Roman"/>
          <w:szCs w:val="24"/>
        </w:rPr>
        <w:footnoteReference w:id="91"/>
      </w:r>
      <w:r w:rsidR="00170D7F" w:rsidRPr="00042875">
        <w:rPr>
          <w:rFonts w:cs="Times New Roman"/>
          <w:szCs w:val="24"/>
        </w:rPr>
        <w:t xml:space="preserve">   </w:t>
      </w:r>
    </w:p>
    <w:p w14:paraId="4A729FEB" w14:textId="5231DB8F" w:rsidR="00C42D12" w:rsidRPr="00042875" w:rsidRDefault="00042875" w:rsidP="00042875">
      <w:pPr>
        <w:spacing w:after="0" w:line="480" w:lineRule="auto"/>
        <w:rPr>
          <w:rFonts w:cs="Times New Roman"/>
          <w:szCs w:val="24"/>
        </w:rPr>
      </w:pPr>
      <w:r w:rsidRPr="00042875">
        <w:rPr>
          <w:b/>
        </w:rPr>
        <w:t>B.</w:t>
      </w:r>
      <w:r>
        <w:tab/>
      </w:r>
      <w:r w:rsidR="00033C76" w:rsidRPr="00042875">
        <w:rPr>
          <w:rFonts w:cs="Times New Roman"/>
          <w:b/>
          <w:szCs w:val="24"/>
        </w:rPr>
        <w:t>Procedural Background</w:t>
      </w:r>
      <w:r w:rsidR="00A65904" w:rsidRPr="00735A6A">
        <w:rPr>
          <w:rStyle w:val="FootnoteReference"/>
          <w:rFonts w:cs="Times New Roman"/>
          <w:szCs w:val="24"/>
        </w:rPr>
        <w:footnoteReference w:id="92"/>
      </w:r>
    </w:p>
    <w:p w14:paraId="4A729FEC" w14:textId="3209D66E" w:rsidR="00170D7F" w:rsidRPr="00042875" w:rsidRDefault="00042875" w:rsidP="00042875">
      <w:pPr>
        <w:pStyle w:val="ListParagraph"/>
        <w:numPr>
          <w:ilvl w:val="0"/>
          <w:numId w:val="32"/>
        </w:numPr>
        <w:spacing w:after="0" w:line="480" w:lineRule="auto"/>
        <w:rPr>
          <w:rFonts w:cs="Times New Roman"/>
          <w:szCs w:val="24"/>
        </w:rPr>
      </w:pPr>
      <w:r>
        <w:rPr>
          <w:rFonts w:cs="Times New Roman"/>
          <w:szCs w:val="24"/>
        </w:rPr>
        <w:tab/>
      </w:r>
      <w:r w:rsidR="00C42D12" w:rsidRPr="00042875">
        <w:rPr>
          <w:rFonts w:cs="Times New Roman"/>
          <w:szCs w:val="24"/>
        </w:rPr>
        <w:t>On September 23, 2013, WCI filed a general rate case that became Docket TG-131794.  The Company and Staff then began the informal auditing process.</w:t>
      </w:r>
      <w:r w:rsidR="00170D7F" w:rsidRPr="00042875">
        <w:rPr>
          <w:rFonts w:cs="Times New Roman"/>
          <w:szCs w:val="24"/>
        </w:rPr>
        <w:t xml:space="preserve">  The Parties did not agree on an appropriate revenue requirement.  </w:t>
      </w:r>
      <w:r w:rsidR="00C42D12" w:rsidRPr="00042875">
        <w:rPr>
          <w:rFonts w:cs="Times New Roman"/>
          <w:szCs w:val="24"/>
        </w:rPr>
        <w:t xml:space="preserve">On December 24, 2013, the Commission issued </w:t>
      </w:r>
      <w:r w:rsidR="00170D7F" w:rsidRPr="00042875">
        <w:rPr>
          <w:rFonts w:cs="Times New Roman"/>
          <w:szCs w:val="24"/>
        </w:rPr>
        <w:t xml:space="preserve">a Notice of Prehearing Conference, which initiated the formal adjudicative process.  On March 25, 2014, the Commission dismissed WCI’s filing for failure to meet its evidentiary burden.  The Company refiled its case on April 3, 2014, incorporating documents and testimony from the dismissed case, Docket TG-131794.  WCI’s refiled case became Docket TG-140560.  The Parties </w:t>
      </w:r>
      <w:r w:rsidR="00A65904" w:rsidRPr="00042875">
        <w:rPr>
          <w:rFonts w:cs="Times New Roman"/>
          <w:szCs w:val="24"/>
        </w:rPr>
        <w:t xml:space="preserve">then </w:t>
      </w:r>
      <w:r w:rsidR="00170D7F" w:rsidRPr="00042875">
        <w:rPr>
          <w:rFonts w:cs="Times New Roman"/>
          <w:szCs w:val="24"/>
        </w:rPr>
        <w:t>engaged in a series of discovery disputes which culminated in an Order to Compel to WCI and a Commission-ordered discovery conference.</w:t>
      </w:r>
      <w:r w:rsidR="0090397F" w:rsidRPr="00042875">
        <w:rPr>
          <w:rFonts w:cs="Times New Roman"/>
          <w:szCs w:val="24"/>
        </w:rPr>
        <w:t xml:space="preserve">  On July 18, 2014, Staff filed its testimony. </w:t>
      </w:r>
      <w:r w:rsidR="003D4728" w:rsidRPr="00042875">
        <w:rPr>
          <w:rFonts w:cs="Times New Roman"/>
          <w:szCs w:val="24"/>
        </w:rPr>
        <w:t xml:space="preserve"> </w:t>
      </w:r>
      <w:r w:rsidR="0090397F" w:rsidRPr="00042875">
        <w:rPr>
          <w:rFonts w:cs="Times New Roman"/>
          <w:szCs w:val="24"/>
        </w:rPr>
        <w:t xml:space="preserve">On August 20, 2014, WCI filed rebuttal testimony that presented new information and </w:t>
      </w:r>
      <w:r w:rsidR="003D4728" w:rsidRPr="00042875">
        <w:rPr>
          <w:rFonts w:cs="Times New Roman"/>
          <w:szCs w:val="24"/>
        </w:rPr>
        <w:t xml:space="preserve">subsequently filed additional </w:t>
      </w:r>
      <w:r w:rsidR="0090397F" w:rsidRPr="00042875">
        <w:rPr>
          <w:rFonts w:cs="Times New Roman"/>
          <w:szCs w:val="24"/>
        </w:rPr>
        <w:t xml:space="preserve">support.  On </w:t>
      </w:r>
      <w:r w:rsidR="00DF6144" w:rsidRPr="00042875">
        <w:rPr>
          <w:rFonts w:cs="Times New Roman"/>
          <w:szCs w:val="24"/>
        </w:rPr>
        <w:t xml:space="preserve">October </w:t>
      </w:r>
      <w:r w:rsidR="0090397F" w:rsidRPr="00042875">
        <w:rPr>
          <w:rFonts w:cs="Times New Roman"/>
          <w:szCs w:val="24"/>
        </w:rPr>
        <w:t>13, 2014, Staff and the Company filed a Partial Settlement Agreement and narratives in support of the partial settlement.</w:t>
      </w:r>
    </w:p>
    <w:p w14:paraId="4A729FED" w14:textId="2EDC9AE3" w:rsidR="007A49DF" w:rsidRDefault="00042875" w:rsidP="00042875">
      <w:pPr>
        <w:spacing w:after="0" w:line="240" w:lineRule="auto"/>
        <w:ind w:left="810" w:hanging="810"/>
        <w:rPr>
          <w:rFonts w:cs="Times New Roman"/>
          <w:b/>
          <w:szCs w:val="24"/>
        </w:rPr>
      </w:pPr>
      <w:r w:rsidRPr="00042875">
        <w:rPr>
          <w:b/>
        </w:rPr>
        <w:t>C.</w:t>
      </w:r>
      <w:r>
        <w:tab/>
      </w:r>
      <w:r w:rsidR="005F2320" w:rsidRPr="00042875">
        <w:rPr>
          <w:rFonts w:cs="Times New Roman"/>
          <w:b/>
          <w:szCs w:val="24"/>
        </w:rPr>
        <w:t>Rate Case Costs Incurred between August 2013 and December 24, 2013 (Informal Audit Docket TG-131794)</w:t>
      </w:r>
    </w:p>
    <w:p w14:paraId="76E4494A" w14:textId="77777777" w:rsidR="00042875" w:rsidRPr="00042875" w:rsidRDefault="00042875" w:rsidP="00042875">
      <w:pPr>
        <w:spacing w:after="0" w:line="240" w:lineRule="auto"/>
        <w:rPr>
          <w:rFonts w:cs="Times New Roman"/>
          <w:b/>
          <w:szCs w:val="24"/>
        </w:rPr>
      </w:pPr>
    </w:p>
    <w:p w14:paraId="4A729FEE" w14:textId="376E1653" w:rsidR="007A49DF" w:rsidRPr="00042875" w:rsidRDefault="00042875" w:rsidP="00042875">
      <w:pPr>
        <w:pStyle w:val="ListParagraph"/>
        <w:numPr>
          <w:ilvl w:val="0"/>
          <w:numId w:val="32"/>
        </w:numPr>
        <w:spacing w:after="0" w:line="480" w:lineRule="auto"/>
        <w:rPr>
          <w:rFonts w:cs="Times New Roman"/>
          <w:szCs w:val="24"/>
        </w:rPr>
      </w:pPr>
      <w:r>
        <w:rPr>
          <w:rFonts w:cs="Times New Roman"/>
          <w:szCs w:val="24"/>
        </w:rPr>
        <w:tab/>
      </w:r>
      <w:r w:rsidR="007A49DF" w:rsidRPr="00042875">
        <w:rPr>
          <w:rFonts w:cs="Times New Roman"/>
          <w:szCs w:val="24"/>
        </w:rPr>
        <w:t xml:space="preserve">Staff and the Company recommend </w:t>
      </w:r>
      <w:r w:rsidR="0090397F" w:rsidRPr="00042875">
        <w:rPr>
          <w:rFonts w:cs="Times New Roman"/>
          <w:szCs w:val="24"/>
        </w:rPr>
        <w:t>that the Commission allow WCI to</w:t>
      </w:r>
      <w:r w:rsidR="007A49DF" w:rsidRPr="00042875">
        <w:rPr>
          <w:rFonts w:cs="Times New Roman"/>
          <w:szCs w:val="24"/>
        </w:rPr>
        <w:t xml:space="preserve"> recover </w:t>
      </w:r>
      <w:r w:rsidR="00586DE4" w:rsidRPr="00042875">
        <w:rPr>
          <w:rFonts w:cs="Times New Roman"/>
          <w:szCs w:val="24"/>
        </w:rPr>
        <w:t xml:space="preserve">all rate case costs </w:t>
      </w:r>
      <w:r w:rsidR="0030531A" w:rsidRPr="00042875">
        <w:rPr>
          <w:rFonts w:cs="Times New Roman"/>
          <w:szCs w:val="24"/>
        </w:rPr>
        <w:t>associated with its initial filing</w:t>
      </w:r>
      <w:r w:rsidR="00586DE4" w:rsidRPr="00042875">
        <w:rPr>
          <w:rFonts w:cs="Times New Roman"/>
          <w:szCs w:val="24"/>
        </w:rPr>
        <w:t xml:space="preserve"> </w:t>
      </w:r>
      <w:r w:rsidR="0030531A" w:rsidRPr="00042875">
        <w:rPr>
          <w:rFonts w:cs="Times New Roman"/>
          <w:szCs w:val="24"/>
        </w:rPr>
        <w:t>up to</w:t>
      </w:r>
      <w:r w:rsidR="007A49DF" w:rsidRPr="00042875">
        <w:rPr>
          <w:rFonts w:cs="Times New Roman"/>
          <w:szCs w:val="24"/>
        </w:rPr>
        <w:t xml:space="preserve"> the beginning of the formal adjudicative proceeding. </w:t>
      </w:r>
    </w:p>
    <w:p w14:paraId="4A729FEF" w14:textId="2688A67D" w:rsidR="00170D7F" w:rsidRDefault="00042875" w:rsidP="00042875">
      <w:pPr>
        <w:spacing w:after="0" w:line="240" w:lineRule="auto"/>
        <w:ind w:left="720" w:hanging="720"/>
        <w:rPr>
          <w:rFonts w:cs="Times New Roman"/>
          <w:b/>
          <w:szCs w:val="24"/>
        </w:rPr>
      </w:pPr>
      <w:r w:rsidRPr="00042875">
        <w:rPr>
          <w:b/>
        </w:rPr>
        <w:t>D.</w:t>
      </w:r>
      <w:r>
        <w:tab/>
      </w:r>
      <w:r w:rsidR="005F2320" w:rsidRPr="00042875">
        <w:rPr>
          <w:rFonts w:cs="Times New Roman"/>
          <w:b/>
          <w:szCs w:val="24"/>
        </w:rPr>
        <w:t>Rate Case Costs Incurred between December 24, 2013</w:t>
      </w:r>
      <w:r w:rsidR="00DF6144" w:rsidRPr="00042875">
        <w:rPr>
          <w:rFonts w:cs="Times New Roman"/>
          <w:b/>
          <w:szCs w:val="24"/>
        </w:rPr>
        <w:t>,</w:t>
      </w:r>
      <w:r w:rsidR="005F2320" w:rsidRPr="00042875">
        <w:rPr>
          <w:rFonts w:cs="Times New Roman"/>
          <w:b/>
          <w:szCs w:val="24"/>
        </w:rPr>
        <w:t xml:space="preserve"> and March 25, 2014 (Formal Adjudicative Proceeding in Docket TG-131794)</w:t>
      </w:r>
    </w:p>
    <w:p w14:paraId="304D74DA" w14:textId="77777777" w:rsidR="00042875" w:rsidRPr="00042875" w:rsidRDefault="00042875" w:rsidP="00042875">
      <w:pPr>
        <w:spacing w:after="0" w:line="240" w:lineRule="auto"/>
        <w:ind w:left="720" w:hanging="720"/>
        <w:rPr>
          <w:rFonts w:cs="Times New Roman"/>
          <w:b/>
          <w:szCs w:val="24"/>
        </w:rPr>
      </w:pPr>
    </w:p>
    <w:p w14:paraId="4A729FF0" w14:textId="0931F6F3" w:rsidR="00DE384D" w:rsidRPr="00042875" w:rsidRDefault="00042875" w:rsidP="00042875">
      <w:pPr>
        <w:spacing w:after="0" w:line="480" w:lineRule="auto"/>
        <w:ind w:firstLine="720"/>
        <w:rPr>
          <w:rFonts w:cs="Times New Roman"/>
          <w:b/>
          <w:szCs w:val="24"/>
        </w:rPr>
      </w:pPr>
      <w:r w:rsidRPr="00042875">
        <w:rPr>
          <w:b/>
        </w:rPr>
        <w:t>1.</w:t>
      </w:r>
      <w:r>
        <w:tab/>
      </w:r>
      <w:r w:rsidR="00DE384D" w:rsidRPr="00042875">
        <w:rPr>
          <w:rFonts w:cs="Times New Roman"/>
          <w:b/>
          <w:szCs w:val="24"/>
        </w:rPr>
        <w:t xml:space="preserve">Fundamental </w:t>
      </w:r>
      <w:r w:rsidR="00830B32">
        <w:rPr>
          <w:rFonts w:cs="Times New Roman"/>
          <w:b/>
          <w:szCs w:val="24"/>
        </w:rPr>
        <w:t>p</w:t>
      </w:r>
      <w:r w:rsidR="00DE384D" w:rsidRPr="00042875">
        <w:rPr>
          <w:rFonts w:cs="Times New Roman"/>
          <w:b/>
          <w:szCs w:val="24"/>
        </w:rPr>
        <w:t>rinciples</w:t>
      </w:r>
      <w:r w:rsidR="00830B32">
        <w:rPr>
          <w:rFonts w:cs="Times New Roman"/>
          <w:b/>
          <w:szCs w:val="24"/>
        </w:rPr>
        <w:t>.</w:t>
      </w:r>
    </w:p>
    <w:p w14:paraId="4A729FF1" w14:textId="43A93F8B" w:rsidR="00DE384D" w:rsidRPr="00042875" w:rsidRDefault="00042875" w:rsidP="00042875">
      <w:pPr>
        <w:pStyle w:val="ListParagraph"/>
        <w:numPr>
          <w:ilvl w:val="0"/>
          <w:numId w:val="32"/>
        </w:numPr>
        <w:spacing w:after="0" w:line="480" w:lineRule="auto"/>
        <w:rPr>
          <w:rFonts w:cs="Times New Roman"/>
          <w:szCs w:val="24"/>
        </w:rPr>
      </w:pPr>
      <w:r>
        <w:rPr>
          <w:rFonts w:cs="Times New Roman"/>
          <w:szCs w:val="24"/>
        </w:rPr>
        <w:tab/>
      </w:r>
      <w:r w:rsidR="00170D7F" w:rsidRPr="00042875">
        <w:rPr>
          <w:rFonts w:cs="Times New Roman"/>
          <w:szCs w:val="24"/>
        </w:rPr>
        <w:t>The Commission has an obligation to set rates that are fair, just, reasonable, and sufficient.</w:t>
      </w:r>
      <w:r w:rsidR="00002FC1" w:rsidRPr="00735A6A">
        <w:rPr>
          <w:rStyle w:val="FootnoteReference"/>
          <w:rFonts w:cs="Times New Roman"/>
          <w:szCs w:val="24"/>
        </w:rPr>
        <w:footnoteReference w:id="93"/>
      </w:r>
      <w:r w:rsidR="00170D7F" w:rsidRPr="00042875">
        <w:rPr>
          <w:rFonts w:cs="Times New Roman"/>
          <w:szCs w:val="24"/>
        </w:rPr>
        <w:t xml:space="preserve">  The Commission’s </w:t>
      </w:r>
      <w:r w:rsidR="00586DE4" w:rsidRPr="00042875">
        <w:rPr>
          <w:rFonts w:cs="Times New Roman"/>
          <w:szCs w:val="24"/>
        </w:rPr>
        <w:t xml:space="preserve">statutory </w:t>
      </w:r>
      <w:r w:rsidR="00170D7F" w:rsidRPr="00042875">
        <w:rPr>
          <w:rFonts w:cs="Times New Roman"/>
          <w:szCs w:val="24"/>
        </w:rPr>
        <w:t xml:space="preserve">responsibilities require it to balance both company </w:t>
      </w:r>
      <w:r w:rsidR="00170D7F" w:rsidRPr="00042875">
        <w:rPr>
          <w:rFonts w:cs="Times New Roman"/>
          <w:i/>
          <w:szCs w:val="24"/>
        </w:rPr>
        <w:t>and</w:t>
      </w:r>
      <w:r w:rsidR="00170D7F" w:rsidRPr="00042875">
        <w:rPr>
          <w:rFonts w:cs="Times New Roman"/>
          <w:szCs w:val="24"/>
        </w:rPr>
        <w:t xml:space="preserve"> ratepayer interests.</w:t>
      </w:r>
      <w:r w:rsidR="00ED6556" w:rsidRPr="00735A6A">
        <w:rPr>
          <w:rStyle w:val="FootnoteReference"/>
          <w:rFonts w:cs="Times New Roman"/>
          <w:szCs w:val="24"/>
        </w:rPr>
        <w:footnoteReference w:id="94"/>
      </w:r>
      <w:r w:rsidR="00170D7F" w:rsidRPr="00042875">
        <w:rPr>
          <w:rFonts w:cs="Times New Roman"/>
          <w:szCs w:val="24"/>
        </w:rPr>
        <w:t xml:space="preserve">  </w:t>
      </w:r>
      <w:r w:rsidR="00A949F0" w:rsidRPr="00042875">
        <w:rPr>
          <w:rFonts w:cs="Times New Roman"/>
          <w:szCs w:val="24"/>
        </w:rPr>
        <w:t>Although WCI’s shareholders are represented</w:t>
      </w:r>
      <w:r w:rsidR="00C03EF9" w:rsidRPr="00042875">
        <w:rPr>
          <w:rFonts w:cs="Times New Roman"/>
          <w:szCs w:val="24"/>
        </w:rPr>
        <w:t xml:space="preserve"> in this proceeding</w:t>
      </w:r>
      <w:r w:rsidR="00A949F0" w:rsidRPr="00042875">
        <w:rPr>
          <w:rFonts w:cs="Times New Roman"/>
          <w:szCs w:val="24"/>
        </w:rPr>
        <w:t>, WCI’s ratepayers have no say or input on when the Company files a</w:t>
      </w:r>
      <w:r w:rsidR="00C03EF9" w:rsidRPr="00042875">
        <w:rPr>
          <w:rFonts w:cs="Times New Roman"/>
          <w:szCs w:val="24"/>
        </w:rPr>
        <w:t xml:space="preserve"> general rate case, the strategies</w:t>
      </w:r>
      <w:r w:rsidR="00A949F0" w:rsidRPr="00042875">
        <w:rPr>
          <w:rFonts w:cs="Times New Roman"/>
          <w:szCs w:val="24"/>
        </w:rPr>
        <w:t xml:space="preserve"> employed, or the </w:t>
      </w:r>
      <w:r w:rsidR="003123D1" w:rsidRPr="00042875">
        <w:rPr>
          <w:rFonts w:cs="Times New Roman"/>
          <w:szCs w:val="24"/>
        </w:rPr>
        <w:t>individuals involved</w:t>
      </w:r>
      <w:r w:rsidR="00A949F0" w:rsidRPr="00042875">
        <w:rPr>
          <w:rFonts w:cs="Times New Roman"/>
          <w:szCs w:val="24"/>
        </w:rPr>
        <w:t xml:space="preserve"> in the process. </w:t>
      </w:r>
    </w:p>
    <w:p w14:paraId="4A729FF2" w14:textId="77777777" w:rsidR="00DB389F" w:rsidRPr="00735A6A" w:rsidRDefault="00DE384D" w:rsidP="00735A6A">
      <w:pPr>
        <w:spacing w:after="0" w:line="480" w:lineRule="auto"/>
        <w:ind w:firstLine="720"/>
        <w:contextualSpacing/>
        <w:rPr>
          <w:rFonts w:cs="Times New Roman"/>
          <w:szCs w:val="24"/>
        </w:rPr>
      </w:pPr>
      <w:r w:rsidRPr="00735A6A">
        <w:rPr>
          <w:rFonts w:cs="Times New Roman"/>
          <w:szCs w:val="24"/>
        </w:rPr>
        <w:t>Staff’s testimony raises concern over a situation where shareholders have complete control over the decision-making process in a general rate proceeding, but can shift the consequences and obligations associated with their decisions to ratepayers.</w:t>
      </w:r>
      <w:r w:rsidRPr="00735A6A">
        <w:rPr>
          <w:rStyle w:val="FootnoteReference"/>
          <w:rFonts w:cs="Times New Roman"/>
          <w:szCs w:val="24"/>
        </w:rPr>
        <w:footnoteReference w:id="95"/>
      </w:r>
      <w:r w:rsidRPr="00735A6A">
        <w:rPr>
          <w:rFonts w:cs="Times New Roman"/>
          <w:szCs w:val="24"/>
        </w:rPr>
        <w:t xml:space="preserve">  Such a proposal </w:t>
      </w:r>
      <w:r w:rsidR="00AD729A" w:rsidRPr="00735A6A">
        <w:rPr>
          <w:rFonts w:cs="Times New Roman"/>
          <w:szCs w:val="24"/>
        </w:rPr>
        <w:t>results in</w:t>
      </w:r>
      <w:r w:rsidRPr="00735A6A">
        <w:rPr>
          <w:rFonts w:cs="Times New Roman"/>
          <w:szCs w:val="24"/>
        </w:rPr>
        <w:t xml:space="preserve"> “Heads, the Company wins. Tails, the ratepayers lose.”  Guaranteeing recovery of rate case costs regardless of the Company’s actions and the merits of its positions </w:t>
      </w:r>
      <w:r w:rsidR="00C03EF9" w:rsidRPr="00735A6A">
        <w:rPr>
          <w:rFonts w:cs="Times New Roman"/>
          <w:szCs w:val="24"/>
        </w:rPr>
        <w:t>allows</w:t>
      </w:r>
      <w:r w:rsidRPr="00735A6A">
        <w:rPr>
          <w:rFonts w:cs="Times New Roman"/>
          <w:szCs w:val="24"/>
        </w:rPr>
        <w:t xml:space="preserve"> and possibly incentivizes company shareholders to make inadequate filings, pursue illogical positions, and prolong rate cases.  </w:t>
      </w:r>
      <w:r w:rsidR="00DB389F" w:rsidRPr="00735A6A">
        <w:rPr>
          <w:rFonts w:cs="Times New Roman"/>
          <w:szCs w:val="24"/>
        </w:rPr>
        <w:t>The Commission should reject a</w:t>
      </w:r>
      <w:r w:rsidR="0030531A" w:rsidRPr="00735A6A">
        <w:rPr>
          <w:rFonts w:cs="Times New Roman"/>
          <w:szCs w:val="24"/>
        </w:rPr>
        <w:t>ny</w:t>
      </w:r>
      <w:r w:rsidR="00DB389F" w:rsidRPr="00735A6A">
        <w:rPr>
          <w:rFonts w:cs="Times New Roman"/>
          <w:szCs w:val="24"/>
        </w:rPr>
        <w:t xml:space="preserve"> proposal that benefits shareholders in such a disproportionate and lopsided manner at the expense of ratepayer interests.</w:t>
      </w:r>
    </w:p>
    <w:p w14:paraId="4A729FF3" w14:textId="3A4E47C3" w:rsidR="006751BF" w:rsidRDefault="00E90242" w:rsidP="00E90242">
      <w:pPr>
        <w:spacing w:after="0" w:line="240" w:lineRule="auto"/>
        <w:ind w:left="1440" w:hanging="720"/>
        <w:rPr>
          <w:rFonts w:cs="Times New Roman"/>
          <w:b/>
          <w:szCs w:val="24"/>
        </w:rPr>
      </w:pPr>
      <w:r w:rsidRPr="00E90242">
        <w:rPr>
          <w:b/>
        </w:rPr>
        <w:t>2.</w:t>
      </w:r>
      <w:r>
        <w:tab/>
      </w:r>
      <w:r w:rsidR="00DE384D" w:rsidRPr="00E90242">
        <w:rPr>
          <w:rFonts w:cs="Times New Roman"/>
          <w:b/>
          <w:szCs w:val="24"/>
        </w:rPr>
        <w:t xml:space="preserve">WCI’s shareholders </w:t>
      </w:r>
      <w:r w:rsidR="00AD729A" w:rsidRPr="00E90242">
        <w:rPr>
          <w:rFonts w:cs="Times New Roman"/>
          <w:b/>
          <w:szCs w:val="24"/>
        </w:rPr>
        <w:t xml:space="preserve">managed </w:t>
      </w:r>
      <w:r w:rsidR="00DE384D" w:rsidRPr="00E90242">
        <w:rPr>
          <w:rFonts w:cs="Times New Roman"/>
          <w:b/>
          <w:szCs w:val="24"/>
        </w:rPr>
        <w:t xml:space="preserve">the general rate filing and should retain some financial obligation for a failed rate case. </w:t>
      </w:r>
    </w:p>
    <w:p w14:paraId="5A16DDF8" w14:textId="77777777" w:rsidR="00E90242" w:rsidRPr="00E90242" w:rsidRDefault="00E90242" w:rsidP="00E90242">
      <w:pPr>
        <w:spacing w:after="0" w:line="240" w:lineRule="auto"/>
        <w:rPr>
          <w:rFonts w:cs="Times New Roman"/>
          <w:b/>
          <w:szCs w:val="24"/>
        </w:rPr>
      </w:pPr>
    </w:p>
    <w:p w14:paraId="4A729FF4" w14:textId="07A71246" w:rsidR="00DE384D" w:rsidRPr="00E90242" w:rsidRDefault="00E90242" w:rsidP="00E90242">
      <w:pPr>
        <w:pStyle w:val="ListParagraph"/>
        <w:numPr>
          <w:ilvl w:val="0"/>
          <w:numId w:val="32"/>
        </w:numPr>
        <w:spacing w:after="0" w:line="480" w:lineRule="auto"/>
        <w:rPr>
          <w:rFonts w:cs="Times New Roman"/>
          <w:szCs w:val="24"/>
        </w:rPr>
      </w:pPr>
      <w:r>
        <w:rPr>
          <w:rFonts w:cs="Times New Roman"/>
          <w:szCs w:val="24"/>
        </w:rPr>
        <w:tab/>
      </w:r>
      <w:r w:rsidR="00DE384D" w:rsidRPr="00E90242">
        <w:rPr>
          <w:rFonts w:cs="Times New Roman"/>
          <w:szCs w:val="24"/>
        </w:rPr>
        <w:t>WCI’s shareholders managed the Company’s actions in the formal adjudicative proceedings associated with TG-131794.  Formal proceedings began with the notice of prehearing conference issued on December 24, 2014 and culminated with the case’s dismissal on March 25, 2014.</w:t>
      </w:r>
      <w:r w:rsidR="00DE384D" w:rsidRPr="00735A6A">
        <w:rPr>
          <w:rStyle w:val="FootnoteReference"/>
          <w:rFonts w:cs="Times New Roman"/>
          <w:szCs w:val="24"/>
        </w:rPr>
        <w:footnoteReference w:id="96"/>
      </w:r>
      <w:r w:rsidR="00DE384D" w:rsidRPr="00E90242">
        <w:rPr>
          <w:rFonts w:cs="Times New Roman"/>
          <w:szCs w:val="24"/>
        </w:rPr>
        <w:t xml:space="preserve">  The Commission dismissed WCI’s filing in TG-131794 for </w:t>
      </w:r>
      <w:r w:rsidR="00AD729A" w:rsidRPr="00E90242">
        <w:rPr>
          <w:rFonts w:cs="Times New Roman"/>
          <w:szCs w:val="24"/>
        </w:rPr>
        <w:t>the Company’s failure</w:t>
      </w:r>
      <w:r w:rsidR="00DE384D" w:rsidRPr="00E90242">
        <w:rPr>
          <w:rFonts w:cs="Times New Roman"/>
          <w:szCs w:val="24"/>
        </w:rPr>
        <w:t xml:space="preserve"> to meet </w:t>
      </w:r>
      <w:r w:rsidR="00AD729A" w:rsidRPr="00E90242">
        <w:rPr>
          <w:rFonts w:cs="Times New Roman"/>
          <w:szCs w:val="24"/>
        </w:rPr>
        <w:t>its</w:t>
      </w:r>
      <w:r w:rsidR="0030531A" w:rsidRPr="00E90242">
        <w:rPr>
          <w:rFonts w:cs="Times New Roman"/>
          <w:szCs w:val="24"/>
        </w:rPr>
        <w:t xml:space="preserve"> evidentiary burden under the Commission’s minimum filing standards</w:t>
      </w:r>
      <w:r w:rsidR="004E5682" w:rsidRPr="00E90242">
        <w:rPr>
          <w:rFonts w:cs="Times New Roman"/>
          <w:szCs w:val="24"/>
        </w:rPr>
        <w:t>.</w:t>
      </w:r>
      <w:r w:rsidR="00DE384D" w:rsidRPr="00735A6A">
        <w:rPr>
          <w:rStyle w:val="FootnoteReference"/>
          <w:rFonts w:cs="Times New Roman"/>
          <w:szCs w:val="24"/>
        </w:rPr>
        <w:footnoteReference w:id="97"/>
      </w:r>
      <w:r w:rsidR="00DE384D" w:rsidRPr="00E90242">
        <w:rPr>
          <w:rFonts w:cs="Times New Roman"/>
          <w:szCs w:val="24"/>
        </w:rPr>
        <w:t xml:space="preserve">  </w:t>
      </w:r>
      <w:r w:rsidR="004E5682" w:rsidRPr="00E90242">
        <w:rPr>
          <w:rFonts w:cs="Times New Roman"/>
          <w:szCs w:val="24"/>
        </w:rPr>
        <w:t xml:space="preserve">The Commission’s order </w:t>
      </w:r>
      <w:r w:rsidR="00C12F3F" w:rsidRPr="00E90242">
        <w:rPr>
          <w:rFonts w:cs="Times New Roman"/>
          <w:szCs w:val="24"/>
        </w:rPr>
        <w:t>expressly noted</w:t>
      </w:r>
      <w:r w:rsidR="0030531A" w:rsidRPr="00E90242">
        <w:rPr>
          <w:rFonts w:cs="Times New Roman"/>
          <w:szCs w:val="24"/>
        </w:rPr>
        <w:t xml:space="preserve"> </w:t>
      </w:r>
      <w:r w:rsidR="004E5682" w:rsidRPr="00E90242">
        <w:rPr>
          <w:rFonts w:cs="Times New Roman"/>
          <w:szCs w:val="24"/>
        </w:rPr>
        <w:t>that the Company, not the Commission or Staff, was responsible for the dismissal.</w:t>
      </w:r>
      <w:r w:rsidR="004E5682" w:rsidRPr="00735A6A">
        <w:rPr>
          <w:rStyle w:val="FootnoteReference"/>
          <w:rFonts w:cs="Times New Roman"/>
          <w:szCs w:val="24"/>
        </w:rPr>
        <w:footnoteReference w:id="98"/>
      </w:r>
      <w:r w:rsidR="004E5682" w:rsidRPr="00E90242">
        <w:rPr>
          <w:rFonts w:cs="Times New Roman"/>
          <w:szCs w:val="24"/>
        </w:rPr>
        <w:t xml:space="preserve">  </w:t>
      </w:r>
      <w:r w:rsidR="009E7BA8" w:rsidRPr="00E90242">
        <w:rPr>
          <w:rFonts w:cs="Times New Roman"/>
          <w:szCs w:val="24"/>
        </w:rPr>
        <w:t xml:space="preserve">Thus, it is </w:t>
      </w:r>
      <w:r w:rsidR="00DE384D" w:rsidRPr="00E90242">
        <w:rPr>
          <w:rFonts w:cs="Times New Roman"/>
          <w:szCs w:val="24"/>
        </w:rPr>
        <w:t xml:space="preserve">WCI’s shareholders and representatives </w:t>
      </w:r>
      <w:r w:rsidR="009E7BA8" w:rsidRPr="00E90242">
        <w:rPr>
          <w:rFonts w:cs="Times New Roman"/>
          <w:szCs w:val="24"/>
        </w:rPr>
        <w:t xml:space="preserve">who </w:t>
      </w:r>
      <w:r w:rsidR="00DE384D" w:rsidRPr="00E90242">
        <w:rPr>
          <w:rFonts w:cs="Times New Roman"/>
          <w:szCs w:val="24"/>
        </w:rPr>
        <w:t xml:space="preserve">failed to follow the Commission rules and regulations, not ratepayers.  </w:t>
      </w:r>
      <w:r w:rsidR="0030531A" w:rsidRPr="00E90242">
        <w:rPr>
          <w:rFonts w:cs="Times New Roman"/>
          <w:szCs w:val="24"/>
        </w:rPr>
        <w:t xml:space="preserve">Ratepayers should not pay the entire cost of a failed general rate case </w:t>
      </w:r>
      <w:r w:rsidR="009E7BA8" w:rsidRPr="00E90242">
        <w:rPr>
          <w:rFonts w:cs="Times New Roman"/>
          <w:szCs w:val="24"/>
        </w:rPr>
        <w:t>for</w:t>
      </w:r>
      <w:r w:rsidR="0030531A" w:rsidRPr="00E90242">
        <w:rPr>
          <w:rFonts w:cs="Times New Roman"/>
          <w:szCs w:val="24"/>
        </w:rPr>
        <w:t xml:space="preserve"> which they had no input or responsibility.  </w:t>
      </w:r>
      <w:r w:rsidR="004E5682" w:rsidRPr="00E90242">
        <w:rPr>
          <w:rFonts w:cs="Times New Roman"/>
          <w:szCs w:val="24"/>
        </w:rPr>
        <w:t xml:space="preserve">WCI’s </w:t>
      </w:r>
      <w:r w:rsidR="00DE384D" w:rsidRPr="00E90242">
        <w:rPr>
          <w:rFonts w:cs="Times New Roman"/>
          <w:szCs w:val="24"/>
        </w:rPr>
        <w:t xml:space="preserve">shareholders should retain responsibility for a significant portion of rate case costs associated with the failed general rate case.  </w:t>
      </w:r>
    </w:p>
    <w:p w14:paraId="4A729FF7" w14:textId="69B103D7" w:rsidR="00715812" w:rsidRPr="00E90242" w:rsidRDefault="00E90242" w:rsidP="00E90242">
      <w:pPr>
        <w:pStyle w:val="ListParagraph"/>
        <w:numPr>
          <w:ilvl w:val="0"/>
          <w:numId w:val="32"/>
        </w:numPr>
        <w:spacing w:after="0" w:line="480" w:lineRule="auto"/>
        <w:rPr>
          <w:rFonts w:cs="Times New Roman"/>
          <w:szCs w:val="24"/>
        </w:rPr>
      </w:pPr>
      <w:r>
        <w:rPr>
          <w:rFonts w:cs="Times New Roman"/>
          <w:szCs w:val="24"/>
        </w:rPr>
        <w:tab/>
      </w:r>
      <w:r w:rsidR="00DE703C" w:rsidRPr="00E90242">
        <w:rPr>
          <w:rFonts w:cs="Times New Roman"/>
          <w:szCs w:val="24"/>
        </w:rPr>
        <w:t xml:space="preserve">Staff’s testimony </w:t>
      </w:r>
      <w:r w:rsidR="009E7BA8" w:rsidRPr="00E90242">
        <w:rPr>
          <w:rFonts w:cs="Times New Roman"/>
          <w:szCs w:val="24"/>
        </w:rPr>
        <w:t>does acknowledge</w:t>
      </w:r>
      <w:r w:rsidR="00DE703C" w:rsidRPr="00E90242">
        <w:rPr>
          <w:rFonts w:cs="Times New Roman"/>
          <w:szCs w:val="24"/>
        </w:rPr>
        <w:t xml:space="preserve"> that some of the Company’s work associated with the formal adjudicative process in Docket TG-131794 became useful and relevant in Docket TG-140560.</w:t>
      </w:r>
      <w:r w:rsidR="00934C52" w:rsidRPr="00735A6A">
        <w:rPr>
          <w:rStyle w:val="FootnoteReference"/>
          <w:rFonts w:cs="Times New Roman"/>
          <w:szCs w:val="24"/>
        </w:rPr>
        <w:footnoteReference w:id="99"/>
      </w:r>
      <w:r w:rsidR="00DE703C" w:rsidRPr="00E90242">
        <w:rPr>
          <w:rFonts w:cs="Times New Roman"/>
          <w:szCs w:val="24"/>
        </w:rPr>
        <w:t xml:space="preserve">  Therefore, Staff recognizes that </w:t>
      </w:r>
      <w:r w:rsidR="00C65710" w:rsidRPr="00E90242">
        <w:rPr>
          <w:rFonts w:cs="Times New Roman"/>
          <w:szCs w:val="24"/>
        </w:rPr>
        <w:t>a portion</w:t>
      </w:r>
      <w:r w:rsidR="00DE703C" w:rsidRPr="00E90242">
        <w:rPr>
          <w:rFonts w:cs="Times New Roman"/>
          <w:szCs w:val="24"/>
        </w:rPr>
        <w:t xml:space="preserve"> of the </w:t>
      </w:r>
      <w:r w:rsidR="00AD729A" w:rsidRPr="00E90242">
        <w:rPr>
          <w:rFonts w:cs="Times New Roman"/>
          <w:szCs w:val="24"/>
        </w:rPr>
        <w:t xml:space="preserve">TG-131794 formal adjudication </w:t>
      </w:r>
      <w:r w:rsidR="00DE703C" w:rsidRPr="00E90242">
        <w:rPr>
          <w:rFonts w:cs="Times New Roman"/>
          <w:szCs w:val="24"/>
        </w:rPr>
        <w:t xml:space="preserve">rate case costs were legitimate and should be included in rates.  </w:t>
      </w:r>
      <w:r w:rsidR="00C65710" w:rsidRPr="00E90242">
        <w:rPr>
          <w:rFonts w:cs="Times New Roman"/>
          <w:szCs w:val="24"/>
        </w:rPr>
        <w:t>In an effort to ensure consistency</w:t>
      </w:r>
      <w:r w:rsidR="00DE703C" w:rsidRPr="00E90242">
        <w:rPr>
          <w:rFonts w:cs="Times New Roman"/>
          <w:szCs w:val="24"/>
        </w:rPr>
        <w:t xml:space="preserve"> with the Commission’s purpose to </w:t>
      </w:r>
      <w:r w:rsidR="00DE384D" w:rsidRPr="00E90242">
        <w:rPr>
          <w:rFonts w:cs="Times New Roman"/>
          <w:szCs w:val="24"/>
        </w:rPr>
        <w:t xml:space="preserve">equally </w:t>
      </w:r>
      <w:r w:rsidR="00DE703C" w:rsidRPr="00E90242">
        <w:rPr>
          <w:rFonts w:cs="Times New Roman"/>
          <w:szCs w:val="24"/>
        </w:rPr>
        <w:t>balance company and ratepayer interests, Staff</w:t>
      </w:r>
      <w:r w:rsidR="00C12F3F" w:rsidRPr="00E90242">
        <w:rPr>
          <w:rFonts w:cs="Times New Roman"/>
          <w:szCs w:val="24"/>
        </w:rPr>
        <w:t>’s testimony</w:t>
      </w:r>
      <w:r w:rsidR="00DE703C" w:rsidRPr="00E90242">
        <w:rPr>
          <w:rFonts w:cs="Times New Roman"/>
          <w:szCs w:val="24"/>
        </w:rPr>
        <w:t xml:space="preserve"> recommends the Commission </w:t>
      </w:r>
      <w:r w:rsidR="00AD729A" w:rsidRPr="00E90242">
        <w:rPr>
          <w:rFonts w:cs="Times New Roman"/>
          <w:szCs w:val="24"/>
        </w:rPr>
        <w:t xml:space="preserve">allow WCI to recover 50 percent of the rate case costs incurred from </w:t>
      </w:r>
      <w:r w:rsidR="00DE703C" w:rsidRPr="00E90242">
        <w:rPr>
          <w:rFonts w:cs="Times New Roman"/>
          <w:szCs w:val="24"/>
        </w:rPr>
        <w:t xml:space="preserve">December 24, 2013 through March 25, 2014.  </w:t>
      </w:r>
      <w:r w:rsidR="00AD729A" w:rsidRPr="00E90242">
        <w:rPr>
          <w:rFonts w:cs="Times New Roman"/>
          <w:szCs w:val="24"/>
        </w:rPr>
        <w:t>T</w:t>
      </w:r>
      <w:r w:rsidR="00C65710" w:rsidRPr="00E90242">
        <w:rPr>
          <w:rFonts w:cs="Times New Roman"/>
          <w:szCs w:val="24"/>
        </w:rPr>
        <w:t>he remaining 50</w:t>
      </w:r>
      <w:r w:rsidR="00AD729A" w:rsidRPr="00E90242">
        <w:rPr>
          <w:rFonts w:cs="Times New Roman"/>
          <w:szCs w:val="24"/>
        </w:rPr>
        <w:t xml:space="preserve"> percent should</w:t>
      </w:r>
      <w:r w:rsidR="00C65710" w:rsidRPr="00E90242">
        <w:rPr>
          <w:rFonts w:cs="Times New Roman"/>
          <w:szCs w:val="24"/>
        </w:rPr>
        <w:t xml:space="preserve"> be absorbed by shareholders.</w:t>
      </w:r>
      <w:r w:rsidR="00934C52" w:rsidRPr="00735A6A">
        <w:rPr>
          <w:rStyle w:val="FootnoteReference"/>
          <w:rFonts w:cs="Times New Roman"/>
          <w:szCs w:val="24"/>
        </w:rPr>
        <w:footnoteReference w:id="100"/>
      </w:r>
      <w:r w:rsidR="00DE703C" w:rsidRPr="00E90242">
        <w:rPr>
          <w:rFonts w:cs="Times New Roman"/>
          <w:szCs w:val="24"/>
        </w:rPr>
        <w:t xml:space="preserve"> </w:t>
      </w:r>
      <w:r w:rsidR="002A3462">
        <w:rPr>
          <w:rFonts w:cs="Times New Roman"/>
          <w:szCs w:val="24"/>
        </w:rPr>
        <w:t xml:space="preserve">  </w:t>
      </w:r>
    </w:p>
    <w:p w14:paraId="4A729FF8" w14:textId="2BB6A07F" w:rsidR="00934C52" w:rsidRPr="00E90242" w:rsidRDefault="00E90242" w:rsidP="00E90242">
      <w:pPr>
        <w:spacing w:after="0" w:line="480" w:lineRule="auto"/>
        <w:rPr>
          <w:rFonts w:cs="Times New Roman"/>
          <w:b/>
          <w:szCs w:val="24"/>
        </w:rPr>
      </w:pPr>
      <w:r w:rsidRPr="00E90242">
        <w:rPr>
          <w:b/>
        </w:rPr>
        <w:t>E.</w:t>
      </w:r>
      <w:r>
        <w:tab/>
      </w:r>
      <w:r w:rsidR="005F2320" w:rsidRPr="00E90242">
        <w:rPr>
          <w:rFonts w:cs="Times New Roman"/>
          <w:b/>
          <w:szCs w:val="24"/>
        </w:rPr>
        <w:t xml:space="preserve">Allocation of Rate Case Costs Incurred </w:t>
      </w:r>
      <w:r w:rsidR="00B615D3" w:rsidRPr="00E90242">
        <w:rPr>
          <w:rFonts w:cs="Times New Roman"/>
          <w:b/>
          <w:szCs w:val="24"/>
        </w:rPr>
        <w:t xml:space="preserve">in </w:t>
      </w:r>
      <w:r w:rsidR="005F2320" w:rsidRPr="00E90242">
        <w:rPr>
          <w:rFonts w:cs="Times New Roman"/>
          <w:b/>
          <w:szCs w:val="24"/>
        </w:rPr>
        <w:t>Docket TG-140560</w:t>
      </w:r>
      <w:r w:rsidR="00B615D3" w:rsidRPr="00830B32">
        <w:rPr>
          <w:rStyle w:val="FootnoteReference"/>
          <w:rFonts w:cs="Times New Roman"/>
          <w:szCs w:val="24"/>
        </w:rPr>
        <w:footnoteReference w:id="101"/>
      </w:r>
    </w:p>
    <w:p w14:paraId="4A729FF9" w14:textId="083895D0" w:rsidR="00934C52" w:rsidRPr="00E90242" w:rsidRDefault="00E90242" w:rsidP="00E90242">
      <w:pPr>
        <w:pStyle w:val="ListParagraph"/>
        <w:numPr>
          <w:ilvl w:val="0"/>
          <w:numId w:val="32"/>
        </w:numPr>
        <w:spacing w:after="0" w:line="480" w:lineRule="auto"/>
        <w:rPr>
          <w:rFonts w:cs="Times New Roman"/>
          <w:szCs w:val="24"/>
        </w:rPr>
      </w:pPr>
      <w:r>
        <w:rPr>
          <w:rFonts w:cs="Times New Roman"/>
          <w:szCs w:val="24"/>
        </w:rPr>
        <w:tab/>
      </w:r>
      <w:r w:rsidR="00934C52" w:rsidRPr="00E90242">
        <w:rPr>
          <w:rFonts w:cs="Times New Roman"/>
          <w:szCs w:val="24"/>
        </w:rPr>
        <w:t>WCI bears a significant amount of responsibility for the delays and complexity associated with Docket TG-140560.  A simple review of the record in this proceeding confirms Ms. Cheesman’s testimony describing multiple sets of testimony, overlapping data, and numerous exhibits and workbooks.</w:t>
      </w:r>
      <w:r w:rsidR="004318E5" w:rsidRPr="00E90242">
        <w:rPr>
          <w:rFonts w:cs="Times New Roman"/>
          <w:szCs w:val="24"/>
        </w:rPr>
        <w:t xml:space="preserve"> </w:t>
      </w:r>
      <w:r w:rsidR="00934C52" w:rsidRPr="00E90242">
        <w:rPr>
          <w:rFonts w:cs="Times New Roman"/>
          <w:szCs w:val="24"/>
        </w:rPr>
        <w:t xml:space="preserve"> As Ms. Cheesman points out, most instances of Staff’s delayed responses were the result of ongoing analysis and confusion over the multiple sets of </w:t>
      </w:r>
      <w:r w:rsidR="00414A51" w:rsidRPr="00E90242">
        <w:rPr>
          <w:rFonts w:cs="Times New Roman"/>
          <w:szCs w:val="24"/>
        </w:rPr>
        <w:t xml:space="preserve">overlapping and contradictory </w:t>
      </w:r>
      <w:r w:rsidR="00934C52" w:rsidRPr="00E90242">
        <w:rPr>
          <w:rFonts w:cs="Times New Roman"/>
          <w:szCs w:val="24"/>
        </w:rPr>
        <w:t>data.</w:t>
      </w:r>
      <w:r w:rsidR="00934C52" w:rsidRPr="00735A6A">
        <w:rPr>
          <w:rStyle w:val="FootnoteReference"/>
          <w:rFonts w:cs="Times New Roman"/>
          <w:szCs w:val="24"/>
        </w:rPr>
        <w:footnoteReference w:id="102"/>
      </w:r>
      <w:r w:rsidR="00934C52" w:rsidRPr="00E90242">
        <w:rPr>
          <w:rFonts w:cs="Times New Roman"/>
          <w:szCs w:val="24"/>
        </w:rPr>
        <w:t xml:space="preserve">   </w:t>
      </w:r>
    </w:p>
    <w:p w14:paraId="4A729FFA" w14:textId="2DCE80CB" w:rsidR="00282F08" w:rsidRPr="00E90242" w:rsidRDefault="00E90242" w:rsidP="00E90242">
      <w:pPr>
        <w:pStyle w:val="ListParagraph"/>
        <w:numPr>
          <w:ilvl w:val="0"/>
          <w:numId w:val="32"/>
        </w:numPr>
        <w:spacing w:after="0" w:line="480" w:lineRule="auto"/>
        <w:rPr>
          <w:rFonts w:cs="Times New Roman"/>
          <w:szCs w:val="24"/>
        </w:rPr>
      </w:pPr>
      <w:r>
        <w:rPr>
          <w:rFonts w:cs="Times New Roman"/>
          <w:szCs w:val="24"/>
        </w:rPr>
        <w:tab/>
      </w:r>
      <w:r w:rsidR="00D50136" w:rsidRPr="00E90242">
        <w:rPr>
          <w:rFonts w:cs="Times New Roman"/>
          <w:szCs w:val="24"/>
        </w:rPr>
        <w:t>WCI is responsible for a significant portion of the Parties’</w:t>
      </w:r>
      <w:r w:rsidR="00A401EA" w:rsidRPr="00E90242">
        <w:rPr>
          <w:rFonts w:cs="Times New Roman"/>
          <w:szCs w:val="24"/>
        </w:rPr>
        <w:t xml:space="preserve"> prolonged discovery dispute over hardcodes</w:t>
      </w:r>
      <w:r w:rsidR="007018C3" w:rsidRPr="00E90242">
        <w:rPr>
          <w:rFonts w:cs="Times New Roman"/>
          <w:szCs w:val="24"/>
        </w:rPr>
        <w:t xml:space="preserve"> and external links</w:t>
      </w:r>
      <w:r w:rsidR="00D50136" w:rsidRPr="00E90242">
        <w:rPr>
          <w:rFonts w:cs="Times New Roman"/>
          <w:szCs w:val="24"/>
        </w:rPr>
        <w:t xml:space="preserve"> as well</w:t>
      </w:r>
      <w:r w:rsidR="00A401EA" w:rsidRPr="00E90242">
        <w:rPr>
          <w:rFonts w:cs="Times New Roman"/>
          <w:szCs w:val="24"/>
        </w:rPr>
        <w:t xml:space="preserve">.  </w:t>
      </w:r>
      <w:r w:rsidR="007018C3" w:rsidRPr="00E90242">
        <w:rPr>
          <w:rFonts w:cs="Times New Roman"/>
          <w:szCs w:val="24"/>
        </w:rPr>
        <w:t>Staff filed a motion to compel responses on June 12, 2014.  The Commission or</w:t>
      </w:r>
      <w:r w:rsidR="00D50136" w:rsidRPr="00E90242">
        <w:rPr>
          <w:rFonts w:cs="Times New Roman"/>
          <w:szCs w:val="24"/>
        </w:rPr>
        <w:t>dered that WCI remove hardcodes or supply the appropriate external link</w:t>
      </w:r>
      <w:r w:rsidR="0031298C" w:rsidRPr="00E90242">
        <w:rPr>
          <w:rFonts w:cs="Times New Roman"/>
          <w:szCs w:val="24"/>
        </w:rPr>
        <w:t>s</w:t>
      </w:r>
      <w:r w:rsidR="00D50136" w:rsidRPr="00E90242">
        <w:rPr>
          <w:rFonts w:cs="Times New Roman"/>
          <w:szCs w:val="24"/>
        </w:rPr>
        <w:t xml:space="preserve"> documenting the Company’s calculation.</w:t>
      </w:r>
      <w:r w:rsidR="00D50136" w:rsidRPr="00735A6A">
        <w:rPr>
          <w:rStyle w:val="FootnoteReference"/>
          <w:rFonts w:cs="Times New Roman"/>
          <w:szCs w:val="24"/>
        </w:rPr>
        <w:footnoteReference w:id="103"/>
      </w:r>
      <w:r w:rsidR="0031298C" w:rsidRPr="00E90242">
        <w:rPr>
          <w:rFonts w:cs="Times New Roman"/>
          <w:szCs w:val="24"/>
        </w:rPr>
        <w:t xml:space="preserve">  The Commission order</w:t>
      </w:r>
      <w:r w:rsidR="00D50136" w:rsidRPr="00E90242">
        <w:rPr>
          <w:rFonts w:cs="Times New Roman"/>
          <w:szCs w:val="24"/>
        </w:rPr>
        <w:t xml:space="preserve"> stated that the Company’s argument for an exemption was “illogical.”</w:t>
      </w:r>
      <w:r w:rsidR="00D50136" w:rsidRPr="00735A6A">
        <w:rPr>
          <w:rStyle w:val="FootnoteReference"/>
          <w:rFonts w:cs="Times New Roman"/>
          <w:szCs w:val="24"/>
        </w:rPr>
        <w:footnoteReference w:id="104"/>
      </w:r>
      <w:r w:rsidR="00D50136" w:rsidRPr="00E90242">
        <w:rPr>
          <w:rFonts w:cs="Times New Roman"/>
          <w:szCs w:val="24"/>
        </w:rPr>
        <w:t xml:space="preserve">  </w:t>
      </w:r>
      <w:r w:rsidR="00DF6144" w:rsidRPr="00E90242">
        <w:rPr>
          <w:rFonts w:cs="Times New Roman"/>
          <w:szCs w:val="24"/>
        </w:rPr>
        <w:t xml:space="preserve">After the discovery conference on </w:t>
      </w:r>
      <w:r w:rsidR="00100699" w:rsidRPr="00E90242">
        <w:rPr>
          <w:rFonts w:cs="Times New Roman"/>
          <w:szCs w:val="24"/>
        </w:rPr>
        <w:t>July 11, 2014</w:t>
      </w:r>
      <w:r w:rsidR="00DF6144" w:rsidRPr="00E90242">
        <w:rPr>
          <w:rFonts w:cs="Times New Roman"/>
          <w:szCs w:val="24"/>
        </w:rPr>
        <w:t xml:space="preserve">, WCI provided most of the hard code information within </w:t>
      </w:r>
      <w:r w:rsidR="00100699" w:rsidRPr="00E90242">
        <w:rPr>
          <w:rFonts w:cs="Times New Roman"/>
          <w:szCs w:val="24"/>
        </w:rPr>
        <w:t>one</w:t>
      </w:r>
      <w:r w:rsidR="00DF6144" w:rsidRPr="00E90242">
        <w:rPr>
          <w:rFonts w:cs="Times New Roman"/>
          <w:szCs w:val="24"/>
        </w:rPr>
        <w:t xml:space="preserve"> business day.</w:t>
      </w:r>
    </w:p>
    <w:p w14:paraId="4A729FFB" w14:textId="5F162D22" w:rsidR="00282F08" w:rsidRPr="00E90242" w:rsidRDefault="00E90242" w:rsidP="00E90242">
      <w:pPr>
        <w:pStyle w:val="ListParagraph"/>
        <w:numPr>
          <w:ilvl w:val="0"/>
          <w:numId w:val="32"/>
        </w:numPr>
        <w:spacing w:after="0" w:line="480" w:lineRule="auto"/>
        <w:rPr>
          <w:rFonts w:cs="Times New Roman"/>
          <w:szCs w:val="24"/>
        </w:rPr>
      </w:pPr>
      <w:r>
        <w:rPr>
          <w:rFonts w:cs="Times New Roman"/>
          <w:szCs w:val="24"/>
        </w:rPr>
        <w:tab/>
      </w:r>
      <w:r w:rsidR="00326E02" w:rsidRPr="00E90242">
        <w:rPr>
          <w:rFonts w:cs="Times New Roman"/>
          <w:szCs w:val="24"/>
        </w:rPr>
        <w:t>WCI also</w:t>
      </w:r>
      <w:r w:rsidR="00282F08" w:rsidRPr="00E90242">
        <w:rPr>
          <w:rFonts w:cs="Times New Roman"/>
          <w:szCs w:val="24"/>
        </w:rPr>
        <w:t xml:space="preserve"> bears significant responsibility for the length of this proceeding.</w:t>
      </w:r>
      <w:r w:rsidR="00282F08" w:rsidRPr="00735A6A">
        <w:rPr>
          <w:rStyle w:val="FootnoteReference"/>
          <w:rFonts w:cs="Times New Roman"/>
          <w:szCs w:val="24"/>
        </w:rPr>
        <w:footnoteReference w:id="105"/>
      </w:r>
      <w:r w:rsidR="00282F08" w:rsidRPr="00E90242">
        <w:rPr>
          <w:rFonts w:cs="Times New Roman"/>
          <w:szCs w:val="24"/>
        </w:rPr>
        <w:t xml:space="preserve">  WCI filed a </w:t>
      </w:r>
      <w:r w:rsidR="00D03137" w:rsidRPr="00E90242">
        <w:rPr>
          <w:rFonts w:cs="Times New Roman"/>
          <w:szCs w:val="24"/>
        </w:rPr>
        <w:t xml:space="preserve">substantial </w:t>
      </w:r>
      <w:r w:rsidR="00282F08" w:rsidRPr="00E90242">
        <w:rPr>
          <w:rFonts w:cs="Times New Roman"/>
          <w:szCs w:val="24"/>
        </w:rPr>
        <w:t>amount of new information in its rebuttal testimony on August 20, 2014</w:t>
      </w:r>
      <w:r w:rsidR="003D4728" w:rsidRPr="00E90242">
        <w:rPr>
          <w:rFonts w:cs="Times New Roman"/>
          <w:szCs w:val="24"/>
        </w:rPr>
        <w:t xml:space="preserve">, and continued to file supporting </w:t>
      </w:r>
      <w:r w:rsidR="0079418E" w:rsidRPr="00E90242">
        <w:rPr>
          <w:rFonts w:cs="Times New Roman"/>
          <w:szCs w:val="24"/>
        </w:rPr>
        <w:t>information</w:t>
      </w:r>
      <w:r w:rsidR="003123D1" w:rsidRPr="00E90242">
        <w:rPr>
          <w:rFonts w:cs="Times New Roman"/>
          <w:szCs w:val="24"/>
        </w:rPr>
        <w:t xml:space="preserve"> thereafter</w:t>
      </w:r>
      <w:r w:rsidR="00282F08" w:rsidRPr="00E90242">
        <w:rPr>
          <w:rFonts w:cs="Times New Roman"/>
          <w:szCs w:val="24"/>
        </w:rPr>
        <w:t>.</w:t>
      </w:r>
      <w:r w:rsidR="00282F08" w:rsidRPr="00735A6A">
        <w:rPr>
          <w:rStyle w:val="FootnoteReference"/>
          <w:rFonts w:cs="Times New Roman"/>
          <w:szCs w:val="24"/>
        </w:rPr>
        <w:footnoteReference w:id="106"/>
      </w:r>
      <w:r w:rsidR="00282F08" w:rsidRPr="00E90242">
        <w:rPr>
          <w:rFonts w:cs="Times New Roman"/>
          <w:szCs w:val="24"/>
        </w:rPr>
        <w:t xml:space="preserve">  Prior to its rebuttal testimony</w:t>
      </w:r>
      <w:r w:rsidR="003D4728" w:rsidRPr="00E90242">
        <w:rPr>
          <w:rFonts w:cs="Times New Roman"/>
          <w:szCs w:val="24"/>
        </w:rPr>
        <w:t xml:space="preserve"> and subsequent filings of supporting data</w:t>
      </w:r>
      <w:r w:rsidR="00282F08" w:rsidRPr="00E90242">
        <w:rPr>
          <w:rFonts w:cs="Times New Roman"/>
          <w:szCs w:val="24"/>
        </w:rPr>
        <w:t>, WCI simply had not provided adequate support or explanation for several of its proposed adjustments.</w:t>
      </w:r>
      <w:r w:rsidR="00282F08" w:rsidRPr="00735A6A">
        <w:rPr>
          <w:rStyle w:val="FootnoteReference"/>
          <w:rFonts w:cs="Times New Roman"/>
          <w:szCs w:val="24"/>
        </w:rPr>
        <w:footnoteReference w:id="107"/>
      </w:r>
      <w:r w:rsidR="00282F08" w:rsidRPr="00E90242">
        <w:rPr>
          <w:rFonts w:cs="Times New Roman"/>
          <w:szCs w:val="24"/>
        </w:rPr>
        <w:t xml:space="preserve">  </w:t>
      </w:r>
    </w:p>
    <w:p w14:paraId="4A729FFC" w14:textId="50AD1200" w:rsidR="00A401EA" w:rsidRPr="00E90242" w:rsidRDefault="00E90242" w:rsidP="00E90242">
      <w:pPr>
        <w:pStyle w:val="ListParagraph"/>
        <w:numPr>
          <w:ilvl w:val="0"/>
          <w:numId w:val="32"/>
        </w:numPr>
        <w:spacing w:after="0" w:line="480" w:lineRule="auto"/>
        <w:rPr>
          <w:rFonts w:cs="Times New Roman"/>
          <w:szCs w:val="24"/>
        </w:rPr>
      </w:pPr>
      <w:r>
        <w:rPr>
          <w:rFonts w:cs="Times New Roman"/>
          <w:szCs w:val="24"/>
        </w:rPr>
        <w:tab/>
      </w:r>
      <w:r w:rsidR="00D50136" w:rsidRPr="00E90242">
        <w:rPr>
          <w:rFonts w:cs="Times New Roman"/>
          <w:szCs w:val="24"/>
        </w:rPr>
        <w:t>Under any reasonable interpretation of fairness, ratepayers should not be required to pay 100</w:t>
      </w:r>
      <w:r w:rsidR="00BB16C4" w:rsidRPr="00E90242">
        <w:rPr>
          <w:rFonts w:cs="Times New Roman"/>
          <w:szCs w:val="24"/>
        </w:rPr>
        <w:t xml:space="preserve"> percent</w:t>
      </w:r>
      <w:r w:rsidR="00D50136" w:rsidRPr="00E90242">
        <w:rPr>
          <w:rFonts w:cs="Times New Roman"/>
          <w:szCs w:val="24"/>
        </w:rPr>
        <w:t xml:space="preserve"> of rate case costs associated with a convo</w:t>
      </w:r>
      <w:r w:rsidR="0031298C" w:rsidRPr="00E90242">
        <w:rPr>
          <w:rFonts w:cs="Times New Roman"/>
          <w:szCs w:val="24"/>
        </w:rPr>
        <w:t xml:space="preserve">luted filing and </w:t>
      </w:r>
      <w:r w:rsidR="005D12F1" w:rsidRPr="00E90242">
        <w:rPr>
          <w:rFonts w:cs="Times New Roman"/>
          <w:szCs w:val="24"/>
        </w:rPr>
        <w:t xml:space="preserve">an </w:t>
      </w:r>
      <w:r w:rsidR="0031298C" w:rsidRPr="00E90242">
        <w:rPr>
          <w:rFonts w:cs="Times New Roman"/>
          <w:szCs w:val="24"/>
        </w:rPr>
        <w:t>illogical</w:t>
      </w:r>
      <w:r w:rsidR="00D50136" w:rsidRPr="00E90242">
        <w:rPr>
          <w:rFonts w:cs="Times New Roman"/>
          <w:szCs w:val="24"/>
        </w:rPr>
        <w:t xml:space="preserve"> position</w:t>
      </w:r>
      <w:r w:rsidR="004318E5" w:rsidRPr="00E90242">
        <w:rPr>
          <w:rFonts w:cs="Times New Roman"/>
          <w:szCs w:val="24"/>
        </w:rPr>
        <w:t xml:space="preserve"> that </w:t>
      </w:r>
      <w:r w:rsidR="00D03137" w:rsidRPr="00E90242">
        <w:rPr>
          <w:rFonts w:cs="Times New Roman"/>
          <w:szCs w:val="24"/>
        </w:rPr>
        <w:t>contributed</w:t>
      </w:r>
      <w:r w:rsidR="004318E5" w:rsidRPr="00E90242">
        <w:rPr>
          <w:rFonts w:cs="Times New Roman"/>
          <w:szCs w:val="24"/>
        </w:rPr>
        <w:t xml:space="preserve"> to substantial further litigation</w:t>
      </w:r>
      <w:r w:rsidR="00D50136" w:rsidRPr="00E90242">
        <w:rPr>
          <w:rFonts w:cs="Times New Roman"/>
          <w:szCs w:val="24"/>
        </w:rPr>
        <w:t xml:space="preserve">.  Ms. Cheesman’s testimony </w:t>
      </w:r>
      <w:r w:rsidR="005D12F1" w:rsidRPr="00E90242">
        <w:rPr>
          <w:rFonts w:cs="Times New Roman"/>
          <w:szCs w:val="24"/>
        </w:rPr>
        <w:t>does recognize</w:t>
      </w:r>
      <w:r w:rsidR="00D50136" w:rsidRPr="00E90242">
        <w:rPr>
          <w:rFonts w:cs="Times New Roman"/>
          <w:szCs w:val="24"/>
        </w:rPr>
        <w:t xml:space="preserve"> that a portion of the Company’s filing and rate case preparation reflects legitimate costs an</w:t>
      </w:r>
      <w:r w:rsidR="00414A51" w:rsidRPr="00E90242">
        <w:rPr>
          <w:rFonts w:cs="Times New Roman"/>
          <w:szCs w:val="24"/>
        </w:rPr>
        <w:t>d should be included in rates.</w:t>
      </w:r>
      <w:r w:rsidR="00CE19DA" w:rsidRPr="00735A6A">
        <w:rPr>
          <w:rStyle w:val="FootnoteReference"/>
          <w:rFonts w:cs="Times New Roman"/>
          <w:szCs w:val="24"/>
        </w:rPr>
        <w:footnoteReference w:id="108"/>
      </w:r>
      <w:r w:rsidR="00414A51" w:rsidRPr="00E90242">
        <w:rPr>
          <w:rFonts w:cs="Times New Roman"/>
          <w:szCs w:val="24"/>
        </w:rPr>
        <w:t xml:space="preserve">  Staff</w:t>
      </w:r>
      <w:r w:rsidR="00D50136" w:rsidRPr="00E90242">
        <w:rPr>
          <w:rFonts w:cs="Times New Roman"/>
          <w:szCs w:val="24"/>
        </w:rPr>
        <w:t xml:space="preserve"> again proposes the Commission maintain its position of balancing company and ratepayer interests by distributing an equal percentage of rate case costs to shareholders and ratepayers.  </w:t>
      </w:r>
      <w:r w:rsidR="00414A51" w:rsidRPr="00E90242">
        <w:rPr>
          <w:rFonts w:cs="Times New Roman"/>
          <w:szCs w:val="24"/>
        </w:rPr>
        <w:t>Ratepayers should pay</w:t>
      </w:r>
      <w:r w:rsidR="00D50136" w:rsidRPr="00E90242">
        <w:rPr>
          <w:rFonts w:cs="Times New Roman"/>
          <w:szCs w:val="24"/>
        </w:rPr>
        <w:t xml:space="preserve"> 50</w:t>
      </w:r>
      <w:r w:rsidR="00BB16C4" w:rsidRPr="00E90242">
        <w:rPr>
          <w:rFonts w:cs="Times New Roman"/>
          <w:szCs w:val="24"/>
        </w:rPr>
        <w:t xml:space="preserve"> percent</w:t>
      </w:r>
      <w:r w:rsidR="00D50136" w:rsidRPr="00E90242">
        <w:rPr>
          <w:rFonts w:cs="Times New Roman"/>
          <w:szCs w:val="24"/>
        </w:rPr>
        <w:t xml:space="preserve"> of rate case costs associated with Docket TG-140560 through rates</w:t>
      </w:r>
      <w:r w:rsidR="00DB389F" w:rsidRPr="00E90242">
        <w:rPr>
          <w:rFonts w:cs="Times New Roman"/>
          <w:szCs w:val="24"/>
        </w:rPr>
        <w:t xml:space="preserve"> with</w:t>
      </w:r>
      <w:r w:rsidR="00D50136" w:rsidRPr="00E90242">
        <w:rPr>
          <w:rFonts w:cs="Times New Roman"/>
          <w:szCs w:val="24"/>
        </w:rPr>
        <w:t xml:space="preserve"> </w:t>
      </w:r>
      <w:r w:rsidR="00DB389F" w:rsidRPr="00E90242">
        <w:rPr>
          <w:rFonts w:cs="Times New Roman"/>
          <w:szCs w:val="24"/>
        </w:rPr>
        <w:t>s</w:t>
      </w:r>
      <w:r w:rsidR="00D50136" w:rsidRPr="00E90242">
        <w:rPr>
          <w:rFonts w:cs="Times New Roman"/>
          <w:szCs w:val="24"/>
        </w:rPr>
        <w:t xml:space="preserve">hareholders </w:t>
      </w:r>
      <w:r w:rsidR="00DB389F" w:rsidRPr="00E90242">
        <w:rPr>
          <w:rFonts w:cs="Times New Roman"/>
          <w:szCs w:val="24"/>
        </w:rPr>
        <w:t>absorbing</w:t>
      </w:r>
      <w:r w:rsidR="00D50136" w:rsidRPr="00E90242">
        <w:rPr>
          <w:rFonts w:cs="Times New Roman"/>
          <w:szCs w:val="24"/>
        </w:rPr>
        <w:t xml:space="preserve"> the remaining 50</w:t>
      </w:r>
      <w:r w:rsidR="00BB16C4" w:rsidRPr="00E90242">
        <w:rPr>
          <w:rFonts w:cs="Times New Roman"/>
          <w:szCs w:val="24"/>
        </w:rPr>
        <w:t xml:space="preserve"> percent</w:t>
      </w:r>
      <w:r w:rsidR="00D50136" w:rsidRPr="00E90242">
        <w:rPr>
          <w:rFonts w:cs="Times New Roman"/>
          <w:szCs w:val="24"/>
        </w:rPr>
        <w:t>.</w:t>
      </w:r>
      <w:r w:rsidR="00DB389F" w:rsidRPr="00735A6A">
        <w:rPr>
          <w:rStyle w:val="FootnoteReference"/>
          <w:rFonts w:cs="Times New Roman"/>
          <w:szCs w:val="24"/>
        </w:rPr>
        <w:footnoteReference w:id="109"/>
      </w:r>
      <w:r w:rsidR="00D50136" w:rsidRPr="00E90242">
        <w:rPr>
          <w:rFonts w:cs="Times New Roman"/>
          <w:szCs w:val="24"/>
        </w:rPr>
        <w:t xml:space="preserve"> </w:t>
      </w:r>
    </w:p>
    <w:p w14:paraId="4A729FFD" w14:textId="0C5D0FAB" w:rsidR="00934C52" w:rsidRPr="00E90242" w:rsidRDefault="00E90242" w:rsidP="00E90242">
      <w:pPr>
        <w:spacing w:after="0" w:line="480" w:lineRule="auto"/>
        <w:rPr>
          <w:rFonts w:cs="Times New Roman"/>
          <w:b/>
          <w:szCs w:val="24"/>
        </w:rPr>
      </w:pPr>
      <w:r w:rsidRPr="00E90242">
        <w:rPr>
          <w:b/>
        </w:rPr>
        <w:t>F.</w:t>
      </w:r>
      <w:r>
        <w:tab/>
      </w:r>
      <w:r w:rsidR="005F041E" w:rsidRPr="00E90242">
        <w:rPr>
          <w:rFonts w:cs="Times New Roman"/>
          <w:b/>
          <w:szCs w:val="24"/>
        </w:rPr>
        <w:t>Amortization Period</w:t>
      </w:r>
    </w:p>
    <w:p w14:paraId="4A729FFE" w14:textId="67D0C8E0" w:rsidR="00DB2D6B" w:rsidRPr="00E90242" w:rsidRDefault="00E90242" w:rsidP="00E90242">
      <w:pPr>
        <w:spacing w:after="0" w:line="480" w:lineRule="auto"/>
        <w:ind w:firstLine="720"/>
        <w:rPr>
          <w:rFonts w:cs="Times New Roman"/>
          <w:b/>
          <w:szCs w:val="24"/>
        </w:rPr>
      </w:pPr>
      <w:r w:rsidRPr="00E90242">
        <w:rPr>
          <w:b/>
        </w:rPr>
        <w:t>1.</w:t>
      </w:r>
      <w:r>
        <w:tab/>
      </w:r>
      <w:r w:rsidR="00DB2D6B" w:rsidRPr="00E90242">
        <w:rPr>
          <w:rFonts w:cs="Times New Roman"/>
          <w:b/>
          <w:szCs w:val="24"/>
        </w:rPr>
        <w:t xml:space="preserve">Fundamental </w:t>
      </w:r>
      <w:r w:rsidR="00830B32">
        <w:rPr>
          <w:rFonts w:cs="Times New Roman"/>
          <w:b/>
          <w:szCs w:val="24"/>
        </w:rPr>
        <w:t>p</w:t>
      </w:r>
      <w:r w:rsidR="00DB2D6B" w:rsidRPr="00E90242">
        <w:rPr>
          <w:rFonts w:cs="Times New Roman"/>
          <w:b/>
          <w:szCs w:val="24"/>
        </w:rPr>
        <w:t xml:space="preserve">rinciples and </w:t>
      </w:r>
      <w:r w:rsidR="00830B32">
        <w:rPr>
          <w:rFonts w:cs="Times New Roman"/>
          <w:b/>
          <w:szCs w:val="24"/>
        </w:rPr>
        <w:t>o</w:t>
      </w:r>
      <w:r w:rsidR="00DB2D6B" w:rsidRPr="00E90242">
        <w:rPr>
          <w:rFonts w:cs="Times New Roman"/>
          <w:b/>
          <w:szCs w:val="24"/>
        </w:rPr>
        <w:t>verview</w:t>
      </w:r>
      <w:r w:rsidR="00830B32">
        <w:rPr>
          <w:rFonts w:cs="Times New Roman"/>
          <w:b/>
          <w:szCs w:val="24"/>
        </w:rPr>
        <w:t>.</w:t>
      </w:r>
    </w:p>
    <w:p w14:paraId="4A729FFF" w14:textId="3BE0F744" w:rsidR="00A2446C" w:rsidRPr="00E90242" w:rsidRDefault="00E90242" w:rsidP="00E90242">
      <w:pPr>
        <w:pStyle w:val="ListParagraph"/>
        <w:numPr>
          <w:ilvl w:val="0"/>
          <w:numId w:val="32"/>
        </w:numPr>
        <w:spacing w:after="0" w:line="480" w:lineRule="auto"/>
        <w:rPr>
          <w:rFonts w:cs="Times New Roman"/>
          <w:szCs w:val="24"/>
        </w:rPr>
      </w:pPr>
      <w:r>
        <w:rPr>
          <w:rFonts w:cs="Times New Roman"/>
          <w:szCs w:val="24"/>
        </w:rPr>
        <w:tab/>
      </w:r>
      <w:r w:rsidR="009A1C4C" w:rsidRPr="00E90242">
        <w:rPr>
          <w:rFonts w:cs="Times New Roman"/>
          <w:szCs w:val="24"/>
        </w:rPr>
        <w:t>Rate case costs should be amortized “over the period between expected occurrences or a reasonable period.”</w:t>
      </w:r>
      <w:r w:rsidR="009A1C4C" w:rsidRPr="00735A6A">
        <w:rPr>
          <w:rStyle w:val="FootnoteReference"/>
          <w:rFonts w:cs="Times New Roman"/>
          <w:szCs w:val="24"/>
        </w:rPr>
        <w:footnoteReference w:id="110"/>
      </w:r>
      <w:r w:rsidR="009A1C4C" w:rsidRPr="00E90242">
        <w:rPr>
          <w:rFonts w:cs="Times New Roman"/>
          <w:szCs w:val="24"/>
        </w:rPr>
        <w:t xml:space="preserve">  </w:t>
      </w:r>
      <w:r w:rsidR="00A2446C" w:rsidRPr="00E90242">
        <w:rPr>
          <w:rFonts w:cs="Times New Roman"/>
          <w:szCs w:val="24"/>
        </w:rPr>
        <w:t>Amortization periods used to normalize legal and accounting costs vary based on 1) the time between rate cases, 2) consideration of the magnitude of the cost claimed, and 3) the effect on rates.</w:t>
      </w:r>
      <w:r w:rsidR="00343A2B" w:rsidRPr="00735A6A">
        <w:rPr>
          <w:rStyle w:val="FootnoteReference"/>
          <w:rFonts w:cs="Times New Roman"/>
          <w:szCs w:val="24"/>
        </w:rPr>
        <w:footnoteReference w:id="111"/>
      </w:r>
      <w:r w:rsidR="00343A2B" w:rsidRPr="00E90242">
        <w:rPr>
          <w:rFonts w:cs="Times New Roman"/>
          <w:szCs w:val="24"/>
        </w:rPr>
        <w:t xml:space="preserve">  </w:t>
      </w:r>
    </w:p>
    <w:p w14:paraId="4A72A000" w14:textId="7F8B6BA4" w:rsidR="00DB2D6B" w:rsidRPr="00E90242" w:rsidRDefault="00E90242" w:rsidP="00E90242">
      <w:pPr>
        <w:pStyle w:val="ListParagraph"/>
        <w:numPr>
          <w:ilvl w:val="0"/>
          <w:numId w:val="32"/>
        </w:numPr>
        <w:spacing w:after="0" w:line="480" w:lineRule="auto"/>
        <w:rPr>
          <w:rFonts w:cs="Times New Roman"/>
          <w:szCs w:val="24"/>
        </w:rPr>
      </w:pPr>
      <w:r>
        <w:rPr>
          <w:rFonts w:cs="Times New Roman"/>
          <w:szCs w:val="24"/>
        </w:rPr>
        <w:tab/>
      </w:r>
      <w:r w:rsidR="009A1C4C" w:rsidRPr="00E90242">
        <w:rPr>
          <w:rFonts w:cs="Times New Roman"/>
          <w:szCs w:val="24"/>
        </w:rPr>
        <w:t xml:space="preserve">The </w:t>
      </w:r>
      <w:r w:rsidR="00DC2195" w:rsidRPr="00E90242">
        <w:rPr>
          <w:rFonts w:cs="Times New Roman"/>
          <w:szCs w:val="24"/>
        </w:rPr>
        <w:t>Company</w:t>
      </w:r>
      <w:r w:rsidR="004318E5" w:rsidRPr="00E90242">
        <w:rPr>
          <w:rFonts w:cs="Times New Roman"/>
          <w:szCs w:val="24"/>
        </w:rPr>
        <w:t xml:space="preserve"> argues for an</w:t>
      </w:r>
      <w:r w:rsidR="009A1C4C" w:rsidRPr="00E90242">
        <w:rPr>
          <w:rFonts w:cs="Times New Roman"/>
          <w:szCs w:val="24"/>
        </w:rPr>
        <w:t xml:space="preserve"> amortization period</w:t>
      </w:r>
      <w:r w:rsidR="004318E5" w:rsidRPr="00E90242">
        <w:rPr>
          <w:rFonts w:cs="Times New Roman"/>
          <w:szCs w:val="24"/>
        </w:rPr>
        <w:t xml:space="preserve"> of </w:t>
      </w:r>
      <w:r w:rsidR="009A1C4C" w:rsidRPr="00E90242">
        <w:rPr>
          <w:rFonts w:cs="Times New Roman"/>
          <w:szCs w:val="24"/>
        </w:rPr>
        <w:t xml:space="preserve">four years based on its </w:t>
      </w:r>
      <w:r w:rsidR="00DC2195" w:rsidRPr="00E90242">
        <w:rPr>
          <w:rFonts w:cs="Times New Roman"/>
          <w:szCs w:val="24"/>
        </w:rPr>
        <w:t>dismissed filing in Docket TG-131794.</w:t>
      </w:r>
      <w:r w:rsidR="009A1C4C" w:rsidRPr="00735A6A">
        <w:rPr>
          <w:rStyle w:val="FootnoteReference"/>
          <w:rFonts w:cs="Times New Roman"/>
          <w:szCs w:val="24"/>
        </w:rPr>
        <w:footnoteReference w:id="112"/>
      </w:r>
      <w:r w:rsidR="003F726D" w:rsidRPr="00E90242">
        <w:rPr>
          <w:rFonts w:cs="Times New Roman"/>
          <w:szCs w:val="24"/>
        </w:rPr>
        <w:t xml:space="preserve"> </w:t>
      </w:r>
      <w:r w:rsidR="009A1C4C" w:rsidRPr="00E90242">
        <w:rPr>
          <w:rFonts w:cs="Times New Roman"/>
          <w:szCs w:val="24"/>
        </w:rPr>
        <w:t xml:space="preserve"> </w:t>
      </w:r>
      <w:r w:rsidR="003F726D" w:rsidRPr="00E90242">
        <w:rPr>
          <w:rFonts w:cs="Times New Roman"/>
          <w:szCs w:val="24"/>
        </w:rPr>
        <w:t>Staff contends</w:t>
      </w:r>
      <w:r w:rsidR="0084081A" w:rsidRPr="00E90242">
        <w:rPr>
          <w:rFonts w:cs="Times New Roman"/>
          <w:szCs w:val="24"/>
        </w:rPr>
        <w:t xml:space="preserve"> that the Commission should base a reasonable amortization period</w:t>
      </w:r>
      <w:r w:rsidR="00F45866" w:rsidRPr="00E90242">
        <w:rPr>
          <w:rFonts w:cs="Times New Roman"/>
          <w:szCs w:val="24"/>
        </w:rPr>
        <w:t xml:space="preserve"> </w:t>
      </w:r>
      <w:r w:rsidR="003F726D" w:rsidRPr="00E90242">
        <w:rPr>
          <w:rFonts w:cs="Times New Roman"/>
          <w:szCs w:val="24"/>
        </w:rPr>
        <w:t>on actual, non-dismissed filings.</w:t>
      </w:r>
      <w:r w:rsidR="003F726D" w:rsidRPr="00735A6A">
        <w:rPr>
          <w:rStyle w:val="FootnoteReference"/>
          <w:rFonts w:cs="Times New Roman"/>
          <w:szCs w:val="24"/>
        </w:rPr>
        <w:footnoteReference w:id="113"/>
      </w:r>
    </w:p>
    <w:p w14:paraId="4A72A001" w14:textId="4FB72280" w:rsidR="00C65710" w:rsidRDefault="00E90242" w:rsidP="00E90242">
      <w:pPr>
        <w:spacing w:after="0" w:line="240" w:lineRule="auto"/>
        <w:ind w:left="1440" w:hanging="720"/>
        <w:rPr>
          <w:rFonts w:cs="Times New Roman"/>
          <w:b/>
          <w:szCs w:val="24"/>
        </w:rPr>
      </w:pPr>
      <w:r>
        <w:rPr>
          <w:b/>
        </w:rPr>
        <w:t>2.</w:t>
      </w:r>
      <w:r>
        <w:rPr>
          <w:b/>
        </w:rPr>
        <w:tab/>
      </w:r>
      <w:r w:rsidR="00DB2D6B" w:rsidRPr="00E90242">
        <w:rPr>
          <w:rFonts w:cs="Times New Roman"/>
          <w:b/>
          <w:szCs w:val="24"/>
        </w:rPr>
        <w:t>Staff’s recommendation reflects Commission standards and considerations</w:t>
      </w:r>
      <w:r w:rsidR="00830B32">
        <w:rPr>
          <w:rFonts w:cs="Times New Roman"/>
          <w:b/>
          <w:szCs w:val="24"/>
        </w:rPr>
        <w:t>.</w:t>
      </w:r>
    </w:p>
    <w:p w14:paraId="32D075DC" w14:textId="77777777" w:rsidR="00E90242" w:rsidRPr="00E90242" w:rsidRDefault="00E90242" w:rsidP="00E90242">
      <w:pPr>
        <w:spacing w:after="0" w:line="240" w:lineRule="auto"/>
        <w:rPr>
          <w:rFonts w:cs="Times New Roman"/>
          <w:b/>
          <w:szCs w:val="24"/>
        </w:rPr>
      </w:pPr>
    </w:p>
    <w:p w14:paraId="4A72A002" w14:textId="731D739D" w:rsidR="00A2446C" w:rsidRPr="00E90242" w:rsidRDefault="00E90242" w:rsidP="00E90242">
      <w:pPr>
        <w:pStyle w:val="ListParagraph"/>
        <w:numPr>
          <w:ilvl w:val="0"/>
          <w:numId w:val="32"/>
        </w:numPr>
        <w:spacing w:after="0" w:line="480" w:lineRule="auto"/>
        <w:rPr>
          <w:rFonts w:cs="Times New Roman"/>
          <w:szCs w:val="24"/>
        </w:rPr>
      </w:pPr>
      <w:r>
        <w:rPr>
          <w:rFonts w:cs="Times New Roman"/>
          <w:szCs w:val="24"/>
        </w:rPr>
        <w:tab/>
      </w:r>
      <w:r w:rsidR="00DF74B5" w:rsidRPr="00E90242">
        <w:rPr>
          <w:rFonts w:cs="Times New Roman"/>
          <w:szCs w:val="24"/>
        </w:rPr>
        <w:t xml:space="preserve">Staff’s testimony recommends a </w:t>
      </w:r>
      <w:r w:rsidR="003A59E0" w:rsidRPr="00E90242">
        <w:rPr>
          <w:rFonts w:cs="Times New Roman"/>
          <w:szCs w:val="24"/>
        </w:rPr>
        <w:t xml:space="preserve">minimum </w:t>
      </w:r>
      <w:r w:rsidR="00DF74B5" w:rsidRPr="00E90242">
        <w:rPr>
          <w:rFonts w:cs="Times New Roman"/>
          <w:szCs w:val="24"/>
        </w:rPr>
        <w:t>five-year amortization period.  Approximately 4.5 years passed between WCI’s general rate filing in 2009 and its most recent</w:t>
      </w:r>
      <w:r w:rsidR="00DC2195" w:rsidRPr="00E90242">
        <w:rPr>
          <w:rFonts w:cs="Times New Roman"/>
          <w:szCs w:val="24"/>
        </w:rPr>
        <w:t>, non-dismissed</w:t>
      </w:r>
      <w:r w:rsidR="00DF74B5" w:rsidRPr="00E90242">
        <w:rPr>
          <w:rFonts w:cs="Times New Roman"/>
          <w:szCs w:val="24"/>
        </w:rPr>
        <w:t xml:space="preserve"> filing in Docket TG-140560.</w:t>
      </w:r>
      <w:r w:rsidR="0084081A" w:rsidRPr="00735A6A">
        <w:rPr>
          <w:rStyle w:val="FootnoteReference"/>
          <w:rFonts w:cs="Times New Roman"/>
          <w:szCs w:val="24"/>
        </w:rPr>
        <w:footnoteReference w:id="114"/>
      </w:r>
      <w:r w:rsidR="00DF74B5" w:rsidRPr="00E90242">
        <w:rPr>
          <w:rFonts w:cs="Times New Roman"/>
          <w:szCs w:val="24"/>
        </w:rPr>
        <w:t xml:space="preserve">  Approximately 5.2 years will pass between the effective date of WCI’s general rate filing</w:t>
      </w:r>
      <w:r w:rsidR="00DC2195" w:rsidRPr="00E90242">
        <w:rPr>
          <w:rFonts w:cs="Times New Roman"/>
          <w:szCs w:val="24"/>
        </w:rPr>
        <w:t>s</w:t>
      </w:r>
      <w:r w:rsidR="00DF74B5" w:rsidRPr="00E90242">
        <w:rPr>
          <w:rFonts w:cs="Times New Roman"/>
          <w:szCs w:val="24"/>
        </w:rPr>
        <w:t xml:space="preserve"> in 2009 and </w:t>
      </w:r>
      <w:r w:rsidR="003A59E0" w:rsidRPr="00E90242">
        <w:rPr>
          <w:rFonts w:cs="Times New Roman"/>
          <w:szCs w:val="24"/>
        </w:rPr>
        <w:t xml:space="preserve">the statutory effective date for </w:t>
      </w:r>
      <w:r w:rsidR="00DF74B5" w:rsidRPr="00E90242">
        <w:rPr>
          <w:rFonts w:cs="Times New Roman"/>
          <w:szCs w:val="24"/>
        </w:rPr>
        <w:t>Docket TG-140560.</w:t>
      </w:r>
      <w:r w:rsidR="0084081A" w:rsidRPr="00735A6A">
        <w:rPr>
          <w:rStyle w:val="FootnoteReference"/>
          <w:rFonts w:cs="Times New Roman"/>
          <w:szCs w:val="24"/>
        </w:rPr>
        <w:footnoteReference w:id="115"/>
      </w:r>
      <w:r w:rsidR="00DF74B5" w:rsidRPr="00E90242">
        <w:rPr>
          <w:rFonts w:cs="Times New Roman"/>
          <w:szCs w:val="24"/>
        </w:rPr>
        <w:t xml:space="preserve">  The average of 4.5 and 5.2 is 4.9 years, which Staff rounded up to </w:t>
      </w:r>
      <w:r w:rsidR="00830B32">
        <w:rPr>
          <w:rFonts w:cs="Times New Roman"/>
          <w:szCs w:val="24"/>
        </w:rPr>
        <w:t>five</w:t>
      </w:r>
      <w:r w:rsidR="00DF74B5" w:rsidRPr="00E90242">
        <w:rPr>
          <w:rFonts w:cs="Times New Roman"/>
          <w:szCs w:val="24"/>
        </w:rPr>
        <w:t xml:space="preserve"> years.  As Ms. Cheesman notes, Staff’s recommendation reflects the Company’s actual</w:t>
      </w:r>
      <w:r w:rsidR="00D26F39" w:rsidRPr="00E90242">
        <w:rPr>
          <w:rFonts w:cs="Times New Roman"/>
          <w:szCs w:val="24"/>
        </w:rPr>
        <w:t>, non-dismissed</w:t>
      </w:r>
      <w:r w:rsidR="00DF74B5" w:rsidRPr="00E90242">
        <w:rPr>
          <w:rFonts w:cs="Times New Roman"/>
          <w:szCs w:val="24"/>
        </w:rPr>
        <w:t xml:space="preserve"> filing</w:t>
      </w:r>
      <w:r w:rsidR="00D26F39" w:rsidRPr="00E90242">
        <w:rPr>
          <w:rFonts w:cs="Times New Roman"/>
          <w:szCs w:val="24"/>
        </w:rPr>
        <w:t>s</w:t>
      </w:r>
      <w:r w:rsidR="00DF74B5" w:rsidRPr="00E90242">
        <w:rPr>
          <w:rFonts w:cs="Times New Roman"/>
          <w:szCs w:val="24"/>
        </w:rPr>
        <w:t xml:space="preserve"> and statutory effective dates.</w:t>
      </w:r>
      <w:r w:rsidR="0084081A" w:rsidRPr="00735A6A">
        <w:rPr>
          <w:rStyle w:val="FootnoteReference"/>
          <w:rFonts w:cs="Times New Roman"/>
          <w:szCs w:val="24"/>
        </w:rPr>
        <w:footnoteReference w:id="116"/>
      </w:r>
      <w:r w:rsidR="00DF74B5" w:rsidRPr="00E90242">
        <w:rPr>
          <w:rFonts w:cs="Times New Roman"/>
          <w:szCs w:val="24"/>
        </w:rPr>
        <w:t xml:space="preserve"> </w:t>
      </w:r>
      <w:r w:rsidR="00343A2B" w:rsidRPr="00E90242">
        <w:rPr>
          <w:rFonts w:cs="Times New Roman"/>
          <w:szCs w:val="24"/>
        </w:rPr>
        <w:t xml:space="preserve"> </w:t>
      </w:r>
    </w:p>
    <w:p w14:paraId="4A72A003" w14:textId="11D3F753" w:rsidR="00DF74B5" w:rsidRPr="00E90242" w:rsidRDefault="00E90242" w:rsidP="00E90242">
      <w:pPr>
        <w:pStyle w:val="ListParagraph"/>
        <w:numPr>
          <w:ilvl w:val="0"/>
          <w:numId w:val="32"/>
        </w:numPr>
        <w:spacing w:after="0" w:line="480" w:lineRule="auto"/>
        <w:rPr>
          <w:rFonts w:cs="Times New Roman"/>
          <w:szCs w:val="24"/>
        </w:rPr>
      </w:pPr>
      <w:r>
        <w:rPr>
          <w:rFonts w:cs="Times New Roman"/>
          <w:szCs w:val="24"/>
        </w:rPr>
        <w:tab/>
      </w:r>
      <w:r w:rsidR="00A2446C" w:rsidRPr="00E90242">
        <w:rPr>
          <w:rFonts w:cs="Times New Roman"/>
          <w:szCs w:val="24"/>
        </w:rPr>
        <w:t>Staff’s recommendation also considers t</w:t>
      </w:r>
      <w:r w:rsidR="00343A2B" w:rsidRPr="00E90242">
        <w:rPr>
          <w:rFonts w:cs="Times New Roman"/>
          <w:szCs w:val="24"/>
        </w:rPr>
        <w:t xml:space="preserve">he </w:t>
      </w:r>
      <w:r w:rsidR="00A2446C" w:rsidRPr="00E90242">
        <w:rPr>
          <w:rFonts w:cs="Times New Roman"/>
          <w:szCs w:val="24"/>
        </w:rPr>
        <w:t xml:space="preserve">extraordinary </w:t>
      </w:r>
      <w:r w:rsidR="00343A2B" w:rsidRPr="00E90242">
        <w:rPr>
          <w:rFonts w:cs="Times New Roman"/>
          <w:szCs w:val="24"/>
        </w:rPr>
        <w:t>magnitude of rate case costs in this case.</w:t>
      </w:r>
      <w:r w:rsidR="00A2446C" w:rsidRPr="00735A6A">
        <w:rPr>
          <w:rStyle w:val="FootnoteReference"/>
          <w:rFonts w:cs="Times New Roman"/>
          <w:szCs w:val="24"/>
        </w:rPr>
        <w:footnoteReference w:id="117"/>
      </w:r>
      <w:r w:rsidR="00343A2B" w:rsidRPr="00E90242">
        <w:rPr>
          <w:rFonts w:cs="Times New Roman"/>
          <w:szCs w:val="24"/>
        </w:rPr>
        <w:t xml:space="preserve">  Rate case costs are no</w:t>
      </w:r>
      <w:r w:rsidR="00A2446C" w:rsidRPr="00E90242">
        <w:rPr>
          <w:rFonts w:cs="Times New Roman"/>
          <w:szCs w:val="24"/>
        </w:rPr>
        <w:t xml:space="preserve">n-recurring on an annual basis and the extraordinary amount in this case is not representative of the normal rate case costs associated with WCI’s past filings.  Therefore, five years is a conservative amortization period because WCI has not incurred such a significant amount of rate case costs in prior filings and should be unlikely to incur similar levels </w:t>
      </w:r>
      <w:r w:rsidR="00DB2D6B" w:rsidRPr="00E90242">
        <w:rPr>
          <w:rFonts w:cs="Times New Roman"/>
          <w:szCs w:val="24"/>
        </w:rPr>
        <w:t xml:space="preserve">of rate case costs within five </w:t>
      </w:r>
      <w:r w:rsidR="00A2446C" w:rsidRPr="00E90242">
        <w:rPr>
          <w:rFonts w:cs="Times New Roman"/>
          <w:szCs w:val="24"/>
        </w:rPr>
        <w:t xml:space="preserve">years. </w:t>
      </w:r>
    </w:p>
    <w:p w14:paraId="4A72A004" w14:textId="01EA612A" w:rsidR="00DF74B5" w:rsidRPr="00E90242" w:rsidRDefault="00E90242" w:rsidP="00E90242">
      <w:pPr>
        <w:pStyle w:val="ListParagraph"/>
        <w:numPr>
          <w:ilvl w:val="0"/>
          <w:numId w:val="32"/>
        </w:numPr>
        <w:spacing w:after="0" w:line="480" w:lineRule="auto"/>
        <w:rPr>
          <w:rFonts w:cs="Times New Roman"/>
          <w:szCs w:val="24"/>
        </w:rPr>
      </w:pPr>
      <w:r>
        <w:rPr>
          <w:rFonts w:cs="Times New Roman"/>
          <w:szCs w:val="24"/>
        </w:rPr>
        <w:tab/>
      </w:r>
      <w:r w:rsidR="00DF74B5" w:rsidRPr="00E90242">
        <w:rPr>
          <w:rFonts w:cs="Times New Roman"/>
          <w:szCs w:val="24"/>
        </w:rPr>
        <w:t>In the rebuttal testimony of Ms. Davis, WCI proposes a four-year amortization period</w:t>
      </w:r>
      <w:r w:rsidR="00D26F39" w:rsidRPr="00E90242">
        <w:rPr>
          <w:rFonts w:cs="Times New Roman"/>
          <w:szCs w:val="24"/>
        </w:rPr>
        <w:t>.</w:t>
      </w:r>
      <w:r w:rsidR="00D26F39" w:rsidRPr="00E90242">
        <w:rPr>
          <w:rStyle w:val="FootnoteReference"/>
          <w:rFonts w:cs="Times New Roman"/>
          <w:szCs w:val="24"/>
        </w:rPr>
        <w:t xml:space="preserve"> </w:t>
      </w:r>
      <w:r w:rsidR="00D26F39" w:rsidRPr="00735A6A">
        <w:rPr>
          <w:rStyle w:val="FootnoteReference"/>
          <w:rFonts w:cs="Times New Roman"/>
          <w:szCs w:val="24"/>
        </w:rPr>
        <w:footnoteReference w:id="118"/>
      </w:r>
      <w:r w:rsidR="00D26F39" w:rsidRPr="00E90242">
        <w:rPr>
          <w:rFonts w:cs="Times New Roman"/>
          <w:szCs w:val="24"/>
        </w:rPr>
        <w:t xml:space="preserve">    WCI’s recommendation relies on the difference between the date the Company filed its general rate case in 2009 and the date the Company filed its general rate case in 2013 for Docket TG-131794.</w:t>
      </w:r>
      <w:r w:rsidR="00D26F39" w:rsidRPr="00735A6A">
        <w:rPr>
          <w:rStyle w:val="FootnoteReference"/>
          <w:rFonts w:cs="Times New Roman"/>
          <w:szCs w:val="24"/>
        </w:rPr>
        <w:footnoteReference w:id="119"/>
      </w:r>
      <w:r w:rsidR="00D26F39" w:rsidRPr="00E90242">
        <w:rPr>
          <w:rFonts w:cs="Times New Roman"/>
          <w:szCs w:val="24"/>
        </w:rPr>
        <w:t xml:space="preserve">  The Company’s proposal fails to recognize that the Commission dismissed WCI’s filing in TG-131794</w:t>
      </w:r>
      <w:r w:rsidR="00DF74B5" w:rsidRPr="00E90242">
        <w:rPr>
          <w:rFonts w:cs="Times New Roman"/>
          <w:szCs w:val="24"/>
        </w:rPr>
        <w:t>.</w:t>
      </w:r>
      <w:r w:rsidR="00D26F39" w:rsidRPr="00735A6A">
        <w:rPr>
          <w:rStyle w:val="FootnoteReference"/>
          <w:rFonts w:cs="Times New Roman"/>
          <w:szCs w:val="24"/>
        </w:rPr>
        <w:footnoteReference w:id="120"/>
      </w:r>
      <w:r w:rsidR="00D26F39" w:rsidRPr="00E90242">
        <w:rPr>
          <w:rFonts w:cs="Times New Roman"/>
          <w:szCs w:val="24"/>
        </w:rPr>
        <w:t xml:space="preserve">  The most recent filing that meets the minimum regulatory requirements is Docket TG-140560.</w:t>
      </w:r>
      <w:r w:rsidR="004318E5" w:rsidRPr="00E90242">
        <w:rPr>
          <w:rFonts w:cs="Times New Roman"/>
          <w:szCs w:val="24"/>
        </w:rPr>
        <w:t xml:space="preserve">  </w:t>
      </w:r>
      <w:r w:rsidR="00DB2D6B" w:rsidRPr="00E90242">
        <w:rPr>
          <w:rFonts w:cs="Times New Roman"/>
          <w:szCs w:val="24"/>
        </w:rPr>
        <w:t xml:space="preserve">WCI’s rebuttal testimony also fails to consider the extraordinary magnitude of rate case costs in this proceeding and the potential effect on rates.  At the very least, the Commission should base a minimum </w:t>
      </w:r>
      <w:r w:rsidR="004318E5" w:rsidRPr="00E90242">
        <w:rPr>
          <w:rFonts w:cs="Times New Roman"/>
          <w:szCs w:val="24"/>
        </w:rPr>
        <w:t xml:space="preserve">amortization period on </w:t>
      </w:r>
      <w:r w:rsidR="00B178EE">
        <w:rPr>
          <w:rFonts w:cs="Times New Roman"/>
          <w:szCs w:val="24"/>
        </w:rPr>
        <w:t>legally adequate regulatory</w:t>
      </w:r>
      <w:r w:rsidR="004318E5" w:rsidRPr="00E90242">
        <w:rPr>
          <w:rFonts w:cs="Times New Roman"/>
          <w:szCs w:val="24"/>
        </w:rPr>
        <w:t xml:space="preserve"> filings. </w:t>
      </w:r>
      <w:r w:rsidR="00D26F39" w:rsidRPr="00E90242">
        <w:rPr>
          <w:rFonts w:cs="Times New Roman"/>
          <w:szCs w:val="24"/>
        </w:rPr>
        <w:t xml:space="preserve">  </w:t>
      </w:r>
    </w:p>
    <w:p w14:paraId="4A72A005" w14:textId="39A8E721" w:rsidR="00716A23" w:rsidRPr="00E90242" w:rsidRDefault="00E90242" w:rsidP="00E90242">
      <w:pPr>
        <w:keepNext/>
        <w:spacing w:after="0" w:line="480" w:lineRule="auto"/>
        <w:jc w:val="center"/>
        <w:rPr>
          <w:rFonts w:cs="Times New Roman"/>
          <w:b/>
          <w:szCs w:val="24"/>
        </w:rPr>
      </w:pPr>
      <w:r w:rsidRPr="00E90242">
        <w:rPr>
          <w:b/>
        </w:rPr>
        <w:t>V.</w:t>
      </w:r>
      <w:r>
        <w:tab/>
      </w:r>
      <w:r w:rsidR="00695DEC" w:rsidRPr="00E90242">
        <w:rPr>
          <w:rFonts w:cs="Times New Roman"/>
          <w:b/>
          <w:szCs w:val="24"/>
        </w:rPr>
        <w:t>INVESTIGATION FEES</w:t>
      </w:r>
    </w:p>
    <w:p w14:paraId="4A72A006" w14:textId="17249BE1" w:rsidR="00C12F3F" w:rsidRPr="00E90242" w:rsidRDefault="00E90242" w:rsidP="00E90242">
      <w:pPr>
        <w:keepNext/>
        <w:spacing w:after="0" w:line="480" w:lineRule="auto"/>
        <w:rPr>
          <w:rFonts w:cs="Times New Roman"/>
          <w:b/>
          <w:szCs w:val="24"/>
        </w:rPr>
      </w:pPr>
      <w:r w:rsidRPr="00E90242">
        <w:rPr>
          <w:b/>
        </w:rPr>
        <w:t>A.</w:t>
      </w:r>
      <w:r w:rsidRPr="00E90242">
        <w:rPr>
          <w:b/>
        </w:rPr>
        <w:tab/>
      </w:r>
      <w:r w:rsidR="009E7BA8" w:rsidRPr="00E90242">
        <w:rPr>
          <w:rFonts w:cs="Times New Roman"/>
          <w:b/>
          <w:szCs w:val="24"/>
        </w:rPr>
        <w:t>Fundamental Principles</w:t>
      </w:r>
    </w:p>
    <w:p w14:paraId="4A72A007" w14:textId="07BDCD8D" w:rsidR="009A1C4C" w:rsidRPr="00E90242" w:rsidRDefault="00E90242" w:rsidP="00E90242">
      <w:pPr>
        <w:pStyle w:val="ListParagraph"/>
        <w:numPr>
          <w:ilvl w:val="0"/>
          <w:numId w:val="32"/>
        </w:numPr>
        <w:spacing w:after="0" w:line="480" w:lineRule="auto"/>
        <w:rPr>
          <w:rFonts w:cs="Times New Roman"/>
          <w:szCs w:val="24"/>
        </w:rPr>
      </w:pPr>
      <w:r>
        <w:rPr>
          <w:rFonts w:cs="Times New Roman"/>
          <w:szCs w:val="24"/>
        </w:rPr>
        <w:tab/>
      </w:r>
      <w:r w:rsidR="009A1C4C" w:rsidRPr="00E90242">
        <w:rPr>
          <w:rFonts w:cs="Times New Roman"/>
          <w:szCs w:val="24"/>
        </w:rPr>
        <w:t>“</w:t>
      </w:r>
      <w:r w:rsidR="00C27959" w:rsidRPr="00E90242">
        <w:rPr>
          <w:rFonts w:cs="Times New Roman"/>
          <w:szCs w:val="24"/>
        </w:rPr>
        <w:t xml:space="preserve">When the Commission decides it is necessary </w:t>
      </w:r>
      <w:r w:rsidR="009A1C4C" w:rsidRPr="00E90242">
        <w:rPr>
          <w:rFonts w:cs="Times New Roman"/>
          <w:szCs w:val="24"/>
        </w:rPr>
        <w:t>‘</w:t>
      </w:r>
      <w:r w:rsidR="00C27959" w:rsidRPr="00E90242">
        <w:rPr>
          <w:rFonts w:cs="Times New Roman"/>
          <w:szCs w:val="24"/>
        </w:rPr>
        <w:t xml:space="preserve">to investigate </w:t>
      </w:r>
      <w:r w:rsidR="009A1C4C" w:rsidRPr="00E90242">
        <w:rPr>
          <w:rFonts w:cs="Times New Roman"/>
          <w:szCs w:val="24"/>
        </w:rPr>
        <w:t>the books, account, practices and activities’ of</w:t>
      </w:r>
      <w:r w:rsidR="00C27959" w:rsidRPr="00E90242">
        <w:rPr>
          <w:rFonts w:cs="Times New Roman"/>
          <w:szCs w:val="24"/>
        </w:rPr>
        <w:t xml:space="preserve"> public service company </w:t>
      </w:r>
      <w:r w:rsidR="00755E37" w:rsidRPr="00E90242">
        <w:rPr>
          <w:rFonts w:cs="Times New Roman"/>
          <w:szCs w:val="24"/>
        </w:rPr>
        <w:t xml:space="preserve">to carry out its duties </w:t>
      </w:r>
      <w:r w:rsidR="009A1C4C" w:rsidRPr="00E90242">
        <w:rPr>
          <w:rFonts w:cs="Times New Roman"/>
          <w:szCs w:val="24"/>
        </w:rPr>
        <w:t>‘</w:t>
      </w:r>
      <w:r w:rsidR="00C27959" w:rsidRPr="00E90242">
        <w:rPr>
          <w:rFonts w:cs="Times New Roman"/>
          <w:szCs w:val="24"/>
        </w:rPr>
        <w:t>and the cost thereof to the commission exceeds in amount the ordinary regulatory fees paid by such public service company during the preceding calendar year,</w:t>
      </w:r>
      <w:r w:rsidR="009A1C4C" w:rsidRPr="00E90242">
        <w:rPr>
          <w:rFonts w:cs="Times New Roman"/>
          <w:szCs w:val="24"/>
        </w:rPr>
        <w:t>’</w:t>
      </w:r>
      <w:r w:rsidR="00C27959" w:rsidRPr="00E90242">
        <w:rPr>
          <w:rFonts w:cs="Times New Roman"/>
          <w:szCs w:val="24"/>
        </w:rPr>
        <w:t xml:space="preserve"> RCW 81.20.020 directs the public service company to pay the expenses that are reasonably attributable to the investigation.</w:t>
      </w:r>
      <w:r w:rsidR="009A1C4C" w:rsidRPr="00E90242">
        <w:rPr>
          <w:rFonts w:cs="Times New Roman"/>
          <w:szCs w:val="24"/>
        </w:rPr>
        <w:t>”</w:t>
      </w:r>
      <w:r w:rsidR="00C27959" w:rsidRPr="00735A6A">
        <w:rPr>
          <w:rStyle w:val="FootnoteReference"/>
          <w:rFonts w:cs="Times New Roman"/>
          <w:szCs w:val="24"/>
        </w:rPr>
        <w:footnoteReference w:id="121"/>
      </w:r>
      <w:r w:rsidR="00755E37" w:rsidRPr="00E90242">
        <w:rPr>
          <w:rFonts w:cs="Times New Roman"/>
          <w:szCs w:val="24"/>
        </w:rPr>
        <w:t xml:space="preserve">  </w:t>
      </w:r>
      <w:r w:rsidR="009A1C4C" w:rsidRPr="00E90242">
        <w:rPr>
          <w:rFonts w:cs="Times New Roman"/>
          <w:szCs w:val="24"/>
        </w:rPr>
        <w:t xml:space="preserve">Under RCW 81.20.020, the Commission may only require a regulated company to pay investigation costs up to a maximum of one percent of that company’s gross intrastate revenues.  </w:t>
      </w:r>
    </w:p>
    <w:p w14:paraId="4A72A008" w14:textId="4EFE3C41" w:rsidR="00DB2D6B" w:rsidRPr="00E90242" w:rsidRDefault="007D0CE2" w:rsidP="00E90242">
      <w:pPr>
        <w:spacing w:after="0" w:line="480" w:lineRule="auto"/>
        <w:rPr>
          <w:rFonts w:cs="Times New Roman"/>
          <w:b/>
          <w:szCs w:val="24"/>
        </w:rPr>
      </w:pPr>
      <w:r>
        <w:rPr>
          <w:b/>
        </w:rPr>
        <w:t>B</w:t>
      </w:r>
      <w:r w:rsidR="00E90242">
        <w:rPr>
          <w:b/>
        </w:rPr>
        <w:t>.</w:t>
      </w:r>
      <w:r w:rsidR="00E90242">
        <w:rPr>
          <w:b/>
        </w:rPr>
        <w:tab/>
      </w:r>
      <w:r w:rsidR="009E7BA8" w:rsidRPr="00E90242">
        <w:rPr>
          <w:rFonts w:cs="Times New Roman"/>
          <w:b/>
          <w:szCs w:val="24"/>
        </w:rPr>
        <w:t>Staff</w:t>
      </w:r>
      <w:r w:rsidR="009B5A88" w:rsidRPr="00E90242">
        <w:rPr>
          <w:rFonts w:cs="Times New Roman"/>
          <w:b/>
          <w:szCs w:val="24"/>
        </w:rPr>
        <w:t>’s</w:t>
      </w:r>
      <w:r w:rsidR="009E7BA8" w:rsidRPr="00E90242">
        <w:rPr>
          <w:rFonts w:cs="Times New Roman"/>
          <w:b/>
          <w:szCs w:val="24"/>
        </w:rPr>
        <w:t xml:space="preserve"> Recommendation </w:t>
      </w:r>
      <w:r w:rsidR="00830B32">
        <w:rPr>
          <w:rFonts w:cs="Times New Roman"/>
          <w:b/>
          <w:szCs w:val="24"/>
        </w:rPr>
        <w:t>M</w:t>
      </w:r>
      <w:r w:rsidR="009E7BA8" w:rsidRPr="00E90242">
        <w:rPr>
          <w:rFonts w:cs="Times New Roman"/>
          <w:b/>
          <w:szCs w:val="24"/>
        </w:rPr>
        <w:t>eets Statutory Standards</w:t>
      </w:r>
      <w:r w:rsidR="00DB2D6B" w:rsidRPr="00E90242">
        <w:rPr>
          <w:rFonts w:cs="Times New Roman"/>
          <w:b/>
          <w:szCs w:val="24"/>
        </w:rPr>
        <w:t xml:space="preserve"> </w:t>
      </w:r>
    </w:p>
    <w:p w14:paraId="4A72A009" w14:textId="3244E4A2" w:rsidR="0022256A" w:rsidRPr="00E90242" w:rsidRDefault="00E90242" w:rsidP="00E90242">
      <w:pPr>
        <w:pStyle w:val="ListParagraph"/>
        <w:numPr>
          <w:ilvl w:val="0"/>
          <w:numId w:val="32"/>
        </w:numPr>
        <w:spacing w:after="0" w:line="480" w:lineRule="auto"/>
        <w:rPr>
          <w:rFonts w:cs="Times New Roman"/>
          <w:szCs w:val="24"/>
        </w:rPr>
      </w:pPr>
      <w:r>
        <w:rPr>
          <w:rFonts w:cs="Times New Roman"/>
          <w:szCs w:val="24"/>
        </w:rPr>
        <w:tab/>
      </w:r>
      <w:r w:rsidR="00755E37" w:rsidRPr="00E90242">
        <w:rPr>
          <w:rFonts w:cs="Times New Roman"/>
          <w:szCs w:val="24"/>
        </w:rPr>
        <w:t xml:space="preserve">Staff investigated the books and records of WCI on the basis of its obligation to review the Company’s general rate filing and recommend rates that are fair, just, reasonable, and sufficient.  </w:t>
      </w:r>
      <w:r w:rsidR="00F45866" w:rsidRPr="00E90242">
        <w:rPr>
          <w:rFonts w:cs="Times New Roman"/>
          <w:szCs w:val="24"/>
        </w:rPr>
        <w:t>Ms. Cheesman’s testimony describes the extraordinary amount of time and resources Staff devoted to this investigation.</w:t>
      </w:r>
      <w:r w:rsidR="00C27959" w:rsidRPr="00735A6A">
        <w:rPr>
          <w:rStyle w:val="FootnoteReference"/>
          <w:rFonts w:cs="Times New Roman"/>
          <w:szCs w:val="24"/>
        </w:rPr>
        <w:footnoteReference w:id="122"/>
      </w:r>
      <w:r w:rsidR="00C27959" w:rsidRPr="00E90242">
        <w:rPr>
          <w:rFonts w:cs="Times New Roman"/>
          <w:szCs w:val="24"/>
        </w:rPr>
        <w:t xml:space="preserve">  As of June 2014, Staff had devoted a combined $84,305 to Dockets</w:t>
      </w:r>
      <w:r w:rsidR="00755E37" w:rsidRPr="00E90242">
        <w:rPr>
          <w:rFonts w:cs="Times New Roman"/>
          <w:szCs w:val="24"/>
        </w:rPr>
        <w:t xml:space="preserve"> TG-131794 and TG-140560.</w:t>
      </w:r>
      <w:r w:rsidR="00612302" w:rsidRPr="00735A6A">
        <w:rPr>
          <w:rStyle w:val="FootnoteReference"/>
          <w:rFonts w:cs="Times New Roman"/>
          <w:szCs w:val="24"/>
        </w:rPr>
        <w:footnoteReference w:id="123"/>
      </w:r>
      <w:r w:rsidR="00755E37" w:rsidRPr="00E90242">
        <w:rPr>
          <w:rFonts w:cs="Times New Roman"/>
          <w:szCs w:val="24"/>
        </w:rPr>
        <w:t xml:space="preserve"> </w:t>
      </w:r>
      <w:r w:rsidR="00612302" w:rsidRPr="00E90242">
        <w:rPr>
          <w:rFonts w:cs="Times New Roman"/>
          <w:szCs w:val="24"/>
        </w:rPr>
        <w:t xml:space="preserve"> </w:t>
      </w:r>
      <w:r w:rsidR="0084081A" w:rsidRPr="00E90242">
        <w:rPr>
          <w:rFonts w:cs="Times New Roman"/>
          <w:szCs w:val="24"/>
        </w:rPr>
        <w:t xml:space="preserve">Although Staff has not revisited </w:t>
      </w:r>
      <w:r w:rsidR="0022256A" w:rsidRPr="00E90242">
        <w:rPr>
          <w:rFonts w:cs="Times New Roman"/>
          <w:szCs w:val="24"/>
        </w:rPr>
        <w:t xml:space="preserve">its </w:t>
      </w:r>
      <w:r w:rsidR="0084081A" w:rsidRPr="00E90242">
        <w:rPr>
          <w:rFonts w:cs="Times New Roman"/>
          <w:szCs w:val="24"/>
        </w:rPr>
        <w:t xml:space="preserve">analysis, </w:t>
      </w:r>
      <w:r w:rsidR="0022256A" w:rsidRPr="00E90242">
        <w:rPr>
          <w:rFonts w:cs="Times New Roman"/>
          <w:szCs w:val="24"/>
        </w:rPr>
        <w:t>Staff’s</w:t>
      </w:r>
      <w:r w:rsidR="0084081A" w:rsidRPr="00E90242">
        <w:rPr>
          <w:rFonts w:cs="Times New Roman"/>
          <w:szCs w:val="24"/>
        </w:rPr>
        <w:t xml:space="preserve"> costs have continued to increase in the four months since June 2014.</w:t>
      </w:r>
      <w:r w:rsidR="009B5A88" w:rsidRPr="00E90242">
        <w:rPr>
          <w:rFonts w:cs="Times New Roman"/>
          <w:szCs w:val="24"/>
        </w:rPr>
        <w:t xml:space="preserve">  To underscore the unusual nature of this filing, Staff notes that this is the only solid waste rate case litigation in more than 2</w:t>
      </w:r>
      <w:r w:rsidR="004772C6" w:rsidRPr="00E90242">
        <w:rPr>
          <w:rFonts w:cs="Times New Roman"/>
          <w:szCs w:val="24"/>
        </w:rPr>
        <w:t>0</w:t>
      </w:r>
      <w:r w:rsidR="009B5A88" w:rsidRPr="00E90242">
        <w:rPr>
          <w:rFonts w:cs="Times New Roman"/>
          <w:szCs w:val="24"/>
        </w:rPr>
        <w:t xml:space="preserve"> years.</w:t>
      </w:r>
      <w:r w:rsidR="0084081A" w:rsidRPr="00E90242">
        <w:rPr>
          <w:rFonts w:cs="Times New Roman"/>
          <w:szCs w:val="24"/>
        </w:rPr>
        <w:t xml:space="preserve">  </w:t>
      </w:r>
    </w:p>
    <w:p w14:paraId="4A72A00A" w14:textId="7E311FB8" w:rsidR="00715812" w:rsidRPr="00E90242" w:rsidRDefault="00E90242" w:rsidP="00E90242">
      <w:pPr>
        <w:pStyle w:val="ListParagraph"/>
        <w:numPr>
          <w:ilvl w:val="0"/>
          <w:numId w:val="32"/>
        </w:numPr>
        <w:spacing w:after="0" w:line="480" w:lineRule="auto"/>
        <w:rPr>
          <w:rFonts w:cs="Times New Roman"/>
          <w:szCs w:val="24"/>
        </w:rPr>
      </w:pPr>
      <w:r>
        <w:rPr>
          <w:rFonts w:cs="Times New Roman"/>
          <w:szCs w:val="24"/>
        </w:rPr>
        <w:tab/>
      </w:r>
      <w:r w:rsidR="00755E37" w:rsidRPr="00E90242">
        <w:rPr>
          <w:rFonts w:cs="Times New Roman"/>
          <w:szCs w:val="24"/>
        </w:rPr>
        <w:t xml:space="preserve">WCI </w:t>
      </w:r>
      <w:r w:rsidR="0022256A" w:rsidRPr="00E90242">
        <w:rPr>
          <w:rFonts w:cs="Times New Roman"/>
          <w:szCs w:val="24"/>
        </w:rPr>
        <w:t xml:space="preserve">most recently </w:t>
      </w:r>
      <w:r w:rsidR="00755E37" w:rsidRPr="00E90242">
        <w:rPr>
          <w:rFonts w:cs="Times New Roman"/>
          <w:szCs w:val="24"/>
        </w:rPr>
        <w:t xml:space="preserve">paid $18,732.55 in regulatory fees.  </w:t>
      </w:r>
      <w:r w:rsidR="00E10539" w:rsidRPr="00E90242">
        <w:rPr>
          <w:rFonts w:cs="Times New Roman"/>
          <w:szCs w:val="24"/>
        </w:rPr>
        <w:t xml:space="preserve">Under </w:t>
      </w:r>
      <w:r w:rsidR="008B0B4A" w:rsidRPr="00E90242">
        <w:rPr>
          <w:rFonts w:cs="Times New Roman"/>
          <w:szCs w:val="24"/>
        </w:rPr>
        <w:t>the</w:t>
      </w:r>
      <w:r w:rsidR="0084081A" w:rsidRPr="00E90242">
        <w:rPr>
          <w:rFonts w:cs="Times New Roman"/>
          <w:szCs w:val="24"/>
        </w:rPr>
        <w:t xml:space="preserve"> statutory directive in</w:t>
      </w:r>
      <w:r w:rsidR="008B0B4A" w:rsidRPr="00E90242">
        <w:rPr>
          <w:rFonts w:cs="Times New Roman"/>
          <w:szCs w:val="24"/>
        </w:rPr>
        <w:t xml:space="preserve"> </w:t>
      </w:r>
      <w:r w:rsidR="00E10539" w:rsidRPr="00E90242">
        <w:rPr>
          <w:rFonts w:cs="Times New Roman"/>
          <w:szCs w:val="24"/>
        </w:rPr>
        <w:t>RCW 81.20.020, the Commission should require</w:t>
      </w:r>
      <w:r w:rsidR="00612302" w:rsidRPr="00E90242">
        <w:rPr>
          <w:rFonts w:cs="Times New Roman"/>
          <w:szCs w:val="24"/>
        </w:rPr>
        <w:t xml:space="preserve"> WCI to pay the cost of the Commission’s investigation up to one percent of the Company’s gross intrastate revenues, for a total assessment of $43,818.82.  </w:t>
      </w:r>
    </w:p>
    <w:p w14:paraId="4A72A00B" w14:textId="7F876637" w:rsidR="00C12F3F" w:rsidRPr="00E90242" w:rsidRDefault="007D0CE2" w:rsidP="00830B32">
      <w:pPr>
        <w:keepNext/>
        <w:spacing w:after="0" w:line="480" w:lineRule="auto"/>
        <w:rPr>
          <w:rFonts w:cs="Times New Roman"/>
          <w:b/>
          <w:szCs w:val="24"/>
        </w:rPr>
      </w:pPr>
      <w:r>
        <w:rPr>
          <w:b/>
        </w:rPr>
        <w:t>C</w:t>
      </w:r>
      <w:r w:rsidR="00E90242" w:rsidRPr="00E90242">
        <w:rPr>
          <w:b/>
        </w:rPr>
        <w:t>.</w:t>
      </w:r>
      <w:r w:rsidR="00E90242">
        <w:tab/>
      </w:r>
      <w:r w:rsidR="00DB2D6B" w:rsidRPr="00E90242">
        <w:rPr>
          <w:rFonts w:cs="Times New Roman"/>
          <w:b/>
          <w:szCs w:val="24"/>
        </w:rPr>
        <w:t xml:space="preserve">WCI’S </w:t>
      </w:r>
      <w:r w:rsidR="009E7BA8" w:rsidRPr="00E90242">
        <w:rPr>
          <w:rFonts w:cs="Times New Roman"/>
          <w:b/>
          <w:szCs w:val="24"/>
        </w:rPr>
        <w:t>Argument does not Refute Statutory Directive</w:t>
      </w:r>
    </w:p>
    <w:p w14:paraId="4A72A00C" w14:textId="2E2AE945" w:rsidR="00715812" w:rsidRPr="00E90242" w:rsidRDefault="00E90242" w:rsidP="00830B32">
      <w:pPr>
        <w:pStyle w:val="ListParagraph"/>
        <w:keepNext/>
        <w:numPr>
          <w:ilvl w:val="0"/>
          <w:numId w:val="32"/>
        </w:numPr>
        <w:spacing w:after="0" w:line="480" w:lineRule="auto"/>
        <w:rPr>
          <w:rFonts w:cs="Times New Roman"/>
          <w:szCs w:val="24"/>
        </w:rPr>
      </w:pPr>
      <w:r>
        <w:rPr>
          <w:rFonts w:cs="Times New Roman"/>
          <w:szCs w:val="24"/>
        </w:rPr>
        <w:tab/>
      </w:r>
      <w:r w:rsidR="00612302" w:rsidRPr="00E90242">
        <w:rPr>
          <w:rFonts w:cs="Times New Roman"/>
          <w:szCs w:val="24"/>
        </w:rPr>
        <w:t xml:space="preserve">WCI’s arguments of </w:t>
      </w:r>
      <w:r w:rsidR="00C12F3F" w:rsidRPr="00E90242">
        <w:rPr>
          <w:rFonts w:cs="Times New Roman"/>
          <w:szCs w:val="24"/>
        </w:rPr>
        <w:t>“</w:t>
      </w:r>
      <w:r w:rsidR="00612302" w:rsidRPr="00E90242">
        <w:rPr>
          <w:rFonts w:cs="Times New Roman"/>
          <w:szCs w:val="24"/>
        </w:rPr>
        <w:t>piling on</w:t>
      </w:r>
      <w:r w:rsidR="00C12F3F" w:rsidRPr="00E90242">
        <w:rPr>
          <w:rFonts w:cs="Times New Roman"/>
          <w:szCs w:val="24"/>
        </w:rPr>
        <w:t>”</w:t>
      </w:r>
      <w:r w:rsidR="0084081A" w:rsidRPr="00E90242">
        <w:rPr>
          <w:rFonts w:cs="Times New Roman"/>
          <w:szCs w:val="24"/>
        </w:rPr>
        <w:t xml:space="preserve"> do not refute</w:t>
      </w:r>
      <w:r w:rsidR="00E10539" w:rsidRPr="00E90242">
        <w:rPr>
          <w:rFonts w:cs="Times New Roman"/>
          <w:szCs w:val="24"/>
        </w:rPr>
        <w:t xml:space="preserve"> RCW 81.20.020</w:t>
      </w:r>
      <w:r w:rsidR="00612302" w:rsidRPr="00E90242">
        <w:rPr>
          <w:rFonts w:cs="Times New Roman"/>
          <w:szCs w:val="24"/>
        </w:rPr>
        <w:t xml:space="preserve">.  The Company </w:t>
      </w:r>
      <w:r w:rsidR="00E10539" w:rsidRPr="00E90242">
        <w:rPr>
          <w:rFonts w:cs="Times New Roman"/>
          <w:szCs w:val="24"/>
        </w:rPr>
        <w:t>primarily argues</w:t>
      </w:r>
      <w:r w:rsidR="00612302" w:rsidRPr="00E90242">
        <w:rPr>
          <w:rFonts w:cs="Times New Roman"/>
          <w:szCs w:val="24"/>
        </w:rPr>
        <w:t xml:space="preserve"> that it is unaware of any other solid waste proceeding in which the Commission assessed investigation fees;</w:t>
      </w:r>
      <w:r w:rsidR="00612302" w:rsidRPr="00735A6A">
        <w:rPr>
          <w:rStyle w:val="FootnoteReference"/>
          <w:rFonts w:cs="Times New Roman"/>
          <w:szCs w:val="24"/>
        </w:rPr>
        <w:footnoteReference w:id="124"/>
      </w:r>
      <w:r w:rsidR="00612302" w:rsidRPr="00E90242">
        <w:rPr>
          <w:rFonts w:cs="Times New Roman"/>
          <w:szCs w:val="24"/>
        </w:rPr>
        <w:t xml:space="preserve"> however, as the Company also notes in its testimony, the present docket is the first </w:t>
      </w:r>
      <w:r w:rsidR="00E10539" w:rsidRPr="00E90242">
        <w:rPr>
          <w:rFonts w:cs="Times New Roman"/>
          <w:szCs w:val="24"/>
        </w:rPr>
        <w:t xml:space="preserve">adjudicated </w:t>
      </w:r>
      <w:r w:rsidR="00612302" w:rsidRPr="00E90242">
        <w:rPr>
          <w:rFonts w:cs="Times New Roman"/>
          <w:szCs w:val="24"/>
        </w:rPr>
        <w:t>solid waste general rate proceeding in over 20 years.</w:t>
      </w:r>
      <w:r w:rsidR="00E10539" w:rsidRPr="00735A6A">
        <w:rPr>
          <w:rStyle w:val="FootnoteReference"/>
          <w:rFonts w:cs="Times New Roman"/>
          <w:szCs w:val="24"/>
        </w:rPr>
        <w:footnoteReference w:id="125"/>
      </w:r>
      <w:r w:rsidR="00612302" w:rsidRPr="00E90242">
        <w:rPr>
          <w:rFonts w:cs="Times New Roman"/>
          <w:szCs w:val="24"/>
        </w:rPr>
        <w:t xml:space="preserve">  Therefore, </w:t>
      </w:r>
      <w:r w:rsidR="00E10539" w:rsidRPr="00E90242">
        <w:rPr>
          <w:rFonts w:cs="Times New Roman"/>
          <w:szCs w:val="24"/>
        </w:rPr>
        <w:t xml:space="preserve">the Company puts forward a precedential argument while at the same time acknowledging that </w:t>
      </w:r>
      <w:r w:rsidR="00612302" w:rsidRPr="00E90242">
        <w:rPr>
          <w:rFonts w:cs="Times New Roman"/>
          <w:szCs w:val="24"/>
        </w:rPr>
        <w:t xml:space="preserve">the Commission could not have had the opportunity to assess investigation fees in a solid waste case during that time.  </w:t>
      </w:r>
      <w:r w:rsidR="00E10539" w:rsidRPr="00E90242">
        <w:rPr>
          <w:rFonts w:cs="Times New Roman"/>
          <w:szCs w:val="24"/>
        </w:rPr>
        <w:t>By its own terms, t</w:t>
      </w:r>
      <w:r w:rsidR="00612302" w:rsidRPr="00E90242">
        <w:rPr>
          <w:rFonts w:cs="Times New Roman"/>
          <w:szCs w:val="24"/>
        </w:rPr>
        <w:t>he Company’s argument</w:t>
      </w:r>
      <w:r w:rsidR="00E10539" w:rsidRPr="00E90242">
        <w:rPr>
          <w:rFonts w:cs="Times New Roman"/>
          <w:szCs w:val="24"/>
        </w:rPr>
        <w:t xml:space="preserve"> is</w:t>
      </w:r>
      <w:r w:rsidR="00612302" w:rsidRPr="00E90242">
        <w:rPr>
          <w:rFonts w:cs="Times New Roman"/>
          <w:szCs w:val="24"/>
        </w:rPr>
        <w:t xml:space="preserve"> irrelevant and does not undermine the statuto</w:t>
      </w:r>
      <w:r w:rsidR="00E10539" w:rsidRPr="00E90242">
        <w:rPr>
          <w:rFonts w:cs="Times New Roman"/>
          <w:szCs w:val="24"/>
        </w:rPr>
        <w:t xml:space="preserve">ry directive in RCW 81.20.020.  </w:t>
      </w:r>
      <w:r w:rsidR="005D12F1" w:rsidRPr="00E90242">
        <w:rPr>
          <w:rFonts w:cs="Times New Roman"/>
          <w:szCs w:val="24"/>
        </w:rPr>
        <w:t xml:space="preserve">Thus, the </w:t>
      </w:r>
      <w:r w:rsidR="00E10539" w:rsidRPr="00E90242">
        <w:rPr>
          <w:rFonts w:cs="Times New Roman"/>
          <w:szCs w:val="24"/>
        </w:rPr>
        <w:t xml:space="preserve">Commission should adopt Staff’s recommendation </w:t>
      </w:r>
      <w:r w:rsidR="005D12F1" w:rsidRPr="00E90242">
        <w:rPr>
          <w:rFonts w:cs="Times New Roman"/>
          <w:szCs w:val="24"/>
        </w:rPr>
        <w:t xml:space="preserve">as consistent with RCW 81.20.020 </w:t>
      </w:r>
      <w:r w:rsidR="00E10539" w:rsidRPr="00E90242">
        <w:rPr>
          <w:rFonts w:cs="Times New Roman"/>
          <w:szCs w:val="24"/>
        </w:rPr>
        <w:t xml:space="preserve">and assess a $43,818.82 fee on </w:t>
      </w:r>
      <w:r w:rsidR="0084081A" w:rsidRPr="00E90242">
        <w:rPr>
          <w:rFonts w:cs="Times New Roman"/>
          <w:szCs w:val="24"/>
        </w:rPr>
        <w:t xml:space="preserve">WCI.  </w:t>
      </w:r>
      <w:r w:rsidR="0022256A" w:rsidRPr="00E90242">
        <w:rPr>
          <w:rFonts w:cs="Times New Roman"/>
          <w:szCs w:val="24"/>
        </w:rPr>
        <w:t>To ensure fairness to ratepayers, t</w:t>
      </w:r>
      <w:r w:rsidR="0084081A" w:rsidRPr="00E90242">
        <w:rPr>
          <w:rFonts w:cs="Times New Roman"/>
          <w:szCs w:val="24"/>
        </w:rPr>
        <w:t xml:space="preserve">he Commission should not </w:t>
      </w:r>
      <w:r w:rsidR="00E10539" w:rsidRPr="00E90242">
        <w:rPr>
          <w:rFonts w:cs="Times New Roman"/>
          <w:szCs w:val="24"/>
        </w:rPr>
        <w:t>allow the Com</w:t>
      </w:r>
      <w:r w:rsidR="0084081A" w:rsidRPr="00E90242">
        <w:rPr>
          <w:rFonts w:cs="Times New Roman"/>
          <w:szCs w:val="24"/>
        </w:rPr>
        <w:t>pany to recoup</w:t>
      </w:r>
      <w:r w:rsidR="00E10539" w:rsidRPr="00E90242">
        <w:rPr>
          <w:rFonts w:cs="Times New Roman"/>
          <w:szCs w:val="24"/>
        </w:rPr>
        <w:t xml:space="preserve"> investigation fees in rates.</w:t>
      </w:r>
      <w:r w:rsidR="0084081A" w:rsidRPr="00735A6A">
        <w:rPr>
          <w:rStyle w:val="FootnoteReference"/>
          <w:rFonts w:cs="Times New Roman"/>
          <w:szCs w:val="24"/>
        </w:rPr>
        <w:footnoteReference w:id="126"/>
      </w:r>
      <w:r w:rsidR="00E10539" w:rsidRPr="00E90242">
        <w:rPr>
          <w:rFonts w:cs="Times New Roman"/>
          <w:szCs w:val="24"/>
        </w:rPr>
        <w:t xml:space="preserve"> </w:t>
      </w:r>
    </w:p>
    <w:p w14:paraId="76FD9035" w14:textId="4BC0D21D" w:rsidR="00735A6A" w:rsidRPr="00735A6A" w:rsidRDefault="00735A6A" w:rsidP="00735A6A">
      <w:pPr>
        <w:spacing w:after="0" w:line="240" w:lineRule="auto"/>
        <w:ind w:left="720"/>
        <w:rPr>
          <w:rFonts w:cs="Times New Roman"/>
          <w:szCs w:val="24"/>
        </w:rPr>
      </w:pPr>
      <w:r w:rsidRPr="00735A6A">
        <w:rPr>
          <w:rFonts w:cs="Times New Roman"/>
          <w:szCs w:val="24"/>
        </w:rPr>
        <w:t xml:space="preserve">DATED this </w:t>
      </w:r>
      <w:r w:rsidR="00830B32">
        <w:rPr>
          <w:rFonts w:cs="Times New Roman"/>
          <w:szCs w:val="24"/>
        </w:rPr>
        <w:t>7th</w:t>
      </w:r>
      <w:r w:rsidRPr="00735A6A">
        <w:rPr>
          <w:rFonts w:cs="Times New Roman"/>
          <w:szCs w:val="24"/>
        </w:rPr>
        <w:t xml:space="preserve"> day of </w:t>
      </w:r>
      <w:r w:rsidR="00830B32">
        <w:rPr>
          <w:rFonts w:cs="Times New Roman"/>
          <w:szCs w:val="24"/>
        </w:rPr>
        <w:t>November,</w:t>
      </w:r>
      <w:r w:rsidRPr="00735A6A">
        <w:rPr>
          <w:rFonts w:cs="Times New Roman"/>
          <w:szCs w:val="24"/>
        </w:rPr>
        <w:t xml:space="preserve"> 2014.</w:t>
      </w:r>
    </w:p>
    <w:p w14:paraId="78923324" w14:textId="77777777" w:rsidR="00735A6A" w:rsidRPr="00735A6A" w:rsidRDefault="00735A6A" w:rsidP="00735A6A">
      <w:pPr>
        <w:pStyle w:val="BodyTextIndent2"/>
        <w:ind w:left="0"/>
        <w:rPr>
          <w:rFonts w:ascii="Times New Roman" w:hAnsi="Times New Roman"/>
        </w:rPr>
      </w:pPr>
    </w:p>
    <w:p w14:paraId="1BC0EFE1" w14:textId="77777777" w:rsidR="00735A6A" w:rsidRPr="00735A6A" w:rsidRDefault="00735A6A" w:rsidP="00735A6A">
      <w:pPr>
        <w:spacing w:after="0" w:line="240" w:lineRule="auto"/>
        <w:ind w:left="4320"/>
        <w:jc w:val="both"/>
        <w:rPr>
          <w:rFonts w:cs="Times New Roman"/>
          <w:szCs w:val="24"/>
        </w:rPr>
      </w:pPr>
      <w:r w:rsidRPr="00735A6A">
        <w:rPr>
          <w:rFonts w:cs="Times New Roman"/>
          <w:szCs w:val="24"/>
        </w:rPr>
        <w:t xml:space="preserve">Respectfully submitted, </w:t>
      </w:r>
    </w:p>
    <w:p w14:paraId="53BF51B2" w14:textId="77777777" w:rsidR="00735A6A" w:rsidRPr="00735A6A" w:rsidRDefault="00735A6A" w:rsidP="00735A6A">
      <w:pPr>
        <w:spacing w:after="0" w:line="240" w:lineRule="auto"/>
        <w:ind w:left="4320"/>
        <w:rPr>
          <w:rFonts w:cs="Times New Roman"/>
          <w:szCs w:val="24"/>
        </w:rPr>
      </w:pPr>
    </w:p>
    <w:p w14:paraId="6DADF406" w14:textId="77777777" w:rsidR="00735A6A" w:rsidRPr="00735A6A" w:rsidRDefault="00735A6A" w:rsidP="00735A6A">
      <w:pPr>
        <w:spacing w:after="0" w:line="240" w:lineRule="auto"/>
        <w:ind w:left="4320"/>
        <w:rPr>
          <w:rFonts w:cs="Times New Roman"/>
          <w:szCs w:val="24"/>
        </w:rPr>
      </w:pPr>
      <w:r w:rsidRPr="00735A6A">
        <w:rPr>
          <w:rFonts w:cs="Times New Roman"/>
          <w:szCs w:val="24"/>
        </w:rPr>
        <w:t xml:space="preserve">ROBERT W. FERGUSON </w:t>
      </w:r>
    </w:p>
    <w:p w14:paraId="45778CA1" w14:textId="77777777" w:rsidR="00735A6A" w:rsidRPr="00735A6A" w:rsidRDefault="00735A6A" w:rsidP="00735A6A">
      <w:pPr>
        <w:spacing w:after="0" w:line="240" w:lineRule="auto"/>
        <w:ind w:left="4320"/>
        <w:jc w:val="both"/>
        <w:rPr>
          <w:rFonts w:cs="Times New Roman"/>
          <w:szCs w:val="24"/>
        </w:rPr>
      </w:pPr>
      <w:r w:rsidRPr="00735A6A">
        <w:rPr>
          <w:rFonts w:cs="Times New Roman"/>
          <w:szCs w:val="24"/>
        </w:rPr>
        <w:t>Attorney General</w:t>
      </w:r>
    </w:p>
    <w:p w14:paraId="165ADF79" w14:textId="77777777" w:rsidR="00735A6A" w:rsidRPr="00735A6A" w:rsidRDefault="00735A6A" w:rsidP="00735A6A">
      <w:pPr>
        <w:spacing w:after="0" w:line="240" w:lineRule="auto"/>
        <w:ind w:left="4320"/>
        <w:jc w:val="both"/>
        <w:rPr>
          <w:rFonts w:cs="Times New Roman"/>
          <w:szCs w:val="24"/>
        </w:rPr>
      </w:pPr>
    </w:p>
    <w:p w14:paraId="373BD669" w14:textId="77777777" w:rsidR="00735A6A" w:rsidRPr="00735A6A" w:rsidRDefault="00735A6A" w:rsidP="00735A6A">
      <w:pPr>
        <w:spacing w:after="0" w:line="240" w:lineRule="auto"/>
        <w:ind w:left="4320"/>
        <w:jc w:val="both"/>
        <w:rPr>
          <w:rFonts w:cs="Times New Roman"/>
          <w:szCs w:val="24"/>
        </w:rPr>
      </w:pPr>
    </w:p>
    <w:p w14:paraId="0D9D4F7E" w14:textId="2189BF08" w:rsidR="00735A6A" w:rsidRPr="00735A6A" w:rsidRDefault="00735A6A" w:rsidP="00735A6A">
      <w:pPr>
        <w:spacing w:after="0" w:line="240" w:lineRule="auto"/>
        <w:ind w:left="4320"/>
        <w:jc w:val="both"/>
        <w:rPr>
          <w:rFonts w:cs="Times New Roman"/>
          <w:szCs w:val="24"/>
        </w:rPr>
      </w:pPr>
      <w:r w:rsidRPr="00735A6A">
        <w:rPr>
          <w:rFonts w:cs="Times New Roman"/>
          <w:szCs w:val="24"/>
          <w:u w:val="single"/>
        </w:rPr>
        <w:tab/>
      </w:r>
      <w:r w:rsidRPr="00735A6A">
        <w:rPr>
          <w:rFonts w:cs="Times New Roman"/>
          <w:szCs w:val="24"/>
          <w:u w:val="single"/>
        </w:rPr>
        <w:tab/>
      </w:r>
      <w:r w:rsidRPr="00735A6A">
        <w:rPr>
          <w:rFonts w:cs="Times New Roman"/>
          <w:szCs w:val="24"/>
          <w:u w:val="single"/>
        </w:rPr>
        <w:tab/>
      </w:r>
      <w:r w:rsidRPr="00735A6A">
        <w:rPr>
          <w:rFonts w:cs="Times New Roman"/>
          <w:szCs w:val="24"/>
          <w:u w:val="single"/>
        </w:rPr>
        <w:tab/>
      </w:r>
      <w:r w:rsidRPr="00735A6A">
        <w:rPr>
          <w:rFonts w:cs="Times New Roman"/>
          <w:szCs w:val="24"/>
          <w:u w:val="single"/>
        </w:rPr>
        <w:tab/>
      </w:r>
    </w:p>
    <w:p w14:paraId="66FF43FA" w14:textId="3C7252F9" w:rsidR="00735A6A" w:rsidRPr="00735A6A" w:rsidRDefault="00735A6A" w:rsidP="00735A6A">
      <w:pPr>
        <w:spacing w:after="0" w:line="240" w:lineRule="auto"/>
        <w:ind w:left="4320"/>
        <w:jc w:val="both"/>
        <w:rPr>
          <w:rFonts w:cs="Times New Roman"/>
          <w:szCs w:val="24"/>
        </w:rPr>
      </w:pPr>
      <w:r w:rsidRPr="00735A6A">
        <w:rPr>
          <w:rFonts w:cs="Times New Roman"/>
          <w:szCs w:val="24"/>
        </w:rPr>
        <w:t xml:space="preserve">BRETT P. SHEARER </w:t>
      </w:r>
    </w:p>
    <w:p w14:paraId="69DFB84B" w14:textId="08E5F5B9" w:rsidR="00735A6A" w:rsidRPr="00735A6A" w:rsidRDefault="00735A6A" w:rsidP="00735A6A">
      <w:pPr>
        <w:spacing w:after="0" w:line="240" w:lineRule="auto"/>
        <w:ind w:left="4320"/>
        <w:jc w:val="both"/>
        <w:rPr>
          <w:rFonts w:cs="Times New Roman"/>
          <w:szCs w:val="24"/>
        </w:rPr>
      </w:pPr>
      <w:r w:rsidRPr="00735A6A">
        <w:rPr>
          <w:rFonts w:cs="Times New Roman"/>
          <w:szCs w:val="24"/>
        </w:rPr>
        <w:t>Assistant Attorney General</w:t>
      </w:r>
    </w:p>
    <w:p w14:paraId="46ADF35B" w14:textId="07AB5479" w:rsidR="00735A6A" w:rsidRPr="00735A6A" w:rsidRDefault="00735A6A" w:rsidP="00735A6A">
      <w:pPr>
        <w:spacing w:after="0" w:line="240" w:lineRule="auto"/>
        <w:ind w:left="4320"/>
        <w:jc w:val="both"/>
        <w:rPr>
          <w:rFonts w:cs="Times New Roman"/>
          <w:szCs w:val="24"/>
        </w:rPr>
      </w:pPr>
      <w:r w:rsidRPr="00735A6A">
        <w:rPr>
          <w:rFonts w:cs="Times New Roman"/>
          <w:szCs w:val="24"/>
        </w:rPr>
        <w:t>Counsel for Washington Utilities and</w:t>
      </w:r>
      <w:r w:rsidRPr="00735A6A">
        <w:rPr>
          <w:rFonts w:cs="Times New Roman"/>
          <w:szCs w:val="24"/>
        </w:rPr>
        <w:tab/>
        <w:t xml:space="preserve"> </w:t>
      </w:r>
    </w:p>
    <w:p w14:paraId="596CCE44" w14:textId="51DF9621" w:rsidR="00735A6A" w:rsidRPr="00735A6A" w:rsidRDefault="00735A6A" w:rsidP="00E90242">
      <w:pPr>
        <w:spacing w:after="0" w:line="240" w:lineRule="auto"/>
        <w:ind w:left="4320"/>
        <w:jc w:val="both"/>
        <w:rPr>
          <w:rFonts w:cs="Times New Roman"/>
          <w:szCs w:val="24"/>
        </w:rPr>
      </w:pPr>
      <w:r w:rsidRPr="00735A6A">
        <w:rPr>
          <w:rFonts w:cs="Times New Roman"/>
          <w:szCs w:val="24"/>
        </w:rPr>
        <w:t>Transportation Commission Staff</w:t>
      </w:r>
    </w:p>
    <w:sectPr w:rsidR="00735A6A" w:rsidRPr="00735A6A" w:rsidSect="003C035C">
      <w:footerReference w:type="default" r:id="rId13"/>
      <w:pgSz w:w="12240" w:h="15840"/>
      <w:pgMar w:top="1440" w:right="1440" w:bottom="1440" w:left="1872" w:header="720" w:footer="720" w:gutter="0"/>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CE1A44" w15:done="0"/>
  <w15:commentEx w15:paraId="7597068A" w15:paraIdParent="0BCE1A44" w15:done="0"/>
  <w15:commentEx w15:paraId="18EAE4F1" w15:done="0"/>
  <w15:commentEx w15:paraId="78A1F2A2" w15:done="0"/>
  <w15:commentEx w15:paraId="5A370944" w15:done="0"/>
  <w15:commentEx w15:paraId="4A72A00F" w15:done="0"/>
  <w15:commentEx w15:paraId="231BE0D1" w15:done="0"/>
  <w15:commentEx w15:paraId="7765E249" w15:done="0"/>
  <w15:commentEx w15:paraId="2108E371" w15:done="0"/>
  <w15:commentEx w15:paraId="4A72A012" w15:done="0"/>
  <w15:commentEx w15:paraId="0437B155" w15:done="0"/>
  <w15:commentEx w15:paraId="5F4C7ED9" w15:done="0"/>
  <w15:commentEx w15:paraId="00295F7A" w15:done="0"/>
  <w15:commentEx w15:paraId="4A72A019" w15:done="0"/>
  <w15:commentEx w15:paraId="4A72A01A" w15:done="0"/>
  <w15:commentEx w15:paraId="7B559620" w15:done="0"/>
  <w15:commentEx w15:paraId="04A0DEE4" w15:done="0"/>
  <w15:commentEx w15:paraId="4A8B849E" w15:done="0"/>
  <w15:commentEx w15:paraId="2193E1B6" w15:done="0"/>
  <w15:commentEx w15:paraId="48FA0873" w15:done="0"/>
  <w15:commentEx w15:paraId="495509C1" w15:done="0"/>
  <w15:commentEx w15:paraId="76EAD8CD" w15:done="0"/>
  <w15:commentEx w15:paraId="4C6AB6A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F4F092" w14:textId="77777777" w:rsidR="00FA1B20" w:rsidRDefault="00FA1B20" w:rsidP="00660F80">
      <w:pPr>
        <w:spacing w:after="0" w:line="240" w:lineRule="auto"/>
      </w:pPr>
      <w:r>
        <w:separator/>
      </w:r>
    </w:p>
  </w:endnote>
  <w:endnote w:type="continuationSeparator" w:id="0">
    <w:p w14:paraId="71AE8B77" w14:textId="77777777" w:rsidR="00FA1B20" w:rsidRDefault="00FA1B20" w:rsidP="00660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E8ED1" w14:textId="77777777" w:rsidR="00FA1B20" w:rsidRPr="00735A6A" w:rsidRDefault="00FA1B20">
    <w:pPr>
      <w:pStyle w:val="Footer"/>
      <w:rPr>
        <w:sz w:val="20"/>
        <w:szCs w:val="20"/>
      </w:rPr>
    </w:pPr>
  </w:p>
  <w:p w14:paraId="477945CB" w14:textId="06462585" w:rsidR="00FA1B20" w:rsidRPr="00735A6A" w:rsidRDefault="00FA1B20">
    <w:pPr>
      <w:pStyle w:val="Footer"/>
      <w:rPr>
        <w:sz w:val="20"/>
        <w:szCs w:val="20"/>
      </w:rPr>
    </w:pPr>
    <w:r w:rsidRPr="00735A6A">
      <w:rPr>
        <w:sz w:val="20"/>
        <w:szCs w:val="20"/>
      </w:rPr>
      <w:t xml:space="preserve">INITIAL BRIEF ON BEHALF OF COMMISSION STAFF - </w:t>
    </w:r>
    <w:r w:rsidRPr="00735A6A">
      <w:rPr>
        <w:sz w:val="20"/>
        <w:szCs w:val="20"/>
      </w:rPr>
      <w:fldChar w:fldCharType="begin"/>
    </w:r>
    <w:r w:rsidRPr="00735A6A">
      <w:rPr>
        <w:sz w:val="20"/>
        <w:szCs w:val="20"/>
      </w:rPr>
      <w:instrText xml:space="preserve"> PAGE   \* MERGEFORMAT </w:instrText>
    </w:r>
    <w:r w:rsidRPr="00735A6A">
      <w:rPr>
        <w:sz w:val="20"/>
        <w:szCs w:val="20"/>
      </w:rPr>
      <w:fldChar w:fldCharType="separate"/>
    </w:r>
    <w:r w:rsidR="00182408">
      <w:rPr>
        <w:noProof/>
        <w:sz w:val="20"/>
        <w:szCs w:val="20"/>
      </w:rPr>
      <w:t>v</w:t>
    </w:r>
    <w:r w:rsidRPr="00735A6A">
      <w:rPr>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C4793" w14:textId="77777777" w:rsidR="00FA1B20" w:rsidRPr="00735A6A" w:rsidRDefault="00FA1B20">
    <w:pPr>
      <w:pStyle w:val="Footer"/>
      <w:rPr>
        <w:sz w:val="20"/>
        <w:szCs w:val="20"/>
      </w:rPr>
    </w:pPr>
  </w:p>
  <w:p w14:paraId="4BA2A067" w14:textId="77777777" w:rsidR="00FA1B20" w:rsidRPr="00735A6A" w:rsidRDefault="00FA1B20">
    <w:pPr>
      <w:pStyle w:val="Footer"/>
      <w:rPr>
        <w:sz w:val="20"/>
        <w:szCs w:val="20"/>
      </w:rPr>
    </w:pPr>
    <w:r w:rsidRPr="00735A6A">
      <w:rPr>
        <w:sz w:val="20"/>
        <w:szCs w:val="20"/>
      </w:rPr>
      <w:t xml:space="preserve">INITIAL BRIEF ON BEHALF OF COMMISSION STAFF - </w:t>
    </w:r>
    <w:r w:rsidRPr="00735A6A">
      <w:rPr>
        <w:sz w:val="20"/>
        <w:szCs w:val="20"/>
      </w:rPr>
      <w:fldChar w:fldCharType="begin"/>
    </w:r>
    <w:r w:rsidRPr="00735A6A">
      <w:rPr>
        <w:sz w:val="20"/>
        <w:szCs w:val="20"/>
      </w:rPr>
      <w:instrText xml:space="preserve"> PAGE   \* MERGEFORMAT </w:instrText>
    </w:r>
    <w:r w:rsidRPr="00735A6A">
      <w:rPr>
        <w:sz w:val="20"/>
        <w:szCs w:val="20"/>
      </w:rPr>
      <w:fldChar w:fldCharType="separate"/>
    </w:r>
    <w:r w:rsidR="00182408">
      <w:rPr>
        <w:noProof/>
        <w:sz w:val="20"/>
        <w:szCs w:val="20"/>
      </w:rPr>
      <w:t>13</w:t>
    </w:r>
    <w:r w:rsidRPr="00735A6A">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446640" w14:textId="77777777" w:rsidR="00FA1B20" w:rsidRDefault="00FA1B20" w:rsidP="00660F80">
      <w:pPr>
        <w:spacing w:after="0" w:line="240" w:lineRule="auto"/>
      </w:pPr>
      <w:r>
        <w:separator/>
      </w:r>
    </w:p>
  </w:footnote>
  <w:footnote w:type="continuationSeparator" w:id="0">
    <w:p w14:paraId="439F5ACD" w14:textId="77777777" w:rsidR="00FA1B20" w:rsidRDefault="00FA1B20" w:rsidP="00660F80">
      <w:pPr>
        <w:spacing w:after="0" w:line="240" w:lineRule="auto"/>
      </w:pPr>
      <w:r>
        <w:continuationSeparator/>
      </w:r>
    </w:p>
  </w:footnote>
  <w:footnote w:id="1">
    <w:p w14:paraId="4A72A023" w14:textId="3372B9DE" w:rsidR="00FA1B20" w:rsidRPr="006C6AE4" w:rsidRDefault="00FA1B20">
      <w:pPr>
        <w:pStyle w:val="FootnoteText"/>
        <w:rPr>
          <w:rFonts w:cs="Times New Roman"/>
        </w:rPr>
      </w:pPr>
      <w:r>
        <w:rPr>
          <w:rStyle w:val="FootnoteReference"/>
        </w:rPr>
        <w:footnoteRef/>
      </w:r>
      <w:r>
        <w:t xml:space="preserve"> </w:t>
      </w:r>
      <w:r w:rsidRPr="008B4D1C">
        <w:rPr>
          <w:rFonts w:cs="Times New Roman"/>
        </w:rPr>
        <w:t xml:space="preserve">WCI’s initial filing on </w:t>
      </w:r>
      <w:r w:rsidRPr="006C6AE4">
        <w:rPr>
          <w:rFonts w:cs="Times New Roman"/>
        </w:rPr>
        <w:t>April 3, 2014, requested approximately $543,000 in additional annual revenue.  The Company’s rebuttal testimony filed on August 20, 2014, reduced the proposed additional annual revenue to approximately $497,000.  Rebuttal Testimony of Jacqueline Davis, Exhibit No. __ (JD-41T), p. 53, Table 2 (August 20, 2014). WCI’s respon</w:t>
      </w:r>
      <w:r>
        <w:rPr>
          <w:rFonts w:cs="Times New Roman"/>
        </w:rPr>
        <w:t xml:space="preserve">se to Bench Request 1 proposed </w:t>
      </w:r>
      <w:r w:rsidRPr="006C6AE4">
        <w:rPr>
          <w:rFonts w:cs="Times New Roman"/>
        </w:rPr>
        <w:t xml:space="preserve">additional annual revenue of approximately $510,000.  </w:t>
      </w:r>
      <w:r w:rsidRPr="006C6AE4">
        <w:rPr>
          <w:rFonts w:cs="Times New Roman"/>
          <w:i/>
        </w:rPr>
        <w:t xml:space="preserve">See </w:t>
      </w:r>
      <w:r w:rsidRPr="006C6AE4">
        <w:rPr>
          <w:rFonts w:cs="Times New Roman"/>
        </w:rPr>
        <w:t>WCI Response to Bench Request 1, October 21, 2014.</w:t>
      </w:r>
    </w:p>
  </w:footnote>
  <w:footnote w:id="2">
    <w:p w14:paraId="4A72A024" w14:textId="619D790F"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w:t>
      </w:r>
      <w:r w:rsidRPr="00ED7BE3">
        <w:rPr>
          <w:rFonts w:cs="Times New Roman"/>
          <w:i/>
        </w:rPr>
        <w:t xml:space="preserve">Infra </w:t>
      </w:r>
      <w:r w:rsidRPr="00ED7BE3">
        <w:rPr>
          <w:rFonts w:cs="Times New Roman"/>
        </w:rPr>
        <w:t xml:space="preserve">Section II. Shared Utilities Expense, Adjustment R-6D, pp. 4-11 </w:t>
      </w:r>
      <w:r w:rsidRPr="00ED7BE3">
        <w:rPr>
          <w:rFonts w:cs="Times New Roman"/>
          <w:i/>
        </w:rPr>
        <w:t xml:space="preserve">and </w:t>
      </w:r>
      <w:r w:rsidRPr="00ED7BE3">
        <w:rPr>
          <w:rFonts w:cs="Times New Roman"/>
        </w:rPr>
        <w:t xml:space="preserve">Section III. Affiliate Land Rents, Adjustment R-6E, </w:t>
      </w:r>
      <w:r>
        <w:rPr>
          <w:rFonts w:cs="Times New Roman"/>
        </w:rPr>
        <w:t>s</w:t>
      </w:r>
      <w:r w:rsidRPr="00ED7BE3">
        <w:rPr>
          <w:rFonts w:cs="Times New Roman"/>
        </w:rPr>
        <w:t xml:space="preserve">ubsection E. Allocation of Depreciation and Average Net Investment, pp. </w:t>
      </w:r>
      <w:r w:rsidRPr="006C6AE4">
        <w:rPr>
          <w:rFonts w:cs="Times New Roman"/>
        </w:rPr>
        <w:t>20-21.</w:t>
      </w:r>
    </w:p>
  </w:footnote>
  <w:footnote w:id="3">
    <w:p w14:paraId="4A72A025" w14:textId="14526FD1" w:rsidR="00FA1B20" w:rsidRPr="006C6AE4" w:rsidRDefault="00FA1B20" w:rsidP="001117BB">
      <w:pPr>
        <w:pStyle w:val="FootnoteText"/>
        <w:rPr>
          <w:rFonts w:cs="Times New Roman"/>
        </w:rPr>
      </w:pPr>
      <w:r w:rsidRPr="006C6AE4">
        <w:rPr>
          <w:rStyle w:val="FootnoteReference"/>
          <w:rFonts w:cs="Times New Roman"/>
        </w:rPr>
        <w:footnoteRef/>
      </w:r>
      <w:r w:rsidRPr="006C6AE4">
        <w:rPr>
          <w:rFonts w:cs="Times New Roman"/>
        </w:rPr>
        <w:t xml:space="preserve"> Testimony of Melissa Cheesman in Support of Proposed Partial Settlement Agreement, Docket TG-140560, p. 18</w:t>
      </w:r>
      <w:r>
        <w:rPr>
          <w:rFonts w:cs="Times New Roman"/>
        </w:rPr>
        <w:t>,</w:t>
      </w:r>
      <w:r w:rsidRPr="006C6AE4">
        <w:rPr>
          <w:rFonts w:cs="Times New Roman"/>
        </w:rPr>
        <w:t xml:space="preserve"> lines 16-18 and p. 21</w:t>
      </w:r>
      <w:r>
        <w:rPr>
          <w:rFonts w:cs="Times New Roman"/>
        </w:rPr>
        <w:t>,</w:t>
      </w:r>
      <w:r w:rsidRPr="006C6AE4">
        <w:rPr>
          <w:rFonts w:cs="Times New Roman"/>
        </w:rPr>
        <w:t xml:space="preserve"> lines 10-22 (October 13, 2014). </w:t>
      </w:r>
    </w:p>
  </w:footnote>
  <w:footnote w:id="4">
    <w:p w14:paraId="4A72A026" w14:textId="3998642A" w:rsidR="00FA1B20" w:rsidRPr="006C6AE4" w:rsidRDefault="00FA1B20" w:rsidP="001117BB">
      <w:pPr>
        <w:pStyle w:val="FootnoteText"/>
        <w:rPr>
          <w:rFonts w:cs="Times New Roman"/>
        </w:rPr>
      </w:pPr>
      <w:r w:rsidRPr="006C6AE4">
        <w:rPr>
          <w:rStyle w:val="FootnoteReference"/>
          <w:rFonts w:cs="Times New Roman"/>
        </w:rPr>
        <w:footnoteRef/>
      </w:r>
      <w:r w:rsidRPr="006C6AE4">
        <w:rPr>
          <w:rFonts w:cs="Times New Roman"/>
        </w:rPr>
        <w:t xml:space="preserve"> Testimony of Melissa Cheesman in Support of Proposed Partial Settlement Agreement, Docket TG-140560, p. 18</w:t>
      </w:r>
      <w:r>
        <w:rPr>
          <w:rFonts w:cs="Times New Roman"/>
        </w:rPr>
        <w:t>,</w:t>
      </w:r>
      <w:r w:rsidRPr="006C6AE4">
        <w:rPr>
          <w:rFonts w:cs="Times New Roman"/>
        </w:rPr>
        <w:t xml:space="preserve"> lines 16-18 and p. 21</w:t>
      </w:r>
      <w:r>
        <w:rPr>
          <w:rFonts w:cs="Times New Roman"/>
        </w:rPr>
        <w:t>,</w:t>
      </w:r>
      <w:r w:rsidRPr="006C6AE4">
        <w:rPr>
          <w:rFonts w:cs="Times New Roman"/>
        </w:rPr>
        <w:t xml:space="preserve"> lines 10-15 (October 13, 2014).</w:t>
      </w:r>
    </w:p>
  </w:footnote>
  <w:footnote w:id="5">
    <w:p w14:paraId="4A72A027" w14:textId="20BDF195" w:rsidR="00FA1B20" w:rsidRPr="006C6AE4" w:rsidRDefault="00FA1B20" w:rsidP="001117BB">
      <w:pPr>
        <w:pStyle w:val="FootnoteText"/>
        <w:rPr>
          <w:rFonts w:cs="Times New Roman"/>
        </w:rPr>
      </w:pPr>
      <w:r w:rsidRPr="006C6AE4">
        <w:rPr>
          <w:rStyle w:val="FootnoteReference"/>
          <w:rFonts w:cs="Times New Roman"/>
        </w:rPr>
        <w:footnoteRef/>
      </w:r>
      <w:r w:rsidRPr="006C6AE4">
        <w:rPr>
          <w:rFonts w:cs="Times New Roman"/>
        </w:rPr>
        <w:t xml:space="preserve"> Pass through revenues refer to material costs for WCR and disposal fees for WCE and WCI, all of which are offset dollar-for-dollar in expenses.  </w:t>
      </w:r>
      <w:r w:rsidRPr="006C6AE4">
        <w:rPr>
          <w:rFonts w:cs="Times New Roman"/>
          <w:i/>
        </w:rPr>
        <w:t>See</w:t>
      </w:r>
      <w:r w:rsidRPr="006C6AE4">
        <w:rPr>
          <w:rFonts w:cs="Times New Roman"/>
        </w:rPr>
        <w:t xml:space="preserve"> Testimony of Melissa Cheesman in Support of Partial Settlement Agreement, p. 18</w:t>
      </w:r>
      <w:r>
        <w:rPr>
          <w:rFonts w:cs="Times New Roman"/>
        </w:rPr>
        <w:t>,</w:t>
      </w:r>
      <w:r w:rsidRPr="006C6AE4">
        <w:rPr>
          <w:rFonts w:cs="Times New Roman"/>
        </w:rPr>
        <w:t xml:space="preserve"> lines 16-19 and p. 21</w:t>
      </w:r>
      <w:r>
        <w:rPr>
          <w:rFonts w:cs="Times New Roman"/>
        </w:rPr>
        <w:t>,</w:t>
      </w:r>
      <w:r w:rsidRPr="006C6AE4">
        <w:rPr>
          <w:rFonts w:cs="Times New Roman"/>
        </w:rPr>
        <w:t xml:space="preserve"> lines 10-22 (October 13, 2014).  </w:t>
      </w:r>
    </w:p>
  </w:footnote>
  <w:footnote w:id="6">
    <w:p w14:paraId="4A72A028" w14:textId="50F30656"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w:t>
      </w:r>
      <w:r w:rsidRPr="00ED7BE3">
        <w:rPr>
          <w:rFonts w:cs="Times New Roman"/>
          <w:i/>
        </w:rPr>
        <w:t>Infra</w:t>
      </w:r>
      <w:r w:rsidRPr="00ED7BE3">
        <w:rPr>
          <w:rFonts w:cs="Times New Roman"/>
        </w:rPr>
        <w:t xml:space="preserve"> Section III. Affiliate Land Rents, </w:t>
      </w:r>
      <w:r>
        <w:rPr>
          <w:rFonts w:cs="Times New Roman"/>
        </w:rPr>
        <w:t>subsection C. Cost of Debt, pp. 16-18</w:t>
      </w:r>
      <w:r w:rsidRPr="00ED7BE3">
        <w:rPr>
          <w:rFonts w:cs="Times New Roman"/>
        </w:rPr>
        <w:t>.</w:t>
      </w:r>
      <w:r w:rsidRPr="006C6AE4">
        <w:rPr>
          <w:rFonts w:cs="Times New Roman"/>
        </w:rPr>
        <w:t xml:space="preserve"> </w:t>
      </w:r>
    </w:p>
  </w:footnote>
  <w:footnote w:id="7">
    <w:p w14:paraId="4A72A029" w14:textId="10C4328F"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Rebuttal Testimony of Jacqueline Davis, Exhibit No. __ (JD-41T), p. 19</w:t>
      </w:r>
      <w:r>
        <w:rPr>
          <w:rFonts w:cs="Times New Roman"/>
        </w:rPr>
        <w:t>,</w:t>
      </w:r>
      <w:r w:rsidRPr="006C6AE4">
        <w:rPr>
          <w:rFonts w:cs="Times New Roman"/>
        </w:rPr>
        <w:t xml:space="preserve"> lines 5-7; Davis Rebuttal, Exhibit No. __</w:t>
      </w:r>
      <w:r>
        <w:rPr>
          <w:rFonts w:cs="Times New Roman"/>
        </w:rPr>
        <w:t xml:space="preserve"> </w:t>
      </w:r>
      <w:r w:rsidRPr="006C6AE4">
        <w:rPr>
          <w:rFonts w:cs="Times New Roman"/>
        </w:rPr>
        <w:t>(JD-44)</w:t>
      </w:r>
    </w:p>
  </w:footnote>
  <w:footnote w:id="8">
    <w:p w14:paraId="4A72A02A" w14:textId="725F6F7F" w:rsidR="00FA1B20" w:rsidRPr="006C6AE4" w:rsidRDefault="00FA1B20" w:rsidP="00020DF2">
      <w:pPr>
        <w:pStyle w:val="FootnoteText"/>
        <w:rPr>
          <w:rFonts w:cs="Times New Roman"/>
        </w:rPr>
      </w:pPr>
      <w:r w:rsidRPr="006C6AE4">
        <w:rPr>
          <w:rStyle w:val="FootnoteReference"/>
          <w:rFonts w:cs="Times New Roman"/>
        </w:rPr>
        <w:footnoteRef/>
      </w:r>
      <w:r w:rsidRPr="006C6AE4">
        <w:rPr>
          <w:rFonts w:cs="Times New Roman"/>
        </w:rPr>
        <w:t xml:space="preserve"> </w:t>
      </w:r>
      <w:r w:rsidRPr="00ED7BE3">
        <w:rPr>
          <w:rFonts w:cs="Times New Roman"/>
          <w:i/>
        </w:rPr>
        <w:t>Infra</w:t>
      </w:r>
      <w:r w:rsidRPr="00ED7BE3">
        <w:rPr>
          <w:rFonts w:cs="Times New Roman"/>
        </w:rPr>
        <w:t xml:space="preserve"> Section III. Affiliate Land Rents, Adjustment R-6E, pp.</w:t>
      </w:r>
      <w:r w:rsidRPr="006C6AE4">
        <w:rPr>
          <w:rFonts w:cs="Times New Roman"/>
        </w:rPr>
        <w:t>1</w:t>
      </w:r>
      <w:r>
        <w:rPr>
          <w:rFonts w:cs="Times New Roman"/>
        </w:rPr>
        <w:t>0</w:t>
      </w:r>
      <w:r w:rsidRPr="006C6AE4">
        <w:rPr>
          <w:rFonts w:cs="Times New Roman"/>
        </w:rPr>
        <w:t xml:space="preserve">-21. </w:t>
      </w:r>
    </w:p>
  </w:footnote>
  <w:footnote w:id="9">
    <w:p w14:paraId="4A72A02B" w14:textId="51D443C8" w:rsidR="00FA1B20" w:rsidRPr="006C6AE4" w:rsidRDefault="00FA1B20" w:rsidP="00E64062">
      <w:pPr>
        <w:pStyle w:val="FootnoteText"/>
        <w:rPr>
          <w:rFonts w:cs="Times New Roman"/>
        </w:rPr>
      </w:pPr>
      <w:r w:rsidRPr="006C6AE4">
        <w:rPr>
          <w:rStyle w:val="FootnoteReference"/>
          <w:rFonts w:cs="Times New Roman"/>
        </w:rPr>
        <w:footnoteRef/>
      </w:r>
      <w:r w:rsidRPr="006C6AE4">
        <w:rPr>
          <w:rFonts w:cs="Times New Roman"/>
        </w:rPr>
        <w:t xml:space="preserve"> Testimony of Melissa Cheesman in Support of Proposed Partial Settlement Agreement, Docket TG-140560, p. 21</w:t>
      </w:r>
      <w:r>
        <w:rPr>
          <w:rFonts w:cs="Times New Roman"/>
        </w:rPr>
        <w:t>,</w:t>
      </w:r>
      <w:r w:rsidRPr="006C6AE4">
        <w:rPr>
          <w:rFonts w:cs="Times New Roman"/>
        </w:rPr>
        <w:t xml:space="preserve"> lines 3-9 (October 13, 2014). </w:t>
      </w:r>
    </w:p>
  </w:footnote>
  <w:footnote w:id="10">
    <w:p w14:paraId="4A72A02C" w14:textId="77777777" w:rsidR="00FA1B20" w:rsidRPr="006C6AE4" w:rsidRDefault="00FA1B20" w:rsidP="00E64062">
      <w:pPr>
        <w:pStyle w:val="FootnoteText"/>
        <w:rPr>
          <w:rFonts w:cs="Times New Roman"/>
          <w:i/>
        </w:rPr>
      </w:pPr>
      <w:r w:rsidRPr="006C6AE4">
        <w:rPr>
          <w:rStyle w:val="FootnoteReference"/>
          <w:rFonts w:cs="Times New Roman"/>
        </w:rPr>
        <w:footnoteRef/>
      </w:r>
      <w:r w:rsidRPr="006C6AE4">
        <w:rPr>
          <w:rFonts w:cs="Times New Roman"/>
        </w:rPr>
        <w:t xml:space="preserve"> </w:t>
      </w:r>
      <w:r w:rsidRPr="006C6AE4">
        <w:rPr>
          <w:rFonts w:cs="Times New Roman"/>
          <w:i/>
        </w:rPr>
        <w:t xml:space="preserve">Id. </w:t>
      </w:r>
    </w:p>
  </w:footnote>
  <w:footnote w:id="11">
    <w:p w14:paraId="4A72A02D" w14:textId="12545151"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Staff’s testimony on July 18, 2014, recommended an allocation of $11,857 in utilities expense to WCI.  The change is due to updates in Staff’s three-factor allocator.  For further explanation, please s</w:t>
      </w:r>
      <w:r w:rsidRPr="006C6AE4">
        <w:rPr>
          <w:rFonts w:cs="Times New Roman"/>
          <w:i/>
        </w:rPr>
        <w:t xml:space="preserve">ee </w:t>
      </w:r>
      <w:r>
        <w:rPr>
          <w:rFonts w:cs="Times New Roman"/>
          <w:i/>
        </w:rPr>
        <w:t xml:space="preserve">supra </w:t>
      </w:r>
      <w:r>
        <w:rPr>
          <w:rFonts w:cs="Times New Roman"/>
        </w:rPr>
        <w:t>Section I. Introduction, subsection B. Updates to Staff’s Recommendation, pp. 2-4</w:t>
      </w:r>
      <w:r w:rsidRPr="006C6AE4">
        <w:rPr>
          <w:rFonts w:cs="Times New Roman"/>
        </w:rPr>
        <w:t xml:space="preserve">  </w:t>
      </w:r>
    </w:p>
  </w:footnote>
  <w:footnote w:id="12">
    <w:p w14:paraId="4A72A02E" w14:textId="40AEE80C"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Rebuttal Testimony of Jacqueline Davis, Exhibit No. __ (JD-41T), p. 13</w:t>
      </w:r>
      <w:r>
        <w:rPr>
          <w:rFonts w:cs="Times New Roman"/>
        </w:rPr>
        <w:t>,</w:t>
      </w:r>
      <w:r w:rsidRPr="006C6AE4">
        <w:rPr>
          <w:rFonts w:cs="Times New Roman"/>
        </w:rPr>
        <w:t xml:space="preserve"> lines 2-4 (August 20, 2014). </w:t>
      </w:r>
    </w:p>
  </w:footnote>
  <w:footnote w:id="13">
    <w:p w14:paraId="4A72A02F" w14:textId="77777777"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Cheesman, Exhibit No. __ (MC-1T), pp. 16-17.</w:t>
      </w:r>
    </w:p>
  </w:footnote>
  <w:footnote w:id="14">
    <w:p w14:paraId="4A72A030" w14:textId="77777777"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w:t>
      </w:r>
      <w:r w:rsidRPr="006C6AE4">
        <w:rPr>
          <w:rFonts w:cs="Times New Roman"/>
          <w:i/>
        </w:rPr>
        <w:t xml:space="preserve">Id. </w:t>
      </w:r>
    </w:p>
  </w:footnote>
  <w:footnote w:id="15">
    <w:p w14:paraId="4A72A031" w14:textId="77777777"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Testimony of Melissa Cheesman, Exhibit No. __ (MC-1T), p. 18, lines 3-9 (July 18, 2014). </w:t>
      </w:r>
    </w:p>
  </w:footnote>
  <w:footnote w:id="16">
    <w:p w14:paraId="4A72A032" w14:textId="4F2C92EB"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w:t>
      </w:r>
      <w:r w:rsidRPr="006C6AE4">
        <w:rPr>
          <w:rFonts w:cs="Times New Roman"/>
          <w:i/>
        </w:rPr>
        <w:t>See</w:t>
      </w:r>
      <w:r w:rsidRPr="006C6AE4">
        <w:rPr>
          <w:rFonts w:cs="Times New Roman"/>
        </w:rPr>
        <w:t xml:space="preserve"> Rebuttal Testimony of Layne </w:t>
      </w:r>
      <w:r>
        <w:rPr>
          <w:rFonts w:cs="Times New Roman"/>
        </w:rPr>
        <w:t>Demas</w:t>
      </w:r>
      <w:r w:rsidRPr="006C6AE4">
        <w:rPr>
          <w:rFonts w:cs="Times New Roman"/>
        </w:rPr>
        <w:t xml:space="preserve">, Exhibit No. __ (LD-1T), at pp. 7-8; Rebuttal Testimony of Jackie Davis, Exhibit No. __ (JD-41T), pp. 11-13. </w:t>
      </w:r>
    </w:p>
  </w:footnote>
  <w:footnote w:id="17">
    <w:p w14:paraId="4A72A033" w14:textId="2ED6C99C" w:rsidR="00FA1B20" w:rsidRPr="006C6AE4" w:rsidRDefault="00FA1B20" w:rsidP="00F976C4">
      <w:pPr>
        <w:pStyle w:val="FootnoteText"/>
        <w:rPr>
          <w:rFonts w:cs="Times New Roman"/>
        </w:rPr>
      </w:pPr>
      <w:r w:rsidRPr="006C6AE4">
        <w:rPr>
          <w:rStyle w:val="FootnoteReference"/>
          <w:rFonts w:cs="Times New Roman"/>
        </w:rPr>
        <w:footnoteRef/>
      </w:r>
      <w:r w:rsidRPr="006C6AE4">
        <w:rPr>
          <w:rFonts w:cs="Times New Roman"/>
        </w:rPr>
        <w:t xml:space="preserve"> </w:t>
      </w:r>
      <w:r w:rsidRPr="006C6AE4">
        <w:rPr>
          <w:rFonts w:cs="Times New Roman"/>
          <w:i/>
        </w:rPr>
        <w:t>See</w:t>
      </w:r>
      <w:r w:rsidRPr="006C6AE4">
        <w:rPr>
          <w:rFonts w:cs="Times New Roman"/>
        </w:rPr>
        <w:t xml:space="preserve"> Rebuttal Testimony of Jackie Davis, Exhibit No. __ (JD-41T), p. 11:21-22 and p. 12:25 through p. 13:4 (August 20, 2014).  Ms. Davis’s rebuttal testimony also argues for removal of one affiliate entirely and removal of another affiliate’s pass through costs/revenues in Staff’s three-factor allocation, both of which Staff largely supported in its testimony in support of partial settlement.  </w:t>
      </w:r>
      <w:r w:rsidRPr="002A3462">
        <w:rPr>
          <w:rFonts w:cs="Times New Roman"/>
          <w:i/>
        </w:rPr>
        <w:t xml:space="preserve">See supra </w:t>
      </w:r>
      <w:r w:rsidRPr="002A3462">
        <w:rPr>
          <w:rFonts w:cs="Times New Roman"/>
        </w:rPr>
        <w:t>Sectio</w:t>
      </w:r>
      <w:r>
        <w:rPr>
          <w:rFonts w:cs="Times New Roman"/>
        </w:rPr>
        <w:t>n I. Introduction, subsection B</w:t>
      </w:r>
      <w:r w:rsidRPr="002A3462">
        <w:rPr>
          <w:rFonts w:cs="Times New Roman"/>
        </w:rPr>
        <w:t>. Updates to Staff’s Recommendation, pp. 2-4.</w:t>
      </w:r>
      <w:r w:rsidRPr="006C6AE4">
        <w:rPr>
          <w:rFonts w:cs="Times New Roman"/>
        </w:rPr>
        <w:t xml:space="preserve"> </w:t>
      </w:r>
    </w:p>
  </w:footnote>
  <w:footnote w:id="18">
    <w:p w14:paraId="4A72A037" w14:textId="243A97D3"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Every legitimate textbook or treatise on ratemaking includes discussion about the basic fairness of using cost causation principles as a primary factor in determining fair and reasonable cost allocations and rates.  </w:t>
      </w:r>
      <w:r w:rsidRPr="006C6AE4">
        <w:rPr>
          <w:rFonts w:cs="Times New Roman"/>
          <w:i/>
        </w:rPr>
        <w:t>See, e.g.</w:t>
      </w:r>
      <w:r w:rsidRPr="007A3358">
        <w:rPr>
          <w:rFonts w:cs="Times New Roman"/>
        </w:rPr>
        <w:t>,</w:t>
      </w:r>
      <w:r w:rsidRPr="006C6AE4">
        <w:rPr>
          <w:rFonts w:cs="Times New Roman"/>
          <w:i/>
        </w:rPr>
        <w:t xml:space="preserve"> </w:t>
      </w:r>
      <w:r w:rsidRPr="006C6AE4">
        <w:rPr>
          <w:rFonts w:cs="Times New Roman"/>
          <w:smallCaps/>
        </w:rPr>
        <w:t>Leonard Saul Goodman, The Process of Ratemaking,</w:t>
      </w:r>
      <w:r w:rsidRPr="006C6AE4">
        <w:rPr>
          <w:rFonts w:cs="Times New Roman"/>
        </w:rPr>
        <w:t xml:space="preserve"> Vol. I</w:t>
      </w:r>
      <w:r>
        <w:rPr>
          <w:rFonts w:cs="Times New Roman"/>
        </w:rPr>
        <w:t>,</w:t>
      </w:r>
      <w:r w:rsidRPr="006C6AE4">
        <w:rPr>
          <w:rFonts w:cs="Times New Roman"/>
        </w:rPr>
        <w:t xml:space="preserve"> pp. 37-388 and 420-422 (1988); </w:t>
      </w:r>
      <w:r w:rsidRPr="006C6AE4">
        <w:rPr>
          <w:rFonts w:cs="Times New Roman"/>
          <w:smallCaps/>
        </w:rPr>
        <w:t>Charles F. Phillips, Jr., The Regulation of Public Utilities</w:t>
      </w:r>
      <w:r w:rsidRPr="006C6AE4">
        <w:rPr>
          <w:rFonts w:cs="Times New Roman"/>
        </w:rPr>
        <w:t xml:space="preserve"> 227, 434-436 (1993).</w:t>
      </w:r>
    </w:p>
  </w:footnote>
  <w:footnote w:id="19">
    <w:p w14:paraId="4A72A038" w14:textId="77777777" w:rsidR="00FA1B20" w:rsidRPr="006C6AE4" w:rsidRDefault="00FA1B20" w:rsidP="00EC6C75">
      <w:pPr>
        <w:pStyle w:val="FootnoteText"/>
        <w:rPr>
          <w:rFonts w:cs="Times New Roman"/>
        </w:rPr>
      </w:pPr>
      <w:r w:rsidRPr="006C6AE4">
        <w:rPr>
          <w:rStyle w:val="FootnoteReference"/>
          <w:rFonts w:cs="Times New Roman"/>
        </w:rPr>
        <w:footnoteRef/>
      </w:r>
      <w:r w:rsidRPr="006C6AE4">
        <w:rPr>
          <w:rFonts w:cs="Times New Roman"/>
        </w:rPr>
        <w:t xml:space="preserve"> </w:t>
      </w:r>
      <w:r w:rsidRPr="006C6AE4">
        <w:rPr>
          <w:rFonts w:cs="Times New Roman"/>
          <w:i/>
        </w:rPr>
        <w:t xml:space="preserve">See </w:t>
      </w:r>
      <w:r w:rsidRPr="006C6AE4">
        <w:rPr>
          <w:rFonts w:cs="Times New Roman"/>
          <w:smallCaps/>
        </w:rPr>
        <w:t>Goodman</w:t>
      </w:r>
      <w:r w:rsidRPr="006C6AE4">
        <w:rPr>
          <w:rFonts w:cs="Times New Roman"/>
        </w:rPr>
        <w:t xml:space="preserve"> at 374.</w:t>
      </w:r>
    </w:p>
  </w:footnote>
  <w:footnote w:id="20">
    <w:p w14:paraId="4A72A03A" w14:textId="77777777"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Nearly every docket before the Commission contains some allocation on the basis of cost causation/avoiding cross subsidies.  For representative examples across regulated industries, s</w:t>
      </w:r>
      <w:r w:rsidRPr="006C6AE4">
        <w:rPr>
          <w:rFonts w:cs="Times New Roman"/>
          <w:i/>
        </w:rPr>
        <w:t>ee e.g. WUTC v. American Water Resources, Inc.</w:t>
      </w:r>
      <w:r w:rsidRPr="006C6AE4">
        <w:rPr>
          <w:rFonts w:cs="Times New Roman"/>
        </w:rPr>
        <w:t xml:space="preserve">, Dockets UW-980072, UW-980258, UW-980265 (consolidated), Sixth Supplemental Order (Jan. 21, 1999); </w:t>
      </w:r>
      <w:r w:rsidRPr="006C6AE4">
        <w:rPr>
          <w:rFonts w:cs="Times New Roman"/>
          <w:i/>
        </w:rPr>
        <w:t>In the Matter of the Petition of Puget Sound Energy, Inc., and Northwest Energy Coalition for an Order Authorizing PSE to Implement Electric and Natural Gas Decoupling Mechanisms and to Record Accounting Entries Associated with the Mechanisms</w:t>
      </w:r>
      <w:r w:rsidRPr="006C6AE4">
        <w:rPr>
          <w:rFonts w:cs="Times New Roman"/>
        </w:rPr>
        <w:t xml:space="preserve">, Dockets UE-121697 and UG-121705, Order 09 at p. 16 (December 12, 2013); </w:t>
      </w:r>
      <w:r w:rsidRPr="006C6AE4">
        <w:rPr>
          <w:rFonts w:cs="Times New Roman"/>
          <w:i/>
        </w:rPr>
        <w:t>King County Department of Public Works, Solid Waste Division v. Seattle Disposal Company, Rabanco Ltd., d/b/a Eastside Disposal and Container Hauling</w:t>
      </w:r>
      <w:r w:rsidRPr="006C6AE4">
        <w:rPr>
          <w:rFonts w:cs="Times New Roman"/>
        </w:rPr>
        <w:t xml:space="preserve">, Docket TG-940411, Third Supplemental Order (Final) at pp. 14-20, (Sept. 14, 1994). </w:t>
      </w:r>
    </w:p>
  </w:footnote>
  <w:footnote w:id="21">
    <w:p w14:paraId="4A72A03B" w14:textId="77777777"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Testimony of Melissa Cheesman, Exhibit No. __ (MC-1T), pp. 16-17 (July 18, 2014).</w:t>
      </w:r>
    </w:p>
  </w:footnote>
  <w:footnote w:id="22">
    <w:p w14:paraId="4A72A03C" w14:textId="77777777"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w:t>
      </w:r>
      <w:r w:rsidRPr="006C6AE4">
        <w:rPr>
          <w:rFonts w:cs="Times New Roman"/>
          <w:i/>
        </w:rPr>
        <w:t>Id.</w:t>
      </w:r>
      <w:r w:rsidRPr="006C6AE4">
        <w:rPr>
          <w:rFonts w:cs="Times New Roman"/>
        </w:rPr>
        <w:t xml:space="preserve"> </w:t>
      </w:r>
    </w:p>
  </w:footnote>
  <w:footnote w:id="23">
    <w:p w14:paraId="4A72A03D" w14:textId="703CF118"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Rebuttal Testimony of Layne D</w:t>
      </w:r>
      <w:r>
        <w:rPr>
          <w:rFonts w:cs="Times New Roman"/>
        </w:rPr>
        <w:t>e</w:t>
      </w:r>
      <w:r w:rsidRPr="006C6AE4">
        <w:rPr>
          <w:rFonts w:cs="Times New Roman"/>
        </w:rPr>
        <w:t>mas, Exhibit No. __</w:t>
      </w:r>
      <w:r>
        <w:rPr>
          <w:rFonts w:cs="Times New Roman"/>
        </w:rPr>
        <w:t xml:space="preserve"> </w:t>
      </w:r>
      <w:r w:rsidRPr="006C6AE4">
        <w:rPr>
          <w:rFonts w:cs="Times New Roman"/>
        </w:rPr>
        <w:t>(LD-1T), bottom of p. 7 (August 20, 2014).</w:t>
      </w:r>
    </w:p>
  </w:footnote>
  <w:footnote w:id="24">
    <w:p w14:paraId="4A72A03E" w14:textId="3F7BB7EF" w:rsidR="00FA1B20" w:rsidRPr="006C6AE4" w:rsidRDefault="00FA1B20" w:rsidP="002029A1">
      <w:pPr>
        <w:pStyle w:val="FootnoteText"/>
        <w:rPr>
          <w:rFonts w:cs="Times New Roman"/>
        </w:rPr>
      </w:pPr>
      <w:r w:rsidRPr="006C6AE4">
        <w:rPr>
          <w:rStyle w:val="FootnoteReference"/>
          <w:rFonts w:cs="Times New Roman"/>
        </w:rPr>
        <w:footnoteRef/>
      </w:r>
      <w:r w:rsidRPr="006C6AE4">
        <w:rPr>
          <w:rFonts w:cs="Times New Roman"/>
        </w:rPr>
        <w:t xml:space="preserve"> </w:t>
      </w:r>
      <w:r w:rsidRPr="006C6AE4">
        <w:rPr>
          <w:rFonts w:cs="Times New Roman"/>
          <w:i/>
        </w:rPr>
        <w:t>See WUTC v. Avista Corp. d/b/a Avista</w:t>
      </w:r>
      <w:r w:rsidRPr="00091977">
        <w:rPr>
          <w:rFonts w:cs="Times New Roman"/>
          <w:i/>
        </w:rPr>
        <w:t xml:space="preserve"> Utilities</w:t>
      </w:r>
      <w:r w:rsidRPr="006C6AE4">
        <w:rPr>
          <w:rFonts w:cs="Times New Roman"/>
        </w:rPr>
        <w:t>, Docket UE-140188/UG-140189 (consolidated), Direct Testimony of Liz Andrews, pp. 93-99</w:t>
      </w:r>
      <w:r w:rsidRPr="006C6AE4">
        <w:rPr>
          <w:rFonts w:cs="Times New Roman"/>
          <w:i/>
        </w:rPr>
        <w:t>;  WUTC v. PacifiCorp</w:t>
      </w:r>
      <w:r w:rsidRPr="006C6AE4">
        <w:rPr>
          <w:rFonts w:cs="Times New Roman"/>
        </w:rPr>
        <w:t xml:space="preserve">, Docket UE-061546, Order 08 (Final Order) ¶ 43 (June 21, 2007) (adopting PacifiCorp’s WCA allocation methodology).  </w:t>
      </w:r>
      <w:r w:rsidRPr="006C6AE4">
        <w:rPr>
          <w:rFonts w:cs="Times New Roman"/>
          <w:i/>
        </w:rPr>
        <w:t>See also WUTC v. PacifiCorp</w:t>
      </w:r>
      <w:r w:rsidRPr="006C6AE4">
        <w:rPr>
          <w:rFonts w:cs="Times New Roman"/>
        </w:rPr>
        <w:t xml:space="preserve">, Docket UE-061546, Direct Testimony of William R. Griffith, Exhibit No. __ (WRG-4) (October 3, 2006). </w:t>
      </w:r>
    </w:p>
  </w:footnote>
  <w:footnote w:id="25">
    <w:p w14:paraId="4A72A03F" w14:textId="58D9FB87"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w:t>
      </w:r>
      <w:r w:rsidRPr="006C6AE4">
        <w:rPr>
          <w:rFonts w:cs="Times New Roman"/>
          <w:i/>
        </w:rPr>
        <w:t xml:space="preserve">See supra </w:t>
      </w:r>
      <w:r w:rsidRPr="006C6AE4">
        <w:rPr>
          <w:rFonts w:cs="Times New Roman"/>
        </w:rPr>
        <w:t xml:space="preserve">footnote </w:t>
      </w:r>
      <w:r w:rsidRPr="009C63C5">
        <w:rPr>
          <w:rFonts w:cs="Times New Roman"/>
        </w:rPr>
        <w:t>24</w:t>
      </w:r>
      <w:r w:rsidRPr="006C6AE4">
        <w:rPr>
          <w:rFonts w:cs="Times New Roman"/>
        </w:rPr>
        <w:t>, above.</w:t>
      </w:r>
    </w:p>
  </w:footnote>
  <w:footnote w:id="26">
    <w:p w14:paraId="4A72A040" w14:textId="3B139C99"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w:t>
      </w:r>
      <w:r w:rsidRPr="006C6AE4">
        <w:rPr>
          <w:rFonts w:cs="Times New Roman"/>
          <w:i/>
        </w:rPr>
        <w:t xml:space="preserve">See </w:t>
      </w:r>
      <w:r w:rsidRPr="006C6AE4">
        <w:rPr>
          <w:rFonts w:cs="Times New Roman"/>
        </w:rPr>
        <w:t>Rebuttal Testimony of Jacqueline Davis, Exhibit No. __ (JD-41T), p. 10</w:t>
      </w:r>
      <w:r>
        <w:rPr>
          <w:rFonts w:cs="Times New Roman"/>
        </w:rPr>
        <w:t>,</w:t>
      </w:r>
      <w:r w:rsidRPr="006C6AE4">
        <w:rPr>
          <w:rFonts w:cs="Times New Roman"/>
        </w:rPr>
        <w:t xml:space="preserve"> lines 15-24, p. 12</w:t>
      </w:r>
      <w:r>
        <w:rPr>
          <w:rFonts w:cs="Times New Roman"/>
        </w:rPr>
        <w:t>,</w:t>
      </w:r>
      <w:r w:rsidRPr="006C6AE4">
        <w:rPr>
          <w:rFonts w:cs="Times New Roman"/>
        </w:rPr>
        <w:t xml:space="preserve"> lines 12-21 (August 20, 2014); Rebuttal Testimony of Layne </w:t>
      </w:r>
      <w:r>
        <w:rPr>
          <w:rFonts w:cs="Times New Roman"/>
        </w:rPr>
        <w:t>Demas</w:t>
      </w:r>
      <w:r w:rsidRPr="006C6AE4">
        <w:rPr>
          <w:rFonts w:cs="Times New Roman"/>
        </w:rPr>
        <w:t>, Exhibit No. __ (LD-1T), p. 7</w:t>
      </w:r>
      <w:r>
        <w:rPr>
          <w:rFonts w:cs="Times New Roman"/>
        </w:rPr>
        <w:t>,</w:t>
      </w:r>
      <w:r w:rsidRPr="006C6AE4">
        <w:rPr>
          <w:rFonts w:cs="Times New Roman"/>
        </w:rPr>
        <w:t xml:space="preserve"> lines 8-10 (August 20, 2014).</w:t>
      </w:r>
    </w:p>
  </w:footnote>
  <w:footnote w:id="27">
    <w:p w14:paraId="4A72A041" w14:textId="7A6B6867" w:rsidR="00FA1B20" w:rsidRPr="006C6AE4" w:rsidRDefault="00FA1B20" w:rsidP="00811CB1">
      <w:pPr>
        <w:pStyle w:val="FootnoteText"/>
        <w:rPr>
          <w:rFonts w:cs="Times New Roman"/>
        </w:rPr>
      </w:pPr>
      <w:r w:rsidRPr="006C6AE4">
        <w:rPr>
          <w:rStyle w:val="FootnoteReference"/>
          <w:rFonts w:cs="Times New Roman"/>
        </w:rPr>
        <w:footnoteRef/>
      </w:r>
      <w:r w:rsidRPr="006C6AE4">
        <w:rPr>
          <w:rFonts w:cs="Times New Roman"/>
        </w:rPr>
        <w:t xml:space="preserve"> Direct Testimony of Joe Willi</w:t>
      </w:r>
      <w:r>
        <w:rPr>
          <w:rFonts w:cs="Times New Roman"/>
        </w:rPr>
        <w:t xml:space="preserve">s, Exhibit No. __ (JW-1T), p. 7, lines </w:t>
      </w:r>
      <w:r w:rsidRPr="006C6AE4">
        <w:rPr>
          <w:rFonts w:cs="Times New Roman"/>
        </w:rPr>
        <w:t>9</w:t>
      </w:r>
      <w:r>
        <w:rPr>
          <w:rFonts w:cs="Times New Roman"/>
        </w:rPr>
        <w:t>-14</w:t>
      </w:r>
      <w:r w:rsidRPr="006C6AE4">
        <w:rPr>
          <w:rFonts w:cs="Times New Roman"/>
        </w:rPr>
        <w:t xml:space="preserve"> (April 3, 2014). </w:t>
      </w:r>
    </w:p>
  </w:footnote>
  <w:footnote w:id="28">
    <w:p w14:paraId="4A72A042" w14:textId="05913AEC" w:rsidR="00FA1B20" w:rsidRPr="006C6AE4" w:rsidRDefault="00FA1B20" w:rsidP="0049226E">
      <w:pPr>
        <w:pStyle w:val="FootnoteText"/>
        <w:rPr>
          <w:rFonts w:cs="Times New Roman"/>
        </w:rPr>
      </w:pPr>
      <w:r w:rsidRPr="006C6AE4">
        <w:rPr>
          <w:rStyle w:val="FootnoteReference"/>
          <w:rFonts w:cs="Times New Roman"/>
        </w:rPr>
        <w:footnoteRef/>
      </w:r>
      <w:r w:rsidRPr="006C6AE4">
        <w:rPr>
          <w:rFonts w:cs="Times New Roman"/>
        </w:rPr>
        <w:t xml:space="preserve"> </w:t>
      </w:r>
      <w:r w:rsidRPr="006C6AE4">
        <w:rPr>
          <w:rFonts w:cs="Times New Roman"/>
          <w:i/>
        </w:rPr>
        <w:t xml:space="preserve">See </w:t>
      </w:r>
      <w:r w:rsidRPr="006C6AE4">
        <w:rPr>
          <w:rFonts w:cs="Times New Roman"/>
        </w:rPr>
        <w:t>Willis, Exhibit No. __ (JW-1T), pp. 2-4; Exhibit No. __ (JW-3) (description of affiliate entities); Exhibit No. __ (JW-4); Rebuttal Testimony of Joe Willis, Exhibit No. __</w:t>
      </w:r>
      <w:r>
        <w:rPr>
          <w:rFonts w:cs="Times New Roman"/>
        </w:rPr>
        <w:t xml:space="preserve"> </w:t>
      </w:r>
      <w:r w:rsidRPr="006C6AE4">
        <w:rPr>
          <w:rFonts w:cs="Times New Roman"/>
        </w:rPr>
        <w:t xml:space="preserve">(JW-7) (August 20, 2014).  </w:t>
      </w:r>
      <w:r w:rsidRPr="006C6AE4">
        <w:rPr>
          <w:rFonts w:cs="Times New Roman"/>
          <w:i/>
        </w:rPr>
        <w:t xml:space="preserve">See also </w:t>
      </w:r>
      <w:r w:rsidRPr="006C6AE4">
        <w:rPr>
          <w:rFonts w:cs="Times New Roman"/>
        </w:rPr>
        <w:t>Testimony of Melissa Cheesman, Exhibit No. __ (MC-1T), p. 16</w:t>
      </w:r>
      <w:r>
        <w:rPr>
          <w:rFonts w:cs="Times New Roman"/>
        </w:rPr>
        <w:t>,</w:t>
      </w:r>
      <w:r w:rsidRPr="006C6AE4">
        <w:rPr>
          <w:rFonts w:cs="Times New Roman"/>
        </w:rPr>
        <w:t xml:space="preserve"> lines 14-15, Exhibit No. </w:t>
      </w:r>
      <w:r w:rsidRPr="006C6AE4">
        <w:rPr>
          <w:rFonts w:cs="Times New Roman"/>
        </w:rPr>
        <w:softHyphen/>
      </w:r>
      <w:r w:rsidRPr="006C6AE4">
        <w:rPr>
          <w:rFonts w:cs="Times New Roman"/>
        </w:rPr>
        <w:softHyphen/>
        <w:t>__ (MC-3), pp. 1-4.</w:t>
      </w:r>
    </w:p>
  </w:footnote>
  <w:footnote w:id="29">
    <w:p w14:paraId="4A72A043" w14:textId="1628D710"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w:t>
      </w:r>
      <w:r w:rsidRPr="006C6AE4">
        <w:rPr>
          <w:rFonts w:cs="Times New Roman"/>
          <w:i/>
        </w:rPr>
        <w:t xml:space="preserve">See </w:t>
      </w:r>
      <w:r w:rsidRPr="006C6AE4">
        <w:rPr>
          <w:rFonts w:cs="Times New Roman"/>
        </w:rPr>
        <w:t>Rebuttal Testimony of Jackie Davis, Exhibit No. __ (JD-41T), pp. 11-12 (August 20, 2014).</w:t>
      </w:r>
    </w:p>
  </w:footnote>
  <w:footnote w:id="30">
    <w:p w14:paraId="4A72A044" w14:textId="14EF1DDE"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w:t>
      </w:r>
      <w:r w:rsidRPr="006C6AE4">
        <w:rPr>
          <w:rFonts w:cs="Times New Roman"/>
          <w:i/>
        </w:rPr>
        <w:t>Id.</w:t>
      </w:r>
      <w:r w:rsidRPr="006C6AE4">
        <w:rPr>
          <w:rFonts w:cs="Times New Roman"/>
        </w:rPr>
        <w:t xml:space="preserve"> at 12.  Staff disputes that the referenced data request response contains the suggested data or evidentiary support. </w:t>
      </w:r>
    </w:p>
  </w:footnote>
  <w:footnote w:id="31">
    <w:p w14:paraId="4A72A045" w14:textId="77777777"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Staff maintains that square footage allocations are not feasible in this case because the Parties are disputing costs associated with </w:t>
      </w:r>
      <w:r w:rsidRPr="006C6AE4">
        <w:rPr>
          <w:rFonts w:cs="Times New Roman"/>
          <w:i/>
        </w:rPr>
        <w:t>shared</w:t>
      </w:r>
      <w:r w:rsidRPr="006C6AE4">
        <w:rPr>
          <w:rFonts w:cs="Times New Roman"/>
        </w:rPr>
        <w:t xml:space="preserve"> spaces and resources. It is not possible to allocate square footage for the same physical space, people, and equipment.</w:t>
      </w:r>
    </w:p>
  </w:footnote>
  <w:footnote w:id="32">
    <w:p w14:paraId="4A72A046" w14:textId="09E3DBAB"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Rebuttal Testimony of Jackie Davis, Exhibit No. __ (JD-41T), pp. 12-13 (August 20, 2014).</w:t>
      </w:r>
    </w:p>
  </w:footnote>
  <w:footnote w:id="33">
    <w:p w14:paraId="4A72A047" w14:textId="77777777"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w:t>
      </w:r>
      <w:r w:rsidRPr="006C6AE4">
        <w:rPr>
          <w:rFonts w:cs="Times New Roman"/>
          <w:i/>
        </w:rPr>
        <w:t>Id.</w:t>
      </w:r>
      <w:r w:rsidRPr="006C6AE4">
        <w:rPr>
          <w:rFonts w:cs="Times New Roman"/>
        </w:rPr>
        <w:t xml:space="preserve"> at 13.</w:t>
      </w:r>
    </w:p>
  </w:footnote>
  <w:footnote w:id="34">
    <w:p w14:paraId="4A72A048" w14:textId="77777777"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w:t>
      </w:r>
      <w:r w:rsidRPr="006C6AE4">
        <w:rPr>
          <w:rFonts w:cs="Times New Roman"/>
          <w:i/>
        </w:rPr>
        <w:t>Id.</w:t>
      </w:r>
      <w:r w:rsidRPr="006C6AE4">
        <w:rPr>
          <w:rFonts w:cs="Times New Roman"/>
        </w:rPr>
        <w:t xml:space="preserve"> at 13. </w:t>
      </w:r>
    </w:p>
  </w:footnote>
  <w:footnote w:id="35">
    <w:p w14:paraId="4A72A049" w14:textId="0F78E4FB" w:rsidR="00FA1B20" w:rsidRPr="009C63C5" w:rsidRDefault="00FA1B20">
      <w:pPr>
        <w:pStyle w:val="FootnoteText"/>
        <w:rPr>
          <w:rFonts w:cs="Times New Roman"/>
        </w:rPr>
      </w:pPr>
      <w:r w:rsidRPr="006C6AE4">
        <w:rPr>
          <w:rStyle w:val="FootnoteReference"/>
          <w:rFonts w:cs="Times New Roman"/>
        </w:rPr>
        <w:footnoteRef/>
      </w:r>
      <w:r w:rsidRPr="006C6AE4">
        <w:rPr>
          <w:rFonts w:cs="Times New Roman"/>
        </w:rPr>
        <w:t xml:space="preserve"> </w:t>
      </w:r>
      <w:r w:rsidRPr="006C6AE4">
        <w:rPr>
          <w:rFonts w:cs="Times New Roman"/>
          <w:i/>
        </w:rPr>
        <w:t xml:space="preserve">See supra </w:t>
      </w:r>
      <w:r w:rsidRPr="009C63C5">
        <w:rPr>
          <w:rFonts w:cs="Times New Roman"/>
        </w:rPr>
        <w:t>Section I. Introduction, subsection B. Updates to Staff’s Recommendation, pp. 2-4.</w:t>
      </w:r>
    </w:p>
  </w:footnote>
  <w:footnote w:id="36">
    <w:p w14:paraId="4A72A04A" w14:textId="202876B4" w:rsidR="00FA1B20" w:rsidRPr="006C6AE4" w:rsidRDefault="00FA1B20">
      <w:pPr>
        <w:pStyle w:val="FootnoteText"/>
        <w:rPr>
          <w:rFonts w:cs="Times New Roman"/>
        </w:rPr>
      </w:pPr>
      <w:r w:rsidRPr="009C63C5">
        <w:rPr>
          <w:rStyle w:val="FootnoteReference"/>
          <w:rFonts w:cs="Times New Roman"/>
        </w:rPr>
        <w:footnoteRef/>
      </w:r>
      <w:r w:rsidRPr="009C63C5">
        <w:rPr>
          <w:rFonts w:cs="Times New Roman"/>
        </w:rPr>
        <w:t xml:space="preserve"> </w:t>
      </w:r>
      <w:r w:rsidRPr="009C63C5">
        <w:rPr>
          <w:rFonts w:cs="Times New Roman"/>
          <w:i/>
        </w:rPr>
        <w:t>See supra</w:t>
      </w:r>
      <w:r w:rsidRPr="009C63C5">
        <w:rPr>
          <w:rFonts w:cs="Times New Roman"/>
        </w:rPr>
        <w:t xml:space="preserve"> Section I.</w:t>
      </w:r>
      <w:r w:rsidRPr="006C6AE4">
        <w:rPr>
          <w:rFonts w:cs="Times New Roman"/>
        </w:rPr>
        <w:t xml:space="preserve"> Introduction, subsection B. Updates to Staff’s Recommendation, pp. 2-4</w:t>
      </w:r>
    </w:p>
  </w:footnote>
  <w:footnote w:id="37">
    <w:p w14:paraId="4A72A04B" w14:textId="30E8BC85"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w:t>
      </w:r>
      <w:r w:rsidRPr="006C6AE4">
        <w:rPr>
          <w:rFonts w:cs="Times New Roman"/>
          <w:i/>
        </w:rPr>
        <w:t xml:space="preserve">Id.; see </w:t>
      </w:r>
      <w:r w:rsidRPr="006C6AE4">
        <w:rPr>
          <w:rFonts w:cs="Times New Roman"/>
        </w:rPr>
        <w:t>Rebuttal Testimony of Jacqueline Davis, Exhibit No. __ (JD-41T), p. 12</w:t>
      </w:r>
      <w:r>
        <w:rPr>
          <w:rFonts w:cs="Times New Roman"/>
        </w:rPr>
        <w:t>,</w:t>
      </w:r>
      <w:r w:rsidRPr="006C6AE4">
        <w:rPr>
          <w:rFonts w:cs="Times New Roman"/>
        </w:rPr>
        <w:t xml:space="preserve"> lines 10-17 (August 20, 2014) (“cost of aggregate facility utilities” and “utility costs for that portion are, in fact, not shared”). </w:t>
      </w:r>
    </w:p>
  </w:footnote>
  <w:footnote w:id="38">
    <w:p w14:paraId="4A72A04C" w14:textId="2C0B5A5E"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Rebuttal Testimony of Jacqueline Davis, Exhibit No. __ (JD-41T), p. 12</w:t>
      </w:r>
      <w:r>
        <w:rPr>
          <w:rFonts w:cs="Times New Roman"/>
        </w:rPr>
        <w:t>,</w:t>
      </w:r>
      <w:r w:rsidRPr="006C6AE4">
        <w:rPr>
          <w:rFonts w:cs="Times New Roman"/>
        </w:rPr>
        <w:t xml:space="preserve"> lines 10-17, 25 (August 20, 2014). </w:t>
      </w:r>
    </w:p>
  </w:footnote>
  <w:footnote w:id="39">
    <w:p w14:paraId="4A72A04D" w14:textId="77777777"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Every credible ratemaking textbook or treatise includes discussion of both cost-based rates and the assignment of direct costs. </w:t>
      </w:r>
      <w:r w:rsidRPr="006C6AE4">
        <w:rPr>
          <w:rFonts w:cs="Times New Roman"/>
          <w:i/>
        </w:rPr>
        <w:t xml:space="preserve">See e.g. </w:t>
      </w:r>
      <w:r w:rsidRPr="006C6AE4">
        <w:rPr>
          <w:rFonts w:cs="Times New Roman"/>
          <w:smallCaps/>
        </w:rPr>
        <w:t>James C. Bonbright et. al., Principles of Public Utility Rates</w:t>
      </w:r>
      <w:r w:rsidRPr="006C6AE4">
        <w:rPr>
          <w:rFonts w:cs="Times New Roman"/>
        </w:rPr>
        <w:t xml:space="preserve">, pp. 109-120 (2d. edition 1988); </w:t>
      </w:r>
      <w:r w:rsidRPr="006C6AE4">
        <w:rPr>
          <w:rFonts w:cs="Times New Roman"/>
          <w:smallCaps/>
        </w:rPr>
        <w:t>Leonard Saul Goodman, The Process of Ratemaking,</w:t>
      </w:r>
      <w:r w:rsidRPr="006C6AE4">
        <w:rPr>
          <w:rFonts w:cs="Times New Roman"/>
        </w:rPr>
        <w:t xml:space="preserve"> Vol. I pp. 378-79, 364-65, 440 (1988); </w:t>
      </w:r>
      <w:r w:rsidRPr="006C6AE4">
        <w:rPr>
          <w:rFonts w:cs="Times New Roman"/>
          <w:smallCaps/>
        </w:rPr>
        <w:t xml:space="preserve">Charles F. Phillips, Jr., The Regulation of Public Utilities, </w:t>
      </w:r>
      <w:r w:rsidRPr="006C6AE4">
        <w:rPr>
          <w:rFonts w:cs="Times New Roman"/>
        </w:rPr>
        <w:t>pp</w:t>
      </w:r>
      <w:r w:rsidRPr="006C6AE4">
        <w:rPr>
          <w:rFonts w:cs="Times New Roman"/>
          <w:smallCaps/>
        </w:rPr>
        <w:t>. 225, 435-37</w:t>
      </w:r>
      <w:r w:rsidRPr="006C6AE4">
        <w:rPr>
          <w:rFonts w:cs="Times New Roman"/>
        </w:rPr>
        <w:t xml:space="preserve"> (1993)</w:t>
      </w:r>
    </w:p>
  </w:footnote>
  <w:footnote w:id="40">
    <w:p w14:paraId="4A72A04E" w14:textId="77777777"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w:t>
      </w:r>
      <w:r w:rsidRPr="006C6AE4">
        <w:rPr>
          <w:rFonts w:cs="Times New Roman"/>
          <w:i/>
        </w:rPr>
        <w:t>WUTC v. American Water Resources, Inc.</w:t>
      </w:r>
      <w:r w:rsidRPr="006C6AE4">
        <w:rPr>
          <w:rFonts w:cs="Times New Roman"/>
        </w:rPr>
        <w:t xml:space="preserve">, Docket UW-980072, UW-980258, UW-980265, UW-980076 (consolidated), Sixth Supplemental Order (Final), at p. 15 (Jan. 21, 1999).  </w:t>
      </w:r>
    </w:p>
  </w:footnote>
  <w:footnote w:id="41">
    <w:p w14:paraId="4A72A04F" w14:textId="77777777"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WCI and its affiliate landlords, Heirborne Investments I, LLC and Heirborne Investments II, LLC share 100% common ownership.  Direct Testimony of Joe Willis, Exhibit No. __ (JW-1T), pp. 2-4 (April 3, 2014). </w:t>
      </w:r>
    </w:p>
  </w:footnote>
  <w:footnote w:id="42">
    <w:p w14:paraId="4A72A050" w14:textId="2C0AC9AF"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Refer to WCI’s Response to Bench Request 1 (October 21, 2014).</w:t>
      </w:r>
    </w:p>
  </w:footnote>
  <w:footnote w:id="43">
    <w:p w14:paraId="4A72A051" w14:textId="77777777"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RCW 81.16.030. </w:t>
      </w:r>
    </w:p>
  </w:footnote>
  <w:footnote w:id="44">
    <w:p w14:paraId="4A72A052" w14:textId="166C7C53"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w:t>
      </w:r>
      <w:r w:rsidRPr="006C6AE4">
        <w:rPr>
          <w:rFonts w:cs="Times New Roman"/>
          <w:i/>
        </w:rPr>
        <w:t>WUTC v. Bremerton-Kitsap Airporter</w:t>
      </w:r>
      <w:r w:rsidRPr="006C6AE4">
        <w:rPr>
          <w:rFonts w:cs="Times New Roman"/>
        </w:rPr>
        <w:t xml:space="preserve">, Docket TC-001846, Fifth Supplemental Order (Final), p. 14, ¶ 36 (August 2, 2002). </w:t>
      </w:r>
    </w:p>
  </w:footnote>
  <w:footnote w:id="45">
    <w:p w14:paraId="4A72A053" w14:textId="77777777"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w:t>
      </w:r>
      <w:r w:rsidRPr="006C6AE4">
        <w:rPr>
          <w:rFonts w:cs="Times New Roman"/>
          <w:i/>
        </w:rPr>
        <w:t>WUTC v. Bremerton-Kitsap Airporter, Inc.</w:t>
      </w:r>
      <w:r w:rsidRPr="006C6AE4">
        <w:rPr>
          <w:rFonts w:cs="Times New Roman"/>
        </w:rPr>
        <w:t>, Docket TC-001846, Fifth Supplemental Order (Final), pp. 14-15 and Appendix C (August 2, 2002).</w:t>
      </w:r>
    </w:p>
  </w:footnote>
  <w:footnote w:id="46">
    <w:p w14:paraId="4A72A054" w14:textId="77777777" w:rsidR="00FA1B20" w:rsidRPr="006C6AE4" w:rsidRDefault="00FA1B20" w:rsidP="001B3B7D">
      <w:pPr>
        <w:pStyle w:val="FootnoteText"/>
        <w:rPr>
          <w:rFonts w:cs="Times New Roman"/>
        </w:rPr>
      </w:pPr>
      <w:r w:rsidRPr="006C6AE4">
        <w:rPr>
          <w:rStyle w:val="FootnoteReference"/>
          <w:rFonts w:cs="Times New Roman"/>
        </w:rPr>
        <w:footnoteRef/>
      </w:r>
      <w:r w:rsidRPr="006C6AE4">
        <w:rPr>
          <w:rFonts w:cs="Times New Roman"/>
        </w:rPr>
        <w:t xml:space="preserve"> </w:t>
      </w:r>
      <w:r w:rsidRPr="006C6AE4">
        <w:rPr>
          <w:rFonts w:cs="Times New Roman"/>
          <w:i/>
        </w:rPr>
        <w:t xml:space="preserve">See </w:t>
      </w:r>
      <w:r w:rsidRPr="006C6AE4">
        <w:rPr>
          <w:rFonts w:cs="Times New Roman"/>
        </w:rPr>
        <w:t>Testimony of Melissa Cheesman, Exhibit No. __ (MC-1T), pp. 18-23 (July 18, 2014).</w:t>
      </w:r>
    </w:p>
  </w:footnote>
  <w:footnote w:id="47">
    <w:p w14:paraId="4A72A058" w14:textId="52299440" w:rsidR="00FA1B20" w:rsidRPr="006C6AE4" w:rsidRDefault="00FA1B20" w:rsidP="001B3B7D">
      <w:pPr>
        <w:pStyle w:val="FootnoteText"/>
        <w:rPr>
          <w:rFonts w:cs="Times New Roman"/>
        </w:rPr>
      </w:pPr>
      <w:r w:rsidRPr="006C6AE4">
        <w:rPr>
          <w:rStyle w:val="FootnoteReference"/>
          <w:rFonts w:cs="Times New Roman"/>
        </w:rPr>
        <w:footnoteRef/>
      </w:r>
      <w:r w:rsidRPr="006C6AE4">
        <w:rPr>
          <w:rFonts w:cs="Times New Roman"/>
        </w:rPr>
        <w:t xml:space="preserve"> Testimony of Melissa Cheesman, Exhibit No. __ (MC-1T), p. 20</w:t>
      </w:r>
      <w:r>
        <w:rPr>
          <w:rFonts w:cs="Times New Roman"/>
        </w:rPr>
        <w:t>,</w:t>
      </w:r>
      <w:r w:rsidRPr="006C6AE4">
        <w:rPr>
          <w:rFonts w:cs="Times New Roman"/>
        </w:rPr>
        <w:t xml:space="preserve"> line 21</w:t>
      </w:r>
      <w:r>
        <w:rPr>
          <w:rFonts w:cs="Times New Roman"/>
        </w:rPr>
        <w:t>,</w:t>
      </w:r>
      <w:r w:rsidRPr="006C6AE4">
        <w:rPr>
          <w:rFonts w:cs="Times New Roman"/>
        </w:rPr>
        <w:t xml:space="preserve"> through p. 21</w:t>
      </w:r>
      <w:r>
        <w:rPr>
          <w:rFonts w:cs="Times New Roman"/>
        </w:rPr>
        <w:t>,</w:t>
      </w:r>
      <w:r w:rsidRPr="006C6AE4">
        <w:rPr>
          <w:rFonts w:cs="Times New Roman"/>
        </w:rPr>
        <w:t xml:space="preserve"> line 3 (July 18, 2014).</w:t>
      </w:r>
    </w:p>
  </w:footnote>
  <w:footnote w:id="48">
    <w:p w14:paraId="4A72A05A" w14:textId="77777777" w:rsidR="00FA1B20" w:rsidRPr="006C6AE4" w:rsidRDefault="00FA1B20" w:rsidP="002B197A">
      <w:pPr>
        <w:pStyle w:val="FootnoteText"/>
        <w:rPr>
          <w:rFonts w:cs="Times New Roman"/>
        </w:rPr>
      </w:pPr>
      <w:r w:rsidRPr="006C6AE4">
        <w:rPr>
          <w:rStyle w:val="FootnoteReference"/>
          <w:rFonts w:cs="Times New Roman"/>
        </w:rPr>
        <w:footnoteRef/>
      </w:r>
      <w:r w:rsidRPr="006C6AE4">
        <w:rPr>
          <w:rFonts w:cs="Times New Roman"/>
        </w:rPr>
        <w:t xml:space="preserve"> For example, if the Commission were to allow returns on the basis of asset-specific capital structures, an entity could simply borrow capital against non-regulated assets to pay off debt associated with regulated assets.   </w:t>
      </w:r>
    </w:p>
  </w:footnote>
  <w:footnote w:id="49">
    <w:p w14:paraId="4A72A05B" w14:textId="16A99406"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Rebuttal Testimony of Joe Willis, Exhibit No. __ </w:t>
      </w:r>
      <w:r>
        <w:rPr>
          <w:rFonts w:cs="Times New Roman"/>
        </w:rPr>
        <w:t>(JW-7), p. 2 (August 20, 2014);</w:t>
      </w:r>
      <w:r w:rsidRPr="006C6AE4">
        <w:rPr>
          <w:rFonts w:cs="Times New Roman"/>
        </w:rPr>
        <w:t xml:space="preserve"> Testimony of Melissa Cheesman, Exhibit No. __ (MC-1T), p. 20 footnote 19</w:t>
      </w:r>
      <w:r>
        <w:rPr>
          <w:rFonts w:cs="Times New Roman"/>
        </w:rPr>
        <w:t>,</w:t>
      </w:r>
      <w:r w:rsidRPr="006C6AE4">
        <w:rPr>
          <w:rFonts w:cs="Times New Roman"/>
        </w:rPr>
        <w:t xml:space="preserve"> and Exhibit No. __ (MC-3), pp. 1-4 (July 18, 2014).</w:t>
      </w:r>
    </w:p>
  </w:footnote>
  <w:footnote w:id="50">
    <w:p w14:paraId="4A72A05C" w14:textId="5BD18080" w:rsidR="00FA1B20" w:rsidRPr="006C6AE4" w:rsidRDefault="00FA1B20" w:rsidP="00555C41">
      <w:pPr>
        <w:pStyle w:val="FootnoteText"/>
        <w:rPr>
          <w:rFonts w:cs="Times New Roman"/>
        </w:rPr>
      </w:pPr>
      <w:r w:rsidRPr="006C6AE4">
        <w:rPr>
          <w:rStyle w:val="FootnoteReference"/>
          <w:rFonts w:cs="Times New Roman"/>
        </w:rPr>
        <w:footnoteRef/>
      </w:r>
      <w:r w:rsidRPr="006C6AE4">
        <w:rPr>
          <w:rFonts w:cs="Times New Roman"/>
        </w:rPr>
        <w:t xml:space="preserve"> </w:t>
      </w:r>
      <w:r w:rsidRPr="006C6AE4">
        <w:rPr>
          <w:rFonts w:cs="Times New Roman"/>
          <w:i/>
        </w:rPr>
        <w:t xml:space="preserve">See </w:t>
      </w:r>
      <w:r w:rsidRPr="006C6AE4">
        <w:rPr>
          <w:rFonts w:cs="Times New Roman"/>
        </w:rPr>
        <w:t>Direct Testimony of Jacqueline Davis, Exhibit No. __ (JD-1T), p. 4</w:t>
      </w:r>
      <w:r>
        <w:rPr>
          <w:rFonts w:cs="Times New Roman"/>
        </w:rPr>
        <w:t>,</w:t>
      </w:r>
      <w:r w:rsidRPr="006C6AE4">
        <w:rPr>
          <w:rFonts w:cs="Times New Roman"/>
        </w:rPr>
        <w:t xml:space="preserve"> lines 22-25, p. 9</w:t>
      </w:r>
      <w:r>
        <w:rPr>
          <w:rFonts w:cs="Times New Roman"/>
        </w:rPr>
        <w:t>,</w:t>
      </w:r>
      <w:r w:rsidRPr="006C6AE4">
        <w:rPr>
          <w:rFonts w:cs="Times New Roman"/>
        </w:rPr>
        <w:t xml:space="preserve"> line 21 through</w:t>
      </w:r>
      <w:r>
        <w:rPr>
          <w:rFonts w:cs="Times New Roman"/>
        </w:rPr>
        <w:t xml:space="preserve"> p. 10, line 3 (April 3, 2014); </w:t>
      </w:r>
      <w:r w:rsidRPr="006C6AE4">
        <w:rPr>
          <w:rFonts w:cs="Times New Roman"/>
          <w:i/>
        </w:rPr>
        <w:t xml:space="preserve">see also </w:t>
      </w:r>
      <w:r w:rsidRPr="006C6AE4">
        <w:rPr>
          <w:rFonts w:cs="Times New Roman"/>
        </w:rPr>
        <w:t xml:space="preserve">Rebuttal Testimony of Jackie Davis, Exhibit No. __ (JD-41T), pp. </w:t>
      </w:r>
      <w:r w:rsidR="00182408">
        <w:rPr>
          <w:rFonts w:cs="Times New Roman"/>
        </w:rPr>
        <w:t>14-16, and</w:t>
      </w:r>
      <w:r>
        <w:rPr>
          <w:rFonts w:cs="Times New Roman"/>
        </w:rPr>
        <w:t xml:space="preserve"> </w:t>
      </w:r>
      <w:r w:rsidRPr="006C6AE4">
        <w:rPr>
          <w:rFonts w:cs="Times New Roman"/>
        </w:rPr>
        <w:t>Exhibit No. __ (JD-43T) (August 20, 2014) (prop</w:t>
      </w:r>
      <w:r>
        <w:rPr>
          <w:rFonts w:cs="Times New Roman"/>
        </w:rPr>
        <w:t xml:space="preserve">osed land rents calculation); </w:t>
      </w:r>
      <w:r w:rsidRPr="006C6AE4">
        <w:rPr>
          <w:rFonts w:cs="Times New Roman"/>
        </w:rPr>
        <w:t>Rebuttal Testimony of Joe Willis, Exhibit No. __ (JW-7T), p. 2 (“each of the entities . . . are guarantors”).</w:t>
      </w:r>
      <w:r w:rsidR="00182408">
        <w:rPr>
          <w:rFonts w:cs="Times New Roman"/>
        </w:rPr>
        <w:t xml:space="preserve"> </w:t>
      </w:r>
      <w:r w:rsidRPr="006C6AE4">
        <w:rPr>
          <w:rFonts w:cs="Times New Roman"/>
          <w:i/>
        </w:rPr>
        <w:t xml:space="preserve"> See also </w:t>
      </w:r>
      <w:r w:rsidRPr="006C6AE4">
        <w:rPr>
          <w:rFonts w:cs="Times New Roman"/>
        </w:rPr>
        <w:t>Cheesman, Exhibit No. __ (MC-1T), p. 20, lines 3-4</w:t>
      </w:r>
    </w:p>
  </w:footnote>
  <w:footnote w:id="51">
    <w:p w14:paraId="4A72A05D" w14:textId="65559A8C" w:rsidR="00FA1B20" w:rsidRPr="006C6AE4" w:rsidRDefault="00FA1B20" w:rsidP="00382D6E">
      <w:pPr>
        <w:pStyle w:val="FootnoteText"/>
        <w:rPr>
          <w:rFonts w:cs="Times New Roman"/>
        </w:rPr>
      </w:pPr>
      <w:r w:rsidRPr="006C6AE4">
        <w:rPr>
          <w:rStyle w:val="FootnoteReference"/>
          <w:rFonts w:cs="Times New Roman"/>
        </w:rPr>
        <w:footnoteRef/>
      </w:r>
      <w:r w:rsidRPr="006C6AE4">
        <w:rPr>
          <w:rFonts w:cs="Times New Roman"/>
        </w:rPr>
        <w:t xml:space="preserve"> </w:t>
      </w:r>
      <w:r w:rsidRPr="006C6AE4">
        <w:rPr>
          <w:rFonts w:cs="Times New Roman"/>
          <w:i/>
        </w:rPr>
        <w:t xml:space="preserve">See </w:t>
      </w:r>
      <w:r w:rsidRPr="006C6AE4">
        <w:rPr>
          <w:rFonts w:cs="Times New Roman"/>
        </w:rPr>
        <w:t xml:space="preserve">Rebuttal Testimony of Layne </w:t>
      </w:r>
      <w:r>
        <w:rPr>
          <w:rFonts w:cs="Times New Roman"/>
        </w:rPr>
        <w:t>Demas</w:t>
      </w:r>
      <w:r w:rsidRPr="006C6AE4">
        <w:rPr>
          <w:rFonts w:cs="Times New Roman"/>
        </w:rPr>
        <w:t>, Exhibit No. __ (LD-1T), p. 4.</w:t>
      </w:r>
    </w:p>
  </w:footnote>
  <w:footnote w:id="52">
    <w:p w14:paraId="4A72A05F" w14:textId="0DEAA7B7"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The revenues and assets of the operating affiliates, including WCI, WCE, and WCR guarantee HBI’s and HBII’s debts.  Rebuttal Testimony of Joe Willis, Exhibit No. __ (JW-7), p. 2 (August 20, 2014).  </w:t>
      </w:r>
      <w:r w:rsidRPr="006C6AE4">
        <w:rPr>
          <w:rFonts w:cs="Times New Roman"/>
          <w:i/>
        </w:rPr>
        <w:t xml:space="preserve">See also </w:t>
      </w:r>
      <w:r w:rsidRPr="006C6AE4">
        <w:rPr>
          <w:rFonts w:cs="Times New Roman"/>
        </w:rPr>
        <w:t>Testimony of Melissa Cheesman, Exhibit No. __ (MC-1T), p. 20 footnote 19</w:t>
      </w:r>
      <w:r>
        <w:rPr>
          <w:rFonts w:cs="Times New Roman"/>
        </w:rPr>
        <w:t xml:space="preserve"> and Exhibit No. __ (MC-3), pp. </w:t>
      </w:r>
      <w:r w:rsidRPr="006C6AE4">
        <w:rPr>
          <w:rFonts w:cs="Times New Roman"/>
        </w:rPr>
        <w:t>1-4 (July 18, 2014).</w:t>
      </w:r>
    </w:p>
  </w:footnote>
  <w:footnote w:id="53">
    <w:p w14:paraId="466367E6" w14:textId="1064F436"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Testimony of Melissa Cheesman, Exhibit No. __ (MC-3) (July 18, 2014).</w:t>
      </w:r>
    </w:p>
  </w:footnote>
  <w:footnote w:id="54">
    <w:p w14:paraId="4A72A060" w14:textId="7753FF64"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Testimony of Melissa Cheesman, Exhibit No. __ (MC-1T), p. 20</w:t>
      </w:r>
      <w:r>
        <w:rPr>
          <w:rFonts w:cs="Times New Roman"/>
        </w:rPr>
        <w:t>,</w:t>
      </w:r>
      <w:r w:rsidRPr="006C6AE4">
        <w:rPr>
          <w:rFonts w:cs="Times New Roman"/>
        </w:rPr>
        <w:t xml:space="preserve"> lines 1-3.</w:t>
      </w:r>
    </w:p>
  </w:footnote>
  <w:footnote w:id="55">
    <w:p w14:paraId="4A72A061" w14:textId="77777777"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w:t>
      </w:r>
      <w:r w:rsidRPr="006C6AE4">
        <w:rPr>
          <w:rFonts w:cs="Times New Roman"/>
          <w:i/>
        </w:rPr>
        <w:t>Id.</w:t>
      </w:r>
    </w:p>
  </w:footnote>
  <w:footnote w:id="56">
    <w:p w14:paraId="4A72A062" w14:textId="77777777"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w:t>
      </w:r>
      <w:r w:rsidRPr="006C6AE4">
        <w:rPr>
          <w:rFonts w:cs="Times New Roman"/>
          <w:i/>
        </w:rPr>
        <w:t>WUTC v. Bremerton-Kitsap Airporter, Inc.</w:t>
      </w:r>
      <w:r w:rsidRPr="006C6AE4">
        <w:rPr>
          <w:rFonts w:cs="Times New Roman"/>
        </w:rPr>
        <w:t xml:space="preserve">, Docket TC-001846, Fifth Supplemental Order (Final Order), pp. 14-15 and Appendix C, (August 2, 2002). </w:t>
      </w:r>
    </w:p>
  </w:footnote>
  <w:footnote w:id="57">
    <w:p w14:paraId="4A72A063" w14:textId="77777777" w:rsidR="00FA1B20" w:rsidRPr="006C6AE4" w:rsidRDefault="00FA1B20">
      <w:pPr>
        <w:pStyle w:val="FootnoteText"/>
        <w:rPr>
          <w:rFonts w:cs="Times New Roman"/>
          <w:i/>
        </w:rPr>
      </w:pPr>
      <w:r w:rsidRPr="006C6AE4">
        <w:rPr>
          <w:rStyle w:val="FootnoteReference"/>
          <w:rFonts w:cs="Times New Roman"/>
        </w:rPr>
        <w:footnoteRef/>
      </w:r>
      <w:r w:rsidRPr="006C6AE4">
        <w:rPr>
          <w:rFonts w:cs="Times New Roman"/>
        </w:rPr>
        <w:t xml:space="preserve"> </w:t>
      </w:r>
      <w:r w:rsidRPr="006C6AE4">
        <w:rPr>
          <w:rFonts w:cs="Times New Roman"/>
          <w:i/>
        </w:rPr>
        <w:t>See id.</w:t>
      </w:r>
    </w:p>
  </w:footnote>
  <w:footnote w:id="58">
    <w:p w14:paraId="4A72A064" w14:textId="77777777"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w:t>
      </w:r>
      <w:r w:rsidRPr="006C6AE4">
        <w:rPr>
          <w:rFonts w:cs="Times New Roman"/>
          <w:i/>
        </w:rPr>
        <w:t>See WUTC v. Bremerton-Kitsap Airporter, Inc.</w:t>
      </w:r>
      <w:r w:rsidRPr="006C6AE4">
        <w:rPr>
          <w:rFonts w:cs="Times New Roman"/>
        </w:rPr>
        <w:t>, Docket TC-001846.</w:t>
      </w:r>
    </w:p>
  </w:footnote>
  <w:footnote w:id="59">
    <w:p w14:paraId="4A72A065" w14:textId="77777777"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w:t>
      </w:r>
      <w:r w:rsidRPr="006C6AE4">
        <w:rPr>
          <w:rFonts w:cs="Times New Roman"/>
          <w:i/>
        </w:rPr>
        <w:t>See WUTC v. Bremerton-Kitsap Airporter, Inc.</w:t>
      </w:r>
      <w:r w:rsidRPr="006C6AE4">
        <w:rPr>
          <w:rFonts w:cs="Times New Roman"/>
        </w:rPr>
        <w:t xml:space="preserve">, Docket TC-001846. </w:t>
      </w:r>
    </w:p>
  </w:footnote>
  <w:footnote w:id="60">
    <w:p w14:paraId="4A72A066" w14:textId="31C776F4"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w:t>
      </w:r>
      <w:r w:rsidRPr="006C6AE4">
        <w:rPr>
          <w:rFonts w:cs="Times New Roman"/>
          <w:i/>
        </w:rPr>
        <w:t>See</w:t>
      </w:r>
      <w:r w:rsidRPr="006C6AE4">
        <w:rPr>
          <w:rFonts w:cs="Times New Roman"/>
        </w:rPr>
        <w:t xml:space="preserve"> Prefiled Direct Testimony of Jacqueline G. Davis, Exhibit No. __ (JD-1T), p. 4, lines 23-25 (February 18, 2014 – refiled April 3, 2014); Supplemental Testimony of Jacqueline G. Dav</w:t>
      </w:r>
      <w:r>
        <w:rPr>
          <w:rFonts w:cs="Times New Roman"/>
        </w:rPr>
        <w:t>is, Exhibit No. __ (JD-__T), p. </w:t>
      </w:r>
      <w:r w:rsidRPr="006C6AE4">
        <w:rPr>
          <w:rFonts w:cs="Times New Roman"/>
        </w:rPr>
        <w:t xml:space="preserve">8, lines 23-25 (April 3, 2014); Supplemental Testimony of Jacqueline G. Davis, Exhibit No. __ (JD-41T), p. 16, lines 10-12 (August 20, 2014). </w:t>
      </w:r>
    </w:p>
  </w:footnote>
  <w:footnote w:id="61">
    <w:p w14:paraId="4A72A067" w14:textId="661B0C13" w:rsidR="00FA1B20" w:rsidRPr="006C6AE4" w:rsidRDefault="00FA1B20" w:rsidP="00707471">
      <w:pPr>
        <w:pStyle w:val="FootnoteText"/>
        <w:rPr>
          <w:rFonts w:cs="Times New Roman"/>
        </w:rPr>
      </w:pPr>
      <w:r w:rsidRPr="006C6AE4">
        <w:rPr>
          <w:rStyle w:val="FootnoteReference"/>
          <w:rFonts w:cs="Times New Roman"/>
        </w:rPr>
        <w:footnoteRef/>
      </w:r>
      <w:r w:rsidRPr="006C6AE4">
        <w:rPr>
          <w:rFonts w:cs="Times New Roman"/>
        </w:rPr>
        <w:t xml:space="preserve"> The mortgage </w:t>
      </w:r>
      <w:r>
        <w:rPr>
          <w:rFonts w:cs="Times New Roman"/>
        </w:rPr>
        <w:t>rate for each specific facility.</w:t>
      </w:r>
      <w:r w:rsidRPr="006C6AE4">
        <w:rPr>
          <w:rFonts w:cs="Times New Roman"/>
        </w:rPr>
        <w:t xml:space="preserve"> </w:t>
      </w:r>
      <w:r>
        <w:rPr>
          <w:rFonts w:cs="Times New Roman"/>
        </w:rPr>
        <w:t xml:space="preserve"> </w:t>
      </w:r>
      <w:r w:rsidRPr="006C6AE4">
        <w:rPr>
          <w:rFonts w:cs="Times New Roman"/>
          <w:i/>
        </w:rPr>
        <w:t xml:space="preserve">See </w:t>
      </w:r>
      <w:r w:rsidRPr="006C6AE4">
        <w:rPr>
          <w:rFonts w:cs="Times New Roman"/>
        </w:rPr>
        <w:t>Rebuttal Testimony of Jacqueline Davis, Exhibit No. __</w:t>
      </w:r>
      <w:r>
        <w:rPr>
          <w:rFonts w:cs="Times New Roman"/>
        </w:rPr>
        <w:t xml:space="preserve"> </w:t>
      </w:r>
      <w:r w:rsidRPr="006C6AE4">
        <w:rPr>
          <w:rFonts w:cs="Times New Roman"/>
        </w:rPr>
        <w:t>(JD-43) (August 20, 2014).</w:t>
      </w:r>
    </w:p>
  </w:footnote>
  <w:footnote w:id="62">
    <w:p w14:paraId="4A72A068" w14:textId="77777777"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Rebuttal Testimony of Jacqueline Davis, Exhibit No. __ (JD-41T), p. 21 (August 20, 2014).</w:t>
      </w:r>
    </w:p>
  </w:footnote>
  <w:footnote w:id="63">
    <w:p w14:paraId="4A72A069" w14:textId="37A96033" w:rsidR="00FA1B20" w:rsidRPr="006C6AE4" w:rsidRDefault="00FA1B20">
      <w:pPr>
        <w:pStyle w:val="FootnoteText"/>
        <w:rPr>
          <w:rFonts w:cs="Times New Roman"/>
          <w:i/>
        </w:rPr>
      </w:pPr>
      <w:r w:rsidRPr="006C6AE4">
        <w:rPr>
          <w:rStyle w:val="FootnoteReference"/>
          <w:rFonts w:cs="Times New Roman"/>
        </w:rPr>
        <w:footnoteRef/>
      </w:r>
      <w:r w:rsidRPr="006C6AE4">
        <w:rPr>
          <w:rFonts w:cs="Times New Roman"/>
        </w:rPr>
        <w:t xml:space="preserve"> Rebuttal Testimony of Jacqueline Davis, Exhibit No. __</w:t>
      </w:r>
      <w:r>
        <w:rPr>
          <w:rFonts w:cs="Times New Roman"/>
        </w:rPr>
        <w:t xml:space="preserve"> </w:t>
      </w:r>
      <w:r w:rsidRPr="006C6AE4">
        <w:rPr>
          <w:rFonts w:cs="Times New Roman"/>
        </w:rPr>
        <w:t>(JD-41T, p. 21 (August 20, 2014).</w:t>
      </w:r>
    </w:p>
  </w:footnote>
  <w:footnote w:id="64">
    <w:p w14:paraId="4A72A06A" w14:textId="77777777"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w:t>
      </w:r>
      <w:r w:rsidRPr="006C6AE4">
        <w:rPr>
          <w:rFonts w:cs="Times New Roman"/>
          <w:i/>
        </w:rPr>
        <w:t>See e.g.</w:t>
      </w:r>
      <w:r w:rsidRPr="006C6AE4">
        <w:rPr>
          <w:rFonts w:cs="Times New Roman"/>
        </w:rPr>
        <w:t xml:space="preserve">, </w:t>
      </w:r>
      <w:r w:rsidRPr="006C6AE4">
        <w:rPr>
          <w:rFonts w:cs="Times New Roman"/>
          <w:smallCaps/>
        </w:rPr>
        <w:t>Stephen A. Ross, et. al., Essentials of Corporate Finance</w:t>
      </w:r>
      <w:r w:rsidRPr="006C6AE4">
        <w:rPr>
          <w:rFonts w:cs="Times New Roman"/>
        </w:rPr>
        <w:t xml:space="preserve"> 27-30, 367-73 (Fourth ed. 2004)</w:t>
      </w:r>
    </w:p>
  </w:footnote>
  <w:footnote w:id="65">
    <w:p w14:paraId="4A72A06B" w14:textId="77777777"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w:t>
      </w:r>
      <w:r w:rsidRPr="006C6AE4">
        <w:rPr>
          <w:rFonts w:cs="Times New Roman"/>
          <w:i/>
        </w:rPr>
        <w:t>Id.</w:t>
      </w:r>
      <w:r w:rsidRPr="006C6AE4">
        <w:rPr>
          <w:rFonts w:cs="Times New Roman"/>
        </w:rPr>
        <w:t xml:space="preserve"> at 21-86.</w:t>
      </w:r>
    </w:p>
  </w:footnote>
  <w:footnote w:id="66">
    <w:p w14:paraId="4A72A06C" w14:textId="4B5E888B"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As described </w:t>
      </w:r>
      <w:r w:rsidRPr="009C63C5">
        <w:rPr>
          <w:rFonts w:cs="Times New Roman"/>
          <w:i/>
        </w:rPr>
        <w:t>supra</w:t>
      </w:r>
      <w:r w:rsidRPr="009C63C5">
        <w:rPr>
          <w:rFonts w:cs="Times New Roman"/>
        </w:rPr>
        <w:t xml:space="preserve"> </w:t>
      </w:r>
      <w:r w:rsidRPr="006C6AE4">
        <w:rPr>
          <w:rFonts w:cs="Times New Roman"/>
        </w:rPr>
        <w:t xml:space="preserve">Section I. Introduction, subsection B. Updates to Staff’s Recommendation, pp. 2-4, Staff supports amortizing the debt’s origination fees over the life of the loan and including the annually amortized amount in the cost of debt for HBI. </w:t>
      </w:r>
    </w:p>
  </w:footnote>
  <w:footnote w:id="67">
    <w:p w14:paraId="4A72A06D" w14:textId="77DC62B6"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Rebuttal Testimony of Jacqueline Davis, Exhibit No. __</w:t>
      </w:r>
      <w:r>
        <w:rPr>
          <w:rFonts w:cs="Times New Roman"/>
        </w:rPr>
        <w:t xml:space="preserve"> </w:t>
      </w:r>
      <w:r w:rsidRPr="006C6AE4">
        <w:rPr>
          <w:rFonts w:cs="Times New Roman"/>
        </w:rPr>
        <w:t xml:space="preserve">(JD-41T), Docket TG-140560, p. 21 (August 20, 2014). </w:t>
      </w:r>
    </w:p>
  </w:footnote>
  <w:footnote w:id="68">
    <w:p w14:paraId="4A72A06E" w14:textId="2BA4300C"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Rebuttal Testimony of Joe Willis, Exhibit No. __ (JW-7), p. 2 (August 20, 2014).  </w:t>
      </w:r>
      <w:r w:rsidRPr="006C6AE4">
        <w:rPr>
          <w:rFonts w:cs="Times New Roman"/>
          <w:i/>
        </w:rPr>
        <w:t xml:space="preserve">See also </w:t>
      </w:r>
      <w:r w:rsidRPr="006C6AE4">
        <w:rPr>
          <w:rFonts w:cs="Times New Roman"/>
        </w:rPr>
        <w:t>Testimony of Melissa Cheesman, Exhibit No. __ (MC-1T), p. 20</w:t>
      </w:r>
      <w:r>
        <w:rPr>
          <w:rFonts w:cs="Times New Roman"/>
        </w:rPr>
        <w:t>,</w:t>
      </w:r>
      <w:r w:rsidRPr="006C6AE4">
        <w:rPr>
          <w:rFonts w:cs="Times New Roman"/>
        </w:rPr>
        <w:t xml:space="preserve"> footnote 19</w:t>
      </w:r>
      <w:r>
        <w:rPr>
          <w:rFonts w:cs="Times New Roman"/>
        </w:rPr>
        <w:t>,</w:t>
      </w:r>
      <w:r w:rsidRPr="006C6AE4">
        <w:rPr>
          <w:rFonts w:cs="Times New Roman"/>
        </w:rPr>
        <w:t xml:space="preserve"> and Exhibit No. __ (MC-3), pp. 1-4 (July 18, 2014).</w:t>
      </w:r>
    </w:p>
  </w:footnote>
  <w:footnote w:id="69">
    <w:p w14:paraId="4A72A06F" w14:textId="77777777"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w:t>
      </w:r>
      <w:r w:rsidRPr="006C6AE4">
        <w:rPr>
          <w:rFonts w:cs="Times New Roman"/>
          <w:i/>
        </w:rPr>
        <w:t>E.g.</w:t>
      </w:r>
      <w:r w:rsidRPr="006C6AE4">
        <w:rPr>
          <w:rFonts w:cs="Times New Roman"/>
        </w:rPr>
        <w:t xml:space="preserve">, </w:t>
      </w:r>
      <w:r w:rsidRPr="006C6AE4">
        <w:rPr>
          <w:rFonts w:cs="Times New Roman"/>
          <w:smallCaps/>
        </w:rPr>
        <w:t>Charles F. Phillips Jr., The Regulation of Public Utilities,</w:t>
      </w:r>
      <w:r w:rsidRPr="006C6AE4">
        <w:rPr>
          <w:rFonts w:cs="Times New Roman"/>
        </w:rPr>
        <w:t xml:space="preserve"> p. 394 (1993).</w:t>
      </w:r>
    </w:p>
  </w:footnote>
  <w:footnote w:id="70">
    <w:p w14:paraId="4A72A070" w14:textId="77777777"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w:t>
      </w:r>
      <w:r w:rsidRPr="006C6AE4">
        <w:rPr>
          <w:rFonts w:cs="Times New Roman"/>
          <w:i/>
        </w:rPr>
        <w:t>Id.</w:t>
      </w:r>
      <w:r w:rsidRPr="006C6AE4">
        <w:rPr>
          <w:rFonts w:cs="Times New Roman"/>
        </w:rPr>
        <w:t xml:space="preserve"> at 380 discussing judicial standards for cost of capital (“a fair return varies with investment opportunities, the location of a utility, the nature of the business and general economic conditions”). </w:t>
      </w:r>
    </w:p>
  </w:footnote>
  <w:footnote w:id="71">
    <w:p w14:paraId="4A72A071" w14:textId="7C2D3738"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w:t>
      </w:r>
      <w:r w:rsidRPr="006C6AE4">
        <w:rPr>
          <w:rFonts w:cs="Times New Roman"/>
          <w:i/>
        </w:rPr>
        <w:t>WUTC v. Pacific Power &amp; Light Co.</w:t>
      </w:r>
      <w:r w:rsidRPr="006C6AE4">
        <w:rPr>
          <w:rFonts w:cs="Times New Roman"/>
        </w:rPr>
        <w:t>, Docket UE-130043, Order 05 (Final Order), p. 8</w:t>
      </w:r>
      <w:r>
        <w:rPr>
          <w:rFonts w:cs="Times New Roman"/>
        </w:rPr>
        <w:t>,</w:t>
      </w:r>
      <w:r w:rsidRPr="006C6AE4">
        <w:rPr>
          <w:rFonts w:cs="Times New Roman"/>
        </w:rPr>
        <w:t xml:space="preserve"> ¶24 (December 4, 2013).</w:t>
      </w:r>
    </w:p>
  </w:footnote>
  <w:footnote w:id="72">
    <w:p w14:paraId="4A72A072" w14:textId="77777777"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w:t>
      </w:r>
      <w:r w:rsidRPr="006C6AE4">
        <w:rPr>
          <w:rFonts w:cs="Times New Roman"/>
          <w:i/>
        </w:rPr>
        <w:t>WUTC v. Pacific Power &amp; Light Co.</w:t>
      </w:r>
      <w:r w:rsidRPr="006C6AE4">
        <w:rPr>
          <w:rFonts w:cs="Times New Roman"/>
        </w:rPr>
        <w:t xml:space="preserve">, Docket UE-130043, Order 05 (Final Order), pp. 25-26, ¶65 (December 4, 2013). </w:t>
      </w:r>
    </w:p>
  </w:footnote>
  <w:footnote w:id="73">
    <w:p w14:paraId="4A72A073" w14:textId="50F72DAF"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Testimony of Melissa Cheesman, Exhibit No. __ (MC-1T), p. 21</w:t>
      </w:r>
      <w:r>
        <w:rPr>
          <w:rFonts w:cs="Times New Roman"/>
        </w:rPr>
        <w:t>,</w:t>
      </w:r>
      <w:r w:rsidRPr="006C6AE4">
        <w:rPr>
          <w:rFonts w:cs="Times New Roman"/>
        </w:rPr>
        <w:t xml:space="preserve"> lines 12-17 and Exhibit No. __</w:t>
      </w:r>
      <w:r>
        <w:rPr>
          <w:rFonts w:cs="Times New Roman"/>
        </w:rPr>
        <w:t xml:space="preserve"> </w:t>
      </w:r>
      <w:r w:rsidRPr="006C6AE4">
        <w:rPr>
          <w:rFonts w:cs="Times New Roman"/>
        </w:rPr>
        <w:t xml:space="preserve">(MC-6), Schedule 4, R-6E (July 18, 2014).   </w:t>
      </w:r>
    </w:p>
  </w:footnote>
  <w:footnote w:id="74">
    <w:p w14:paraId="4A72A074" w14:textId="35A084D7"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Rebuttal Testimony of Layne </w:t>
      </w:r>
      <w:r>
        <w:rPr>
          <w:rFonts w:cs="Times New Roman"/>
        </w:rPr>
        <w:t>Demas</w:t>
      </w:r>
      <w:r w:rsidRPr="006C6AE4">
        <w:rPr>
          <w:rFonts w:cs="Times New Roman"/>
        </w:rPr>
        <w:t>, Exhibit No. __ (LD-1T), p. 6</w:t>
      </w:r>
      <w:r>
        <w:rPr>
          <w:rFonts w:cs="Times New Roman"/>
        </w:rPr>
        <w:t>,</w:t>
      </w:r>
      <w:r w:rsidRPr="006C6AE4">
        <w:rPr>
          <w:rFonts w:cs="Times New Roman"/>
        </w:rPr>
        <w:t xml:space="preserve"> lines 15-16 (August 20, 2014). </w:t>
      </w:r>
    </w:p>
  </w:footnote>
  <w:footnote w:id="75">
    <w:p w14:paraId="4A72A075" w14:textId="6A150604"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Rebuttal Testimony of Jacqueline Davis, Exhibit No. __ (JD-41T), p. 19</w:t>
      </w:r>
      <w:r>
        <w:rPr>
          <w:rFonts w:cs="Times New Roman"/>
        </w:rPr>
        <w:t>,</w:t>
      </w:r>
      <w:r w:rsidRPr="006C6AE4">
        <w:rPr>
          <w:rFonts w:cs="Times New Roman"/>
        </w:rPr>
        <w:t xml:space="preserve"> lines 15-16 (citing </w:t>
      </w:r>
      <w:r w:rsidRPr="006C6AE4">
        <w:rPr>
          <w:rFonts w:cs="Times New Roman"/>
          <w:i/>
        </w:rPr>
        <w:t>WUTC v. Bremerton-Kitsap Airporter, Inc.</w:t>
      </w:r>
      <w:r w:rsidRPr="006C6AE4">
        <w:rPr>
          <w:rFonts w:cs="Times New Roman"/>
        </w:rPr>
        <w:t xml:space="preserve">, Docket TC-001846, Fifth Supplemental Order (Final), Appendix C). </w:t>
      </w:r>
    </w:p>
  </w:footnote>
  <w:footnote w:id="76">
    <w:p w14:paraId="4A72A076" w14:textId="4394C675"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w:t>
      </w:r>
      <w:r w:rsidRPr="006C6AE4">
        <w:rPr>
          <w:rFonts w:cs="Times New Roman"/>
          <w:i/>
        </w:rPr>
        <w:t>Id.</w:t>
      </w:r>
      <w:r w:rsidRPr="002D449B">
        <w:rPr>
          <w:rFonts w:cs="Times New Roman"/>
        </w:rPr>
        <w:t>;</w:t>
      </w:r>
      <w:r>
        <w:rPr>
          <w:rFonts w:cs="Times New Roman"/>
          <w:i/>
        </w:rPr>
        <w:t xml:space="preserve"> </w:t>
      </w:r>
      <w:r w:rsidRPr="006C6AE4">
        <w:rPr>
          <w:rFonts w:cs="Times New Roman"/>
        </w:rPr>
        <w:t>Rebuttal Testimony of Jacqueline Davis, Exhibit No. __ (JD-41T), p 19</w:t>
      </w:r>
      <w:r>
        <w:rPr>
          <w:rFonts w:cs="Times New Roman"/>
        </w:rPr>
        <w:t>,</w:t>
      </w:r>
      <w:r w:rsidRPr="006C6AE4">
        <w:rPr>
          <w:rFonts w:cs="Times New Roman"/>
        </w:rPr>
        <w:t xml:space="preserve"> line15; </w:t>
      </w:r>
      <w:r w:rsidRPr="006C6AE4">
        <w:rPr>
          <w:rFonts w:cs="Times New Roman"/>
          <w:i/>
        </w:rPr>
        <w:t xml:space="preserve">see also </w:t>
      </w:r>
      <w:r w:rsidRPr="006C6AE4">
        <w:rPr>
          <w:rFonts w:cs="Times New Roman"/>
        </w:rPr>
        <w:t>Davis Rebuttal, Exhibit No. __ (JD-43).</w:t>
      </w:r>
    </w:p>
  </w:footnote>
  <w:footnote w:id="77">
    <w:p w14:paraId="4A72A077" w14:textId="6F168C38"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Staff assumes that Mr. </w:t>
      </w:r>
      <w:r>
        <w:rPr>
          <w:rFonts w:cs="Times New Roman"/>
        </w:rPr>
        <w:t>Demas</w:t>
      </w:r>
      <w:r w:rsidRPr="006C6AE4">
        <w:rPr>
          <w:rFonts w:cs="Times New Roman"/>
        </w:rPr>
        <w:t xml:space="preserve">’s rebuttal testimony at page six refers to Dr. Lurito’s testimony in </w:t>
      </w:r>
      <w:r w:rsidRPr="006C6AE4">
        <w:rPr>
          <w:rFonts w:cs="Times New Roman"/>
          <w:i/>
        </w:rPr>
        <w:t>WUTC v. Sno-King Garbage Co.</w:t>
      </w:r>
      <w:r w:rsidRPr="008D79A6">
        <w:rPr>
          <w:rFonts w:cs="Times New Roman"/>
        </w:rPr>
        <w:t xml:space="preserve">, </w:t>
      </w:r>
      <w:r w:rsidRPr="006C6AE4">
        <w:rPr>
          <w:rFonts w:cs="Times New Roman"/>
        </w:rPr>
        <w:t xml:space="preserve">Dockets TG-900657/TG-900658 (consolidated), Fourth Supplemental Order (Final) (December 10, 1991), in which Dr. Lurito advocated for the continued use of the Lurito-Gallagher regression in solid waste ratemaking and an additional 75 basis points to be added to the ROE.  </w:t>
      </w:r>
    </w:p>
  </w:footnote>
  <w:footnote w:id="78">
    <w:p w14:paraId="4A72A078" w14:textId="77777777"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Operating costs are not disputed in this case. </w:t>
      </w:r>
    </w:p>
  </w:footnote>
  <w:footnote w:id="79">
    <w:p w14:paraId="4A72A079" w14:textId="3D8E4BC6"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w:t>
      </w:r>
      <w:r w:rsidRPr="006C6AE4">
        <w:rPr>
          <w:rFonts w:cs="Times New Roman"/>
          <w:i/>
        </w:rPr>
        <w:t xml:space="preserve">See </w:t>
      </w:r>
      <w:r w:rsidRPr="006C6AE4">
        <w:rPr>
          <w:rFonts w:cs="Times New Roman"/>
        </w:rPr>
        <w:t>Rebuttal Testimony of Jacqueline Davis, Exhibit No. __ (JD-41T), p. 17</w:t>
      </w:r>
      <w:r>
        <w:rPr>
          <w:rFonts w:cs="Times New Roman"/>
        </w:rPr>
        <w:t>,</w:t>
      </w:r>
      <w:r w:rsidRPr="006C6AE4">
        <w:rPr>
          <w:rFonts w:cs="Times New Roman"/>
        </w:rPr>
        <w:t xml:space="preserve"> lines 1-7 (August 20, 2014). </w:t>
      </w:r>
    </w:p>
  </w:footnote>
  <w:footnote w:id="80">
    <w:p w14:paraId="4A72A07A" w14:textId="7DEB2361" w:rsidR="00FA1B20" w:rsidRPr="006C6AE4" w:rsidRDefault="00FA1B20" w:rsidP="00FD57F1">
      <w:pPr>
        <w:pStyle w:val="FootnoteText"/>
        <w:rPr>
          <w:rFonts w:cs="Times New Roman"/>
        </w:rPr>
      </w:pPr>
      <w:r w:rsidRPr="006C6AE4">
        <w:rPr>
          <w:rStyle w:val="FootnoteReference"/>
          <w:rFonts w:cs="Times New Roman"/>
        </w:rPr>
        <w:footnoteRef/>
      </w:r>
      <w:r w:rsidRPr="006C6AE4">
        <w:rPr>
          <w:rFonts w:cs="Times New Roman"/>
        </w:rPr>
        <w:t xml:space="preserve"> Every legitimate textbook or treatise on ratemaking includes discussion about the basic fairness of using cost causation principles as a primary factor in determining fair and reasonable cost allocations and rates.  </w:t>
      </w:r>
      <w:r w:rsidRPr="006C6AE4">
        <w:rPr>
          <w:rFonts w:cs="Times New Roman"/>
          <w:i/>
        </w:rPr>
        <w:t>E.g.</w:t>
      </w:r>
      <w:r w:rsidRPr="006C6AE4">
        <w:rPr>
          <w:rFonts w:cs="Times New Roman"/>
        </w:rPr>
        <w:t>,</w:t>
      </w:r>
      <w:r w:rsidRPr="006C6AE4">
        <w:rPr>
          <w:rFonts w:cs="Times New Roman"/>
          <w:i/>
        </w:rPr>
        <w:t xml:space="preserve"> </w:t>
      </w:r>
      <w:r w:rsidRPr="006C6AE4">
        <w:rPr>
          <w:rFonts w:cs="Times New Roman"/>
          <w:smallCaps/>
        </w:rPr>
        <w:t>Leonard Saul Goodman, The Process of Ratemaking,</w:t>
      </w:r>
      <w:r w:rsidRPr="006C6AE4">
        <w:rPr>
          <w:rFonts w:cs="Times New Roman"/>
        </w:rPr>
        <w:t xml:space="preserve"> Vol. I pp. 37-388 and 420-422 (1988); </w:t>
      </w:r>
      <w:r w:rsidRPr="006C6AE4">
        <w:rPr>
          <w:rFonts w:cs="Times New Roman"/>
          <w:smallCaps/>
        </w:rPr>
        <w:t>Charles F. Phillips, Jr., The Regulation of Public Utilities</w:t>
      </w:r>
      <w:r w:rsidRPr="006C6AE4">
        <w:rPr>
          <w:rFonts w:cs="Times New Roman"/>
        </w:rPr>
        <w:t xml:space="preserve"> 227, 434-436 (1993).</w:t>
      </w:r>
    </w:p>
  </w:footnote>
  <w:footnote w:id="81">
    <w:p w14:paraId="4A72A07B" w14:textId="77777777" w:rsidR="00FA1B20" w:rsidRPr="006C6AE4" w:rsidRDefault="00FA1B20" w:rsidP="00FD57F1">
      <w:pPr>
        <w:pStyle w:val="FootnoteText"/>
        <w:rPr>
          <w:rFonts w:cs="Times New Roman"/>
        </w:rPr>
      </w:pPr>
      <w:r w:rsidRPr="006C6AE4">
        <w:rPr>
          <w:rStyle w:val="FootnoteReference"/>
          <w:rFonts w:cs="Times New Roman"/>
        </w:rPr>
        <w:footnoteRef/>
      </w:r>
      <w:r w:rsidRPr="006C6AE4">
        <w:rPr>
          <w:rFonts w:cs="Times New Roman"/>
        </w:rPr>
        <w:t xml:space="preserve"> </w:t>
      </w:r>
      <w:r w:rsidRPr="006C6AE4">
        <w:rPr>
          <w:rFonts w:cs="Times New Roman"/>
          <w:i/>
        </w:rPr>
        <w:t xml:space="preserve">See </w:t>
      </w:r>
      <w:r w:rsidRPr="006C6AE4">
        <w:rPr>
          <w:rFonts w:cs="Times New Roman"/>
          <w:smallCaps/>
        </w:rPr>
        <w:t>Goodman</w:t>
      </w:r>
      <w:r w:rsidRPr="006C6AE4">
        <w:rPr>
          <w:rFonts w:cs="Times New Roman"/>
        </w:rPr>
        <w:t xml:space="preserve"> at 374.</w:t>
      </w:r>
    </w:p>
  </w:footnote>
  <w:footnote w:id="82">
    <w:p w14:paraId="4A72A07C" w14:textId="77777777" w:rsidR="00FA1B20" w:rsidRPr="006C6AE4" w:rsidRDefault="00FA1B20" w:rsidP="00FD57F1">
      <w:pPr>
        <w:pStyle w:val="FootnoteText"/>
        <w:rPr>
          <w:rFonts w:cs="Times New Roman"/>
        </w:rPr>
      </w:pPr>
      <w:r w:rsidRPr="006C6AE4">
        <w:rPr>
          <w:rStyle w:val="FootnoteReference"/>
          <w:rFonts w:cs="Times New Roman"/>
        </w:rPr>
        <w:footnoteRef/>
      </w:r>
      <w:r w:rsidRPr="006C6AE4">
        <w:rPr>
          <w:rFonts w:cs="Times New Roman"/>
        </w:rPr>
        <w:t xml:space="preserve"> </w:t>
      </w:r>
      <w:r w:rsidRPr="006C6AE4">
        <w:rPr>
          <w:rFonts w:cs="Times New Roman"/>
          <w:i/>
        </w:rPr>
        <w:t>See e.g. WUTC v. American Water Resources, Inc.</w:t>
      </w:r>
      <w:r w:rsidRPr="006C6AE4">
        <w:rPr>
          <w:rFonts w:cs="Times New Roman"/>
        </w:rPr>
        <w:t xml:space="preserve">, Dockets UW-980072, UW-980258, UW-980265 (consolidated), Sixth Supplemental Order (Jan. 21, 1999); </w:t>
      </w:r>
      <w:r w:rsidRPr="006C6AE4">
        <w:rPr>
          <w:rFonts w:cs="Times New Roman"/>
          <w:i/>
        </w:rPr>
        <w:t>In the Matter of the Petition of Puget Sound Energy, Inc., and Northwest Energy Coalition for an Order Authorizing PSE to Implement Electric and Natural Gas Decoupling Mechanisms and to Record Accounting Entries Associated with the Mechanisms</w:t>
      </w:r>
      <w:r w:rsidRPr="006C6AE4">
        <w:rPr>
          <w:rFonts w:cs="Times New Roman"/>
        </w:rPr>
        <w:t xml:space="preserve">, Dockets UE-121697 and UG-121705, Order 09 at p. 16 (December 12, 2013); </w:t>
      </w:r>
      <w:r w:rsidRPr="006C6AE4">
        <w:rPr>
          <w:rFonts w:cs="Times New Roman"/>
          <w:i/>
        </w:rPr>
        <w:t>King County Department of Public Works, Solid Waste Division v. Seattle Disposal Company, Rabanco Ltd., d/b/a Eastside Disposal and Container Hauling</w:t>
      </w:r>
      <w:r w:rsidRPr="006C6AE4">
        <w:rPr>
          <w:rFonts w:cs="Times New Roman"/>
        </w:rPr>
        <w:t xml:space="preserve">, Docket TG-940411, Third Supplemental Order (Final) at pp. 14-20, (Sept. 14, 1994). </w:t>
      </w:r>
    </w:p>
  </w:footnote>
  <w:footnote w:id="83">
    <w:p w14:paraId="4A72A07D" w14:textId="599F8463"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Testimony of Melissa Cheesman, Exhibit No. __ (MC-1T), p. 19</w:t>
      </w:r>
      <w:r>
        <w:rPr>
          <w:rFonts w:cs="Times New Roman"/>
        </w:rPr>
        <w:t>,</w:t>
      </w:r>
      <w:r w:rsidRPr="006C6AE4">
        <w:rPr>
          <w:rFonts w:cs="Times New Roman"/>
        </w:rPr>
        <w:t xml:space="preserve"> lines 1-6 (July 18, 2014). </w:t>
      </w:r>
    </w:p>
  </w:footnote>
  <w:footnote w:id="84">
    <w:p w14:paraId="4A72A07E" w14:textId="3850254D" w:rsidR="00FA1B20" w:rsidRPr="002A3462" w:rsidRDefault="00FA1B20">
      <w:pPr>
        <w:pStyle w:val="FootnoteText"/>
        <w:rPr>
          <w:rFonts w:cs="Times New Roman"/>
        </w:rPr>
      </w:pPr>
      <w:r w:rsidRPr="006C6AE4">
        <w:rPr>
          <w:rStyle w:val="FootnoteReference"/>
          <w:rFonts w:cs="Times New Roman"/>
        </w:rPr>
        <w:footnoteRef/>
      </w:r>
      <w:r w:rsidRPr="006C6AE4">
        <w:rPr>
          <w:rFonts w:cs="Times New Roman"/>
        </w:rPr>
        <w:t xml:space="preserve"> </w:t>
      </w:r>
      <w:r w:rsidRPr="002A3462">
        <w:rPr>
          <w:rFonts w:cs="Times New Roman"/>
          <w:i/>
        </w:rPr>
        <w:t>See supra</w:t>
      </w:r>
      <w:r w:rsidRPr="002A3462">
        <w:rPr>
          <w:rFonts w:cs="Times New Roman"/>
        </w:rPr>
        <w:t xml:space="preserve"> Section II. Shared Utilities Expense, Adjustment R-6D, pp. 4-11. </w:t>
      </w:r>
    </w:p>
  </w:footnote>
  <w:footnote w:id="85">
    <w:p w14:paraId="4A72A07F" w14:textId="7D0117FE" w:rsidR="00FA1B20" w:rsidRPr="006C6AE4" w:rsidRDefault="00FA1B20">
      <w:pPr>
        <w:pStyle w:val="FootnoteText"/>
        <w:rPr>
          <w:rFonts w:cs="Times New Roman"/>
        </w:rPr>
      </w:pPr>
      <w:r w:rsidRPr="002A3462">
        <w:rPr>
          <w:rStyle w:val="FootnoteReference"/>
          <w:rFonts w:cs="Times New Roman"/>
        </w:rPr>
        <w:footnoteRef/>
      </w:r>
      <w:r w:rsidRPr="002A3462">
        <w:rPr>
          <w:rFonts w:cs="Times New Roman"/>
        </w:rPr>
        <w:t xml:space="preserve"> </w:t>
      </w:r>
      <w:r w:rsidRPr="002A3462">
        <w:rPr>
          <w:rFonts w:cs="Times New Roman"/>
          <w:i/>
        </w:rPr>
        <w:t xml:space="preserve">See supra </w:t>
      </w:r>
      <w:r w:rsidRPr="002A3462">
        <w:rPr>
          <w:rFonts w:cs="Times New Roman"/>
        </w:rPr>
        <w:t>Section II. Shared Utilities Expens</w:t>
      </w:r>
      <w:r>
        <w:rPr>
          <w:rFonts w:cs="Times New Roman"/>
        </w:rPr>
        <w:t>e</w:t>
      </w:r>
      <w:r w:rsidRPr="002A3462">
        <w:rPr>
          <w:rFonts w:cs="Times New Roman"/>
        </w:rPr>
        <w:t xml:space="preserve">, Adjustment R-6D, subsection B.3. Staff’s recommendation consistent with accepted allocators in other regulated industries, p. 7.  </w:t>
      </w:r>
    </w:p>
  </w:footnote>
  <w:footnote w:id="86">
    <w:p w14:paraId="4A72A080" w14:textId="77777777"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Rebuttal Testimony of Jacqueline Davis, Exhibit No. __ (JD-41T), p. 17, line 3.</w:t>
      </w:r>
    </w:p>
  </w:footnote>
  <w:footnote w:id="87">
    <w:p w14:paraId="4A72A081" w14:textId="77777777"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i/>
        </w:rPr>
        <w:t xml:space="preserve"> Id.</w:t>
      </w:r>
      <w:r w:rsidRPr="006C6AE4">
        <w:rPr>
          <w:rFonts w:cs="Times New Roman"/>
        </w:rPr>
        <w:t xml:space="preserve"> at lines 2-4 and 7. </w:t>
      </w:r>
    </w:p>
  </w:footnote>
  <w:footnote w:id="88">
    <w:p w14:paraId="17B2A30A" w14:textId="34E80EC0"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June 2014 data was the most recent data available at the time Staff filed its testimony. Staff did not revisit the analysis because WCI will update this information at the conclusion of the proceeding.  </w:t>
      </w:r>
    </w:p>
  </w:footnote>
  <w:footnote w:id="89">
    <w:p w14:paraId="4A72A082" w14:textId="161CC1E1"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Testimony of Melissa Cheesman, Exhibit No. __ (MC-1T), p. 47</w:t>
      </w:r>
      <w:r>
        <w:rPr>
          <w:rFonts w:cs="Times New Roman"/>
        </w:rPr>
        <w:t>,</w:t>
      </w:r>
      <w:r w:rsidRPr="006C6AE4">
        <w:rPr>
          <w:rFonts w:cs="Times New Roman"/>
        </w:rPr>
        <w:t xml:space="preserve"> lines 1-6 (July 18, 2014). </w:t>
      </w:r>
    </w:p>
  </w:footnote>
  <w:footnote w:id="90">
    <w:p w14:paraId="4A72A083" w14:textId="77777777"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Rebuttal Testimony of Jacqueline Davis, Exhibit No. __ (JD-41T), p. 45-47 (August 20, 2014). </w:t>
      </w:r>
    </w:p>
  </w:footnote>
  <w:footnote w:id="91">
    <w:p w14:paraId="4A72A084" w14:textId="28429160"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w:t>
      </w:r>
      <w:r w:rsidRPr="006C6AE4">
        <w:rPr>
          <w:rFonts w:cs="Times New Roman"/>
          <w:i/>
        </w:rPr>
        <w:t xml:space="preserve">Compare </w:t>
      </w:r>
      <w:r w:rsidRPr="006C6AE4">
        <w:rPr>
          <w:rFonts w:cs="Times New Roman"/>
        </w:rPr>
        <w:t>Testimony of Melissa Cheesman, Exhibit No. __ (MC-1T), p. 48</w:t>
      </w:r>
      <w:r>
        <w:rPr>
          <w:rFonts w:cs="Times New Roman"/>
        </w:rPr>
        <w:t>,</w:t>
      </w:r>
      <w:r w:rsidRPr="006C6AE4">
        <w:rPr>
          <w:rFonts w:cs="Times New Roman"/>
        </w:rPr>
        <w:t xml:space="preserve"> lines 2-3 </w:t>
      </w:r>
      <w:r w:rsidRPr="006C6AE4">
        <w:rPr>
          <w:rFonts w:cs="Times New Roman"/>
          <w:i/>
        </w:rPr>
        <w:t xml:space="preserve">with </w:t>
      </w:r>
      <w:r w:rsidRPr="006C6AE4">
        <w:rPr>
          <w:rFonts w:cs="Times New Roman"/>
        </w:rPr>
        <w:t>Rebuttal Testimony of Jacqueline Davis, Exhibit No. __ (JD-41T), p. 47</w:t>
      </w:r>
      <w:r>
        <w:rPr>
          <w:rFonts w:cs="Times New Roman"/>
        </w:rPr>
        <w:t>,</w:t>
      </w:r>
      <w:r w:rsidRPr="006C6AE4">
        <w:rPr>
          <w:rFonts w:cs="Times New Roman"/>
        </w:rPr>
        <w:t xml:space="preserve"> lines 21-22. </w:t>
      </w:r>
    </w:p>
  </w:footnote>
  <w:footnote w:id="92">
    <w:p w14:paraId="4A72A085" w14:textId="69B0D612" w:rsidR="00FA1B20" w:rsidRPr="006C6AE4" w:rsidRDefault="00FA1B20" w:rsidP="00A65904">
      <w:pPr>
        <w:pStyle w:val="FootnoteText"/>
        <w:rPr>
          <w:rFonts w:cs="Times New Roman"/>
        </w:rPr>
      </w:pPr>
      <w:r w:rsidRPr="006C6AE4">
        <w:rPr>
          <w:rStyle w:val="FootnoteReference"/>
          <w:rFonts w:cs="Times New Roman"/>
        </w:rPr>
        <w:footnoteRef/>
      </w:r>
      <w:r w:rsidRPr="006C6AE4">
        <w:rPr>
          <w:rFonts w:cs="Times New Roman"/>
        </w:rPr>
        <w:t xml:space="preserve"> Testimony of Melissa Cheesman, Exhibit No. __</w:t>
      </w:r>
      <w:r>
        <w:rPr>
          <w:rFonts w:cs="Times New Roman"/>
        </w:rPr>
        <w:t xml:space="preserve"> </w:t>
      </w:r>
      <w:r w:rsidRPr="006C6AE4">
        <w:rPr>
          <w:rFonts w:cs="Times New Roman"/>
        </w:rPr>
        <w:t xml:space="preserve">(MC-1T), pp. 2-4 (July 18, 2014). </w:t>
      </w:r>
    </w:p>
  </w:footnote>
  <w:footnote w:id="93">
    <w:p w14:paraId="4A72A086" w14:textId="77777777"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RCW 81.28.010.</w:t>
      </w:r>
    </w:p>
  </w:footnote>
  <w:footnote w:id="94">
    <w:p w14:paraId="4A72A088" w14:textId="77777777"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w:t>
      </w:r>
      <w:r w:rsidRPr="006C6AE4">
        <w:rPr>
          <w:rFonts w:cs="Times New Roman"/>
          <w:i/>
        </w:rPr>
        <w:t>E.g.</w:t>
      </w:r>
      <w:r w:rsidRPr="006C6AE4">
        <w:rPr>
          <w:rFonts w:cs="Times New Roman"/>
        </w:rPr>
        <w:t xml:space="preserve">, </w:t>
      </w:r>
      <w:r w:rsidRPr="006C6AE4">
        <w:rPr>
          <w:rFonts w:cs="Times New Roman"/>
          <w:i/>
        </w:rPr>
        <w:t>POWER v. Utilities &amp; Transp. Comm’n.</w:t>
      </w:r>
      <w:r w:rsidRPr="006C6AE4">
        <w:rPr>
          <w:rFonts w:cs="Times New Roman"/>
        </w:rPr>
        <w:t>, 711 P.2d 319, 326 (Wash. 1985) (emphasis added).</w:t>
      </w:r>
    </w:p>
  </w:footnote>
  <w:footnote w:id="95">
    <w:p w14:paraId="4A72A089" w14:textId="77777777" w:rsidR="00FA1B20" w:rsidRPr="006C6AE4" w:rsidRDefault="00FA1B20" w:rsidP="00DE384D">
      <w:pPr>
        <w:pStyle w:val="FootnoteText"/>
        <w:rPr>
          <w:rFonts w:cs="Times New Roman"/>
        </w:rPr>
      </w:pPr>
      <w:r w:rsidRPr="006C6AE4">
        <w:rPr>
          <w:rStyle w:val="FootnoteReference"/>
          <w:rFonts w:cs="Times New Roman"/>
        </w:rPr>
        <w:footnoteRef/>
      </w:r>
      <w:r w:rsidRPr="006C6AE4">
        <w:rPr>
          <w:rFonts w:cs="Times New Roman"/>
        </w:rPr>
        <w:t xml:space="preserve"> </w:t>
      </w:r>
      <w:r w:rsidRPr="006C6AE4">
        <w:rPr>
          <w:rFonts w:cs="Times New Roman"/>
          <w:i/>
        </w:rPr>
        <w:t xml:space="preserve">See </w:t>
      </w:r>
      <w:r w:rsidRPr="006C6AE4">
        <w:rPr>
          <w:rFonts w:cs="Times New Roman"/>
        </w:rPr>
        <w:t>Testimony of Melissa Cheesman, Exhibit No. __ (MC-1T), pp. 48-49 (July 18, 2014)</w:t>
      </w:r>
    </w:p>
  </w:footnote>
  <w:footnote w:id="96">
    <w:p w14:paraId="4A72A08C" w14:textId="77777777" w:rsidR="00FA1B20" w:rsidRPr="006C6AE4" w:rsidRDefault="00FA1B20" w:rsidP="00DE384D">
      <w:pPr>
        <w:pStyle w:val="FootnoteText"/>
        <w:rPr>
          <w:rFonts w:cs="Times New Roman"/>
        </w:rPr>
      </w:pPr>
      <w:r w:rsidRPr="006C6AE4">
        <w:rPr>
          <w:rStyle w:val="FootnoteReference"/>
          <w:rFonts w:cs="Times New Roman"/>
        </w:rPr>
        <w:footnoteRef/>
      </w:r>
      <w:r w:rsidRPr="006C6AE4">
        <w:rPr>
          <w:rFonts w:cs="Times New Roman"/>
        </w:rPr>
        <w:t xml:space="preserve"> Staff’s selection of December 24, 2014 through March 25, 2014, reflects the litigation schedule set by the Commission, not Staff.  </w:t>
      </w:r>
      <w:r w:rsidRPr="006C6AE4">
        <w:rPr>
          <w:rFonts w:cs="Times New Roman"/>
          <w:i/>
        </w:rPr>
        <w:t>WUTC v. Waste Control, Inc.</w:t>
      </w:r>
      <w:r w:rsidRPr="006C6AE4">
        <w:rPr>
          <w:rFonts w:cs="Times New Roman"/>
        </w:rPr>
        <w:t xml:space="preserve">, Docket TG-131794, Notice of Prehearing Conference (Dec. 24, 2013).  The Company began preparing its formal case, which was eventually dismissed, once the formal adjudicative process began on December 24, 2013.  Consequently, the Company’s arguments of arbitrariness in the date selections merit little or no consideration and should be rejected. </w:t>
      </w:r>
    </w:p>
  </w:footnote>
  <w:footnote w:id="97">
    <w:p w14:paraId="4A72A08D" w14:textId="1CCFEA77" w:rsidR="00FA1B20" w:rsidRPr="006C6AE4" w:rsidRDefault="00FA1B20" w:rsidP="00DE384D">
      <w:pPr>
        <w:pStyle w:val="FootnoteText"/>
        <w:rPr>
          <w:rFonts w:cs="Times New Roman"/>
        </w:rPr>
      </w:pPr>
      <w:r w:rsidRPr="006C6AE4">
        <w:rPr>
          <w:rStyle w:val="FootnoteReference"/>
          <w:rFonts w:cs="Times New Roman"/>
        </w:rPr>
        <w:footnoteRef/>
      </w:r>
      <w:r w:rsidRPr="006C6AE4">
        <w:rPr>
          <w:rFonts w:cs="Times New Roman"/>
        </w:rPr>
        <w:t xml:space="preserve"> </w:t>
      </w:r>
      <w:r w:rsidRPr="006C6AE4">
        <w:rPr>
          <w:rFonts w:cs="Times New Roman"/>
          <w:i/>
        </w:rPr>
        <w:t>WUTC v. Waste Control, Inc.</w:t>
      </w:r>
      <w:r w:rsidRPr="006C6AE4">
        <w:rPr>
          <w:rFonts w:cs="Times New Roman"/>
        </w:rPr>
        <w:t>, Docket TG-131794, Order 05, p. 7</w:t>
      </w:r>
      <w:r>
        <w:rPr>
          <w:rFonts w:cs="Times New Roman"/>
        </w:rPr>
        <w:t>.</w:t>
      </w:r>
      <w:r w:rsidRPr="006C6AE4">
        <w:rPr>
          <w:rFonts w:cs="Times New Roman"/>
        </w:rPr>
        <w:t xml:space="preserve"> ¶16 (March 25, 2014).</w:t>
      </w:r>
    </w:p>
  </w:footnote>
  <w:footnote w:id="98">
    <w:p w14:paraId="4A72A08E" w14:textId="4D20BE61"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w:t>
      </w:r>
      <w:r w:rsidRPr="006C6AE4">
        <w:rPr>
          <w:rFonts w:cs="Times New Roman"/>
          <w:i/>
        </w:rPr>
        <w:t xml:space="preserve">Id. </w:t>
      </w:r>
      <w:r w:rsidRPr="006C6AE4">
        <w:rPr>
          <w:rFonts w:cs="Times New Roman"/>
        </w:rPr>
        <w:t>at p. 7 ¶18 (“the Company, not the Commission or Staff, is responsible . . .</w:t>
      </w:r>
      <w:r>
        <w:rPr>
          <w:rFonts w:cs="Times New Roman"/>
        </w:rPr>
        <w:t xml:space="preserve"> . </w:t>
      </w:r>
      <w:r w:rsidRPr="006C6AE4">
        <w:rPr>
          <w:rFonts w:cs="Times New Roman"/>
        </w:rPr>
        <w:t xml:space="preserve"> The Company’s failure to file a direct case that provides full support for its rate request necessarily results in dismissal of that case and rejection of the tariff filing.”).</w:t>
      </w:r>
    </w:p>
  </w:footnote>
  <w:footnote w:id="99">
    <w:p w14:paraId="4A72A092" w14:textId="77777777"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Testimony of Melissa Cheesman, Exhibit No. __ (MC-1T), p. 48 (July 18, 2014). </w:t>
      </w:r>
    </w:p>
  </w:footnote>
  <w:footnote w:id="100">
    <w:p w14:paraId="4A72A094" w14:textId="7C345CDC"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Cheesman, Exhibit No. __ (MC-1T), p. 47</w:t>
      </w:r>
      <w:r>
        <w:rPr>
          <w:rFonts w:cs="Times New Roman"/>
        </w:rPr>
        <w:t>,</w:t>
      </w:r>
      <w:r w:rsidRPr="006C6AE4">
        <w:rPr>
          <w:rFonts w:cs="Times New Roman"/>
        </w:rPr>
        <w:t xml:space="preserve"> lines 2-4, p. 48</w:t>
      </w:r>
      <w:r>
        <w:rPr>
          <w:rFonts w:cs="Times New Roman"/>
        </w:rPr>
        <w:t>,</w:t>
      </w:r>
      <w:r w:rsidRPr="006C6AE4">
        <w:rPr>
          <w:rFonts w:cs="Times New Roman"/>
        </w:rPr>
        <w:t xml:space="preserve"> lines 13-19. </w:t>
      </w:r>
    </w:p>
  </w:footnote>
  <w:footnote w:id="101">
    <w:p w14:paraId="4A72A095" w14:textId="008DE80F" w:rsidR="00FA1B20" w:rsidRPr="006C6AE4" w:rsidRDefault="00FA1B20">
      <w:pPr>
        <w:pStyle w:val="FootnoteText"/>
        <w:rPr>
          <w:rFonts w:cs="Times New Roman"/>
        </w:rPr>
      </w:pPr>
      <w:r w:rsidRPr="002A3462">
        <w:rPr>
          <w:rStyle w:val="FootnoteReference"/>
          <w:rFonts w:cs="Times New Roman"/>
        </w:rPr>
        <w:footnoteRef/>
      </w:r>
      <w:r w:rsidRPr="002A3462">
        <w:rPr>
          <w:rFonts w:cs="Times New Roman"/>
        </w:rPr>
        <w:t xml:space="preserve"> As noted </w:t>
      </w:r>
      <w:r w:rsidRPr="002A3462">
        <w:rPr>
          <w:rFonts w:cs="Times New Roman"/>
          <w:i/>
        </w:rPr>
        <w:t>supra</w:t>
      </w:r>
      <w:r w:rsidRPr="002A3462">
        <w:rPr>
          <w:rFonts w:cs="Times New Roman"/>
        </w:rPr>
        <w:t xml:space="preserve"> Section IV. Rate Case Expenses, subsection A. Overview, p. 22, Staff has not reviewed rate case cost data beyond June 2014.</w:t>
      </w:r>
      <w:r w:rsidRPr="006C6AE4">
        <w:rPr>
          <w:rFonts w:cs="Times New Roman"/>
        </w:rPr>
        <w:t xml:space="preserve"> </w:t>
      </w:r>
    </w:p>
  </w:footnote>
  <w:footnote w:id="102">
    <w:p w14:paraId="4A72A097" w14:textId="39B0ABB0"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Cheesman, Exhibit No. __</w:t>
      </w:r>
      <w:r>
        <w:rPr>
          <w:rFonts w:cs="Times New Roman"/>
        </w:rPr>
        <w:t xml:space="preserve"> </w:t>
      </w:r>
      <w:r w:rsidRPr="006C6AE4">
        <w:rPr>
          <w:rFonts w:cs="Times New Roman"/>
        </w:rPr>
        <w:t xml:space="preserve">(MC-1T), p. 57, lines 1-5.  Staff’s testimony also acknowledges that its substitution of counsel limited communications between the Parties at the end of May and first week of June, 2014.  </w:t>
      </w:r>
      <w:r w:rsidRPr="006C6AE4">
        <w:rPr>
          <w:rFonts w:cs="Times New Roman"/>
          <w:i/>
        </w:rPr>
        <w:t xml:space="preserve">Id. </w:t>
      </w:r>
    </w:p>
  </w:footnote>
  <w:footnote w:id="103">
    <w:p w14:paraId="4A72A098" w14:textId="2DD5C29B"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w:t>
      </w:r>
      <w:r w:rsidRPr="006C6AE4">
        <w:rPr>
          <w:rFonts w:cs="Times New Roman"/>
          <w:i/>
        </w:rPr>
        <w:t>WUTC v. Waste Control, Inc.</w:t>
      </w:r>
      <w:r w:rsidRPr="006C6AE4">
        <w:rPr>
          <w:rFonts w:cs="Times New Roman"/>
        </w:rPr>
        <w:t xml:space="preserve">, Docket TG-140560, Order 05, pp. 8, ¶19 (July 2, 2014). </w:t>
      </w:r>
    </w:p>
  </w:footnote>
  <w:footnote w:id="104">
    <w:p w14:paraId="4A72A099" w14:textId="77777777"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w:t>
      </w:r>
      <w:r w:rsidRPr="006C6AE4">
        <w:rPr>
          <w:rFonts w:cs="Times New Roman"/>
          <w:i/>
        </w:rPr>
        <w:t>Id.</w:t>
      </w:r>
      <w:r w:rsidRPr="006C6AE4">
        <w:rPr>
          <w:rFonts w:cs="Times New Roman"/>
        </w:rPr>
        <w:t xml:space="preserve"> at p. 9, ¶20</w:t>
      </w:r>
    </w:p>
  </w:footnote>
  <w:footnote w:id="105">
    <w:p w14:paraId="4A72A09A" w14:textId="3FAE8FC4"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Testimony of Melissa Cheesman in Support of Proposed Partial Settlement Agreement, Docket TG-140560, p. 8</w:t>
      </w:r>
      <w:r>
        <w:rPr>
          <w:rFonts w:cs="Times New Roman"/>
        </w:rPr>
        <w:t>,</w:t>
      </w:r>
      <w:r w:rsidRPr="006C6AE4">
        <w:rPr>
          <w:rFonts w:cs="Times New Roman"/>
        </w:rPr>
        <w:t xml:space="preserve"> lines 7-15 (October 13, 2014). </w:t>
      </w:r>
    </w:p>
  </w:footnote>
  <w:footnote w:id="106">
    <w:p w14:paraId="4A72A09B" w14:textId="1FA5657A"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w:t>
      </w:r>
      <w:r w:rsidRPr="006C6AE4">
        <w:rPr>
          <w:rFonts w:cs="Times New Roman"/>
          <w:i/>
        </w:rPr>
        <w:t>See id.</w:t>
      </w:r>
      <w:r>
        <w:rPr>
          <w:rFonts w:cs="Times New Roman"/>
          <w:i/>
        </w:rPr>
        <w:t xml:space="preserve"> </w:t>
      </w:r>
      <w:r w:rsidRPr="006C6AE4">
        <w:rPr>
          <w:rFonts w:cs="Times New Roman"/>
        </w:rPr>
        <w:t>at</w:t>
      </w:r>
      <w:r w:rsidRPr="006C6AE4">
        <w:rPr>
          <w:rFonts w:cs="Times New Roman"/>
          <w:i/>
        </w:rPr>
        <w:t xml:space="preserve"> </w:t>
      </w:r>
      <w:r w:rsidRPr="006C6AE4">
        <w:rPr>
          <w:rFonts w:cs="Times New Roman"/>
        </w:rPr>
        <w:t xml:space="preserve">pp. 8-41 (describing new information the Company provided for each issue proposed for partial settlement). </w:t>
      </w:r>
      <w:r w:rsidRPr="006C6AE4">
        <w:rPr>
          <w:rFonts w:cs="Times New Roman"/>
          <w:i/>
        </w:rPr>
        <w:t xml:space="preserve">See also </w:t>
      </w:r>
      <w:r w:rsidRPr="006C6AE4">
        <w:rPr>
          <w:rFonts w:cs="Times New Roman"/>
        </w:rPr>
        <w:t>Rebuttal Testimony of Jacqueline Cheesman, Exhibit No. __ (JD-41T) (August 20, 2014).</w:t>
      </w:r>
    </w:p>
  </w:footnote>
  <w:footnote w:id="107">
    <w:p w14:paraId="4A72A09C" w14:textId="215D2E84"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Testimony of Melissa Cheesman in Support of Proposed Partial Settlement Agreement, Docket TG-140560, p. 8</w:t>
      </w:r>
      <w:r>
        <w:rPr>
          <w:rFonts w:cs="Times New Roman"/>
        </w:rPr>
        <w:t>,</w:t>
      </w:r>
      <w:r w:rsidRPr="006C6AE4">
        <w:rPr>
          <w:rFonts w:cs="Times New Roman"/>
        </w:rPr>
        <w:t xml:space="preserve"> lines 7-15 (October 13, 2014). </w:t>
      </w:r>
    </w:p>
  </w:footnote>
  <w:footnote w:id="108">
    <w:p w14:paraId="4A72A09D" w14:textId="5EE7660C"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Testimony of Melissa Cheesman, Exhibit No.__</w:t>
      </w:r>
      <w:r>
        <w:rPr>
          <w:rFonts w:cs="Times New Roman"/>
        </w:rPr>
        <w:t xml:space="preserve"> </w:t>
      </w:r>
      <w:r w:rsidRPr="006C6AE4">
        <w:rPr>
          <w:rFonts w:cs="Times New Roman"/>
        </w:rPr>
        <w:t>(MC-1T), p. 49</w:t>
      </w:r>
      <w:r>
        <w:rPr>
          <w:rFonts w:cs="Times New Roman"/>
        </w:rPr>
        <w:t>,</w:t>
      </w:r>
      <w:r w:rsidRPr="006C6AE4">
        <w:rPr>
          <w:rFonts w:cs="Times New Roman"/>
        </w:rPr>
        <w:t xml:space="preserve"> lines 3-11 (July 18, 2014).</w:t>
      </w:r>
    </w:p>
  </w:footnote>
  <w:footnote w:id="109">
    <w:p w14:paraId="4A72A09E" w14:textId="76E87D09"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Cheesman, Exhibit No. __ (MC-1T), p. 49</w:t>
      </w:r>
      <w:r>
        <w:rPr>
          <w:rFonts w:cs="Times New Roman"/>
        </w:rPr>
        <w:t>,</w:t>
      </w:r>
      <w:r w:rsidRPr="006C6AE4">
        <w:rPr>
          <w:rFonts w:cs="Times New Roman"/>
        </w:rPr>
        <w:t xml:space="preserve"> lines 7-11 (July 18, 2014). </w:t>
      </w:r>
    </w:p>
  </w:footnote>
  <w:footnote w:id="110">
    <w:p w14:paraId="4A72A09F" w14:textId="5011BEE0"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w:t>
      </w:r>
      <w:r w:rsidRPr="006C6AE4">
        <w:rPr>
          <w:rFonts w:cs="Times New Roman"/>
          <w:i/>
        </w:rPr>
        <w:t>WUTC v. Bremerton Kitsap Airporter, Inc.</w:t>
      </w:r>
      <w:r w:rsidRPr="006C6AE4">
        <w:rPr>
          <w:rFonts w:cs="Times New Roman"/>
        </w:rPr>
        <w:t>, Docket TC-001846, Fifth Supplemental Order, p. 11</w:t>
      </w:r>
      <w:r>
        <w:rPr>
          <w:rFonts w:cs="Times New Roman"/>
        </w:rPr>
        <w:t>,</w:t>
      </w:r>
      <w:r w:rsidRPr="006C6AE4">
        <w:rPr>
          <w:rFonts w:cs="Times New Roman"/>
        </w:rPr>
        <w:t xml:space="preserve"> ¶28 (August 2, 2002).</w:t>
      </w:r>
    </w:p>
  </w:footnote>
  <w:footnote w:id="111">
    <w:p w14:paraId="4A72A0A0" w14:textId="0C26F020" w:rsidR="00FA1B20" w:rsidRPr="006C6AE4" w:rsidRDefault="00FA1B20" w:rsidP="00343A2B">
      <w:pPr>
        <w:pStyle w:val="FootnoteText"/>
        <w:rPr>
          <w:rFonts w:cs="Times New Roman"/>
        </w:rPr>
      </w:pPr>
      <w:r w:rsidRPr="006C6AE4">
        <w:rPr>
          <w:rStyle w:val="FootnoteReference"/>
          <w:rFonts w:cs="Times New Roman"/>
        </w:rPr>
        <w:footnoteRef/>
      </w:r>
      <w:r w:rsidRPr="006C6AE4">
        <w:rPr>
          <w:rFonts w:cs="Times New Roman"/>
        </w:rPr>
        <w:t xml:space="preserve"> </w:t>
      </w:r>
      <w:r w:rsidRPr="006C6AE4">
        <w:rPr>
          <w:rFonts w:cs="Times New Roman"/>
          <w:i/>
        </w:rPr>
        <w:t>WUTC v. Bremerton Kitsap Airporter, Inc.</w:t>
      </w:r>
      <w:r w:rsidRPr="006C6AE4">
        <w:rPr>
          <w:rFonts w:cs="Times New Roman"/>
        </w:rPr>
        <w:t>, Docket TC-001846, Fifth Supplemental Order, p. 10</w:t>
      </w:r>
      <w:r>
        <w:rPr>
          <w:rFonts w:cs="Times New Roman"/>
        </w:rPr>
        <w:t>,</w:t>
      </w:r>
      <w:r w:rsidRPr="006C6AE4">
        <w:rPr>
          <w:rFonts w:cs="Times New Roman"/>
        </w:rPr>
        <w:t xml:space="preserve"> ¶27 (August 2, 2002).</w:t>
      </w:r>
    </w:p>
  </w:footnote>
  <w:footnote w:id="112">
    <w:p w14:paraId="4A72A0A2" w14:textId="4CD6B0F9"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Rebuttal Testimony of Jacqueline Davis, Exhibit No. __ (JD-41T), p. 47</w:t>
      </w:r>
      <w:r>
        <w:rPr>
          <w:rFonts w:cs="Times New Roman"/>
        </w:rPr>
        <w:t>,</w:t>
      </w:r>
      <w:r w:rsidRPr="006C6AE4">
        <w:rPr>
          <w:rFonts w:cs="Times New Roman"/>
        </w:rPr>
        <w:t xml:space="preserve"> lines 19-42. </w:t>
      </w:r>
    </w:p>
  </w:footnote>
  <w:footnote w:id="113">
    <w:p w14:paraId="4A72A0A3" w14:textId="77777777"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w:t>
      </w:r>
      <w:r w:rsidRPr="006C6AE4">
        <w:rPr>
          <w:rFonts w:cs="Times New Roman"/>
          <w:i/>
        </w:rPr>
        <w:t xml:space="preserve">See </w:t>
      </w:r>
      <w:r w:rsidRPr="006C6AE4">
        <w:rPr>
          <w:rFonts w:cs="Times New Roman"/>
        </w:rPr>
        <w:t xml:space="preserve">Testimony of Melissa Cheesman, Exhibit No. __ (MC-1T), pp. 47:20 through 48:3. </w:t>
      </w:r>
    </w:p>
  </w:footnote>
  <w:footnote w:id="114">
    <w:p w14:paraId="4A72A0A4" w14:textId="77777777"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Testimony of Melissa Cheesman, Exhibit No. __ (MC-1T), pp. 47:20 through 48:3.</w:t>
      </w:r>
    </w:p>
  </w:footnote>
  <w:footnote w:id="115">
    <w:p w14:paraId="4A72A0A5" w14:textId="77777777"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Testimony of Melissa Cheesman, Exhibit No. __ (MC-1T), pp. 47:20 through 48:3.</w:t>
      </w:r>
    </w:p>
  </w:footnote>
  <w:footnote w:id="116">
    <w:p w14:paraId="4A72A0A6" w14:textId="77777777"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Testimony of Melissa Cheesman, Exhibit No. __ (MC-1T), pp. 47:20 through 48:3.</w:t>
      </w:r>
    </w:p>
  </w:footnote>
  <w:footnote w:id="117">
    <w:p w14:paraId="4A72A0A7" w14:textId="77777777"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w:t>
      </w:r>
      <w:r w:rsidRPr="006C6AE4">
        <w:rPr>
          <w:rFonts w:cs="Times New Roman"/>
          <w:i/>
        </w:rPr>
        <w:t xml:space="preserve">See </w:t>
      </w:r>
      <w:r w:rsidRPr="006C6AE4">
        <w:rPr>
          <w:rFonts w:cs="Times New Roman"/>
        </w:rPr>
        <w:t xml:space="preserve">Testimony of Melissa Cheesman, Exhibit No. __ (MC-1T), pp. 46-49. </w:t>
      </w:r>
    </w:p>
  </w:footnote>
  <w:footnote w:id="118">
    <w:p w14:paraId="4A72A0A8" w14:textId="77777777" w:rsidR="00FA1B20" w:rsidRPr="006C6AE4" w:rsidRDefault="00FA1B20" w:rsidP="00D26F39">
      <w:pPr>
        <w:pStyle w:val="FootnoteText"/>
        <w:rPr>
          <w:rFonts w:cs="Times New Roman"/>
        </w:rPr>
      </w:pPr>
      <w:r w:rsidRPr="006C6AE4">
        <w:rPr>
          <w:rStyle w:val="FootnoteReference"/>
          <w:rFonts w:cs="Times New Roman"/>
        </w:rPr>
        <w:footnoteRef/>
      </w:r>
      <w:r w:rsidRPr="006C6AE4">
        <w:rPr>
          <w:rFonts w:cs="Times New Roman"/>
        </w:rPr>
        <w:t xml:space="preserve"> Rebuttal Testimony of Jacqueline Davis, Exhibit No. __ (JD-41T), p. 47, lines 19-22. </w:t>
      </w:r>
    </w:p>
  </w:footnote>
  <w:footnote w:id="119">
    <w:p w14:paraId="4A72A0A9" w14:textId="77777777"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w:t>
      </w:r>
      <w:r w:rsidRPr="006C6AE4">
        <w:rPr>
          <w:rFonts w:cs="Times New Roman"/>
          <w:i/>
        </w:rPr>
        <w:t>Id.</w:t>
      </w:r>
      <w:r w:rsidRPr="006C6AE4">
        <w:rPr>
          <w:rFonts w:cs="Times New Roman"/>
        </w:rPr>
        <w:t xml:space="preserve"> at lines 21-23. </w:t>
      </w:r>
    </w:p>
  </w:footnote>
  <w:footnote w:id="120">
    <w:p w14:paraId="4A72A0AA" w14:textId="77777777"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w:t>
      </w:r>
      <w:r w:rsidRPr="006C6AE4">
        <w:rPr>
          <w:rFonts w:cs="Times New Roman"/>
          <w:i/>
        </w:rPr>
        <w:t>WUTC v. Waste Control, Inc.</w:t>
      </w:r>
      <w:r w:rsidRPr="006C6AE4">
        <w:rPr>
          <w:rFonts w:cs="Times New Roman"/>
        </w:rPr>
        <w:t xml:space="preserve">, Docket TG-131794, Order 05, (March 25, 2014). </w:t>
      </w:r>
    </w:p>
  </w:footnote>
  <w:footnote w:id="121">
    <w:p w14:paraId="4A72A0AB" w14:textId="2732B7E3"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w:t>
      </w:r>
      <w:r w:rsidRPr="006C6AE4">
        <w:rPr>
          <w:rFonts w:cs="Times New Roman"/>
          <w:i/>
        </w:rPr>
        <w:t>WUTC v. Bremerton-Kitsap Airporter, Inc.</w:t>
      </w:r>
      <w:r w:rsidRPr="006C6AE4">
        <w:rPr>
          <w:rFonts w:cs="Times New Roman"/>
        </w:rPr>
        <w:t>, Docket TC-001846, Third Supplemental Order (Initial Order), p. 21</w:t>
      </w:r>
      <w:r>
        <w:rPr>
          <w:rFonts w:cs="Times New Roman"/>
        </w:rPr>
        <w:t>,</w:t>
      </w:r>
      <w:r w:rsidRPr="006C6AE4">
        <w:rPr>
          <w:rFonts w:cs="Times New Roman"/>
        </w:rPr>
        <w:t xml:space="preserve"> ¶69 (April 15, 2014).  </w:t>
      </w:r>
    </w:p>
  </w:footnote>
  <w:footnote w:id="122">
    <w:p w14:paraId="4A72A0AC" w14:textId="77777777"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Testimony of Melissa Cheesman, Exhibit No. __ (MC-1T), pp. 55-56. </w:t>
      </w:r>
    </w:p>
  </w:footnote>
  <w:footnote w:id="123">
    <w:p w14:paraId="4A72A0AD" w14:textId="77777777"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w:t>
      </w:r>
      <w:r w:rsidRPr="006C6AE4">
        <w:rPr>
          <w:rFonts w:cs="Times New Roman"/>
          <w:i/>
        </w:rPr>
        <w:t xml:space="preserve">Id. </w:t>
      </w:r>
      <w:r w:rsidRPr="006C6AE4">
        <w:rPr>
          <w:rFonts w:cs="Times New Roman"/>
        </w:rPr>
        <w:t xml:space="preserve">at p. 55, line 14. </w:t>
      </w:r>
    </w:p>
  </w:footnote>
  <w:footnote w:id="124">
    <w:p w14:paraId="4A72A0AE" w14:textId="77777777"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Rebuttal Testimony of Jacqueline Davis, Exhibit No. __ (JD-41T), p. 49, lines 8-11. </w:t>
      </w:r>
    </w:p>
  </w:footnote>
  <w:footnote w:id="125">
    <w:p w14:paraId="4A72A0AF" w14:textId="77777777" w:rsidR="00FA1B20" w:rsidRPr="006C6AE4" w:rsidRDefault="00FA1B20">
      <w:pPr>
        <w:pStyle w:val="FootnoteText"/>
        <w:rPr>
          <w:rFonts w:cs="Times New Roman"/>
        </w:rPr>
      </w:pPr>
      <w:r w:rsidRPr="006C6AE4">
        <w:rPr>
          <w:rStyle w:val="FootnoteReference"/>
          <w:rFonts w:cs="Times New Roman"/>
        </w:rPr>
        <w:footnoteRef/>
      </w:r>
      <w:r w:rsidRPr="006C6AE4">
        <w:rPr>
          <w:rFonts w:cs="Times New Roman"/>
        </w:rPr>
        <w:t xml:space="preserve"> Rebuttal Testimony of Jacqueline Davis, Exhibit No. __ (JD-41T), p. 46, lines 5-6.</w:t>
      </w:r>
    </w:p>
  </w:footnote>
  <w:footnote w:id="126">
    <w:p w14:paraId="4A72A0B0" w14:textId="7AC10D49" w:rsidR="00FA1B20" w:rsidRDefault="00FA1B20">
      <w:pPr>
        <w:pStyle w:val="FootnoteText"/>
      </w:pPr>
      <w:r w:rsidRPr="006C6AE4">
        <w:rPr>
          <w:rStyle w:val="FootnoteReference"/>
          <w:rFonts w:cs="Times New Roman"/>
        </w:rPr>
        <w:footnoteRef/>
      </w:r>
      <w:r w:rsidRPr="006C6AE4">
        <w:rPr>
          <w:rFonts w:cs="Times New Roman"/>
        </w:rPr>
        <w:t xml:space="preserve"> The arguments for preventing WCI from recouping investigation fees in rates are the same as those to limit ratepayer obligations for rate case costs and need not be repeated verbatim</w:t>
      </w:r>
      <w:r w:rsidRPr="002A3462">
        <w:rPr>
          <w:rFonts w:cs="Times New Roman"/>
        </w:rPr>
        <w:t xml:space="preserve">.  </w:t>
      </w:r>
      <w:r w:rsidRPr="002A3462">
        <w:rPr>
          <w:rFonts w:cs="Times New Roman"/>
          <w:i/>
        </w:rPr>
        <w:t>See supra</w:t>
      </w:r>
      <w:r w:rsidRPr="002A3462">
        <w:rPr>
          <w:rFonts w:cs="Times New Roman"/>
        </w:rPr>
        <w:t xml:space="preserve"> Section IV. Rate Case Expenses, pp. 22-28</w:t>
      </w:r>
      <w:r w:rsidRPr="006C6AE4">
        <w:rPr>
          <w:rFonts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86424"/>
    <w:multiLevelType w:val="hybridMultilevel"/>
    <w:tmpl w:val="FA729568"/>
    <w:lvl w:ilvl="0" w:tplc="57B05F4A">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4F1E6E"/>
    <w:multiLevelType w:val="hybridMultilevel"/>
    <w:tmpl w:val="417CA74A"/>
    <w:lvl w:ilvl="0" w:tplc="57B05F4A">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86A02E6"/>
    <w:multiLevelType w:val="hybridMultilevel"/>
    <w:tmpl w:val="8B7A4D1A"/>
    <w:lvl w:ilvl="0" w:tplc="0060B48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CCB7A18"/>
    <w:multiLevelType w:val="hybridMultilevel"/>
    <w:tmpl w:val="90E4DD26"/>
    <w:lvl w:ilvl="0" w:tplc="76A4EBA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7121A9"/>
    <w:multiLevelType w:val="hybridMultilevel"/>
    <w:tmpl w:val="270EC48C"/>
    <w:lvl w:ilvl="0" w:tplc="57B05F4A">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0FF440F"/>
    <w:multiLevelType w:val="hybridMultilevel"/>
    <w:tmpl w:val="5B206C94"/>
    <w:lvl w:ilvl="0" w:tplc="F372E494">
      <w:start w:val="1"/>
      <w:numFmt w:val="decimal"/>
      <w:lvlText w:val="%1"/>
      <w:lvlJc w:val="left"/>
      <w:pPr>
        <w:ind w:left="720" w:hanging="36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E83B18"/>
    <w:multiLevelType w:val="hybridMultilevel"/>
    <w:tmpl w:val="9D5C6B7E"/>
    <w:lvl w:ilvl="0" w:tplc="F372E494">
      <w:start w:val="1"/>
      <w:numFmt w:val="decimal"/>
      <w:lvlText w:val="%1"/>
      <w:lvlJc w:val="left"/>
      <w:pPr>
        <w:ind w:left="1440" w:hanging="36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B28089C"/>
    <w:multiLevelType w:val="hybridMultilevel"/>
    <w:tmpl w:val="B0EE3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EF4803"/>
    <w:multiLevelType w:val="hybridMultilevel"/>
    <w:tmpl w:val="A9C2FD3E"/>
    <w:lvl w:ilvl="0" w:tplc="ECE6BB0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145D70"/>
    <w:multiLevelType w:val="hybridMultilevel"/>
    <w:tmpl w:val="8CB450EE"/>
    <w:lvl w:ilvl="0" w:tplc="0D6E9B3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21167B9E"/>
    <w:multiLevelType w:val="hybridMultilevel"/>
    <w:tmpl w:val="CE204E46"/>
    <w:lvl w:ilvl="0" w:tplc="F372E494">
      <w:start w:val="1"/>
      <w:numFmt w:val="decimal"/>
      <w:lvlText w:val="%1"/>
      <w:lvlJc w:val="left"/>
      <w:pPr>
        <w:ind w:left="108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5D4340"/>
    <w:multiLevelType w:val="hybridMultilevel"/>
    <w:tmpl w:val="ADF651DA"/>
    <w:lvl w:ilvl="0" w:tplc="9164527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3614930"/>
    <w:multiLevelType w:val="hybridMultilevel"/>
    <w:tmpl w:val="9A64903A"/>
    <w:lvl w:ilvl="0" w:tplc="E4CCE2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50F2CBA"/>
    <w:multiLevelType w:val="hybridMultilevel"/>
    <w:tmpl w:val="3014F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7F4AB3"/>
    <w:multiLevelType w:val="hybridMultilevel"/>
    <w:tmpl w:val="19449ECA"/>
    <w:lvl w:ilvl="0" w:tplc="EC16C0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A841A3A"/>
    <w:multiLevelType w:val="hybridMultilevel"/>
    <w:tmpl w:val="03E4BD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043A41"/>
    <w:multiLevelType w:val="hybridMultilevel"/>
    <w:tmpl w:val="9A3ED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390666"/>
    <w:multiLevelType w:val="hybridMultilevel"/>
    <w:tmpl w:val="F5240288"/>
    <w:lvl w:ilvl="0" w:tplc="2CAE7C7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DC65BFD"/>
    <w:multiLevelType w:val="hybridMultilevel"/>
    <w:tmpl w:val="9502D646"/>
    <w:lvl w:ilvl="0" w:tplc="FC167F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FB35DB7"/>
    <w:multiLevelType w:val="hybridMultilevel"/>
    <w:tmpl w:val="E6362338"/>
    <w:lvl w:ilvl="0" w:tplc="F372E494">
      <w:start w:val="1"/>
      <w:numFmt w:val="decimal"/>
      <w:lvlText w:val="%1"/>
      <w:lvlJc w:val="left"/>
      <w:pPr>
        <w:ind w:left="1440" w:hanging="36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0D7104B"/>
    <w:multiLevelType w:val="hybridMultilevel"/>
    <w:tmpl w:val="9C2835B8"/>
    <w:lvl w:ilvl="0" w:tplc="D756B8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3F5337E"/>
    <w:multiLevelType w:val="hybridMultilevel"/>
    <w:tmpl w:val="3AECE4B2"/>
    <w:lvl w:ilvl="0" w:tplc="57B05F4A">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7C31DC9"/>
    <w:multiLevelType w:val="hybridMultilevel"/>
    <w:tmpl w:val="A61AD936"/>
    <w:lvl w:ilvl="0" w:tplc="F372E494">
      <w:start w:val="1"/>
      <w:numFmt w:val="decimal"/>
      <w:lvlText w:val="%1"/>
      <w:lvlJc w:val="left"/>
      <w:pPr>
        <w:ind w:left="720" w:hanging="36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0F0662"/>
    <w:multiLevelType w:val="hybridMultilevel"/>
    <w:tmpl w:val="C4EACC08"/>
    <w:lvl w:ilvl="0" w:tplc="032027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B1864E4"/>
    <w:multiLevelType w:val="hybridMultilevel"/>
    <w:tmpl w:val="33F245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1D0A11"/>
    <w:multiLevelType w:val="hybridMultilevel"/>
    <w:tmpl w:val="25AC90F2"/>
    <w:lvl w:ilvl="0" w:tplc="F372E494">
      <w:start w:val="1"/>
      <w:numFmt w:val="decimal"/>
      <w:lvlText w:val="%1"/>
      <w:lvlJc w:val="left"/>
      <w:pPr>
        <w:ind w:left="1080" w:hanging="360"/>
      </w:pPr>
      <w:rPr>
        <w:rFonts w:ascii="Times New Roman" w:hAnsi="Times New Roman" w:hint="default"/>
        <w:b w:val="0"/>
        <w:i/>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10A7D9E"/>
    <w:multiLevelType w:val="hybridMultilevel"/>
    <w:tmpl w:val="23389FBE"/>
    <w:lvl w:ilvl="0" w:tplc="EB664A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42F1B8B"/>
    <w:multiLevelType w:val="hybridMultilevel"/>
    <w:tmpl w:val="8DEE6368"/>
    <w:lvl w:ilvl="0" w:tplc="E1FC35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65C17B00"/>
    <w:multiLevelType w:val="hybridMultilevel"/>
    <w:tmpl w:val="443864DA"/>
    <w:lvl w:ilvl="0" w:tplc="280CBC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66E35783"/>
    <w:multiLevelType w:val="hybridMultilevel"/>
    <w:tmpl w:val="2F24E88A"/>
    <w:lvl w:ilvl="0" w:tplc="93DA87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BB53CB1"/>
    <w:multiLevelType w:val="hybridMultilevel"/>
    <w:tmpl w:val="18D04CB0"/>
    <w:lvl w:ilvl="0" w:tplc="F2B82D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6C9F4E3E"/>
    <w:multiLevelType w:val="hybridMultilevel"/>
    <w:tmpl w:val="69707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D73722"/>
    <w:multiLevelType w:val="hybridMultilevel"/>
    <w:tmpl w:val="A746D00C"/>
    <w:lvl w:ilvl="0" w:tplc="073030F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0E95829"/>
    <w:multiLevelType w:val="hybridMultilevel"/>
    <w:tmpl w:val="04BE5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1D060A"/>
    <w:multiLevelType w:val="hybridMultilevel"/>
    <w:tmpl w:val="C3146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AC6F03"/>
    <w:multiLevelType w:val="hybridMultilevel"/>
    <w:tmpl w:val="4DB221B8"/>
    <w:lvl w:ilvl="0" w:tplc="D8EA0D72">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8CD2FD4"/>
    <w:multiLevelType w:val="hybridMultilevel"/>
    <w:tmpl w:val="4EAA3FF8"/>
    <w:lvl w:ilvl="0" w:tplc="F372E494">
      <w:start w:val="1"/>
      <w:numFmt w:val="decimal"/>
      <w:lvlText w:val="%1"/>
      <w:lvlJc w:val="left"/>
      <w:pPr>
        <w:ind w:left="720" w:hanging="36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564A56"/>
    <w:multiLevelType w:val="hybridMultilevel"/>
    <w:tmpl w:val="1728972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C7D1F80"/>
    <w:multiLevelType w:val="hybridMultilevel"/>
    <w:tmpl w:val="7A6E460C"/>
    <w:lvl w:ilvl="0" w:tplc="CBB800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3"/>
  </w:num>
  <w:num w:numId="2">
    <w:abstractNumId w:val="15"/>
  </w:num>
  <w:num w:numId="3">
    <w:abstractNumId w:val="34"/>
  </w:num>
  <w:num w:numId="4">
    <w:abstractNumId w:val="23"/>
  </w:num>
  <w:num w:numId="5">
    <w:abstractNumId w:val="10"/>
  </w:num>
  <w:num w:numId="6">
    <w:abstractNumId w:val="31"/>
  </w:num>
  <w:num w:numId="7">
    <w:abstractNumId w:val="25"/>
  </w:num>
  <w:num w:numId="8">
    <w:abstractNumId w:val="5"/>
  </w:num>
  <w:num w:numId="9">
    <w:abstractNumId w:val="26"/>
  </w:num>
  <w:num w:numId="10">
    <w:abstractNumId w:val="13"/>
  </w:num>
  <w:num w:numId="11">
    <w:abstractNumId w:val="29"/>
  </w:num>
  <w:num w:numId="12">
    <w:abstractNumId w:val="22"/>
  </w:num>
  <w:num w:numId="13">
    <w:abstractNumId w:val="7"/>
  </w:num>
  <w:num w:numId="14">
    <w:abstractNumId w:val="16"/>
  </w:num>
  <w:num w:numId="15">
    <w:abstractNumId w:val="24"/>
  </w:num>
  <w:num w:numId="16">
    <w:abstractNumId w:val="8"/>
  </w:num>
  <w:num w:numId="17">
    <w:abstractNumId w:val="3"/>
  </w:num>
  <w:num w:numId="18">
    <w:abstractNumId w:val="11"/>
  </w:num>
  <w:num w:numId="19">
    <w:abstractNumId w:val="9"/>
  </w:num>
  <w:num w:numId="20">
    <w:abstractNumId w:val="32"/>
  </w:num>
  <w:num w:numId="21">
    <w:abstractNumId w:val="28"/>
  </w:num>
  <w:num w:numId="22">
    <w:abstractNumId w:val="27"/>
  </w:num>
  <w:num w:numId="23">
    <w:abstractNumId w:val="35"/>
  </w:num>
  <w:num w:numId="24">
    <w:abstractNumId w:val="20"/>
  </w:num>
  <w:num w:numId="25">
    <w:abstractNumId w:val="14"/>
  </w:num>
  <w:num w:numId="26">
    <w:abstractNumId w:val="38"/>
  </w:num>
  <w:num w:numId="27">
    <w:abstractNumId w:val="12"/>
  </w:num>
  <w:num w:numId="28">
    <w:abstractNumId w:val="17"/>
  </w:num>
  <w:num w:numId="29">
    <w:abstractNumId w:val="18"/>
  </w:num>
  <w:num w:numId="30">
    <w:abstractNumId w:val="30"/>
  </w:num>
  <w:num w:numId="31">
    <w:abstractNumId w:val="2"/>
  </w:num>
  <w:num w:numId="32">
    <w:abstractNumId w:val="1"/>
  </w:num>
  <w:num w:numId="33">
    <w:abstractNumId w:val="4"/>
  </w:num>
  <w:num w:numId="34">
    <w:abstractNumId w:val="37"/>
  </w:num>
  <w:num w:numId="35">
    <w:abstractNumId w:val="36"/>
  </w:num>
  <w:num w:numId="36">
    <w:abstractNumId w:val="6"/>
  </w:num>
  <w:num w:numId="37">
    <w:abstractNumId w:val="21"/>
  </w:num>
  <w:num w:numId="38">
    <w:abstractNumId w:val="19"/>
  </w:num>
  <w:num w:numId="39">
    <w:abstractNumId w:val="0"/>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esman, Melissa (UTC)">
    <w15:presenceInfo w15:providerId="AD" w15:userId="S-1-5-21-1844237615-1844823847-839522115-40464"/>
  </w15:person>
  <w15:person w15:author="Eckhardt, Gene (UTC)">
    <w15:presenceInfo w15:providerId="AD" w15:userId="S-1-5-21-1844237615-1844823847-839522115-119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424"/>
    <w:rsid w:val="000013F4"/>
    <w:rsid w:val="000021B0"/>
    <w:rsid w:val="00002FC1"/>
    <w:rsid w:val="000057C1"/>
    <w:rsid w:val="000110AE"/>
    <w:rsid w:val="00015727"/>
    <w:rsid w:val="00020DF2"/>
    <w:rsid w:val="00025A1E"/>
    <w:rsid w:val="00026CE2"/>
    <w:rsid w:val="00026D99"/>
    <w:rsid w:val="0002760F"/>
    <w:rsid w:val="00027995"/>
    <w:rsid w:val="00033C76"/>
    <w:rsid w:val="00036DA9"/>
    <w:rsid w:val="00040DF7"/>
    <w:rsid w:val="00042875"/>
    <w:rsid w:val="00046AEA"/>
    <w:rsid w:val="000566B0"/>
    <w:rsid w:val="000608F0"/>
    <w:rsid w:val="000822EB"/>
    <w:rsid w:val="00084863"/>
    <w:rsid w:val="00091977"/>
    <w:rsid w:val="00092A30"/>
    <w:rsid w:val="000A0211"/>
    <w:rsid w:val="000B47DA"/>
    <w:rsid w:val="000C49C6"/>
    <w:rsid w:val="00100699"/>
    <w:rsid w:val="001117BB"/>
    <w:rsid w:val="00113F16"/>
    <w:rsid w:val="001151DD"/>
    <w:rsid w:val="0011542F"/>
    <w:rsid w:val="001219FA"/>
    <w:rsid w:val="00127EAC"/>
    <w:rsid w:val="0014316A"/>
    <w:rsid w:val="00147655"/>
    <w:rsid w:val="001546C4"/>
    <w:rsid w:val="001576F7"/>
    <w:rsid w:val="0016032B"/>
    <w:rsid w:val="00170D7F"/>
    <w:rsid w:val="001748D1"/>
    <w:rsid w:val="00182408"/>
    <w:rsid w:val="00183CBB"/>
    <w:rsid w:val="001A2D9B"/>
    <w:rsid w:val="001A43C3"/>
    <w:rsid w:val="001A6417"/>
    <w:rsid w:val="001B3B7D"/>
    <w:rsid w:val="001C2BD0"/>
    <w:rsid w:val="001D1980"/>
    <w:rsid w:val="001D589C"/>
    <w:rsid w:val="001E457A"/>
    <w:rsid w:val="001F2280"/>
    <w:rsid w:val="002029A1"/>
    <w:rsid w:val="00206173"/>
    <w:rsid w:val="00214BCD"/>
    <w:rsid w:val="002167F8"/>
    <w:rsid w:val="0022256A"/>
    <w:rsid w:val="00226BEA"/>
    <w:rsid w:val="0023042D"/>
    <w:rsid w:val="00236817"/>
    <w:rsid w:val="00251DC5"/>
    <w:rsid w:val="0025357D"/>
    <w:rsid w:val="002655FD"/>
    <w:rsid w:val="0026757B"/>
    <w:rsid w:val="00274B2A"/>
    <w:rsid w:val="00282F08"/>
    <w:rsid w:val="002A0E96"/>
    <w:rsid w:val="002A1183"/>
    <w:rsid w:val="002A3462"/>
    <w:rsid w:val="002A4EB6"/>
    <w:rsid w:val="002B197A"/>
    <w:rsid w:val="002B6B30"/>
    <w:rsid w:val="002C7835"/>
    <w:rsid w:val="002D07AC"/>
    <w:rsid w:val="002D1B2F"/>
    <w:rsid w:val="002D449B"/>
    <w:rsid w:val="002D770C"/>
    <w:rsid w:val="002E1016"/>
    <w:rsid w:val="002F2642"/>
    <w:rsid w:val="002F6AF4"/>
    <w:rsid w:val="0030531A"/>
    <w:rsid w:val="003111BE"/>
    <w:rsid w:val="003123D1"/>
    <w:rsid w:val="0031298C"/>
    <w:rsid w:val="00316DAA"/>
    <w:rsid w:val="003226E7"/>
    <w:rsid w:val="00326E02"/>
    <w:rsid w:val="00327927"/>
    <w:rsid w:val="00343A2B"/>
    <w:rsid w:val="00346B15"/>
    <w:rsid w:val="0035010F"/>
    <w:rsid w:val="00356196"/>
    <w:rsid w:val="00373535"/>
    <w:rsid w:val="0037568C"/>
    <w:rsid w:val="00382D6E"/>
    <w:rsid w:val="0038749F"/>
    <w:rsid w:val="00390345"/>
    <w:rsid w:val="00393562"/>
    <w:rsid w:val="00397252"/>
    <w:rsid w:val="003A486B"/>
    <w:rsid w:val="003A59E0"/>
    <w:rsid w:val="003C035C"/>
    <w:rsid w:val="003C3A3C"/>
    <w:rsid w:val="003C518D"/>
    <w:rsid w:val="003D30C0"/>
    <w:rsid w:val="003D4728"/>
    <w:rsid w:val="003D5BBA"/>
    <w:rsid w:val="003D7560"/>
    <w:rsid w:val="003E74A7"/>
    <w:rsid w:val="003F3912"/>
    <w:rsid w:val="003F3D04"/>
    <w:rsid w:val="003F6205"/>
    <w:rsid w:val="003F726D"/>
    <w:rsid w:val="00410EBB"/>
    <w:rsid w:val="00414A51"/>
    <w:rsid w:val="00415A88"/>
    <w:rsid w:val="004276E7"/>
    <w:rsid w:val="004318E5"/>
    <w:rsid w:val="00443D36"/>
    <w:rsid w:val="00454088"/>
    <w:rsid w:val="004772C6"/>
    <w:rsid w:val="00477FE6"/>
    <w:rsid w:val="00480905"/>
    <w:rsid w:val="00490EE0"/>
    <w:rsid w:val="0049226E"/>
    <w:rsid w:val="00496F9F"/>
    <w:rsid w:val="004A20E5"/>
    <w:rsid w:val="004C2777"/>
    <w:rsid w:val="004D0791"/>
    <w:rsid w:val="004E1962"/>
    <w:rsid w:val="004E19C4"/>
    <w:rsid w:val="004E5682"/>
    <w:rsid w:val="004E5F93"/>
    <w:rsid w:val="00500040"/>
    <w:rsid w:val="00500AC6"/>
    <w:rsid w:val="00504EA7"/>
    <w:rsid w:val="00510590"/>
    <w:rsid w:val="0051792F"/>
    <w:rsid w:val="00525642"/>
    <w:rsid w:val="0052666D"/>
    <w:rsid w:val="00533EEA"/>
    <w:rsid w:val="00551954"/>
    <w:rsid w:val="00554103"/>
    <w:rsid w:val="00555C41"/>
    <w:rsid w:val="00573985"/>
    <w:rsid w:val="00574D3A"/>
    <w:rsid w:val="00580818"/>
    <w:rsid w:val="005850C8"/>
    <w:rsid w:val="00586DE4"/>
    <w:rsid w:val="005974AC"/>
    <w:rsid w:val="005B4E38"/>
    <w:rsid w:val="005B53DD"/>
    <w:rsid w:val="005D06A8"/>
    <w:rsid w:val="005D12F1"/>
    <w:rsid w:val="005D3168"/>
    <w:rsid w:val="005E04FD"/>
    <w:rsid w:val="005E34DE"/>
    <w:rsid w:val="005F041E"/>
    <w:rsid w:val="005F16EF"/>
    <w:rsid w:val="005F2320"/>
    <w:rsid w:val="005F3D9D"/>
    <w:rsid w:val="005F780C"/>
    <w:rsid w:val="00612302"/>
    <w:rsid w:val="00624469"/>
    <w:rsid w:val="006316DF"/>
    <w:rsid w:val="00631FE2"/>
    <w:rsid w:val="00633394"/>
    <w:rsid w:val="0065397D"/>
    <w:rsid w:val="00660F80"/>
    <w:rsid w:val="006663EF"/>
    <w:rsid w:val="00667187"/>
    <w:rsid w:val="00674307"/>
    <w:rsid w:val="006751BF"/>
    <w:rsid w:val="00675710"/>
    <w:rsid w:val="0068668F"/>
    <w:rsid w:val="0069281D"/>
    <w:rsid w:val="006948B3"/>
    <w:rsid w:val="00695143"/>
    <w:rsid w:val="00695DEC"/>
    <w:rsid w:val="0069675A"/>
    <w:rsid w:val="006A32A5"/>
    <w:rsid w:val="006A7665"/>
    <w:rsid w:val="006A7914"/>
    <w:rsid w:val="006C1A7B"/>
    <w:rsid w:val="006C6AE4"/>
    <w:rsid w:val="006D4983"/>
    <w:rsid w:val="006D7603"/>
    <w:rsid w:val="006E5A1A"/>
    <w:rsid w:val="006E6381"/>
    <w:rsid w:val="006F4FC4"/>
    <w:rsid w:val="00700B92"/>
    <w:rsid w:val="007018C3"/>
    <w:rsid w:val="00705120"/>
    <w:rsid w:val="00707471"/>
    <w:rsid w:val="0071225A"/>
    <w:rsid w:val="00715812"/>
    <w:rsid w:val="00716A23"/>
    <w:rsid w:val="00723949"/>
    <w:rsid w:val="00725E00"/>
    <w:rsid w:val="0072618E"/>
    <w:rsid w:val="00732509"/>
    <w:rsid w:val="00735A6A"/>
    <w:rsid w:val="00755E37"/>
    <w:rsid w:val="007670ED"/>
    <w:rsid w:val="00775463"/>
    <w:rsid w:val="00775B36"/>
    <w:rsid w:val="00777B7C"/>
    <w:rsid w:val="007801EE"/>
    <w:rsid w:val="0078511E"/>
    <w:rsid w:val="00785BDA"/>
    <w:rsid w:val="0079418E"/>
    <w:rsid w:val="007A0FF8"/>
    <w:rsid w:val="007A3358"/>
    <w:rsid w:val="007A49DF"/>
    <w:rsid w:val="007B0DF4"/>
    <w:rsid w:val="007D0CE2"/>
    <w:rsid w:val="007D2F54"/>
    <w:rsid w:val="007D3248"/>
    <w:rsid w:val="007E7298"/>
    <w:rsid w:val="00807ADD"/>
    <w:rsid w:val="00811CB1"/>
    <w:rsid w:val="008170F1"/>
    <w:rsid w:val="00817F1B"/>
    <w:rsid w:val="00822533"/>
    <w:rsid w:val="00823FB8"/>
    <w:rsid w:val="00830B32"/>
    <w:rsid w:val="0084081A"/>
    <w:rsid w:val="00851F6B"/>
    <w:rsid w:val="008606FE"/>
    <w:rsid w:val="00881EBA"/>
    <w:rsid w:val="0088694B"/>
    <w:rsid w:val="008908D6"/>
    <w:rsid w:val="008922E4"/>
    <w:rsid w:val="008942F0"/>
    <w:rsid w:val="0089549E"/>
    <w:rsid w:val="008A6AFA"/>
    <w:rsid w:val="008B0B4A"/>
    <w:rsid w:val="008B4D1C"/>
    <w:rsid w:val="008B7EFC"/>
    <w:rsid w:val="008C3E8C"/>
    <w:rsid w:val="008D414F"/>
    <w:rsid w:val="008D64AC"/>
    <w:rsid w:val="008D650E"/>
    <w:rsid w:val="008D79A6"/>
    <w:rsid w:val="008E41BF"/>
    <w:rsid w:val="008F44AD"/>
    <w:rsid w:val="0090337D"/>
    <w:rsid w:val="0090397F"/>
    <w:rsid w:val="0091120D"/>
    <w:rsid w:val="009150F1"/>
    <w:rsid w:val="009163AE"/>
    <w:rsid w:val="009260D2"/>
    <w:rsid w:val="009325BA"/>
    <w:rsid w:val="00934C52"/>
    <w:rsid w:val="0093646B"/>
    <w:rsid w:val="00937939"/>
    <w:rsid w:val="00941044"/>
    <w:rsid w:val="00943F68"/>
    <w:rsid w:val="009464A8"/>
    <w:rsid w:val="0095475D"/>
    <w:rsid w:val="00960CF1"/>
    <w:rsid w:val="00961DF2"/>
    <w:rsid w:val="00967EE9"/>
    <w:rsid w:val="009913FB"/>
    <w:rsid w:val="009A10F5"/>
    <w:rsid w:val="009A1C4C"/>
    <w:rsid w:val="009A7FF0"/>
    <w:rsid w:val="009B4B1E"/>
    <w:rsid w:val="009B5A88"/>
    <w:rsid w:val="009C63C5"/>
    <w:rsid w:val="009C7305"/>
    <w:rsid w:val="009C7B16"/>
    <w:rsid w:val="009D5842"/>
    <w:rsid w:val="009D5DFE"/>
    <w:rsid w:val="009E7BA8"/>
    <w:rsid w:val="00A02011"/>
    <w:rsid w:val="00A11F3F"/>
    <w:rsid w:val="00A2446C"/>
    <w:rsid w:val="00A3461D"/>
    <w:rsid w:val="00A36507"/>
    <w:rsid w:val="00A36FA2"/>
    <w:rsid w:val="00A401EA"/>
    <w:rsid w:val="00A41447"/>
    <w:rsid w:val="00A41460"/>
    <w:rsid w:val="00A43F01"/>
    <w:rsid w:val="00A52948"/>
    <w:rsid w:val="00A52F6F"/>
    <w:rsid w:val="00A65006"/>
    <w:rsid w:val="00A65904"/>
    <w:rsid w:val="00A672DC"/>
    <w:rsid w:val="00A808BB"/>
    <w:rsid w:val="00A819DB"/>
    <w:rsid w:val="00A83364"/>
    <w:rsid w:val="00A926A5"/>
    <w:rsid w:val="00A949F0"/>
    <w:rsid w:val="00AA2B5B"/>
    <w:rsid w:val="00AA4561"/>
    <w:rsid w:val="00AB21F7"/>
    <w:rsid w:val="00AB7367"/>
    <w:rsid w:val="00AC7367"/>
    <w:rsid w:val="00AD2A27"/>
    <w:rsid w:val="00AD729A"/>
    <w:rsid w:val="00AE1F32"/>
    <w:rsid w:val="00AF1F53"/>
    <w:rsid w:val="00AF51C5"/>
    <w:rsid w:val="00B04330"/>
    <w:rsid w:val="00B05EF5"/>
    <w:rsid w:val="00B178EE"/>
    <w:rsid w:val="00B2573F"/>
    <w:rsid w:val="00B27357"/>
    <w:rsid w:val="00B42232"/>
    <w:rsid w:val="00B42748"/>
    <w:rsid w:val="00B47255"/>
    <w:rsid w:val="00B47D44"/>
    <w:rsid w:val="00B615D3"/>
    <w:rsid w:val="00B66454"/>
    <w:rsid w:val="00B76298"/>
    <w:rsid w:val="00B8482F"/>
    <w:rsid w:val="00B90C2F"/>
    <w:rsid w:val="00BB16C4"/>
    <w:rsid w:val="00BB1873"/>
    <w:rsid w:val="00BB6A2C"/>
    <w:rsid w:val="00BC4118"/>
    <w:rsid w:val="00BC5A6A"/>
    <w:rsid w:val="00BC763A"/>
    <w:rsid w:val="00BE28D4"/>
    <w:rsid w:val="00BF0646"/>
    <w:rsid w:val="00C03EF9"/>
    <w:rsid w:val="00C0714C"/>
    <w:rsid w:val="00C12F3F"/>
    <w:rsid w:val="00C27959"/>
    <w:rsid w:val="00C37D86"/>
    <w:rsid w:val="00C42D12"/>
    <w:rsid w:val="00C5696A"/>
    <w:rsid w:val="00C65710"/>
    <w:rsid w:val="00C7735B"/>
    <w:rsid w:val="00C841CB"/>
    <w:rsid w:val="00C8643C"/>
    <w:rsid w:val="00C93696"/>
    <w:rsid w:val="00CB01A5"/>
    <w:rsid w:val="00CB2732"/>
    <w:rsid w:val="00CB2EF6"/>
    <w:rsid w:val="00CB5A88"/>
    <w:rsid w:val="00CB7D60"/>
    <w:rsid w:val="00CC2A1C"/>
    <w:rsid w:val="00CD1D09"/>
    <w:rsid w:val="00CE00A6"/>
    <w:rsid w:val="00CE19DA"/>
    <w:rsid w:val="00CE23E7"/>
    <w:rsid w:val="00CE4D9F"/>
    <w:rsid w:val="00CE5C36"/>
    <w:rsid w:val="00CF08F0"/>
    <w:rsid w:val="00D03012"/>
    <w:rsid w:val="00D03137"/>
    <w:rsid w:val="00D062AF"/>
    <w:rsid w:val="00D11A5F"/>
    <w:rsid w:val="00D20A67"/>
    <w:rsid w:val="00D26F39"/>
    <w:rsid w:val="00D30161"/>
    <w:rsid w:val="00D37FA0"/>
    <w:rsid w:val="00D41B08"/>
    <w:rsid w:val="00D50136"/>
    <w:rsid w:val="00D57BB6"/>
    <w:rsid w:val="00D57F01"/>
    <w:rsid w:val="00D7076A"/>
    <w:rsid w:val="00D72BBF"/>
    <w:rsid w:val="00D75735"/>
    <w:rsid w:val="00D819E8"/>
    <w:rsid w:val="00D83088"/>
    <w:rsid w:val="00D84153"/>
    <w:rsid w:val="00D97E48"/>
    <w:rsid w:val="00DA6C7C"/>
    <w:rsid w:val="00DB2D6B"/>
    <w:rsid w:val="00DB389F"/>
    <w:rsid w:val="00DC2195"/>
    <w:rsid w:val="00DC5868"/>
    <w:rsid w:val="00DD47D0"/>
    <w:rsid w:val="00DD4C35"/>
    <w:rsid w:val="00DE2258"/>
    <w:rsid w:val="00DE316D"/>
    <w:rsid w:val="00DE384D"/>
    <w:rsid w:val="00DE703C"/>
    <w:rsid w:val="00DF0402"/>
    <w:rsid w:val="00DF1F8D"/>
    <w:rsid w:val="00DF6144"/>
    <w:rsid w:val="00DF74B5"/>
    <w:rsid w:val="00E0441A"/>
    <w:rsid w:val="00E10539"/>
    <w:rsid w:val="00E13C36"/>
    <w:rsid w:val="00E15BB2"/>
    <w:rsid w:val="00E20FD8"/>
    <w:rsid w:val="00E27153"/>
    <w:rsid w:val="00E27F6A"/>
    <w:rsid w:val="00E51318"/>
    <w:rsid w:val="00E64062"/>
    <w:rsid w:val="00E70111"/>
    <w:rsid w:val="00E85424"/>
    <w:rsid w:val="00E90242"/>
    <w:rsid w:val="00E9647F"/>
    <w:rsid w:val="00EA2B6D"/>
    <w:rsid w:val="00EA55A0"/>
    <w:rsid w:val="00EB3570"/>
    <w:rsid w:val="00EC103B"/>
    <w:rsid w:val="00EC3F1E"/>
    <w:rsid w:val="00EC6C75"/>
    <w:rsid w:val="00ED1747"/>
    <w:rsid w:val="00ED6556"/>
    <w:rsid w:val="00ED7BE3"/>
    <w:rsid w:val="00EE147A"/>
    <w:rsid w:val="00EE46CF"/>
    <w:rsid w:val="00EF0AF3"/>
    <w:rsid w:val="00EF0DF6"/>
    <w:rsid w:val="00F01A3B"/>
    <w:rsid w:val="00F02100"/>
    <w:rsid w:val="00F05395"/>
    <w:rsid w:val="00F06E34"/>
    <w:rsid w:val="00F22909"/>
    <w:rsid w:val="00F25105"/>
    <w:rsid w:val="00F3383A"/>
    <w:rsid w:val="00F3516C"/>
    <w:rsid w:val="00F45866"/>
    <w:rsid w:val="00F45A3F"/>
    <w:rsid w:val="00F65B7F"/>
    <w:rsid w:val="00F7445E"/>
    <w:rsid w:val="00F913C5"/>
    <w:rsid w:val="00F976C4"/>
    <w:rsid w:val="00FA1B20"/>
    <w:rsid w:val="00FC1046"/>
    <w:rsid w:val="00FC4FA3"/>
    <w:rsid w:val="00FD196A"/>
    <w:rsid w:val="00FD57F1"/>
    <w:rsid w:val="00FD70A1"/>
    <w:rsid w:val="00FF4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A729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82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60F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0F80"/>
    <w:rPr>
      <w:sz w:val="20"/>
      <w:szCs w:val="20"/>
    </w:rPr>
  </w:style>
  <w:style w:type="character" w:styleId="FootnoteReference">
    <w:name w:val="footnote reference"/>
    <w:basedOn w:val="DefaultParagraphFont"/>
    <w:uiPriority w:val="99"/>
    <w:semiHidden/>
    <w:unhideWhenUsed/>
    <w:rsid w:val="00660F80"/>
    <w:rPr>
      <w:vertAlign w:val="superscript"/>
    </w:rPr>
  </w:style>
  <w:style w:type="paragraph" w:styleId="ListParagraph">
    <w:name w:val="List Paragraph"/>
    <w:basedOn w:val="Normal"/>
    <w:uiPriority w:val="34"/>
    <w:qFormat/>
    <w:rsid w:val="00660F80"/>
    <w:pPr>
      <w:ind w:left="720"/>
      <w:contextualSpacing/>
    </w:pPr>
  </w:style>
  <w:style w:type="paragraph" w:styleId="BalloonText">
    <w:name w:val="Balloon Text"/>
    <w:basedOn w:val="Normal"/>
    <w:link w:val="BalloonTextChar"/>
    <w:uiPriority w:val="99"/>
    <w:semiHidden/>
    <w:unhideWhenUsed/>
    <w:rsid w:val="00D301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161"/>
    <w:rPr>
      <w:rFonts w:ascii="Tahoma" w:hAnsi="Tahoma" w:cs="Tahoma"/>
      <w:sz w:val="16"/>
      <w:szCs w:val="16"/>
    </w:rPr>
  </w:style>
  <w:style w:type="character" w:styleId="CommentReference">
    <w:name w:val="annotation reference"/>
    <w:basedOn w:val="DefaultParagraphFont"/>
    <w:uiPriority w:val="99"/>
    <w:semiHidden/>
    <w:unhideWhenUsed/>
    <w:rsid w:val="00DC5868"/>
    <w:rPr>
      <w:sz w:val="16"/>
      <w:szCs w:val="16"/>
    </w:rPr>
  </w:style>
  <w:style w:type="paragraph" w:styleId="CommentText">
    <w:name w:val="annotation text"/>
    <w:basedOn w:val="Normal"/>
    <w:link w:val="CommentTextChar"/>
    <w:uiPriority w:val="99"/>
    <w:semiHidden/>
    <w:unhideWhenUsed/>
    <w:rsid w:val="00DC5868"/>
    <w:pPr>
      <w:spacing w:line="240" w:lineRule="auto"/>
    </w:pPr>
    <w:rPr>
      <w:sz w:val="20"/>
      <w:szCs w:val="20"/>
    </w:rPr>
  </w:style>
  <w:style w:type="character" w:customStyle="1" w:styleId="CommentTextChar">
    <w:name w:val="Comment Text Char"/>
    <w:basedOn w:val="DefaultParagraphFont"/>
    <w:link w:val="CommentText"/>
    <w:uiPriority w:val="99"/>
    <w:semiHidden/>
    <w:rsid w:val="00DC5868"/>
    <w:rPr>
      <w:sz w:val="20"/>
      <w:szCs w:val="20"/>
    </w:rPr>
  </w:style>
  <w:style w:type="paragraph" w:styleId="CommentSubject">
    <w:name w:val="annotation subject"/>
    <w:basedOn w:val="CommentText"/>
    <w:next w:val="CommentText"/>
    <w:link w:val="CommentSubjectChar"/>
    <w:uiPriority w:val="99"/>
    <w:semiHidden/>
    <w:unhideWhenUsed/>
    <w:rsid w:val="00DC5868"/>
    <w:rPr>
      <w:b/>
      <w:bCs/>
    </w:rPr>
  </w:style>
  <w:style w:type="character" w:customStyle="1" w:styleId="CommentSubjectChar">
    <w:name w:val="Comment Subject Char"/>
    <w:basedOn w:val="CommentTextChar"/>
    <w:link w:val="CommentSubject"/>
    <w:uiPriority w:val="99"/>
    <w:semiHidden/>
    <w:rsid w:val="00DC5868"/>
    <w:rPr>
      <w:b/>
      <w:bCs/>
      <w:sz w:val="20"/>
      <w:szCs w:val="20"/>
    </w:rPr>
  </w:style>
  <w:style w:type="paragraph" w:styleId="Revision">
    <w:name w:val="Revision"/>
    <w:hidden/>
    <w:uiPriority w:val="99"/>
    <w:semiHidden/>
    <w:rsid w:val="0025357D"/>
    <w:pPr>
      <w:spacing w:after="0" w:line="240" w:lineRule="auto"/>
    </w:pPr>
  </w:style>
  <w:style w:type="paragraph" w:styleId="BodyTextIndent2">
    <w:name w:val="Body Text Indent 2"/>
    <w:basedOn w:val="Normal"/>
    <w:link w:val="BodyTextIndent2Char"/>
    <w:rsid w:val="00735A6A"/>
    <w:pPr>
      <w:spacing w:after="0" w:line="240" w:lineRule="auto"/>
      <w:ind w:left="686"/>
    </w:pPr>
    <w:rPr>
      <w:rFonts w:ascii="Palatino Linotype" w:eastAsia="Times New Roman" w:hAnsi="Palatino Linotype" w:cs="Times New Roman"/>
      <w:szCs w:val="24"/>
    </w:rPr>
  </w:style>
  <w:style w:type="character" w:customStyle="1" w:styleId="BodyTextIndent2Char">
    <w:name w:val="Body Text Indent 2 Char"/>
    <w:basedOn w:val="DefaultParagraphFont"/>
    <w:link w:val="BodyTextIndent2"/>
    <w:rsid w:val="00735A6A"/>
    <w:rPr>
      <w:rFonts w:ascii="Palatino Linotype" w:eastAsia="Times New Roman" w:hAnsi="Palatino Linotype" w:cs="Times New Roman"/>
      <w:sz w:val="24"/>
      <w:szCs w:val="24"/>
    </w:rPr>
  </w:style>
  <w:style w:type="paragraph" w:styleId="Header">
    <w:name w:val="header"/>
    <w:basedOn w:val="Normal"/>
    <w:link w:val="HeaderChar"/>
    <w:rsid w:val="00735A6A"/>
    <w:pPr>
      <w:tabs>
        <w:tab w:val="center" w:pos="4320"/>
        <w:tab w:val="right" w:pos="8640"/>
      </w:tabs>
      <w:spacing w:after="0" w:line="240" w:lineRule="auto"/>
    </w:pPr>
    <w:rPr>
      <w:rFonts w:ascii="Palatino Linotype" w:eastAsia="Times New Roman" w:hAnsi="Palatino Linotype" w:cs="Times New Roman"/>
      <w:szCs w:val="24"/>
    </w:rPr>
  </w:style>
  <w:style w:type="character" w:customStyle="1" w:styleId="HeaderChar">
    <w:name w:val="Header Char"/>
    <w:basedOn w:val="DefaultParagraphFont"/>
    <w:link w:val="Header"/>
    <w:rsid w:val="00735A6A"/>
    <w:rPr>
      <w:rFonts w:ascii="Palatino Linotype" w:eastAsia="Times New Roman" w:hAnsi="Palatino Linotype" w:cs="Times New Roman"/>
      <w:sz w:val="24"/>
      <w:szCs w:val="24"/>
    </w:rPr>
  </w:style>
  <w:style w:type="paragraph" w:styleId="Footer">
    <w:name w:val="footer"/>
    <w:basedOn w:val="Normal"/>
    <w:link w:val="FooterChar"/>
    <w:uiPriority w:val="99"/>
    <w:unhideWhenUsed/>
    <w:rsid w:val="00735A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A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82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60F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0F80"/>
    <w:rPr>
      <w:sz w:val="20"/>
      <w:szCs w:val="20"/>
    </w:rPr>
  </w:style>
  <w:style w:type="character" w:styleId="FootnoteReference">
    <w:name w:val="footnote reference"/>
    <w:basedOn w:val="DefaultParagraphFont"/>
    <w:uiPriority w:val="99"/>
    <w:semiHidden/>
    <w:unhideWhenUsed/>
    <w:rsid w:val="00660F80"/>
    <w:rPr>
      <w:vertAlign w:val="superscript"/>
    </w:rPr>
  </w:style>
  <w:style w:type="paragraph" w:styleId="ListParagraph">
    <w:name w:val="List Paragraph"/>
    <w:basedOn w:val="Normal"/>
    <w:uiPriority w:val="34"/>
    <w:qFormat/>
    <w:rsid w:val="00660F80"/>
    <w:pPr>
      <w:ind w:left="720"/>
      <w:contextualSpacing/>
    </w:pPr>
  </w:style>
  <w:style w:type="paragraph" w:styleId="BalloonText">
    <w:name w:val="Balloon Text"/>
    <w:basedOn w:val="Normal"/>
    <w:link w:val="BalloonTextChar"/>
    <w:uiPriority w:val="99"/>
    <w:semiHidden/>
    <w:unhideWhenUsed/>
    <w:rsid w:val="00D301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161"/>
    <w:rPr>
      <w:rFonts w:ascii="Tahoma" w:hAnsi="Tahoma" w:cs="Tahoma"/>
      <w:sz w:val="16"/>
      <w:szCs w:val="16"/>
    </w:rPr>
  </w:style>
  <w:style w:type="character" w:styleId="CommentReference">
    <w:name w:val="annotation reference"/>
    <w:basedOn w:val="DefaultParagraphFont"/>
    <w:uiPriority w:val="99"/>
    <w:semiHidden/>
    <w:unhideWhenUsed/>
    <w:rsid w:val="00DC5868"/>
    <w:rPr>
      <w:sz w:val="16"/>
      <w:szCs w:val="16"/>
    </w:rPr>
  </w:style>
  <w:style w:type="paragraph" w:styleId="CommentText">
    <w:name w:val="annotation text"/>
    <w:basedOn w:val="Normal"/>
    <w:link w:val="CommentTextChar"/>
    <w:uiPriority w:val="99"/>
    <w:semiHidden/>
    <w:unhideWhenUsed/>
    <w:rsid w:val="00DC5868"/>
    <w:pPr>
      <w:spacing w:line="240" w:lineRule="auto"/>
    </w:pPr>
    <w:rPr>
      <w:sz w:val="20"/>
      <w:szCs w:val="20"/>
    </w:rPr>
  </w:style>
  <w:style w:type="character" w:customStyle="1" w:styleId="CommentTextChar">
    <w:name w:val="Comment Text Char"/>
    <w:basedOn w:val="DefaultParagraphFont"/>
    <w:link w:val="CommentText"/>
    <w:uiPriority w:val="99"/>
    <w:semiHidden/>
    <w:rsid w:val="00DC5868"/>
    <w:rPr>
      <w:sz w:val="20"/>
      <w:szCs w:val="20"/>
    </w:rPr>
  </w:style>
  <w:style w:type="paragraph" w:styleId="CommentSubject">
    <w:name w:val="annotation subject"/>
    <w:basedOn w:val="CommentText"/>
    <w:next w:val="CommentText"/>
    <w:link w:val="CommentSubjectChar"/>
    <w:uiPriority w:val="99"/>
    <w:semiHidden/>
    <w:unhideWhenUsed/>
    <w:rsid w:val="00DC5868"/>
    <w:rPr>
      <w:b/>
      <w:bCs/>
    </w:rPr>
  </w:style>
  <w:style w:type="character" w:customStyle="1" w:styleId="CommentSubjectChar">
    <w:name w:val="Comment Subject Char"/>
    <w:basedOn w:val="CommentTextChar"/>
    <w:link w:val="CommentSubject"/>
    <w:uiPriority w:val="99"/>
    <w:semiHidden/>
    <w:rsid w:val="00DC5868"/>
    <w:rPr>
      <w:b/>
      <w:bCs/>
      <w:sz w:val="20"/>
      <w:szCs w:val="20"/>
    </w:rPr>
  </w:style>
  <w:style w:type="paragraph" w:styleId="Revision">
    <w:name w:val="Revision"/>
    <w:hidden/>
    <w:uiPriority w:val="99"/>
    <w:semiHidden/>
    <w:rsid w:val="0025357D"/>
    <w:pPr>
      <w:spacing w:after="0" w:line="240" w:lineRule="auto"/>
    </w:pPr>
  </w:style>
  <w:style w:type="paragraph" w:styleId="BodyTextIndent2">
    <w:name w:val="Body Text Indent 2"/>
    <w:basedOn w:val="Normal"/>
    <w:link w:val="BodyTextIndent2Char"/>
    <w:rsid w:val="00735A6A"/>
    <w:pPr>
      <w:spacing w:after="0" w:line="240" w:lineRule="auto"/>
      <w:ind w:left="686"/>
    </w:pPr>
    <w:rPr>
      <w:rFonts w:ascii="Palatino Linotype" w:eastAsia="Times New Roman" w:hAnsi="Palatino Linotype" w:cs="Times New Roman"/>
      <w:szCs w:val="24"/>
    </w:rPr>
  </w:style>
  <w:style w:type="character" w:customStyle="1" w:styleId="BodyTextIndent2Char">
    <w:name w:val="Body Text Indent 2 Char"/>
    <w:basedOn w:val="DefaultParagraphFont"/>
    <w:link w:val="BodyTextIndent2"/>
    <w:rsid w:val="00735A6A"/>
    <w:rPr>
      <w:rFonts w:ascii="Palatino Linotype" w:eastAsia="Times New Roman" w:hAnsi="Palatino Linotype" w:cs="Times New Roman"/>
      <w:sz w:val="24"/>
      <w:szCs w:val="24"/>
    </w:rPr>
  </w:style>
  <w:style w:type="paragraph" w:styleId="Header">
    <w:name w:val="header"/>
    <w:basedOn w:val="Normal"/>
    <w:link w:val="HeaderChar"/>
    <w:rsid w:val="00735A6A"/>
    <w:pPr>
      <w:tabs>
        <w:tab w:val="center" w:pos="4320"/>
        <w:tab w:val="right" w:pos="8640"/>
      </w:tabs>
      <w:spacing w:after="0" w:line="240" w:lineRule="auto"/>
    </w:pPr>
    <w:rPr>
      <w:rFonts w:ascii="Palatino Linotype" w:eastAsia="Times New Roman" w:hAnsi="Palatino Linotype" w:cs="Times New Roman"/>
      <w:szCs w:val="24"/>
    </w:rPr>
  </w:style>
  <w:style w:type="character" w:customStyle="1" w:styleId="HeaderChar">
    <w:name w:val="Header Char"/>
    <w:basedOn w:val="DefaultParagraphFont"/>
    <w:link w:val="Header"/>
    <w:rsid w:val="00735A6A"/>
    <w:rPr>
      <w:rFonts w:ascii="Palatino Linotype" w:eastAsia="Times New Roman" w:hAnsi="Palatino Linotype" w:cs="Times New Roman"/>
      <w:sz w:val="24"/>
      <w:szCs w:val="24"/>
    </w:rPr>
  </w:style>
  <w:style w:type="paragraph" w:styleId="Footer">
    <w:name w:val="footer"/>
    <w:basedOn w:val="Normal"/>
    <w:link w:val="FooterChar"/>
    <w:uiPriority w:val="99"/>
    <w:unhideWhenUsed/>
    <w:rsid w:val="00735A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customXml" Target="../customXml/item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190E13D69736428DC0AA09A9BE07E0" ma:contentTypeVersion="175" ma:contentTypeDescription="" ma:contentTypeScope="" ma:versionID="ba2a7d46f7d34ffa8e36e51e3a0a1f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2014-04-03T07:00:00+00:00</OpenedDate>
    <Date1 xmlns="dc463f71-b30c-4ab2-9473-d307f9d35888">2014-11-07T23:36:58+00:00</Date1>
    <IsDocumentOrder xmlns="dc463f71-b30c-4ab2-9473-d307f9d35888" xsi:nil="true"/>
    <IsHighlyConfidential xmlns="dc463f71-b30c-4ab2-9473-d307f9d35888">false</IsHighlyConfidential>
    <CaseCompanyNames xmlns="dc463f71-b30c-4ab2-9473-d307f9d35888">WASTE CONTROL, INC.</CaseCompanyNames>
    <DocketNumber xmlns="dc463f71-b30c-4ab2-9473-d307f9d35888">140560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235F40-B06E-47EA-9AC3-1678BB5B9C7D}"/>
</file>

<file path=customXml/itemProps2.xml><?xml version="1.0" encoding="utf-8"?>
<ds:datastoreItem xmlns:ds="http://schemas.openxmlformats.org/officeDocument/2006/customXml" ds:itemID="{AE665BC9-475A-4221-9391-9E34964E15EA}"/>
</file>

<file path=customXml/itemProps3.xml><?xml version="1.0" encoding="utf-8"?>
<ds:datastoreItem xmlns:ds="http://schemas.openxmlformats.org/officeDocument/2006/customXml" ds:itemID="{67A5304F-52EF-4B6B-BD58-172E4188DFCB}"/>
</file>

<file path=customXml/itemProps4.xml><?xml version="1.0" encoding="utf-8"?>
<ds:datastoreItem xmlns:ds="http://schemas.openxmlformats.org/officeDocument/2006/customXml" ds:itemID="{4BA0B09F-B4C5-42BD-B4E3-FA97988E2D31}"/>
</file>

<file path=customXml/itemProps5.xml><?xml version="1.0" encoding="utf-8"?>
<ds:datastoreItem xmlns:ds="http://schemas.openxmlformats.org/officeDocument/2006/customXml" ds:itemID="{1EA9E354-2FEC-4F65-BE06-BBB86A216DC3}"/>
</file>

<file path=docProps/app.xml><?xml version="1.0" encoding="utf-8"?>
<Properties xmlns="http://schemas.openxmlformats.org/officeDocument/2006/extended-properties" xmlns:vt="http://schemas.openxmlformats.org/officeDocument/2006/docPropsVTypes">
  <Template>Normal.dotm</Template>
  <TotalTime>278</TotalTime>
  <Pages>36</Pages>
  <Words>7412</Words>
  <Characters>42250</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Shearer, Brett (UTC)</dc:creator>
  <cp:lastModifiedBy>DeMarco, Betsy (UTC)</cp:lastModifiedBy>
  <cp:revision>23</cp:revision>
  <cp:lastPrinted>2014-11-07T19:11:00Z</cp:lastPrinted>
  <dcterms:created xsi:type="dcterms:W3CDTF">2014-11-06T21:22:00Z</dcterms:created>
  <dcterms:modified xsi:type="dcterms:W3CDTF">2014-11-07T19:13:00Z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0x0101006E56B4D1795A2E4DB2F0B01679ED314A00D2190E13D69736428DC0AA09A9BE07E0</vt:lpwstr>
  </property>
  <property fmtid="{D5CDD505-2E9C-101B-9397-08002B2CF9AE}" pid="3" name="_docset_NoMedatataSyncRequired">
    <vt:lpwstr>False</vt:lpwstr>
  </property>
</Properties>
</file>