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B1" w:rsidRDefault="003571B1">
      <w:pPr>
        <w:jc w:val="both"/>
      </w:pPr>
    </w:p>
    <w:p w:rsidR="003571B1" w:rsidRDefault="003571B1">
      <w:pPr>
        <w:jc w:val="both"/>
      </w:pPr>
    </w:p>
    <w:p w:rsidR="003571B1" w:rsidRDefault="003571B1">
      <w:pPr>
        <w:jc w:val="both"/>
      </w:pPr>
    </w:p>
    <w:p w:rsidR="003571B1" w:rsidRDefault="003571B1">
      <w:pPr>
        <w:jc w:val="both"/>
      </w:pPr>
    </w:p>
    <w:p w:rsidR="003571B1" w:rsidRDefault="003571B1">
      <w:pPr>
        <w:jc w:val="both"/>
      </w:pPr>
    </w:p>
    <w:p w:rsidR="003571B1" w:rsidRDefault="00796D62">
      <w:pPr>
        <w:jc w:val="both"/>
      </w:pPr>
      <w:r>
        <w:t>December 14</w:t>
      </w:r>
      <w:r w:rsidR="003571B1">
        <w:t>, 2007</w:t>
      </w:r>
    </w:p>
    <w:p w:rsidR="003571B1" w:rsidRDefault="003571B1">
      <w:pPr>
        <w:jc w:val="both"/>
      </w:pPr>
    </w:p>
    <w:p w:rsidR="00C60DCC" w:rsidRDefault="00C60DCC">
      <w:pPr>
        <w:jc w:val="both"/>
      </w:pPr>
    </w:p>
    <w:p w:rsidR="003571B1" w:rsidRDefault="003571B1">
      <w:pPr>
        <w:jc w:val="both"/>
        <w:rPr>
          <w:b/>
          <w:u w:val="single"/>
        </w:rPr>
      </w:pPr>
    </w:p>
    <w:p w:rsidR="003571B1" w:rsidRDefault="003571B1">
      <w:pPr>
        <w:jc w:val="both"/>
        <w:rPr>
          <w:b/>
          <w:u w:val="single"/>
        </w:rPr>
      </w:pPr>
    </w:p>
    <w:p w:rsidR="003571B1" w:rsidRDefault="003571B1">
      <w:pPr>
        <w:jc w:val="both"/>
        <w:rPr>
          <w:b/>
          <w:u w:val="single"/>
        </w:rPr>
      </w:pPr>
    </w:p>
    <w:p w:rsidR="003571B1" w:rsidRDefault="003571B1">
      <w:pPr>
        <w:jc w:val="both"/>
        <w:rPr>
          <w:b/>
          <w:u w:val="single"/>
        </w:rPr>
      </w:pPr>
      <w:r>
        <w:rPr>
          <w:b/>
          <w:u w:val="single"/>
        </w:rPr>
        <w:t xml:space="preserve">VIA E-MAIL AND FIRST CLASS MAIL </w:t>
      </w:r>
    </w:p>
    <w:p w:rsidR="003571B1" w:rsidRDefault="003571B1">
      <w:pPr>
        <w:pStyle w:val="DoubleSpacing"/>
      </w:pPr>
      <w:smartTag w:uri="urn:schemas-microsoft-com:office:smarttags" w:element="PersonName">
        <w:smartTag w:uri="urn:schemas:contacts" w:element="GivenName">
          <w:r>
            <w:t>Carole</w:t>
          </w:r>
        </w:smartTag>
        <w:r>
          <w:t xml:space="preserve"> </w:t>
        </w:r>
        <w:smartTag w:uri="urn:schemas:contacts" w:element="Sn">
          <w:r>
            <w:t>Washburn</w:t>
          </w:r>
        </w:smartTag>
      </w:smartTag>
    </w:p>
    <w:p w:rsidR="003571B1" w:rsidRDefault="003571B1">
      <w:pPr>
        <w:pStyle w:val="DoubleSpacing"/>
      </w:pPr>
      <w:r>
        <w:t>Executive Secretary</w:t>
      </w:r>
    </w:p>
    <w:p w:rsidR="003571B1" w:rsidRDefault="003571B1">
      <w:smartTag w:uri="urn:schemas:contacts" w:element="Sn">
        <w:smartTag w:uri="urn:schemas-microsoft-com:office:smarttags" w:element="State">
          <w:smartTag w:uri="urn:schemas-microsoft-com:office:smarttags" w:element="place">
            <w:r>
              <w:t>Washington</w:t>
            </w:r>
          </w:smartTag>
        </w:smartTag>
      </w:smartTag>
      <w:r>
        <w:t xml:space="preserve"> Utilities &amp; Transportation Commission</w:t>
      </w:r>
    </w:p>
    <w:p w:rsidR="003571B1" w:rsidRDefault="003571B1">
      <w:smartTag w:uri="urn:schemas-microsoft-com:office:smarttags" w:element="Street">
        <w:smartTag w:uri="urn:schemas-microsoft-com:office:smarttags" w:element="address">
          <w:r>
            <w:t>1300 S. Evergreen Pk. Dr. S.W.</w:t>
          </w:r>
        </w:smartTag>
      </w:smartTag>
    </w:p>
    <w:p w:rsidR="003571B1" w:rsidRDefault="003571B1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3571B1" w:rsidRDefault="003571B1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3571B1" w:rsidRDefault="003571B1">
      <w:pPr>
        <w:ind w:firstLine="720"/>
        <w:jc w:val="both"/>
        <w:rPr>
          <w:szCs w:val="24"/>
        </w:rPr>
      </w:pPr>
    </w:p>
    <w:p w:rsidR="003571B1" w:rsidRDefault="003571B1" w:rsidP="003571B1">
      <w:pPr>
        <w:ind w:left="720" w:hanging="720"/>
        <w:jc w:val="both"/>
        <w:rPr>
          <w:szCs w:val="24"/>
        </w:rPr>
      </w:pPr>
      <w:r>
        <w:t>Re:</w:t>
      </w:r>
      <w:r>
        <w:tab/>
      </w:r>
      <w:r>
        <w:rPr>
          <w:szCs w:val="24"/>
        </w:rPr>
        <w:t>PSE’s Motion for Amended Protective Order with Highly Confidential Provisions in Docket Nos. UE-072300 and UG-072301</w:t>
      </w:r>
    </w:p>
    <w:p w:rsidR="003571B1" w:rsidRDefault="003571B1" w:rsidP="003571B1">
      <w:pPr>
        <w:ind w:left="720" w:hanging="720"/>
        <w:jc w:val="both"/>
        <w:rPr>
          <w:szCs w:val="24"/>
        </w:rPr>
      </w:pPr>
    </w:p>
    <w:p w:rsidR="003571B1" w:rsidRDefault="003571B1" w:rsidP="003571B1">
      <w:pPr>
        <w:rPr>
          <w:szCs w:val="24"/>
        </w:rPr>
      </w:pPr>
      <w:r>
        <w:rPr>
          <w:szCs w:val="24"/>
        </w:rPr>
        <w:t>Dear Ms. Washburn:</w:t>
      </w:r>
    </w:p>
    <w:p w:rsidR="003571B1" w:rsidRDefault="003571B1" w:rsidP="003571B1">
      <w:pPr>
        <w:rPr>
          <w:szCs w:val="24"/>
        </w:rPr>
      </w:pPr>
    </w:p>
    <w:p w:rsidR="00296999" w:rsidRDefault="003571B1" w:rsidP="003571B1">
      <w:pPr>
        <w:rPr>
          <w:szCs w:val="24"/>
        </w:rPr>
      </w:pPr>
      <w:r>
        <w:rPr>
          <w:szCs w:val="24"/>
        </w:rPr>
        <w:t xml:space="preserve">On December 3, 2007, Puget Sound Energy (PSE) filed a Motion for </w:t>
      </w:r>
      <w:r w:rsidR="00746261">
        <w:rPr>
          <w:szCs w:val="24"/>
        </w:rPr>
        <w:t xml:space="preserve">an </w:t>
      </w:r>
      <w:r>
        <w:rPr>
          <w:szCs w:val="24"/>
        </w:rPr>
        <w:t xml:space="preserve">Amended Protective Order with Highly Confidential Provisions.  </w:t>
      </w:r>
      <w:r w:rsidR="00746261">
        <w:rPr>
          <w:szCs w:val="24"/>
        </w:rPr>
        <w:t>Shortly thereafter</w:t>
      </w:r>
      <w:r>
        <w:rPr>
          <w:szCs w:val="24"/>
        </w:rPr>
        <w:t xml:space="preserve">, </w:t>
      </w:r>
      <w:r w:rsidR="00746261">
        <w:rPr>
          <w:szCs w:val="24"/>
        </w:rPr>
        <w:t>PSE</w:t>
      </w:r>
      <w:r>
        <w:rPr>
          <w:szCs w:val="24"/>
        </w:rPr>
        <w:t xml:space="preserve"> contacte</w:t>
      </w:r>
      <w:r w:rsidR="00746261">
        <w:rPr>
          <w:szCs w:val="24"/>
        </w:rPr>
        <w:t>d the parties and asked whether anyone objected to the</w:t>
      </w:r>
      <w:r>
        <w:rPr>
          <w:szCs w:val="24"/>
        </w:rPr>
        <w:t xml:space="preserve"> order.  Public Counsel has no objections to the </w:t>
      </w:r>
      <w:r w:rsidR="00283A1A">
        <w:rPr>
          <w:szCs w:val="24"/>
        </w:rPr>
        <w:t>insertion of RCW 42.56.330 in place of RCW 42.17.310 in paragraph 33</w:t>
      </w:r>
      <w:r>
        <w:rPr>
          <w:szCs w:val="24"/>
        </w:rPr>
        <w:t>.  We also do not object to PSE’s request for an amended protective order</w:t>
      </w:r>
      <w:r w:rsidR="00283A1A">
        <w:rPr>
          <w:szCs w:val="24"/>
        </w:rPr>
        <w:t>,</w:t>
      </w:r>
      <w:r>
        <w:rPr>
          <w:szCs w:val="24"/>
        </w:rPr>
        <w:t xml:space="preserve"> </w:t>
      </w:r>
      <w:r w:rsidR="00746261">
        <w:rPr>
          <w:szCs w:val="24"/>
        </w:rPr>
        <w:t>with the understandings below</w:t>
      </w:r>
      <w:r>
        <w:rPr>
          <w:szCs w:val="24"/>
        </w:rPr>
        <w:t xml:space="preserve">.  </w:t>
      </w:r>
    </w:p>
    <w:p w:rsidR="00746261" w:rsidRDefault="00746261" w:rsidP="003571B1"/>
    <w:p w:rsidR="003571B1" w:rsidRDefault="00296999" w:rsidP="003571B1">
      <w:pPr>
        <w:rPr>
          <w:szCs w:val="22"/>
        </w:rPr>
      </w:pPr>
      <w:r>
        <w:t xml:space="preserve">We recognize the importance of protecting valuable, commercial information and the necessity of protective orders in UTC proceedings.  </w:t>
      </w:r>
      <w:r w:rsidR="00746261">
        <w:t>Yet</w:t>
      </w:r>
      <w:r>
        <w:t xml:space="preserve"> </w:t>
      </w:r>
      <w:r w:rsidR="00746261">
        <w:t>we remain concerned about</w:t>
      </w:r>
      <w:r w:rsidR="003571B1">
        <w:t xml:space="preserve"> </w:t>
      </w:r>
      <w:r w:rsidR="00143670">
        <w:t xml:space="preserve">the </w:t>
      </w:r>
      <w:r w:rsidR="003571B1">
        <w:t>over-designation of information as confidential and lack of compliance with WAC 480-07-160(3) and 480-07-423.  WAC 480-07-160(3) states that parties “may claim the protection of this rule only by strict compliance with [its] requirements.”  WAC 480-07-423 requires parties to “</w:t>
      </w:r>
      <w:r w:rsidR="003571B1">
        <w:rPr>
          <w:i/>
        </w:rPr>
        <w:t xml:space="preserve">strictly limit </w:t>
      </w:r>
      <w:r w:rsidR="003571B1">
        <w:t xml:space="preserve">the amount of information they designate as confidential or highly confidential,” and states that “the ‘highly confidential’ designation is reserved for information the dissemination of </w:t>
      </w:r>
      <w:proofErr w:type="gramStart"/>
      <w:r w:rsidR="003571B1">
        <w:t>which .</w:t>
      </w:r>
      <w:proofErr w:type="gramEnd"/>
      <w:r w:rsidR="003571B1">
        <w:t xml:space="preserve"> . . imposes a </w:t>
      </w:r>
      <w:r w:rsidR="003571B1">
        <w:rPr>
          <w:i/>
        </w:rPr>
        <w:t>highly significant</w:t>
      </w:r>
      <w:r w:rsidR="003571B1">
        <w:t xml:space="preserve"> risk of competitive harm to the disclosing party” (emphases added).  Public Counsel agrees to the issuance of the amended protective orde</w:t>
      </w:r>
      <w:r w:rsidR="00A67F57">
        <w:t xml:space="preserve">r with the expectation that </w:t>
      </w:r>
      <w:r w:rsidR="003571B1">
        <w:t xml:space="preserve">PSE will carefully adhere to these requirements.  </w:t>
      </w:r>
      <w:r w:rsidR="00746261">
        <w:rPr>
          <w:szCs w:val="24"/>
        </w:rPr>
        <w:t xml:space="preserve">Public Counsel’s </w:t>
      </w:r>
      <w:r w:rsidR="00746261">
        <w:t>lack of objection does not waive our right under WAC 480-07-160(4) to challenge the designation of any material filed in this case.</w:t>
      </w:r>
    </w:p>
    <w:p w:rsidR="003571B1" w:rsidRDefault="003571B1" w:rsidP="003571B1"/>
    <w:p w:rsidR="00296999" w:rsidRDefault="00296999" w:rsidP="00296999">
      <w:r w:rsidRPr="00283A1A">
        <w:t xml:space="preserve">We </w:t>
      </w:r>
      <w:r w:rsidR="005200E3">
        <w:t xml:space="preserve">also have concerns about the non-compete clause that appears in </w:t>
      </w:r>
      <w:r w:rsidR="00D31C7A">
        <w:t xml:space="preserve">the </w:t>
      </w:r>
      <w:r w:rsidR="005200E3">
        <w:t>Highly Confidential Information Agreement for outside consultants</w:t>
      </w:r>
      <w:r w:rsidR="006E5360">
        <w:t xml:space="preserve"> (Exhibit C)</w:t>
      </w:r>
      <w:r w:rsidR="00D31C7A">
        <w:t>.  As we have argued previously, s</w:t>
      </w:r>
      <w:r w:rsidR="00184350" w:rsidRPr="00283A1A">
        <w:t xml:space="preserve">uch restrictions may </w:t>
      </w:r>
      <w:r w:rsidR="00D31C7A">
        <w:t xml:space="preserve">unduly and unnecessarily </w:t>
      </w:r>
      <w:r w:rsidR="00184350" w:rsidRPr="00283A1A">
        <w:t>limit</w:t>
      </w:r>
      <w:r w:rsidR="00C65BD1" w:rsidRPr="00283A1A">
        <w:t xml:space="preserve"> </w:t>
      </w:r>
      <w:r w:rsidR="00D76A77">
        <w:t xml:space="preserve">a </w:t>
      </w:r>
      <w:r w:rsidR="00184350" w:rsidRPr="00283A1A">
        <w:t>consultant</w:t>
      </w:r>
      <w:r w:rsidR="00D76A77">
        <w:t>’s</w:t>
      </w:r>
      <w:r w:rsidR="00184350" w:rsidRPr="00283A1A">
        <w:t xml:space="preserve"> future employment.  </w:t>
      </w:r>
      <w:r w:rsidR="00D31C7A">
        <w:t xml:space="preserve">As in previous cases, we have again heard from our consultants and potential consultants that these </w:t>
      </w:r>
      <w:r w:rsidR="00D31C7A">
        <w:lastRenderedPageBreak/>
        <w:t>restrictions are probl</w:t>
      </w:r>
      <w:r w:rsidR="006E5360">
        <w:t>ematic and more restrictive than those</w:t>
      </w:r>
      <w:r w:rsidR="00D31C7A">
        <w:t xml:space="preserve"> in many other jurisdictions.  We have not yet completed our search for consultants in this matter.  </w:t>
      </w:r>
      <w:r w:rsidR="007F79B9">
        <w:t>Accordingly</w:t>
      </w:r>
      <w:r w:rsidR="00283A1A" w:rsidRPr="00283A1A">
        <w:t xml:space="preserve">, </w:t>
      </w:r>
      <w:r w:rsidR="00746261" w:rsidRPr="00283A1A">
        <w:t xml:space="preserve">Public Counsel reserves the right to file a motion to amend the protective order should </w:t>
      </w:r>
      <w:r w:rsidR="00283A1A" w:rsidRPr="00283A1A">
        <w:t>problem</w:t>
      </w:r>
      <w:r w:rsidR="00D31C7A">
        <w:t>s</w:t>
      </w:r>
      <w:r w:rsidR="00746261" w:rsidRPr="00283A1A">
        <w:t xml:space="preserve"> arise.</w:t>
      </w:r>
    </w:p>
    <w:p w:rsidR="00C60DCC" w:rsidRDefault="00C60DCC" w:rsidP="003571B1"/>
    <w:p w:rsidR="003571B1" w:rsidRDefault="003571B1">
      <w:r>
        <w:t>Sincerely,</w:t>
      </w:r>
    </w:p>
    <w:p w:rsidR="003571B1" w:rsidRDefault="003571B1">
      <w:pPr>
        <w:tabs>
          <w:tab w:val="left" w:pos="5400"/>
        </w:tabs>
        <w:jc w:val="both"/>
      </w:pPr>
    </w:p>
    <w:p w:rsidR="00C60DCC" w:rsidRDefault="00C60DCC">
      <w:pPr>
        <w:tabs>
          <w:tab w:val="left" w:pos="5400"/>
        </w:tabs>
        <w:jc w:val="both"/>
      </w:pPr>
    </w:p>
    <w:p w:rsidR="003571B1" w:rsidRDefault="003571B1">
      <w:pPr>
        <w:tabs>
          <w:tab w:val="left" w:pos="5400"/>
        </w:tabs>
        <w:jc w:val="both"/>
      </w:pPr>
    </w:p>
    <w:p w:rsidR="003571B1" w:rsidRDefault="003571B1">
      <w:pPr>
        <w:tabs>
          <w:tab w:val="left" w:pos="4860"/>
        </w:tabs>
        <w:ind w:right="4860"/>
        <w:jc w:val="both"/>
      </w:pPr>
      <w:r>
        <w:t>SARAH A. SHIFLEY</w:t>
      </w:r>
    </w:p>
    <w:p w:rsidR="003571B1" w:rsidRDefault="003571B1">
      <w:pPr>
        <w:tabs>
          <w:tab w:val="left" w:pos="4860"/>
        </w:tabs>
        <w:ind w:right="4860"/>
        <w:jc w:val="both"/>
      </w:pPr>
      <w:r>
        <w:t>Assistant Attorney General</w:t>
      </w:r>
    </w:p>
    <w:p w:rsidR="003571B1" w:rsidRDefault="003571B1">
      <w:pPr>
        <w:tabs>
          <w:tab w:val="left" w:pos="4860"/>
        </w:tabs>
        <w:ind w:right="4860"/>
        <w:jc w:val="both"/>
      </w:pPr>
      <w:r>
        <w:t xml:space="preserve">Public Counsel Section </w:t>
      </w:r>
    </w:p>
    <w:p w:rsidR="003571B1" w:rsidRDefault="003571B1">
      <w:pPr>
        <w:tabs>
          <w:tab w:val="left" w:pos="4860"/>
        </w:tabs>
        <w:ind w:right="4860"/>
        <w:jc w:val="both"/>
      </w:pPr>
      <w:r>
        <w:t>(206) 464-6595</w:t>
      </w:r>
    </w:p>
    <w:p w:rsidR="003571B1" w:rsidRDefault="003571B1">
      <w:pPr>
        <w:tabs>
          <w:tab w:val="left" w:pos="5400"/>
        </w:tabs>
        <w:jc w:val="both"/>
      </w:pPr>
    </w:p>
    <w:p w:rsidR="003571B1" w:rsidRDefault="003571B1">
      <w:pPr>
        <w:tabs>
          <w:tab w:val="left" w:pos="5400"/>
        </w:tabs>
        <w:jc w:val="both"/>
        <w:rPr>
          <w:sz w:val="20"/>
        </w:rPr>
      </w:pPr>
      <w:r>
        <w:t>SAS</w:t>
      </w:r>
      <w:proofErr w:type="gramStart"/>
      <w:r>
        <w:t>:cjw</w:t>
      </w:r>
      <w:proofErr w:type="gramEnd"/>
    </w:p>
    <w:p w:rsidR="003571B1" w:rsidRDefault="003571B1">
      <w:pPr>
        <w:tabs>
          <w:tab w:val="left" w:pos="5400"/>
        </w:tabs>
        <w:jc w:val="both"/>
        <w:rPr>
          <w:sz w:val="20"/>
        </w:rPr>
      </w:pPr>
    </w:p>
    <w:p w:rsidR="00D01EFF" w:rsidRDefault="00D01EFF">
      <w:r>
        <w:t xml:space="preserve">cc:  </w:t>
      </w:r>
      <w:r>
        <w:tab/>
      </w:r>
      <w:r w:rsidR="00242CCF" w:rsidRPr="00242CCF">
        <w:rPr>
          <w:b/>
          <w:u w:val="single"/>
        </w:rPr>
        <w:t>Sent via email only</w:t>
      </w:r>
    </w:p>
    <w:p w:rsidR="00A67F57" w:rsidRDefault="00D01EFF">
      <w:r>
        <w:tab/>
        <w:t>Sheree S. Carson</w:t>
      </w:r>
    </w:p>
    <w:p w:rsidR="00A67F57" w:rsidRDefault="00A67F57">
      <w:r>
        <w:tab/>
      </w:r>
      <w:r w:rsidR="00D01EFF">
        <w:t>Jason Kuzma</w:t>
      </w:r>
    </w:p>
    <w:p w:rsidR="00D01EFF" w:rsidRDefault="00A67F57">
      <w:r>
        <w:tab/>
      </w:r>
      <w:r w:rsidR="00D01EFF">
        <w:t xml:space="preserve">Tom </w:t>
      </w:r>
      <w:proofErr w:type="spellStart"/>
      <w:r w:rsidR="00D01EFF">
        <w:t>DeBoer</w:t>
      </w:r>
      <w:proofErr w:type="spellEnd"/>
    </w:p>
    <w:p w:rsidR="00D01EFF" w:rsidRDefault="00D01EFF">
      <w:r>
        <w:t xml:space="preserve">       </w:t>
      </w:r>
      <w:r>
        <w:tab/>
        <w:t>Robert Cedarbaum</w:t>
      </w:r>
    </w:p>
    <w:p w:rsidR="00A67F57" w:rsidRDefault="00D01EFF">
      <w:r>
        <w:t xml:space="preserve">      </w:t>
      </w:r>
      <w:r w:rsidR="003571B1">
        <w:t xml:space="preserve"> </w:t>
      </w:r>
      <w:r>
        <w:tab/>
      </w:r>
      <w:r w:rsidR="00242CCF">
        <w:t xml:space="preserve">Mike </w:t>
      </w:r>
      <w:r>
        <w:t>Kurtz</w:t>
      </w:r>
    </w:p>
    <w:p w:rsidR="00D01EFF" w:rsidRDefault="00A67F57">
      <w:r>
        <w:tab/>
        <w:t>Kurt Boehm</w:t>
      </w:r>
    </w:p>
    <w:p w:rsidR="00D01EFF" w:rsidRDefault="00D01EFF">
      <w:r>
        <w:tab/>
      </w:r>
      <w:r w:rsidR="00242CCF">
        <w:t xml:space="preserve">Elaine </w:t>
      </w:r>
      <w:r>
        <w:t>Spencer</w:t>
      </w:r>
    </w:p>
    <w:p w:rsidR="00D01EFF" w:rsidRDefault="00D01EFF">
      <w:r>
        <w:tab/>
        <w:t>Daniell</w:t>
      </w:r>
      <w:r w:rsidR="00A67F57">
        <w:t>e Dixon</w:t>
      </w:r>
    </w:p>
    <w:p w:rsidR="00D01EFF" w:rsidRDefault="00D01EFF">
      <w:r>
        <w:tab/>
        <w:t xml:space="preserve">Nancy </w:t>
      </w:r>
      <w:r w:rsidR="00A6384B">
        <w:t>Hirs</w:t>
      </w:r>
      <w:r w:rsidR="00242CCF">
        <w:t>h</w:t>
      </w:r>
    </w:p>
    <w:p w:rsidR="00A67F57" w:rsidRDefault="00D01EFF">
      <w:r>
        <w:tab/>
        <w:t>Edward Finklea</w:t>
      </w:r>
    </w:p>
    <w:p w:rsidR="00D01EFF" w:rsidRDefault="00A67F57">
      <w:r>
        <w:tab/>
      </w:r>
      <w:r w:rsidR="00D01EFF">
        <w:t>Chad Stokes</w:t>
      </w:r>
    </w:p>
    <w:p w:rsidR="00A67F57" w:rsidRDefault="00D01EFF">
      <w:r>
        <w:tab/>
        <w:t>Ronald Roseman</w:t>
      </w:r>
    </w:p>
    <w:p w:rsidR="00D01EFF" w:rsidRDefault="00A67F57">
      <w:r>
        <w:tab/>
        <w:t>S. Bradley Van Cleve</w:t>
      </w:r>
    </w:p>
    <w:p w:rsidR="00D01EFF" w:rsidRDefault="00D01EFF">
      <w:r>
        <w:tab/>
        <w:t xml:space="preserve">Norman </w:t>
      </w:r>
      <w:proofErr w:type="spellStart"/>
      <w:r>
        <w:t>Furuta</w:t>
      </w:r>
      <w:proofErr w:type="spellEnd"/>
    </w:p>
    <w:p w:rsidR="000644AB" w:rsidRDefault="00D01EFF">
      <w:r>
        <w:tab/>
        <w:t>Rita Liotta</w:t>
      </w:r>
    </w:p>
    <w:p w:rsidR="003571B1" w:rsidRDefault="00D01EFF">
      <w:r>
        <w:tab/>
      </w:r>
    </w:p>
    <w:sectPr w:rsidR="003571B1" w:rsidSect="00182F67">
      <w:headerReference w:type="default" r:id="rId7"/>
      <w:pgSz w:w="12240" w:h="15840" w:code="1"/>
      <w:pgMar w:top="1440" w:right="1440" w:bottom="1440" w:left="1440" w:header="1080" w:footer="4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A7" w:rsidRDefault="00E575A7">
      <w:r>
        <w:separator/>
      </w:r>
    </w:p>
  </w:endnote>
  <w:endnote w:type="continuationSeparator" w:id="1">
    <w:p w:rsidR="00E575A7" w:rsidRDefault="00E57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A7" w:rsidRDefault="00E575A7">
      <w:r>
        <w:separator/>
      </w:r>
    </w:p>
  </w:footnote>
  <w:footnote w:type="continuationSeparator" w:id="1">
    <w:p w:rsidR="00E575A7" w:rsidRDefault="00E57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A7" w:rsidRDefault="00E575A7">
    <w:pPr>
      <w:pStyle w:val="Header"/>
      <w:rPr>
        <w:sz w:val="20"/>
      </w:rPr>
    </w:pPr>
    <w:r>
      <w:rPr>
        <w:sz w:val="20"/>
      </w:rPr>
      <w:t>Carole Washburn</w:t>
    </w:r>
  </w:p>
  <w:p w:rsidR="00E575A7" w:rsidRDefault="00E575A7">
    <w:pPr>
      <w:pStyle w:val="Header"/>
      <w:rPr>
        <w:sz w:val="20"/>
      </w:rPr>
    </w:pPr>
    <w:r>
      <w:rPr>
        <w:sz w:val="20"/>
      </w:rPr>
      <w:t xml:space="preserve">Re:  Docket Nos. </w:t>
    </w:r>
    <w:r w:rsidRPr="00C60DCC">
      <w:rPr>
        <w:sz w:val="20"/>
      </w:rPr>
      <w:t>UE-072300 and UG-072301</w:t>
    </w:r>
  </w:p>
  <w:p w:rsidR="00E575A7" w:rsidRDefault="00B263AD">
    <w:pPr>
      <w:pStyle w:val="Header"/>
      <w:rPr>
        <w:sz w:val="20"/>
      </w:rPr>
    </w:pPr>
    <w:r>
      <w:rPr>
        <w:sz w:val="20"/>
      </w:rPr>
      <w:fldChar w:fldCharType="begin"/>
    </w:r>
    <w:r w:rsidR="00E575A7">
      <w:rPr>
        <w:sz w:val="20"/>
      </w:rPr>
      <w:instrText xml:space="preserve"> TIME \@ "MMMM d, yyyy" </w:instrText>
    </w:r>
    <w:r>
      <w:rPr>
        <w:sz w:val="20"/>
      </w:rPr>
      <w:fldChar w:fldCharType="separate"/>
    </w:r>
    <w:r w:rsidR="00291800">
      <w:rPr>
        <w:noProof/>
        <w:sz w:val="20"/>
      </w:rPr>
      <w:t>December 14, 2007</w:t>
    </w:r>
    <w:r>
      <w:rPr>
        <w:sz w:val="20"/>
      </w:rPr>
      <w:fldChar w:fldCharType="end"/>
    </w:r>
  </w:p>
  <w:p w:rsidR="00E575A7" w:rsidRDefault="00E575A7">
    <w:pPr>
      <w:pStyle w:val="Header"/>
      <w:rPr>
        <w:rStyle w:val="PageNumber"/>
        <w:sz w:val="20"/>
      </w:rPr>
    </w:pPr>
    <w:r>
      <w:rPr>
        <w:sz w:val="20"/>
      </w:rPr>
      <w:t xml:space="preserve">Page </w:t>
    </w:r>
    <w:r w:rsidR="00B263AD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B263AD">
      <w:rPr>
        <w:rStyle w:val="PageNumber"/>
        <w:sz w:val="20"/>
      </w:rPr>
      <w:fldChar w:fldCharType="separate"/>
    </w:r>
    <w:r w:rsidR="00291800">
      <w:rPr>
        <w:rStyle w:val="PageNumber"/>
        <w:noProof/>
        <w:sz w:val="20"/>
      </w:rPr>
      <w:t>2</w:t>
    </w:r>
    <w:r w:rsidR="00B263AD">
      <w:rPr>
        <w:rStyle w:val="PageNumber"/>
        <w:sz w:val="20"/>
      </w:rPr>
      <w:fldChar w:fldCharType="end"/>
    </w:r>
  </w:p>
  <w:p w:rsidR="00E575A7" w:rsidRDefault="00E575A7">
    <w:pPr>
      <w:pStyle w:val="Header"/>
      <w:rPr>
        <w:rStyle w:val="PageNumber"/>
        <w:sz w:val="20"/>
      </w:rPr>
    </w:pPr>
  </w:p>
  <w:p w:rsidR="00E575A7" w:rsidRDefault="00E575A7">
    <w:pPr>
      <w:pStyle w:val="Header"/>
      <w:rPr>
        <w:rStyle w:val="PageNumber"/>
        <w:sz w:val="20"/>
      </w:rPr>
    </w:pPr>
  </w:p>
  <w:p w:rsidR="00E575A7" w:rsidRDefault="00E575A7">
    <w:pPr>
      <w:pStyle w:val="Head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1B1"/>
    <w:rsid w:val="000644AB"/>
    <w:rsid w:val="00143670"/>
    <w:rsid w:val="00182F67"/>
    <w:rsid w:val="00184350"/>
    <w:rsid w:val="001A4734"/>
    <w:rsid w:val="001D291E"/>
    <w:rsid w:val="00242CCF"/>
    <w:rsid w:val="00255A4D"/>
    <w:rsid w:val="00283A1A"/>
    <w:rsid w:val="00291800"/>
    <w:rsid w:val="00296999"/>
    <w:rsid w:val="002D2B0A"/>
    <w:rsid w:val="0032328D"/>
    <w:rsid w:val="00330865"/>
    <w:rsid w:val="003571B1"/>
    <w:rsid w:val="00357ED7"/>
    <w:rsid w:val="00425910"/>
    <w:rsid w:val="005010F8"/>
    <w:rsid w:val="005200E3"/>
    <w:rsid w:val="005309CC"/>
    <w:rsid w:val="0054428B"/>
    <w:rsid w:val="00627599"/>
    <w:rsid w:val="006968B6"/>
    <w:rsid w:val="006E5360"/>
    <w:rsid w:val="00746261"/>
    <w:rsid w:val="007909F6"/>
    <w:rsid w:val="00796D62"/>
    <w:rsid w:val="007F79B9"/>
    <w:rsid w:val="009327C2"/>
    <w:rsid w:val="009C1254"/>
    <w:rsid w:val="00A6384B"/>
    <w:rsid w:val="00A63E1E"/>
    <w:rsid w:val="00A67F57"/>
    <w:rsid w:val="00B263AD"/>
    <w:rsid w:val="00C60DCC"/>
    <w:rsid w:val="00C65BD1"/>
    <w:rsid w:val="00CF2FFE"/>
    <w:rsid w:val="00D01EFF"/>
    <w:rsid w:val="00D31C7A"/>
    <w:rsid w:val="00D76A77"/>
    <w:rsid w:val="00E230F8"/>
    <w:rsid w:val="00E575A7"/>
    <w:rsid w:val="00EA74DC"/>
    <w:rsid w:val="00ED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Given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:contacts" w:name="S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67"/>
    <w:rPr>
      <w:sz w:val="24"/>
    </w:rPr>
  </w:style>
  <w:style w:type="paragraph" w:styleId="Heading1">
    <w:name w:val="heading 1"/>
    <w:basedOn w:val="Normal"/>
    <w:next w:val="Normal"/>
    <w:qFormat/>
    <w:rsid w:val="00182F67"/>
    <w:pPr>
      <w:keepNext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182F67"/>
    <w:pPr>
      <w:keepNext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82F67"/>
    <w:pPr>
      <w:keepNext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82F67"/>
    <w:pPr>
      <w:keepNext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82F67"/>
    <w:pPr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82F67"/>
    <w:pPr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82F67"/>
    <w:pPr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82F67"/>
    <w:pPr>
      <w:ind w:left="5040" w:hanging="72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182F67"/>
    <w:pPr>
      <w:spacing w:before="120" w:after="240"/>
      <w:jc w:val="center"/>
    </w:pPr>
    <w:rPr>
      <w:b/>
    </w:rPr>
  </w:style>
  <w:style w:type="paragraph" w:styleId="TOC1">
    <w:name w:val="toc 1"/>
    <w:basedOn w:val="Normal"/>
    <w:next w:val="Normal"/>
    <w:semiHidden/>
    <w:rsid w:val="00182F67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182F67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182F67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182F67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182F67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182F67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182F67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182F67"/>
    <w:pPr>
      <w:tabs>
        <w:tab w:val="right" w:leader="dot" w:pos="9360"/>
      </w:tabs>
      <w:spacing w:after="240"/>
      <w:ind w:left="1987" w:hanging="302"/>
    </w:pPr>
  </w:style>
  <w:style w:type="character" w:styleId="FootnoteReference">
    <w:name w:val="footnote reference"/>
    <w:basedOn w:val="DefaultParagraphFont"/>
    <w:semiHidden/>
    <w:rsid w:val="00182F67"/>
    <w:rPr>
      <w:vertAlign w:val="superscript"/>
    </w:rPr>
  </w:style>
  <w:style w:type="paragraph" w:styleId="FootnoteText">
    <w:name w:val="footnote text"/>
    <w:basedOn w:val="Normal"/>
    <w:semiHidden/>
    <w:rsid w:val="00182F67"/>
    <w:pPr>
      <w:ind w:firstLine="720"/>
    </w:pPr>
    <w:rPr>
      <w:sz w:val="20"/>
    </w:rPr>
  </w:style>
  <w:style w:type="paragraph" w:styleId="Header">
    <w:name w:val="header"/>
    <w:basedOn w:val="Normal"/>
    <w:rsid w:val="00182F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2F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F67"/>
  </w:style>
  <w:style w:type="paragraph" w:customStyle="1" w:styleId="DoubleSpacing">
    <w:name w:val="Double Spacing"/>
    <w:basedOn w:val="Normal"/>
    <w:rsid w:val="00182F67"/>
    <w:pPr>
      <w:spacing w:line="240" w:lineRule="exact"/>
    </w:pPr>
  </w:style>
  <w:style w:type="paragraph" w:styleId="BalloonText">
    <w:name w:val="Balloon Text"/>
    <w:basedOn w:val="Normal"/>
    <w:semiHidden/>
    <w:rsid w:val="00182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tts1\Local%20Settings\Temporary%20Internet%20Files\OLK4E\letter%20to%20washburn%20re%20p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2007-12-14T08:00:00+00:00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5710A6-1017-4E29-AD5C-DC0DB2DB763D}"/>
</file>

<file path=customXml/itemProps2.xml><?xml version="1.0" encoding="utf-8"?>
<ds:datastoreItem xmlns:ds="http://schemas.openxmlformats.org/officeDocument/2006/customXml" ds:itemID="{5E91CA08-0E31-462F-84CE-D4078ECBF4B3}"/>
</file>

<file path=customXml/itemProps3.xml><?xml version="1.0" encoding="utf-8"?>
<ds:datastoreItem xmlns:ds="http://schemas.openxmlformats.org/officeDocument/2006/customXml" ds:itemID="{BD4253E9-1225-4E96-8D24-AA896F1F91F7}"/>
</file>

<file path=customXml/itemProps4.xml><?xml version="1.0" encoding="utf-8"?>
<ds:datastoreItem xmlns:ds="http://schemas.openxmlformats.org/officeDocument/2006/customXml" ds:itemID="{F56C858F-8170-4D33-B01D-BF4B0255FAF8}"/>
</file>

<file path=customXml/itemProps5.xml><?xml version="1.0" encoding="utf-8"?>
<ds:datastoreItem xmlns:ds="http://schemas.openxmlformats.org/officeDocument/2006/customXml" ds:itemID="{B5F3E5E6-5391-4ED7-93FF-398AEB4DB808}"/>
</file>

<file path=docProps/app.xml><?xml version="1.0" encoding="utf-8"?>
<Properties xmlns="http://schemas.openxmlformats.org/officeDocument/2006/extended-properties" xmlns:vt="http://schemas.openxmlformats.org/officeDocument/2006/docPropsVTypes">
  <Template>letter to washburn re pse.dot</Template>
  <TotalTime>6</TotalTime>
  <Pages>2</Pages>
  <Words>419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3, 1998</vt:lpstr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3, 1998</dc:title>
  <dc:subject/>
  <dc:creator>Office of the Attorney General</dc:creator>
  <cp:keywords/>
  <dc:description/>
  <cp:lastModifiedBy>carolw</cp:lastModifiedBy>
  <cp:revision>4</cp:revision>
  <cp:lastPrinted>2007-12-14T22:26:00Z</cp:lastPrinted>
  <dcterms:created xsi:type="dcterms:W3CDTF">2007-12-14T22:25:00Z</dcterms:created>
  <dcterms:modified xsi:type="dcterms:W3CDTF">2007-12-14T22:47:00Z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0x0101006E56B4D1795A2E4DB2F0B01679ED314A00CF887D659DE22543A2760D28314F79CB</vt:lpwstr>
  </property>
  <property fmtid="{D5CDD505-2E9C-101B-9397-08002B2CF9AE}" pid="5" name="_docset_NoMedatataSyncRequired">
    <vt:lpwstr>False</vt:lpwstr>
  </property>
</Properties>
</file>