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4CBE2" w14:textId="77777777" w:rsidR="00045148" w:rsidRPr="00045148" w:rsidRDefault="00890FDA" w:rsidP="00CD5298">
      <w:pPr>
        <w:pStyle w:val="IRPtitl"/>
        <w:ind w:left="0" w:firstLine="0"/>
        <w:rPr>
          <w:sz w:val="48"/>
          <w:szCs w:val="48"/>
        </w:rPr>
      </w:pPr>
      <w:r>
        <w:rPr>
          <w:sz w:val="48"/>
          <w:szCs w:val="48"/>
        </w:rPr>
        <w:t>COLSTRIP</w:t>
      </w:r>
      <w:r w:rsidR="00045148" w:rsidRPr="00045148">
        <w:rPr>
          <w:sz w:val="48"/>
          <w:szCs w:val="48"/>
        </w:rPr>
        <w:br/>
      </w:r>
      <w:r w:rsidR="00CD5298">
        <w:rPr>
          <w:noProof/>
          <w:color w:val="FFFFFF" w:themeColor="background1"/>
          <w:sz w:val="48"/>
          <w:szCs w:val="48"/>
          <w:lang w:eastAsia="en-US"/>
        </w:rPr>
        <mc:AlternateContent>
          <mc:Choice Requires="wps">
            <w:drawing>
              <wp:anchor distT="0" distB="0" distL="0" distR="182880" simplePos="0" relativeHeight="251661312" behindDoc="0" locked="0" layoutInCell="1" allowOverlap="1" wp14:anchorId="17717E7E" wp14:editId="780E540E">
                <wp:simplePos x="0" y="0"/>
                <wp:positionH relativeFrom="margin">
                  <wp:posOffset>53340</wp:posOffset>
                </wp:positionH>
                <wp:positionV relativeFrom="line">
                  <wp:posOffset>223520</wp:posOffset>
                </wp:positionV>
                <wp:extent cx="2743200" cy="3423920"/>
                <wp:effectExtent l="0" t="0" r="0" b="5080"/>
                <wp:wrapThrough wrapText="right">
                  <wp:wrapPolygon edited="0">
                    <wp:start x="0" y="0"/>
                    <wp:lineTo x="0" y="21472"/>
                    <wp:lineTo x="21400" y="21472"/>
                    <wp:lineTo x="21400" y="0"/>
                    <wp:lineTo x="0" y="0"/>
                  </wp:wrapPolygon>
                </wp:wrapThrough>
                <wp:docPr id="54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3920"/>
                        </a:xfrm>
                        <a:prstGeom prst="rect">
                          <a:avLst/>
                        </a:prstGeom>
                        <a:solidFill>
                          <a:srgbClr val="71BB32"/>
                        </a:solidFill>
                        <a:ln>
                          <a:noFill/>
                        </a:ln>
                        <a:extLst/>
                      </wps:spPr>
                      <wps:txbx>
                        <w:txbxContent>
                          <w:p w14:paraId="1BE83960" w14:textId="77777777" w:rsidR="001271CC" w:rsidRPr="003E5E14" w:rsidRDefault="001271CC" w:rsidP="00833BEA">
                            <w:pPr>
                              <w:pStyle w:val="IRPsub1"/>
                              <w:rPr>
                                <w:i w:val="0"/>
                                <w:sz w:val="8"/>
                                <w:szCs w:val="32"/>
                              </w:rPr>
                            </w:pPr>
                          </w:p>
                          <w:p w14:paraId="36EDDF35" w14:textId="77777777" w:rsidR="001271CC" w:rsidRPr="00833BEA" w:rsidRDefault="001271CC" w:rsidP="00833BEA">
                            <w:pPr>
                              <w:pStyle w:val="IRPsub1"/>
                              <w:rPr>
                                <w:i w:val="0"/>
                                <w:sz w:val="32"/>
                                <w:szCs w:val="32"/>
                              </w:rPr>
                            </w:pPr>
                            <w:r>
                              <w:rPr>
                                <w:i w:val="0"/>
                                <w:sz w:val="32"/>
                                <w:szCs w:val="32"/>
                              </w:rPr>
                              <w:t>Contents</w:t>
                            </w:r>
                            <w:r>
                              <w:rPr>
                                <w:b/>
                                <w:color w:val="02265C"/>
                              </w:rPr>
                              <w:t xml:space="preserve"> </w:t>
                            </w:r>
                          </w:p>
                          <w:p w14:paraId="5E98CB18" w14:textId="77777777" w:rsidR="001271CC" w:rsidRPr="00833BEA" w:rsidRDefault="001271CC" w:rsidP="00833BEA">
                            <w:pPr>
                              <w:pStyle w:val="IRPsub1"/>
                              <w:tabs>
                                <w:tab w:val="left" w:pos="270"/>
                              </w:tabs>
                              <w:spacing w:before="80" w:after="80"/>
                              <w:rPr>
                                <w:b/>
                                <w:color w:val="02265C"/>
                              </w:rPr>
                            </w:pPr>
                            <w:r>
                              <w:rPr>
                                <w:b/>
                                <w:color w:val="02265C"/>
                              </w:rPr>
                              <w:t>K</w:t>
                            </w:r>
                            <w:r w:rsidRPr="00833BEA">
                              <w:rPr>
                                <w:b/>
                                <w:color w:val="02265C"/>
                              </w:rPr>
                              <w:t xml:space="preserve">-2. </w:t>
                            </w:r>
                            <w:r w:rsidRPr="00833BEA">
                              <w:rPr>
                                <w:b/>
                                <w:caps/>
                                <w:color w:val="02265C"/>
                              </w:rPr>
                              <w:t>Facility Description</w:t>
                            </w:r>
                          </w:p>
                          <w:p w14:paraId="26B44591" w14:textId="77777777" w:rsidR="001271CC" w:rsidRPr="00771D35" w:rsidRDefault="001271CC" w:rsidP="00C12FBA">
                            <w:pPr>
                              <w:pStyle w:val="IRPsub1"/>
                              <w:numPr>
                                <w:ilvl w:val="0"/>
                                <w:numId w:val="2"/>
                              </w:numPr>
                              <w:spacing w:before="80" w:after="80"/>
                              <w:rPr>
                                <w:color w:val="02265C"/>
                              </w:rPr>
                            </w:pPr>
                            <w:r>
                              <w:rPr>
                                <w:color w:val="02265C"/>
                              </w:rPr>
                              <w:t>Governance</w:t>
                            </w:r>
                          </w:p>
                          <w:p w14:paraId="6CDD8A17" w14:textId="77777777" w:rsidR="001271CC" w:rsidRDefault="001271CC" w:rsidP="00C12FBA">
                            <w:pPr>
                              <w:pStyle w:val="IRPsub1"/>
                              <w:numPr>
                                <w:ilvl w:val="0"/>
                                <w:numId w:val="2"/>
                              </w:numPr>
                              <w:spacing w:before="80" w:after="80"/>
                              <w:rPr>
                                <w:color w:val="02265C"/>
                              </w:rPr>
                            </w:pPr>
                            <w:r>
                              <w:rPr>
                                <w:color w:val="02265C"/>
                              </w:rPr>
                              <w:t>Requirements after Operations Cease</w:t>
                            </w:r>
                          </w:p>
                          <w:p w14:paraId="0A0779F6" w14:textId="77777777" w:rsidR="001271CC" w:rsidRDefault="001271CC" w:rsidP="00C12FBA">
                            <w:pPr>
                              <w:pStyle w:val="IRPsub1"/>
                              <w:numPr>
                                <w:ilvl w:val="0"/>
                                <w:numId w:val="2"/>
                              </w:numPr>
                              <w:spacing w:before="80" w:after="80"/>
                              <w:rPr>
                                <w:color w:val="02265C"/>
                              </w:rPr>
                            </w:pPr>
                            <w:r>
                              <w:rPr>
                                <w:color w:val="02265C"/>
                              </w:rPr>
                              <w:t xml:space="preserve">The History of Colstrip </w:t>
                            </w:r>
                          </w:p>
                          <w:p w14:paraId="5BDE9188" w14:textId="77777777" w:rsidR="001271CC" w:rsidRPr="00771D35" w:rsidRDefault="001271CC" w:rsidP="00C12FBA">
                            <w:pPr>
                              <w:pStyle w:val="IRPsub1"/>
                              <w:numPr>
                                <w:ilvl w:val="0"/>
                                <w:numId w:val="2"/>
                              </w:numPr>
                              <w:spacing w:before="80" w:after="80"/>
                              <w:rPr>
                                <w:color w:val="02265C"/>
                              </w:rPr>
                            </w:pPr>
                            <w:r>
                              <w:rPr>
                                <w:color w:val="02265C"/>
                              </w:rPr>
                              <w:t>Plant Operations</w:t>
                            </w:r>
                          </w:p>
                          <w:p w14:paraId="0481ECF8" w14:textId="77777777" w:rsidR="001271CC" w:rsidRPr="00833BEA" w:rsidRDefault="001271CC" w:rsidP="00833BEA">
                            <w:pPr>
                              <w:pStyle w:val="IRPsub1"/>
                              <w:spacing w:before="80" w:after="80"/>
                              <w:rPr>
                                <w:b/>
                                <w:caps/>
                                <w:color w:val="02265C"/>
                              </w:rPr>
                            </w:pPr>
                            <w:r>
                              <w:rPr>
                                <w:color w:val="02265C"/>
                              </w:rPr>
                              <w:t xml:space="preserve"> </w:t>
                            </w:r>
                            <w:r>
                              <w:rPr>
                                <w:b/>
                                <w:caps/>
                                <w:color w:val="02265C"/>
                              </w:rPr>
                              <w:t>K</w:t>
                            </w:r>
                            <w:r w:rsidR="00862C62">
                              <w:rPr>
                                <w:b/>
                                <w:caps/>
                                <w:color w:val="02265C"/>
                              </w:rPr>
                              <w:t>-12</w:t>
                            </w:r>
                            <w:r w:rsidRPr="00833BEA">
                              <w:rPr>
                                <w:b/>
                                <w:caps/>
                                <w:color w:val="02265C"/>
                              </w:rPr>
                              <w:t xml:space="preserve">. Rules </w:t>
                            </w:r>
                            <w:r>
                              <w:rPr>
                                <w:b/>
                                <w:caps/>
                                <w:color w:val="02265C"/>
                              </w:rPr>
                              <w:t>&amp;</w:t>
                            </w:r>
                            <w:r w:rsidRPr="00833BEA">
                              <w:rPr>
                                <w:b/>
                                <w:caps/>
                                <w:color w:val="02265C"/>
                              </w:rPr>
                              <w:t xml:space="preserve"> Proposed Rules</w:t>
                            </w:r>
                          </w:p>
                          <w:p w14:paraId="076CA26A" w14:textId="77777777" w:rsidR="001271CC" w:rsidRPr="00771D35" w:rsidRDefault="001271CC" w:rsidP="00C12FBA">
                            <w:pPr>
                              <w:pStyle w:val="IRPsub1"/>
                              <w:numPr>
                                <w:ilvl w:val="0"/>
                                <w:numId w:val="2"/>
                              </w:numPr>
                              <w:spacing w:before="80" w:after="80"/>
                              <w:rPr>
                                <w:color w:val="02265C"/>
                              </w:rPr>
                            </w:pPr>
                            <w:r>
                              <w:rPr>
                                <w:color w:val="02265C"/>
                              </w:rPr>
                              <w:t>Mercury and Air Toxics Rule</w:t>
                            </w:r>
                          </w:p>
                          <w:p w14:paraId="6D9F7873" w14:textId="77777777" w:rsidR="001271CC" w:rsidRDefault="001271CC" w:rsidP="00C12FBA">
                            <w:pPr>
                              <w:pStyle w:val="IRPsub1"/>
                              <w:numPr>
                                <w:ilvl w:val="0"/>
                                <w:numId w:val="2"/>
                              </w:numPr>
                              <w:spacing w:before="80" w:after="80"/>
                              <w:rPr>
                                <w:color w:val="02265C"/>
                              </w:rPr>
                            </w:pPr>
                            <w:r>
                              <w:rPr>
                                <w:color w:val="02265C"/>
                              </w:rPr>
                              <w:t>Regional Haze Rule</w:t>
                            </w:r>
                          </w:p>
                          <w:p w14:paraId="19DCB99C" w14:textId="77777777" w:rsidR="001271CC" w:rsidRPr="00771D35" w:rsidRDefault="001271CC" w:rsidP="00C12FBA">
                            <w:pPr>
                              <w:pStyle w:val="IRPsub1"/>
                              <w:numPr>
                                <w:ilvl w:val="0"/>
                                <w:numId w:val="2"/>
                              </w:numPr>
                              <w:spacing w:before="80" w:after="80"/>
                              <w:rPr>
                                <w:color w:val="02265C"/>
                              </w:rPr>
                            </w:pPr>
                            <w:r>
                              <w:rPr>
                                <w:color w:val="02265C"/>
                              </w:rPr>
                              <w:t>Coal Combustion Residuals Rule</w:t>
                            </w:r>
                          </w:p>
                          <w:p w14:paraId="43C94374" w14:textId="77777777" w:rsidR="001271CC" w:rsidRDefault="001271CC" w:rsidP="00C12FBA">
                            <w:pPr>
                              <w:pStyle w:val="IRPsub1"/>
                              <w:numPr>
                                <w:ilvl w:val="0"/>
                                <w:numId w:val="2"/>
                              </w:numPr>
                              <w:spacing w:before="80" w:after="80"/>
                              <w:rPr>
                                <w:color w:val="02265C"/>
                              </w:rPr>
                            </w:pPr>
                            <w:r>
                              <w:rPr>
                                <w:color w:val="02265C"/>
                              </w:rPr>
                              <w:t>Clean Water Act</w:t>
                            </w:r>
                          </w:p>
                          <w:p w14:paraId="1B2D924F" w14:textId="77777777" w:rsidR="001271CC" w:rsidRPr="003714F7" w:rsidRDefault="001271CC" w:rsidP="003714F7">
                            <w:pPr>
                              <w:pStyle w:val="IRPsub1"/>
                              <w:numPr>
                                <w:ilvl w:val="0"/>
                                <w:numId w:val="2"/>
                              </w:numPr>
                              <w:spacing w:before="80" w:after="80"/>
                              <w:rPr>
                                <w:color w:val="02265C"/>
                              </w:rPr>
                            </w:pPr>
                            <w:r w:rsidRPr="003714F7">
                              <w:rPr>
                                <w:color w:val="02265C"/>
                              </w:rPr>
                              <w:t>Clean Air Act</w:t>
                            </w:r>
                          </w:p>
                          <w:p w14:paraId="3E529A05" w14:textId="77777777" w:rsidR="001271CC" w:rsidRDefault="001271CC" w:rsidP="00A42BDB">
                            <w:pPr>
                              <w:pStyle w:val="IRPsub1"/>
                              <w:spacing w:before="80" w:after="80"/>
                              <w:ind w:left="720"/>
                              <w:rPr>
                                <w:color w:val="02265C"/>
                              </w:rPr>
                            </w:pPr>
                          </w:p>
                          <w:p w14:paraId="01EB89F0" w14:textId="77777777" w:rsidR="001271CC" w:rsidRPr="00771D35" w:rsidRDefault="001271CC" w:rsidP="00890FDA">
                            <w:pPr>
                              <w:pStyle w:val="IRPsub1"/>
                              <w:spacing w:before="80" w:after="80"/>
                              <w:rPr>
                                <w:color w:val="02265C"/>
                              </w:rPr>
                            </w:pPr>
                          </w:p>
                          <w:p w14:paraId="441760AD" w14:textId="77777777" w:rsidR="001271CC" w:rsidRPr="00771D35" w:rsidRDefault="001271CC" w:rsidP="00B12366">
                            <w:pPr>
                              <w:pStyle w:val="IRPsub1"/>
                              <w:spacing w:before="80" w:after="80"/>
                              <w:ind w:firstLine="270"/>
                              <w:rPr>
                                <w:color w:val="02265C"/>
                              </w:rPr>
                            </w:pPr>
                          </w:p>
                          <w:p w14:paraId="4FE4B84C" w14:textId="77777777" w:rsidR="001271CC" w:rsidRPr="00D013FE" w:rsidRDefault="001271CC" w:rsidP="00601E72">
                            <w:pPr>
                              <w:pStyle w:val="IRPsub1"/>
                            </w:pPr>
                          </w:p>
                          <w:p w14:paraId="147F1839" w14:textId="77777777" w:rsidR="001271CC" w:rsidRPr="00D013FE" w:rsidRDefault="001271CC" w:rsidP="00601E72">
                            <w:pPr>
                              <w:pStyle w:val="IRPsub1"/>
                            </w:pP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7" o:spid="_x0000_s1026" type="#_x0000_t202" style="position:absolute;margin-left:4.2pt;margin-top:17.6pt;width:3in;height:269.6pt;z-index:251661312;visibility:visible;mso-wrap-style:square;mso-width-percent:0;mso-height-percent:0;mso-wrap-distance-left:0;mso-wrap-distance-top:0;mso-wrap-distance-right:14.4pt;mso-wrap-distance-bottom:0;mso-position-horizontal:absolute;mso-position-horizontal-relative:margin;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" fillcolor="#71bb32" stroked="f">
                <v:textbox inset="14.4pt,7.2pt,,7.2pt">
                  <w:txbxContent>
                    <w:p w14:paraId="1BE83960" w14:textId="77777777" w:rsidR="001271CC" w:rsidRPr="003E5E14" w:rsidRDefault="001271CC" w:rsidP="00833BEA">
                      <w:pPr>
                        <w:pStyle w:val="IRPsub1"/>
                        <w:rPr>
                          <w:i w:val="0"/>
                          <w:sz w:val="8"/>
                          <w:szCs w:val="32"/>
                        </w:rPr>
                      </w:pPr>
                    </w:p>
                    <w:p w14:paraId="36EDDF35" w14:textId="77777777" w:rsidR="001271CC" w:rsidRPr="00833BEA" w:rsidRDefault="001271CC" w:rsidP="00833BEA">
                      <w:pPr>
                        <w:pStyle w:val="IRPsub1"/>
                        <w:rPr>
                          <w:i w:val="0"/>
                          <w:sz w:val="32"/>
                          <w:szCs w:val="32"/>
                        </w:rPr>
                      </w:pPr>
                      <w:r>
                        <w:rPr>
                          <w:i w:val="0"/>
                          <w:sz w:val="32"/>
                          <w:szCs w:val="32"/>
                        </w:rPr>
                        <w:t>Contents</w:t>
                      </w:r>
                      <w:r>
                        <w:rPr>
                          <w:b/>
                          <w:color w:val="02265C"/>
                        </w:rPr>
                        <w:t xml:space="preserve"> </w:t>
                      </w:r>
                    </w:p>
                    <w:p w14:paraId="5E98CB18" w14:textId="77777777" w:rsidR="001271CC" w:rsidRPr="00833BEA" w:rsidRDefault="001271CC" w:rsidP="00833BEA">
                      <w:pPr>
                        <w:pStyle w:val="IRPsub1"/>
                        <w:tabs>
                          <w:tab w:val="left" w:pos="270"/>
                        </w:tabs>
                        <w:spacing w:before="80" w:after="80"/>
                        <w:rPr>
                          <w:b/>
                          <w:color w:val="02265C"/>
                        </w:rPr>
                      </w:pPr>
                      <w:r>
                        <w:rPr>
                          <w:b/>
                          <w:color w:val="02265C"/>
                        </w:rPr>
                        <w:t>K</w:t>
                      </w:r>
                      <w:r w:rsidRPr="00833BEA">
                        <w:rPr>
                          <w:b/>
                          <w:color w:val="02265C"/>
                        </w:rPr>
                        <w:t xml:space="preserve">-2. </w:t>
                      </w:r>
                      <w:r w:rsidRPr="00833BEA">
                        <w:rPr>
                          <w:b/>
                          <w:caps/>
                          <w:color w:val="02265C"/>
                        </w:rPr>
                        <w:t>Facility Description</w:t>
                      </w:r>
                    </w:p>
                    <w:p w14:paraId="26B44591" w14:textId="77777777" w:rsidR="001271CC" w:rsidRPr="00771D35" w:rsidRDefault="001271CC" w:rsidP="00C12FBA">
                      <w:pPr>
                        <w:pStyle w:val="IRPsub1"/>
                        <w:numPr>
                          <w:ilvl w:val="0"/>
                          <w:numId w:val="2"/>
                        </w:numPr>
                        <w:spacing w:before="80" w:after="80"/>
                        <w:rPr>
                          <w:color w:val="02265C"/>
                        </w:rPr>
                      </w:pPr>
                      <w:r>
                        <w:rPr>
                          <w:color w:val="02265C"/>
                        </w:rPr>
                        <w:t>Governance</w:t>
                      </w:r>
                    </w:p>
                    <w:p w14:paraId="6CDD8A17" w14:textId="77777777" w:rsidR="001271CC" w:rsidRDefault="001271CC" w:rsidP="00C12FBA">
                      <w:pPr>
                        <w:pStyle w:val="IRPsub1"/>
                        <w:numPr>
                          <w:ilvl w:val="0"/>
                          <w:numId w:val="2"/>
                        </w:numPr>
                        <w:spacing w:before="80" w:after="80"/>
                        <w:rPr>
                          <w:color w:val="02265C"/>
                        </w:rPr>
                      </w:pPr>
                      <w:r>
                        <w:rPr>
                          <w:color w:val="02265C"/>
                        </w:rPr>
                        <w:t>Requirements after Operations Cease</w:t>
                      </w:r>
                    </w:p>
                    <w:p w14:paraId="0A0779F6" w14:textId="77777777" w:rsidR="001271CC" w:rsidRDefault="001271CC" w:rsidP="00C12FBA">
                      <w:pPr>
                        <w:pStyle w:val="IRPsub1"/>
                        <w:numPr>
                          <w:ilvl w:val="0"/>
                          <w:numId w:val="2"/>
                        </w:numPr>
                        <w:spacing w:before="80" w:after="80"/>
                        <w:rPr>
                          <w:color w:val="02265C"/>
                        </w:rPr>
                      </w:pPr>
                      <w:r>
                        <w:rPr>
                          <w:color w:val="02265C"/>
                        </w:rPr>
                        <w:t xml:space="preserve">The History of Colstrip </w:t>
                      </w:r>
                    </w:p>
                    <w:p w14:paraId="5BDE9188" w14:textId="77777777" w:rsidR="001271CC" w:rsidRPr="00771D35" w:rsidRDefault="001271CC" w:rsidP="00C12FBA">
                      <w:pPr>
                        <w:pStyle w:val="IRPsub1"/>
                        <w:numPr>
                          <w:ilvl w:val="0"/>
                          <w:numId w:val="2"/>
                        </w:numPr>
                        <w:spacing w:before="80" w:after="80"/>
                        <w:rPr>
                          <w:color w:val="02265C"/>
                        </w:rPr>
                      </w:pPr>
                      <w:r>
                        <w:rPr>
                          <w:color w:val="02265C"/>
                        </w:rPr>
                        <w:t>Plant Operations</w:t>
                      </w:r>
                    </w:p>
                    <w:p w14:paraId="0481ECF8" w14:textId="77777777" w:rsidR="001271CC" w:rsidRPr="00833BEA" w:rsidRDefault="001271CC" w:rsidP="00833BEA">
                      <w:pPr>
                        <w:pStyle w:val="IRPsub1"/>
                        <w:spacing w:before="80" w:after="80"/>
                        <w:rPr>
                          <w:b/>
                          <w:caps/>
                          <w:color w:val="02265C"/>
                        </w:rPr>
                      </w:pPr>
                      <w:r>
                        <w:rPr>
                          <w:color w:val="02265C"/>
                        </w:rPr>
                        <w:t xml:space="preserve"> </w:t>
                      </w:r>
                      <w:r>
                        <w:rPr>
                          <w:b/>
                          <w:caps/>
                          <w:color w:val="02265C"/>
                        </w:rPr>
                        <w:t>K</w:t>
                      </w:r>
                      <w:r w:rsidR="00862C62">
                        <w:rPr>
                          <w:b/>
                          <w:caps/>
                          <w:color w:val="02265C"/>
                        </w:rPr>
                        <w:t>-12</w:t>
                      </w:r>
                      <w:r w:rsidRPr="00833BEA">
                        <w:rPr>
                          <w:b/>
                          <w:caps/>
                          <w:color w:val="02265C"/>
                        </w:rPr>
                        <w:t xml:space="preserve">. Rules </w:t>
                      </w:r>
                      <w:r>
                        <w:rPr>
                          <w:b/>
                          <w:caps/>
                          <w:color w:val="02265C"/>
                        </w:rPr>
                        <w:t>&amp;</w:t>
                      </w:r>
                      <w:r w:rsidRPr="00833BEA">
                        <w:rPr>
                          <w:b/>
                          <w:caps/>
                          <w:color w:val="02265C"/>
                        </w:rPr>
                        <w:t xml:space="preserve"> Proposed Rules</w:t>
                      </w:r>
                    </w:p>
                    <w:p w14:paraId="076CA26A" w14:textId="77777777" w:rsidR="001271CC" w:rsidRPr="00771D35" w:rsidRDefault="001271CC" w:rsidP="00C12FBA">
                      <w:pPr>
                        <w:pStyle w:val="IRPsub1"/>
                        <w:numPr>
                          <w:ilvl w:val="0"/>
                          <w:numId w:val="2"/>
                        </w:numPr>
                        <w:spacing w:before="80" w:after="80"/>
                        <w:rPr>
                          <w:color w:val="02265C"/>
                        </w:rPr>
                      </w:pPr>
                      <w:r>
                        <w:rPr>
                          <w:color w:val="02265C"/>
                        </w:rPr>
                        <w:t>Mercury and Air Toxics Rule</w:t>
                      </w:r>
                    </w:p>
                    <w:p w14:paraId="6D9F7873" w14:textId="77777777" w:rsidR="001271CC" w:rsidRDefault="001271CC" w:rsidP="00C12FBA">
                      <w:pPr>
                        <w:pStyle w:val="IRPsub1"/>
                        <w:numPr>
                          <w:ilvl w:val="0"/>
                          <w:numId w:val="2"/>
                        </w:numPr>
                        <w:spacing w:before="80" w:after="80"/>
                        <w:rPr>
                          <w:color w:val="02265C"/>
                        </w:rPr>
                      </w:pPr>
                      <w:r>
                        <w:rPr>
                          <w:color w:val="02265C"/>
                        </w:rPr>
                        <w:t>Regional Haze Rule</w:t>
                      </w:r>
                    </w:p>
                    <w:p w14:paraId="19DCB99C" w14:textId="77777777" w:rsidR="001271CC" w:rsidRPr="00771D35" w:rsidRDefault="001271CC" w:rsidP="00C12FBA">
                      <w:pPr>
                        <w:pStyle w:val="IRPsub1"/>
                        <w:numPr>
                          <w:ilvl w:val="0"/>
                          <w:numId w:val="2"/>
                        </w:numPr>
                        <w:spacing w:before="80" w:after="80"/>
                        <w:rPr>
                          <w:color w:val="02265C"/>
                        </w:rPr>
                      </w:pPr>
                      <w:r>
                        <w:rPr>
                          <w:color w:val="02265C"/>
                        </w:rPr>
                        <w:t>Coal Combustion Residuals Rule</w:t>
                      </w:r>
                    </w:p>
                    <w:p w14:paraId="43C94374" w14:textId="77777777" w:rsidR="001271CC" w:rsidRDefault="001271CC" w:rsidP="00C12FBA">
                      <w:pPr>
                        <w:pStyle w:val="IRPsub1"/>
                        <w:numPr>
                          <w:ilvl w:val="0"/>
                          <w:numId w:val="2"/>
                        </w:numPr>
                        <w:spacing w:before="80" w:after="80"/>
                        <w:rPr>
                          <w:color w:val="02265C"/>
                        </w:rPr>
                      </w:pPr>
                      <w:r>
                        <w:rPr>
                          <w:color w:val="02265C"/>
                        </w:rPr>
                        <w:t>Clean Water Act</w:t>
                      </w:r>
                    </w:p>
                    <w:p w14:paraId="1B2D924F" w14:textId="77777777" w:rsidR="001271CC" w:rsidRPr="003714F7" w:rsidRDefault="001271CC" w:rsidP="003714F7">
                      <w:pPr>
                        <w:pStyle w:val="IRPsub1"/>
                        <w:numPr>
                          <w:ilvl w:val="0"/>
                          <w:numId w:val="2"/>
                        </w:numPr>
                        <w:spacing w:before="80" w:after="80"/>
                        <w:rPr>
                          <w:color w:val="02265C"/>
                        </w:rPr>
                      </w:pPr>
                      <w:r w:rsidRPr="003714F7">
                        <w:rPr>
                          <w:color w:val="02265C"/>
                        </w:rPr>
                        <w:t>Clean Air Act</w:t>
                      </w:r>
                    </w:p>
                    <w:p w14:paraId="3E529A05" w14:textId="77777777" w:rsidR="001271CC" w:rsidRDefault="001271CC" w:rsidP="00A42BDB">
                      <w:pPr>
                        <w:pStyle w:val="IRPsub1"/>
                        <w:spacing w:before="80" w:after="80"/>
                        <w:ind w:left="720"/>
                        <w:rPr>
                          <w:color w:val="02265C"/>
                        </w:rPr>
                      </w:pPr>
                    </w:p>
                    <w:p w14:paraId="01EB89F0" w14:textId="77777777" w:rsidR="001271CC" w:rsidRPr="00771D35" w:rsidRDefault="001271CC" w:rsidP="00890FDA">
                      <w:pPr>
                        <w:pStyle w:val="IRPsub1"/>
                        <w:spacing w:before="80" w:after="80"/>
                        <w:rPr>
                          <w:color w:val="02265C"/>
                        </w:rPr>
                      </w:pPr>
                    </w:p>
                    <w:p w14:paraId="441760AD" w14:textId="77777777" w:rsidR="001271CC" w:rsidRPr="00771D35" w:rsidRDefault="001271CC" w:rsidP="00B12366">
                      <w:pPr>
                        <w:pStyle w:val="IRPsub1"/>
                        <w:spacing w:before="80" w:after="80"/>
                        <w:ind w:firstLine="270"/>
                        <w:rPr>
                          <w:color w:val="02265C"/>
                        </w:rPr>
                      </w:pPr>
                    </w:p>
                    <w:p w14:paraId="4FE4B84C" w14:textId="77777777" w:rsidR="001271CC" w:rsidRPr="00D013FE" w:rsidRDefault="001271CC" w:rsidP="00601E72">
                      <w:pPr>
                        <w:pStyle w:val="IRPsub1"/>
                      </w:pPr>
                    </w:p>
                    <w:p w14:paraId="147F1839" w14:textId="77777777" w:rsidR="001271CC" w:rsidRPr="00D013FE" w:rsidRDefault="001271CC" w:rsidP="00601E72">
                      <w:pPr>
                        <w:pStyle w:val="IRPsub1"/>
                      </w:pPr>
                    </w:p>
                  </w:txbxContent>
                </v:textbox>
                <w10:wrap type="through" side="right" anchorx="margin" anchory="line"/>
              </v:shape>
            </w:pict>
          </mc:Fallback>
        </mc:AlternateContent>
      </w:r>
    </w:p>
    <w:p w14:paraId="23DE85DA" w14:textId="77777777" w:rsidR="001772B1" w:rsidRDefault="00890FDA" w:rsidP="00890FDA">
      <w:pPr>
        <w:pStyle w:val="IRPseriftextbig"/>
      </w:pPr>
      <w:r w:rsidRPr="00CD755D">
        <w:t>This appendix describes the Colstrip generating plant, its ownership structure, governance agreements and the history of the site. It explains plant operations and describes the measures the plant em</w:t>
      </w:r>
      <w:r>
        <w:t xml:space="preserve">ploys to minimize environmental </w:t>
      </w:r>
      <w:r w:rsidRPr="00CD755D">
        <w:t>impacts.</w:t>
      </w:r>
      <w:r>
        <w:t xml:space="preserve"> </w:t>
      </w:r>
      <w:r w:rsidRPr="00CD755D">
        <w:t>Finally, it summarizes the rules and regulations that may impact the</w:t>
      </w:r>
      <w:r>
        <w:t xml:space="preserve"> </w:t>
      </w:r>
      <w:r w:rsidRPr="00CD755D">
        <w:t>plant’s future operation.</w:t>
      </w:r>
      <w:bookmarkStart w:id="0" w:name="J.1_Facility_Description_"/>
      <w:bookmarkEnd w:id="0"/>
      <w:r w:rsidRPr="00BC105C">
        <w:rPr>
          <w:rStyle w:val="FootnoteReference"/>
          <w:sz w:val="32"/>
          <w:szCs w:val="32"/>
        </w:rPr>
        <w:footnoteReference w:id="1"/>
      </w:r>
      <w:r w:rsidR="001772B1">
        <w:t xml:space="preserve"> </w:t>
      </w:r>
    </w:p>
    <w:p w14:paraId="2AC1D37D" w14:textId="77777777" w:rsidR="001772B1" w:rsidRDefault="001772B1" w:rsidP="00890FDA">
      <w:pPr>
        <w:pStyle w:val="IRPseriftextbig"/>
      </w:pPr>
    </w:p>
    <w:p w14:paraId="68DB2D56" w14:textId="77777777" w:rsidR="00890FDA" w:rsidRPr="00CD755D" w:rsidRDefault="008B338F" w:rsidP="00890FDA">
      <w:pPr>
        <w:pStyle w:val="IRPseriftextbig"/>
      </w:pPr>
      <w:r>
        <w:t>For discussion of the Colstrip sensitivities modeled in the 2015 IRP, s</w:t>
      </w:r>
      <w:r w:rsidR="001772B1">
        <w:t xml:space="preserve">ee Chapter 6, Electric Analysis and Appendix </w:t>
      </w:r>
      <w:r>
        <w:t>N</w:t>
      </w:r>
      <w:r w:rsidR="001772B1">
        <w:t>.</w:t>
      </w:r>
    </w:p>
    <w:p w14:paraId="3B672EA9" w14:textId="77777777" w:rsidR="00890FDA" w:rsidRDefault="00890FDA" w:rsidP="00C12FBA">
      <w:pPr>
        <w:pStyle w:val="IRPsanstext"/>
      </w:pPr>
    </w:p>
    <w:p w14:paraId="0075CAE3" w14:textId="77777777" w:rsidR="00E573B5" w:rsidRDefault="00E573B5"/>
    <w:p w14:paraId="41F51080" w14:textId="77777777" w:rsidR="00890FDA" w:rsidRPr="00E573B5" w:rsidRDefault="00890FDA">
      <w:pPr>
        <w:rPr>
          <w:rFonts w:ascii="Arial" w:hAnsi="Arial"/>
          <w:color w:val="FF0000"/>
        </w:rPr>
      </w:pPr>
      <w:r w:rsidRPr="00E573B5">
        <w:rPr>
          <w:color w:val="FF0000"/>
        </w:rPr>
        <w:br w:type="page"/>
      </w:r>
    </w:p>
    <w:p w14:paraId="7186D484" w14:textId="77777777" w:rsidR="0020632A" w:rsidRPr="00833BEA" w:rsidRDefault="007B77F0" w:rsidP="0089210A">
      <w:pPr>
        <w:pStyle w:val="IRPtitl"/>
        <w:ind w:left="0" w:firstLine="0"/>
        <w:rPr>
          <w:b/>
        </w:rPr>
      </w:pPr>
      <w:r>
        <w:rPr>
          <w:b/>
        </w:rPr>
        <w:lastRenderedPageBreak/>
        <w:t>FACI</w:t>
      </w:r>
      <w:r w:rsidR="00890FDA" w:rsidRPr="00833BEA">
        <w:rPr>
          <w:b/>
        </w:rPr>
        <w:t>L</w:t>
      </w:r>
      <w:r>
        <w:rPr>
          <w:b/>
        </w:rPr>
        <w:t>I</w:t>
      </w:r>
      <w:r w:rsidR="00890FDA" w:rsidRPr="00833BEA">
        <w:rPr>
          <w:b/>
        </w:rPr>
        <w:t>TY DESCRIPTION</w:t>
      </w:r>
    </w:p>
    <w:p w14:paraId="5C93C556" w14:textId="77777777" w:rsidR="0020632A" w:rsidRDefault="0020632A" w:rsidP="00890FDA">
      <w:pPr>
        <w:pStyle w:val="IRPsanstext"/>
      </w:pPr>
    </w:p>
    <w:p w14:paraId="2C0657F9" w14:textId="77777777" w:rsidR="00890FDA" w:rsidRPr="009F7AD8" w:rsidRDefault="00890FDA" w:rsidP="00890FDA">
      <w:pPr>
        <w:pStyle w:val="IRPsanstext"/>
        <w:rPr>
          <w:sz w:val="20"/>
        </w:rPr>
      </w:pPr>
      <w:r w:rsidRPr="009F7AD8">
        <w:rPr>
          <w:sz w:val="20"/>
        </w:rPr>
        <w:t xml:space="preserve">The Colstrip generating plant supplies PSE customers with reliable, low-cost electric power. It also contributes diversity to the electric resource portfolio. Currently the facility supplies </w:t>
      </w:r>
      <w:r w:rsidR="00454C32" w:rsidRPr="009F7AD8">
        <w:rPr>
          <w:sz w:val="20"/>
        </w:rPr>
        <w:t xml:space="preserve">18 to </w:t>
      </w:r>
      <w:r w:rsidRPr="009F7AD8">
        <w:rPr>
          <w:sz w:val="20"/>
        </w:rPr>
        <w:t>20 percent of the energy needed to serve PSE’s energy needs on an annual basis. The plant consists of four coal-fired steam electric plant units located in eastern Montana about 120 miles southeast of Billings. It was built in two phases.</w:t>
      </w:r>
    </w:p>
    <w:p w14:paraId="0A69BC3C" w14:textId="77777777" w:rsidR="00890FDA" w:rsidRPr="009F7AD8" w:rsidRDefault="00890FDA" w:rsidP="009179E5">
      <w:pPr>
        <w:pStyle w:val="IRPsanstext"/>
        <w:rPr>
          <w:sz w:val="20"/>
        </w:rPr>
      </w:pPr>
    </w:p>
    <w:p w14:paraId="1566F5EF" w14:textId="77777777" w:rsidR="0097287B" w:rsidRPr="009F7AD8" w:rsidRDefault="00890FDA" w:rsidP="00BC105C">
      <w:pPr>
        <w:pStyle w:val="IRPsanstext"/>
        <w:numPr>
          <w:ilvl w:val="0"/>
          <w:numId w:val="16"/>
        </w:numPr>
        <w:rPr>
          <w:sz w:val="20"/>
        </w:rPr>
      </w:pPr>
      <w:r w:rsidRPr="009F7AD8">
        <w:rPr>
          <w:sz w:val="20"/>
        </w:rPr>
        <w:t xml:space="preserve">Units 1 &amp; 2 began operation in 1975 and 1976, respectively. Each produces up to 307 </w:t>
      </w:r>
      <w:r w:rsidR="008D0E9F" w:rsidRPr="009F7AD8">
        <w:rPr>
          <w:sz w:val="20"/>
        </w:rPr>
        <w:t>megawatts (</w:t>
      </w:r>
      <w:r w:rsidRPr="009F7AD8">
        <w:rPr>
          <w:sz w:val="20"/>
        </w:rPr>
        <w:t>MW</w:t>
      </w:r>
      <w:r w:rsidR="008D0E9F" w:rsidRPr="009F7AD8">
        <w:rPr>
          <w:sz w:val="20"/>
        </w:rPr>
        <w:t>)</w:t>
      </w:r>
      <w:r w:rsidRPr="009F7AD8">
        <w:rPr>
          <w:sz w:val="20"/>
        </w:rPr>
        <w:t xml:space="preserve"> net. PSE and </w:t>
      </w:r>
      <w:r w:rsidR="00CC1B07" w:rsidRPr="009F7AD8">
        <w:rPr>
          <w:sz w:val="20"/>
        </w:rPr>
        <w:t xml:space="preserve">Talen Energy (formerly </w:t>
      </w:r>
      <w:r w:rsidRPr="009F7AD8">
        <w:rPr>
          <w:sz w:val="20"/>
        </w:rPr>
        <w:t>PPL</w:t>
      </w:r>
      <w:r w:rsidR="00833BEA" w:rsidRPr="009F7AD8">
        <w:rPr>
          <w:sz w:val="20"/>
        </w:rPr>
        <w:t xml:space="preserve"> Montana</w:t>
      </w:r>
      <w:r w:rsidR="00CC1B07" w:rsidRPr="009F7AD8">
        <w:rPr>
          <w:sz w:val="20"/>
        </w:rPr>
        <w:t>)</w:t>
      </w:r>
      <w:r w:rsidRPr="009F7AD8">
        <w:rPr>
          <w:sz w:val="20"/>
        </w:rPr>
        <w:t xml:space="preserve"> each own a </w:t>
      </w:r>
      <w:proofErr w:type="gramStart"/>
      <w:r w:rsidRPr="009F7AD8">
        <w:rPr>
          <w:sz w:val="20"/>
        </w:rPr>
        <w:t>50 percent undivided</w:t>
      </w:r>
      <w:proofErr w:type="gramEnd"/>
      <w:r w:rsidRPr="009F7AD8">
        <w:rPr>
          <w:sz w:val="20"/>
        </w:rPr>
        <w:t xml:space="preserve"> interest in both units.</w:t>
      </w:r>
    </w:p>
    <w:p w14:paraId="29F584C7" w14:textId="77777777" w:rsidR="00890FDA" w:rsidRPr="009F7AD8" w:rsidRDefault="00890FDA" w:rsidP="009179E5">
      <w:pPr>
        <w:pStyle w:val="IRPsanstext"/>
        <w:numPr>
          <w:ilvl w:val="0"/>
          <w:numId w:val="16"/>
        </w:numPr>
        <w:rPr>
          <w:sz w:val="20"/>
        </w:rPr>
      </w:pPr>
      <w:r w:rsidRPr="009F7AD8">
        <w:rPr>
          <w:sz w:val="20"/>
        </w:rPr>
        <w:t xml:space="preserve">Units 3 &amp; 4 began operation in 1984 and 1986, respectively. Each produces up to 740 MW net. Six companies participate in the ownership of Units 3 &amp; 4. PSE owns 25 </w:t>
      </w:r>
      <w:proofErr w:type="gramStart"/>
      <w:r w:rsidRPr="009F7AD8">
        <w:rPr>
          <w:sz w:val="20"/>
        </w:rPr>
        <w:t>percent</w:t>
      </w:r>
      <w:proofErr w:type="gramEnd"/>
      <w:r w:rsidRPr="009F7AD8">
        <w:rPr>
          <w:sz w:val="20"/>
        </w:rPr>
        <w:t xml:space="preserve"> each of Units 3 &amp; 4, Portland General Electric (PGE) owns 20 percent of both units, Avista owns 15 percent of both units and PacifiCorp owns 10 percent of both. </w:t>
      </w:r>
      <w:r w:rsidR="00CC1B07" w:rsidRPr="009F7AD8">
        <w:rPr>
          <w:sz w:val="20"/>
        </w:rPr>
        <w:t xml:space="preserve">Talen Energy </w:t>
      </w:r>
      <w:r w:rsidRPr="009F7AD8">
        <w:rPr>
          <w:sz w:val="20"/>
        </w:rPr>
        <w:t xml:space="preserve">owns 30 percent of Unit 3 and NorthWestern Energy </w:t>
      </w:r>
      <w:proofErr w:type="gramStart"/>
      <w:r w:rsidRPr="009F7AD8">
        <w:rPr>
          <w:sz w:val="20"/>
        </w:rPr>
        <w:t>owns</w:t>
      </w:r>
      <w:proofErr w:type="gramEnd"/>
      <w:r w:rsidRPr="009F7AD8">
        <w:rPr>
          <w:sz w:val="20"/>
        </w:rPr>
        <w:t xml:space="preserve"> 30 percent of Unit 4.</w:t>
      </w:r>
    </w:p>
    <w:p w14:paraId="4AF38D8D" w14:textId="77777777" w:rsidR="009179E5" w:rsidRPr="009F7AD8" w:rsidRDefault="009179E5" w:rsidP="00890FDA">
      <w:pPr>
        <w:pStyle w:val="IRPsanstext"/>
        <w:rPr>
          <w:sz w:val="20"/>
        </w:rPr>
      </w:pPr>
    </w:p>
    <w:p w14:paraId="7C8A2A18" w14:textId="77777777" w:rsidR="00890FDA" w:rsidRPr="00CD755D" w:rsidRDefault="00833BEA" w:rsidP="00890FDA">
      <w:pPr>
        <w:pStyle w:val="IRPsanstext"/>
      </w:pPr>
      <w:r w:rsidRPr="009F7AD8">
        <w:rPr>
          <w:sz w:val="20"/>
        </w:rPr>
        <w:t>Figure K</w:t>
      </w:r>
      <w:r w:rsidR="00890FDA" w:rsidRPr="009F7AD8">
        <w:rPr>
          <w:sz w:val="20"/>
        </w:rPr>
        <w:t>-1 summarizes ownership of the Colstrip plant</w:t>
      </w:r>
      <w:r w:rsidR="00890FDA" w:rsidRPr="00CD755D">
        <w:t>.</w:t>
      </w:r>
    </w:p>
    <w:p w14:paraId="5B7DCCAF" w14:textId="77777777" w:rsidR="007247D3" w:rsidRPr="00CD5298" w:rsidRDefault="00890FDA" w:rsidP="00CD5298">
      <w:pPr>
        <w:rPr>
          <w:rFonts w:ascii="Arial" w:hAnsi="Arial"/>
          <w:color w:val="000000" w:themeColor="text1"/>
        </w:rPr>
      </w:pPr>
      <w:r>
        <w:rPr>
          <w:color w:val="000000" w:themeColor="text1"/>
        </w:rPr>
        <w:br w:type="page"/>
      </w:r>
    </w:p>
    <w:p w14:paraId="04223A0F" w14:textId="77777777" w:rsidR="00890FDA" w:rsidRDefault="00833BEA" w:rsidP="005D07CB">
      <w:pPr>
        <w:pStyle w:val="IRPFigureSub"/>
      </w:pPr>
      <w:r>
        <w:lastRenderedPageBreak/>
        <w:t>Figure K</w:t>
      </w:r>
      <w:r w:rsidR="00890FDA" w:rsidRPr="00CD755D">
        <w:t>-1</w:t>
      </w:r>
      <w:r>
        <w:t>:</w:t>
      </w:r>
      <w:r w:rsidR="00BF46A9">
        <w:t xml:space="preserve"> </w:t>
      </w:r>
      <w:r w:rsidR="00890FDA" w:rsidRPr="00CD755D">
        <w:t xml:space="preserve">Colstrip </w:t>
      </w:r>
      <w:r w:rsidR="00890FDA" w:rsidRPr="005D07CB">
        <w:t>Ownership</w:t>
      </w:r>
      <w:r w:rsidR="00890FDA" w:rsidRPr="00CD755D">
        <w:t xml:space="preserve"> Share by Unit and Owner</w:t>
      </w:r>
    </w:p>
    <w:tbl>
      <w:tblPr>
        <w:tblW w:w="0" w:type="auto"/>
        <w:tblInd w:w="98" w:type="dxa"/>
        <w:tblLayout w:type="fixed"/>
        <w:tblCellMar>
          <w:left w:w="0" w:type="dxa"/>
          <w:right w:w="0" w:type="dxa"/>
        </w:tblCellMar>
        <w:tblLook w:val="01E0" w:firstRow="1" w:lastRow="1" w:firstColumn="1" w:lastColumn="1" w:noHBand="0" w:noVBand="0"/>
      </w:tblPr>
      <w:tblGrid>
        <w:gridCol w:w="1488"/>
        <w:gridCol w:w="648"/>
        <w:gridCol w:w="931"/>
        <w:gridCol w:w="926"/>
        <w:gridCol w:w="947"/>
        <w:gridCol w:w="951"/>
        <w:gridCol w:w="1229"/>
        <w:gridCol w:w="1330"/>
      </w:tblGrid>
      <w:tr w:rsidR="00890FDA" w:rsidRPr="00044CBE" w14:paraId="4224285D" w14:textId="77777777">
        <w:trPr>
          <w:trHeight w:hRule="exact" w:val="525"/>
        </w:trPr>
        <w:tc>
          <w:tcPr>
            <w:tcW w:w="1488" w:type="dxa"/>
            <w:tcBorders>
              <w:top w:val="single" w:sz="5" w:space="0" w:color="000000"/>
              <w:left w:val="single" w:sz="5" w:space="0" w:color="000000"/>
              <w:bottom w:val="single" w:sz="5" w:space="0" w:color="000000"/>
              <w:right w:val="single" w:sz="5" w:space="0" w:color="000000"/>
            </w:tcBorders>
            <w:shd w:val="clear" w:color="auto" w:fill="006A71"/>
            <w:vAlign w:val="center"/>
          </w:tcPr>
          <w:p w14:paraId="3019F4D1" w14:textId="77777777" w:rsidR="00890FDA" w:rsidRPr="00833BEA" w:rsidRDefault="00833BEA" w:rsidP="00833BEA">
            <w:pPr>
              <w:pStyle w:val="IRPsanstext"/>
              <w:spacing w:line="240" w:lineRule="auto"/>
              <w:jc w:val="center"/>
              <w:rPr>
                <w:b/>
                <w:color w:val="FFFFFF" w:themeColor="background1"/>
                <w:sz w:val="18"/>
                <w:szCs w:val="18"/>
              </w:rPr>
            </w:pPr>
            <w:r w:rsidRPr="00833BEA">
              <w:rPr>
                <w:b/>
                <w:color w:val="FFFFFF" w:themeColor="background1"/>
                <w:sz w:val="18"/>
                <w:szCs w:val="18"/>
              </w:rPr>
              <w:t>Owner</w:t>
            </w:r>
          </w:p>
        </w:tc>
        <w:tc>
          <w:tcPr>
            <w:tcW w:w="648" w:type="dxa"/>
            <w:tcBorders>
              <w:top w:val="single" w:sz="5" w:space="0" w:color="000000"/>
              <w:left w:val="single" w:sz="5" w:space="0" w:color="000000"/>
              <w:bottom w:val="single" w:sz="5" w:space="0" w:color="000000"/>
              <w:right w:val="single" w:sz="5" w:space="0" w:color="000000"/>
            </w:tcBorders>
            <w:shd w:val="clear" w:color="auto" w:fill="006A71"/>
            <w:vAlign w:val="center"/>
          </w:tcPr>
          <w:p w14:paraId="6ED1C592" w14:textId="77777777" w:rsidR="00890FDA" w:rsidRPr="00833BEA" w:rsidRDefault="00890FDA" w:rsidP="00044CBE">
            <w:pPr>
              <w:pStyle w:val="IRPsanstext"/>
              <w:spacing w:line="240" w:lineRule="auto"/>
              <w:rPr>
                <w:b/>
                <w:sz w:val="18"/>
                <w:szCs w:val="18"/>
              </w:rPr>
            </w:pPr>
          </w:p>
        </w:tc>
        <w:tc>
          <w:tcPr>
            <w:tcW w:w="931" w:type="dxa"/>
            <w:tcBorders>
              <w:top w:val="single" w:sz="5" w:space="0" w:color="000000"/>
              <w:left w:val="single" w:sz="5" w:space="0" w:color="000000"/>
              <w:bottom w:val="single" w:sz="5" w:space="0" w:color="000000"/>
              <w:right w:val="single" w:sz="5" w:space="0" w:color="000000"/>
            </w:tcBorders>
            <w:shd w:val="clear" w:color="auto" w:fill="006A71"/>
            <w:vAlign w:val="center"/>
          </w:tcPr>
          <w:p w14:paraId="00957578" w14:textId="77777777" w:rsidR="00890FDA" w:rsidRPr="00833BEA" w:rsidRDefault="00890FDA" w:rsidP="00833BEA">
            <w:pPr>
              <w:pStyle w:val="IRPsanstext"/>
              <w:spacing w:line="240" w:lineRule="auto"/>
              <w:jc w:val="center"/>
              <w:rPr>
                <w:b/>
                <w:color w:val="FFFFFF" w:themeColor="background1"/>
                <w:sz w:val="18"/>
                <w:szCs w:val="18"/>
              </w:rPr>
            </w:pPr>
            <w:r w:rsidRPr="00833BEA">
              <w:rPr>
                <w:b/>
                <w:color w:val="FFFFFF" w:themeColor="background1"/>
                <w:sz w:val="18"/>
                <w:szCs w:val="18"/>
              </w:rPr>
              <w:t>Unit 1</w:t>
            </w:r>
          </w:p>
        </w:tc>
        <w:tc>
          <w:tcPr>
            <w:tcW w:w="926" w:type="dxa"/>
            <w:tcBorders>
              <w:top w:val="single" w:sz="5" w:space="0" w:color="000000"/>
              <w:left w:val="single" w:sz="5" w:space="0" w:color="000000"/>
              <w:bottom w:val="single" w:sz="5" w:space="0" w:color="000000"/>
              <w:right w:val="single" w:sz="5" w:space="0" w:color="000000"/>
            </w:tcBorders>
            <w:shd w:val="clear" w:color="auto" w:fill="006A71"/>
            <w:vAlign w:val="center"/>
          </w:tcPr>
          <w:p w14:paraId="00C820CA" w14:textId="77777777" w:rsidR="00890FDA" w:rsidRPr="00833BEA" w:rsidRDefault="00890FDA" w:rsidP="00833BEA">
            <w:pPr>
              <w:pStyle w:val="IRPsanstext"/>
              <w:spacing w:line="240" w:lineRule="auto"/>
              <w:jc w:val="center"/>
              <w:rPr>
                <w:b/>
                <w:color w:val="FFFFFF" w:themeColor="background1"/>
                <w:sz w:val="18"/>
                <w:szCs w:val="18"/>
              </w:rPr>
            </w:pPr>
            <w:r w:rsidRPr="00833BEA">
              <w:rPr>
                <w:b/>
                <w:color w:val="FFFFFF" w:themeColor="background1"/>
                <w:sz w:val="18"/>
                <w:szCs w:val="18"/>
              </w:rPr>
              <w:t>Unit 2</w:t>
            </w:r>
          </w:p>
        </w:tc>
        <w:tc>
          <w:tcPr>
            <w:tcW w:w="947" w:type="dxa"/>
            <w:tcBorders>
              <w:top w:val="single" w:sz="5" w:space="0" w:color="000000"/>
              <w:left w:val="single" w:sz="5" w:space="0" w:color="000000"/>
              <w:bottom w:val="single" w:sz="5" w:space="0" w:color="000000"/>
              <w:right w:val="single" w:sz="5" w:space="0" w:color="000000"/>
            </w:tcBorders>
            <w:shd w:val="clear" w:color="auto" w:fill="006A71"/>
            <w:vAlign w:val="center"/>
          </w:tcPr>
          <w:p w14:paraId="189E8E99" w14:textId="77777777" w:rsidR="00890FDA" w:rsidRPr="00833BEA" w:rsidRDefault="00890FDA" w:rsidP="00833BEA">
            <w:pPr>
              <w:pStyle w:val="IRPsanstext"/>
              <w:spacing w:line="240" w:lineRule="auto"/>
              <w:jc w:val="center"/>
              <w:rPr>
                <w:b/>
                <w:color w:val="FFFFFF" w:themeColor="background1"/>
                <w:sz w:val="18"/>
                <w:szCs w:val="18"/>
              </w:rPr>
            </w:pPr>
            <w:r w:rsidRPr="00833BEA">
              <w:rPr>
                <w:b/>
                <w:color w:val="FFFFFF" w:themeColor="background1"/>
                <w:sz w:val="18"/>
                <w:szCs w:val="18"/>
              </w:rPr>
              <w:t>Unit 3</w:t>
            </w:r>
          </w:p>
        </w:tc>
        <w:tc>
          <w:tcPr>
            <w:tcW w:w="951" w:type="dxa"/>
            <w:tcBorders>
              <w:top w:val="single" w:sz="5" w:space="0" w:color="000000"/>
              <w:left w:val="single" w:sz="5" w:space="0" w:color="000000"/>
              <w:bottom w:val="single" w:sz="5" w:space="0" w:color="000000"/>
              <w:right w:val="single" w:sz="5" w:space="0" w:color="000000"/>
            </w:tcBorders>
            <w:shd w:val="clear" w:color="auto" w:fill="006A71"/>
            <w:vAlign w:val="center"/>
          </w:tcPr>
          <w:p w14:paraId="15D13ED0" w14:textId="77777777" w:rsidR="00890FDA" w:rsidRPr="00833BEA" w:rsidRDefault="00890FDA" w:rsidP="00833BEA">
            <w:pPr>
              <w:pStyle w:val="IRPsanstext"/>
              <w:spacing w:line="240" w:lineRule="auto"/>
              <w:jc w:val="center"/>
              <w:rPr>
                <w:b/>
                <w:color w:val="FFFFFF" w:themeColor="background1"/>
                <w:sz w:val="18"/>
                <w:szCs w:val="18"/>
              </w:rPr>
            </w:pPr>
            <w:r w:rsidRPr="00833BEA">
              <w:rPr>
                <w:b/>
                <w:color w:val="FFFFFF" w:themeColor="background1"/>
                <w:sz w:val="18"/>
                <w:szCs w:val="18"/>
              </w:rPr>
              <w:t>Unit 4</w:t>
            </w:r>
          </w:p>
        </w:tc>
        <w:tc>
          <w:tcPr>
            <w:tcW w:w="1229" w:type="dxa"/>
            <w:tcBorders>
              <w:top w:val="single" w:sz="5" w:space="0" w:color="000000"/>
              <w:left w:val="single" w:sz="5" w:space="0" w:color="000000"/>
              <w:bottom w:val="single" w:sz="5" w:space="0" w:color="000000"/>
              <w:right w:val="single" w:sz="5" w:space="0" w:color="000000"/>
            </w:tcBorders>
            <w:shd w:val="clear" w:color="auto" w:fill="006A71"/>
          </w:tcPr>
          <w:p w14:paraId="176377BC" w14:textId="77777777" w:rsidR="00890FDA" w:rsidRPr="00833BEA" w:rsidRDefault="00890FDA" w:rsidP="00833BEA">
            <w:pPr>
              <w:pStyle w:val="IRPsanstext"/>
              <w:spacing w:line="240" w:lineRule="auto"/>
              <w:jc w:val="center"/>
              <w:rPr>
                <w:b/>
                <w:color w:val="FFFFFF" w:themeColor="background1"/>
                <w:sz w:val="18"/>
                <w:szCs w:val="18"/>
              </w:rPr>
            </w:pPr>
            <w:r w:rsidRPr="00833BEA">
              <w:rPr>
                <w:b/>
                <w:color w:val="FFFFFF" w:themeColor="background1"/>
                <w:sz w:val="18"/>
                <w:szCs w:val="18"/>
              </w:rPr>
              <w:t>Ownership</w:t>
            </w:r>
          </w:p>
          <w:p w14:paraId="5DF53209" w14:textId="77777777" w:rsidR="00890FDA" w:rsidRPr="00833BEA" w:rsidRDefault="00890FDA" w:rsidP="00833BEA">
            <w:pPr>
              <w:pStyle w:val="IRPsanstext"/>
              <w:spacing w:line="240" w:lineRule="auto"/>
              <w:jc w:val="center"/>
              <w:rPr>
                <w:b/>
                <w:color w:val="FFFFFF" w:themeColor="background1"/>
                <w:sz w:val="18"/>
                <w:szCs w:val="18"/>
              </w:rPr>
            </w:pPr>
            <w:r w:rsidRPr="00833BEA">
              <w:rPr>
                <w:b/>
                <w:color w:val="FFFFFF" w:themeColor="background1"/>
                <w:sz w:val="18"/>
                <w:szCs w:val="18"/>
              </w:rPr>
              <w:t>Total, MW</w:t>
            </w:r>
          </w:p>
        </w:tc>
        <w:tc>
          <w:tcPr>
            <w:tcW w:w="1330" w:type="dxa"/>
            <w:tcBorders>
              <w:top w:val="single" w:sz="5" w:space="0" w:color="000000"/>
              <w:left w:val="single" w:sz="5" w:space="0" w:color="000000"/>
              <w:bottom w:val="single" w:sz="5" w:space="0" w:color="000000"/>
              <w:right w:val="single" w:sz="5" w:space="0" w:color="000000"/>
            </w:tcBorders>
            <w:shd w:val="clear" w:color="auto" w:fill="006A71"/>
          </w:tcPr>
          <w:p w14:paraId="228D7773" w14:textId="77777777" w:rsidR="00890FDA" w:rsidRPr="00833BEA" w:rsidRDefault="00890FDA" w:rsidP="00833BEA">
            <w:pPr>
              <w:pStyle w:val="IRPsanstext"/>
              <w:spacing w:line="240" w:lineRule="auto"/>
              <w:jc w:val="center"/>
              <w:rPr>
                <w:b/>
                <w:color w:val="FFFFFF" w:themeColor="background1"/>
                <w:sz w:val="18"/>
                <w:szCs w:val="18"/>
              </w:rPr>
            </w:pPr>
            <w:r w:rsidRPr="00833BEA">
              <w:rPr>
                <w:b/>
                <w:color w:val="FFFFFF" w:themeColor="background1"/>
                <w:sz w:val="18"/>
                <w:szCs w:val="18"/>
              </w:rPr>
              <w:t xml:space="preserve">% </w:t>
            </w:r>
            <w:proofErr w:type="gramStart"/>
            <w:r w:rsidRPr="00833BEA">
              <w:rPr>
                <w:b/>
                <w:color w:val="FFFFFF" w:themeColor="background1"/>
                <w:sz w:val="18"/>
                <w:szCs w:val="18"/>
              </w:rPr>
              <w:t>of</w:t>
            </w:r>
            <w:proofErr w:type="gramEnd"/>
            <w:r w:rsidRPr="00833BEA">
              <w:rPr>
                <w:b/>
                <w:color w:val="FFFFFF" w:themeColor="background1"/>
                <w:sz w:val="18"/>
                <w:szCs w:val="18"/>
              </w:rPr>
              <w:t xml:space="preserve"> Total</w:t>
            </w:r>
          </w:p>
          <w:p w14:paraId="282C2F6D" w14:textId="77777777" w:rsidR="00890FDA" w:rsidRPr="00833BEA" w:rsidRDefault="00890FDA" w:rsidP="00833BEA">
            <w:pPr>
              <w:pStyle w:val="IRPsanstext"/>
              <w:spacing w:line="240" w:lineRule="auto"/>
              <w:jc w:val="center"/>
              <w:rPr>
                <w:b/>
                <w:color w:val="FFFFFF" w:themeColor="background1"/>
                <w:sz w:val="18"/>
                <w:szCs w:val="18"/>
              </w:rPr>
            </w:pPr>
            <w:r w:rsidRPr="00833BEA">
              <w:rPr>
                <w:b/>
                <w:color w:val="FFFFFF" w:themeColor="background1"/>
                <w:sz w:val="18"/>
                <w:szCs w:val="18"/>
              </w:rPr>
              <w:t>Plant</w:t>
            </w:r>
          </w:p>
        </w:tc>
      </w:tr>
      <w:tr w:rsidR="00890FDA" w:rsidRPr="00044CBE" w14:paraId="682857BC" w14:textId="77777777">
        <w:trPr>
          <w:trHeight w:hRule="exact" w:val="381"/>
        </w:trPr>
        <w:tc>
          <w:tcPr>
            <w:tcW w:w="1488" w:type="dxa"/>
            <w:tcBorders>
              <w:top w:val="single" w:sz="5" w:space="0" w:color="000000"/>
              <w:left w:val="single" w:sz="5" w:space="0" w:color="000000"/>
              <w:bottom w:val="nil"/>
              <w:right w:val="single" w:sz="5" w:space="0" w:color="000000"/>
            </w:tcBorders>
          </w:tcPr>
          <w:p w14:paraId="002D415E" w14:textId="77777777" w:rsidR="00833BEA" w:rsidRDefault="00833BEA" w:rsidP="00833BEA">
            <w:pPr>
              <w:rPr>
                <w:rFonts w:ascii="MS Mincho" w:hAnsi="MS Mincho"/>
                <w:sz w:val="6"/>
                <w:szCs w:val="18"/>
              </w:rPr>
            </w:pPr>
          </w:p>
          <w:p w14:paraId="633174DC" w14:textId="77777777" w:rsidR="00890FDA" w:rsidRPr="00A42BDB" w:rsidRDefault="00890FDA" w:rsidP="00833BEA">
            <w:pPr>
              <w:jc w:val="center"/>
              <w:rPr>
                <w:rFonts w:ascii="Arial" w:hAnsi="Arial"/>
                <w:sz w:val="18"/>
                <w:szCs w:val="18"/>
              </w:rPr>
            </w:pPr>
            <w:r w:rsidRPr="00A42BDB">
              <w:rPr>
                <w:rFonts w:ascii="Arial" w:hAnsi="Arial"/>
                <w:sz w:val="18"/>
                <w:szCs w:val="18"/>
              </w:rPr>
              <w:t>Puget Sound</w:t>
            </w:r>
          </w:p>
        </w:tc>
        <w:tc>
          <w:tcPr>
            <w:tcW w:w="648" w:type="dxa"/>
            <w:tcBorders>
              <w:top w:val="single" w:sz="5" w:space="0" w:color="000000"/>
              <w:left w:val="single" w:sz="5" w:space="0" w:color="000000"/>
              <w:bottom w:val="nil"/>
              <w:right w:val="single" w:sz="5" w:space="0" w:color="000000"/>
            </w:tcBorders>
          </w:tcPr>
          <w:p w14:paraId="7B5D0139" w14:textId="77777777" w:rsidR="00890FDA" w:rsidRPr="00A42BDB" w:rsidRDefault="00890FDA" w:rsidP="00A42BDB">
            <w:pPr>
              <w:jc w:val="center"/>
              <w:rPr>
                <w:rFonts w:ascii="Arial" w:hAnsi="Arial"/>
                <w:sz w:val="18"/>
                <w:szCs w:val="18"/>
              </w:rPr>
            </w:pPr>
            <w:r w:rsidRPr="00A42BDB">
              <w:rPr>
                <w:rFonts w:ascii="Arial" w:hAnsi="Arial"/>
                <w:sz w:val="18"/>
                <w:szCs w:val="18"/>
              </w:rPr>
              <w:t>%</w:t>
            </w:r>
          </w:p>
        </w:tc>
        <w:tc>
          <w:tcPr>
            <w:tcW w:w="931" w:type="dxa"/>
            <w:tcBorders>
              <w:top w:val="single" w:sz="5" w:space="0" w:color="000000"/>
              <w:left w:val="single" w:sz="5" w:space="0" w:color="000000"/>
              <w:bottom w:val="nil"/>
              <w:right w:val="single" w:sz="5" w:space="0" w:color="000000"/>
            </w:tcBorders>
            <w:vAlign w:val="center"/>
          </w:tcPr>
          <w:p w14:paraId="3A04E61D" w14:textId="77777777" w:rsidR="00890FDA" w:rsidRPr="00A42BDB" w:rsidRDefault="00890FDA" w:rsidP="00A42BDB">
            <w:pPr>
              <w:jc w:val="center"/>
              <w:rPr>
                <w:rFonts w:ascii="Arial" w:hAnsi="Arial"/>
                <w:sz w:val="18"/>
                <w:szCs w:val="18"/>
              </w:rPr>
            </w:pPr>
            <w:r w:rsidRPr="00A42BDB">
              <w:rPr>
                <w:rFonts w:ascii="Arial" w:hAnsi="Arial"/>
                <w:sz w:val="18"/>
                <w:szCs w:val="18"/>
              </w:rPr>
              <w:t>50%</w:t>
            </w:r>
          </w:p>
        </w:tc>
        <w:tc>
          <w:tcPr>
            <w:tcW w:w="926" w:type="dxa"/>
            <w:tcBorders>
              <w:top w:val="single" w:sz="5" w:space="0" w:color="000000"/>
              <w:left w:val="single" w:sz="5" w:space="0" w:color="000000"/>
              <w:bottom w:val="nil"/>
              <w:right w:val="single" w:sz="5" w:space="0" w:color="000000"/>
            </w:tcBorders>
            <w:vAlign w:val="center"/>
          </w:tcPr>
          <w:p w14:paraId="68FCAA7E" w14:textId="77777777" w:rsidR="00890FDA" w:rsidRPr="00A42BDB" w:rsidRDefault="00890FDA" w:rsidP="00A42BDB">
            <w:pPr>
              <w:jc w:val="center"/>
              <w:rPr>
                <w:rFonts w:ascii="Arial" w:hAnsi="Arial"/>
                <w:sz w:val="18"/>
                <w:szCs w:val="18"/>
              </w:rPr>
            </w:pPr>
            <w:r w:rsidRPr="00A42BDB">
              <w:rPr>
                <w:rFonts w:ascii="Arial" w:hAnsi="Arial"/>
                <w:sz w:val="18"/>
                <w:szCs w:val="18"/>
              </w:rPr>
              <w:t>50%</w:t>
            </w:r>
          </w:p>
        </w:tc>
        <w:tc>
          <w:tcPr>
            <w:tcW w:w="947" w:type="dxa"/>
            <w:tcBorders>
              <w:top w:val="single" w:sz="5" w:space="0" w:color="000000"/>
              <w:left w:val="single" w:sz="5" w:space="0" w:color="000000"/>
              <w:bottom w:val="nil"/>
              <w:right w:val="single" w:sz="5" w:space="0" w:color="000000"/>
            </w:tcBorders>
            <w:vAlign w:val="center"/>
          </w:tcPr>
          <w:p w14:paraId="40259A4F" w14:textId="77777777" w:rsidR="00890FDA" w:rsidRPr="00A42BDB" w:rsidRDefault="00890FDA" w:rsidP="00A42BDB">
            <w:pPr>
              <w:jc w:val="center"/>
              <w:rPr>
                <w:rFonts w:ascii="Arial" w:hAnsi="Arial"/>
                <w:sz w:val="18"/>
                <w:szCs w:val="18"/>
              </w:rPr>
            </w:pPr>
            <w:r w:rsidRPr="00A42BDB">
              <w:rPr>
                <w:rFonts w:ascii="Arial" w:hAnsi="Arial"/>
                <w:sz w:val="18"/>
                <w:szCs w:val="18"/>
              </w:rPr>
              <w:t>25%</w:t>
            </w:r>
          </w:p>
        </w:tc>
        <w:tc>
          <w:tcPr>
            <w:tcW w:w="951" w:type="dxa"/>
            <w:tcBorders>
              <w:top w:val="single" w:sz="5" w:space="0" w:color="000000"/>
              <w:left w:val="single" w:sz="5" w:space="0" w:color="000000"/>
              <w:bottom w:val="nil"/>
              <w:right w:val="single" w:sz="5" w:space="0" w:color="000000"/>
            </w:tcBorders>
            <w:vAlign w:val="center"/>
          </w:tcPr>
          <w:p w14:paraId="7D9DB02C" w14:textId="77777777" w:rsidR="00890FDA" w:rsidRPr="00A42BDB" w:rsidRDefault="00890FDA" w:rsidP="00A42BDB">
            <w:pPr>
              <w:jc w:val="center"/>
              <w:rPr>
                <w:rFonts w:ascii="Arial" w:hAnsi="Arial"/>
                <w:sz w:val="18"/>
                <w:szCs w:val="18"/>
              </w:rPr>
            </w:pPr>
            <w:r w:rsidRPr="00A42BDB">
              <w:rPr>
                <w:rFonts w:ascii="Arial" w:hAnsi="Arial"/>
                <w:sz w:val="18"/>
                <w:szCs w:val="18"/>
              </w:rPr>
              <w:t>25%</w:t>
            </w:r>
          </w:p>
        </w:tc>
        <w:tc>
          <w:tcPr>
            <w:tcW w:w="1229" w:type="dxa"/>
            <w:vMerge w:val="restart"/>
            <w:tcBorders>
              <w:top w:val="single" w:sz="5" w:space="0" w:color="000000"/>
              <w:left w:val="single" w:sz="5" w:space="0" w:color="000000"/>
              <w:right w:val="single" w:sz="5" w:space="0" w:color="000000"/>
            </w:tcBorders>
          </w:tcPr>
          <w:p w14:paraId="257C8245" w14:textId="77777777" w:rsidR="00890FDA" w:rsidRPr="00A42BDB" w:rsidRDefault="00890FDA" w:rsidP="00A42BDB">
            <w:pPr>
              <w:jc w:val="center"/>
              <w:rPr>
                <w:rFonts w:ascii="Arial" w:hAnsi="Arial"/>
                <w:sz w:val="18"/>
                <w:szCs w:val="18"/>
              </w:rPr>
            </w:pPr>
          </w:p>
          <w:p w14:paraId="349E5554" w14:textId="77777777" w:rsidR="00890FDA" w:rsidRPr="00A42BDB" w:rsidRDefault="00890FDA" w:rsidP="00A42BDB">
            <w:pPr>
              <w:jc w:val="center"/>
              <w:rPr>
                <w:rFonts w:ascii="Arial" w:hAnsi="Arial"/>
                <w:sz w:val="18"/>
                <w:szCs w:val="18"/>
              </w:rPr>
            </w:pPr>
            <w:r w:rsidRPr="00A42BDB">
              <w:rPr>
                <w:rFonts w:ascii="Arial" w:hAnsi="Arial"/>
                <w:sz w:val="18"/>
                <w:szCs w:val="18"/>
              </w:rPr>
              <w:t>677</w:t>
            </w:r>
          </w:p>
        </w:tc>
        <w:tc>
          <w:tcPr>
            <w:tcW w:w="1330" w:type="dxa"/>
            <w:vMerge w:val="restart"/>
            <w:tcBorders>
              <w:top w:val="single" w:sz="5" w:space="0" w:color="000000"/>
              <w:left w:val="single" w:sz="5" w:space="0" w:color="000000"/>
              <w:right w:val="single" w:sz="5" w:space="0" w:color="000000"/>
            </w:tcBorders>
          </w:tcPr>
          <w:p w14:paraId="393C3D33" w14:textId="77777777" w:rsidR="00833BEA" w:rsidRDefault="00833BEA" w:rsidP="00A42BDB">
            <w:pPr>
              <w:jc w:val="center"/>
              <w:rPr>
                <w:rFonts w:ascii="Arial" w:hAnsi="Arial"/>
                <w:sz w:val="18"/>
                <w:szCs w:val="18"/>
              </w:rPr>
            </w:pPr>
          </w:p>
          <w:p w14:paraId="5704A485" w14:textId="77777777" w:rsidR="00890FDA" w:rsidRPr="00A42BDB" w:rsidRDefault="00890FDA" w:rsidP="00A42BDB">
            <w:pPr>
              <w:jc w:val="center"/>
              <w:rPr>
                <w:rFonts w:ascii="Arial" w:hAnsi="Arial"/>
                <w:sz w:val="18"/>
                <w:szCs w:val="18"/>
              </w:rPr>
            </w:pPr>
            <w:r w:rsidRPr="00A42BDB">
              <w:rPr>
                <w:rFonts w:ascii="Arial" w:hAnsi="Arial"/>
                <w:sz w:val="18"/>
                <w:szCs w:val="18"/>
              </w:rPr>
              <w:t>32.3%</w:t>
            </w:r>
          </w:p>
        </w:tc>
      </w:tr>
      <w:tr w:rsidR="00890FDA" w:rsidRPr="00044CBE" w14:paraId="3C062335" w14:textId="77777777">
        <w:trPr>
          <w:trHeight w:hRule="exact" w:val="306"/>
        </w:trPr>
        <w:tc>
          <w:tcPr>
            <w:tcW w:w="1488" w:type="dxa"/>
            <w:tcBorders>
              <w:top w:val="nil"/>
              <w:left w:val="single" w:sz="5" w:space="0" w:color="000000"/>
              <w:bottom w:val="single" w:sz="5" w:space="0" w:color="000000"/>
              <w:right w:val="single" w:sz="5" w:space="0" w:color="000000"/>
            </w:tcBorders>
          </w:tcPr>
          <w:p w14:paraId="6EBAA3D5" w14:textId="77777777" w:rsidR="00890FDA" w:rsidRPr="00A42BDB" w:rsidRDefault="00890FDA" w:rsidP="00A42BDB">
            <w:pPr>
              <w:jc w:val="center"/>
              <w:rPr>
                <w:rFonts w:ascii="Arial" w:hAnsi="Arial"/>
                <w:sz w:val="18"/>
                <w:szCs w:val="18"/>
              </w:rPr>
            </w:pPr>
            <w:r w:rsidRPr="00A42BDB">
              <w:rPr>
                <w:rFonts w:ascii="Arial" w:hAnsi="Arial"/>
                <w:sz w:val="18"/>
                <w:szCs w:val="18"/>
              </w:rPr>
              <w:t>Energy</w:t>
            </w:r>
          </w:p>
        </w:tc>
        <w:tc>
          <w:tcPr>
            <w:tcW w:w="648" w:type="dxa"/>
            <w:tcBorders>
              <w:top w:val="nil"/>
              <w:left w:val="single" w:sz="5" w:space="0" w:color="000000"/>
              <w:bottom w:val="single" w:sz="5" w:space="0" w:color="000000"/>
              <w:right w:val="single" w:sz="5" w:space="0" w:color="000000"/>
            </w:tcBorders>
          </w:tcPr>
          <w:p w14:paraId="092C08BC" w14:textId="77777777" w:rsidR="00890FDA" w:rsidRPr="00A42BDB" w:rsidRDefault="00890FDA" w:rsidP="00A42BDB">
            <w:pPr>
              <w:jc w:val="center"/>
              <w:rPr>
                <w:rFonts w:ascii="Arial" w:hAnsi="Arial"/>
                <w:sz w:val="18"/>
                <w:szCs w:val="18"/>
              </w:rPr>
            </w:pPr>
            <w:r w:rsidRPr="00A42BDB">
              <w:rPr>
                <w:rFonts w:ascii="Arial" w:hAnsi="Arial"/>
                <w:sz w:val="18"/>
                <w:szCs w:val="18"/>
              </w:rPr>
              <w:t>MW</w:t>
            </w:r>
          </w:p>
        </w:tc>
        <w:tc>
          <w:tcPr>
            <w:tcW w:w="931" w:type="dxa"/>
            <w:tcBorders>
              <w:top w:val="nil"/>
              <w:left w:val="single" w:sz="5" w:space="0" w:color="000000"/>
              <w:bottom w:val="single" w:sz="5" w:space="0" w:color="000000"/>
              <w:right w:val="single" w:sz="5" w:space="0" w:color="000000"/>
            </w:tcBorders>
          </w:tcPr>
          <w:p w14:paraId="7957CC91" w14:textId="77777777" w:rsidR="00890FDA" w:rsidRPr="00A42BDB" w:rsidRDefault="00890FDA" w:rsidP="00A42BDB">
            <w:pPr>
              <w:jc w:val="center"/>
              <w:rPr>
                <w:rFonts w:ascii="Arial" w:hAnsi="Arial"/>
                <w:sz w:val="18"/>
                <w:szCs w:val="18"/>
              </w:rPr>
            </w:pPr>
            <w:r w:rsidRPr="00A42BDB">
              <w:rPr>
                <w:rFonts w:ascii="Arial" w:hAnsi="Arial"/>
                <w:sz w:val="18"/>
                <w:szCs w:val="18"/>
              </w:rPr>
              <w:t>153.5</w:t>
            </w:r>
          </w:p>
        </w:tc>
        <w:tc>
          <w:tcPr>
            <w:tcW w:w="926" w:type="dxa"/>
            <w:tcBorders>
              <w:top w:val="nil"/>
              <w:left w:val="single" w:sz="5" w:space="0" w:color="000000"/>
              <w:bottom w:val="single" w:sz="5" w:space="0" w:color="000000"/>
              <w:right w:val="single" w:sz="5" w:space="0" w:color="000000"/>
            </w:tcBorders>
          </w:tcPr>
          <w:p w14:paraId="384FC053" w14:textId="77777777" w:rsidR="00890FDA" w:rsidRPr="00A42BDB" w:rsidRDefault="00890FDA" w:rsidP="00A42BDB">
            <w:pPr>
              <w:jc w:val="center"/>
              <w:rPr>
                <w:rFonts w:ascii="Arial" w:hAnsi="Arial"/>
                <w:sz w:val="18"/>
                <w:szCs w:val="18"/>
              </w:rPr>
            </w:pPr>
            <w:r w:rsidRPr="00A42BDB">
              <w:rPr>
                <w:rFonts w:ascii="Arial" w:hAnsi="Arial"/>
                <w:sz w:val="18"/>
                <w:szCs w:val="18"/>
              </w:rPr>
              <w:t>153.5</w:t>
            </w:r>
          </w:p>
        </w:tc>
        <w:tc>
          <w:tcPr>
            <w:tcW w:w="947" w:type="dxa"/>
            <w:tcBorders>
              <w:top w:val="nil"/>
              <w:left w:val="single" w:sz="5" w:space="0" w:color="000000"/>
              <w:bottom w:val="single" w:sz="5" w:space="0" w:color="000000"/>
              <w:right w:val="single" w:sz="5" w:space="0" w:color="000000"/>
            </w:tcBorders>
          </w:tcPr>
          <w:p w14:paraId="66920E7C" w14:textId="77777777" w:rsidR="00890FDA" w:rsidRPr="00A42BDB" w:rsidRDefault="00890FDA" w:rsidP="00A42BDB">
            <w:pPr>
              <w:jc w:val="center"/>
              <w:rPr>
                <w:rFonts w:ascii="Arial" w:hAnsi="Arial"/>
                <w:sz w:val="18"/>
                <w:szCs w:val="18"/>
              </w:rPr>
            </w:pPr>
            <w:r w:rsidRPr="00A42BDB">
              <w:rPr>
                <w:rFonts w:ascii="Arial" w:hAnsi="Arial"/>
                <w:sz w:val="18"/>
                <w:szCs w:val="18"/>
              </w:rPr>
              <w:t>185</w:t>
            </w:r>
          </w:p>
        </w:tc>
        <w:tc>
          <w:tcPr>
            <w:tcW w:w="951" w:type="dxa"/>
            <w:tcBorders>
              <w:top w:val="nil"/>
              <w:left w:val="single" w:sz="5" w:space="0" w:color="000000"/>
              <w:bottom w:val="single" w:sz="5" w:space="0" w:color="000000"/>
              <w:right w:val="single" w:sz="5" w:space="0" w:color="000000"/>
            </w:tcBorders>
          </w:tcPr>
          <w:p w14:paraId="0C429F30" w14:textId="77777777" w:rsidR="00890FDA" w:rsidRPr="00A42BDB" w:rsidRDefault="00890FDA" w:rsidP="00A42BDB">
            <w:pPr>
              <w:jc w:val="center"/>
              <w:rPr>
                <w:rFonts w:ascii="Arial" w:hAnsi="Arial"/>
                <w:sz w:val="18"/>
                <w:szCs w:val="18"/>
              </w:rPr>
            </w:pPr>
            <w:r w:rsidRPr="00A42BDB">
              <w:rPr>
                <w:rFonts w:ascii="Arial" w:hAnsi="Arial"/>
                <w:sz w:val="18"/>
                <w:szCs w:val="18"/>
              </w:rPr>
              <w:t>185</w:t>
            </w:r>
          </w:p>
        </w:tc>
        <w:tc>
          <w:tcPr>
            <w:tcW w:w="1229" w:type="dxa"/>
            <w:vMerge/>
            <w:tcBorders>
              <w:left w:val="single" w:sz="5" w:space="0" w:color="000000"/>
              <w:bottom w:val="single" w:sz="5" w:space="0" w:color="000000"/>
              <w:right w:val="single" w:sz="5" w:space="0" w:color="000000"/>
            </w:tcBorders>
          </w:tcPr>
          <w:p w14:paraId="72E1BCBE" w14:textId="77777777" w:rsidR="00890FDA" w:rsidRPr="00A42BDB" w:rsidRDefault="00890FDA" w:rsidP="00A42BDB">
            <w:pPr>
              <w:jc w:val="center"/>
              <w:rPr>
                <w:rFonts w:ascii="Arial" w:hAnsi="Arial"/>
                <w:sz w:val="18"/>
                <w:szCs w:val="18"/>
              </w:rPr>
            </w:pPr>
          </w:p>
        </w:tc>
        <w:tc>
          <w:tcPr>
            <w:tcW w:w="1330" w:type="dxa"/>
            <w:vMerge/>
            <w:tcBorders>
              <w:left w:val="single" w:sz="5" w:space="0" w:color="000000"/>
              <w:bottom w:val="single" w:sz="5" w:space="0" w:color="000000"/>
              <w:right w:val="single" w:sz="5" w:space="0" w:color="000000"/>
            </w:tcBorders>
          </w:tcPr>
          <w:p w14:paraId="5912A9BA" w14:textId="77777777" w:rsidR="00890FDA" w:rsidRPr="00A42BDB" w:rsidRDefault="00890FDA" w:rsidP="00A42BDB">
            <w:pPr>
              <w:jc w:val="center"/>
              <w:rPr>
                <w:rFonts w:ascii="Arial" w:hAnsi="Arial"/>
                <w:sz w:val="18"/>
                <w:szCs w:val="18"/>
              </w:rPr>
            </w:pPr>
          </w:p>
        </w:tc>
      </w:tr>
      <w:tr w:rsidR="00890FDA" w:rsidRPr="00044CBE" w14:paraId="28B7641C" w14:textId="77777777">
        <w:trPr>
          <w:trHeight w:hRule="exact" w:val="379"/>
        </w:trPr>
        <w:tc>
          <w:tcPr>
            <w:tcW w:w="1488" w:type="dxa"/>
            <w:tcBorders>
              <w:top w:val="single" w:sz="5" w:space="0" w:color="000000"/>
              <w:left w:val="single" w:sz="5" w:space="0" w:color="000000"/>
              <w:bottom w:val="nil"/>
              <w:right w:val="single" w:sz="5" w:space="0" w:color="000000"/>
            </w:tcBorders>
            <w:shd w:val="clear" w:color="auto" w:fill="EEECE1"/>
          </w:tcPr>
          <w:p w14:paraId="52816B8A" w14:textId="77777777" w:rsidR="00833BEA" w:rsidRDefault="00833BEA" w:rsidP="00A42BDB">
            <w:pPr>
              <w:jc w:val="center"/>
              <w:rPr>
                <w:rFonts w:ascii="Arial" w:hAnsi="Arial"/>
                <w:sz w:val="6"/>
                <w:szCs w:val="18"/>
              </w:rPr>
            </w:pPr>
          </w:p>
          <w:p w14:paraId="4A076B51" w14:textId="77777777" w:rsidR="00833BEA" w:rsidRDefault="00833BEA" w:rsidP="00A42BDB">
            <w:pPr>
              <w:jc w:val="center"/>
              <w:rPr>
                <w:rFonts w:ascii="Arial" w:hAnsi="Arial"/>
                <w:sz w:val="6"/>
                <w:szCs w:val="18"/>
              </w:rPr>
            </w:pPr>
          </w:p>
          <w:p w14:paraId="19ACE8A1" w14:textId="77777777" w:rsidR="00890FDA" w:rsidRPr="00A42BDB" w:rsidRDefault="00CC1B07" w:rsidP="00A42BDB">
            <w:pPr>
              <w:jc w:val="center"/>
              <w:rPr>
                <w:rFonts w:ascii="Arial" w:hAnsi="Arial"/>
                <w:sz w:val="18"/>
                <w:szCs w:val="18"/>
              </w:rPr>
            </w:pPr>
            <w:r>
              <w:rPr>
                <w:rFonts w:ascii="Arial" w:hAnsi="Arial"/>
                <w:sz w:val="18"/>
                <w:szCs w:val="18"/>
              </w:rPr>
              <w:t>Talen</w:t>
            </w:r>
            <w:r w:rsidR="00A42BDB">
              <w:rPr>
                <w:rFonts w:ascii="Arial" w:hAnsi="Arial"/>
                <w:sz w:val="18"/>
                <w:szCs w:val="18"/>
              </w:rPr>
              <w:br/>
            </w:r>
          </w:p>
        </w:tc>
        <w:tc>
          <w:tcPr>
            <w:tcW w:w="648" w:type="dxa"/>
            <w:vMerge w:val="restart"/>
            <w:tcBorders>
              <w:top w:val="single" w:sz="5" w:space="0" w:color="000000"/>
              <w:left w:val="single" w:sz="5" w:space="0" w:color="000000"/>
              <w:right w:val="single" w:sz="5" w:space="0" w:color="000000"/>
            </w:tcBorders>
            <w:shd w:val="clear" w:color="auto" w:fill="EEECE1"/>
          </w:tcPr>
          <w:p w14:paraId="1965390A" w14:textId="77777777" w:rsidR="00890FDA" w:rsidRPr="00A42BDB" w:rsidRDefault="00890FDA" w:rsidP="00A42BDB">
            <w:pPr>
              <w:jc w:val="center"/>
              <w:rPr>
                <w:rFonts w:ascii="Arial" w:hAnsi="Arial"/>
                <w:sz w:val="18"/>
                <w:szCs w:val="18"/>
              </w:rPr>
            </w:pPr>
          </w:p>
        </w:tc>
        <w:tc>
          <w:tcPr>
            <w:tcW w:w="931" w:type="dxa"/>
            <w:tcBorders>
              <w:top w:val="single" w:sz="5" w:space="0" w:color="000000"/>
              <w:left w:val="single" w:sz="5" w:space="0" w:color="000000"/>
              <w:bottom w:val="nil"/>
              <w:right w:val="single" w:sz="5" w:space="0" w:color="000000"/>
            </w:tcBorders>
            <w:shd w:val="clear" w:color="auto" w:fill="EEECE1"/>
            <w:vAlign w:val="center"/>
          </w:tcPr>
          <w:p w14:paraId="5B49F239" w14:textId="77777777" w:rsidR="00890FDA" w:rsidRPr="00A42BDB" w:rsidRDefault="00890FDA" w:rsidP="00A42BDB">
            <w:pPr>
              <w:jc w:val="center"/>
              <w:rPr>
                <w:rFonts w:ascii="Arial" w:hAnsi="Arial"/>
                <w:sz w:val="18"/>
                <w:szCs w:val="18"/>
              </w:rPr>
            </w:pPr>
            <w:r w:rsidRPr="00A42BDB">
              <w:rPr>
                <w:rFonts w:ascii="Arial" w:hAnsi="Arial"/>
                <w:sz w:val="18"/>
                <w:szCs w:val="18"/>
              </w:rPr>
              <w:t>50%</w:t>
            </w:r>
          </w:p>
        </w:tc>
        <w:tc>
          <w:tcPr>
            <w:tcW w:w="926" w:type="dxa"/>
            <w:tcBorders>
              <w:top w:val="single" w:sz="5" w:space="0" w:color="000000"/>
              <w:left w:val="single" w:sz="5" w:space="0" w:color="000000"/>
              <w:bottom w:val="nil"/>
              <w:right w:val="single" w:sz="5" w:space="0" w:color="000000"/>
            </w:tcBorders>
            <w:shd w:val="clear" w:color="auto" w:fill="EEECE1"/>
            <w:vAlign w:val="center"/>
          </w:tcPr>
          <w:p w14:paraId="3EDE5A63" w14:textId="77777777" w:rsidR="00890FDA" w:rsidRPr="00A42BDB" w:rsidRDefault="00890FDA" w:rsidP="00A42BDB">
            <w:pPr>
              <w:jc w:val="center"/>
              <w:rPr>
                <w:rFonts w:ascii="Arial" w:hAnsi="Arial"/>
                <w:sz w:val="18"/>
                <w:szCs w:val="18"/>
              </w:rPr>
            </w:pPr>
            <w:r w:rsidRPr="00A42BDB">
              <w:rPr>
                <w:rFonts w:ascii="Arial" w:hAnsi="Arial"/>
                <w:sz w:val="18"/>
                <w:szCs w:val="18"/>
              </w:rPr>
              <w:t>50%</w:t>
            </w:r>
          </w:p>
        </w:tc>
        <w:tc>
          <w:tcPr>
            <w:tcW w:w="947" w:type="dxa"/>
            <w:tcBorders>
              <w:top w:val="single" w:sz="5" w:space="0" w:color="000000"/>
              <w:left w:val="single" w:sz="5" w:space="0" w:color="000000"/>
              <w:bottom w:val="nil"/>
              <w:right w:val="single" w:sz="5" w:space="0" w:color="000000"/>
            </w:tcBorders>
            <w:shd w:val="clear" w:color="auto" w:fill="EEECE1"/>
            <w:vAlign w:val="center"/>
          </w:tcPr>
          <w:p w14:paraId="733E4E18" w14:textId="77777777" w:rsidR="00890FDA" w:rsidRPr="00A42BDB" w:rsidRDefault="00890FDA" w:rsidP="00A42BDB">
            <w:pPr>
              <w:jc w:val="center"/>
              <w:rPr>
                <w:rFonts w:ascii="Arial" w:hAnsi="Arial"/>
                <w:sz w:val="18"/>
                <w:szCs w:val="18"/>
              </w:rPr>
            </w:pPr>
            <w:r w:rsidRPr="00A42BDB">
              <w:rPr>
                <w:rFonts w:ascii="Arial" w:hAnsi="Arial"/>
                <w:sz w:val="18"/>
                <w:szCs w:val="18"/>
              </w:rPr>
              <w:t>30%</w:t>
            </w:r>
          </w:p>
        </w:tc>
        <w:tc>
          <w:tcPr>
            <w:tcW w:w="951" w:type="dxa"/>
            <w:vMerge w:val="restart"/>
            <w:tcBorders>
              <w:top w:val="single" w:sz="5" w:space="0" w:color="000000"/>
              <w:left w:val="single" w:sz="5" w:space="0" w:color="000000"/>
              <w:right w:val="single" w:sz="5" w:space="0" w:color="000000"/>
            </w:tcBorders>
            <w:shd w:val="clear" w:color="auto" w:fill="EEECE1"/>
          </w:tcPr>
          <w:p w14:paraId="3846EF85" w14:textId="77777777" w:rsidR="00890FDA" w:rsidRPr="00A42BDB" w:rsidRDefault="00890FDA" w:rsidP="00A42BDB">
            <w:pPr>
              <w:jc w:val="center"/>
              <w:rPr>
                <w:rFonts w:ascii="Arial" w:hAnsi="Arial"/>
                <w:sz w:val="18"/>
                <w:szCs w:val="18"/>
              </w:rPr>
            </w:pPr>
          </w:p>
        </w:tc>
        <w:tc>
          <w:tcPr>
            <w:tcW w:w="1229" w:type="dxa"/>
            <w:vMerge w:val="restart"/>
            <w:tcBorders>
              <w:top w:val="single" w:sz="5" w:space="0" w:color="000000"/>
              <w:left w:val="single" w:sz="5" w:space="0" w:color="000000"/>
              <w:right w:val="single" w:sz="5" w:space="0" w:color="000000"/>
            </w:tcBorders>
            <w:shd w:val="clear" w:color="auto" w:fill="EEECE1"/>
          </w:tcPr>
          <w:p w14:paraId="145FA473" w14:textId="77777777" w:rsidR="00890FDA" w:rsidRPr="00A42BDB" w:rsidRDefault="00890FDA" w:rsidP="00A42BDB">
            <w:pPr>
              <w:jc w:val="center"/>
              <w:rPr>
                <w:rFonts w:ascii="Arial" w:hAnsi="Arial"/>
                <w:sz w:val="18"/>
                <w:szCs w:val="18"/>
              </w:rPr>
            </w:pPr>
          </w:p>
          <w:p w14:paraId="34348F2B" w14:textId="77777777" w:rsidR="00890FDA" w:rsidRPr="00A42BDB" w:rsidRDefault="00890FDA" w:rsidP="00A42BDB">
            <w:pPr>
              <w:jc w:val="center"/>
              <w:rPr>
                <w:rFonts w:ascii="Arial" w:hAnsi="Arial"/>
                <w:sz w:val="18"/>
                <w:szCs w:val="18"/>
              </w:rPr>
            </w:pPr>
            <w:r w:rsidRPr="00A42BDB">
              <w:rPr>
                <w:rFonts w:ascii="Arial" w:hAnsi="Arial"/>
                <w:sz w:val="18"/>
                <w:szCs w:val="18"/>
              </w:rPr>
              <w:t>529</w:t>
            </w:r>
          </w:p>
        </w:tc>
        <w:tc>
          <w:tcPr>
            <w:tcW w:w="1330" w:type="dxa"/>
            <w:vMerge w:val="restart"/>
            <w:tcBorders>
              <w:top w:val="single" w:sz="5" w:space="0" w:color="000000"/>
              <w:left w:val="single" w:sz="5" w:space="0" w:color="000000"/>
              <w:right w:val="single" w:sz="5" w:space="0" w:color="000000"/>
            </w:tcBorders>
            <w:shd w:val="clear" w:color="auto" w:fill="EEECE1"/>
          </w:tcPr>
          <w:p w14:paraId="5F6531B9" w14:textId="77777777" w:rsidR="00833BEA" w:rsidRDefault="00833BEA" w:rsidP="00A42BDB">
            <w:pPr>
              <w:jc w:val="center"/>
              <w:rPr>
                <w:rFonts w:ascii="Arial" w:hAnsi="Arial"/>
                <w:sz w:val="18"/>
                <w:szCs w:val="18"/>
              </w:rPr>
            </w:pPr>
          </w:p>
          <w:p w14:paraId="48315C86" w14:textId="77777777" w:rsidR="00890FDA" w:rsidRPr="00A42BDB" w:rsidRDefault="00890FDA" w:rsidP="00A42BDB">
            <w:pPr>
              <w:jc w:val="center"/>
              <w:rPr>
                <w:rFonts w:ascii="Arial" w:hAnsi="Arial"/>
                <w:sz w:val="18"/>
                <w:szCs w:val="18"/>
              </w:rPr>
            </w:pPr>
            <w:r w:rsidRPr="00A42BDB">
              <w:rPr>
                <w:rFonts w:ascii="Arial" w:hAnsi="Arial"/>
                <w:sz w:val="18"/>
                <w:szCs w:val="18"/>
              </w:rPr>
              <w:t>25.3%</w:t>
            </w:r>
          </w:p>
        </w:tc>
      </w:tr>
      <w:tr w:rsidR="00890FDA" w:rsidRPr="00044CBE" w14:paraId="465A5CE0" w14:textId="77777777">
        <w:trPr>
          <w:trHeight w:hRule="exact" w:val="304"/>
        </w:trPr>
        <w:tc>
          <w:tcPr>
            <w:tcW w:w="1488" w:type="dxa"/>
            <w:tcBorders>
              <w:top w:val="nil"/>
              <w:left w:val="single" w:sz="5" w:space="0" w:color="000000"/>
              <w:bottom w:val="single" w:sz="5" w:space="0" w:color="000000"/>
              <w:right w:val="single" w:sz="5" w:space="0" w:color="000000"/>
            </w:tcBorders>
            <w:shd w:val="clear" w:color="auto" w:fill="EEECE1"/>
          </w:tcPr>
          <w:p w14:paraId="1E886170" w14:textId="77777777" w:rsidR="00890FDA" w:rsidRPr="00A42BDB" w:rsidRDefault="00CC1B07" w:rsidP="00A42BDB">
            <w:pPr>
              <w:jc w:val="center"/>
              <w:rPr>
                <w:rFonts w:ascii="Arial" w:hAnsi="Arial"/>
                <w:sz w:val="18"/>
                <w:szCs w:val="18"/>
              </w:rPr>
            </w:pPr>
            <w:r>
              <w:rPr>
                <w:rFonts w:ascii="Arial" w:hAnsi="Arial"/>
                <w:sz w:val="18"/>
                <w:szCs w:val="18"/>
              </w:rPr>
              <w:t>Energy</w:t>
            </w:r>
          </w:p>
        </w:tc>
        <w:tc>
          <w:tcPr>
            <w:tcW w:w="648" w:type="dxa"/>
            <w:vMerge/>
            <w:tcBorders>
              <w:left w:val="single" w:sz="5" w:space="0" w:color="000000"/>
              <w:bottom w:val="single" w:sz="5" w:space="0" w:color="000000"/>
              <w:right w:val="single" w:sz="5" w:space="0" w:color="000000"/>
            </w:tcBorders>
            <w:shd w:val="clear" w:color="auto" w:fill="EEECE1"/>
          </w:tcPr>
          <w:p w14:paraId="710EC24D" w14:textId="77777777" w:rsidR="00890FDA" w:rsidRPr="00A42BDB" w:rsidRDefault="00890FDA" w:rsidP="00A42BDB">
            <w:pPr>
              <w:jc w:val="center"/>
              <w:rPr>
                <w:rFonts w:ascii="Arial" w:hAnsi="Arial"/>
                <w:sz w:val="18"/>
                <w:szCs w:val="18"/>
              </w:rPr>
            </w:pPr>
          </w:p>
        </w:tc>
        <w:tc>
          <w:tcPr>
            <w:tcW w:w="931" w:type="dxa"/>
            <w:tcBorders>
              <w:top w:val="nil"/>
              <w:left w:val="single" w:sz="5" w:space="0" w:color="000000"/>
              <w:bottom w:val="single" w:sz="5" w:space="0" w:color="000000"/>
              <w:right w:val="single" w:sz="5" w:space="0" w:color="000000"/>
            </w:tcBorders>
            <w:shd w:val="clear" w:color="auto" w:fill="EEECE1"/>
          </w:tcPr>
          <w:p w14:paraId="5E410226" w14:textId="77777777" w:rsidR="00890FDA" w:rsidRPr="00A42BDB" w:rsidRDefault="00890FDA" w:rsidP="00A42BDB">
            <w:pPr>
              <w:jc w:val="center"/>
              <w:rPr>
                <w:rFonts w:ascii="Arial" w:hAnsi="Arial"/>
                <w:sz w:val="18"/>
                <w:szCs w:val="18"/>
              </w:rPr>
            </w:pPr>
            <w:r w:rsidRPr="00A42BDB">
              <w:rPr>
                <w:rFonts w:ascii="Arial" w:hAnsi="Arial"/>
                <w:sz w:val="18"/>
                <w:szCs w:val="18"/>
              </w:rPr>
              <w:t>153.5</w:t>
            </w:r>
          </w:p>
        </w:tc>
        <w:tc>
          <w:tcPr>
            <w:tcW w:w="926" w:type="dxa"/>
            <w:tcBorders>
              <w:top w:val="nil"/>
              <w:left w:val="single" w:sz="5" w:space="0" w:color="000000"/>
              <w:bottom w:val="single" w:sz="5" w:space="0" w:color="000000"/>
              <w:right w:val="single" w:sz="5" w:space="0" w:color="000000"/>
            </w:tcBorders>
            <w:shd w:val="clear" w:color="auto" w:fill="EEECE1"/>
          </w:tcPr>
          <w:p w14:paraId="7EFC6782" w14:textId="77777777" w:rsidR="00890FDA" w:rsidRPr="00A42BDB" w:rsidRDefault="00890FDA" w:rsidP="00A42BDB">
            <w:pPr>
              <w:jc w:val="center"/>
              <w:rPr>
                <w:rFonts w:ascii="Arial" w:hAnsi="Arial"/>
                <w:sz w:val="18"/>
                <w:szCs w:val="18"/>
              </w:rPr>
            </w:pPr>
            <w:r w:rsidRPr="00A42BDB">
              <w:rPr>
                <w:rFonts w:ascii="Arial" w:hAnsi="Arial"/>
                <w:sz w:val="18"/>
                <w:szCs w:val="18"/>
              </w:rPr>
              <w:t>153.5</w:t>
            </w:r>
          </w:p>
        </w:tc>
        <w:tc>
          <w:tcPr>
            <w:tcW w:w="947" w:type="dxa"/>
            <w:tcBorders>
              <w:top w:val="nil"/>
              <w:left w:val="single" w:sz="5" w:space="0" w:color="000000"/>
              <w:bottom w:val="single" w:sz="5" w:space="0" w:color="000000"/>
              <w:right w:val="single" w:sz="5" w:space="0" w:color="000000"/>
            </w:tcBorders>
            <w:shd w:val="clear" w:color="auto" w:fill="EEECE1"/>
          </w:tcPr>
          <w:p w14:paraId="341BE229" w14:textId="77777777" w:rsidR="00890FDA" w:rsidRPr="00A42BDB" w:rsidRDefault="00890FDA" w:rsidP="00A42BDB">
            <w:pPr>
              <w:jc w:val="center"/>
              <w:rPr>
                <w:rFonts w:ascii="Arial" w:hAnsi="Arial"/>
                <w:sz w:val="18"/>
                <w:szCs w:val="18"/>
              </w:rPr>
            </w:pPr>
            <w:r w:rsidRPr="00A42BDB">
              <w:rPr>
                <w:rFonts w:ascii="Arial" w:hAnsi="Arial"/>
                <w:sz w:val="18"/>
                <w:szCs w:val="18"/>
              </w:rPr>
              <w:t>222</w:t>
            </w:r>
          </w:p>
        </w:tc>
        <w:tc>
          <w:tcPr>
            <w:tcW w:w="951" w:type="dxa"/>
            <w:vMerge/>
            <w:tcBorders>
              <w:left w:val="single" w:sz="5" w:space="0" w:color="000000"/>
              <w:bottom w:val="single" w:sz="5" w:space="0" w:color="000000"/>
              <w:right w:val="single" w:sz="5" w:space="0" w:color="000000"/>
            </w:tcBorders>
            <w:shd w:val="clear" w:color="auto" w:fill="EEECE1"/>
          </w:tcPr>
          <w:p w14:paraId="2CC00328" w14:textId="77777777" w:rsidR="00890FDA" w:rsidRPr="00A42BDB" w:rsidRDefault="00890FDA" w:rsidP="00A42BDB">
            <w:pPr>
              <w:jc w:val="center"/>
              <w:rPr>
                <w:rFonts w:ascii="Arial" w:hAnsi="Arial"/>
                <w:sz w:val="18"/>
                <w:szCs w:val="18"/>
              </w:rPr>
            </w:pPr>
          </w:p>
        </w:tc>
        <w:tc>
          <w:tcPr>
            <w:tcW w:w="1229" w:type="dxa"/>
            <w:vMerge/>
            <w:tcBorders>
              <w:left w:val="single" w:sz="5" w:space="0" w:color="000000"/>
              <w:bottom w:val="single" w:sz="5" w:space="0" w:color="000000"/>
              <w:right w:val="single" w:sz="5" w:space="0" w:color="000000"/>
            </w:tcBorders>
            <w:shd w:val="clear" w:color="auto" w:fill="EEECE1"/>
          </w:tcPr>
          <w:p w14:paraId="5D45DB37" w14:textId="77777777" w:rsidR="00890FDA" w:rsidRPr="00A42BDB" w:rsidRDefault="00890FDA" w:rsidP="00A42BDB">
            <w:pPr>
              <w:jc w:val="center"/>
              <w:rPr>
                <w:rFonts w:ascii="Arial" w:hAnsi="Arial"/>
                <w:sz w:val="18"/>
                <w:szCs w:val="18"/>
              </w:rPr>
            </w:pPr>
          </w:p>
        </w:tc>
        <w:tc>
          <w:tcPr>
            <w:tcW w:w="1330" w:type="dxa"/>
            <w:vMerge/>
            <w:tcBorders>
              <w:left w:val="single" w:sz="5" w:space="0" w:color="000000"/>
              <w:bottom w:val="single" w:sz="5" w:space="0" w:color="000000"/>
              <w:right w:val="single" w:sz="5" w:space="0" w:color="000000"/>
            </w:tcBorders>
            <w:shd w:val="clear" w:color="auto" w:fill="EEECE1"/>
          </w:tcPr>
          <w:p w14:paraId="5BF7A3F9" w14:textId="77777777" w:rsidR="00890FDA" w:rsidRPr="00A42BDB" w:rsidRDefault="00890FDA" w:rsidP="00A42BDB">
            <w:pPr>
              <w:jc w:val="center"/>
              <w:rPr>
                <w:rFonts w:ascii="Arial" w:hAnsi="Arial"/>
                <w:sz w:val="18"/>
                <w:szCs w:val="18"/>
              </w:rPr>
            </w:pPr>
          </w:p>
        </w:tc>
      </w:tr>
      <w:tr w:rsidR="00890FDA" w:rsidRPr="00044CBE" w14:paraId="2612D888" w14:textId="77777777">
        <w:trPr>
          <w:trHeight w:hRule="exact" w:val="876"/>
        </w:trPr>
        <w:tc>
          <w:tcPr>
            <w:tcW w:w="1488" w:type="dxa"/>
            <w:tcBorders>
              <w:top w:val="single" w:sz="5" w:space="0" w:color="000000"/>
              <w:left w:val="single" w:sz="5" w:space="0" w:color="000000"/>
              <w:bottom w:val="single" w:sz="5" w:space="0" w:color="000000"/>
              <w:right w:val="single" w:sz="5" w:space="0" w:color="000000"/>
            </w:tcBorders>
          </w:tcPr>
          <w:p w14:paraId="13A9D9EA" w14:textId="77777777" w:rsidR="00833BEA" w:rsidRDefault="00833BEA" w:rsidP="00833BEA">
            <w:pPr>
              <w:jc w:val="center"/>
              <w:rPr>
                <w:rFonts w:ascii="Arial" w:hAnsi="Arial"/>
                <w:sz w:val="18"/>
                <w:szCs w:val="18"/>
              </w:rPr>
            </w:pPr>
          </w:p>
          <w:p w14:paraId="7619A5FE" w14:textId="77777777" w:rsidR="00890FDA" w:rsidRPr="00A42BDB" w:rsidRDefault="00890FDA" w:rsidP="00833BEA">
            <w:pPr>
              <w:jc w:val="center"/>
              <w:rPr>
                <w:rFonts w:ascii="Arial" w:hAnsi="Arial"/>
                <w:sz w:val="18"/>
                <w:szCs w:val="18"/>
              </w:rPr>
            </w:pPr>
            <w:r w:rsidRPr="00A42BDB">
              <w:rPr>
                <w:rFonts w:ascii="Arial" w:hAnsi="Arial"/>
                <w:sz w:val="18"/>
                <w:szCs w:val="18"/>
              </w:rPr>
              <w:t xml:space="preserve">NorthWestern </w:t>
            </w:r>
            <w:r w:rsidR="00044CBE" w:rsidRPr="00A42BDB">
              <w:rPr>
                <w:rFonts w:ascii="Arial" w:hAnsi="Arial"/>
                <w:sz w:val="18"/>
                <w:szCs w:val="18"/>
              </w:rPr>
              <w:br/>
            </w:r>
            <w:r w:rsidRPr="00A42BDB">
              <w:rPr>
                <w:rFonts w:ascii="Arial" w:hAnsi="Arial"/>
                <w:sz w:val="18"/>
                <w:szCs w:val="18"/>
              </w:rPr>
              <w:t>Energy</w:t>
            </w:r>
          </w:p>
        </w:tc>
        <w:tc>
          <w:tcPr>
            <w:tcW w:w="648" w:type="dxa"/>
            <w:tcBorders>
              <w:top w:val="single" w:sz="5" w:space="0" w:color="000000"/>
              <w:left w:val="single" w:sz="5" w:space="0" w:color="000000"/>
              <w:bottom w:val="single" w:sz="5" w:space="0" w:color="000000"/>
              <w:right w:val="single" w:sz="5" w:space="0" w:color="000000"/>
            </w:tcBorders>
          </w:tcPr>
          <w:p w14:paraId="5102061F" w14:textId="77777777" w:rsidR="00890FDA" w:rsidRPr="00A42BDB" w:rsidRDefault="00890FDA" w:rsidP="00A42BDB">
            <w:pPr>
              <w:jc w:val="center"/>
              <w:rPr>
                <w:rFonts w:ascii="Arial" w:hAnsi="Arial"/>
                <w:sz w:val="18"/>
                <w:szCs w:val="18"/>
              </w:rPr>
            </w:pPr>
          </w:p>
        </w:tc>
        <w:tc>
          <w:tcPr>
            <w:tcW w:w="931" w:type="dxa"/>
            <w:tcBorders>
              <w:top w:val="single" w:sz="5" w:space="0" w:color="000000"/>
              <w:left w:val="single" w:sz="5" w:space="0" w:color="000000"/>
              <w:bottom w:val="single" w:sz="5" w:space="0" w:color="000000"/>
              <w:right w:val="single" w:sz="5" w:space="0" w:color="000000"/>
            </w:tcBorders>
          </w:tcPr>
          <w:p w14:paraId="55B1AF0C" w14:textId="77777777" w:rsidR="00890FDA" w:rsidRPr="00A42BDB" w:rsidRDefault="00890FDA" w:rsidP="00A42BDB">
            <w:pPr>
              <w:jc w:val="center"/>
              <w:rPr>
                <w:rFonts w:ascii="Arial" w:hAnsi="Arial"/>
                <w:sz w:val="18"/>
                <w:szCs w:val="18"/>
              </w:rPr>
            </w:pPr>
          </w:p>
        </w:tc>
        <w:tc>
          <w:tcPr>
            <w:tcW w:w="926" w:type="dxa"/>
            <w:tcBorders>
              <w:top w:val="single" w:sz="5" w:space="0" w:color="000000"/>
              <w:left w:val="single" w:sz="5" w:space="0" w:color="000000"/>
              <w:bottom w:val="single" w:sz="5" w:space="0" w:color="000000"/>
              <w:right w:val="single" w:sz="5" w:space="0" w:color="000000"/>
            </w:tcBorders>
          </w:tcPr>
          <w:p w14:paraId="1C954CC2" w14:textId="77777777" w:rsidR="00890FDA" w:rsidRPr="00A42BDB" w:rsidRDefault="00890FDA" w:rsidP="00A42BDB">
            <w:pPr>
              <w:jc w:val="center"/>
              <w:rPr>
                <w:rFonts w:ascii="Arial" w:hAnsi="Arial"/>
                <w:sz w:val="18"/>
                <w:szCs w:val="18"/>
              </w:rPr>
            </w:pPr>
          </w:p>
        </w:tc>
        <w:tc>
          <w:tcPr>
            <w:tcW w:w="947" w:type="dxa"/>
            <w:tcBorders>
              <w:top w:val="single" w:sz="5" w:space="0" w:color="000000"/>
              <w:left w:val="single" w:sz="5" w:space="0" w:color="000000"/>
              <w:bottom w:val="single" w:sz="5" w:space="0" w:color="000000"/>
              <w:right w:val="single" w:sz="5" w:space="0" w:color="000000"/>
            </w:tcBorders>
          </w:tcPr>
          <w:p w14:paraId="26AE6972" w14:textId="77777777" w:rsidR="00890FDA" w:rsidRPr="00A42BDB" w:rsidRDefault="00890FDA" w:rsidP="00A42BDB">
            <w:pPr>
              <w:jc w:val="center"/>
              <w:rPr>
                <w:rFonts w:ascii="Arial" w:hAnsi="Arial"/>
                <w:sz w:val="18"/>
                <w:szCs w:val="18"/>
              </w:rPr>
            </w:pPr>
          </w:p>
        </w:tc>
        <w:tc>
          <w:tcPr>
            <w:tcW w:w="951" w:type="dxa"/>
            <w:tcBorders>
              <w:top w:val="single" w:sz="5" w:space="0" w:color="000000"/>
              <w:left w:val="single" w:sz="5" w:space="0" w:color="000000"/>
              <w:bottom w:val="single" w:sz="5" w:space="0" w:color="000000"/>
              <w:right w:val="single" w:sz="5" w:space="0" w:color="000000"/>
            </w:tcBorders>
          </w:tcPr>
          <w:p w14:paraId="0C101262" w14:textId="77777777" w:rsidR="00454C32" w:rsidRDefault="00454C32" w:rsidP="00454C32">
            <w:pPr>
              <w:jc w:val="center"/>
              <w:rPr>
                <w:rFonts w:ascii="Arial" w:hAnsi="Arial"/>
                <w:sz w:val="8"/>
                <w:szCs w:val="18"/>
              </w:rPr>
            </w:pPr>
          </w:p>
          <w:p w14:paraId="5F9DF684" w14:textId="77777777" w:rsidR="00454C32" w:rsidRPr="00454C32" w:rsidDel="00454C32" w:rsidRDefault="00454C32" w:rsidP="00454C32">
            <w:pPr>
              <w:jc w:val="center"/>
              <w:rPr>
                <w:rFonts w:ascii="Arial" w:hAnsi="Arial"/>
                <w:sz w:val="8"/>
                <w:szCs w:val="18"/>
              </w:rPr>
            </w:pPr>
          </w:p>
          <w:p w14:paraId="4A0719A4" w14:textId="77777777" w:rsidR="00890FDA" w:rsidRPr="00A42BDB" w:rsidRDefault="00890FDA" w:rsidP="00454C32">
            <w:pPr>
              <w:jc w:val="center"/>
              <w:rPr>
                <w:rFonts w:ascii="Arial" w:hAnsi="Arial"/>
                <w:sz w:val="18"/>
                <w:szCs w:val="18"/>
              </w:rPr>
            </w:pPr>
            <w:r w:rsidRPr="00A42BDB">
              <w:rPr>
                <w:rFonts w:ascii="Arial" w:hAnsi="Arial"/>
                <w:sz w:val="18"/>
                <w:szCs w:val="18"/>
              </w:rPr>
              <w:t>30%</w:t>
            </w:r>
          </w:p>
          <w:p w14:paraId="0D6F93CE" w14:textId="77777777" w:rsidR="00454C32" w:rsidRPr="00454C32" w:rsidRDefault="00454C32" w:rsidP="00454C32">
            <w:pPr>
              <w:jc w:val="center"/>
              <w:rPr>
                <w:rFonts w:ascii="Arial" w:hAnsi="Arial"/>
                <w:sz w:val="8"/>
                <w:szCs w:val="18"/>
              </w:rPr>
            </w:pPr>
          </w:p>
          <w:p w14:paraId="0C85F68B" w14:textId="77777777" w:rsidR="00890FDA" w:rsidRPr="00A42BDB" w:rsidRDefault="00890FDA" w:rsidP="00454C32">
            <w:pPr>
              <w:jc w:val="center"/>
              <w:rPr>
                <w:rFonts w:ascii="Arial" w:hAnsi="Arial"/>
                <w:sz w:val="18"/>
                <w:szCs w:val="18"/>
              </w:rPr>
            </w:pPr>
            <w:r w:rsidRPr="00A42BDB">
              <w:rPr>
                <w:rFonts w:ascii="Arial" w:hAnsi="Arial"/>
                <w:sz w:val="18"/>
                <w:szCs w:val="18"/>
              </w:rPr>
              <w:t>222</w:t>
            </w:r>
          </w:p>
        </w:tc>
        <w:tc>
          <w:tcPr>
            <w:tcW w:w="1229" w:type="dxa"/>
            <w:tcBorders>
              <w:top w:val="single" w:sz="5" w:space="0" w:color="000000"/>
              <w:left w:val="single" w:sz="5" w:space="0" w:color="000000"/>
              <w:bottom w:val="single" w:sz="5" w:space="0" w:color="000000"/>
              <w:right w:val="single" w:sz="5" w:space="0" w:color="000000"/>
            </w:tcBorders>
          </w:tcPr>
          <w:p w14:paraId="0A4FE886" w14:textId="77777777" w:rsidR="00890FDA" w:rsidRPr="00A42BDB" w:rsidRDefault="00890FDA" w:rsidP="00A42BDB">
            <w:pPr>
              <w:jc w:val="center"/>
              <w:rPr>
                <w:rFonts w:ascii="Arial" w:hAnsi="Arial"/>
                <w:sz w:val="18"/>
                <w:szCs w:val="18"/>
              </w:rPr>
            </w:pPr>
          </w:p>
          <w:p w14:paraId="36980EBC" w14:textId="77777777" w:rsidR="00890FDA" w:rsidRPr="00A42BDB" w:rsidRDefault="00890FDA" w:rsidP="00833BEA">
            <w:pPr>
              <w:jc w:val="center"/>
              <w:rPr>
                <w:rFonts w:ascii="Arial" w:hAnsi="Arial"/>
                <w:sz w:val="18"/>
                <w:szCs w:val="18"/>
              </w:rPr>
            </w:pPr>
            <w:r w:rsidRPr="00A42BDB">
              <w:rPr>
                <w:rFonts w:ascii="Arial" w:hAnsi="Arial"/>
                <w:sz w:val="18"/>
                <w:szCs w:val="18"/>
              </w:rPr>
              <w:t>222</w:t>
            </w:r>
          </w:p>
        </w:tc>
        <w:tc>
          <w:tcPr>
            <w:tcW w:w="1330" w:type="dxa"/>
            <w:tcBorders>
              <w:top w:val="single" w:sz="5" w:space="0" w:color="000000"/>
              <w:left w:val="single" w:sz="5" w:space="0" w:color="000000"/>
              <w:bottom w:val="single" w:sz="5" w:space="0" w:color="000000"/>
              <w:right w:val="single" w:sz="5" w:space="0" w:color="000000"/>
            </w:tcBorders>
          </w:tcPr>
          <w:p w14:paraId="027A02AA" w14:textId="77777777" w:rsidR="00890FDA" w:rsidRPr="00A42BDB" w:rsidRDefault="00890FDA" w:rsidP="00A42BDB">
            <w:pPr>
              <w:jc w:val="center"/>
              <w:rPr>
                <w:rFonts w:ascii="Arial" w:hAnsi="Arial"/>
                <w:sz w:val="18"/>
                <w:szCs w:val="18"/>
              </w:rPr>
            </w:pPr>
          </w:p>
          <w:p w14:paraId="1DC4E85C" w14:textId="77777777" w:rsidR="00890FDA" w:rsidRPr="00A42BDB" w:rsidRDefault="00890FDA" w:rsidP="00A42BDB">
            <w:pPr>
              <w:jc w:val="center"/>
              <w:rPr>
                <w:rFonts w:ascii="Arial" w:hAnsi="Arial"/>
                <w:sz w:val="18"/>
                <w:szCs w:val="18"/>
              </w:rPr>
            </w:pPr>
            <w:r w:rsidRPr="00A42BDB">
              <w:rPr>
                <w:rFonts w:ascii="Arial" w:hAnsi="Arial"/>
                <w:sz w:val="18"/>
                <w:szCs w:val="18"/>
              </w:rPr>
              <w:t>10.6%</w:t>
            </w:r>
          </w:p>
        </w:tc>
      </w:tr>
      <w:tr w:rsidR="00890FDA" w:rsidRPr="00044CBE" w14:paraId="159551C5" w14:textId="77777777">
        <w:trPr>
          <w:trHeight w:hRule="exact" w:val="379"/>
        </w:trPr>
        <w:tc>
          <w:tcPr>
            <w:tcW w:w="1488" w:type="dxa"/>
            <w:vMerge w:val="restart"/>
            <w:tcBorders>
              <w:top w:val="single" w:sz="5" w:space="0" w:color="000000"/>
              <w:left w:val="single" w:sz="5" w:space="0" w:color="000000"/>
              <w:right w:val="single" w:sz="5" w:space="0" w:color="000000"/>
            </w:tcBorders>
            <w:shd w:val="clear" w:color="auto" w:fill="EEECE1"/>
          </w:tcPr>
          <w:p w14:paraId="3C09B259" w14:textId="77777777" w:rsidR="00833BEA" w:rsidRDefault="00833BEA" w:rsidP="00A42BDB">
            <w:pPr>
              <w:jc w:val="center"/>
              <w:rPr>
                <w:rFonts w:ascii="Arial" w:hAnsi="Arial"/>
                <w:sz w:val="18"/>
                <w:szCs w:val="18"/>
              </w:rPr>
            </w:pPr>
          </w:p>
          <w:p w14:paraId="5B0BCB1C" w14:textId="77777777" w:rsidR="00890FDA" w:rsidRPr="00A42BDB" w:rsidRDefault="00890FDA" w:rsidP="00A42BDB">
            <w:pPr>
              <w:jc w:val="center"/>
              <w:rPr>
                <w:rFonts w:ascii="Arial" w:hAnsi="Arial"/>
                <w:sz w:val="18"/>
                <w:szCs w:val="18"/>
              </w:rPr>
            </w:pPr>
            <w:r w:rsidRPr="00A42BDB">
              <w:rPr>
                <w:rFonts w:ascii="Arial" w:hAnsi="Arial"/>
                <w:sz w:val="18"/>
                <w:szCs w:val="18"/>
              </w:rPr>
              <w:t>PGE</w:t>
            </w:r>
          </w:p>
        </w:tc>
        <w:tc>
          <w:tcPr>
            <w:tcW w:w="648" w:type="dxa"/>
            <w:vMerge w:val="restart"/>
            <w:tcBorders>
              <w:top w:val="single" w:sz="5" w:space="0" w:color="000000"/>
              <w:left w:val="single" w:sz="5" w:space="0" w:color="000000"/>
              <w:right w:val="single" w:sz="5" w:space="0" w:color="000000"/>
            </w:tcBorders>
            <w:shd w:val="clear" w:color="auto" w:fill="EEECE1"/>
          </w:tcPr>
          <w:p w14:paraId="6E7BD5A6" w14:textId="77777777" w:rsidR="00890FDA" w:rsidRPr="00A42BDB" w:rsidRDefault="00890FDA" w:rsidP="00A42BDB">
            <w:pPr>
              <w:jc w:val="center"/>
              <w:rPr>
                <w:rFonts w:ascii="Arial" w:hAnsi="Arial"/>
                <w:sz w:val="18"/>
                <w:szCs w:val="18"/>
              </w:rPr>
            </w:pPr>
          </w:p>
        </w:tc>
        <w:tc>
          <w:tcPr>
            <w:tcW w:w="931" w:type="dxa"/>
            <w:vMerge w:val="restart"/>
            <w:tcBorders>
              <w:top w:val="single" w:sz="5" w:space="0" w:color="000000"/>
              <w:left w:val="single" w:sz="5" w:space="0" w:color="000000"/>
              <w:right w:val="single" w:sz="5" w:space="0" w:color="000000"/>
            </w:tcBorders>
            <w:shd w:val="clear" w:color="auto" w:fill="EEECE1"/>
          </w:tcPr>
          <w:p w14:paraId="1FC03166" w14:textId="77777777" w:rsidR="00890FDA" w:rsidRPr="00A42BDB" w:rsidRDefault="00890FDA" w:rsidP="00A42BDB">
            <w:pPr>
              <w:jc w:val="center"/>
              <w:rPr>
                <w:rFonts w:ascii="Arial" w:hAnsi="Arial"/>
                <w:sz w:val="18"/>
                <w:szCs w:val="18"/>
              </w:rPr>
            </w:pPr>
          </w:p>
        </w:tc>
        <w:tc>
          <w:tcPr>
            <w:tcW w:w="926" w:type="dxa"/>
            <w:vMerge w:val="restart"/>
            <w:tcBorders>
              <w:top w:val="single" w:sz="5" w:space="0" w:color="000000"/>
              <w:left w:val="single" w:sz="5" w:space="0" w:color="000000"/>
              <w:right w:val="single" w:sz="5" w:space="0" w:color="000000"/>
            </w:tcBorders>
            <w:shd w:val="clear" w:color="auto" w:fill="EEECE1"/>
          </w:tcPr>
          <w:p w14:paraId="2B33E5B4" w14:textId="77777777" w:rsidR="00890FDA" w:rsidRPr="00A42BDB" w:rsidRDefault="00890FDA" w:rsidP="00A42BDB">
            <w:pPr>
              <w:jc w:val="center"/>
              <w:rPr>
                <w:rFonts w:ascii="Arial" w:hAnsi="Arial"/>
                <w:sz w:val="18"/>
                <w:szCs w:val="18"/>
              </w:rPr>
            </w:pPr>
          </w:p>
        </w:tc>
        <w:tc>
          <w:tcPr>
            <w:tcW w:w="947" w:type="dxa"/>
            <w:tcBorders>
              <w:top w:val="single" w:sz="5" w:space="0" w:color="000000"/>
              <w:left w:val="single" w:sz="5" w:space="0" w:color="000000"/>
              <w:bottom w:val="nil"/>
              <w:right w:val="single" w:sz="5" w:space="0" w:color="000000"/>
            </w:tcBorders>
            <w:shd w:val="clear" w:color="auto" w:fill="EEECE1"/>
            <w:vAlign w:val="center"/>
          </w:tcPr>
          <w:p w14:paraId="01000775" w14:textId="77777777" w:rsidR="00890FDA" w:rsidRPr="00A42BDB" w:rsidRDefault="00890FDA" w:rsidP="00A42BDB">
            <w:pPr>
              <w:jc w:val="center"/>
              <w:rPr>
                <w:rFonts w:ascii="Arial" w:hAnsi="Arial"/>
                <w:sz w:val="18"/>
                <w:szCs w:val="18"/>
              </w:rPr>
            </w:pPr>
            <w:r w:rsidRPr="00A42BDB">
              <w:rPr>
                <w:rFonts w:ascii="Arial" w:hAnsi="Arial"/>
                <w:sz w:val="18"/>
                <w:szCs w:val="18"/>
              </w:rPr>
              <w:t>20%</w:t>
            </w:r>
          </w:p>
        </w:tc>
        <w:tc>
          <w:tcPr>
            <w:tcW w:w="951" w:type="dxa"/>
            <w:tcBorders>
              <w:top w:val="single" w:sz="5" w:space="0" w:color="000000"/>
              <w:left w:val="single" w:sz="5" w:space="0" w:color="000000"/>
              <w:bottom w:val="nil"/>
              <w:right w:val="single" w:sz="5" w:space="0" w:color="000000"/>
            </w:tcBorders>
            <w:shd w:val="clear" w:color="auto" w:fill="EEECE1"/>
            <w:vAlign w:val="center"/>
          </w:tcPr>
          <w:p w14:paraId="792AB78B" w14:textId="77777777" w:rsidR="00890FDA" w:rsidRPr="00A42BDB" w:rsidRDefault="00890FDA" w:rsidP="00A42BDB">
            <w:pPr>
              <w:jc w:val="center"/>
              <w:rPr>
                <w:rFonts w:ascii="Arial" w:hAnsi="Arial"/>
                <w:sz w:val="18"/>
                <w:szCs w:val="18"/>
              </w:rPr>
            </w:pPr>
            <w:r w:rsidRPr="00A42BDB">
              <w:rPr>
                <w:rFonts w:ascii="Arial" w:hAnsi="Arial"/>
                <w:sz w:val="18"/>
                <w:szCs w:val="18"/>
              </w:rPr>
              <w:t>20%</w:t>
            </w:r>
          </w:p>
        </w:tc>
        <w:tc>
          <w:tcPr>
            <w:tcW w:w="1229" w:type="dxa"/>
            <w:vMerge w:val="restart"/>
            <w:tcBorders>
              <w:top w:val="single" w:sz="5" w:space="0" w:color="000000"/>
              <w:left w:val="single" w:sz="5" w:space="0" w:color="000000"/>
              <w:right w:val="single" w:sz="5" w:space="0" w:color="000000"/>
            </w:tcBorders>
            <w:shd w:val="clear" w:color="auto" w:fill="EEECE1"/>
          </w:tcPr>
          <w:p w14:paraId="76D0377F" w14:textId="77777777" w:rsidR="00890FDA" w:rsidRPr="00A42BDB" w:rsidRDefault="00890FDA" w:rsidP="00A42BDB">
            <w:pPr>
              <w:jc w:val="center"/>
              <w:rPr>
                <w:rFonts w:ascii="Arial" w:hAnsi="Arial"/>
                <w:sz w:val="18"/>
                <w:szCs w:val="18"/>
              </w:rPr>
            </w:pPr>
          </w:p>
          <w:p w14:paraId="2CEDED03" w14:textId="77777777" w:rsidR="00890FDA" w:rsidRPr="00A42BDB" w:rsidRDefault="00890FDA" w:rsidP="00A42BDB">
            <w:pPr>
              <w:jc w:val="center"/>
              <w:rPr>
                <w:rFonts w:ascii="Arial" w:hAnsi="Arial"/>
                <w:sz w:val="18"/>
                <w:szCs w:val="18"/>
              </w:rPr>
            </w:pPr>
            <w:r w:rsidRPr="00A42BDB">
              <w:rPr>
                <w:rFonts w:ascii="Arial" w:hAnsi="Arial"/>
                <w:sz w:val="18"/>
                <w:szCs w:val="18"/>
              </w:rPr>
              <w:t>296</w:t>
            </w:r>
          </w:p>
        </w:tc>
        <w:tc>
          <w:tcPr>
            <w:tcW w:w="1330" w:type="dxa"/>
            <w:vMerge w:val="restart"/>
            <w:tcBorders>
              <w:top w:val="single" w:sz="5" w:space="0" w:color="000000"/>
              <w:left w:val="single" w:sz="5" w:space="0" w:color="000000"/>
              <w:right w:val="single" w:sz="5" w:space="0" w:color="000000"/>
            </w:tcBorders>
            <w:shd w:val="clear" w:color="auto" w:fill="EEECE1"/>
          </w:tcPr>
          <w:p w14:paraId="3EAA58E4" w14:textId="77777777" w:rsidR="00833BEA" w:rsidRDefault="00833BEA" w:rsidP="00A42BDB">
            <w:pPr>
              <w:jc w:val="center"/>
              <w:rPr>
                <w:rFonts w:ascii="Arial" w:hAnsi="Arial"/>
                <w:sz w:val="18"/>
                <w:szCs w:val="18"/>
              </w:rPr>
            </w:pPr>
          </w:p>
          <w:p w14:paraId="282103A3" w14:textId="77777777" w:rsidR="00890FDA" w:rsidRPr="00A42BDB" w:rsidRDefault="00890FDA" w:rsidP="00A42BDB">
            <w:pPr>
              <w:jc w:val="center"/>
              <w:rPr>
                <w:rFonts w:ascii="Arial" w:hAnsi="Arial"/>
                <w:sz w:val="18"/>
                <w:szCs w:val="18"/>
              </w:rPr>
            </w:pPr>
            <w:r w:rsidRPr="00A42BDB">
              <w:rPr>
                <w:rFonts w:ascii="Arial" w:hAnsi="Arial"/>
                <w:sz w:val="18"/>
                <w:szCs w:val="18"/>
              </w:rPr>
              <w:t>14.1%</w:t>
            </w:r>
          </w:p>
        </w:tc>
      </w:tr>
      <w:tr w:rsidR="00890FDA" w:rsidRPr="00044CBE" w14:paraId="2230938C" w14:textId="77777777">
        <w:trPr>
          <w:trHeight w:hRule="exact" w:val="310"/>
        </w:trPr>
        <w:tc>
          <w:tcPr>
            <w:tcW w:w="1488" w:type="dxa"/>
            <w:vMerge/>
            <w:tcBorders>
              <w:left w:val="single" w:sz="5" w:space="0" w:color="000000"/>
              <w:bottom w:val="single" w:sz="5" w:space="0" w:color="000000"/>
              <w:right w:val="single" w:sz="5" w:space="0" w:color="000000"/>
            </w:tcBorders>
            <w:shd w:val="clear" w:color="auto" w:fill="EEECE1"/>
          </w:tcPr>
          <w:p w14:paraId="1C6EA5F8" w14:textId="77777777" w:rsidR="00890FDA" w:rsidRPr="00A42BDB" w:rsidRDefault="00890FDA" w:rsidP="00A42BDB">
            <w:pPr>
              <w:jc w:val="center"/>
              <w:rPr>
                <w:rFonts w:ascii="Arial" w:hAnsi="Arial"/>
                <w:sz w:val="18"/>
                <w:szCs w:val="18"/>
              </w:rPr>
            </w:pPr>
          </w:p>
        </w:tc>
        <w:tc>
          <w:tcPr>
            <w:tcW w:w="648" w:type="dxa"/>
            <w:vMerge/>
            <w:tcBorders>
              <w:left w:val="single" w:sz="5" w:space="0" w:color="000000"/>
              <w:bottom w:val="single" w:sz="5" w:space="0" w:color="000000"/>
              <w:right w:val="single" w:sz="5" w:space="0" w:color="000000"/>
            </w:tcBorders>
            <w:shd w:val="clear" w:color="auto" w:fill="EEECE1"/>
          </w:tcPr>
          <w:p w14:paraId="5BE1E5CC" w14:textId="77777777" w:rsidR="00890FDA" w:rsidRPr="00A42BDB" w:rsidRDefault="00890FDA" w:rsidP="00A42BDB">
            <w:pPr>
              <w:jc w:val="center"/>
              <w:rPr>
                <w:rFonts w:ascii="Arial" w:hAnsi="Arial"/>
                <w:sz w:val="18"/>
                <w:szCs w:val="18"/>
              </w:rPr>
            </w:pPr>
          </w:p>
        </w:tc>
        <w:tc>
          <w:tcPr>
            <w:tcW w:w="931" w:type="dxa"/>
            <w:vMerge/>
            <w:tcBorders>
              <w:left w:val="single" w:sz="5" w:space="0" w:color="000000"/>
              <w:bottom w:val="single" w:sz="5" w:space="0" w:color="000000"/>
              <w:right w:val="single" w:sz="5" w:space="0" w:color="000000"/>
            </w:tcBorders>
            <w:shd w:val="clear" w:color="auto" w:fill="EEECE1"/>
          </w:tcPr>
          <w:p w14:paraId="0439A0A0" w14:textId="77777777" w:rsidR="00890FDA" w:rsidRPr="00A42BDB" w:rsidRDefault="00890FDA" w:rsidP="00A42BDB">
            <w:pPr>
              <w:jc w:val="center"/>
              <w:rPr>
                <w:rFonts w:ascii="Arial" w:hAnsi="Arial"/>
                <w:sz w:val="18"/>
                <w:szCs w:val="18"/>
              </w:rPr>
            </w:pPr>
          </w:p>
        </w:tc>
        <w:tc>
          <w:tcPr>
            <w:tcW w:w="926" w:type="dxa"/>
            <w:vMerge/>
            <w:tcBorders>
              <w:left w:val="single" w:sz="5" w:space="0" w:color="000000"/>
              <w:bottom w:val="single" w:sz="5" w:space="0" w:color="000000"/>
              <w:right w:val="single" w:sz="5" w:space="0" w:color="000000"/>
            </w:tcBorders>
            <w:shd w:val="clear" w:color="auto" w:fill="EEECE1"/>
          </w:tcPr>
          <w:p w14:paraId="31D3C19D" w14:textId="77777777" w:rsidR="00890FDA" w:rsidRPr="00A42BDB" w:rsidRDefault="00890FDA" w:rsidP="00A42BDB">
            <w:pPr>
              <w:jc w:val="center"/>
              <w:rPr>
                <w:rFonts w:ascii="Arial" w:hAnsi="Arial"/>
                <w:sz w:val="18"/>
                <w:szCs w:val="18"/>
              </w:rPr>
            </w:pPr>
          </w:p>
        </w:tc>
        <w:tc>
          <w:tcPr>
            <w:tcW w:w="947" w:type="dxa"/>
            <w:tcBorders>
              <w:top w:val="nil"/>
              <w:left w:val="single" w:sz="5" w:space="0" w:color="000000"/>
              <w:bottom w:val="single" w:sz="5" w:space="0" w:color="000000"/>
              <w:right w:val="single" w:sz="5" w:space="0" w:color="000000"/>
            </w:tcBorders>
            <w:shd w:val="clear" w:color="auto" w:fill="EEECE1"/>
          </w:tcPr>
          <w:p w14:paraId="23B77350" w14:textId="77777777" w:rsidR="00890FDA" w:rsidRPr="00A42BDB" w:rsidRDefault="00890FDA" w:rsidP="00A42BDB">
            <w:pPr>
              <w:jc w:val="center"/>
              <w:rPr>
                <w:rFonts w:ascii="Arial" w:hAnsi="Arial"/>
                <w:sz w:val="18"/>
                <w:szCs w:val="18"/>
              </w:rPr>
            </w:pPr>
            <w:r w:rsidRPr="00A42BDB">
              <w:rPr>
                <w:rFonts w:ascii="Arial" w:hAnsi="Arial"/>
                <w:sz w:val="18"/>
                <w:szCs w:val="18"/>
              </w:rPr>
              <w:t>148</w:t>
            </w:r>
          </w:p>
        </w:tc>
        <w:tc>
          <w:tcPr>
            <w:tcW w:w="951" w:type="dxa"/>
            <w:tcBorders>
              <w:top w:val="nil"/>
              <w:left w:val="single" w:sz="5" w:space="0" w:color="000000"/>
              <w:bottom w:val="single" w:sz="5" w:space="0" w:color="000000"/>
              <w:right w:val="single" w:sz="5" w:space="0" w:color="000000"/>
            </w:tcBorders>
            <w:shd w:val="clear" w:color="auto" w:fill="EEECE1"/>
          </w:tcPr>
          <w:p w14:paraId="4FCF7E48" w14:textId="77777777" w:rsidR="00890FDA" w:rsidRPr="00A42BDB" w:rsidRDefault="00890FDA" w:rsidP="00A42BDB">
            <w:pPr>
              <w:jc w:val="center"/>
              <w:rPr>
                <w:rFonts w:ascii="Arial" w:hAnsi="Arial"/>
                <w:sz w:val="18"/>
                <w:szCs w:val="18"/>
              </w:rPr>
            </w:pPr>
            <w:r w:rsidRPr="00A42BDB">
              <w:rPr>
                <w:rFonts w:ascii="Arial" w:hAnsi="Arial"/>
                <w:sz w:val="18"/>
                <w:szCs w:val="18"/>
              </w:rPr>
              <w:t>148</w:t>
            </w:r>
          </w:p>
        </w:tc>
        <w:tc>
          <w:tcPr>
            <w:tcW w:w="1229" w:type="dxa"/>
            <w:vMerge/>
            <w:tcBorders>
              <w:left w:val="single" w:sz="5" w:space="0" w:color="000000"/>
              <w:bottom w:val="single" w:sz="5" w:space="0" w:color="000000"/>
              <w:right w:val="single" w:sz="5" w:space="0" w:color="000000"/>
            </w:tcBorders>
            <w:shd w:val="clear" w:color="auto" w:fill="EEECE1"/>
          </w:tcPr>
          <w:p w14:paraId="662C6F2A" w14:textId="77777777" w:rsidR="00890FDA" w:rsidRPr="00A42BDB" w:rsidRDefault="00890FDA" w:rsidP="00A42BDB">
            <w:pPr>
              <w:jc w:val="center"/>
              <w:rPr>
                <w:rFonts w:ascii="Arial" w:hAnsi="Arial"/>
                <w:sz w:val="18"/>
                <w:szCs w:val="18"/>
              </w:rPr>
            </w:pPr>
          </w:p>
        </w:tc>
        <w:tc>
          <w:tcPr>
            <w:tcW w:w="1330" w:type="dxa"/>
            <w:vMerge/>
            <w:tcBorders>
              <w:left w:val="single" w:sz="5" w:space="0" w:color="000000"/>
              <w:bottom w:val="single" w:sz="5" w:space="0" w:color="000000"/>
              <w:right w:val="single" w:sz="5" w:space="0" w:color="000000"/>
            </w:tcBorders>
            <w:shd w:val="clear" w:color="auto" w:fill="EEECE1"/>
          </w:tcPr>
          <w:p w14:paraId="51B18462" w14:textId="77777777" w:rsidR="00890FDA" w:rsidRPr="00A42BDB" w:rsidRDefault="00890FDA" w:rsidP="00A42BDB">
            <w:pPr>
              <w:jc w:val="center"/>
              <w:rPr>
                <w:rFonts w:ascii="Arial" w:hAnsi="Arial"/>
                <w:sz w:val="18"/>
                <w:szCs w:val="18"/>
              </w:rPr>
            </w:pPr>
          </w:p>
        </w:tc>
      </w:tr>
      <w:tr w:rsidR="00890FDA" w:rsidRPr="00044CBE" w14:paraId="09475B8D" w14:textId="77777777">
        <w:trPr>
          <w:trHeight w:hRule="exact" w:val="379"/>
        </w:trPr>
        <w:tc>
          <w:tcPr>
            <w:tcW w:w="1488" w:type="dxa"/>
            <w:vMerge w:val="restart"/>
            <w:tcBorders>
              <w:top w:val="single" w:sz="5" w:space="0" w:color="000000"/>
              <w:left w:val="single" w:sz="5" w:space="0" w:color="000000"/>
              <w:right w:val="single" w:sz="5" w:space="0" w:color="000000"/>
            </w:tcBorders>
          </w:tcPr>
          <w:p w14:paraId="3C992392" w14:textId="77777777" w:rsidR="00833BEA" w:rsidRDefault="00833BEA" w:rsidP="00A42BDB">
            <w:pPr>
              <w:jc w:val="center"/>
              <w:rPr>
                <w:rFonts w:ascii="Arial" w:hAnsi="Arial"/>
                <w:sz w:val="18"/>
                <w:szCs w:val="18"/>
              </w:rPr>
            </w:pPr>
          </w:p>
          <w:p w14:paraId="59F67D57" w14:textId="77777777" w:rsidR="00890FDA" w:rsidRPr="00A42BDB" w:rsidRDefault="00890FDA" w:rsidP="00A42BDB">
            <w:pPr>
              <w:jc w:val="center"/>
              <w:rPr>
                <w:rFonts w:ascii="Arial" w:hAnsi="Arial"/>
                <w:sz w:val="18"/>
                <w:szCs w:val="18"/>
              </w:rPr>
            </w:pPr>
            <w:r w:rsidRPr="00A42BDB">
              <w:rPr>
                <w:rFonts w:ascii="Arial" w:hAnsi="Arial"/>
                <w:sz w:val="18"/>
                <w:szCs w:val="18"/>
              </w:rPr>
              <w:t>Avista</w:t>
            </w:r>
          </w:p>
        </w:tc>
        <w:tc>
          <w:tcPr>
            <w:tcW w:w="648" w:type="dxa"/>
            <w:vMerge w:val="restart"/>
            <w:tcBorders>
              <w:top w:val="single" w:sz="5" w:space="0" w:color="000000"/>
              <w:left w:val="single" w:sz="5" w:space="0" w:color="000000"/>
              <w:right w:val="single" w:sz="5" w:space="0" w:color="000000"/>
            </w:tcBorders>
          </w:tcPr>
          <w:p w14:paraId="6033629F" w14:textId="77777777" w:rsidR="00890FDA" w:rsidRPr="00A42BDB" w:rsidRDefault="00890FDA" w:rsidP="00A42BDB">
            <w:pPr>
              <w:jc w:val="center"/>
              <w:rPr>
                <w:rFonts w:ascii="Arial" w:hAnsi="Arial"/>
                <w:sz w:val="18"/>
                <w:szCs w:val="18"/>
              </w:rPr>
            </w:pPr>
          </w:p>
        </w:tc>
        <w:tc>
          <w:tcPr>
            <w:tcW w:w="931" w:type="dxa"/>
            <w:vMerge w:val="restart"/>
            <w:tcBorders>
              <w:top w:val="single" w:sz="5" w:space="0" w:color="000000"/>
              <w:left w:val="single" w:sz="5" w:space="0" w:color="000000"/>
              <w:right w:val="single" w:sz="5" w:space="0" w:color="000000"/>
            </w:tcBorders>
          </w:tcPr>
          <w:p w14:paraId="2E5B5CCF" w14:textId="77777777" w:rsidR="00890FDA" w:rsidRPr="00A42BDB" w:rsidRDefault="00890FDA" w:rsidP="00A42BDB">
            <w:pPr>
              <w:jc w:val="center"/>
              <w:rPr>
                <w:rFonts w:ascii="Arial" w:hAnsi="Arial"/>
                <w:sz w:val="18"/>
                <w:szCs w:val="18"/>
              </w:rPr>
            </w:pPr>
          </w:p>
        </w:tc>
        <w:tc>
          <w:tcPr>
            <w:tcW w:w="926" w:type="dxa"/>
            <w:vMerge w:val="restart"/>
            <w:tcBorders>
              <w:top w:val="single" w:sz="5" w:space="0" w:color="000000"/>
              <w:left w:val="single" w:sz="5" w:space="0" w:color="000000"/>
              <w:right w:val="single" w:sz="5" w:space="0" w:color="000000"/>
            </w:tcBorders>
          </w:tcPr>
          <w:p w14:paraId="02042C06" w14:textId="77777777" w:rsidR="00890FDA" w:rsidRPr="00A42BDB" w:rsidRDefault="00890FDA" w:rsidP="00A42BDB">
            <w:pPr>
              <w:jc w:val="center"/>
              <w:rPr>
                <w:rFonts w:ascii="Arial" w:hAnsi="Arial"/>
                <w:sz w:val="18"/>
                <w:szCs w:val="18"/>
              </w:rPr>
            </w:pPr>
          </w:p>
        </w:tc>
        <w:tc>
          <w:tcPr>
            <w:tcW w:w="947" w:type="dxa"/>
            <w:tcBorders>
              <w:top w:val="single" w:sz="5" w:space="0" w:color="000000"/>
              <w:left w:val="single" w:sz="5" w:space="0" w:color="000000"/>
              <w:bottom w:val="nil"/>
              <w:right w:val="single" w:sz="5" w:space="0" w:color="000000"/>
            </w:tcBorders>
            <w:vAlign w:val="center"/>
          </w:tcPr>
          <w:p w14:paraId="751985D8" w14:textId="77777777" w:rsidR="00890FDA" w:rsidRPr="00A42BDB" w:rsidRDefault="00890FDA" w:rsidP="00A42BDB">
            <w:pPr>
              <w:jc w:val="center"/>
              <w:rPr>
                <w:rFonts w:ascii="Arial" w:hAnsi="Arial"/>
                <w:sz w:val="18"/>
                <w:szCs w:val="18"/>
              </w:rPr>
            </w:pPr>
            <w:r w:rsidRPr="00A42BDB">
              <w:rPr>
                <w:rFonts w:ascii="Arial" w:hAnsi="Arial"/>
                <w:sz w:val="18"/>
                <w:szCs w:val="18"/>
              </w:rPr>
              <w:t>15%</w:t>
            </w:r>
          </w:p>
        </w:tc>
        <w:tc>
          <w:tcPr>
            <w:tcW w:w="951" w:type="dxa"/>
            <w:tcBorders>
              <w:top w:val="single" w:sz="5" w:space="0" w:color="000000"/>
              <w:left w:val="single" w:sz="5" w:space="0" w:color="000000"/>
              <w:bottom w:val="nil"/>
              <w:right w:val="single" w:sz="5" w:space="0" w:color="000000"/>
            </w:tcBorders>
            <w:vAlign w:val="center"/>
          </w:tcPr>
          <w:p w14:paraId="6F309AFE" w14:textId="77777777" w:rsidR="00890FDA" w:rsidRPr="00A42BDB" w:rsidRDefault="00890FDA" w:rsidP="00A42BDB">
            <w:pPr>
              <w:jc w:val="center"/>
              <w:rPr>
                <w:rFonts w:ascii="Arial" w:hAnsi="Arial"/>
                <w:sz w:val="18"/>
                <w:szCs w:val="18"/>
              </w:rPr>
            </w:pPr>
            <w:r w:rsidRPr="00A42BDB">
              <w:rPr>
                <w:rFonts w:ascii="Arial" w:hAnsi="Arial"/>
                <w:sz w:val="18"/>
                <w:szCs w:val="18"/>
              </w:rPr>
              <w:t>15%</w:t>
            </w:r>
          </w:p>
        </w:tc>
        <w:tc>
          <w:tcPr>
            <w:tcW w:w="1229" w:type="dxa"/>
            <w:vMerge w:val="restart"/>
            <w:tcBorders>
              <w:top w:val="single" w:sz="5" w:space="0" w:color="000000"/>
              <w:left w:val="single" w:sz="5" w:space="0" w:color="000000"/>
              <w:right w:val="single" w:sz="5" w:space="0" w:color="000000"/>
            </w:tcBorders>
          </w:tcPr>
          <w:p w14:paraId="36B6E5DB" w14:textId="77777777" w:rsidR="00890FDA" w:rsidRPr="00A42BDB" w:rsidRDefault="00890FDA" w:rsidP="00A42BDB">
            <w:pPr>
              <w:jc w:val="center"/>
              <w:rPr>
                <w:rFonts w:ascii="Arial" w:hAnsi="Arial"/>
                <w:sz w:val="18"/>
                <w:szCs w:val="18"/>
              </w:rPr>
            </w:pPr>
          </w:p>
          <w:p w14:paraId="219CC579" w14:textId="77777777" w:rsidR="00890FDA" w:rsidRPr="00A42BDB" w:rsidRDefault="00890FDA" w:rsidP="00A42BDB">
            <w:pPr>
              <w:jc w:val="center"/>
              <w:rPr>
                <w:rFonts w:ascii="Arial" w:hAnsi="Arial"/>
                <w:sz w:val="18"/>
                <w:szCs w:val="18"/>
              </w:rPr>
            </w:pPr>
            <w:r w:rsidRPr="00A42BDB">
              <w:rPr>
                <w:rFonts w:ascii="Arial" w:hAnsi="Arial"/>
                <w:sz w:val="18"/>
                <w:szCs w:val="18"/>
              </w:rPr>
              <w:t>222</w:t>
            </w:r>
          </w:p>
        </w:tc>
        <w:tc>
          <w:tcPr>
            <w:tcW w:w="1330" w:type="dxa"/>
            <w:vMerge w:val="restart"/>
            <w:tcBorders>
              <w:top w:val="single" w:sz="5" w:space="0" w:color="000000"/>
              <w:left w:val="single" w:sz="5" w:space="0" w:color="000000"/>
              <w:right w:val="single" w:sz="5" w:space="0" w:color="000000"/>
            </w:tcBorders>
          </w:tcPr>
          <w:p w14:paraId="16506E4E" w14:textId="77777777" w:rsidR="00833BEA" w:rsidRDefault="00833BEA" w:rsidP="00A42BDB">
            <w:pPr>
              <w:jc w:val="center"/>
              <w:rPr>
                <w:rFonts w:ascii="Arial" w:hAnsi="Arial"/>
                <w:sz w:val="18"/>
                <w:szCs w:val="18"/>
              </w:rPr>
            </w:pPr>
          </w:p>
          <w:p w14:paraId="26A4546B" w14:textId="77777777" w:rsidR="00890FDA" w:rsidRPr="00A42BDB" w:rsidRDefault="00890FDA" w:rsidP="00A42BDB">
            <w:pPr>
              <w:jc w:val="center"/>
              <w:rPr>
                <w:rFonts w:ascii="Arial" w:hAnsi="Arial"/>
                <w:sz w:val="18"/>
                <w:szCs w:val="18"/>
              </w:rPr>
            </w:pPr>
            <w:r w:rsidRPr="00A42BDB">
              <w:rPr>
                <w:rFonts w:ascii="Arial" w:hAnsi="Arial"/>
                <w:sz w:val="18"/>
                <w:szCs w:val="18"/>
              </w:rPr>
              <w:t>10.6%</w:t>
            </w:r>
          </w:p>
        </w:tc>
      </w:tr>
      <w:tr w:rsidR="00890FDA" w:rsidRPr="00044CBE" w14:paraId="345B88DC" w14:textId="77777777">
        <w:trPr>
          <w:trHeight w:hRule="exact" w:val="304"/>
        </w:trPr>
        <w:tc>
          <w:tcPr>
            <w:tcW w:w="1488" w:type="dxa"/>
            <w:vMerge/>
            <w:tcBorders>
              <w:left w:val="single" w:sz="5" w:space="0" w:color="000000"/>
              <w:bottom w:val="single" w:sz="5" w:space="0" w:color="000000"/>
              <w:right w:val="single" w:sz="5" w:space="0" w:color="000000"/>
            </w:tcBorders>
          </w:tcPr>
          <w:p w14:paraId="118FD910" w14:textId="77777777" w:rsidR="00890FDA" w:rsidRPr="00A42BDB" w:rsidRDefault="00890FDA" w:rsidP="00A42BDB">
            <w:pPr>
              <w:jc w:val="center"/>
              <w:rPr>
                <w:rFonts w:ascii="Arial" w:hAnsi="Arial"/>
                <w:sz w:val="18"/>
                <w:szCs w:val="18"/>
              </w:rPr>
            </w:pPr>
          </w:p>
        </w:tc>
        <w:tc>
          <w:tcPr>
            <w:tcW w:w="648" w:type="dxa"/>
            <w:vMerge/>
            <w:tcBorders>
              <w:left w:val="single" w:sz="5" w:space="0" w:color="000000"/>
              <w:bottom w:val="single" w:sz="5" w:space="0" w:color="000000"/>
              <w:right w:val="single" w:sz="5" w:space="0" w:color="000000"/>
            </w:tcBorders>
          </w:tcPr>
          <w:p w14:paraId="5686EE10" w14:textId="77777777" w:rsidR="00890FDA" w:rsidRPr="00A42BDB" w:rsidRDefault="00890FDA" w:rsidP="00A42BDB">
            <w:pPr>
              <w:jc w:val="center"/>
              <w:rPr>
                <w:rFonts w:ascii="Arial" w:hAnsi="Arial"/>
                <w:sz w:val="18"/>
                <w:szCs w:val="18"/>
              </w:rPr>
            </w:pPr>
          </w:p>
        </w:tc>
        <w:tc>
          <w:tcPr>
            <w:tcW w:w="931" w:type="dxa"/>
            <w:vMerge/>
            <w:tcBorders>
              <w:left w:val="single" w:sz="5" w:space="0" w:color="000000"/>
              <w:bottom w:val="single" w:sz="5" w:space="0" w:color="000000"/>
              <w:right w:val="single" w:sz="5" w:space="0" w:color="000000"/>
            </w:tcBorders>
          </w:tcPr>
          <w:p w14:paraId="1167BEF2" w14:textId="77777777" w:rsidR="00890FDA" w:rsidRPr="00A42BDB" w:rsidRDefault="00890FDA" w:rsidP="00A42BDB">
            <w:pPr>
              <w:jc w:val="center"/>
              <w:rPr>
                <w:rFonts w:ascii="Arial" w:hAnsi="Arial"/>
                <w:sz w:val="18"/>
                <w:szCs w:val="18"/>
              </w:rPr>
            </w:pPr>
          </w:p>
        </w:tc>
        <w:tc>
          <w:tcPr>
            <w:tcW w:w="926" w:type="dxa"/>
            <w:vMerge/>
            <w:tcBorders>
              <w:left w:val="single" w:sz="5" w:space="0" w:color="000000"/>
              <w:bottom w:val="single" w:sz="5" w:space="0" w:color="000000"/>
              <w:right w:val="single" w:sz="5" w:space="0" w:color="000000"/>
            </w:tcBorders>
          </w:tcPr>
          <w:p w14:paraId="5415094D" w14:textId="77777777" w:rsidR="00890FDA" w:rsidRPr="00A42BDB" w:rsidRDefault="00890FDA" w:rsidP="00A42BDB">
            <w:pPr>
              <w:jc w:val="center"/>
              <w:rPr>
                <w:rFonts w:ascii="Arial" w:hAnsi="Arial"/>
                <w:sz w:val="18"/>
                <w:szCs w:val="18"/>
              </w:rPr>
            </w:pPr>
          </w:p>
        </w:tc>
        <w:tc>
          <w:tcPr>
            <w:tcW w:w="947" w:type="dxa"/>
            <w:tcBorders>
              <w:top w:val="nil"/>
              <w:left w:val="single" w:sz="5" w:space="0" w:color="000000"/>
              <w:bottom w:val="single" w:sz="5" w:space="0" w:color="000000"/>
              <w:right w:val="single" w:sz="5" w:space="0" w:color="000000"/>
            </w:tcBorders>
          </w:tcPr>
          <w:p w14:paraId="4612C270" w14:textId="77777777" w:rsidR="00890FDA" w:rsidRPr="00A42BDB" w:rsidRDefault="00890FDA" w:rsidP="00A42BDB">
            <w:pPr>
              <w:jc w:val="center"/>
              <w:rPr>
                <w:rFonts w:ascii="Arial" w:hAnsi="Arial"/>
                <w:sz w:val="18"/>
                <w:szCs w:val="18"/>
              </w:rPr>
            </w:pPr>
            <w:r w:rsidRPr="00A42BDB">
              <w:rPr>
                <w:rFonts w:ascii="Arial" w:hAnsi="Arial"/>
                <w:sz w:val="18"/>
                <w:szCs w:val="18"/>
              </w:rPr>
              <w:t>111</w:t>
            </w:r>
          </w:p>
        </w:tc>
        <w:tc>
          <w:tcPr>
            <w:tcW w:w="951" w:type="dxa"/>
            <w:tcBorders>
              <w:top w:val="nil"/>
              <w:left w:val="single" w:sz="5" w:space="0" w:color="000000"/>
              <w:bottom w:val="single" w:sz="5" w:space="0" w:color="000000"/>
              <w:right w:val="single" w:sz="5" w:space="0" w:color="000000"/>
            </w:tcBorders>
          </w:tcPr>
          <w:p w14:paraId="58BA1901" w14:textId="77777777" w:rsidR="00890FDA" w:rsidRPr="00A42BDB" w:rsidRDefault="00890FDA" w:rsidP="00A42BDB">
            <w:pPr>
              <w:jc w:val="center"/>
              <w:rPr>
                <w:rFonts w:ascii="Arial" w:hAnsi="Arial"/>
                <w:sz w:val="18"/>
                <w:szCs w:val="18"/>
              </w:rPr>
            </w:pPr>
            <w:r w:rsidRPr="00A42BDB">
              <w:rPr>
                <w:rFonts w:ascii="Arial" w:hAnsi="Arial"/>
                <w:sz w:val="18"/>
                <w:szCs w:val="18"/>
              </w:rPr>
              <w:t>111</w:t>
            </w:r>
          </w:p>
        </w:tc>
        <w:tc>
          <w:tcPr>
            <w:tcW w:w="1229" w:type="dxa"/>
            <w:vMerge/>
            <w:tcBorders>
              <w:left w:val="single" w:sz="5" w:space="0" w:color="000000"/>
              <w:bottom w:val="single" w:sz="5" w:space="0" w:color="000000"/>
              <w:right w:val="single" w:sz="5" w:space="0" w:color="000000"/>
            </w:tcBorders>
          </w:tcPr>
          <w:p w14:paraId="765E1ECA" w14:textId="77777777" w:rsidR="00890FDA" w:rsidRPr="00A42BDB" w:rsidRDefault="00890FDA" w:rsidP="00A42BDB">
            <w:pPr>
              <w:jc w:val="center"/>
              <w:rPr>
                <w:rFonts w:ascii="Arial" w:hAnsi="Arial"/>
                <w:sz w:val="18"/>
                <w:szCs w:val="18"/>
              </w:rPr>
            </w:pPr>
          </w:p>
        </w:tc>
        <w:tc>
          <w:tcPr>
            <w:tcW w:w="1330" w:type="dxa"/>
            <w:vMerge/>
            <w:tcBorders>
              <w:left w:val="single" w:sz="5" w:space="0" w:color="000000"/>
              <w:bottom w:val="single" w:sz="5" w:space="0" w:color="000000"/>
              <w:right w:val="single" w:sz="5" w:space="0" w:color="000000"/>
            </w:tcBorders>
          </w:tcPr>
          <w:p w14:paraId="13D02D03" w14:textId="77777777" w:rsidR="00890FDA" w:rsidRPr="00A42BDB" w:rsidRDefault="00890FDA" w:rsidP="00A42BDB">
            <w:pPr>
              <w:jc w:val="center"/>
              <w:rPr>
                <w:rFonts w:ascii="Arial" w:hAnsi="Arial"/>
                <w:sz w:val="18"/>
                <w:szCs w:val="18"/>
              </w:rPr>
            </w:pPr>
          </w:p>
        </w:tc>
      </w:tr>
      <w:tr w:rsidR="00890FDA" w:rsidRPr="00044CBE" w14:paraId="0D17148B" w14:textId="77777777">
        <w:trPr>
          <w:trHeight w:hRule="exact" w:val="379"/>
        </w:trPr>
        <w:tc>
          <w:tcPr>
            <w:tcW w:w="1488" w:type="dxa"/>
            <w:vMerge w:val="restart"/>
            <w:tcBorders>
              <w:top w:val="single" w:sz="5" w:space="0" w:color="000000"/>
              <w:left w:val="single" w:sz="5" w:space="0" w:color="000000"/>
              <w:right w:val="single" w:sz="5" w:space="0" w:color="000000"/>
            </w:tcBorders>
            <w:shd w:val="clear" w:color="auto" w:fill="EEECE1"/>
          </w:tcPr>
          <w:p w14:paraId="369E1F50" w14:textId="77777777" w:rsidR="00833BEA" w:rsidRDefault="00833BEA" w:rsidP="00A42BDB">
            <w:pPr>
              <w:jc w:val="center"/>
              <w:rPr>
                <w:rFonts w:ascii="Arial" w:hAnsi="Arial"/>
                <w:sz w:val="18"/>
                <w:szCs w:val="18"/>
              </w:rPr>
            </w:pPr>
          </w:p>
          <w:p w14:paraId="6B240D29" w14:textId="77777777" w:rsidR="00890FDA" w:rsidRPr="00A42BDB" w:rsidRDefault="00890FDA" w:rsidP="00A42BDB">
            <w:pPr>
              <w:jc w:val="center"/>
              <w:rPr>
                <w:rFonts w:ascii="Arial" w:hAnsi="Arial"/>
                <w:sz w:val="18"/>
                <w:szCs w:val="18"/>
              </w:rPr>
            </w:pPr>
            <w:r w:rsidRPr="00A42BDB">
              <w:rPr>
                <w:rFonts w:ascii="Arial" w:hAnsi="Arial"/>
                <w:sz w:val="18"/>
                <w:szCs w:val="18"/>
              </w:rPr>
              <w:t>PacifiCorp</w:t>
            </w:r>
          </w:p>
        </w:tc>
        <w:tc>
          <w:tcPr>
            <w:tcW w:w="648" w:type="dxa"/>
            <w:vMerge w:val="restart"/>
            <w:tcBorders>
              <w:top w:val="single" w:sz="5" w:space="0" w:color="000000"/>
              <w:left w:val="single" w:sz="5" w:space="0" w:color="000000"/>
              <w:right w:val="single" w:sz="5" w:space="0" w:color="000000"/>
            </w:tcBorders>
            <w:shd w:val="clear" w:color="auto" w:fill="EEECE1"/>
          </w:tcPr>
          <w:p w14:paraId="6119DA93" w14:textId="77777777" w:rsidR="00890FDA" w:rsidRPr="00A42BDB" w:rsidRDefault="00890FDA" w:rsidP="00A42BDB">
            <w:pPr>
              <w:jc w:val="center"/>
              <w:rPr>
                <w:rFonts w:ascii="Arial" w:hAnsi="Arial"/>
                <w:sz w:val="18"/>
                <w:szCs w:val="18"/>
              </w:rPr>
            </w:pPr>
          </w:p>
        </w:tc>
        <w:tc>
          <w:tcPr>
            <w:tcW w:w="931" w:type="dxa"/>
            <w:vMerge w:val="restart"/>
            <w:tcBorders>
              <w:top w:val="single" w:sz="5" w:space="0" w:color="000000"/>
              <w:left w:val="single" w:sz="5" w:space="0" w:color="000000"/>
              <w:right w:val="single" w:sz="5" w:space="0" w:color="000000"/>
            </w:tcBorders>
            <w:shd w:val="clear" w:color="auto" w:fill="EEECE1"/>
          </w:tcPr>
          <w:p w14:paraId="37E31CD5" w14:textId="77777777" w:rsidR="00890FDA" w:rsidRPr="00A42BDB" w:rsidRDefault="00890FDA" w:rsidP="00A42BDB">
            <w:pPr>
              <w:jc w:val="center"/>
              <w:rPr>
                <w:rFonts w:ascii="Arial" w:hAnsi="Arial"/>
                <w:sz w:val="18"/>
                <w:szCs w:val="18"/>
              </w:rPr>
            </w:pPr>
          </w:p>
        </w:tc>
        <w:tc>
          <w:tcPr>
            <w:tcW w:w="926" w:type="dxa"/>
            <w:vMerge w:val="restart"/>
            <w:tcBorders>
              <w:top w:val="single" w:sz="5" w:space="0" w:color="000000"/>
              <w:left w:val="single" w:sz="5" w:space="0" w:color="000000"/>
              <w:right w:val="single" w:sz="5" w:space="0" w:color="000000"/>
            </w:tcBorders>
            <w:shd w:val="clear" w:color="auto" w:fill="EEECE1"/>
          </w:tcPr>
          <w:p w14:paraId="1ED5F2A5" w14:textId="77777777" w:rsidR="00890FDA" w:rsidRPr="00A42BDB" w:rsidRDefault="00890FDA" w:rsidP="00A42BDB">
            <w:pPr>
              <w:jc w:val="center"/>
              <w:rPr>
                <w:rFonts w:ascii="Arial" w:hAnsi="Arial"/>
                <w:sz w:val="18"/>
                <w:szCs w:val="18"/>
              </w:rPr>
            </w:pPr>
          </w:p>
        </w:tc>
        <w:tc>
          <w:tcPr>
            <w:tcW w:w="947" w:type="dxa"/>
            <w:tcBorders>
              <w:top w:val="single" w:sz="5" w:space="0" w:color="000000"/>
              <w:left w:val="single" w:sz="5" w:space="0" w:color="000000"/>
              <w:bottom w:val="nil"/>
              <w:right w:val="single" w:sz="5" w:space="0" w:color="000000"/>
            </w:tcBorders>
            <w:shd w:val="clear" w:color="auto" w:fill="EEECE1"/>
            <w:vAlign w:val="center"/>
          </w:tcPr>
          <w:p w14:paraId="10CA6090" w14:textId="77777777" w:rsidR="00890FDA" w:rsidRPr="00A42BDB" w:rsidRDefault="00890FDA" w:rsidP="00A42BDB">
            <w:pPr>
              <w:jc w:val="center"/>
              <w:rPr>
                <w:rFonts w:ascii="Arial" w:hAnsi="Arial"/>
                <w:sz w:val="18"/>
                <w:szCs w:val="18"/>
              </w:rPr>
            </w:pPr>
            <w:r w:rsidRPr="00A42BDB">
              <w:rPr>
                <w:rFonts w:ascii="Arial" w:hAnsi="Arial"/>
                <w:sz w:val="18"/>
                <w:szCs w:val="18"/>
              </w:rPr>
              <w:t>10%</w:t>
            </w:r>
          </w:p>
        </w:tc>
        <w:tc>
          <w:tcPr>
            <w:tcW w:w="951" w:type="dxa"/>
            <w:tcBorders>
              <w:top w:val="single" w:sz="5" w:space="0" w:color="000000"/>
              <w:left w:val="single" w:sz="5" w:space="0" w:color="000000"/>
              <w:bottom w:val="nil"/>
              <w:right w:val="single" w:sz="5" w:space="0" w:color="000000"/>
            </w:tcBorders>
            <w:shd w:val="clear" w:color="auto" w:fill="EEECE1"/>
            <w:vAlign w:val="center"/>
          </w:tcPr>
          <w:p w14:paraId="3EE725C4" w14:textId="77777777" w:rsidR="00890FDA" w:rsidRPr="00A42BDB" w:rsidRDefault="00890FDA" w:rsidP="00A42BDB">
            <w:pPr>
              <w:jc w:val="center"/>
              <w:rPr>
                <w:rFonts w:ascii="Arial" w:hAnsi="Arial"/>
                <w:sz w:val="18"/>
                <w:szCs w:val="18"/>
              </w:rPr>
            </w:pPr>
            <w:r w:rsidRPr="00A42BDB">
              <w:rPr>
                <w:rFonts w:ascii="Arial" w:hAnsi="Arial"/>
                <w:sz w:val="18"/>
                <w:szCs w:val="18"/>
              </w:rPr>
              <w:t>10%</w:t>
            </w:r>
          </w:p>
        </w:tc>
        <w:tc>
          <w:tcPr>
            <w:tcW w:w="1229" w:type="dxa"/>
            <w:vMerge w:val="restart"/>
            <w:tcBorders>
              <w:top w:val="single" w:sz="5" w:space="0" w:color="000000"/>
              <w:left w:val="single" w:sz="5" w:space="0" w:color="000000"/>
              <w:right w:val="single" w:sz="5" w:space="0" w:color="000000"/>
            </w:tcBorders>
            <w:shd w:val="clear" w:color="auto" w:fill="EEECE1"/>
          </w:tcPr>
          <w:p w14:paraId="44A0A58C" w14:textId="77777777" w:rsidR="00890FDA" w:rsidRPr="00A42BDB" w:rsidRDefault="00890FDA" w:rsidP="00A42BDB">
            <w:pPr>
              <w:jc w:val="center"/>
              <w:rPr>
                <w:rFonts w:ascii="Arial" w:hAnsi="Arial"/>
                <w:sz w:val="18"/>
                <w:szCs w:val="18"/>
              </w:rPr>
            </w:pPr>
          </w:p>
          <w:p w14:paraId="61FBC16D" w14:textId="77777777" w:rsidR="00890FDA" w:rsidRPr="00A42BDB" w:rsidRDefault="00890FDA" w:rsidP="00A42BDB">
            <w:pPr>
              <w:jc w:val="center"/>
              <w:rPr>
                <w:rFonts w:ascii="Arial" w:hAnsi="Arial"/>
                <w:sz w:val="18"/>
                <w:szCs w:val="18"/>
              </w:rPr>
            </w:pPr>
            <w:r w:rsidRPr="00A42BDB">
              <w:rPr>
                <w:rFonts w:ascii="Arial" w:hAnsi="Arial"/>
                <w:sz w:val="18"/>
                <w:szCs w:val="18"/>
              </w:rPr>
              <w:t>148</w:t>
            </w:r>
          </w:p>
        </w:tc>
        <w:tc>
          <w:tcPr>
            <w:tcW w:w="1330" w:type="dxa"/>
            <w:vMerge w:val="restart"/>
            <w:tcBorders>
              <w:top w:val="single" w:sz="5" w:space="0" w:color="000000"/>
              <w:left w:val="single" w:sz="5" w:space="0" w:color="000000"/>
              <w:right w:val="single" w:sz="5" w:space="0" w:color="000000"/>
            </w:tcBorders>
            <w:shd w:val="clear" w:color="auto" w:fill="EEECE1"/>
          </w:tcPr>
          <w:p w14:paraId="12385D13" w14:textId="77777777" w:rsidR="00833BEA" w:rsidRDefault="00833BEA" w:rsidP="00A42BDB">
            <w:pPr>
              <w:jc w:val="center"/>
              <w:rPr>
                <w:rFonts w:ascii="Arial" w:hAnsi="Arial"/>
                <w:sz w:val="18"/>
                <w:szCs w:val="18"/>
              </w:rPr>
            </w:pPr>
          </w:p>
          <w:p w14:paraId="175759A7" w14:textId="77777777" w:rsidR="00890FDA" w:rsidRPr="00A42BDB" w:rsidRDefault="00890FDA" w:rsidP="00A42BDB">
            <w:pPr>
              <w:jc w:val="center"/>
              <w:rPr>
                <w:rFonts w:ascii="Arial" w:hAnsi="Arial"/>
                <w:sz w:val="18"/>
                <w:szCs w:val="18"/>
              </w:rPr>
            </w:pPr>
            <w:r w:rsidRPr="00A42BDB">
              <w:rPr>
                <w:rFonts w:ascii="Arial" w:hAnsi="Arial"/>
                <w:sz w:val="18"/>
                <w:szCs w:val="18"/>
              </w:rPr>
              <w:t>7.1%</w:t>
            </w:r>
          </w:p>
        </w:tc>
      </w:tr>
      <w:tr w:rsidR="00890FDA" w:rsidRPr="00044CBE" w14:paraId="06CD9DDE" w14:textId="77777777">
        <w:trPr>
          <w:trHeight w:hRule="exact" w:val="310"/>
        </w:trPr>
        <w:tc>
          <w:tcPr>
            <w:tcW w:w="1488" w:type="dxa"/>
            <w:vMerge/>
            <w:tcBorders>
              <w:left w:val="single" w:sz="5" w:space="0" w:color="000000"/>
              <w:bottom w:val="single" w:sz="5" w:space="0" w:color="000000"/>
              <w:right w:val="single" w:sz="5" w:space="0" w:color="000000"/>
            </w:tcBorders>
            <w:shd w:val="clear" w:color="auto" w:fill="EEECE1"/>
          </w:tcPr>
          <w:p w14:paraId="497BC6CD" w14:textId="77777777" w:rsidR="00890FDA" w:rsidRPr="00A42BDB" w:rsidRDefault="00890FDA" w:rsidP="00A42BDB">
            <w:pPr>
              <w:jc w:val="center"/>
              <w:rPr>
                <w:rFonts w:ascii="Arial" w:hAnsi="Arial"/>
                <w:sz w:val="18"/>
                <w:szCs w:val="18"/>
              </w:rPr>
            </w:pPr>
          </w:p>
        </w:tc>
        <w:tc>
          <w:tcPr>
            <w:tcW w:w="648" w:type="dxa"/>
            <w:vMerge/>
            <w:tcBorders>
              <w:left w:val="single" w:sz="5" w:space="0" w:color="000000"/>
              <w:bottom w:val="single" w:sz="5" w:space="0" w:color="000000"/>
              <w:right w:val="single" w:sz="5" w:space="0" w:color="000000"/>
            </w:tcBorders>
            <w:shd w:val="clear" w:color="auto" w:fill="EEECE1"/>
          </w:tcPr>
          <w:p w14:paraId="2C868A0E" w14:textId="77777777" w:rsidR="00890FDA" w:rsidRPr="00A42BDB" w:rsidRDefault="00890FDA" w:rsidP="00A42BDB">
            <w:pPr>
              <w:jc w:val="center"/>
              <w:rPr>
                <w:rFonts w:ascii="Arial" w:hAnsi="Arial"/>
                <w:sz w:val="18"/>
                <w:szCs w:val="18"/>
              </w:rPr>
            </w:pPr>
          </w:p>
        </w:tc>
        <w:tc>
          <w:tcPr>
            <w:tcW w:w="931" w:type="dxa"/>
            <w:vMerge/>
            <w:tcBorders>
              <w:left w:val="single" w:sz="5" w:space="0" w:color="000000"/>
              <w:bottom w:val="single" w:sz="5" w:space="0" w:color="000000"/>
              <w:right w:val="single" w:sz="5" w:space="0" w:color="000000"/>
            </w:tcBorders>
            <w:shd w:val="clear" w:color="auto" w:fill="EEECE1"/>
          </w:tcPr>
          <w:p w14:paraId="406AFDEC" w14:textId="77777777" w:rsidR="00890FDA" w:rsidRPr="00A42BDB" w:rsidRDefault="00890FDA" w:rsidP="00A42BDB">
            <w:pPr>
              <w:jc w:val="center"/>
              <w:rPr>
                <w:rFonts w:ascii="Arial" w:hAnsi="Arial"/>
                <w:sz w:val="18"/>
                <w:szCs w:val="18"/>
              </w:rPr>
            </w:pPr>
          </w:p>
        </w:tc>
        <w:tc>
          <w:tcPr>
            <w:tcW w:w="926" w:type="dxa"/>
            <w:vMerge/>
            <w:tcBorders>
              <w:left w:val="single" w:sz="5" w:space="0" w:color="000000"/>
              <w:bottom w:val="single" w:sz="5" w:space="0" w:color="000000"/>
              <w:right w:val="single" w:sz="5" w:space="0" w:color="000000"/>
            </w:tcBorders>
            <w:shd w:val="clear" w:color="auto" w:fill="EEECE1"/>
          </w:tcPr>
          <w:p w14:paraId="639C2178" w14:textId="77777777" w:rsidR="00890FDA" w:rsidRPr="00A42BDB" w:rsidRDefault="00890FDA" w:rsidP="00A42BDB">
            <w:pPr>
              <w:jc w:val="center"/>
              <w:rPr>
                <w:rFonts w:ascii="Arial" w:hAnsi="Arial"/>
                <w:sz w:val="18"/>
                <w:szCs w:val="18"/>
              </w:rPr>
            </w:pPr>
          </w:p>
        </w:tc>
        <w:tc>
          <w:tcPr>
            <w:tcW w:w="947" w:type="dxa"/>
            <w:tcBorders>
              <w:top w:val="nil"/>
              <w:left w:val="single" w:sz="5" w:space="0" w:color="000000"/>
              <w:bottom w:val="single" w:sz="5" w:space="0" w:color="000000"/>
              <w:right w:val="single" w:sz="5" w:space="0" w:color="000000"/>
            </w:tcBorders>
            <w:shd w:val="clear" w:color="auto" w:fill="EEECE1"/>
          </w:tcPr>
          <w:p w14:paraId="77BCF785" w14:textId="77777777" w:rsidR="00890FDA" w:rsidRPr="00A42BDB" w:rsidRDefault="00890FDA" w:rsidP="00A42BDB">
            <w:pPr>
              <w:jc w:val="center"/>
              <w:rPr>
                <w:rFonts w:ascii="Arial" w:hAnsi="Arial"/>
                <w:sz w:val="18"/>
                <w:szCs w:val="18"/>
              </w:rPr>
            </w:pPr>
            <w:r w:rsidRPr="00A42BDB">
              <w:rPr>
                <w:rFonts w:ascii="Arial" w:hAnsi="Arial"/>
                <w:sz w:val="18"/>
                <w:szCs w:val="18"/>
              </w:rPr>
              <w:t>74</w:t>
            </w:r>
          </w:p>
        </w:tc>
        <w:tc>
          <w:tcPr>
            <w:tcW w:w="951" w:type="dxa"/>
            <w:tcBorders>
              <w:top w:val="nil"/>
              <w:left w:val="single" w:sz="5" w:space="0" w:color="000000"/>
              <w:bottom w:val="single" w:sz="5" w:space="0" w:color="000000"/>
              <w:right w:val="single" w:sz="5" w:space="0" w:color="000000"/>
            </w:tcBorders>
            <w:shd w:val="clear" w:color="auto" w:fill="EEECE1"/>
          </w:tcPr>
          <w:p w14:paraId="27709DFB" w14:textId="77777777" w:rsidR="00890FDA" w:rsidRPr="00A42BDB" w:rsidRDefault="00890FDA" w:rsidP="00A42BDB">
            <w:pPr>
              <w:jc w:val="center"/>
              <w:rPr>
                <w:rFonts w:ascii="Arial" w:hAnsi="Arial"/>
                <w:sz w:val="18"/>
                <w:szCs w:val="18"/>
              </w:rPr>
            </w:pPr>
            <w:r w:rsidRPr="00A42BDB">
              <w:rPr>
                <w:rFonts w:ascii="Arial" w:hAnsi="Arial"/>
                <w:sz w:val="18"/>
                <w:szCs w:val="18"/>
              </w:rPr>
              <w:t>74</w:t>
            </w:r>
          </w:p>
        </w:tc>
        <w:tc>
          <w:tcPr>
            <w:tcW w:w="1229" w:type="dxa"/>
            <w:vMerge/>
            <w:tcBorders>
              <w:left w:val="single" w:sz="5" w:space="0" w:color="000000"/>
              <w:bottom w:val="single" w:sz="5" w:space="0" w:color="000000"/>
              <w:right w:val="single" w:sz="5" w:space="0" w:color="000000"/>
            </w:tcBorders>
            <w:shd w:val="clear" w:color="auto" w:fill="EEECE1"/>
          </w:tcPr>
          <w:p w14:paraId="266978FB" w14:textId="77777777" w:rsidR="00890FDA" w:rsidRPr="00A42BDB" w:rsidRDefault="00890FDA" w:rsidP="00A42BDB">
            <w:pPr>
              <w:jc w:val="center"/>
              <w:rPr>
                <w:rFonts w:ascii="Arial" w:hAnsi="Arial"/>
                <w:sz w:val="18"/>
                <w:szCs w:val="18"/>
              </w:rPr>
            </w:pPr>
          </w:p>
        </w:tc>
        <w:tc>
          <w:tcPr>
            <w:tcW w:w="1330" w:type="dxa"/>
            <w:vMerge/>
            <w:tcBorders>
              <w:left w:val="single" w:sz="5" w:space="0" w:color="000000"/>
              <w:bottom w:val="single" w:sz="5" w:space="0" w:color="000000"/>
              <w:right w:val="single" w:sz="5" w:space="0" w:color="000000"/>
            </w:tcBorders>
            <w:shd w:val="clear" w:color="auto" w:fill="EEECE1"/>
          </w:tcPr>
          <w:p w14:paraId="37530402" w14:textId="77777777" w:rsidR="00890FDA" w:rsidRPr="00A42BDB" w:rsidRDefault="00890FDA" w:rsidP="00A42BDB">
            <w:pPr>
              <w:jc w:val="center"/>
              <w:rPr>
                <w:rFonts w:ascii="Arial" w:hAnsi="Arial"/>
                <w:sz w:val="18"/>
                <w:szCs w:val="18"/>
              </w:rPr>
            </w:pPr>
          </w:p>
        </w:tc>
      </w:tr>
      <w:tr w:rsidR="00890FDA" w:rsidRPr="00044CBE" w14:paraId="68022988" w14:textId="77777777">
        <w:trPr>
          <w:trHeight w:hRule="exact" w:val="588"/>
        </w:trPr>
        <w:tc>
          <w:tcPr>
            <w:tcW w:w="1488" w:type="dxa"/>
            <w:tcBorders>
              <w:top w:val="single" w:sz="5" w:space="0" w:color="000000"/>
              <w:left w:val="single" w:sz="5" w:space="0" w:color="000000"/>
              <w:bottom w:val="single" w:sz="5" w:space="0" w:color="000000"/>
              <w:right w:val="single" w:sz="5" w:space="0" w:color="000000"/>
            </w:tcBorders>
          </w:tcPr>
          <w:p w14:paraId="192DF8A9" w14:textId="77777777" w:rsidR="00833BEA" w:rsidRDefault="00833BEA" w:rsidP="00A42BDB">
            <w:pPr>
              <w:jc w:val="center"/>
              <w:rPr>
                <w:rFonts w:ascii="Arial" w:hAnsi="Arial"/>
                <w:sz w:val="18"/>
                <w:szCs w:val="18"/>
              </w:rPr>
            </w:pPr>
          </w:p>
          <w:p w14:paraId="13A928EA" w14:textId="77777777" w:rsidR="00890FDA" w:rsidRPr="00A42BDB" w:rsidRDefault="00890FDA" w:rsidP="00A42BDB">
            <w:pPr>
              <w:jc w:val="center"/>
              <w:rPr>
                <w:rFonts w:ascii="Arial" w:hAnsi="Arial"/>
                <w:sz w:val="18"/>
                <w:szCs w:val="18"/>
              </w:rPr>
            </w:pPr>
            <w:r w:rsidRPr="00A42BDB">
              <w:rPr>
                <w:rFonts w:ascii="Arial" w:hAnsi="Arial"/>
                <w:sz w:val="18"/>
                <w:szCs w:val="18"/>
              </w:rPr>
              <w:t>Total</w:t>
            </w:r>
          </w:p>
        </w:tc>
        <w:tc>
          <w:tcPr>
            <w:tcW w:w="648" w:type="dxa"/>
            <w:tcBorders>
              <w:top w:val="single" w:sz="5" w:space="0" w:color="000000"/>
              <w:left w:val="single" w:sz="5" w:space="0" w:color="000000"/>
              <w:bottom w:val="single" w:sz="5" w:space="0" w:color="000000"/>
              <w:right w:val="single" w:sz="5" w:space="0" w:color="000000"/>
            </w:tcBorders>
          </w:tcPr>
          <w:p w14:paraId="5B93515A" w14:textId="77777777" w:rsidR="00890FDA" w:rsidRPr="00A42BDB" w:rsidRDefault="00890FDA" w:rsidP="00A42BDB">
            <w:pPr>
              <w:jc w:val="center"/>
              <w:rPr>
                <w:rFonts w:ascii="Arial" w:hAnsi="Arial"/>
                <w:sz w:val="18"/>
                <w:szCs w:val="18"/>
              </w:rPr>
            </w:pPr>
          </w:p>
        </w:tc>
        <w:tc>
          <w:tcPr>
            <w:tcW w:w="931" w:type="dxa"/>
            <w:tcBorders>
              <w:top w:val="single" w:sz="5" w:space="0" w:color="000000"/>
              <w:left w:val="single" w:sz="5" w:space="0" w:color="000000"/>
              <w:bottom w:val="single" w:sz="5" w:space="0" w:color="000000"/>
              <w:right w:val="single" w:sz="5" w:space="0" w:color="000000"/>
            </w:tcBorders>
          </w:tcPr>
          <w:p w14:paraId="3DA4DA50" w14:textId="77777777" w:rsidR="00833BEA" w:rsidRDefault="00833BEA" w:rsidP="00A42BDB">
            <w:pPr>
              <w:jc w:val="center"/>
              <w:rPr>
                <w:rFonts w:ascii="Arial" w:hAnsi="Arial"/>
                <w:sz w:val="18"/>
                <w:szCs w:val="18"/>
              </w:rPr>
            </w:pPr>
          </w:p>
          <w:p w14:paraId="78580920" w14:textId="77777777" w:rsidR="00890FDA" w:rsidRPr="00A42BDB" w:rsidRDefault="00890FDA" w:rsidP="00A42BDB">
            <w:pPr>
              <w:jc w:val="center"/>
              <w:rPr>
                <w:rFonts w:ascii="Arial" w:hAnsi="Arial"/>
                <w:sz w:val="18"/>
                <w:szCs w:val="18"/>
              </w:rPr>
            </w:pPr>
            <w:r w:rsidRPr="00A42BDB">
              <w:rPr>
                <w:rFonts w:ascii="Arial" w:hAnsi="Arial"/>
                <w:sz w:val="18"/>
                <w:szCs w:val="18"/>
              </w:rPr>
              <w:t>307</w:t>
            </w:r>
          </w:p>
        </w:tc>
        <w:tc>
          <w:tcPr>
            <w:tcW w:w="926" w:type="dxa"/>
            <w:tcBorders>
              <w:top w:val="single" w:sz="5" w:space="0" w:color="000000"/>
              <w:left w:val="single" w:sz="5" w:space="0" w:color="000000"/>
              <w:bottom w:val="single" w:sz="5" w:space="0" w:color="000000"/>
              <w:right w:val="single" w:sz="5" w:space="0" w:color="000000"/>
            </w:tcBorders>
          </w:tcPr>
          <w:p w14:paraId="6462F733" w14:textId="77777777" w:rsidR="00833BEA" w:rsidRDefault="00833BEA" w:rsidP="00A42BDB">
            <w:pPr>
              <w:jc w:val="center"/>
              <w:rPr>
                <w:rFonts w:ascii="Arial" w:hAnsi="Arial"/>
                <w:sz w:val="18"/>
                <w:szCs w:val="18"/>
              </w:rPr>
            </w:pPr>
          </w:p>
          <w:p w14:paraId="43B252FE" w14:textId="77777777" w:rsidR="00890FDA" w:rsidRPr="00A42BDB" w:rsidRDefault="00890FDA" w:rsidP="00A42BDB">
            <w:pPr>
              <w:jc w:val="center"/>
              <w:rPr>
                <w:rFonts w:ascii="Arial" w:hAnsi="Arial"/>
                <w:sz w:val="18"/>
                <w:szCs w:val="18"/>
              </w:rPr>
            </w:pPr>
            <w:r w:rsidRPr="00A42BDB">
              <w:rPr>
                <w:rFonts w:ascii="Arial" w:hAnsi="Arial"/>
                <w:sz w:val="18"/>
                <w:szCs w:val="18"/>
              </w:rPr>
              <w:t>307</w:t>
            </w:r>
          </w:p>
        </w:tc>
        <w:tc>
          <w:tcPr>
            <w:tcW w:w="947" w:type="dxa"/>
            <w:tcBorders>
              <w:top w:val="single" w:sz="5" w:space="0" w:color="000000"/>
              <w:left w:val="single" w:sz="5" w:space="0" w:color="000000"/>
              <w:bottom w:val="single" w:sz="5" w:space="0" w:color="000000"/>
              <w:right w:val="single" w:sz="5" w:space="0" w:color="000000"/>
            </w:tcBorders>
          </w:tcPr>
          <w:p w14:paraId="2B26B098" w14:textId="77777777" w:rsidR="00833BEA" w:rsidRDefault="00833BEA" w:rsidP="00A42BDB">
            <w:pPr>
              <w:jc w:val="center"/>
              <w:rPr>
                <w:rFonts w:ascii="Arial" w:hAnsi="Arial"/>
                <w:sz w:val="18"/>
                <w:szCs w:val="18"/>
              </w:rPr>
            </w:pPr>
          </w:p>
          <w:p w14:paraId="0651744A" w14:textId="77777777" w:rsidR="00890FDA" w:rsidRPr="00A42BDB" w:rsidRDefault="00890FDA" w:rsidP="00A42BDB">
            <w:pPr>
              <w:jc w:val="center"/>
              <w:rPr>
                <w:rFonts w:ascii="Arial" w:hAnsi="Arial"/>
                <w:sz w:val="18"/>
                <w:szCs w:val="18"/>
              </w:rPr>
            </w:pPr>
            <w:r w:rsidRPr="00A42BDB">
              <w:rPr>
                <w:rFonts w:ascii="Arial" w:hAnsi="Arial"/>
                <w:sz w:val="18"/>
                <w:szCs w:val="18"/>
              </w:rPr>
              <w:t>740</w:t>
            </w:r>
          </w:p>
        </w:tc>
        <w:tc>
          <w:tcPr>
            <w:tcW w:w="951" w:type="dxa"/>
            <w:tcBorders>
              <w:top w:val="single" w:sz="5" w:space="0" w:color="000000"/>
              <w:left w:val="single" w:sz="5" w:space="0" w:color="000000"/>
              <w:bottom w:val="single" w:sz="5" w:space="0" w:color="000000"/>
              <w:right w:val="single" w:sz="5" w:space="0" w:color="000000"/>
            </w:tcBorders>
          </w:tcPr>
          <w:p w14:paraId="7DE6EFC7" w14:textId="77777777" w:rsidR="00833BEA" w:rsidRDefault="00833BEA" w:rsidP="00A42BDB">
            <w:pPr>
              <w:jc w:val="center"/>
              <w:rPr>
                <w:rFonts w:ascii="Arial" w:hAnsi="Arial"/>
                <w:sz w:val="18"/>
                <w:szCs w:val="18"/>
              </w:rPr>
            </w:pPr>
          </w:p>
          <w:p w14:paraId="1F89AEA4" w14:textId="77777777" w:rsidR="00890FDA" w:rsidRPr="00A42BDB" w:rsidRDefault="00890FDA" w:rsidP="00A42BDB">
            <w:pPr>
              <w:jc w:val="center"/>
              <w:rPr>
                <w:rFonts w:ascii="Arial" w:hAnsi="Arial"/>
                <w:sz w:val="18"/>
                <w:szCs w:val="18"/>
              </w:rPr>
            </w:pPr>
            <w:r w:rsidRPr="00A42BDB">
              <w:rPr>
                <w:rFonts w:ascii="Arial" w:hAnsi="Arial"/>
                <w:sz w:val="18"/>
                <w:szCs w:val="18"/>
              </w:rPr>
              <w:t>740</w:t>
            </w:r>
          </w:p>
        </w:tc>
        <w:tc>
          <w:tcPr>
            <w:tcW w:w="1229" w:type="dxa"/>
            <w:tcBorders>
              <w:top w:val="single" w:sz="5" w:space="0" w:color="000000"/>
              <w:left w:val="single" w:sz="5" w:space="0" w:color="000000"/>
              <w:bottom w:val="single" w:sz="5" w:space="0" w:color="000000"/>
              <w:right w:val="single" w:sz="5" w:space="0" w:color="000000"/>
            </w:tcBorders>
          </w:tcPr>
          <w:p w14:paraId="7FFD7B1A" w14:textId="77777777" w:rsidR="00833BEA" w:rsidRDefault="00833BEA" w:rsidP="00A42BDB">
            <w:pPr>
              <w:jc w:val="center"/>
              <w:rPr>
                <w:rFonts w:ascii="Arial" w:hAnsi="Arial"/>
                <w:sz w:val="18"/>
                <w:szCs w:val="18"/>
              </w:rPr>
            </w:pPr>
          </w:p>
          <w:p w14:paraId="3A68971F" w14:textId="77777777" w:rsidR="00890FDA" w:rsidRPr="00A42BDB" w:rsidRDefault="00890FDA" w:rsidP="00A42BDB">
            <w:pPr>
              <w:jc w:val="center"/>
              <w:rPr>
                <w:rFonts w:ascii="Arial" w:hAnsi="Arial"/>
                <w:sz w:val="18"/>
                <w:szCs w:val="18"/>
              </w:rPr>
            </w:pPr>
            <w:r w:rsidRPr="00A42BDB">
              <w:rPr>
                <w:rFonts w:ascii="Arial" w:hAnsi="Arial"/>
                <w:sz w:val="18"/>
                <w:szCs w:val="18"/>
              </w:rPr>
              <w:t>2094</w:t>
            </w:r>
          </w:p>
        </w:tc>
        <w:tc>
          <w:tcPr>
            <w:tcW w:w="1330" w:type="dxa"/>
            <w:tcBorders>
              <w:top w:val="single" w:sz="5" w:space="0" w:color="000000"/>
              <w:left w:val="single" w:sz="5" w:space="0" w:color="000000"/>
              <w:bottom w:val="single" w:sz="5" w:space="0" w:color="000000"/>
              <w:right w:val="single" w:sz="5" w:space="0" w:color="000000"/>
            </w:tcBorders>
          </w:tcPr>
          <w:p w14:paraId="597A51B5" w14:textId="77777777" w:rsidR="00833BEA" w:rsidRDefault="00833BEA" w:rsidP="00A42BDB">
            <w:pPr>
              <w:jc w:val="center"/>
              <w:rPr>
                <w:rFonts w:ascii="Arial" w:hAnsi="Arial"/>
                <w:sz w:val="18"/>
                <w:szCs w:val="18"/>
              </w:rPr>
            </w:pPr>
          </w:p>
          <w:p w14:paraId="449D779A" w14:textId="77777777" w:rsidR="00890FDA" w:rsidRPr="00A42BDB" w:rsidRDefault="00890FDA" w:rsidP="00A42BDB">
            <w:pPr>
              <w:jc w:val="center"/>
              <w:rPr>
                <w:rFonts w:ascii="Arial" w:hAnsi="Arial"/>
                <w:sz w:val="18"/>
                <w:szCs w:val="18"/>
              </w:rPr>
            </w:pPr>
            <w:r w:rsidRPr="00A42BDB">
              <w:rPr>
                <w:rFonts w:ascii="Arial" w:hAnsi="Arial"/>
                <w:sz w:val="18"/>
                <w:szCs w:val="18"/>
              </w:rPr>
              <w:t>100.0%</w:t>
            </w:r>
          </w:p>
        </w:tc>
      </w:tr>
    </w:tbl>
    <w:p w14:paraId="36003766" w14:textId="77777777" w:rsidR="001B5F2B" w:rsidRPr="00044CBE" w:rsidRDefault="007E49E8" w:rsidP="00044CBE">
      <w:pPr>
        <w:pStyle w:val="IRPsanstext"/>
        <w:rPr>
          <w:rFonts w:ascii="Helvetica Neue" w:hAnsi="Helvetica Neue"/>
          <w:b/>
          <w:color w:val="156570"/>
          <w:sz w:val="18"/>
          <w:szCs w:val="18"/>
        </w:rPr>
      </w:pPr>
      <w:r w:rsidRPr="00044CBE">
        <w:rPr>
          <w:rFonts w:ascii="Helvetica Neue" w:hAnsi="Helvetica Neue"/>
          <w:b/>
          <w:color w:val="156570"/>
          <w:sz w:val="18"/>
          <w:szCs w:val="18"/>
        </w:rPr>
        <w:t xml:space="preserve"> </w:t>
      </w:r>
    </w:p>
    <w:p w14:paraId="415A1A99" w14:textId="77777777" w:rsidR="00044CBE" w:rsidRPr="009F7AD8" w:rsidRDefault="00044CBE" w:rsidP="00044CBE">
      <w:pPr>
        <w:pStyle w:val="IRPsanstext"/>
        <w:rPr>
          <w:sz w:val="20"/>
        </w:rPr>
      </w:pPr>
      <w:r w:rsidRPr="009F7AD8">
        <w:rPr>
          <w:sz w:val="20"/>
        </w:rPr>
        <w:t>The Colstrip Transmission System was built at the same time as Units 3 &amp; 4. This transmission system cons</w:t>
      </w:r>
      <w:r w:rsidR="00833BEA" w:rsidRPr="009F7AD8">
        <w:rPr>
          <w:sz w:val="20"/>
        </w:rPr>
        <w:t>ists of two single-</w:t>
      </w:r>
      <w:r w:rsidRPr="009F7AD8">
        <w:rPr>
          <w:sz w:val="20"/>
        </w:rPr>
        <w:t>circuit 500 kV transmission lines that run from the plant to an interconnection with the Bonneville Power Administration (BPA) in Townsend, Montana. It is owned by the five regulated utility owners</w:t>
      </w:r>
      <w:r w:rsidR="00833BEA" w:rsidRPr="009F7AD8">
        <w:rPr>
          <w:sz w:val="20"/>
        </w:rPr>
        <w:t xml:space="preserve"> of the power plant: PSE, NorthW</w:t>
      </w:r>
      <w:r w:rsidRPr="009F7AD8">
        <w:rPr>
          <w:sz w:val="20"/>
        </w:rPr>
        <w:t>estern Energy, PGE, Avista and PacifiCorp.</w:t>
      </w:r>
    </w:p>
    <w:p w14:paraId="38BB318E" w14:textId="77777777" w:rsidR="00044CBE" w:rsidRPr="00CD755D" w:rsidRDefault="00044CBE" w:rsidP="00044CBE">
      <w:pPr>
        <w:pStyle w:val="IRPsanstext"/>
      </w:pPr>
    </w:p>
    <w:p w14:paraId="0068E37D" w14:textId="77777777" w:rsidR="00044CBE" w:rsidRDefault="00044CBE" w:rsidP="00044CBE">
      <w:pPr>
        <w:pStyle w:val="IRPsanstext"/>
        <w:rPr>
          <w:sz w:val="36"/>
        </w:rPr>
      </w:pPr>
    </w:p>
    <w:p w14:paraId="52EBF026" w14:textId="77777777" w:rsidR="004A6361" w:rsidRDefault="004A6361">
      <w:pPr>
        <w:rPr>
          <w:rFonts w:ascii="Arial" w:hAnsi="Arial" w:cs="Arial"/>
          <w:color w:val="000000"/>
          <w:sz w:val="32"/>
          <w:szCs w:val="32"/>
        </w:rPr>
      </w:pPr>
      <w:r>
        <w:br w:type="page"/>
      </w:r>
    </w:p>
    <w:p w14:paraId="4068D56C" w14:textId="77777777" w:rsidR="00044CBE" w:rsidRPr="00CD755D" w:rsidRDefault="00044CBE" w:rsidP="00044CBE">
      <w:pPr>
        <w:pStyle w:val="IRPsecthead1serif"/>
      </w:pPr>
      <w:r w:rsidRPr="00CD755D">
        <w:lastRenderedPageBreak/>
        <w:t>Governance</w:t>
      </w:r>
    </w:p>
    <w:p w14:paraId="10D05C84" w14:textId="77777777" w:rsidR="00044CBE" w:rsidRPr="00CD755D" w:rsidRDefault="00044CBE" w:rsidP="00044CBE">
      <w:pPr>
        <w:pStyle w:val="IRPsanstext"/>
      </w:pPr>
    </w:p>
    <w:p w14:paraId="2479E3FC" w14:textId="77777777" w:rsidR="00044CBE" w:rsidRPr="009F7AD8" w:rsidRDefault="00044CBE" w:rsidP="00044CBE">
      <w:pPr>
        <w:pStyle w:val="IRPsanstext"/>
        <w:rPr>
          <w:sz w:val="20"/>
        </w:rPr>
      </w:pPr>
      <w:r w:rsidRPr="009F7AD8">
        <w:rPr>
          <w:sz w:val="20"/>
        </w:rPr>
        <w:t>Colstrip owners are governed by two ownership a</w:t>
      </w:r>
      <w:r w:rsidR="00BF46A9" w:rsidRPr="009F7AD8">
        <w:rPr>
          <w:sz w:val="20"/>
        </w:rPr>
        <w:t>greements. T</w:t>
      </w:r>
      <w:r w:rsidRPr="009F7AD8">
        <w:rPr>
          <w:sz w:val="20"/>
        </w:rPr>
        <w:t>he Units 1 &amp; 2 Construction and Ownership Agreement executed in 1971 and the Colstrip Units 3 &amp; 4 Ownership and Operations Agreement executed in 1981. There is a separate Operating Agreement for Units 1 &amp; 2.</w:t>
      </w:r>
    </w:p>
    <w:p w14:paraId="732BFE94" w14:textId="77777777" w:rsidR="00044CBE" w:rsidRPr="009F7AD8" w:rsidRDefault="00044CBE" w:rsidP="00044CBE">
      <w:pPr>
        <w:pStyle w:val="IRPsanstext"/>
        <w:rPr>
          <w:sz w:val="20"/>
        </w:rPr>
      </w:pPr>
    </w:p>
    <w:p w14:paraId="79D27144" w14:textId="77777777" w:rsidR="00044CBE" w:rsidRPr="009F7AD8" w:rsidRDefault="00044CBE" w:rsidP="0097287B">
      <w:pPr>
        <w:pStyle w:val="IRPsanstext"/>
        <w:rPr>
          <w:sz w:val="20"/>
        </w:rPr>
      </w:pPr>
      <w:r w:rsidRPr="009F7AD8">
        <w:rPr>
          <w:sz w:val="20"/>
        </w:rPr>
        <w:t>Each agreement establishes an Owners Committee to guide operating decisions, and the agreements set forth several key conditions.</w:t>
      </w:r>
      <w:r w:rsidR="0097287B" w:rsidRPr="009F7AD8">
        <w:rPr>
          <w:sz w:val="20"/>
        </w:rPr>
        <w:br/>
      </w:r>
    </w:p>
    <w:p w14:paraId="19504780" w14:textId="77777777" w:rsidR="0097287B" w:rsidRPr="009F7AD8" w:rsidRDefault="00044CBE" w:rsidP="00BC105C">
      <w:pPr>
        <w:pStyle w:val="IRPsanstext"/>
        <w:numPr>
          <w:ilvl w:val="0"/>
          <w:numId w:val="17"/>
        </w:numPr>
        <w:rPr>
          <w:sz w:val="20"/>
        </w:rPr>
      </w:pPr>
      <w:r w:rsidRPr="009F7AD8">
        <w:rPr>
          <w:sz w:val="20"/>
        </w:rPr>
        <w:t xml:space="preserve">Ownership is as “tenants in common,” without a right of partition, and the obligations of each owner are several and not joint. </w:t>
      </w:r>
    </w:p>
    <w:p w14:paraId="37D3AE7A" w14:textId="77777777" w:rsidR="0097287B" w:rsidRPr="009F7AD8" w:rsidRDefault="00044CBE" w:rsidP="0097287B">
      <w:pPr>
        <w:pStyle w:val="IRPsanstext"/>
        <w:numPr>
          <w:ilvl w:val="0"/>
          <w:numId w:val="17"/>
        </w:numPr>
        <w:rPr>
          <w:sz w:val="20"/>
        </w:rPr>
      </w:pPr>
      <w:r w:rsidRPr="009F7AD8">
        <w:rPr>
          <w:sz w:val="20"/>
        </w:rPr>
        <w:t>Assignment and ownership transfer to third parties is limited, with a right of first refusal for an existing owner to acquire any ownership offered for sale.</w:t>
      </w:r>
    </w:p>
    <w:p w14:paraId="4ED941E8" w14:textId="77777777" w:rsidR="00044CBE" w:rsidRPr="009F7AD8" w:rsidRDefault="00044CBE" w:rsidP="0097287B">
      <w:pPr>
        <w:pStyle w:val="IRPsanstext"/>
        <w:numPr>
          <w:ilvl w:val="0"/>
          <w:numId w:val="17"/>
        </w:numPr>
        <w:rPr>
          <w:sz w:val="20"/>
        </w:rPr>
      </w:pPr>
      <w:r w:rsidRPr="009F7AD8">
        <w:rPr>
          <w:sz w:val="20"/>
        </w:rPr>
        <w:t>The term of the agreements continues for as long as the units are used and useful or to the end of the period permitted by law.</w:t>
      </w:r>
    </w:p>
    <w:p w14:paraId="7FC234F9" w14:textId="77777777" w:rsidR="0097287B" w:rsidRPr="009F7AD8" w:rsidRDefault="00044CBE" w:rsidP="0097287B">
      <w:pPr>
        <w:pStyle w:val="IRPsanstext"/>
        <w:numPr>
          <w:ilvl w:val="0"/>
          <w:numId w:val="17"/>
        </w:numPr>
        <w:rPr>
          <w:sz w:val="20"/>
        </w:rPr>
      </w:pPr>
      <w:r w:rsidRPr="009F7AD8">
        <w:rPr>
          <w:sz w:val="20"/>
        </w:rPr>
        <w:t>Each owner must provide enough fuel to operate its share of the units at minimum load.</w:t>
      </w:r>
    </w:p>
    <w:p w14:paraId="5877308A" w14:textId="77777777" w:rsidR="00044CBE" w:rsidRPr="009F7AD8" w:rsidRDefault="00044CBE" w:rsidP="0097287B">
      <w:pPr>
        <w:pStyle w:val="IRPsanstext"/>
        <w:numPr>
          <w:ilvl w:val="0"/>
          <w:numId w:val="17"/>
        </w:numPr>
        <w:rPr>
          <w:sz w:val="20"/>
        </w:rPr>
      </w:pPr>
      <w:r w:rsidRPr="009F7AD8">
        <w:rPr>
          <w:sz w:val="20"/>
        </w:rPr>
        <w:t>Failing to pay its share of project costs or failing to provide adequate fuel constitutes a default on the part of the owner.</w:t>
      </w:r>
    </w:p>
    <w:p w14:paraId="6F8DF02D" w14:textId="77777777" w:rsidR="00044CBE" w:rsidRPr="009F7AD8" w:rsidRDefault="00044CBE" w:rsidP="0097287B">
      <w:pPr>
        <w:pStyle w:val="IRPsanstext"/>
        <w:numPr>
          <w:ilvl w:val="0"/>
          <w:numId w:val="17"/>
        </w:numPr>
        <w:rPr>
          <w:sz w:val="20"/>
        </w:rPr>
      </w:pPr>
      <w:r w:rsidRPr="009F7AD8">
        <w:rPr>
          <w:sz w:val="20"/>
        </w:rPr>
        <w:t>An owner must continue to pay its share of operating costs and coal costs until it has transferred its ownership to another entity.</w:t>
      </w:r>
    </w:p>
    <w:p w14:paraId="3343EA94" w14:textId="77777777" w:rsidR="0097287B" w:rsidRPr="009F7AD8" w:rsidRDefault="00044CBE" w:rsidP="00BC105C">
      <w:pPr>
        <w:pStyle w:val="IRPsanstext"/>
        <w:numPr>
          <w:ilvl w:val="0"/>
          <w:numId w:val="17"/>
        </w:numPr>
        <w:rPr>
          <w:sz w:val="20"/>
        </w:rPr>
      </w:pPr>
      <w:r w:rsidRPr="009F7AD8">
        <w:rPr>
          <w:sz w:val="20"/>
        </w:rPr>
        <w:t>No single owner has the ability or right to shut down the plant, so to shut down and decommission any unit</w:t>
      </w:r>
      <w:r w:rsidR="00BF46A9" w:rsidRPr="009F7AD8">
        <w:rPr>
          <w:sz w:val="20"/>
        </w:rPr>
        <w:t xml:space="preserve"> </w:t>
      </w:r>
      <w:r w:rsidRPr="009F7AD8">
        <w:rPr>
          <w:sz w:val="20"/>
        </w:rPr>
        <w:t xml:space="preserve">all owners of that unit must unanimously agree. </w:t>
      </w:r>
    </w:p>
    <w:p w14:paraId="4F8B0FE6" w14:textId="77777777" w:rsidR="00044CBE" w:rsidRPr="009F7AD8" w:rsidRDefault="00044CBE" w:rsidP="0097287B">
      <w:pPr>
        <w:pStyle w:val="IRPsanstext"/>
        <w:numPr>
          <w:ilvl w:val="0"/>
          <w:numId w:val="17"/>
        </w:numPr>
        <w:rPr>
          <w:sz w:val="20"/>
        </w:rPr>
      </w:pPr>
      <w:r w:rsidRPr="009F7AD8">
        <w:rPr>
          <w:sz w:val="20"/>
        </w:rPr>
        <w:t>The ownership contracts do not establish a “put” right for any owner.</w:t>
      </w:r>
    </w:p>
    <w:p w14:paraId="24EDC61E" w14:textId="77777777" w:rsidR="0097287B" w:rsidRPr="009F7AD8" w:rsidRDefault="0097287B" w:rsidP="0097287B">
      <w:pPr>
        <w:pStyle w:val="IRPsanstext"/>
        <w:rPr>
          <w:sz w:val="20"/>
        </w:rPr>
      </w:pPr>
    </w:p>
    <w:p w14:paraId="50D64563" w14:textId="77777777" w:rsidR="00044CBE" w:rsidRPr="009F7AD8" w:rsidRDefault="00044CBE" w:rsidP="0097287B">
      <w:pPr>
        <w:pStyle w:val="IRPsanstext"/>
        <w:rPr>
          <w:sz w:val="20"/>
        </w:rPr>
      </w:pPr>
      <w:r w:rsidRPr="009F7AD8">
        <w:rPr>
          <w:sz w:val="20"/>
        </w:rPr>
        <w:t>The Operating and Ownership Agreement for Units 3 &amp; 4 specifies a voting structure to be used by the Owners Committee for approving annual budgets and other operating decisions. Both ownership agreements provide that the Owners Committee may not amend the agreement. A separate agreement governs ownership and operation of the Colstrip Transmission System.</w:t>
      </w:r>
    </w:p>
    <w:p w14:paraId="4730D4A9" w14:textId="77777777" w:rsidR="004A6361" w:rsidRDefault="004A6361">
      <w:pPr>
        <w:rPr>
          <w:rFonts w:ascii="Palatino" w:hAnsi="Palatino"/>
          <w:sz w:val="40"/>
        </w:rPr>
      </w:pPr>
      <w:r w:rsidRPr="009F7AD8">
        <w:rPr>
          <w:sz w:val="20"/>
        </w:rPr>
        <w:br w:type="page"/>
      </w:r>
    </w:p>
    <w:p w14:paraId="375B2E3D" w14:textId="77777777" w:rsidR="00044CBE" w:rsidRPr="00CD755D" w:rsidRDefault="00044CBE" w:rsidP="00044CBE">
      <w:pPr>
        <w:pStyle w:val="IRPsecthead1serif"/>
      </w:pPr>
      <w:r w:rsidRPr="00CD755D">
        <w:lastRenderedPageBreak/>
        <w:t>Requirements after Operations Cease</w:t>
      </w:r>
    </w:p>
    <w:p w14:paraId="4009A1A4" w14:textId="77777777" w:rsidR="00044CBE" w:rsidRPr="00CD755D" w:rsidRDefault="00044CBE" w:rsidP="00044CBE">
      <w:pPr>
        <w:pStyle w:val="IRPsanstext"/>
      </w:pPr>
    </w:p>
    <w:p w14:paraId="4C8AF55B" w14:textId="77777777" w:rsidR="00044CBE" w:rsidRPr="009F7AD8" w:rsidRDefault="00044CBE" w:rsidP="00044CBE">
      <w:pPr>
        <w:pStyle w:val="IRPsanstext"/>
        <w:rPr>
          <w:sz w:val="20"/>
        </w:rPr>
      </w:pPr>
      <w:proofErr w:type="gramStart"/>
      <w:r w:rsidRPr="00044CBE">
        <w:rPr>
          <w:b/>
          <w:color w:val="156570"/>
          <w:sz w:val="28"/>
          <w:szCs w:val="28"/>
        </w:rPr>
        <w:t>Potential Plant Remediation Obligations.</w:t>
      </w:r>
      <w:proofErr w:type="gramEnd"/>
      <w:r w:rsidRPr="00CD755D">
        <w:t xml:space="preserve"> </w:t>
      </w:r>
      <w:r w:rsidRPr="009F7AD8">
        <w:rPr>
          <w:sz w:val="20"/>
        </w:rPr>
        <w:t>The Ownership Agreements for both Units 1 &amp; 2 and Units 3 &amp; 4 are silent about a definite date for shutdown of the units. They address decommissioning or remediation costs only to the extent that costs remaining after equipment salvage are to be distributed based on ownership share. Currently there are no plans for decommissioning of the facility.</w:t>
      </w:r>
    </w:p>
    <w:p w14:paraId="09F389AA" w14:textId="77777777" w:rsidR="00044CBE" w:rsidRPr="009F7AD8" w:rsidRDefault="00044CBE" w:rsidP="00044CBE">
      <w:pPr>
        <w:pStyle w:val="IRPsanstext"/>
        <w:rPr>
          <w:sz w:val="20"/>
        </w:rPr>
      </w:pPr>
    </w:p>
    <w:p w14:paraId="5EF4FDEC" w14:textId="77777777" w:rsidR="00044CBE" w:rsidRPr="009F7AD8" w:rsidRDefault="00044CBE" w:rsidP="00044CBE">
      <w:pPr>
        <w:pStyle w:val="IRPsanstext"/>
        <w:rPr>
          <w:sz w:val="20"/>
        </w:rPr>
      </w:pPr>
      <w:r w:rsidRPr="00044CBE">
        <w:rPr>
          <w:b/>
          <w:color w:val="156570"/>
          <w:sz w:val="28"/>
          <w:szCs w:val="28"/>
        </w:rPr>
        <w:t>Potential Mine Reclamation and Obligations.</w:t>
      </w:r>
      <w:r w:rsidRPr="00CD755D">
        <w:t xml:space="preserve"> </w:t>
      </w:r>
      <w:r w:rsidRPr="009F7AD8">
        <w:rPr>
          <w:sz w:val="20"/>
        </w:rPr>
        <w:t>Mining permits held by Western Energy Company (WECo), the coal supplier, require development of reclamation plans and cost estimates for all areas disturbed by mining, and WECo has provided surety bonds to the State of Montana to ensure that reclamation will occur. Plant owners reimburse WECo for the cost of mine reclamation, including final reclamation work after coal deliveries cease, as part of the current costs paid for each ton of coal supplied.</w:t>
      </w:r>
    </w:p>
    <w:p w14:paraId="77BE254A" w14:textId="77777777" w:rsidR="00044CBE" w:rsidRPr="009F7AD8" w:rsidRDefault="00044CBE" w:rsidP="00044CBE">
      <w:pPr>
        <w:pStyle w:val="IRPsanstext"/>
        <w:rPr>
          <w:b/>
          <w:color w:val="156570"/>
          <w:sz w:val="20"/>
          <w:szCs w:val="28"/>
        </w:rPr>
      </w:pPr>
    </w:p>
    <w:p w14:paraId="54A990ED" w14:textId="77777777" w:rsidR="00044CBE" w:rsidRPr="009F7AD8" w:rsidRDefault="00044CBE" w:rsidP="00044CBE">
      <w:pPr>
        <w:pStyle w:val="IRPsanstext"/>
        <w:rPr>
          <w:sz w:val="20"/>
        </w:rPr>
      </w:pPr>
      <w:r w:rsidRPr="00044CBE">
        <w:rPr>
          <w:b/>
          <w:color w:val="156570"/>
          <w:sz w:val="28"/>
          <w:szCs w:val="28"/>
        </w:rPr>
        <w:t>Wastewater Remediation.</w:t>
      </w:r>
      <w:r w:rsidRPr="00CD755D">
        <w:t xml:space="preserve"> </w:t>
      </w:r>
      <w:r w:rsidRPr="009F7AD8">
        <w:rPr>
          <w:sz w:val="20"/>
        </w:rPr>
        <w:t xml:space="preserve">In August 2012, </w:t>
      </w:r>
      <w:r w:rsidR="00CC1B07" w:rsidRPr="009F7AD8">
        <w:rPr>
          <w:sz w:val="20"/>
        </w:rPr>
        <w:t>Talen Energy</w:t>
      </w:r>
      <w:r w:rsidRPr="009F7AD8">
        <w:rPr>
          <w:sz w:val="20"/>
        </w:rPr>
        <w:t xml:space="preserve"> and the Montana Department of Environmental Quality (MDEQ) signed an Administrative Order of Consent Regarding Impacts </w:t>
      </w:r>
      <w:r w:rsidR="007B70ED" w:rsidRPr="009F7AD8">
        <w:rPr>
          <w:sz w:val="20"/>
        </w:rPr>
        <w:t xml:space="preserve">from </w:t>
      </w:r>
      <w:r w:rsidRPr="009F7AD8">
        <w:rPr>
          <w:sz w:val="20"/>
        </w:rPr>
        <w:t xml:space="preserve">Wastewater Facilities (AOC). The AOC sets up a comprehensive program for investigation, interim response </w:t>
      </w:r>
      <w:r w:rsidR="007B70ED" w:rsidRPr="009F7AD8">
        <w:rPr>
          <w:sz w:val="20"/>
        </w:rPr>
        <w:t xml:space="preserve">and </w:t>
      </w:r>
      <w:r w:rsidRPr="009F7AD8">
        <w:rPr>
          <w:sz w:val="20"/>
        </w:rPr>
        <w:t xml:space="preserve">remediation </w:t>
      </w:r>
      <w:r w:rsidR="007B70ED" w:rsidRPr="009F7AD8">
        <w:rPr>
          <w:sz w:val="20"/>
        </w:rPr>
        <w:t xml:space="preserve">of any wastewater seepage or spills, </w:t>
      </w:r>
      <w:r w:rsidRPr="009F7AD8">
        <w:rPr>
          <w:sz w:val="20"/>
        </w:rPr>
        <w:t xml:space="preserve">and closure of the holding ponds. The AOC provides for preparation of a Site Report for </w:t>
      </w:r>
      <w:r w:rsidR="007B70ED" w:rsidRPr="009F7AD8">
        <w:rPr>
          <w:sz w:val="20"/>
        </w:rPr>
        <w:t xml:space="preserve">any </w:t>
      </w:r>
      <w:r w:rsidRPr="009F7AD8">
        <w:rPr>
          <w:sz w:val="20"/>
        </w:rPr>
        <w:t xml:space="preserve">identified area of the plant site where </w:t>
      </w:r>
      <w:r w:rsidR="007B70ED" w:rsidRPr="009F7AD8">
        <w:rPr>
          <w:sz w:val="20"/>
        </w:rPr>
        <w:t xml:space="preserve">seepage or </w:t>
      </w:r>
      <w:r w:rsidRPr="009F7AD8">
        <w:rPr>
          <w:sz w:val="20"/>
        </w:rPr>
        <w:t xml:space="preserve">spills have occurred. </w:t>
      </w:r>
      <w:r w:rsidR="007B70ED" w:rsidRPr="009F7AD8">
        <w:rPr>
          <w:sz w:val="20"/>
        </w:rPr>
        <w:t xml:space="preserve">A </w:t>
      </w:r>
      <w:r w:rsidRPr="009F7AD8">
        <w:rPr>
          <w:sz w:val="20"/>
        </w:rPr>
        <w:t xml:space="preserve">Site Report </w:t>
      </w:r>
      <w:r w:rsidR="007B70ED" w:rsidRPr="009F7AD8">
        <w:rPr>
          <w:sz w:val="20"/>
        </w:rPr>
        <w:t xml:space="preserve">must </w:t>
      </w:r>
      <w:r w:rsidRPr="009F7AD8">
        <w:rPr>
          <w:sz w:val="20"/>
        </w:rPr>
        <w:t>include a description of investigations performed to date</w:t>
      </w:r>
      <w:r w:rsidR="007B70ED" w:rsidRPr="009F7AD8">
        <w:rPr>
          <w:sz w:val="20"/>
        </w:rPr>
        <w:t xml:space="preserve"> in that area</w:t>
      </w:r>
      <w:r w:rsidRPr="009F7AD8">
        <w:rPr>
          <w:sz w:val="20"/>
        </w:rPr>
        <w:t>, results of modeling, details of pond construction and recommendations for additional characterization. After the Site Report is complete</w:t>
      </w:r>
      <w:r w:rsidR="007B70ED" w:rsidRPr="009F7AD8">
        <w:rPr>
          <w:sz w:val="20"/>
        </w:rPr>
        <w:t xml:space="preserve"> for a given area</w:t>
      </w:r>
      <w:r w:rsidRPr="009F7AD8">
        <w:rPr>
          <w:sz w:val="20"/>
        </w:rPr>
        <w:t>, a Site Characterization Work Plan, a Cleanup Criteria and Risk Assessment, a Remedy Evaluation Report and, if required, a Final Remediation Action Report</w:t>
      </w:r>
      <w:r w:rsidR="007B70ED" w:rsidRPr="009F7AD8">
        <w:rPr>
          <w:sz w:val="20"/>
        </w:rPr>
        <w:t xml:space="preserve"> </w:t>
      </w:r>
      <w:r w:rsidRPr="009F7AD8">
        <w:rPr>
          <w:sz w:val="20"/>
        </w:rPr>
        <w:t xml:space="preserve">will be completed and approved by the MDEQ. The AOC provides for public notice and comment on each report and response by MDEQ to substantive comments. Separately a plan for closure of the wastewater ponds must be prepared and submitted by </w:t>
      </w:r>
      <w:r w:rsidR="007B70ED" w:rsidRPr="009F7AD8">
        <w:rPr>
          <w:sz w:val="20"/>
        </w:rPr>
        <w:t xml:space="preserve">August </w:t>
      </w:r>
      <w:r w:rsidRPr="009F7AD8">
        <w:rPr>
          <w:sz w:val="20"/>
        </w:rPr>
        <w:t>2017.</w:t>
      </w:r>
      <w:r w:rsidR="00517CF2" w:rsidRPr="009F7AD8">
        <w:rPr>
          <w:sz w:val="20"/>
        </w:rPr>
        <w:t xml:space="preserve"> This plan will include requirements for wastewater pond </w:t>
      </w:r>
      <w:proofErr w:type="gramStart"/>
      <w:r w:rsidR="00517CF2" w:rsidRPr="009F7AD8">
        <w:rPr>
          <w:sz w:val="20"/>
        </w:rPr>
        <w:t>closure which</w:t>
      </w:r>
      <w:proofErr w:type="gramEnd"/>
      <w:r w:rsidR="00517CF2" w:rsidRPr="009F7AD8">
        <w:rPr>
          <w:sz w:val="20"/>
        </w:rPr>
        <w:t xml:space="preserve"> must be completed when operations cease.</w:t>
      </w:r>
    </w:p>
    <w:p w14:paraId="0829B67B" w14:textId="77777777" w:rsidR="00044CBE" w:rsidRDefault="00044CBE" w:rsidP="00044CBE">
      <w:pPr>
        <w:spacing w:line="276" w:lineRule="auto"/>
      </w:pPr>
    </w:p>
    <w:p w14:paraId="434A531E" w14:textId="77777777" w:rsidR="00CC1B07" w:rsidRDefault="00CC1B07">
      <w:pPr>
        <w:rPr>
          <w:rFonts w:ascii="Arial" w:hAnsi="Arial"/>
          <w:b/>
          <w:color w:val="156570"/>
          <w:sz w:val="28"/>
          <w:szCs w:val="28"/>
        </w:rPr>
      </w:pPr>
      <w:r>
        <w:rPr>
          <w:b/>
          <w:color w:val="156570"/>
          <w:sz w:val="28"/>
          <w:szCs w:val="28"/>
        </w:rPr>
        <w:br w:type="page"/>
      </w:r>
    </w:p>
    <w:p w14:paraId="156375DA" w14:textId="77777777" w:rsidR="00454C32" w:rsidRPr="009F7AD8" w:rsidRDefault="008D0E9F" w:rsidP="00A11C39">
      <w:pPr>
        <w:pStyle w:val="irpsanstext0"/>
        <w:spacing w:line="320" w:lineRule="exact"/>
        <w:rPr>
          <w:rStyle w:val="IRPsanstextChar1"/>
          <w:lang w:eastAsia="ja-JP"/>
        </w:rPr>
      </w:pPr>
      <w:r w:rsidRPr="00A11C39">
        <w:rPr>
          <w:rFonts w:ascii="Arial" w:hAnsi="Arial"/>
          <w:b/>
          <w:color w:val="156570"/>
          <w:sz w:val="28"/>
          <w:szCs w:val="28"/>
        </w:rPr>
        <w:lastRenderedPageBreak/>
        <w:t>Coal Combustion Residuals (CCR) Pond Closure and Related Remediation.</w:t>
      </w:r>
      <w:r w:rsidRPr="00CD755D">
        <w:t xml:space="preserve"> </w:t>
      </w:r>
      <w:r w:rsidR="00232526" w:rsidRPr="009F7AD8">
        <w:rPr>
          <w:rStyle w:val="IRPsanstextChar1"/>
          <w:sz w:val="20"/>
        </w:rPr>
        <w:t>On April 17, 2015, the United States Environmental Protection Agency (EPA) published a final rule, effective October 19, 2015, that regulates Coal Combustion Residuals (CCRs) under the Resource Conservation</w:t>
      </w:r>
      <w:r w:rsidR="00A11C39" w:rsidRPr="009F7AD8">
        <w:rPr>
          <w:rStyle w:val="IRPsanstextChar1"/>
          <w:sz w:val="20"/>
        </w:rPr>
        <w:t xml:space="preserve"> and Recovery Act, Subtitle D. </w:t>
      </w:r>
      <w:r w:rsidR="00232526" w:rsidRPr="009F7AD8">
        <w:rPr>
          <w:rStyle w:val="IRPsanstextChar1"/>
          <w:sz w:val="20"/>
        </w:rPr>
        <w:t>This rule requires significant changes to the Colstrip operations and post</w:t>
      </w:r>
      <w:r w:rsidR="00A11C39" w:rsidRPr="009F7AD8">
        <w:rPr>
          <w:rStyle w:val="IRPsanstextChar1"/>
          <w:sz w:val="20"/>
        </w:rPr>
        <w:t>-</w:t>
      </w:r>
      <w:r w:rsidR="00232526" w:rsidRPr="009F7AD8">
        <w:rPr>
          <w:rStyle w:val="IRPsanstextChar1"/>
          <w:sz w:val="20"/>
        </w:rPr>
        <w:t xml:space="preserve">closure requirements. </w:t>
      </w:r>
      <w:proofErr w:type="gramStart"/>
      <w:r w:rsidR="00232526" w:rsidRPr="009F7AD8">
        <w:rPr>
          <w:rStyle w:val="IRPsanstextChar1"/>
          <w:sz w:val="20"/>
        </w:rPr>
        <w:t>The changes were reviewed by PSE and the plant operator</w:t>
      </w:r>
      <w:proofErr w:type="gramEnd"/>
      <w:r w:rsidR="00232526" w:rsidRPr="009F7AD8">
        <w:rPr>
          <w:rStyle w:val="IRPsanstextChar1"/>
          <w:sz w:val="20"/>
        </w:rPr>
        <w:t xml:space="preserve"> in the second quarter of 2015</w:t>
      </w:r>
      <w:r w:rsidR="00A11C39" w:rsidRPr="009F7AD8">
        <w:rPr>
          <w:rStyle w:val="IRPsanstextChar1"/>
          <w:sz w:val="20"/>
        </w:rPr>
        <w:t>.</w:t>
      </w:r>
      <w:r w:rsidR="00232526" w:rsidRPr="009F7AD8">
        <w:rPr>
          <w:rStyle w:val="IRPsanstextChar1"/>
          <w:sz w:val="20"/>
        </w:rPr>
        <w:t xml:space="preserve">  Refer to the section below titled “Rules and Proposed Rules” for additional information regarding CCR.  </w:t>
      </w:r>
    </w:p>
    <w:p w14:paraId="23ACD868" w14:textId="77777777" w:rsidR="004A6361" w:rsidRPr="00291C2E" w:rsidRDefault="004A6361" w:rsidP="00DA4F09">
      <w:pPr>
        <w:pStyle w:val="IRPsanstext"/>
      </w:pPr>
      <w:r w:rsidRPr="00291C2E">
        <w:br w:type="page"/>
      </w:r>
    </w:p>
    <w:p w14:paraId="38F6C7B4" w14:textId="77777777" w:rsidR="00F133C9" w:rsidRPr="00B82F6C" w:rsidRDefault="00044CBE" w:rsidP="00044CBE">
      <w:pPr>
        <w:pStyle w:val="IRPsecthead1serif"/>
      </w:pPr>
      <w:r>
        <w:lastRenderedPageBreak/>
        <w:t>The History of Colstrip</w:t>
      </w:r>
    </w:p>
    <w:p w14:paraId="6E580786" w14:textId="77777777" w:rsidR="00B82F6C" w:rsidRDefault="00B82F6C" w:rsidP="00044CBE">
      <w:pPr>
        <w:pStyle w:val="IRPsanstext"/>
      </w:pPr>
    </w:p>
    <w:p w14:paraId="4225964B" w14:textId="77777777" w:rsidR="00044CBE" w:rsidRPr="00D24C84" w:rsidRDefault="00044CBE" w:rsidP="00044CBE">
      <w:pPr>
        <w:pStyle w:val="IRPsanstext"/>
        <w:rPr>
          <w:sz w:val="20"/>
        </w:rPr>
      </w:pPr>
      <w:r w:rsidRPr="00D24C84">
        <w:rPr>
          <w:sz w:val="20"/>
        </w:rPr>
        <w:t>The Northern Pacific Railway established the town of Colstrip in 1924 at the northern end of the Powder River Basin to provide coal for its steam locomotives. The Powder River Basin is the single largest source of coal in the United States and is one of the largest deposits of coal in the world. At Colstrip, coal is mined from the Rosebud seam of the Fort Union Formation. The railroad shut down the mine in 1958 when it switched to diesel locomotives, and the Montana Power Company purchased the rights to the mine and the town in 1959. They resumed mining operations in the 1970s with plans to build coal-fired electrical plants.</w:t>
      </w:r>
    </w:p>
    <w:p w14:paraId="37038367" w14:textId="77777777" w:rsidR="00044CBE" w:rsidRPr="00D24C84" w:rsidRDefault="00044CBE" w:rsidP="00044CBE">
      <w:pPr>
        <w:pStyle w:val="IRPsanstext"/>
        <w:rPr>
          <w:sz w:val="20"/>
        </w:rPr>
      </w:pPr>
    </w:p>
    <w:p w14:paraId="1CD4DD30" w14:textId="77777777" w:rsidR="00044CBE" w:rsidRPr="00D24C84" w:rsidRDefault="00044CBE" w:rsidP="00044CBE">
      <w:pPr>
        <w:pStyle w:val="IRPsanstext"/>
        <w:rPr>
          <w:sz w:val="20"/>
        </w:rPr>
      </w:pPr>
      <w:r w:rsidRPr="00D24C84">
        <w:rPr>
          <w:sz w:val="20"/>
        </w:rPr>
        <w:t xml:space="preserve">In the 1960s, BPA forecast that available baseload hydroelectric power would be fully subscribed by its statutory preference customers, leaving none available for sale to PSE and other investor-owned utilities. Faced with this situation, PSE had to develop or contract for other sources of baseload energy. Developing a coal-fired generating plant at Colstrip, Montana was the result. The adjacent Rosebud mine offered plentiful coal reserves that could be delivered to the generating plant without the need for costly rail facilities. Sharing the ownership and output of a two-unit plant with Montana Power Company (whose generating plants were later acquired by </w:t>
      </w:r>
      <w:r w:rsidR="00CC1B07" w:rsidRPr="00D24C84">
        <w:rPr>
          <w:sz w:val="20"/>
        </w:rPr>
        <w:t>Talen Energy</w:t>
      </w:r>
      <w:r w:rsidRPr="00D24C84">
        <w:rPr>
          <w:sz w:val="20"/>
        </w:rPr>
        <w:t>) made construction and operation more economical, and sharing the output of two units increased reliability compared to owning a single unit of similar size or a larger, single-unit plant.</w:t>
      </w:r>
    </w:p>
    <w:p w14:paraId="2D363AF4" w14:textId="77777777" w:rsidR="00044CBE" w:rsidRPr="00D24C84" w:rsidRDefault="00044CBE" w:rsidP="00044CBE">
      <w:pPr>
        <w:pStyle w:val="IRPsanstext"/>
        <w:rPr>
          <w:sz w:val="20"/>
        </w:rPr>
      </w:pPr>
    </w:p>
    <w:p w14:paraId="1480652E" w14:textId="77777777" w:rsidR="00044CBE" w:rsidRPr="00D24C84" w:rsidRDefault="00044CBE" w:rsidP="00044CBE">
      <w:pPr>
        <w:pStyle w:val="IRPsanstext"/>
        <w:rPr>
          <w:sz w:val="20"/>
        </w:rPr>
      </w:pPr>
      <w:r w:rsidRPr="00D24C84">
        <w:rPr>
          <w:sz w:val="20"/>
        </w:rPr>
        <w:t xml:space="preserve">In the early 1970s, under the same forecast that the region’s investor-owned utilities would soon lose access to BPA baseload </w:t>
      </w:r>
      <w:proofErr w:type="gramStart"/>
      <w:r w:rsidRPr="00D24C84">
        <w:rPr>
          <w:sz w:val="20"/>
        </w:rPr>
        <w:t>hydro power</w:t>
      </w:r>
      <w:proofErr w:type="gramEnd"/>
      <w:r w:rsidRPr="00D24C84">
        <w:rPr>
          <w:sz w:val="20"/>
        </w:rPr>
        <w:t>, PSE and Montana Power Company began planning for Units 3 &amp; 4 together with three other utilities. Construction of the two units began, but delays in obtaining the required Montana Major Facility Siting Act Certificate postponed their opening until 1984 and 1986 respectively. The 500 kV Colstrip Transmission System was constructed in tandem with Units 3 &amp; 4.</w:t>
      </w:r>
    </w:p>
    <w:p w14:paraId="1CB65494" w14:textId="77777777" w:rsidR="00044CBE" w:rsidRPr="00D24C84" w:rsidRDefault="00044CBE" w:rsidP="00044CBE">
      <w:pPr>
        <w:pStyle w:val="IRPsanstext"/>
        <w:rPr>
          <w:sz w:val="20"/>
        </w:rPr>
      </w:pPr>
    </w:p>
    <w:p w14:paraId="19D77474" w14:textId="77777777" w:rsidR="00B82F6C" w:rsidRPr="00D24C84" w:rsidRDefault="00044CBE" w:rsidP="004A6361">
      <w:pPr>
        <w:pStyle w:val="IRPsanstext"/>
        <w:rPr>
          <w:sz w:val="20"/>
        </w:rPr>
      </w:pPr>
      <w:r w:rsidRPr="00D24C84">
        <w:rPr>
          <w:sz w:val="20"/>
        </w:rPr>
        <w:t>The power plant and mine dominate the economies of Colstrip and Rosebud County, although ranching is also an important source of jobs and income. A 2010 study by University of Montana economists estimated that the plant and mine support more than 3,700 jobs, $360 million of personal income and over $100 million of annual tax payments to the State of Montana and county and local governments.</w:t>
      </w:r>
    </w:p>
    <w:p w14:paraId="799B52F0" w14:textId="77777777" w:rsidR="00BC105C" w:rsidRPr="00D91A6D" w:rsidRDefault="004A6361" w:rsidP="00A11C39">
      <w:pPr>
        <w:pStyle w:val="IRPsecthead1serif"/>
      </w:pPr>
      <w:r>
        <w:br w:type="page"/>
      </w:r>
    </w:p>
    <w:p w14:paraId="56C9C85B" w14:textId="77777777" w:rsidR="00B82F6C" w:rsidRPr="00B82F6C" w:rsidRDefault="00044CBE" w:rsidP="00044CBE">
      <w:pPr>
        <w:pStyle w:val="IRPsecthead1serif"/>
      </w:pPr>
      <w:r>
        <w:lastRenderedPageBreak/>
        <w:t>Plant Operations</w:t>
      </w:r>
    </w:p>
    <w:p w14:paraId="16183EFA" w14:textId="77777777" w:rsidR="00B82F6C" w:rsidRDefault="00B82F6C" w:rsidP="00B82F6C">
      <w:pPr>
        <w:pStyle w:val="IRPsecthead2sans"/>
        <w:spacing w:line="320" w:lineRule="exact"/>
        <w:rPr>
          <w:rFonts w:ascii="Helvetica Neue" w:hAnsi="Helvetica Neue"/>
          <w:b w:val="0"/>
          <w:color w:val="156570"/>
          <w:sz w:val="28"/>
        </w:rPr>
      </w:pPr>
    </w:p>
    <w:p w14:paraId="3B34B039" w14:textId="77777777" w:rsidR="008D0E9F" w:rsidRPr="00D24C84" w:rsidRDefault="008D0E9F" w:rsidP="008D0E9F">
      <w:pPr>
        <w:pStyle w:val="IRPsanstext"/>
        <w:rPr>
          <w:sz w:val="20"/>
        </w:rPr>
      </w:pPr>
      <w:r w:rsidRPr="00D24C84">
        <w:rPr>
          <w:sz w:val="20"/>
        </w:rPr>
        <w:t>Each of Colstrip Units 1 &amp; 2 consists of a fuel supply system, a coal-fired boiler, a steam turbine- generator, a cooling tower, step-up transformers, piping, and electric distribution and auxiliary equipment.  Figure K-2 provides a simplified illustration of how each of Colstrip Units 1 &amp; 2 generates electricity.</w:t>
      </w:r>
    </w:p>
    <w:p w14:paraId="6F594568" w14:textId="77777777" w:rsidR="008D0E9F" w:rsidRPr="00D24C84" w:rsidRDefault="008D0E9F" w:rsidP="008D0E9F">
      <w:pPr>
        <w:pStyle w:val="IRPsanstext"/>
        <w:rPr>
          <w:sz w:val="20"/>
        </w:rPr>
      </w:pPr>
    </w:p>
    <w:p w14:paraId="4EC8AAA8" w14:textId="77777777" w:rsidR="008D0E9F" w:rsidRPr="00D24C84" w:rsidRDefault="008D0E9F" w:rsidP="008D0E9F">
      <w:pPr>
        <w:pStyle w:val="IRPFigureSub"/>
        <w:rPr>
          <w:sz w:val="20"/>
        </w:rPr>
      </w:pPr>
      <w:r w:rsidRPr="00D24C84">
        <w:rPr>
          <w:sz w:val="20"/>
          <w:szCs w:val="20"/>
        </w:rPr>
        <w:t>Figure K-2: Colstrip Plant Operations Diagram</w:t>
      </w:r>
    </w:p>
    <w:p w14:paraId="0347BCE3" w14:textId="77777777" w:rsidR="008D0E9F" w:rsidRDefault="008D0E9F" w:rsidP="008D0E9F">
      <w:pPr>
        <w:pStyle w:val="IRPsanstext"/>
      </w:pPr>
      <w:r w:rsidRPr="00CD755D">
        <w:rPr>
          <w:noProof/>
          <w:lang w:eastAsia="en-US"/>
        </w:rPr>
        <w:drawing>
          <wp:anchor distT="0" distB="0" distL="114300" distR="114300" simplePos="0" relativeHeight="251686912" behindDoc="0" locked="0" layoutInCell="1" allowOverlap="1" wp14:anchorId="58BB8456" wp14:editId="2CD0BCC6">
            <wp:simplePos x="0" y="0"/>
            <wp:positionH relativeFrom="column">
              <wp:posOffset>51435</wp:posOffset>
            </wp:positionH>
            <wp:positionV relativeFrom="paragraph">
              <wp:posOffset>220980</wp:posOffset>
            </wp:positionV>
            <wp:extent cx="5238750" cy="2586990"/>
            <wp:effectExtent l="0" t="0" r="0" b="381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0" cy="2586990"/>
                    </a:xfrm>
                    <a:prstGeom prst="rect">
                      <a:avLst/>
                    </a:prstGeom>
                  </pic:spPr>
                </pic:pic>
              </a:graphicData>
            </a:graphic>
          </wp:anchor>
        </w:drawing>
      </w:r>
    </w:p>
    <w:p w14:paraId="7225F95F" w14:textId="77777777" w:rsidR="008D0E9F" w:rsidRDefault="008D0E9F" w:rsidP="008D0E9F">
      <w:pPr>
        <w:pStyle w:val="IRPsanstext"/>
      </w:pPr>
    </w:p>
    <w:p w14:paraId="35DCB876" w14:textId="77777777" w:rsidR="008D0E9F" w:rsidRPr="00D24C84" w:rsidRDefault="008D0E9F" w:rsidP="008D0E9F">
      <w:pPr>
        <w:pStyle w:val="IRPsanstext"/>
        <w:rPr>
          <w:sz w:val="20"/>
        </w:rPr>
      </w:pPr>
      <w:proofErr w:type="gramStart"/>
      <w:r w:rsidRPr="004A6361">
        <w:rPr>
          <w:b/>
          <w:color w:val="156570"/>
          <w:sz w:val="28"/>
          <w:szCs w:val="28"/>
        </w:rPr>
        <w:t>How Colstrip Generates Electricity.</w:t>
      </w:r>
      <w:proofErr w:type="gramEnd"/>
      <w:r w:rsidRPr="00CD755D">
        <w:t xml:space="preserve"> </w:t>
      </w:r>
      <w:r>
        <w:t xml:space="preserve">  </w:t>
      </w:r>
      <w:r w:rsidRPr="00D24C84">
        <w:rPr>
          <w:sz w:val="20"/>
        </w:rPr>
        <w:t>Coal from the Rosebud Mine is crushed into 3-inch chunks and transported to the generating plant on overland conveyors or in trucks where it is stored in piles at the plant site before being moved to silos in the boiler buildings.  Coal travels through a pulverizer that grinds it to the consistency of talcum powder.  The pulverized coal is then mixed with air and blown into the boiler.  Inside the boiler, the coal and air mixture burns, releasing hot gases that convert water in boiler tubes to steam.  The steam powers turbines connected to electric generators, which transform the mechanical energy from the turbine into electric energy.</w:t>
      </w:r>
    </w:p>
    <w:p w14:paraId="6F9D5683" w14:textId="77777777" w:rsidR="008D0E9F" w:rsidRPr="00D24C84" w:rsidRDefault="008D0E9F" w:rsidP="008D0E9F">
      <w:pPr>
        <w:pStyle w:val="IRPsanstext"/>
        <w:rPr>
          <w:sz w:val="20"/>
        </w:rPr>
      </w:pPr>
    </w:p>
    <w:p w14:paraId="020CE305" w14:textId="77777777" w:rsidR="00A11C39" w:rsidRPr="00D24C84" w:rsidRDefault="00A11C39">
      <w:pPr>
        <w:rPr>
          <w:rFonts w:ascii="Arial" w:hAnsi="Arial"/>
          <w:sz w:val="20"/>
        </w:rPr>
      </w:pPr>
      <w:r w:rsidRPr="00D24C84">
        <w:rPr>
          <w:sz w:val="20"/>
        </w:rPr>
        <w:br w:type="page"/>
      </w:r>
    </w:p>
    <w:p w14:paraId="436DDB02" w14:textId="77777777" w:rsidR="008D0E9F" w:rsidRPr="00D24C84" w:rsidRDefault="008D0E9F" w:rsidP="008D0E9F">
      <w:pPr>
        <w:pStyle w:val="IRPsanstext"/>
        <w:rPr>
          <w:sz w:val="20"/>
        </w:rPr>
      </w:pPr>
      <w:r w:rsidRPr="00D24C84">
        <w:rPr>
          <w:sz w:val="20"/>
        </w:rPr>
        <w:lastRenderedPageBreak/>
        <w:t>Afterwards, the hot gases are drawn into the scrubbers, where they are cleaned before being exhausted through the stack.  Bottom ash, the heavier of the two residuals, sinks to the bottom of the boiler where it is collected for treatment and storage.  The lighter fly ash is pulled into the scrubbers with the flue gases, where it is captured for treatment and storage.  The scrubbers also capture sulfur and mercury emitted from the coal during combustion.</w:t>
      </w:r>
    </w:p>
    <w:p w14:paraId="6877AB4D" w14:textId="77777777" w:rsidR="008D0E9F" w:rsidRPr="00D24C84" w:rsidRDefault="008D0E9F" w:rsidP="008D0E9F">
      <w:pPr>
        <w:pStyle w:val="IRPsanstext"/>
        <w:rPr>
          <w:sz w:val="20"/>
        </w:rPr>
      </w:pPr>
    </w:p>
    <w:p w14:paraId="51F39611" w14:textId="77777777" w:rsidR="008D0E9F" w:rsidRPr="00D24C84" w:rsidRDefault="008D0E9F" w:rsidP="008D0E9F">
      <w:pPr>
        <w:pStyle w:val="IRPsanstext"/>
        <w:rPr>
          <w:sz w:val="20"/>
        </w:rPr>
      </w:pPr>
      <w:r w:rsidRPr="00D24C84">
        <w:rPr>
          <w:sz w:val="20"/>
        </w:rPr>
        <w:t>Water for plant operations comes from the Yellowstone River.  A 30-day supply is maintained in Castle Rock Lake, a man-made lake constructed as part of the plant facilities.  As water enters the plant it is divided into two streams.  The largest flows to the cooling towers where it replaces water lost from evaporation, the smaller flow is used for various processes including equipment cooling and scrubber system make-up.  Water used in the boilers is demineralized before entering a closed-loop system that passes through the boiler and turbine system.</w:t>
      </w:r>
    </w:p>
    <w:p w14:paraId="08D0F600" w14:textId="77777777" w:rsidR="00B20679" w:rsidRPr="00CD755D" w:rsidRDefault="00B20679" w:rsidP="004A6361">
      <w:pPr>
        <w:pStyle w:val="IRPsanstext"/>
      </w:pPr>
    </w:p>
    <w:p w14:paraId="537A2016" w14:textId="77777777" w:rsidR="004A6361" w:rsidRPr="00D24C84" w:rsidRDefault="004A6361" w:rsidP="004A6361">
      <w:pPr>
        <w:pStyle w:val="IRPsanstext"/>
        <w:rPr>
          <w:sz w:val="20"/>
        </w:rPr>
      </w:pPr>
      <w:proofErr w:type="gramStart"/>
      <w:r w:rsidRPr="004A6361">
        <w:rPr>
          <w:b/>
          <w:color w:val="156570"/>
          <w:sz w:val="28"/>
          <w:szCs w:val="28"/>
        </w:rPr>
        <w:t>Environmental Impact Measures.</w:t>
      </w:r>
      <w:proofErr w:type="gramEnd"/>
      <w:r w:rsidRPr="00CD755D">
        <w:t xml:space="preserve"> </w:t>
      </w:r>
      <w:r w:rsidRPr="00D24C84">
        <w:rPr>
          <w:sz w:val="20"/>
        </w:rPr>
        <w:t>Nearly every step of the process includes measures to reduce environmental impacts.</w:t>
      </w:r>
    </w:p>
    <w:p w14:paraId="0F2DCDC7" w14:textId="77777777" w:rsidR="004A6361" w:rsidRPr="00D24C84" w:rsidRDefault="004A6361" w:rsidP="004A6361">
      <w:pPr>
        <w:pStyle w:val="IRPsanstext"/>
        <w:rPr>
          <w:sz w:val="20"/>
        </w:rPr>
      </w:pPr>
    </w:p>
    <w:p w14:paraId="6B3C0057" w14:textId="77777777" w:rsidR="004A6361" w:rsidRPr="00D24C84" w:rsidRDefault="004A6361" w:rsidP="004A6361">
      <w:pPr>
        <w:pStyle w:val="IRPsanstext"/>
        <w:rPr>
          <w:sz w:val="20"/>
        </w:rPr>
      </w:pPr>
      <w:r w:rsidRPr="00D24C84">
        <w:rPr>
          <w:b/>
          <w:sz w:val="20"/>
        </w:rPr>
        <w:t>NO</w:t>
      </w:r>
      <w:r w:rsidRPr="00D24C84">
        <w:rPr>
          <w:b/>
          <w:sz w:val="20"/>
          <w:vertAlign w:val="subscript"/>
        </w:rPr>
        <w:t>X</w:t>
      </w:r>
      <w:r w:rsidRPr="00D24C84">
        <w:rPr>
          <w:b/>
          <w:sz w:val="20"/>
        </w:rPr>
        <w:t>.</w:t>
      </w:r>
      <w:r w:rsidRPr="00D24C84">
        <w:rPr>
          <w:sz w:val="20"/>
        </w:rPr>
        <w:t xml:space="preserve"> Coal and air leaving the pulverizers passes though burner systems and over-fire air systems that cool the flame temperature and reduce the formation of nitrogen oxides (NO</w:t>
      </w:r>
      <w:r w:rsidRPr="00D24C84">
        <w:rPr>
          <w:sz w:val="20"/>
          <w:vertAlign w:val="subscript"/>
        </w:rPr>
        <w:t>X</w:t>
      </w:r>
      <w:r w:rsidRPr="00D24C84">
        <w:rPr>
          <w:sz w:val="20"/>
        </w:rPr>
        <w:t>). Units 1 &amp; 2 use a second-generation low-NO</w:t>
      </w:r>
      <w:r w:rsidRPr="00D24C84">
        <w:rPr>
          <w:sz w:val="20"/>
          <w:vertAlign w:val="subscript"/>
        </w:rPr>
        <w:t>X</w:t>
      </w:r>
      <w:r w:rsidRPr="00D24C84">
        <w:rPr>
          <w:sz w:val="20"/>
        </w:rPr>
        <w:t xml:space="preserve"> combustion system with a close-coupled over-fire air injection. The newer Units 3 &amp; 4 use a third-generation combustion system with separated over-fire air injection. Digital control systems recently installed on all four units further enhance NO</w:t>
      </w:r>
      <w:r w:rsidRPr="00D24C84">
        <w:rPr>
          <w:sz w:val="20"/>
          <w:vertAlign w:val="subscript"/>
        </w:rPr>
        <w:t>X</w:t>
      </w:r>
      <w:r w:rsidRPr="00D24C84">
        <w:rPr>
          <w:sz w:val="20"/>
        </w:rPr>
        <w:t xml:space="preserve"> emissions control.</w:t>
      </w:r>
    </w:p>
    <w:p w14:paraId="77E5FA85" w14:textId="77777777" w:rsidR="004A6361" w:rsidRPr="00D24C84" w:rsidRDefault="004A6361" w:rsidP="004A6361">
      <w:pPr>
        <w:pStyle w:val="IRPsanstext"/>
        <w:rPr>
          <w:sz w:val="20"/>
        </w:rPr>
      </w:pPr>
    </w:p>
    <w:p w14:paraId="4CC8B654" w14:textId="77777777" w:rsidR="004A6361" w:rsidRPr="00D24C84" w:rsidRDefault="004A6361" w:rsidP="004A6361">
      <w:pPr>
        <w:pStyle w:val="IRPsanstext"/>
        <w:rPr>
          <w:sz w:val="20"/>
        </w:rPr>
      </w:pPr>
      <w:r w:rsidRPr="00D24C84">
        <w:rPr>
          <w:b/>
          <w:caps/>
          <w:sz w:val="20"/>
        </w:rPr>
        <w:t>Mercury</w:t>
      </w:r>
      <w:r w:rsidRPr="00D24C84">
        <w:rPr>
          <w:b/>
          <w:sz w:val="20"/>
        </w:rPr>
        <w:t>.</w:t>
      </w:r>
      <w:r w:rsidRPr="00D24C84">
        <w:rPr>
          <w:sz w:val="20"/>
        </w:rPr>
        <w:t xml:space="preserve"> Coal contains mercury. To oxidize the mercury and enhance its capture, the coal is treated with a bromine solution before entering the boiler. Then, flue gases are treated with powdered activated carbon to capture the mercury before the gases enter the scrubbers; there, the activated carbon and mercury are removed along with other particulate matter.</w:t>
      </w:r>
    </w:p>
    <w:p w14:paraId="4B0791A7" w14:textId="77777777" w:rsidR="004A6361" w:rsidRPr="00D24C84" w:rsidRDefault="004A6361" w:rsidP="004A6361">
      <w:pPr>
        <w:pStyle w:val="IRPsanstext"/>
        <w:rPr>
          <w:sz w:val="20"/>
        </w:rPr>
      </w:pPr>
    </w:p>
    <w:p w14:paraId="7C6B8509" w14:textId="77777777" w:rsidR="004A6361" w:rsidRPr="00D24C84" w:rsidRDefault="004A6361" w:rsidP="004A6361">
      <w:pPr>
        <w:pStyle w:val="IRPsanstext"/>
        <w:rPr>
          <w:sz w:val="20"/>
        </w:rPr>
      </w:pPr>
      <w:r w:rsidRPr="00D24C84">
        <w:rPr>
          <w:b/>
          <w:sz w:val="20"/>
        </w:rPr>
        <w:t>SO</w:t>
      </w:r>
      <w:r w:rsidRPr="00D24C84">
        <w:rPr>
          <w:b/>
          <w:sz w:val="20"/>
          <w:vertAlign w:val="subscript"/>
        </w:rPr>
        <w:t>2</w:t>
      </w:r>
      <w:r w:rsidRPr="00D24C84">
        <w:rPr>
          <w:b/>
          <w:sz w:val="20"/>
        </w:rPr>
        <w:t>.</w:t>
      </w:r>
      <w:r w:rsidRPr="00D24C84">
        <w:rPr>
          <w:sz w:val="20"/>
        </w:rPr>
        <w:t xml:space="preserve"> Permit specifications limit the amount of sulfur in the coal fuel. Additionally, all four units remove sulfur dioxide from flue gases using wet alkali scrubbers. These scrubbers use</w:t>
      </w:r>
      <w:r w:rsidR="00DF4E36" w:rsidRPr="00D24C84">
        <w:rPr>
          <w:sz w:val="20"/>
        </w:rPr>
        <w:t xml:space="preserve"> the alkalinity of fly ash </w:t>
      </w:r>
      <w:r w:rsidR="00CC1B07" w:rsidRPr="00D24C84">
        <w:rPr>
          <w:sz w:val="20"/>
        </w:rPr>
        <w:t xml:space="preserve">and/or hydrated lime </w:t>
      </w:r>
      <w:r w:rsidR="00DF4E36" w:rsidRPr="00D24C84">
        <w:rPr>
          <w:sz w:val="20"/>
        </w:rPr>
        <w:t>to capture</w:t>
      </w:r>
      <w:r w:rsidR="00D91A6D" w:rsidRPr="00D24C84">
        <w:rPr>
          <w:sz w:val="20"/>
        </w:rPr>
        <w:t xml:space="preserve"> </w:t>
      </w:r>
      <w:r w:rsidRPr="00D24C84">
        <w:rPr>
          <w:sz w:val="20"/>
        </w:rPr>
        <w:t>SO</w:t>
      </w:r>
      <w:r w:rsidRPr="00D24C84">
        <w:rPr>
          <w:sz w:val="20"/>
          <w:vertAlign w:val="subscript"/>
        </w:rPr>
        <w:t>2</w:t>
      </w:r>
      <w:r w:rsidRPr="00D24C84">
        <w:rPr>
          <w:sz w:val="20"/>
        </w:rPr>
        <w:t xml:space="preserve">; then a water spray collects the fly ash and the mercury for further processing. </w:t>
      </w:r>
    </w:p>
    <w:p w14:paraId="43DBB483" w14:textId="77777777" w:rsidR="004A6361" w:rsidRPr="00D24C84" w:rsidRDefault="004A6361" w:rsidP="004A6361">
      <w:pPr>
        <w:pStyle w:val="IRPsanstext"/>
        <w:rPr>
          <w:sz w:val="20"/>
        </w:rPr>
      </w:pPr>
    </w:p>
    <w:p w14:paraId="5EA8E45F" w14:textId="77777777" w:rsidR="00A11C39" w:rsidRPr="00D24C84" w:rsidRDefault="00A11C39">
      <w:pPr>
        <w:rPr>
          <w:rFonts w:ascii="Arial" w:hAnsi="Arial"/>
          <w:b/>
          <w:sz w:val="20"/>
        </w:rPr>
      </w:pPr>
      <w:r w:rsidRPr="00D24C84">
        <w:rPr>
          <w:b/>
          <w:sz w:val="20"/>
        </w:rPr>
        <w:br w:type="page"/>
      </w:r>
    </w:p>
    <w:p w14:paraId="104E081A" w14:textId="77777777" w:rsidR="004A6361" w:rsidRPr="00D24C84" w:rsidRDefault="004A6361" w:rsidP="004A6361">
      <w:pPr>
        <w:pStyle w:val="IRPsanstext"/>
        <w:rPr>
          <w:sz w:val="20"/>
        </w:rPr>
      </w:pPr>
      <w:r w:rsidRPr="00D24C84">
        <w:rPr>
          <w:b/>
          <w:caps/>
          <w:sz w:val="20"/>
        </w:rPr>
        <w:lastRenderedPageBreak/>
        <w:t>Coal Combustion Residuals (CCR).</w:t>
      </w:r>
      <w:r w:rsidRPr="00D24C84">
        <w:rPr>
          <w:b/>
          <w:sz w:val="20"/>
        </w:rPr>
        <w:t xml:space="preserve"> </w:t>
      </w:r>
      <w:r w:rsidRPr="00D24C84">
        <w:rPr>
          <w:sz w:val="20"/>
        </w:rPr>
        <w:t>Two types of ash are produced by coal combustion. Bottom ash makes up 30 percent to 35 percent of the total. Fly</w:t>
      </w:r>
      <w:r w:rsidR="00DF4E36" w:rsidRPr="00D24C84">
        <w:rPr>
          <w:sz w:val="20"/>
        </w:rPr>
        <w:t xml:space="preserve"> </w:t>
      </w:r>
      <w:r w:rsidRPr="00D24C84">
        <w:rPr>
          <w:sz w:val="20"/>
        </w:rPr>
        <w:t>ash makes up the remainder. The larger and heavier bottom ash falls into a water-filled trough in the bottom of the boiler; from there it is pumped to settling ponds on the plant site and then to permanent storage ponds. Some bottom ash is used as a construction material.</w:t>
      </w:r>
    </w:p>
    <w:p w14:paraId="1C997D07" w14:textId="77777777" w:rsidR="0004560C" w:rsidRPr="00D24C84" w:rsidRDefault="0004560C" w:rsidP="004A6361">
      <w:pPr>
        <w:pStyle w:val="IRPsanstext"/>
        <w:rPr>
          <w:sz w:val="20"/>
        </w:rPr>
      </w:pPr>
    </w:p>
    <w:p w14:paraId="475E3622" w14:textId="77777777" w:rsidR="004A6361" w:rsidRPr="00D24C84" w:rsidRDefault="004A6361" w:rsidP="004A6361">
      <w:pPr>
        <w:pStyle w:val="IRPsanstext"/>
        <w:rPr>
          <w:sz w:val="20"/>
        </w:rPr>
      </w:pPr>
      <w:r w:rsidRPr="00D24C84">
        <w:rPr>
          <w:sz w:val="20"/>
        </w:rPr>
        <w:t>The smaller and lighter fly</w:t>
      </w:r>
      <w:r w:rsidR="00DF4E36" w:rsidRPr="00D24C84">
        <w:rPr>
          <w:sz w:val="20"/>
        </w:rPr>
        <w:t xml:space="preserve"> </w:t>
      </w:r>
      <w:r w:rsidRPr="00D24C84">
        <w:rPr>
          <w:sz w:val="20"/>
        </w:rPr>
        <w:t>ash and other particulate matter (PM) passes into the scrubbers with the flue gases. The scrubbers use the fly</w:t>
      </w:r>
      <w:r w:rsidR="00DF4E36" w:rsidRPr="00D24C84">
        <w:rPr>
          <w:sz w:val="20"/>
        </w:rPr>
        <w:t xml:space="preserve"> </w:t>
      </w:r>
      <w:r w:rsidRPr="00D24C84">
        <w:rPr>
          <w:sz w:val="20"/>
        </w:rPr>
        <w:t xml:space="preserve">ash’s alkalinity </w:t>
      </w:r>
      <w:r w:rsidR="00CC1B07" w:rsidRPr="00D24C84">
        <w:rPr>
          <w:sz w:val="20"/>
        </w:rPr>
        <w:t xml:space="preserve">and/or hydrated lime </w:t>
      </w:r>
      <w:r w:rsidRPr="00D24C84">
        <w:rPr>
          <w:sz w:val="20"/>
        </w:rPr>
        <w:t>to capture SO</w:t>
      </w:r>
      <w:r w:rsidRPr="00D24C84">
        <w:rPr>
          <w:sz w:val="20"/>
          <w:vertAlign w:val="subscript"/>
        </w:rPr>
        <w:t>2</w:t>
      </w:r>
      <w:r w:rsidRPr="00D24C84">
        <w:rPr>
          <w:sz w:val="20"/>
        </w:rPr>
        <w:t xml:space="preserve"> gases, and a water spray removes the fly</w:t>
      </w:r>
      <w:r w:rsidR="00DF4E36" w:rsidRPr="00D24C84">
        <w:rPr>
          <w:sz w:val="20"/>
        </w:rPr>
        <w:t xml:space="preserve"> </w:t>
      </w:r>
      <w:r w:rsidRPr="00D24C84">
        <w:rPr>
          <w:sz w:val="20"/>
        </w:rPr>
        <w:t xml:space="preserve">ash and other PM. The resulting scrubber slurry is piped to storage ponds. Before final placement in the storage “ponds,” paste plants remove most of the water; the paste, which begins the process at about 65 percent solids, sets up like low-grade concrete after several days. </w:t>
      </w:r>
    </w:p>
    <w:p w14:paraId="044F7FDC" w14:textId="77777777" w:rsidR="004A6361" w:rsidRPr="00D24C84" w:rsidRDefault="004A6361" w:rsidP="004A6361">
      <w:pPr>
        <w:pStyle w:val="IRPsanstext"/>
        <w:rPr>
          <w:sz w:val="20"/>
        </w:rPr>
      </w:pPr>
    </w:p>
    <w:p w14:paraId="78E8D5AA" w14:textId="77777777" w:rsidR="004A6361" w:rsidRPr="00D24C84" w:rsidRDefault="004A6361" w:rsidP="004A6361">
      <w:pPr>
        <w:pStyle w:val="IRPsanstext"/>
        <w:rPr>
          <w:sz w:val="20"/>
        </w:rPr>
      </w:pPr>
      <w:r w:rsidRPr="00D24C84">
        <w:rPr>
          <w:sz w:val="20"/>
        </w:rPr>
        <w:t>The original ash holding ponds at Colstrip were designed with highly impermeable clay liners to prevent slurry components from seeping into the groundwater. These conformed to the requirements of the Montana Major Facility Siting Act Certificate. Monitoring wells, installed prior to the start of operations, monitor the groundwater for any sign of possible contamination (pond water seepage), and capture wells pump impacted ground water back to the ponds.</w:t>
      </w:r>
    </w:p>
    <w:p w14:paraId="1759C42F" w14:textId="77777777" w:rsidR="004A6361" w:rsidRPr="00D24C84" w:rsidRDefault="004A6361" w:rsidP="004A6361">
      <w:pPr>
        <w:pStyle w:val="IRPsanstext"/>
        <w:rPr>
          <w:sz w:val="20"/>
        </w:rPr>
      </w:pPr>
    </w:p>
    <w:p w14:paraId="69C8086D" w14:textId="77777777" w:rsidR="004A6361" w:rsidRPr="00D24C84" w:rsidRDefault="004A6361" w:rsidP="004A6361">
      <w:pPr>
        <w:pStyle w:val="IRPsanstext"/>
        <w:rPr>
          <w:sz w:val="20"/>
        </w:rPr>
      </w:pPr>
      <w:r w:rsidRPr="00D24C84">
        <w:rPr>
          <w:sz w:val="20"/>
        </w:rPr>
        <w:t>Since 2000, projects have been completed to control ash pond leakage, reduce migration of affected groundwater and to upgrade plant wastewater systems to allow increased recycling of water.</w:t>
      </w:r>
    </w:p>
    <w:p w14:paraId="39F83722" w14:textId="77777777" w:rsidR="004A6361" w:rsidRPr="00D24C84" w:rsidRDefault="004A6361" w:rsidP="00B20679">
      <w:pPr>
        <w:rPr>
          <w:rFonts w:ascii="Arial" w:hAnsi="Arial"/>
          <w:b/>
          <w:color w:val="156570"/>
          <w:sz w:val="20"/>
          <w:szCs w:val="28"/>
        </w:rPr>
      </w:pPr>
    </w:p>
    <w:p w14:paraId="0267DEA9" w14:textId="77777777" w:rsidR="00E4005F" w:rsidRDefault="00E4005F">
      <w:pPr>
        <w:rPr>
          <w:rFonts w:ascii="Arial" w:hAnsi="Arial"/>
          <w:b/>
          <w:color w:val="156570"/>
          <w:sz w:val="28"/>
          <w:szCs w:val="28"/>
        </w:rPr>
      </w:pPr>
      <w:r>
        <w:rPr>
          <w:b/>
          <w:color w:val="156570"/>
          <w:sz w:val="28"/>
          <w:szCs w:val="28"/>
        </w:rPr>
        <w:br w:type="page"/>
      </w:r>
    </w:p>
    <w:p w14:paraId="65D59B8F" w14:textId="77777777" w:rsidR="004A6361" w:rsidRPr="00D24C84" w:rsidRDefault="004A6361" w:rsidP="00BC105C">
      <w:pPr>
        <w:pStyle w:val="IRPsanstext"/>
        <w:rPr>
          <w:b/>
          <w:color w:val="156570"/>
          <w:sz w:val="20"/>
          <w:szCs w:val="28"/>
        </w:rPr>
      </w:pPr>
      <w:proofErr w:type="gramStart"/>
      <w:r w:rsidRPr="004A6361">
        <w:rPr>
          <w:b/>
          <w:color w:val="156570"/>
          <w:sz w:val="28"/>
          <w:szCs w:val="28"/>
        </w:rPr>
        <w:lastRenderedPageBreak/>
        <w:t>History of Ash Holding Pond Seepage.</w:t>
      </w:r>
      <w:proofErr w:type="gramEnd"/>
      <w:r w:rsidRPr="00CD755D">
        <w:t xml:space="preserve"> </w:t>
      </w:r>
      <w:r w:rsidRPr="00D24C84">
        <w:rPr>
          <w:sz w:val="20"/>
        </w:rPr>
        <w:t>Several years after the first slurry was placed into the stage one pond for Units 1 &amp; 2 some of the monitoring wells began to show increases in groundwater constituents, such as dissolved salts, which could indicate that some of the ash constituents were migrating through the clay lining. In consultation with MDEQ (the Montana Department of Environmental Quality), Colstrip plant operators installed capture wells to capture affected groundwater and pump it back to the ponds to prevent affected water from leaving plant property, as well as additional monitoring wells. In addition to capture wells, existing ponds have been continually modified and additional storage cells have been installed over time utilizing newer, state-of-the-art lining methods including polymer liners, geo membranes and leak detection/collection systems.</w:t>
      </w:r>
    </w:p>
    <w:p w14:paraId="4EBDB68F" w14:textId="77777777" w:rsidR="00A11C39" w:rsidRPr="00D24C84" w:rsidRDefault="00A11C39" w:rsidP="004A6361">
      <w:pPr>
        <w:pStyle w:val="IRPsanstext"/>
        <w:rPr>
          <w:sz w:val="20"/>
        </w:rPr>
      </w:pPr>
    </w:p>
    <w:p w14:paraId="5F117539" w14:textId="77777777" w:rsidR="0089210A" w:rsidRPr="00D24C84" w:rsidRDefault="004A6361" w:rsidP="004A6361">
      <w:pPr>
        <w:pStyle w:val="IRPsanstext"/>
        <w:rPr>
          <w:sz w:val="20"/>
        </w:rPr>
      </w:pPr>
      <w:r w:rsidRPr="00D24C84">
        <w:rPr>
          <w:sz w:val="20"/>
        </w:rPr>
        <w:t xml:space="preserve">In the late 1990s, pond seepage was identified off plant property for the first time in a shallow groundwater well at the Colstrip Moose Lodge. The MDEQ was notified, a meeting was held with residents and businesses near the Moose Lodge to discuss the issue, and the plant provided a replacement well at a much greater depth. </w:t>
      </w:r>
    </w:p>
    <w:p w14:paraId="3BCAED6A" w14:textId="77777777" w:rsidR="00D24C84" w:rsidRDefault="00D24C84" w:rsidP="004A6361">
      <w:pPr>
        <w:pStyle w:val="IRPsanstext"/>
        <w:rPr>
          <w:sz w:val="20"/>
        </w:rPr>
      </w:pPr>
    </w:p>
    <w:p w14:paraId="7302CFF3" w14:textId="77777777" w:rsidR="004A6361" w:rsidRPr="00D24C84" w:rsidRDefault="004A6361" w:rsidP="004A6361">
      <w:pPr>
        <w:pStyle w:val="IRPsanstext"/>
        <w:rPr>
          <w:sz w:val="20"/>
        </w:rPr>
      </w:pPr>
      <w:r w:rsidRPr="00D24C84">
        <w:rPr>
          <w:sz w:val="20"/>
        </w:rPr>
        <w:t>In 2003, a group of Colstrip residents filed suit against the Colstrip owners claiming (1) homes had been damaged by settlement caused by the filling of Castle Rock Lake</w:t>
      </w:r>
      <w:r w:rsidRPr="00D24C84">
        <w:rPr>
          <w:rStyle w:val="FootnoteReference"/>
          <w:sz w:val="20"/>
        </w:rPr>
        <w:footnoteReference w:id="2"/>
      </w:r>
      <w:r w:rsidRPr="00D24C84">
        <w:rPr>
          <w:sz w:val="20"/>
        </w:rPr>
        <w:t xml:space="preserve"> and (2) that leakage from a Unit 1 &amp; 2 ash pond had impacted shallow groundwater under private property. This lawsuit was settled, and although no impact to drinking water wells was identified, the plant connected the property owners with the municipal water supply as a precaution.</w:t>
      </w:r>
    </w:p>
    <w:p w14:paraId="4DF09251" w14:textId="77777777" w:rsidR="004A6361" w:rsidRPr="00D24C84" w:rsidRDefault="004A6361" w:rsidP="004A6361">
      <w:pPr>
        <w:pStyle w:val="IRPsanstext"/>
        <w:rPr>
          <w:sz w:val="20"/>
        </w:rPr>
      </w:pPr>
    </w:p>
    <w:p w14:paraId="2129FCC7" w14:textId="77777777" w:rsidR="004A6361" w:rsidRPr="00D24C84" w:rsidRDefault="004A6361" w:rsidP="004A6361">
      <w:pPr>
        <w:pStyle w:val="IRPsanstext"/>
        <w:rPr>
          <w:sz w:val="20"/>
        </w:rPr>
      </w:pPr>
      <w:r w:rsidRPr="00D24C84">
        <w:rPr>
          <w:sz w:val="20"/>
        </w:rPr>
        <w:t>In 2007, two ranch owners filed a second lawsuit alleging groundwater contamination from the Units 3 &amp; 4 effluent holding ponds. That lawsuit was also settled.</w:t>
      </w:r>
    </w:p>
    <w:p w14:paraId="62D31F7B" w14:textId="77777777" w:rsidR="004A6361" w:rsidRPr="00D24C84" w:rsidRDefault="004A6361" w:rsidP="004A6361">
      <w:pPr>
        <w:pStyle w:val="IRPsecthead1serif"/>
        <w:rPr>
          <w:color w:val="auto"/>
          <w:sz w:val="20"/>
        </w:rPr>
      </w:pPr>
    </w:p>
    <w:p w14:paraId="586B8C92" w14:textId="77777777" w:rsidR="00A11C39" w:rsidRDefault="00A11C39">
      <w:pPr>
        <w:rPr>
          <w:rFonts w:ascii="Arial" w:hAnsi="Arial" w:cs="Arial"/>
          <w:b/>
          <w:caps/>
          <w:color w:val="156570"/>
          <w:sz w:val="32"/>
          <w:szCs w:val="32"/>
        </w:rPr>
      </w:pPr>
      <w:r>
        <w:rPr>
          <w:b/>
          <w:caps/>
          <w:color w:val="156570"/>
        </w:rPr>
        <w:br w:type="page"/>
      </w:r>
    </w:p>
    <w:p w14:paraId="30FCA38B" w14:textId="77777777" w:rsidR="004A6361" w:rsidRPr="00E97EB7" w:rsidRDefault="004A6361" w:rsidP="004A6361">
      <w:pPr>
        <w:pStyle w:val="IRPsecthead1serif"/>
        <w:rPr>
          <w:b/>
          <w:caps/>
          <w:color w:val="156570"/>
        </w:rPr>
      </w:pPr>
      <w:r w:rsidRPr="00E97EB7">
        <w:rPr>
          <w:b/>
          <w:caps/>
          <w:color w:val="156570"/>
        </w:rPr>
        <w:lastRenderedPageBreak/>
        <w:t>Rules and Proposed Rules</w:t>
      </w:r>
    </w:p>
    <w:p w14:paraId="671AD18D" w14:textId="77777777" w:rsidR="004A6361" w:rsidRPr="004A6361" w:rsidRDefault="004A6361" w:rsidP="004A6361">
      <w:pPr>
        <w:pStyle w:val="IRPsanstext"/>
      </w:pPr>
    </w:p>
    <w:p w14:paraId="0AE6080F" w14:textId="77777777" w:rsidR="004A6361" w:rsidRPr="00D24C84" w:rsidRDefault="004A6361" w:rsidP="004A6361">
      <w:pPr>
        <w:pStyle w:val="IRPsanstext"/>
        <w:rPr>
          <w:sz w:val="20"/>
        </w:rPr>
      </w:pPr>
      <w:r w:rsidRPr="00D24C84">
        <w:rPr>
          <w:sz w:val="20"/>
        </w:rPr>
        <w:t>During the next five years, the Colstrip units will become subject to several recently enacted regulations, changes in existing regulations and a rule governing coal combustion residuals (CCR) published in December 2014. CCR includes fly</w:t>
      </w:r>
      <w:r w:rsidR="00DF4E36" w:rsidRPr="00D24C84">
        <w:rPr>
          <w:sz w:val="20"/>
        </w:rPr>
        <w:t xml:space="preserve"> </w:t>
      </w:r>
      <w:r w:rsidRPr="00D24C84">
        <w:rPr>
          <w:sz w:val="20"/>
        </w:rPr>
        <w:t>ash, bottom ash and scrubber slurry</w:t>
      </w:r>
      <w:r w:rsidR="00D91A6D" w:rsidRPr="00D24C84">
        <w:rPr>
          <w:sz w:val="20"/>
        </w:rPr>
        <w:t xml:space="preserve"> from Colstrip</w:t>
      </w:r>
      <w:r w:rsidRPr="00D24C84">
        <w:rPr>
          <w:sz w:val="20"/>
        </w:rPr>
        <w:t>.</w:t>
      </w:r>
    </w:p>
    <w:p w14:paraId="35CFE843" w14:textId="77777777" w:rsidR="004A6361" w:rsidRPr="00D24C84" w:rsidRDefault="004A6361" w:rsidP="004A6361">
      <w:pPr>
        <w:pStyle w:val="IRPsanstext"/>
        <w:rPr>
          <w:sz w:val="20"/>
        </w:rPr>
      </w:pPr>
    </w:p>
    <w:p w14:paraId="040E30C1" w14:textId="77777777" w:rsidR="00E976FB" w:rsidRDefault="004A6361" w:rsidP="00AE5F37">
      <w:pPr>
        <w:pStyle w:val="IRPsecthead1serif"/>
        <w:spacing w:before="120"/>
      </w:pPr>
      <w:r w:rsidRPr="004A6361">
        <w:t>Mercury and Air Toxics (MATS) Rule</w:t>
      </w:r>
      <w:r w:rsidRPr="00EF44E2">
        <w:t xml:space="preserve"> </w:t>
      </w:r>
    </w:p>
    <w:p w14:paraId="2F710A7F" w14:textId="77777777" w:rsidR="00E976FB" w:rsidRPr="00D24C84" w:rsidRDefault="00E976FB" w:rsidP="004A6361">
      <w:pPr>
        <w:pStyle w:val="IRPsanstext"/>
        <w:rPr>
          <w:sz w:val="20"/>
        </w:rPr>
      </w:pPr>
    </w:p>
    <w:p w14:paraId="1EAC6E53" w14:textId="77777777" w:rsidR="008D0E9F" w:rsidRPr="00D24C84" w:rsidRDefault="008D0E9F" w:rsidP="008D0E9F">
      <w:pPr>
        <w:pStyle w:val="IRPsanstext"/>
        <w:rPr>
          <w:sz w:val="20"/>
        </w:rPr>
      </w:pPr>
      <w:r w:rsidRPr="00D24C84">
        <w:rPr>
          <w:sz w:val="20"/>
        </w:rPr>
        <w:t xml:space="preserve">The EPA published the final Mercury and Air Toxics Standard in February 2012 to reduce air pollution from coal and oil-fired power plants with a capacity equal to or greater than 25 megawatts. The MATS rule establishes emissions limitations at coal-fired power plants for mercury (1.2 lbs per trillion British thermal units, and for acid gases and certain toxic heavy metals using a particulate matter surrogate (0.03 lb per </w:t>
      </w:r>
      <w:r w:rsidR="009F7AD8" w:rsidRPr="00D24C84">
        <w:rPr>
          <w:sz w:val="20"/>
        </w:rPr>
        <w:t>m</w:t>
      </w:r>
      <w:r w:rsidRPr="00D24C84">
        <w:rPr>
          <w:sz w:val="20"/>
        </w:rPr>
        <w:t xml:space="preserve">illion British thermal units (MMBtu)). Coal-fired generating units had until April 2015 to comply with MATS, and they could receive up to a 1-year extension from state permitting authorities for the installation of controls if necessary.  </w:t>
      </w:r>
    </w:p>
    <w:p w14:paraId="581124DE" w14:textId="77777777" w:rsidR="008D0E9F" w:rsidRPr="00D24C84" w:rsidRDefault="008D0E9F" w:rsidP="008D0E9F">
      <w:pPr>
        <w:pStyle w:val="IRPsanstext"/>
        <w:rPr>
          <w:sz w:val="20"/>
        </w:rPr>
      </w:pPr>
    </w:p>
    <w:p w14:paraId="24C033C3" w14:textId="77777777" w:rsidR="008D0E9F" w:rsidRPr="00D24C84" w:rsidRDefault="008D0E9F" w:rsidP="008D0E9F">
      <w:pPr>
        <w:pStyle w:val="IRPsanstext"/>
        <w:rPr>
          <w:sz w:val="20"/>
        </w:rPr>
      </w:pPr>
      <w:r w:rsidRPr="00D24C84">
        <w:rPr>
          <w:sz w:val="20"/>
        </w:rPr>
        <w:t>On June 29, 2015, the United States Supreme Court held that the EPA failed to consider costs when deciding whether it was “appropriate and necessary” to regulate emissions of mercury and other hazardous air pollutants from power plants. The Supreme Court’s decision overturned a 2014 ruling by the U.S. Court of Appeals for the District of Columbia Circuit (“D.C. Circuit”), which held that EPA’s decision not to consider costs in the initial stages of the MATS rulemaking process was reasonable. The Supreme Court remanded the decision on MATS back to the D.C. Circuit for further proceedings, so the full impact is not yet know</w:t>
      </w:r>
      <w:r w:rsidR="00CC1B07" w:rsidRPr="00D24C84">
        <w:rPr>
          <w:sz w:val="20"/>
        </w:rPr>
        <w:t>n</w:t>
      </w:r>
      <w:r w:rsidRPr="00D24C84">
        <w:rPr>
          <w:sz w:val="20"/>
        </w:rPr>
        <w:t xml:space="preserve">. </w:t>
      </w:r>
    </w:p>
    <w:p w14:paraId="7C8E94E1" w14:textId="77777777" w:rsidR="008D0E9F" w:rsidRPr="00D24C84" w:rsidRDefault="008D0E9F" w:rsidP="008D0E9F">
      <w:pPr>
        <w:pStyle w:val="IRPsanstext"/>
        <w:rPr>
          <w:sz w:val="20"/>
        </w:rPr>
      </w:pPr>
    </w:p>
    <w:p w14:paraId="04F2822A" w14:textId="77777777" w:rsidR="008D0E9F" w:rsidRPr="00D24C84" w:rsidRDefault="008D0E9F" w:rsidP="008D0E9F">
      <w:pPr>
        <w:pStyle w:val="IRPsanstext"/>
        <w:rPr>
          <w:sz w:val="20"/>
        </w:rPr>
      </w:pPr>
      <w:r w:rsidRPr="00D24C84">
        <w:rPr>
          <w:sz w:val="20"/>
        </w:rPr>
        <w:t>The D.C. Circuit can either remand or vacate EPA’s decision.  Under a remand the MATS rule would remain in effect while EPA addresses the deficiencies outlined by the Supreme Court. If the court vacated the rule, EPA would have to start the entire rulemaking process over again. EPA and environmental groups have already signaled their intent to argue for remand. The D.C. Circuit’s decision is not expected for at least ten months, though industry petitioners may request expedited consideration.</w:t>
      </w:r>
    </w:p>
    <w:p w14:paraId="667833A3" w14:textId="77777777" w:rsidR="00A11C39" w:rsidRPr="00D24C84" w:rsidRDefault="00A11C39" w:rsidP="004A6361">
      <w:pPr>
        <w:pStyle w:val="IRPsanstext"/>
        <w:rPr>
          <w:sz w:val="20"/>
        </w:rPr>
      </w:pPr>
    </w:p>
    <w:p w14:paraId="2C61DEC4" w14:textId="77777777" w:rsidR="004A6361" w:rsidRPr="00D24C84" w:rsidRDefault="008D0E9F" w:rsidP="004A6361">
      <w:pPr>
        <w:pStyle w:val="IRPsanstext"/>
        <w:rPr>
          <w:color w:val="3366FF"/>
          <w:sz w:val="20"/>
        </w:rPr>
      </w:pPr>
      <w:r w:rsidRPr="00D24C84">
        <w:rPr>
          <w:sz w:val="20"/>
        </w:rPr>
        <w:t xml:space="preserve">Assuming the rule remains in effect while EPA addresses the </w:t>
      </w:r>
      <w:r w:rsidR="009B09D3" w:rsidRPr="00D24C84">
        <w:rPr>
          <w:sz w:val="20"/>
        </w:rPr>
        <w:t>deficiencies;</w:t>
      </w:r>
      <w:r w:rsidRPr="00D24C84">
        <w:rPr>
          <w:sz w:val="20"/>
        </w:rPr>
        <w:t xml:space="preserve"> p</w:t>
      </w:r>
      <w:r w:rsidR="004A6361" w:rsidRPr="00D24C84">
        <w:rPr>
          <w:sz w:val="20"/>
        </w:rPr>
        <w:t xml:space="preserve">lant compliance is required by April 2016. The mercury control system installed at Colstrip to meet a previous Montana mercury rule will also meet the MATS requirements for mercury capture and removal. The existing scrubbers on all four units adequately remove acid gases covered by the rule. </w:t>
      </w:r>
    </w:p>
    <w:p w14:paraId="41ABC3EB" w14:textId="77777777" w:rsidR="004A6361" w:rsidRPr="00D24C84" w:rsidRDefault="004A6361" w:rsidP="004A6361">
      <w:pPr>
        <w:pStyle w:val="IRPsanstext"/>
        <w:rPr>
          <w:sz w:val="20"/>
        </w:rPr>
      </w:pPr>
    </w:p>
    <w:p w14:paraId="7587E97B" w14:textId="77777777" w:rsidR="00E976FB" w:rsidRPr="00D24C84" w:rsidRDefault="004A6361" w:rsidP="004A6361">
      <w:pPr>
        <w:pStyle w:val="IRPsanstext"/>
        <w:rPr>
          <w:sz w:val="20"/>
        </w:rPr>
      </w:pPr>
      <w:r w:rsidRPr="00D24C84">
        <w:rPr>
          <w:sz w:val="20"/>
        </w:rPr>
        <w:lastRenderedPageBreak/>
        <w:t>Some investments for additional PM control by the Unit 1 &amp; 2 scrubbers are required to comply with the heavy metals requirements of the MATS Rule. Installation</w:t>
      </w:r>
      <w:r w:rsidR="00BF46A9" w:rsidRPr="00D24C84">
        <w:rPr>
          <w:sz w:val="20"/>
        </w:rPr>
        <w:t xml:space="preserve"> of this additional equipment (sieve t</w:t>
      </w:r>
      <w:r w:rsidRPr="00D24C84">
        <w:rPr>
          <w:sz w:val="20"/>
        </w:rPr>
        <w:t>rays) on Units 1</w:t>
      </w:r>
      <w:r w:rsidR="00BF46A9" w:rsidRPr="00D24C84">
        <w:rPr>
          <w:sz w:val="20"/>
        </w:rPr>
        <w:t xml:space="preserve"> </w:t>
      </w:r>
      <w:r w:rsidRPr="00D24C84">
        <w:rPr>
          <w:sz w:val="20"/>
        </w:rPr>
        <w:t>&amp;</w:t>
      </w:r>
      <w:r w:rsidR="00BF46A9" w:rsidRPr="00D24C84">
        <w:rPr>
          <w:sz w:val="20"/>
        </w:rPr>
        <w:t xml:space="preserve"> </w:t>
      </w:r>
      <w:r w:rsidRPr="00D24C84">
        <w:rPr>
          <w:sz w:val="20"/>
        </w:rPr>
        <w:t>2 scrubbers</w:t>
      </w:r>
      <w:r w:rsidR="00BF46A9" w:rsidRPr="00D24C84">
        <w:rPr>
          <w:sz w:val="20"/>
        </w:rPr>
        <w:t xml:space="preserve"> began</w:t>
      </w:r>
      <w:r w:rsidRPr="00D24C84">
        <w:rPr>
          <w:sz w:val="20"/>
        </w:rPr>
        <w:t xml:space="preserve"> in </w:t>
      </w:r>
      <w:r w:rsidR="00BF46A9" w:rsidRPr="00D24C84">
        <w:rPr>
          <w:sz w:val="20"/>
        </w:rPr>
        <w:t xml:space="preserve">the second quarter of 2014; it </w:t>
      </w:r>
      <w:r w:rsidR="009B09D3" w:rsidRPr="00D24C84">
        <w:rPr>
          <w:sz w:val="20"/>
        </w:rPr>
        <w:t xml:space="preserve">continued </w:t>
      </w:r>
      <w:r w:rsidRPr="00D24C84">
        <w:rPr>
          <w:sz w:val="20"/>
        </w:rPr>
        <w:t xml:space="preserve">in </w:t>
      </w:r>
      <w:r w:rsidR="00BF46A9" w:rsidRPr="00D24C84">
        <w:rPr>
          <w:sz w:val="20"/>
        </w:rPr>
        <w:t>the second</w:t>
      </w:r>
      <w:r w:rsidRPr="00D24C84">
        <w:rPr>
          <w:sz w:val="20"/>
        </w:rPr>
        <w:t xml:space="preserve"> quarter </w:t>
      </w:r>
      <w:r w:rsidR="00BF46A9" w:rsidRPr="00D24C84">
        <w:rPr>
          <w:sz w:val="20"/>
        </w:rPr>
        <w:t xml:space="preserve">of </w:t>
      </w:r>
      <w:r w:rsidRPr="00D24C84">
        <w:rPr>
          <w:sz w:val="20"/>
        </w:rPr>
        <w:t xml:space="preserve">2015 and will be completed </w:t>
      </w:r>
      <w:r w:rsidR="00BF46A9" w:rsidRPr="00D24C84">
        <w:rPr>
          <w:sz w:val="20"/>
        </w:rPr>
        <w:t>in the second quarter of</w:t>
      </w:r>
      <w:r w:rsidRPr="00D24C84">
        <w:rPr>
          <w:sz w:val="20"/>
        </w:rPr>
        <w:t xml:space="preserve"> 2016. C</w:t>
      </w:r>
      <w:r w:rsidR="00242095" w:rsidRPr="00D24C84">
        <w:rPr>
          <w:sz w:val="20"/>
        </w:rPr>
        <w:t>ompletion of this project will e</w:t>
      </w:r>
      <w:r w:rsidRPr="00D24C84">
        <w:rPr>
          <w:sz w:val="20"/>
        </w:rPr>
        <w:t xml:space="preserve">nsure the plant is compliant with the PM </w:t>
      </w:r>
      <w:r w:rsidR="00E976FB" w:rsidRPr="00D24C84">
        <w:rPr>
          <w:sz w:val="20"/>
        </w:rPr>
        <w:t xml:space="preserve">requirements of the MATS Rule. </w:t>
      </w:r>
      <w:r w:rsidRPr="00D24C84">
        <w:rPr>
          <w:sz w:val="20"/>
        </w:rPr>
        <w:t>The Unit 3 &amp; 4 scrubbers already remove the required level of PM.</w:t>
      </w:r>
      <w:r w:rsidR="00E976FB" w:rsidRPr="00D24C84">
        <w:rPr>
          <w:sz w:val="20"/>
        </w:rPr>
        <w:t xml:space="preserve"> </w:t>
      </w:r>
    </w:p>
    <w:p w14:paraId="7A150F16" w14:textId="77777777" w:rsidR="00E976FB" w:rsidRPr="00D24C84" w:rsidRDefault="00E976FB" w:rsidP="004A6361">
      <w:pPr>
        <w:pStyle w:val="IRPsanstext"/>
        <w:rPr>
          <w:sz w:val="20"/>
        </w:rPr>
      </w:pPr>
    </w:p>
    <w:p w14:paraId="14F0C57E" w14:textId="77777777" w:rsidR="004A6361" w:rsidRPr="00D24C84" w:rsidRDefault="004A6361" w:rsidP="004A6361">
      <w:pPr>
        <w:pStyle w:val="IRPsanstext"/>
        <w:rPr>
          <w:sz w:val="20"/>
        </w:rPr>
      </w:pPr>
      <w:r w:rsidRPr="00D24C84">
        <w:rPr>
          <w:sz w:val="20"/>
        </w:rPr>
        <w:t xml:space="preserve">See </w:t>
      </w:r>
      <w:hyperlink r:id="rId9">
        <w:r w:rsidRPr="00D24C84">
          <w:rPr>
            <w:sz w:val="20"/>
          </w:rPr>
          <w:t xml:space="preserve">http://www.epa.gov/mats/actions.html </w:t>
        </w:r>
      </w:hyperlink>
      <w:r w:rsidRPr="00D24C84">
        <w:rPr>
          <w:sz w:val="20"/>
        </w:rPr>
        <w:t>for more information on the MATS Rule.</w:t>
      </w:r>
    </w:p>
    <w:p w14:paraId="73D5280B" w14:textId="77777777" w:rsidR="00BC105C" w:rsidRDefault="00BC105C" w:rsidP="00E976FB">
      <w:pPr>
        <w:pStyle w:val="IRPsecthead1serif"/>
      </w:pPr>
    </w:p>
    <w:p w14:paraId="536E33D1" w14:textId="77777777" w:rsidR="00E976FB" w:rsidRDefault="004A6361" w:rsidP="00AE5F37">
      <w:pPr>
        <w:pStyle w:val="IRPsecthead1serif"/>
        <w:spacing w:before="120"/>
      </w:pPr>
      <w:r w:rsidRPr="00FF1B32">
        <w:t>The Regional Haze Rule</w:t>
      </w:r>
    </w:p>
    <w:p w14:paraId="45C6C2A6" w14:textId="77777777" w:rsidR="00E976FB" w:rsidRPr="00D24C84" w:rsidRDefault="00E976FB" w:rsidP="004A6361">
      <w:pPr>
        <w:pStyle w:val="IRPsanstext"/>
        <w:rPr>
          <w:sz w:val="20"/>
        </w:rPr>
      </w:pPr>
    </w:p>
    <w:p w14:paraId="75263F74" w14:textId="77777777" w:rsidR="008D0E9F" w:rsidRPr="00D24C84" w:rsidRDefault="008D0E9F" w:rsidP="008D0E9F">
      <w:pPr>
        <w:pStyle w:val="IRPsanstext"/>
        <w:rPr>
          <w:sz w:val="20"/>
        </w:rPr>
      </w:pPr>
      <w:r w:rsidRPr="00D24C84">
        <w:rPr>
          <w:sz w:val="20"/>
        </w:rPr>
        <w:t>Adopted in 1998, the Regional Haze program is a 64</w:t>
      </w:r>
      <w:r w:rsidR="009F7AD8" w:rsidRPr="00D24C84">
        <w:rPr>
          <w:sz w:val="20"/>
        </w:rPr>
        <w:t>-</w:t>
      </w:r>
      <w:r w:rsidRPr="00D24C84">
        <w:rPr>
          <w:sz w:val="20"/>
        </w:rPr>
        <w:t>year program administered by the U.S. EPA under federal law to improve visibility. Specifically the rule is aimed at improving visibility in mandatory Class I areas (National Parks, National Forests and Wilderness Areas) and is not a health-based rule.  The rule requires each state to prepare an analysis of visibility impairments to Class I areas and develop plans to eliminate man-made impairment by 2064. Major sources that began construction before 1977 (including Colstrip Units 1 &amp; 2) must bring emission controls to Best Available Retrofit Technology (BART) standards during the initial review cycle. “Reasonable Progress” requirements call for an updated analysis of impacts every five years.  It requires states to constantly decrease haze in certain scenic areas of the country over time according to a “Glide Path.” Power plant emissions contributing to haze are evaluated in phases every 10 years and more stringent emission controls are required as needed to stay below the Glide Path.</w:t>
      </w:r>
    </w:p>
    <w:p w14:paraId="575D4D95" w14:textId="77777777" w:rsidR="008D0E9F" w:rsidRPr="00D24C84" w:rsidRDefault="008D0E9F" w:rsidP="008D0E9F">
      <w:pPr>
        <w:pStyle w:val="IRPsanstext"/>
        <w:rPr>
          <w:sz w:val="20"/>
        </w:rPr>
      </w:pPr>
    </w:p>
    <w:p w14:paraId="3176447E" w14:textId="77777777" w:rsidR="00A11C39" w:rsidRPr="00D24C84" w:rsidRDefault="00A11C39">
      <w:pPr>
        <w:rPr>
          <w:rFonts w:ascii="Arial" w:hAnsi="Arial"/>
          <w:sz w:val="20"/>
        </w:rPr>
      </w:pPr>
      <w:r w:rsidRPr="00D24C84">
        <w:rPr>
          <w:sz w:val="20"/>
        </w:rPr>
        <w:br w:type="page"/>
      </w:r>
    </w:p>
    <w:p w14:paraId="212E56D0" w14:textId="77777777" w:rsidR="009B09D3" w:rsidRPr="00D24C84" w:rsidRDefault="008D0E9F" w:rsidP="009B09D3">
      <w:pPr>
        <w:pStyle w:val="IRPsanstext"/>
        <w:rPr>
          <w:sz w:val="20"/>
        </w:rPr>
      </w:pPr>
      <w:r w:rsidRPr="00D24C84">
        <w:rPr>
          <w:sz w:val="20"/>
        </w:rPr>
        <w:lastRenderedPageBreak/>
        <w:t>The EPA published its Final Implementation Plan (FIP) for Colstrip, covering both the BART and Reasonable Progress requirements in September 2012 with implementation required within five years. The first phase of the Regional Haze program set emission limits for Colstrip 1</w:t>
      </w:r>
      <w:r w:rsidR="009F7AD8" w:rsidRPr="00D24C84">
        <w:rPr>
          <w:sz w:val="20"/>
        </w:rPr>
        <w:t xml:space="preserve"> </w:t>
      </w:r>
      <w:r w:rsidRPr="00D24C84">
        <w:rPr>
          <w:sz w:val="20"/>
        </w:rPr>
        <w:t>&amp;</w:t>
      </w:r>
      <w:r w:rsidR="009F7AD8" w:rsidRPr="00D24C84">
        <w:rPr>
          <w:sz w:val="20"/>
        </w:rPr>
        <w:t xml:space="preserve"> </w:t>
      </w:r>
      <w:r w:rsidRPr="00D24C84">
        <w:rPr>
          <w:sz w:val="20"/>
        </w:rPr>
        <w:t xml:space="preserve">2 based on various emissions control technologies to bring the haze level below the Glide Path. </w:t>
      </w:r>
    </w:p>
    <w:p w14:paraId="09C53684" w14:textId="77777777" w:rsidR="00CC1B07" w:rsidRPr="00D24C84" w:rsidRDefault="00CC1B07" w:rsidP="009B09D3">
      <w:pPr>
        <w:pStyle w:val="IRPsanstext"/>
        <w:rPr>
          <w:sz w:val="20"/>
        </w:rPr>
      </w:pPr>
    </w:p>
    <w:p w14:paraId="6DC92E55" w14:textId="77777777" w:rsidR="009B09D3" w:rsidRPr="00D24C84" w:rsidRDefault="009B09D3" w:rsidP="009B09D3">
      <w:pPr>
        <w:pStyle w:val="IRPsanstext"/>
        <w:rPr>
          <w:sz w:val="20"/>
        </w:rPr>
      </w:pPr>
      <w:r w:rsidRPr="00D24C84">
        <w:rPr>
          <w:sz w:val="20"/>
        </w:rPr>
        <w:t xml:space="preserve">There were no immediate requirements for Colstrip Units 3 &amp; 4, but Colstrip Units 1 &amp; 2 were determined by EPA to need to upgrade pollution controls to meet new sulfur dioxide and nitrogen oxide limits.  The Sierra Club filed an appeal of the FIP with the United States Court of Appeals for the Ninth Circuit on November 15, 2012, and </w:t>
      </w:r>
      <w:r w:rsidR="00CC1B07" w:rsidRPr="00D24C84">
        <w:rPr>
          <w:sz w:val="20"/>
        </w:rPr>
        <w:t>Talen Energy</w:t>
      </w:r>
      <w:r w:rsidRPr="00D24C84">
        <w:rPr>
          <w:sz w:val="20"/>
        </w:rPr>
        <w:t xml:space="preserve"> also filed an appeal as the Colstrip operator.</w:t>
      </w:r>
    </w:p>
    <w:p w14:paraId="5A035E8D" w14:textId="77777777" w:rsidR="009B09D3" w:rsidRPr="00D24C84" w:rsidRDefault="009B09D3" w:rsidP="008D0E9F">
      <w:pPr>
        <w:pStyle w:val="IRPsanstext"/>
        <w:rPr>
          <w:sz w:val="20"/>
        </w:rPr>
      </w:pPr>
    </w:p>
    <w:p w14:paraId="4E4F21CF" w14:textId="77777777" w:rsidR="008D0E9F" w:rsidRPr="00D24C84" w:rsidRDefault="008D0E9F" w:rsidP="008D0E9F">
      <w:pPr>
        <w:pStyle w:val="IRPsanstext"/>
        <w:rPr>
          <w:sz w:val="20"/>
        </w:rPr>
      </w:pPr>
      <w:r w:rsidRPr="00D24C84">
        <w:rPr>
          <w:sz w:val="20"/>
        </w:rPr>
        <w:t xml:space="preserve">The case was heard on May 15, 2014 in Seattle, Washington, and the final decision by the Ninth Circuit was issued June 9, 2015.  The 9th Circuit Court of Appeals reviewed EPA’s first phase requirements for Colstrip and found that the EPA had not adequately justified the need for two of the control technologies and remanded these two issues back to EPA for re-do.  </w:t>
      </w:r>
    </w:p>
    <w:p w14:paraId="4CD0F331" w14:textId="77777777" w:rsidR="008D0E9F" w:rsidRPr="00D24C84" w:rsidRDefault="008D0E9F" w:rsidP="008D0E9F">
      <w:pPr>
        <w:pStyle w:val="IRPsanstext"/>
        <w:rPr>
          <w:sz w:val="20"/>
        </w:rPr>
      </w:pPr>
    </w:p>
    <w:p w14:paraId="070E7559" w14:textId="77777777" w:rsidR="008D0E9F" w:rsidRPr="00D24C84" w:rsidRDefault="008D0E9F" w:rsidP="008D0E9F">
      <w:pPr>
        <w:pStyle w:val="IRPsanstext"/>
        <w:rPr>
          <w:sz w:val="20"/>
        </w:rPr>
      </w:pPr>
      <w:r w:rsidRPr="00D24C84">
        <w:rPr>
          <w:sz w:val="20"/>
        </w:rPr>
        <w:t>The ruling in no way affects the future planning periods for the Regional Haze program or the Glide Path. The current EPA assessment is that the state of Montana will require significant emission reductions to meet the natural visibility goal by 2064 which means that additional emission reductions will be necessary in future 10</w:t>
      </w:r>
      <w:r w:rsidR="009F7AD8" w:rsidRPr="00D24C84">
        <w:rPr>
          <w:sz w:val="20"/>
        </w:rPr>
        <w:t>-</w:t>
      </w:r>
      <w:r w:rsidRPr="00D24C84">
        <w:rPr>
          <w:sz w:val="20"/>
        </w:rPr>
        <w:t>year planning periods, beginning in the 2018-2028</w:t>
      </w:r>
      <w:r w:rsidR="009F7AD8" w:rsidRPr="00D24C84">
        <w:rPr>
          <w:sz w:val="20"/>
        </w:rPr>
        <w:t xml:space="preserve"> period</w:t>
      </w:r>
      <w:r w:rsidRPr="00D24C84">
        <w:rPr>
          <w:sz w:val="20"/>
        </w:rPr>
        <w:t>, and there is risk and uncertainty regarding potential costs.</w:t>
      </w:r>
    </w:p>
    <w:p w14:paraId="50B882F1" w14:textId="77777777" w:rsidR="008D0E9F" w:rsidRPr="00D24C84" w:rsidRDefault="008D0E9F" w:rsidP="008D0E9F">
      <w:pPr>
        <w:pStyle w:val="IRPsanstext"/>
        <w:rPr>
          <w:sz w:val="20"/>
        </w:rPr>
      </w:pPr>
    </w:p>
    <w:p w14:paraId="51842673" w14:textId="77777777" w:rsidR="008D0E9F" w:rsidRPr="00D24C84" w:rsidRDefault="008D0E9F" w:rsidP="008D0E9F">
      <w:pPr>
        <w:pStyle w:val="IRPsanstext"/>
        <w:rPr>
          <w:sz w:val="20"/>
        </w:rPr>
      </w:pPr>
      <w:r w:rsidRPr="00D24C84">
        <w:rPr>
          <w:sz w:val="20"/>
        </w:rPr>
        <w:t xml:space="preserve">For more information on the EPA FIP, see http://www2.epa.gov/sites/production/files/2014-02/documents/epafinalactononmontanaregionahazeplan.pdf. </w:t>
      </w:r>
    </w:p>
    <w:p w14:paraId="55C3EDE1" w14:textId="77777777" w:rsidR="008D0E9F" w:rsidRPr="00D24C84" w:rsidRDefault="008D0E9F" w:rsidP="008D0E9F">
      <w:pPr>
        <w:pStyle w:val="IRPsanstext"/>
        <w:rPr>
          <w:sz w:val="20"/>
        </w:rPr>
      </w:pPr>
    </w:p>
    <w:p w14:paraId="5889C45A" w14:textId="77777777" w:rsidR="008D0E9F" w:rsidRPr="00D24C84" w:rsidRDefault="008D0E9F" w:rsidP="008D0E9F">
      <w:pPr>
        <w:pStyle w:val="IRPsanstext"/>
        <w:rPr>
          <w:sz w:val="20"/>
        </w:rPr>
      </w:pPr>
      <w:r w:rsidRPr="00D24C84">
        <w:rPr>
          <w:sz w:val="20"/>
        </w:rPr>
        <w:t>For the draft Federal Implementation Plan containing EPA’s analyses and cost estimates, see   https://federalregister.gov/a/2012-8367.</w:t>
      </w:r>
    </w:p>
    <w:p w14:paraId="383E94F3" w14:textId="77777777" w:rsidR="00CE2F5B" w:rsidRPr="00D24C84" w:rsidRDefault="00CE2F5B" w:rsidP="004A6361">
      <w:pPr>
        <w:pStyle w:val="IRPsanstext"/>
        <w:rPr>
          <w:sz w:val="20"/>
        </w:rPr>
      </w:pPr>
    </w:p>
    <w:p w14:paraId="53E50977" w14:textId="77777777" w:rsidR="00A11C39" w:rsidRDefault="00A11C39" w:rsidP="00AE5F37">
      <w:pPr>
        <w:pStyle w:val="IRPsecthead1serif"/>
        <w:spacing w:before="120"/>
      </w:pPr>
    </w:p>
    <w:p w14:paraId="14A8F63F" w14:textId="77777777" w:rsidR="00A11C39" w:rsidRDefault="00A11C39">
      <w:pPr>
        <w:rPr>
          <w:rFonts w:ascii="Arial" w:hAnsi="Arial" w:cs="Arial"/>
          <w:color w:val="000000"/>
          <w:sz w:val="32"/>
          <w:szCs w:val="32"/>
        </w:rPr>
      </w:pPr>
      <w:r>
        <w:br w:type="page"/>
      </w:r>
    </w:p>
    <w:p w14:paraId="30FB8476" w14:textId="77777777" w:rsidR="00E976FB" w:rsidRDefault="004A6361" w:rsidP="00AE5F37">
      <w:pPr>
        <w:pStyle w:val="IRPsecthead1serif"/>
        <w:spacing w:before="120"/>
      </w:pPr>
      <w:r w:rsidRPr="004A6361">
        <w:lastRenderedPageBreak/>
        <w:t>Coal Combustion Residuals Rule</w:t>
      </w:r>
      <w:r w:rsidRPr="00CD755D">
        <w:t xml:space="preserve"> </w:t>
      </w:r>
    </w:p>
    <w:p w14:paraId="3C1577D6" w14:textId="77777777" w:rsidR="00E976FB" w:rsidRDefault="00E976FB" w:rsidP="004A6361">
      <w:pPr>
        <w:pStyle w:val="IRPsanstext"/>
      </w:pPr>
    </w:p>
    <w:p w14:paraId="1EA325D6" w14:textId="77777777" w:rsidR="004A6361" w:rsidRPr="00E15C15" w:rsidRDefault="008D0E9F" w:rsidP="00DF4E36">
      <w:pPr>
        <w:pStyle w:val="IRPsanstext"/>
        <w:rPr>
          <w:sz w:val="20"/>
        </w:rPr>
      </w:pPr>
      <w:r w:rsidRPr="00E15C15">
        <w:rPr>
          <w:sz w:val="20"/>
        </w:rPr>
        <w:t xml:space="preserve">On April 17, 2015, the EPA published a final rule, effective October 19, 2015, that regulates </w:t>
      </w:r>
      <w:r w:rsidR="009F7AD8" w:rsidRPr="00E15C15">
        <w:rPr>
          <w:sz w:val="20"/>
        </w:rPr>
        <w:t>c</w:t>
      </w:r>
      <w:r w:rsidRPr="00E15C15">
        <w:rPr>
          <w:sz w:val="20"/>
        </w:rPr>
        <w:t xml:space="preserve">oal </w:t>
      </w:r>
      <w:r w:rsidR="009F7AD8" w:rsidRPr="00E15C15">
        <w:rPr>
          <w:sz w:val="20"/>
        </w:rPr>
        <w:t>combustion r</w:t>
      </w:r>
      <w:r w:rsidRPr="00E15C15">
        <w:rPr>
          <w:sz w:val="20"/>
        </w:rPr>
        <w:t>esiduals (CCRs) under the Resource Conservation and Recovery Act, Subtitle D.  The CCR rule addresses the risks from coal ash disposal, such as leaking of contaminants into ground water, blowing of contaminants into the air as dust, and the catastrophic failure of coal ash containment structures by establishing technical design, operation and maintenance, closure and post</w:t>
      </w:r>
      <w:r w:rsidR="009F7AD8" w:rsidRPr="00E15C15">
        <w:rPr>
          <w:sz w:val="20"/>
        </w:rPr>
        <w:t>-</w:t>
      </w:r>
      <w:r w:rsidRPr="00E15C15">
        <w:rPr>
          <w:sz w:val="20"/>
        </w:rPr>
        <w:t xml:space="preserve">closure care requirements for CCR landfills and surface impoundments, and corrective action requirements for any related leakage. The rule also sets out recordkeeping and reporting requirements including posting specific information related to CCR surface impoundments and landfills to a </w:t>
      </w:r>
      <w:proofErr w:type="gramStart"/>
      <w:r w:rsidRPr="00E15C15">
        <w:rPr>
          <w:sz w:val="20"/>
        </w:rPr>
        <w:t>publicly-accessible</w:t>
      </w:r>
      <w:proofErr w:type="gramEnd"/>
      <w:r w:rsidRPr="00E15C15">
        <w:rPr>
          <w:sz w:val="20"/>
        </w:rPr>
        <w:t xml:space="preserve"> websites. </w:t>
      </w:r>
      <w:r w:rsidR="00104CD7" w:rsidRPr="00E15C15">
        <w:rPr>
          <w:sz w:val="20"/>
        </w:rPr>
        <w:t>Using information from these public websites, enforcement of the CCR ru</w:t>
      </w:r>
      <w:r w:rsidR="0089210A" w:rsidRPr="00E15C15">
        <w:rPr>
          <w:sz w:val="20"/>
        </w:rPr>
        <w:t>le is left entirely to citizens</w:t>
      </w:r>
      <w:r w:rsidR="00517CF2" w:rsidRPr="00E15C15">
        <w:rPr>
          <w:sz w:val="20"/>
        </w:rPr>
        <w:t>’</w:t>
      </w:r>
      <w:r w:rsidR="00104CD7" w:rsidRPr="00E15C15">
        <w:rPr>
          <w:sz w:val="20"/>
        </w:rPr>
        <w:t xml:space="preserve"> lawsuits</w:t>
      </w:r>
      <w:r w:rsidR="0089210A" w:rsidRPr="00E15C15">
        <w:rPr>
          <w:sz w:val="20"/>
        </w:rPr>
        <w:t xml:space="preserve"> –</w:t>
      </w:r>
      <w:r w:rsidR="00104CD7" w:rsidRPr="00E15C15">
        <w:rPr>
          <w:sz w:val="20"/>
        </w:rPr>
        <w:t xml:space="preserve"> not EPA. </w:t>
      </w:r>
    </w:p>
    <w:p w14:paraId="73EF3517" w14:textId="77777777" w:rsidR="00BB606C" w:rsidRPr="00E15C15" w:rsidRDefault="00BB606C" w:rsidP="00BC105C">
      <w:pPr>
        <w:pStyle w:val="IRPsanstext"/>
        <w:rPr>
          <w:sz w:val="20"/>
        </w:rPr>
      </w:pPr>
    </w:p>
    <w:p w14:paraId="3AD4B5F5" w14:textId="77777777" w:rsidR="00BB606C" w:rsidRPr="00E15C15" w:rsidRDefault="00BB606C" w:rsidP="00BC105C">
      <w:pPr>
        <w:pStyle w:val="IRPsanstext"/>
        <w:rPr>
          <w:sz w:val="20"/>
        </w:rPr>
      </w:pPr>
      <w:r w:rsidRPr="00E15C15">
        <w:rPr>
          <w:sz w:val="20"/>
        </w:rPr>
        <w:t>See</w:t>
      </w:r>
      <w:r w:rsidR="00D91A6D" w:rsidRPr="00E15C15">
        <w:rPr>
          <w:sz w:val="20"/>
        </w:rPr>
        <w:t xml:space="preserve"> http://www2.epa.gov/coalash/coal-ash-rule, and</w:t>
      </w:r>
    </w:p>
    <w:p w14:paraId="0D554290" w14:textId="77777777" w:rsidR="00BB606C" w:rsidRPr="00E15C15" w:rsidRDefault="00BB606C" w:rsidP="00BC105C">
      <w:pPr>
        <w:pStyle w:val="IRPsanstext"/>
        <w:rPr>
          <w:sz w:val="20"/>
        </w:rPr>
      </w:pPr>
      <w:r w:rsidRPr="00E15C15">
        <w:rPr>
          <w:sz w:val="20"/>
        </w:rPr>
        <w:t>http://www.gpo.gov/fdsys/pkg/FR-2015-04-17/pdf/2015-00257.pdf</w:t>
      </w:r>
    </w:p>
    <w:p w14:paraId="1AE73787" w14:textId="77777777" w:rsidR="00BC105C" w:rsidRPr="00E15C15" w:rsidRDefault="00BC105C" w:rsidP="00E976FB">
      <w:pPr>
        <w:pStyle w:val="IRPsecthead1serif"/>
        <w:rPr>
          <w:sz w:val="20"/>
        </w:rPr>
      </w:pPr>
    </w:p>
    <w:p w14:paraId="3349E5C6" w14:textId="77777777" w:rsidR="00E4005F" w:rsidRDefault="00E4005F">
      <w:pPr>
        <w:rPr>
          <w:rFonts w:ascii="Arial" w:hAnsi="Arial" w:cs="Arial"/>
          <w:color w:val="000000"/>
          <w:sz w:val="32"/>
          <w:szCs w:val="32"/>
        </w:rPr>
      </w:pPr>
      <w:r>
        <w:br w:type="page"/>
      </w:r>
    </w:p>
    <w:p w14:paraId="3500AB75" w14:textId="77777777" w:rsidR="00E976FB" w:rsidRDefault="004A6361" w:rsidP="009B09D3">
      <w:pPr>
        <w:pStyle w:val="IRPsecthead1serif"/>
        <w:spacing w:before="120"/>
      </w:pPr>
      <w:r w:rsidRPr="004A6361">
        <w:lastRenderedPageBreak/>
        <w:t>Clean Water Act</w:t>
      </w:r>
      <w:r w:rsidRPr="00CD755D">
        <w:t xml:space="preserve"> </w:t>
      </w:r>
    </w:p>
    <w:p w14:paraId="75BE68C3" w14:textId="77777777" w:rsidR="00E976FB" w:rsidRDefault="00E976FB" w:rsidP="004A6361">
      <w:pPr>
        <w:pStyle w:val="IRPsanstext"/>
      </w:pPr>
    </w:p>
    <w:p w14:paraId="24C60910" w14:textId="77777777" w:rsidR="008D0E9F" w:rsidRPr="00E15C15" w:rsidRDefault="008D0E9F" w:rsidP="008D0E9F">
      <w:pPr>
        <w:pStyle w:val="IRPsanstext"/>
        <w:rPr>
          <w:sz w:val="20"/>
        </w:rPr>
      </w:pPr>
      <w:r w:rsidRPr="009B09D3">
        <w:rPr>
          <w:b/>
          <w:color w:val="156570"/>
          <w:sz w:val="28"/>
          <w:szCs w:val="28"/>
        </w:rPr>
        <w:t>Cooling water intake and discharge.</w:t>
      </w:r>
      <w:r>
        <w:t xml:space="preserve"> </w:t>
      </w:r>
      <w:r w:rsidRPr="00E15C15">
        <w:rPr>
          <w:sz w:val="20"/>
        </w:rPr>
        <w:t xml:space="preserve">The EPA finalized the changes to Section 316(b) of the Clean Water Act that apply to power plant standards in May 2014. The rule requires power plants to install any one of a variety of technologies to reduce the amount of fish and other aquatic life killed by cooling water intake pipes. Environmental groups filed three separate challenges to the rule on September 2, 2014. They contend that the EPA gave utilities too much flexibility in finding a way to comply. On September 4, 2014, Entergy Corporation and the Utility Water Act Group, a coalition of 191 energy companies and three utility trade associations, filed a joint challenge on behalf of utility companies. This lawsuit is still pending before the Fourth Circuit Court of Appeals.    </w:t>
      </w:r>
    </w:p>
    <w:p w14:paraId="5C5666FB" w14:textId="77777777" w:rsidR="008D0E9F" w:rsidRPr="00E15C15" w:rsidRDefault="008D0E9F" w:rsidP="008D0E9F">
      <w:pPr>
        <w:pStyle w:val="IRPsanstext"/>
        <w:rPr>
          <w:sz w:val="20"/>
        </w:rPr>
      </w:pPr>
    </w:p>
    <w:p w14:paraId="79B97F8D" w14:textId="77777777" w:rsidR="008D0E9F" w:rsidRPr="00E15C15" w:rsidRDefault="008D0E9F" w:rsidP="008D0E9F">
      <w:pPr>
        <w:pStyle w:val="IRPsanstext"/>
        <w:rPr>
          <w:sz w:val="20"/>
        </w:rPr>
      </w:pPr>
      <w:r w:rsidRPr="00E15C15">
        <w:rPr>
          <w:sz w:val="20"/>
        </w:rPr>
        <w:t>The rule’s requirements address these potential impacts:</w:t>
      </w:r>
    </w:p>
    <w:p w14:paraId="5C5F324A" w14:textId="77777777" w:rsidR="008D0E9F" w:rsidRPr="00E15C15" w:rsidRDefault="008D0E9F" w:rsidP="008D0E9F">
      <w:pPr>
        <w:pStyle w:val="IRPsanstext"/>
        <w:rPr>
          <w:sz w:val="20"/>
        </w:rPr>
      </w:pPr>
    </w:p>
    <w:p w14:paraId="4B193AA4" w14:textId="77777777" w:rsidR="00A11C39" w:rsidRPr="00E15C15" w:rsidRDefault="008D0E9F" w:rsidP="00E15C15">
      <w:pPr>
        <w:pStyle w:val="IRPsanstext"/>
        <w:ind w:left="1080" w:hanging="360"/>
        <w:rPr>
          <w:sz w:val="20"/>
        </w:rPr>
      </w:pPr>
      <w:r w:rsidRPr="00E15C15">
        <w:rPr>
          <w:sz w:val="20"/>
        </w:rPr>
        <w:t>•</w:t>
      </w:r>
      <w:r w:rsidRPr="00E15C15">
        <w:rPr>
          <w:sz w:val="20"/>
        </w:rPr>
        <w:tab/>
        <w:t>Existing facilities with a design intake flow of greater than 2 million gallons per day, where more than 25 percent is used for cooling, are required to select from 9 compliance options r</w:t>
      </w:r>
      <w:r w:rsidR="00E15C15">
        <w:rPr>
          <w:sz w:val="20"/>
        </w:rPr>
        <w:t>elated to impingement mortality.</w:t>
      </w:r>
    </w:p>
    <w:p w14:paraId="21EB85CA" w14:textId="77777777" w:rsidR="008D0E9F" w:rsidRPr="00E15C15" w:rsidRDefault="008D0E9F" w:rsidP="00CC1B07">
      <w:pPr>
        <w:pStyle w:val="IRPsanstext"/>
        <w:ind w:left="1080" w:hanging="360"/>
        <w:rPr>
          <w:sz w:val="20"/>
        </w:rPr>
      </w:pPr>
      <w:r w:rsidRPr="00E15C15">
        <w:rPr>
          <w:sz w:val="20"/>
        </w:rPr>
        <w:t>•</w:t>
      </w:r>
      <w:r w:rsidRPr="00E15C15">
        <w:rPr>
          <w:sz w:val="20"/>
        </w:rPr>
        <w:tab/>
        <w:t>Existing facilities that withdraw at least 125 million gallons per day are required to monitor entrainment and assess the costs, benefits and other adverse environmental impacts of measures for reducing entrainment mortality. Based on these reports, the regulatory agency selects the best technology available for reducing entrainment mortality at a facility.</w:t>
      </w:r>
    </w:p>
    <w:p w14:paraId="6378528C" w14:textId="77777777" w:rsidR="008D0E9F" w:rsidRPr="00E15C15" w:rsidRDefault="008D0E9F" w:rsidP="00CC1B07">
      <w:pPr>
        <w:pStyle w:val="IRPsanstext"/>
        <w:ind w:left="1080" w:hanging="360"/>
        <w:rPr>
          <w:sz w:val="20"/>
        </w:rPr>
      </w:pPr>
      <w:r w:rsidRPr="00E15C15">
        <w:rPr>
          <w:sz w:val="20"/>
        </w:rPr>
        <w:t>•</w:t>
      </w:r>
      <w:r w:rsidRPr="00E15C15">
        <w:rPr>
          <w:sz w:val="20"/>
        </w:rPr>
        <w:tab/>
        <w:t>New units that add electrical generation capacity at an existing facility are required to install technologies that reduce impingement and entrainment to a level equivalent to closed-cycle cooling.</w:t>
      </w:r>
    </w:p>
    <w:p w14:paraId="1A03BF98" w14:textId="77777777" w:rsidR="008D0E9F" w:rsidRPr="00E15C15" w:rsidRDefault="008D0E9F" w:rsidP="008D0E9F">
      <w:pPr>
        <w:pStyle w:val="IRPsanstext"/>
        <w:rPr>
          <w:sz w:val="20"/>
        </w:rPr>
      </w:pPr>
    </w:p>
    <w:p w14:paraId="1CD9F1ED" w14:textId="77777777" w:rsidR="008D0E9F" w:rsidRPr="00E15C15" w:rsidRDefault="008D0E9F" w:rsidP="008D0E9F">
      <w:pPr>
        <w:pStyle w:val="IRPsanstext"/>
        <w:rPr>
          <w:sz w:val="20"/>
        </w:rPr>
      </w:pPr>
      <w:r w:rsidRPr="00527D60">
        <w:rPr>
          <w:b/>
          <w:color w:val="156570"/>
          <w:sz w:val="28"/>
          <w:szCs w:val="28"/>
        </w:rPr>
        <w:t>Effluent Limitations Guidelines and Standards for the Steam Electric Power Generating Point Source Category.</w:t>
      </w:r>
      <w:r>
        <w:t xml:space="preserve">  </w:t>
      </w:r>
      <w:r w:rsidRPr="00E15C15">
        <w:rPr>
          <w:sz w:val="20"/>
        </w:rPr>
        <w:t>On September 30, 2015, the EPA finalized a rule to regulate wastewater discharges from power plants. The new rule sets limits on dissolved pollutants permitted in these discharges, and focus on mercury, selenium, and arsenic (toxic metals previously unregulated in this context).</w:t>
      </w:r>
    </w:p>
    <w:p w14:paraId="7022E46A" w14:textId="77777777" w:rsidR="008D0E9F" w:rsidRPr="00E15C15" w:rsidRDefault="008D0E9F" w:rsidP="008D0E9F">
      <w:pPr>
        <w:pStyle w:val="IRPsanstext"/>
        <w:rPr>
          <w:sz w:val="20"/>
        </w:rPr>
      </w:pPr>
    </w:p>
    <w:p w14:paraId="05A1B61D" w14:textId="77777777" w:rsidR="008D0E9F" w:rsidRPr="00E15C15" w:rsidRDefault="008D0E9F" w:rsidP="008D0E9F">
      <w:pPr>
        <w:pStyle w:val="IRPsanstext"/>
        <w:rPr>
          <w:sz w:val="20"/>
        </w:rPr>
      </w:pPr>
      <w:r w:rsidRPr="00E15C15">
        <w:rPr>
          <w:sz w:val="20"/>
        </w:rPr>
        <w:t>The finalized rule applies to all steam electric power plants, except for those smaller than 50 megawatts in production capacity, and oil-fired plants. Out of approximately 1,080 steam electric power plants in the U.S., 134 are expected to require new investments in order to comply with the regulations. The regulations will take effect in 2018, and compliance will be phased in through 2023.</w:t>
      </w:r>
    </w:p>
    <w:p w14:paraId="27D436E6" w14:textId="77777777" w:rsidR="008D0E9F" w:rsidRPr="00E15C15" w:rsidRDefault="008D0E9F" w:rsidP="008D0E9F">
      <w:pPr>
        <w:pStyle w:val="IRPsanstext"/>
        <w:rPr>
          <w:sz w:val="20"/>
        </w:rPr>
      </w:pPr>
    </w:p>
    <w:p w14:paraId="134AF085" w14:textId="77777777" w:rsidR="008D0E9F" w:rsidRPr="00E15C15" w:rsidRDefault="008D0E9F" w:rsidP="008D0E9F">
      <w:pPr>
        <w:pStyle w:val="IRPsanstext"/>
        <w:rPr>
          <w:b/>
          <w:color w:val="156570"/>
          <w:sz w:val="20"/>
          <w:szCs w:val="28"/>
        </w:rPr>
      </w:pPr>
      <w:r w:rsidRPr="00E15C15">
        <w:rPr>
          <w:sz w:val="20"/>
        </w:rPr>
        <w:lastRenderedPageBreak/>
        <w:t xml:space="preserve">Along with effluent limits on toxic metals and dissolved solids, the rule establishes zero discharge limits on pollutants in ash transport water and flue gas mercury control wastewater. Many units in the Pacific Northwest will be compliant with the rule provisions with their current controls, and therefore will not incur additional compliance costs. Colstrip is a Zero Liquid Discharge (ZLD) facility, so it will not be affected by the rule. </w:t>
      </w:r>
    </w:p>
    <w:p w14:paraId="3CF9E56D" w14:textId="77777777" w:rsidR="00A42BDB" w:rsidRDefault="00A42BDB" w:rsidP="004A6361">
      <w:pPr>
        <w:pStyle w:val="IRPsanstext"/>
        <w:rPr>
          <w:b/>
          <w:color w:val="156570"/>
          <w:sz w:val="28"/>
          <w:szCs w:val="28"/>
        </w:rPr>
      </w:pPr>
    </w:p>
    <w:p w14:paraId="59E34889" w14:textId="77777777" w:rsidR="003714F7" w:rsidRPr="00E4005F" w:rsidRDefault="004A6361" w:rsidP="00E4005F">
      <w:pPr>
        <w:pStyle w:val="IRPsanstext"/>
        <w:rPr>
          <w:rFonts w:cs="Arial"/>
          <w:color w:val="000000"/>
          <w:sz w:val="32"/>
          <w:szCs w:val="32"/>
        </w:rPr>
      </w:pPr>
      <w:r w:rsidRPr="00E4005F">
        <w:rPr>
          <w:sz w:val="32"/>
          <w:szCs w:val="32"/>
        </w:rPr>
        <w:t>The Clean Air Act</w:t>
      </w:r>
    </w:p>
    <w:p w14:paraId="7F62839C" w14:textId="77777777" w:rsidR="003714F7" w:rsidRDefault="003714F7" w:rsidP="004F1E5A">
      <w:pPr>
        <w:pStyle w:val="IRPsecthead1serif"/>
        <w:spacing w:before="120"/>
      </w:pPr>
    </w:p>
    <w:p w14:paraId="016001B2" w14:textId="77777777" w:rsidR="004A6361" w:rsidRPr="00E15C15" w:rsidRDefault="00232526" w:rsidP="004A6361">
      <w:pPr>
        <w:pStyle w:val="IRPsanstext"/>
        <w:rPr>
          <w:sz w:val="20"/>
        </w:rPr>
      </w:pPr>
      <w:proofErr w:type="gramStart"/>
      <w:r w:rsidRPr="00232526">
        <w:rPr>
          <w:b/>
          <w:color w:val="156570"/>
          <w:sz w:val="28"/>
          <w:szCs w:val="28"/>
        </w:rPr>
        <w:t>National Ambient Air Quality Standards (NAAQS)</w:t>
      </w:r>
      <w:r w:rsidR="003714F7">
        <w:rPr>
          <w:b/>
          <w:color w:val="156570"/>
          <w:sz w:val="28"/>
          <w:szCs w:val="28"/>
        </w:rPr>
        <w:t>.</w:t>
      </w:r>
      <w:proofErr w:type="gramEnd"/>
      <w:r w:rsidR="003714F7">
        <w:t xml:space="preserve"> </w:t>
      </w:r>
      <w:proofErr w:type="gramStart"/>
      <w:r w:rsidR="004A6361" w:rsidRPr="00E15C15">
        <w:rPr>
          <w:sz w:val="20"/>
        </w:rPr>
        <w:t>Two types of national air qualit</w:t>
      </w:r>
      <w:r w:rsidR="00E15C15">
        <w:rPr>
          <w:sz w:val="20"/>
        </w:rPr>
        <w:t>y standards are established by t</w:t>
      </w:r>
      <w:r w:rsidR="004A6361" w:rsidRPr="00E15C15">
        <w:rPr>
          <w:sz w:val="20"/>
        </w:rPr>
        <w:t>he Clean Air Act</w:t>
      </w:r>
      <w:proofErr w:type="gramEnd"/>
      <w:r w:rsidR="004A6361" w:rsidRPr="00E15C15">
        <w:rPr>
          <w:sz w:val="20"/>
        </w:rPr>
        <w:t>.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These ambient level standards apply uniformly throughout the states. The Clean Air Act required EPA to set NAAQS for widespread pollutants from numerous and diverse sources considered harmful to public health and the environment. EPA has set NAAQS for six "criteria" pollutants; periodic review of the standards and the science on which they are based is required. Each time the NAAQS are revised, the states must evaluate whether any parts of the state exceed the standard (these are “non-attainment” areas). If a state contains any non-attainment areas, it must propose a plan and schedule to reduce emissions in order to achieve attainment approval by the EPA. Currently the Colstrip area of Montana is in attainment for all criteria pollutants. Reductions in Colstrip emissions for SO</w:t>
      </w:r>
      <w:r w:rsidR="004A6361" w:rsidRPr="00E15C15">
        <w:rPr>
          <w:sz w:val="20"/>
          <w:vertAlign w:val="subscript"/>
        </w:rPr>
        <w:t>2</w:t>
      </w:r>
      <w:r w:rsidR="004A6361" w:rsidRPr="00E15C15">
        <w:rPr>
          <w:sz w:val="20"/>
        </w:rPr>
        <w:t>, NO</w:t>
      </w:r>
      <w:r w:rsidR="004A6361" w:rsidRPr="00E15C15">
        <w:rPr>
          <w:sz w:val="20"/>
          <w:vertAlign w:val="subscript"/>
        </w:rPr>
        <w:t>X</w:t>
      </w:r>
      <w:r w:rsidR="004A6361" w:rsidRPr="00E15C15">
        <w:rPr>
          <w:sz w:val="20"/>
        </w:rPr>
        <w:t xml:space="preserve"> and PM to meet the MATS Rule and the EPA FIP are expected to keep the area in attainment with any NAAQS revisions with no further actions required. For more information, go </w:t>
      </w:r>
      <w:r w:rsidR="00BF46A9" w:rsidRPr="00E15C15">
        <w:rPr>
          <w:sz w:val="20"/>
        </w:rPr>
        <w:t>to</w:t>
      </w:r>
      <w:r w:rsidR="004A6361" w:rsidRPr="00E15C15">
        <w:rPr>
          <w:sz w:val="20"/>
        </w:rPr>
        <w:t xml:space="preserve"> </w:t>
      </w:r>
      <w:hyperlink r:id="rId10">
        <w:r w:rsidR="009B09D3" w:rsidRPr="00E15C15">
          <w:rPr>
            <w:sz w:val="20"/>
          </w:rPr>
          <w:t>http://www.epa.gov/ttn/naaqs/criteria.html</w:t>
        </w:r>
        <w:r w:rsidR="004A6361" w:rsidRPr="00E15C15">
          <w:rPr>
            <w:sz w:val="20"/>
          </w:rPr>
          <w:t>.</w:t>
        </w:r>
      </w:hyperlink>
    </w:p>
    <w:p w14:paraId="5B2DAD41" w14:textId="77777777" w:rsidR="00454C32" w:rsidRPr="00E15C15" w:rsidRDefault="003714F7" w:rsidP="00E15C15">
      <w:pPr>
        <w:pStyle w:val="irpsanstext0"/>
        <w:spacing w:line="320" w:lineRule="exact"/>
        <w:rPr>
          <w:rFonts w:ascii="Arial" w:hAnsi="Arial"/>
          <w:sz w:val="20"/>
        </w:rPr>
      </w:pPr>
      <w:r w:rsidRPr="00E15C15">
        <w:rPr>
          <w:rFonts w:ascii="Arial" w:hAnsi="Arial"/>
          <w:b/>
          <w:color w:val="156570"/>
          <w:sz w:val="20"/>
          <w:szCs w:val="28"/>
        </w:rPr>
        <w:t>Section 111(d) of the Clean Air Act</w:t>
      </w:r>
      <w:r w:rsidR="00232526" w:rsidRPr="00E15C15">
        <w:rPr>
          <w:rFonts w:ascii="Arial" w:hAnsi="Arial"/>
          <w:b/>
          <w:color w:val="156570"/>
          <w:sz w:val="20"/>
          <w:szCs w:val="28"/>
        </w:rPr>
        <w:t>.</w:t>
      </w:r>
      <w:r w:rsidRPr="00E15C15">
        <w:rPr>
          <w:rFonts w:ascii="Arial" w:hAnsi="Arial"/>
          <w:sz w:val="20"/>
        </w:rPr>
        <w:t xml:space="preserve">  </w:t>
      </w:r>
      <w:r w:rsidR="00232526" w:rsidRPr="00E15C15">
        <w:rPr>
          <w:rFonts w:ascii="Arial" w:hAnsi="Arial"/>
          <w:sz w:val="20"/>
        </w:rPr>
        <w:t xml:space="preserve">EPA issued a final </w:t>
      </w:r>
      <w:proofErr w:type="gramStart"/>
      <w:r w:rsidR="00232526" w:rsidRPr="00E15C15">
        <w:rPr>
          <w:rFonts w:ascii="Arial" w:hAnsi="Arial"/>
          <w:sz w:val="20"/>
        </w:rPr>
        <w:t>111(</w:t>
      </w:r>
      <w:proofErr w:type="gramEnd"/>
      <w:r w:rsidR="00232526" w:rsidRPr="00E15C15">
        <w:rPr>
          <w:rFonts w:ascii="Arial" w:hAnsi="Arial"/>
          <w:sz w:val="20"/>
        </w:rPr>
        <w:t>d) rule on August 3, 2015 which included several changes, many of which were requested in PSE’s comments. Specifically, EPA excluded energy efficiency from the building blocks, leaving just three building blocks (increased efficiency for coal plants, greater utilization of natural gas plants and increased renewable sources), and provided more flexibility on interim goals by phasing in the reduction of the second building block and giving states the option to set their own interim compliance glide path and pushing the start of compliance to 2022. EPA also adjusted the 2012 baseline to address hydroelectricity variability and provided specific CO</w:t>
      </w:r>
      <w:r w:rsidR="00232526" w:rsidRPr="00E15C15">
        <w:rPr>
          <w:rFonts w:ascii="Arial" w:hAnsi="Arial"/>
          <w:sz w:val="20"/>
          <w:vertAlign w:val="subscript"/>
        </w:rPr>
        <w:t>2</w:t>
      </w:r>
      <w:r w:rsidR="00232526" w:rsidRPr="00E15C15">
        <w:rPr>
          <w:rFonts w:ascii="Arial" w:hAnsi="Arial"/>
          <w:sz w:val="20"/>
        </w:rPr>
        <w:t xml:space="preserve"> mass targets by year for each state.  </w:t>
      </w:r>
    </w:p>
    <w:p w14:paraId="025C7B2C" w14:textId="77777777" w:rsidR="00454C32" w:rsidRPr="00E15C15" w:rsidRDefault="00232526" w:rsidP="00E15C15">
      <w:pPr>
        <w:pStyle w:val="irpsanstext0"/>
        <w:spacing w:line="320" w:lineRule="exact"/>
        <w:rPr>
          <w:rFonts w:ascii="Arial" w:hAnsi="Arial"/>
          <w:sz w:val="20"/>
        </w:rPr>
      </w:pPr>
      <w:r w:rsidRPr="00E15C15">
        <w:rPr>
          <w:rFonts w:ascii="Arial" w:hAnsi="Arial"/>
          <w:sz w:val="20"/>
        </w:rPr>
        <w:t>States have broad flexibility to pick a rate-based or mass-based approach and can design compliance options and decide how to allocate credits and whether to allow trading.</w:t>
      </w:r>
    </w:p>
    <w:p w14:paraId="30EDFCC9" w14:textId="77777777" w:rsidR="00454C32" w:rsidRPr="00E15C15" w:rsidRDefault="003714F7" w:rsidP="00E15C15">
      <w:pPr>
        <w:pStyle w:val="irpsanstext0"/>
        <w:spacing w:line="320" w:lineRule="exact"/>
        <w:rPr>
          <w:rFonts w:ascii="Arial" w:hAnsi="Arial"/>
          <w:sz w:val="20"/>
        </w:rPr>
      </w:pPr>
      <w:r w:rsidRPr="00E15C15">
        <w:rPr>
          <w:rFonts w:ascii="Arial" w:hAnsi="Arial"/>
          <w:sz w:val="20"/>
        </w:rPr>
        <w:lastRenderedPageBreak/>
        <w:t>E</w:t>
      </w:r>
      <w:r w:rsidR="00232526" w:rsidRPr="00E15C15">
        <w:rPr>
          <w:rFonts w:ascii="Arial" w:hAnsi="Arial"/>
          <w:sz w:val="20"/>
        </w:rPr>
        <w:t>PA also gave states the option of seeking an additional time if necessary to formulate a state plan---states must submit something within one year but can request up to an additional two years for development of a state plan.  </w:t>
      </w:r>
    </w:p>
    <w:p w14:paraId="35076E89" w14:textId="77777777" w:rsidR="00454C32" w:rsidRPr="00E15C15" w:rsidRDefault="00232526">
      <w:pPr>
        <w:spacing w:line="360" w:lineRule="auto"/>
        <w:rPr>
          <w:rFonts w:ascii="Arial" w:eastAsia="Times New Roman" w:hAnsi="Arial" w:cs="Arial"/>
          <w:color w:val="000000"/>
          <w:sz w:val="20"/>
        </w:rPr>
      </w:pPr>
      <w:r w:rsidRPr="00E15C15">
        <w:rPr>
          <w:rFonts w:ascii="Arial" w:hAnsi="Arial" w:cs="Arial"/>
          <w:color w:val="000000"/>
          <w:sz w:val="20"/>
        </w:rPr>
        <w:t>Based on the changes to the final rule</w:t>
      </w:r>
      <w:r w:rsidR="003714F7" w:rsidRPr="00E15C15">
        <w:rPr>
          <w:rFonts w:ascii="Arial" w:hAnsi="Arial" w:cs="Arial"/>
          <w:color w:val="000000"/>
          <w:sz w:val="20"/>
        </w:rPr>
        <w:t>,</w:t>
      </w:r>
      <w:r w:rsidRPr="00E15C15">
        <w:rPr>
          <w:rFonts w:ascii="Arial" w:hAnsi="Arial" w:cs="Arial"/>
          <w:color w:val="000000"/>
          <w:sz w:val="20"/>
        </w:rPr>
        <w:t xml:space="preserve"> the final CO</w:t>
      </w:r>
      <w:r w:rsidRPr="00E15C15">
        <w:rPr>
          <w:rFonts w:ascii="Arial" w:hAnsi="Arial" w:cs="Arial"/>
          <w:color w:val="000000"/>
          <w:sz w:val="20"/>
          <w:vertAlign w:val="subscript"/>
        </w:rPr>
        <w:t>2</w:t>
      </w:r>
      <w:r w:rsidRPr="00E15C15">
        <w:rPr>
          <w:rFonts w:ascii="Arial" w:hAnsi="Arial" w:cs="Arial"/>
          <w:color w:val="000000"/>
          <w:sz w:val="20"/>
        </w:rPr>
        <w:t xml:space="preserve"> goal for Montana became 26</w:t>
      </w:r>
      <w:r w:rsidR="003714F7" w:rsidRPr="00E15C15">
        <w:rPr>
          <w:rFonts w:ascii="Arial" w:hAnsi="Arial" w:cs="Arial"/>
          <w:color w:val="000000"/>
          <w:sz w:val="20"/>
        </w:rPr>
        <w:t xml:space="preserve"> percent</w:t>
      </w:r>
      <w:r w:rsidRPr="00E15C15">
        <w:rPr>
          <w:rFonts w:ascii="Arial" w:hAnsi="Arial" w:cs="Arial"/>
          <w:color w:val="000000"/>
          <w:sz w:val="20"/>
        </w:rPr>
        <w:t xml:space="preserve"> more stringent and the final CO</w:t>
      </w:r>
      <w:r w:rsidRPr="00E15C15">
        <w:rPr>
          <w:rFonts w:ascii="Arial" w:hAnsi="Arial" w:cs="Arial"/>
          <w:color w:val="000000"/>
          <w:sz w:val="20"/>
          <w:vertAlign w:val="subscript"/>
        </w:rPr>
        <w:t>2</w:t>
      </w:r>
      <w:r w:rsidRPr="00E15C15">
        <w:rPr>
          <w:rFonts w:ascii="Arial" w:hAnsi="Arial" w:cs="Arial"/>
          <w:color w:val="000000"/>
          <w:sz w:val="20"/>
        </w:rPr>
        <w:t xml:space="preserve"> goal for Washington became 35</w:t>
      </w:r>
      <w:r w:rsidR="003714F7" w:rsidRPr="00E15C15">
        <w:rPr>
          <w:rFonts w:ascii="Arial" w:hAnsi="Arial" w:cs="Arial"/>
          <w:color w:val="000000"/>
          <w:sz w:val="20"/>
        </w:rPr>
        <w:t xml:space="preserve"> percent</w:t>
      </w:r>
      <w:r w:rsidRPr="00E15C15">
        <w:rPr>
          <w:rFonts w:ascii="Arial" w:hAnsi="Arial" w:cs="Arial"/>
          <w:color w:val="000000"/>
          <w:sz w:val="20"/>
        </w:rPr>
        <w:t xml:space="preserve"> less stringent.  By 2030 Montana must reduce CO</w:t>
      </w:r>
      <w:r w:rsidRPr="00E15C15">
        <w:rPr>
          <w:rFonts w:ascii="Arial" w:hAnsi="Arial" w:cs="Arial"/>
          <w:color w:val="000000"/>
          <w:sz w:val="20"/>
          <w:vertAlign w:val="subscript"/>
        </w:rPr>
        <w:t>2</w:t>
      </w:r>
      <w:r w:rsidRPr="00E15C15">
        <w:rPr>
          <w:rFonts w:ascii="Arial" w:hAnsi="Arial" w:cs="Arial"/>
          <w:color w:val="000000"/>
          <w:sz w:val="20"/>
        </w:rPr>
        <w:t xml:space="preserve"> emissions from coal plants from 20.5 million tons of CO</w:t>
      </w:r>
      <w:r w:rsidRPr="00E15C15">
        <w:rPr>
          <w:rFonts w:ascii="Arial" w:hAnsi="Arial" w:cs="Arial"/>
          <w:color w:val="000000"/>
          <w:sz w:val="20"/>
          <w:vertAlign w:val="subscript"/>
        </w:rPr>
        <w:t>2</w:t>
      </w:r>
      <w:r w:rsidRPr="00E15C15">
        <w:rPr>
          <w:rFonts w:ascii="Arial" w:hAnsi="Arial" w:cs="Arial"/>
          <w:color w:val="000000"/>
          <w:sz w:val="20"/>
        </w:rPr>
        <w:t xml:space="preserve"> to 11.3 million tons of </w:t>
      </w:r>
      <w:proofErr w:type="gramStart"/>
      <w:r w:rsidRPr="00E15C15">
        <w:rPr>
          <w:rFonts w:ascii="Arial" w:hAnsi="Arial" w:cs="Arial"/>
          <w:color w:val="000000"/>
          <w:sz w:val="20"/>
        </w:rPr>
        <w:t>CO</w:t>
      </w:r>
      <w:r w:rsidRPr="00E15C15">
        <w:rPr>
          <w:rFonts w:ascii="Arial" w:hAnsi="Arial" w:cs="Arial"/>
          <w:color w:val="000000"/>
          <w:sz w:val="20"/>
          <w:vertAlign w:val="subscript"/>
        </w:rPr>
        <w:t>2</w:t>
      </w:r>
      <w:r w:rsidRPr="00E15C15">
        <w:rPr>
          <w:rFonts w:ascii="Arial" w:hAnsi="Arial" w:cs="Arial"/>
          <w:color w:val="000000"/>
          <w:sz w:val="20"/>
        </w:rPr>
        <w:t xml:space="preserve"> which</w:t>
      </w:r>
      <w:proofErr w:type="gramEnd"/>
      <w:r w:rsidRPr="00E15C15">
        <w:rPr>
          <w:rFonts w:ascii="Arial" w:hAnsi="Arial" w:cs="Arial"/>
          <w:color w:val="000000"/>
          <w:sz w:val="20"/>
        </w:rPr>
        <w:t xml:space="preserve"> is a 45</w:t>
      </w:r>
      <w:r w:rsidR="003714F7" w:rsidRPr="00E15C15">
        <w:rPr>
          <w:rFonts w:ascii="Arial" w:hAnsi="Arial" w:cs="Arial"/>
          <w:color w:val="000000"/>
          <w:sz w:val="20"/>
        </w:rPr>
        <w:t xml:space="preserve"> percent</w:t>
      </w:r>
      <w:r w:rsidRPr="00E15C15">
        <w:rPr>
          <w:rFonts w:ascii="Arial" w:hAnsi="Arial" w:cs="Arial"/>
          <w:color w:val="000000"/>
          <w:sz w:val="20"/>
        </w:rPr>
        <w:t xml:space="preserve"> reduction in CO2 emissions. How this will affect Colstrip cannot be determined until a state implementation plan for Montana is finalized and approved by EPA. </w:t>
      </w:r>
    </w:p>
    <w:p w14:paraId="79283B22" w14:textId="77777777" w:rsidR="004A6361" w:rsidRPr="003714F7" w:rsidRDefault="004A6361" w:rsidP="003714F7">
      <w:pPr>
        <w:pStyle w:val="IRPsanstext"/>
        <w:rPr>
          <w:rFonts w:cs="Arial"/>
        </w:rPr>
      </w:pPr>
    </w:p>
    <w:sectPr w:rsidR="004A6361" w:rsidRPr="003714F7" w:rsidSect="000E493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216D9" w14:textId="77777777" w:rsidR="001271CC" w:rsidRDefault="001271CC" w:rsidP="00601E72">
      <w:r>
        <w:separator/>
      </w:r>
    </w:p>
  </w:endnote>
  <w:endnote w:type="continuationSeparator" w:id="0">
    <w:p w14:paraId="12C18F36" w14:textId="77777777" w:rsidR="001271CC" w:rsidRDefault="001271CC" w:rsidP="006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MS Mincho">
    <w:altName w:val="Arial Unicode MS"/>
    <w:charset w:val="80"/>
    <w:family w:val="modern"/>
    <w:pitch w:val="fixed"/>
    <w:sig w:usb0="E00002FF" w:usb1="6AC7FDFB" w:usb2="00000012" w:usb3="00000000" w:csb0="0002009F" w:csb1="00000000"/>
  </w:font>
  <w:font w:name="Garamond">
    <w:altName w:val="Athelas Bold Italic"/>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w:altName w:val="Book Antiqua"/>
    <w:panose1 w:val="02000500000000000000"/>
    <w:charset w:val="00"/>
    <w:family w:val="auto"/>
    <w:pitch w:val="variable"/>
    <w:sig w:usb0="A00002FF" w:usb1="7800205A" w:usb2="14600000" w:usb3="00000000" w:csb0="00000193" w:csb1="00000000"/>
  </w:font>
  <w:font w:name="Cambria">
    <w:altName w:val="Times New Roman"/>
    <w:panose1 w:val="0204050305040603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4ED56" w14:textId="77777777" w:rsidR="00DC7290" w:rsidRDefault="00DC72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0D747" w14:textId="77777777" w:rsidR="001271CC" w:rsidRPr="00DC7290" w:rsidRDefault="001271CC" w:rsidP="0020632A">
    <w:pPr>
      <w:pStyle w:val="Footer"/>
      <w:framePr w:wrap="around" w:vAnchor="text" w:hAnchor="margin" w:xAlign="center" w:y="1"/>
      <w:rPr>
        <w:rStyle w:val="PageNumber"/>
        <w:sz w:val="20"/>
        <w:szCs w:val="20"/>
      </w:rPr>
    </w:pPr>
    <w:r w:rsidRPr="00DC7290">
      <w:rPr>
        <w:rStyle w:val="PageNumber"/>
        <w:rFonts w:ascii="Palatino" w:hAnsi="Palatino"/>
        <w:i/>
        <w:sz w:val="20"/>
        <w:szCs w:val="20"/>
      </w:rPr>
      <w:t xml:space="preserve">K - </w:t>
    </w:r>
    <w:r w:rsidR="00B602AB" w:rsidRPr="00DC7290">
      <w:rPr>
        <w:rStyle w:val="PageNumber"/>
        <w:rFonts w:ascii="Palatino" w:hAnsi="Palatino"/>
        <w:i/>
        <w:sz w:val="20"/>
        <w:szCs w:val="20"/>
      </w:rPr>
      <w:fldChar w:fldCharType="begin"/>
    </w:r>
    <w:r w:rsidRPr="00DC7290">
      <w:rPr>
        <w:rStyle w:val="PageNumber"/>
        <w:rFonts w:ascii="Palatino" w:hAnsi="Palatino"/>
        <w:i/>
        <w:sz w:val="20"/>
        <w:szCs w:val="20"/>
      </w:rPr>
      <w:instrText xml:space="preserve">PAGE  </w:instrText>
    </w:r>
    <w:r w:rsidR="00B602AB" w:rsidRPr="00DC7290">
      <w:rPr>
        <w:rStyle w:val="PageNumber"/>
        <w:rFonts w:ascii="Palatino" w:hAnsi="Palatino"/>
        <w:i/>
        <w:sz w:val="20"/>
        <w:szCs w:val="20"/>
      </w:rPr>
      <w:fldChar w:fldCharType="separate"/>
    </w:r>
    <w:r w:rsidR="00E70EA4">
      <w:rPr>
        <w:rStyle w:val="PageNumber"/>
        <w:rFonts w:ascii="Palatino" w:hAnsi="Palatino"/>
        <w:i/>
        <w:noProof/>
        <w:sz w:val="20"/>
        <w:szCs w:val="20"/>
      </w:rPr>
      <w:t>1</w:t>
    </w:r>
    <w:r w:rsidR="00B602AB" w:rsidRPr="00DC7290">
      <w:rPr>
        <w:rStyle w:val="PageNumber"/>
        <w:rFonts w:ascii="Palatino" w:hAnsi="Palatino"/>
        <w:i/>
        <w:sz w:val="20"/>
        <w:szCs w:val="20"/>
      </w:rPr>
      <w:fldChar w:fldCharType="end"/>
    </w:r>
  </w:p>
  <w:p w14:paraId="1D1F8E25" w14:textId="77777777" w:rsidR="001271CC" w:rsidRDefault="001271CC" w:rsidP="0020632A">
    <w:pPr>
      <w:pStyle w:val="Footer"/>
      <w:jc w:val="center"/>
      <w:rPr>
        <w:rFonts w:ascii="Palatino" w:hAnsi="Palatino"/>
        <w:i/>
        <w:color w:val="006C71"/>
      </w:rPr>
    </w:pPr>
  </w:p>
  <w:p w14:paraId="5E9CE2A1" w14:textId="77777777" w:rsidR="001271CC" w:rsidRPr="0020632A" w:rsidRDefault="00CD5298" w:rsidP="0020632A">
    <w:pPr>
      <w:pStyle w:val="Footer"/>
      <w:jc w:val="center"/>
      <w:rPr>
        <w:rFonts w:ascii="Palatino" w:hAnsi="Palatino"/>
      </w:rPr>
    </w:pPr>
    <w:r>
      <w:rPr>
        <w:rFonts w:ascii="Palatino" w:hAnsi="Palatino"/>
        <w:noProof/>
        <w:lang w:eastAsia="en-US"/>
      </w:rPr>
      <mc:AlternateContent>
        <mc:Choice Requires="wps">
          <w:drawing>
            <wp:anchor distT="0" distB="0" distL="114300" distR="114300" simplePos="0" relativeHeight="251660288" behindDoc="0" locked="0" layoutInCell="1" allowOverlap="1" wp14:anchorId="4336C69C" wp14:editId="276E3939">
              <wp:simplePos x="0" y="0"/>
              <wp:positionH relativeFrom="column">
                <wp:posOffset>3480435</wp:posOffset>
              </wp:positionH>
              <wp:positionV relativeFrom="paragraph">
                <wp:posOffset>-200660</wp:posOffset>
              </wp:positionV>
              <wp:extent cx="2286000" cy="228600"/>
              <wp:effectExtent l="0" t="0" r="0" b="0"/>
              <wp:wrapThrough wrapText="bothSides">
                <wp:wrapPolygon edited="0">
                  <wp:start x="240" y="0"/>
                  <wp:lineTo x="240" y="19200"/>
                  <wp:lineTo x="21120" y="19200"/>
                  <wp:lineTo x="21120" y="0"/>
                  <wp:lineTo x="24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2286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E4D69EF" w14:textId="77777777" w:rsidR="001271CC" w:rsidRPr="00DC7290" w:rsidRDefault="001271CC" w:rsidP="00DC7290">
                          <w:pPr>
                            <w:jc w:val="right"/>
                            <w:rPr>
                              <w:sz w:val="20"/>
                              <w:szCs w:val="20"/>
                            </w:rPr>
                          </w:pPr>
                          <w:r w:rsidRPr="00DC7290">
                            <w:rPr>
                              <w:rFonts w:ascii="Palatino" w:eastAsiaTheme="minorEastAsia" w:hAnsi="Palatino" w:cs="Arial"/>
                              <w:i/>
                              <w:color w:val="156570"/>
                              <w:sz w:val="20"/>
                              <w:szCs w:val="20"/>
                            </w:rPr>
                            <w:t>2015 PSE IRP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8" type="#_x0000_t202" style="position:absolute;left:0;text-align:left;margin-left:274.05pt;margin-top:-15.75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" filled="f" stroked="f">
              <v:path arrowok="t"/>
              <v:textbox>
                <w:txbxContent>
                  <w:p w14:paraId="4E4D69EF" w14:textId="77777777" w:rsidR="001271CC" w:rsidRPr="00DC7290" w:rsidRDefault="001271CC" w:rsidP="00DC7290">
                    <w:pPr>
                      <w:jc w:val="right"/>
                      <w:rPr>
                        <w:sz w:val="20"/>
                        <w:szCs w:val="20"/>
                      </w:rPr>
                    </w:pPr>
                    <w:r w:rsidRPr="00DC7290">
                      <w:rPr>
                        <w:rFonts w:ascii="Palatino" w:eastAsiaTheme="minorEastAsia" w:hAnsi="Palatino" w:cs="Arial"/>
                        <w:i/>
                        <w:color w:val="156570"/>
                        <w:sz w:val="20"/>
                        <w:szCs w:val="20"/>
                      </w:rPr>
                      <w:t>2015 PSE IRP</w:t>
                    </w:r>
                  </w:p>
                </w:txbxContent>
              </v:textbox>
              <w10:wrap type="through"/>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05163" w14:textId="77777777" w:rsidR="00DC7290" w:rsidRDefault="00DC72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6B020" w14:textId="77777777" w:rsidR="001271CC" w:rsidRDefault="001271CC" w:rsidP="00601E72">
      <w:r>
        <w:separator/>
      </w:r>
    </w:p>
  </w:footnote>
  <w:footnote w:type="continuationSeparator" w:id="0">
    <w:p w14:paraId="3368F8A5" w14:textId="77777777" w:rsidR="001271CC" w:rsidRDefault="001271CC" w:rsidP="00601E72">
      <w:r>
        <w:continuationSeparator/>
      </w:r>
    </w:p>
  </w:footnote>
  <w:footnote w:id="1">
    <w:p w14:paraId="4A95FE6C" w14:textId="77777777" w:rsidR="001271CC" w:rsidRPr="00E4005F" w:rsidRDefault="001271CC" w:rsidP="00890FDA">
      <w:pPr>
        <w:pStyle w:val="IRPfooter"/>
        <w:rPr>
          <w:sz w:val="18"/>
          <w:szCs w:val="18"/>
        </w:rPr>
      </w:pPr>
      <w:r w:rsidRPr="00E4005F">
        <w:rPr>
          <w:sz w:val="18"/>
          <w:szCs w:val="18"/>
        </w:rPr>
        <w:t>1  / Potential future CO</w:t>
      </w:r>
      <w:r w:rsidRPr="00E4005F">
        <w:rPr>
          <w:sz w:val="18"/>
          <w:szCs w:val="18"/>
          <w:vertAlign w:val="subscript"/>
        </w:rPr>
        <w:t>2</w:t>
      </w:r>
      <w:r w:rsidRPr="00E4005F">
        <w:rPr>
          <w:sz w:val="18"/>
          <w:szCs w:val="18"/>
        </w:rPr>
        <w:t xml:space="preserve"> regulation is incorporated in the overall scenarios for the IRP since it impacts all thermal resources. Since Colstrip is included among these, CO</w:t>
      </w:r>
      <w:r w:rsidRPr="00E4005F">
        <w:rPr>
          <w:sz w:val="18"/>
          <w:szCs w:val="18"/>
          <w:vertAlign w:val="subscript"/>
        </w:rPr>
        <w:t>2</w:t>
      </w:r>
      <w:r w:rsidRPr="00E4005F">
        <w:rPr>
          <w:sz w:val="18"/>
          <w:szCs w:val="18"/>
        </w:rPr>
        <w:t xml:space="preserve"> is not treated separately here.</w:t>
      </w:r>
    </w:p>
    <w:p w14:paraId="774E5058" w14:textId="77777777" w:rsidR="001271CC" w:rsidRDefault="001271CC" w:rsidP="00890FDA">
      <w:pPr>
        <w:pStyle w:val="FootnoteText"/>
      </w:pPr>
    </w:p>
  </w:footnote>
  <w:footnote w:id="2">
    <w:p w14:paraId="126D3B61" w14:textId="77777777" w:rsidR="001271CC" w:rsidRPr="00E4005F" w:rsidRDefault="001271CC" w:rsidP="00BC105C">
      <w:pPr>
        <w:pStyle w:val="IRPfooter"/>
        <w:rPr>
          <w:sz w:val="18"/>
          <w:szCs w:val="18"/>
        </w:rPr>
      </w:pPr>
      <w:r w:rsidRPr="00E4005F">
        <w:rPr>
          <w:sz w:val="18"/>
          <w:szCs w:val="18"/>
        </w:rPr>
        <w:t>2 / Due to naturally occurring ash deposits, some of the soil in the area is susceptible to collapse when initially saturated with groundwater, such as when Castle Lake was filled to serve as the facility’s water reservoir and town’s drinking water supply. These 2003 claims were repeat claims of earlier lawsuits in the 1990s that also addressed construction methods (although the collapse potential was known, it was alleged that houses were not constructed with appropriate foundations, etc.).</w:t>
      </w:r>
    </w:p>
    <w:p w14:paraId="038BB203" w14:textId="77777777" w:rsidR="001271CC" w:rsidRDefault="001271CC" w:rsidP="004A6361">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AA601" w14:textId="77777777" w:rsidR="00DC7290" w:rsidRDefault="00DC72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747FC" w14:textId="77777777" w:rsidR="001271CC" w:rsidRDefault="001271CC">
    <w:pPr>
      <w:pStyle w:val="Header"/>
    </w:pPr>
    <w:r>
      <w:rPr>
        <w:noProof/>
        <w:lang w:eastAsia="en-US"/>
      </w:rPr>
      <w:drawing>
        <wp:inline distT="0" distB="0" distL="0" distR="0" wp14:anchorId="12D3514D" wp14:editId="4FE2A414">
          <wp:extent cx="54864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dktealgrey.png"/>
                  <pic:cNvPicPr/>
                </pic:nvPicPr>
                <pic:blipFill>
                  <a:blip r:embed="rId1">
                    <a:extLst>
                      <a:ext uri="{28A0092B-C50C-407E-A947-70E740481C1C}">
                        <a14:useLocalDpi xmlns:a14="http://schemas.microsoft.com/office/drawing/2010/main" val="0"/>
                      </a:ext>
                    </a:extLst>
                  </a:blip>
                  <a:stretch>
                    <a:fillRect/>
                  </a:stretch>
                </pic:blipFill>
                <pic:spPr>
                  <a:xfrm>
                    <a:off x="0" y="0"/>
                    <a:ext cx="5486400" cy="438150"/>
                  </a:xfrm>
                  <a:prstGeom prst="rect">
                    <a:avLst/>
                  </a:prstGeom>
                </pic:spPr>
              </pic:pic>
            </a:graphicData>
          </a:graphic>
        </wp:inline>
      </w:drawing>
    </w:r>
    <w:r w:rsidR="00CD5298">
      <w:rPr>
        <w:noProof/>
        <w:lang w:eastAsia="en-US"/>
      </w:rPr>
      <mc:AlternateContent>
        <mc:Choice Requires="wps">
          <w:drawing>
            <wp:anchor distT="0" distB="0" distL="114300" distR="114300" simplePos="0" relativeHeight="251659264" behindDoc="0" locked="0" layoutInCell="1" allowOverlap="1" wp14:anchorId="44BD7A71" wp14:editId="340F1F76">
              <wp:simplePos x="0" y="0"/>
              <wp:positionH relativeFrom="column">
                <wp:posOffset>51435</wp:posOffset>
              </wp:positionH>
              <wp:positionV relativeFrom="paragraph">
                <wp:posOffset>2540</wp:posOffset>
              </wp:positionV>
              <wp:extent cx="4343400" cy="457200"/>
              <wp:effectExtent l="0" t="0" r="0" b="0"/>
              <wp:wrapThrough wrapText="bothSides">
                <wp:wrapPolygon edited="0">
                  <wp:start x="126" y="1200"/>
                  <wp:lineTo x="126" y="19200"/>
                  <wp:lineTo x="21347" y="19200"/>
                  <wp:lineTo x="21347" y="1200"/>
                  <wp:lineTo x="126" y="1200"/>
                </wp:wrapPolygon>
              </wp:wrapThrough>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B1680" w14:textId="77777777" w:rsidR="001271CC" w:rsidRPr="00C15534" w:rsidRDefault="001271CC" w:rsidP="00C15534">
                          <w:pPr>
                            <w:pStyle w:val="irpsubsanstext16"/>
                            <w:spacing w:line="480" w:lineRule="auto"/>
                          </w:pPr>
                          <w:r>
                            <w:t>Appendix K: Colstrip</w:t>
                          </w:r>
                        </w:p>
                        <w:p w14:paraId="22DAF70E" w14:textId="77777777" w:rsidR="001271CC" w:rsidRDefault="001271CC" w:rsidP="00C15534">
                          <w:pPr>
                            <w:spacing w:line="480" w:lineRule="auto"/>
                          </w:pPr>
                        </w:p>
                        <w:p w14:paraId="4544A3A9" w14:textId="77777777" w:rsidR="001271CC" w:rsidRPr="00C15534" w:rsidRDefault="001271CC" w:rsidP="00C15534">
                          <w:pPr>
                            <w:spacing w:line="480" w:lineRule="auto"/>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4.05pt;margin-top:.2pt;width:3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" filled="f" stroked="f">
              <v:textbox inset=",7.2pt,,7.2pt">
                <w:txbxContent>
                  <w:p w14:paraId="113B1680" w14:textId="77777777" w:rsidR="001271CC" w:rsidRPr="00C15534" w:rsidRDefault="001271CC" w:rsidP="00C15534">
                    <w:pPr>
                      <w:pStyle w:val="irpsubsanstext16"/>
                      <w:spacing w:line="480" w:lineRule="auto"/>
                    </w:pPr>
                    <w:r>
                      <w:t>Appendix K: Colstrip</w:t>
                    </w:r>
                  </w:p>
                  <w:p w14:paraId="22DAF70E" w14:textId="77777777" w:rsidR="001271CC" w:rsidRDefault="001271CC" w:rsidP="00C15534">
                    <w:pPr>
                      <w:spacing w:line="480" w:lineRule="auto"/>
                    </w:pPr>
                  </w:p>
                  <w:p w14:paraId="4544A3A9" w14:textId="77777777" w:rsidR="001271CC" w:rsidRPr="00C15534" w:rsidRDefault="001271CC" w:rsidP="00C15534">
                    <w:pPr>
                      <w:spacing w:line="480" w:lineRule="auto"/>
                    </w:pPr>
                  </w:p>
                </w:txbxContent>
              </v:textbox>
              <w10:wrap type="through"/>
            </v:shape>
          </w:pict>
        </mc:Fallback>
      </mc:AlternateContent>
    </w:r>
  </w:p>
  <w:p w14:paraId="6461689C" w14:textId="77777777" w:rsidR="00CD5298" w:rsidRPr="00CD5298" w:rsidRDefault="00CD5298">
    <w:pPr>
      <w:pStyle w:val="Header"/>
      <w:rPr>
        <w:sz w:val="32"/>
        <w:szCs w:val="32"/>
      </w:rPr>
    </w:pPr>
    <w:bookmarkStart w:id="1" w:name="_GoBack"/>
    <w:bookmarkEnd w:id="1"/>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988A5" w14:textId="77777777" w:rsidR="00DC7290" w:rsidRDefault="00DC72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96D1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CC0AE3C"/>
    <w:lvl w:ilvl="0">
      <w:start w:val="1"/>
      <w:numFmt w:val="decimal"/>
      <w:lvlText w:val="%1."/>
      <w:lvlJc w:val="left"/>
      <w:pPr>
        <w:tabs>
          <w:tab w:val="num" w:pos="1800"/>
        </w:tabs>
        <w:ind w:left="1800" w:hanging="360"/>
      </w:pPr>
    </w:lvl>
  </w:abstractNum>
  <w:abstractNum w:abstractNumId="2">
    <w:nsid w:val="FFFFFF7D"/>
    <w:multiLevelType w:val="singleLevel"/>
    <w:tmpl w:val="436A9B26"/>
    <w:lvl w:ilvl="0">
      <w:start w:val="1"/>
      <w:numFmt w:val="decimal"/>
      <w:lvlText w:val="%1."/>
      <w:lvlJc w:val="left"/>
      <w:pPr>
        <w:tabs>
          <w:tab w:val="num" w:pos="1440"/>
        </w:tabs>
        <w:ind w:left="1440" w:hanging="360"/>
      </w:pPr>
    </w:lvl>
  </w:abstractNum>
  <w:abstractNum w:abstractNumId="3">
    <w:nsid w:val="FFFFFF7E"/>
    <w:multiLevelType w:val="singleLevel"/>
    <w:tmpl w:val="9F46B64A"/>
    <w:lvl w:ilvl="0">
      <w:start w:val="1"/>
      <w:numFmt w:val="decimal"/>
      <w:lvlText w:val="%1."/>
      <w:lvlJc w:val="left"/>
      <w:pPr>
        <w:tabs>
          <w:tab w:val="num" w:pos="1080"/>
        </w:tabs>
        <w:ind w:left="1080" w:hanging="360"/>
      </w:pPr>
    </w:lvl>
  </w:abstractNum>
  <w:abstractNum w:abstractNumId="4">
    <w:nsid w:val="FFFFFF7F"/>
    <w:multiLevelType w:val="singleLevel"/>
    <w:tmpl w:val="DBF4B184"/>
    <w:lvl w:ilvl="0">
      <w:start w:val="1"/>
      <w:numFmt w:val="decimal"/>
      <w:lvlText w:val="%1."/>
      <w:lvlJc w:val="left"/>
      <w:pPr>
        <w:tabs>
          <w:tab w:val="num" w:pos="720"/>
        </w:tabs>
        <w:ind w:left="720" w:hanging="360"/>
      </w:pPr>
    </w:lvl>
  </w:abstractNum>
  <w:abstractNum w:abstractNumId="5">
    <w:nsid w:val="FFFFFF80"/>
    <w:multiLevelType w:val="singleLevel"/>
    <w:tmpl w:val="FBA6C7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9D265A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594DB4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E2C87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696414E"/>
    <w:lvl w:ilvl="0">
      <w:start w:val="1"/>
      <w:numFmt w:val="decimal"/>
      <w:lvlText w:val="%1."/>
      <w:lvlJc w:val="left"/>
      <w:pPr>
        <w:tabs>
          <w:tab w:val="num" w:pos="360"/>
        </w:tabs>
        <w:ind w:left="360" w:hanging="360"/>
      </w:pPr>
    </w:lvl>
  </w:abstractNum>
  <w:abstractNum w:abstractNumId="10">
    <w:nsid w:val="FFFFFF89"/>
    <w:multiLevelType w:val="singleLevel"/>
    <w:tmpl w:val="85E88A92"/>
    <w:lvl w:ilvl="0">
      <w:start w:val="1"/>
      <w:numFmt w:val="bullet"/>
      <w:lvlText w:val=""/>
      <w:lvlJc w:val="left"/>
      <w:pPr>
        <w:tabs>
          <w:tab w:val="num" w:pos="360"/>
        </w:tabs>
        <w:ind w:left="360" w:hanging="360"/>
      </w:pPr>
      <w:rPr>
        <w:rFonts w:ascii="Symbol" w:hAnsi="Symbol" w:hint="default"/>
      </w:rPr>
    </w:lvl>
  </w:abstractNum>
  <w:abstractNum w:abstractNumId="11">
    <w:nsid w:val="00D35C2C"/>
    <w:multiLevelType w:val="hybridMultilevel"/>
    <w:tmpl w:val="594E98D6"/>
    <w:lvl w:ilvl="0" w:tplc="4AD08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31B4138"/>
    <w:multiLevelType w:val="hybridMultilevel"/>
    <w:tmpl w:val="63F4FA06"/>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12C71B57"/>
    <w:multiLevelType w:val="hybridMultilevel"/>
    <w:tmpl w:val="23F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BE1BDD"/>
    <w:multiLevelType w:val="hybridMultilevel"/>
    <w:tmpl w:val="5382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E419CD"/>
    <w:multiLevelType w:val="hybridMultilevel"/>
    <w:tmpl w:val="F8EAB05A"/>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6B1669"/>
    <w:multiLevelType w:val="hybridMultilevel"/>
    <w:tmpl w:val="023E57D8"/>
    <w:lvl w:ilvl="0" w:tplc="C65ACF4A">
      <w:start w:val="1"/>
      <w:numFmt w:val="bullet"/>
      <w:pStyle w:val="IRP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7">
    <w:nsid w:val="2CC6680E"/>
    <w:multiLevelType w:val="hybridMultilevel"/>
    <w:tmpl w:val="3B90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E3713E"/>
    <w:multiLevelType w:val="hybridMultilevel"/>
    <w:tmpl w:val="66B6DFDA"/>
    <w:lvl w:ilvl="0" w:tplc="3FA2A3C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620F41"/>
    <w:multiLevelType w:val="hybridMultilevel"/>
    <w:tmpl w:val="D4EA8DD2"/>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5D816406"/>
    <w:multiLevelType w:val="hybridMultilevel"/>
    <w:tmpl w:val="E75C4CFE"/>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nsid w:val="61CC1183"/>
    <w:multiLevelType w:val="hybridMultilevel"/>
    <w:tmpl w:val="E4D42896"/>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B6340D"/>
    <w:multiLevelType w:val="hybridMultilevel"/>
    <w:tmpl w:val="048E148A"/>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6D855739"/>
    <w:multiLevelType w:val="hybridMultilevel"/>
    <w:tmpl w:val="C21A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3E46DC"/>
    <w:multiLevelType w:val="hybridMultilevel"/>
    <w:tmpl w:val="55343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487382"/>
    <w:multiLevelType w:val="hybridMultilevel"/>
    <w:tmpl w:val="23F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D62718"/>
    <w:multiLevelType w:val="hybridMultilevel"/>
    <w:tmpl w:val="FE8E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3526EF"/>
    <w:multiLevelType w:val="hybridMultilevel"/>
    <w:tmpl w:val="B64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0"/>
  </w:num>
  <w:num w:numId="4">
    <w:abstractNumId w:val="19"/>
  </w:num>
  <w:num w:numId="5">
    <w:abstractNumId w:val="25"/>
  </w:num>
  <w:num w:numId="6">
    <w:abstractNumId w:val="12"/>
  </w:num>
  <w:num w:numId="7">
    <w:abstractNumId w:val="22"/>
  </w:num>
  <w:num w:numId="8">
    <w:abstractNumId w:val="27"/>
  </w:num>
  <w:num w:numId="9">
    <w:abstractNumId w:val="23"/>
  </w:num>
  <w:num w:numId="10">
    <w:abstractNumId w:val="21"/>
  </w:num>
  <w:num w:numId="11">
    <w:abstractNumId w:val="13"/>
  </w:num>
  <w:num w:numId="12">
    <w:abstractNumId w:val="11"/>
  </w:num>
  <w:num w:numId="13">
    <w:abstractNumId w:val="17"/>
  </w:num>
  <w:num w:numId="14">
    <w:abstractNumId w:val="18"/>
  </w:num>
  <w:num w:numId="15">
    <w:abstractNumId w:val="15"/>
  </w:num>
  <w:num w:numId="16">
    <w:abstractNumId w:val="24"/>
  </w:num>
  <w:num w:numId="17">
    <w:abstractNumId w:val="26"/>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72"/>
    <w:rsid w:val="00006A0C"/>
    <w:rsid w:val="00044CBE"/>
    <w:rsid w:val="00045148"/>
    <w:rsid w:val="0004560C"/>
    <w:rsid w:val="00076770"/>
    <w:rsid w:val="00083597"/>
    <w:rsid w:val="0009155C"/>
    <w:rsid w:val="000B5E5E"/>
    <w:rsid w:val="000C3120"/>
    <w:rsid w:val="000E4936"/>
    <w:rsid w:val="00104CD7"/>
    <w:rsid w:val="00105BAF"/>
    <w:rsid w:val="0011773E"/>
    <w:rsid w:val="001177EC"/>
    <w:rsid w:val="00122021"/>
    <w:rsid w:val="001271CC"/>
    <w:rsid w:val="00132609"/>
    <w:rsid w:val="0014438C"/>
    <w:rsid w:val="001701CA"/>
    <w:rsid w:val="001772B1"/>
    <w:rsid w:val="001B5F2B"/>
    <w:rsid w:val="001D052C"/>
    <w:rsid w:val="001D628F"/>
    <w:rsid w:val="0020632A"/>
    <w:rsid w:val="00224FE9"/>
    <w:rsid w:val="00232526"/>
    <w:rsid w:val="00234579"/>
    <w:rsid w:val="00242095"/>
    <w:rsid w:val="00255AA2"/>
    <w:rsid w:val="00261F11"/>
    <w:rsid w:val="00291C2E"/>
    <w:rsid w:val="00293A4E"/>
    <w:rsid w:val="002C1ECE"/>
    <w:rsid w:val="002F77B4"/>
    <w:rsid w:val="0030188C"/>
    <w:rsid w:val="003714F7"/>
    <w:rsid w:val="00382146"/>
    <w:rsid w:val="00392250"/>
    <w:rsid w:val="003E0A9E"/>
    <w:rsid w:val="003E5E14"/>
    <w:rsid w:val="0043547A"/>
    <w:rsid w:val="00440047"/>
    <w:rsid w:val="0044601D"/>
    <w:rsid w:val="0045045D"/>
    <w:rsid w:val="00454C32"/>
    <w:rsid w:val="004A6361"/>
    <w:rsid w:val="004D4FE0"/>
    <w:rsid w:val="004F1E5A"/>
    <w:rsid w:val="00517CF2"/>
    <w:rsid w:val="00521E04"/>
    <w:rsid w:val="00525E4A"/>
    <w:rsid w:val="00527D60"/>
    <w:rsid w:val="00555205"/>
    <w:rsid w:val="00571E09"/>
    <w:rsid w:val="005C1A58"/>
    <w:rsid w:val="005D07CB"/>
    <w:rsid w:val="005F721A"/>
    <w:rsid w:val="00600283"/>
    <w:rsid w:val="00601E72"/>
    <w:rsid w:val="0063113C"/>
    <w:rsid w:val="0064774D"/>
    <w:rsid w:val="006747FB"/>
    <w:rsid w:val="00681421"/>
    <w:rsid w:val="00694DA4"/>
    <w:rsid w:val="00700484"/>
    <w:rsid w:val="007247D3"/>
    <w:rsid w:val="007703DB"/>
    <w:rsid w:val="00776977"/>
    <w:rsid w:val="00785A65"/>
    <w:rsid w:val="007B70ED"/>
    <w:rsid w:val="007B77F0"/>
    <w:rsid w:val="007C12A6"/>
    <w:rsid w:val="007C4304"/>
    <w:rsid w:val="007E49E8"/>
    <w:rsid w:val="00833BEA"/>
    <w:rsid w:val="008507B6"/>
    <w:rsid w:val="00862C62"/>
    <w:rsid w:val="00890504"/>
    <w:rsid w:val="00890FDA"/>
    <w:rsid w:val="0089210A"/>
    <w:rsid w:val="008A1F87"/>
    <w:rsid w:val="008B338F"/>
    <w:rsid w:val="008D0E9F"/>
    <w:rsid w:val="008D302A"/>
    <w:rsid w:val="008D524C"/>
    <w:rsid w:val="008F00A7"/>
    <w:rsid w:val="009179E5"/>
    <w:rsid w:val="00932A4D"/>
    <w:rsid w:val="0097287B"/>
    <w:rsid w:val="009B09D3"/>
    <w:rsid w:val="009B66A7"/>
    <w:rsid w:val="009D009B"/>
    <w:rsid w:val="009F7AD8"/>
    <w:rsid w:val="00A11C39"/>
    <w:rsid w:val="00A157B1"/>
    <w:rsid w:val="00A42BDB"/>
    <w:rsid w:val="00A47D61"/>
    <w:rsid w:val="00AB478F"/>
    <w:rsid w:val="00AE5F37"/>
    <w:rsid w:val="00AF5574"/>
    <w:rsid w:val="00B04CAF"/>
    <w:rsid w:val="00B12366"/>
    <w:rsid w:val="00B20679"/>
    <w:rsid w:val="00B602AB"/>
    <w:rsid w:val="00B72944"/>
    <w:rsid w:val="00B82F6C"/>
    <w:rsid w:val="00BB606C"/>
    <w:rsid w:val="00BC105C"/>
    <w:rsid w:val="00BF45F8"/>
    <w:rsid w:val="00BF46A9"/>
    <w:rsid w:val="00C12FBA"/>
    <w:rsid w:val="00C15534"/>
    <w:rsid w:val="00C620AE"/>
    <w:rsid w:val="00C63386"/>
    <w:rsid w:val="00C93084"/>
    <w:rsid w:val="00CC1B07"/>
    <w:rsid w:val="00CD5298"/>
    <w:rsid w:val="00CE2F5B"/>
    <w:rsid w:val="00D24C84"/>
    <w:rsid w:val="00D91A6D"/>
    <w:rsid w:val="00DA4F09"/>
    <w:rsid w:val="00DC7290"/>
    <w:rsid w:val="00DF4E36"/>
    <w:rsid w:val="00E15C15"/>
    <w:rsid w:val="00E16024"/>
    <w:rsid w:val="00E23051"/>
    <w:rsid w:val="00E4005F"/>
    <w:rsid w:val="00E573B5"/>
    <w:rsid w:val="00E70EA4"/>
    <w:rsid w:val="00E87BB5"/>
    <w:rsid w:val="00E976FB"/>
    <w:rsid w:val="00E97EB7"/>
    <w:rsid w:val="00EC049C"/>
    <w:rsid w:val="00ED056D"/>
    <w:rsid w:val="00F133C9"/>
    <w:rsid w:val="00F35EE8"/>
    <w:rsid w:val="00F563A8"/>
    <w:rsid w:val="00FC2D8A"/>
    <w:rsid w:val="00FF1B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6DE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601E72"/>
    <w:rPr>
      <w:rFonts w:eastAsia="MS Mincho"/>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1337BF"/>
    <w:rPr>
      <w:rFonts w:ascii="Lucida Grande" w:hAnsi="Lucida Grande" w:cs="Lucida Grande"/>
      <w:sz w:val="18"/>
      <w:szCs w:val="18"/>
    </w:rPr>
  </w:style>
  <w:style w:type="character" w:customStyle="1" w:styleId="BalloonTextChar0">
    <w:name w:val="Balloon Text Char"/>
    <w:basedOn w:val="DefaultParagraphFont"/>
    <w:uiPriority w:val="99"/>
    <w:semiHidden/>
    <w:rsid w:val="001337BF"/>
    <w:rPr>
      <w:rFonts w:ascii="Lucida Grande" w:hAnsi="Lucida Grande" w:cs="Lucida Grande"/>
      <w:sz w:val="18"/>
      <w:szCs w:val="18"/>
    </w:rPr>
  </w:style>
  <w:style w:type="character" w:customStyle="1" w:styleId="BalloonTextChar2">
    <w:name w:val="Balloon Text Char"/>
    <w:basedOn w:val="DefaultParagraphFont"/>
    <w:uiPriority w:val="99"/>
    <w:semiHidden/>
    <w:rsid w:val="00E73382"/>
    <w:rPr>
      <w:rFonts w:ascii="Lucida Grande" w:hAnsi="Lucida Grande"/>
      <w:sz w:val="18"/>
      <w:szCs w:val="18"/>
    </w:rPr>
  </w:style>
  <w:style w:type="character" w:customStyle="1" w:styleId="BalloonTextChar3">
    <w:name w:val="Balloon Text Char"/>
    <w:basedOn w:val="DefaultParagraphFont"/>
    <w:uiPriority w:val="99"/>
    <w:semiHidden/>
    <w:rsid w:val="00E73382"/>
    <w:rPr>
      <w:rFonts w:ascii="Lucida Grande" w:hAnsi="Lucida Grande"/>
      <w:sz w:val="18"/>
      <w:szCs w:val="18"/>
    </w:rPr>
  </w:style>
  <w:style w:type="character" w:customStyle="1" w:styleId="BalloonTextChar4">
    <w:name w:val="Balloon Text Char"/>
    <w:basedOn w:val="DefaultParagraphFont"/>
    <w:uiPriority w:val="99"/>
    <w:semiHidden/>
    <w:rsid w:val="00E73382"/>
    <w:rPr>
      <w:rFonts w:ascii="Lucida Grande" w:hAnsi="Lucida Grande"/>
      <w:sz w:val="18"/>
      <w:szCs w:val="18"/>
    </w:rPr>
  </w:style>
  <w:style w:type="character" w:customStyle="1" w:styleId="BalloonTextChar5">
    <w:name w:val="Balloon Text Char"/>
    <w:basedOn w:val="DefaultParagraphFont"/>
    <w:uiPriority w:val="99"/>
    <w:semiHidden/>
    <w:rsid w:val="00E73382"/>
    <w:rPr>
      <w:rFonts w:ascii="Lucida Grande" w:hAnsi="Lucida Grande"/>
      <w:sz w:val="18"/>
      <w:szCs w:val="18"/>
    </w:rPr>
  </w:style>
  <w:style w:type="paragraph" w:customStyle="1" w:styleId="IRPsanstext">
    <w:name w:val="IRPsanstext"/>
    <w:basedOn w:val="Normal"/>
    <w:link w:val="IRPsanstextChar1"/>
    <w:uiPriority w:val="99"/>
    <w:rsid w:val="00601E72"/>
    <w:pPr>
      <w:spacing w:line="320" w:lineRule="exact"/>
    </w:pPr>
    <w:rPr>
      <w:rFonts w:ascii="Arial"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character" w:customStyle="1" w:styleId="IRPsanstextChar1">
    <w:name w:val="IRPsanstext Char1"/>
    <w:link w:val="IRPsanstext"/>
    <w:uiPriority w:val="99"/>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09155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uiPriority w:val="99"/>
    <w:qFormat/>
    <w:rsid w:val="005D07CB"/>
    <w:pPr>
      <w:spacing w:after="120"/>
      <w:jc w:val="center"/>
    </w:pPr>
    <w:rPr>
      <w:i/>
      <w:szCs w:val="22"/>
    </w:rPr>
  </w:style>
  <w:style w:type="character" w:customStyle="1" w:styleId="IRPFigureSubChar">
    <w:name w:val="IRPFigureSub Char"/>
    <w:link w:val="IRPFigureSub"/>
    <w:uiPriority w:val="99"/>
    <w:rsid w:val="005D07CB"/>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rPr>
  </w:style>
  <w:style w:type="paragraph" w:customStyle="1" w:styleId="IRPtitle">
    <w:name w:val="IRPtitle"/>
    <w:basedOn w:val="Normal"/>
    <w:uiPriority w:val="99"/>
    <w:rsid w:val="00B12366"/>
    <w:pPr>
      <w:ind w:left="576" w:hanging="576"/>
    </w:pPr>
    <w:rPr>
      <w:rFonts w:ascii="Palatino" w:hAnsi="Palatino"/>
      <w:sz w:val="40"/>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1"/>
    <w:qFormat/>
    <w:rsid w:val="00890FDA"/>
    <w:pPr>
      <w:widowControl w:val="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F46A9"/>
    <w:rPr>
      <w:color w:val="0000FF" w:themeColor="hyperlink"/>
      <w:u w:val="single"/>
    </w:rPr>
  </w:style>
  <w:style w:type="character" w:styleId="FollowedHyperlink">
    <w:name w:val="FollowedHyperlink"/>
    <w:basedOn w:val="DefaultParagraphFont"/>
    <w:uiPriority w:val="99"/>
    <w:semiHidden/>
    <w:unhideWhenUsed/>
    <w:rsid w:val="00BB606C"/>
    <w:rPr>
      <w:color w:val="800080" w:themeColor="followedHyperlink"/>
      <w:u w:val="single"/>
    </w:rPr>
  </w:style>
  <w:style w:type="paragraph" w:customStyle="1" w:styleId="irpsanstext0">
    <w:name w:val="irpsanstext"/>
    <w:basedOn w:val="Normal"/>
    <w:rsid w:val="003714F7"/>
    <w:pPr>
      <w:spacing w:before="100" w:beforeAutospacing="1" w:after="100" w:afterAutospacing="1"/>
    </w:pPr>
    <w:rPr>
      <w:rFonts w:eastAsiaTheme="minorHAns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601E72"/>
    <w:rPr>
      <w:rFonts w:eastAsia="MS Mincho"/>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1337BF"/>
    <w:rPr>
      <w:rFonts w:ascii="Lucida Grande" w:hAnsi="Lucida Grande" w:cs="Lucida Grande"/>
      <w:sz w:val="18"/>
      <w:szCs w:val="18"/>
    </w:rPr>
  </w:style>
  <w:style w:type="character" w:customStyle="1" w:styleId="BalloonTextChar0">
    <w:name w:val="Balloon Text Char"/>
    <w:basedOn w:val="DefaultParagraphFont"/>
    <w:uiPriority w:val="99"/>
    <w:semiHidden/>
    <w:rsid w:val="001337BF"/>
    <w:rPr>
      <w:rFonts w:ascii="Lucida Grande" w:hAnsi="Lucida Grande" w:cs="Lucida Grande"/>
      <w:sz w:val="18"/>
      <w:szCs w:val="18"/>
    </w:rPr>
  </w:style>
  <w:style w:type="character" w:customStyle="1" w:styleId="BalloonTextChar2">
    <w:name w:val="Balloon Text Char"/>
    <w:basedOn w:val="DefaultParagraphFont"/>
    <w:uiPriority w:val="99"/>
    <w:semiHidden/>
    <w:rsid w:val="00E73382"/>
    <w:rPr>
      <w:rFonts w:ascii="Lucida Grande" w:hAnsi="Lucida Grande"/>
      <w:sz w:val="18"/>
      <w:szCs w:val="18"/>
    </w:rPr>
  </w:style>
  <w:style w:type="character" w:customStyle="1" w:styleId="BalloonTextChar3">
    <w:name w:val="Balloon Text Char"/>
    <w:basedOn w:val="DefaultParagraphFont"/>
    <w:uiPriority w:val="99"/>
    <w:semiHidden/>
    <w:rsid w:val="00E73382"/>
    <w:rPr>
      <w:rFonts w:ascii="Lucida Grande" w:hAnsi="Lucida Grande"/>
      <w:sz w:val="18"/>
      <w:szCs w:val="18"/>
    </w:rPr>
  </w:style>
  <w:style w:type="character" w:customStyle="1" w:styleId="BalloonTextChar4">
    <w:name w:val="Balloon Text Char"/>
    <w:basedOn w:val="DefaultParagraphFont"/>
    <w:uiPriority w:val="99"/>
    <w:semiHidden/>
    <w:rsid w:val="00E73382"/>
    <w:rPr>
      <w:rFonts w:ascii="Lucida Grande" w:hAnsi="Lucida Grande"/>
      <w:sz w:val="18"/>
      <w:szCs w:val="18"/>
    </w:rPr>
  </w:style>
  <w:style w:type="character" w:customStyle="1" w:styleId="BalloonTextChar5">
    <w:name w:val="Balloon Text Char"/>
    <w:basedOn w:val="DefaultParagraphFont"/>
    <w:uiPriority w:val="99"/>
    <w:semiHidden/>
    <w:rsid w:val="00E73382"/>
    <w:rPr>
      <w:rFonts w:ascii="Lucida Grande" w:hAnsi="Lucida Grande"/>
      <w:sz w:val="18"/>
      <w:szCs w:val="18"/>
    </w:rPr>
  </w:style>
  <w:style w:type="paragraph" w:customStyle="1" w:styleId="IRPsanstext">
    <w:name w:val="IRPsanstext"/>
    <w:basedOn w:val="Normal"/>
    <w:link w:val="IRPsanstextChar1"/>
    <w:uiPriority w:val="99"/>
    <w:rsid w:val="00601E72"/>
    <w:pPr>
      <w:spacing w:line="320" w:lineRule="exact"/>
    </w:pPr>
    <w:rPr>
      <w:rFonts w:ascii="Arial"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character" w:customStyle="1" w:styleId="IRPsanstextChar1">
    <w:name w:val="IRPsanstext Char1"/>
    <w:link w:val="IRPsanstext"/>
    <w:uiPriority w:val="99"/>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09155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uiPriority w:val="99"/>
    <w:qFormat/>
    <w:rsid w:val="005D07CB"/>
    <w:pPr>
      <w:spacing w:after="120"/>
      <w:jc w:val="center"/>
    </w:pPr>
    <w:rPr>
      <w:i/>
      <w:szCs w:val="22"/>
    </w:rPr>
  </w:style>
  <w:style w:type="character" w:customStyle="1" w:styleId="IRPFigureSubChar">
    <w:name w:val="IRPFigureSub Char"/>
    <w:link w:val="IRPFigureSub"/>
    <w:uiPriority w:val="99"/>
    <w:rsid w:val="005D07CB"/>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rPr>
  </w:style>
  <w:style w:type="paragraph" w:customStyle="1" w:styleId="IRPtitle">
    <w:name w:val="IRPtitle"/>
    <w:basedOn w:val="Normal"/>
    <w:uiPriority w:val="99"/>
    <w:rsid w:val="00B12366"/>
    <w:pPr>
      <w:ind w:left="576" w:hanging="576"/>
    </w:pPr>
    <w:rPr>
      <w:rFonts w:ascii="Palatino" w:hAnsi="Palatino"/>
      <w:sz w:val="40"/>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1"/>
    <w:qFormat/>
    <w:rsid w:val="00890FDA"/>
    <w:pPr>
      <w:widowControl w:val="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F46A9"/>
    <w:rPr>
      <w:color w:val="0000FF" w:themeColor="hyperlink"/>
      <w:u w:val="single"/>
    </w:rPr>
  </w:style>
  <w:style w:type="character" w:styleId="FollowedHyperlink">
    <w:name w:val="FollowedHyperlink"/>
    <w:basedOn w:val="DefaultParagraphFont"/>
    <w:uiPriority w:val="99"/>
    <w:semiHidden/>
    <w:unhideWhenUsed/>
    <w:rsid w:val="00BB606C"/>
    <w:rPr>
      <w:color w:val="800080" w:themeColor="followedHyperlink"/>
      <w:u w:val="single"/>
    </w:rPr>
  </w:style>
  <w:style w:type="paragraph" w:customStyle="1" w:styleId="irpsanstext0">
    <w:name w:val="irpsanstext"/>
    <w:basedOn w:val="Normal"/>
    <w:rsid w:val="003714F7"/>
    <w:pPr>
      <w:spacing w:before="100" w:beforeAutospacing="1" w:after="100" w:afterAutospacing="1"/>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94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styles" Target="styles.xml"/><Relationship Id="rId20"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epa.gov/air/criteria.html" TargetMode="External"/><Relationship Id="rId19" Type="http://schemas.openxmlformats.org/officeDocument/2006/relationships/customXml" Target="../customXml/item1.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pa.gov/mats/actions.html" TargetMode="Externa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370982D-188C-440D-8299-F09735A80914}"/>
</file>

<file path=customXml/itemProps2.xml><?xml version="1.0" encoding="utf-8"?>
<ds:datastoreItem xmlns:ds="http://schemas.openxmlformats.org/officeDocument/2006/customXml" ds:itemID="{CEA3D26E-3058-4E71-B5E7-561593334515}"/>
</file>

<file path=customXml/itemProps3.xml><?xml version="1.0" encoding="utf-8"?>
<ds:datastoreItem xmlns:ds="http://schemas.openxmlformats.org/officeDocument/2006/customXml" ds:itemID="{9E0F34B4-BBDF-4AC9-90CF-C1589FF60817}"/>
</file>

<file path=customXml/itemProps4.xml><?xml version="1.0" encoding="utf-8"?>
<ds:datastoreItem xmlns:ds="http://schemas.openxmlformats.org/officeDocument/2006/customXml" ds:itemID="{08BE1DCC-4104-4734-8C87-D85C14794DFE}"/>
</file>

<file path=docProps/app.xml><?xml version="1.0" encoding="utf-8"?>
<Properties xmlns="http://schemas.openxmlformats.org/officeDocument/2006/extended-properties" xmlns:vt="http://schemas.openxmlformats.org/officeDocument/2006/docPropsVTypes">
  <Template>Normal.dotm</Template>
  <TotalTime>0</TotalTime>
  <Pages>18</Pages>
  <Words>4411</Words>
  <Characters>25146</Characters>
  <Application>Microsoft Macintosh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 User</dc:creator>
  <cp:lastModifiedBy>Ann Rhodes</cp:lastModifiedBy>
  <cp:revision>2</cp:revision>
  <cp:lastPrinted>2015-10-29T13:51:00Z</cp:lastPrinted>
  <dcterms:created xsi:type="dcterms:W3CDTF">2015-10-29T18:38:00Z</dcterms:created>
  <dcterms:modified xsi:type="dcterms:W3CDTF">2015-10-29T18:38:00Z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