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E54726"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7EA08B74" wp14:editId="7012E46A">
                <wp:simplePos x="0" y="0"/>
                <wp:positionH relativeFrom="column">
                  <wp:posOffset>6381750</wp:posOffset>
                </wp:positionH>
                <wp:positionV relativeFrom="paragraph">
                  <wp:posOffset>-1239520</wp:posOffset>
                </wp:positionV>
                <wp:extent cx="0" cy="8924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892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97.6pt" to="502.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" strokecolor="black [3213]"/>
            </w:pict>
          </mc:Fallback>
        </mc:AlternateContent>
      </w:r>
      <w:r>
        <w:rPr>
          <w:noProof/>
          <w:u w:val="single"/>
          <w:lang w:eastAsia="en-US"/>
        </w:rPr>
        <mc:AlternateContent>
          <mc:Choice Requires="wps">
            <w:drawing>
              <wp:anchor distT="0" distB="0" distL="114300" distR="114300" simplePos="0" relativeHeight="251662336" behindDoc="0" locked="0" layoutInCell="1" allowOverlap="1" wp14:anchorId="3176FEF3" wp14:editId="3D1F8E3D">
                <wp:simplePos x="0" y="0"/>
                <wp:positionH relativeFrom="column">
                  <wp:posOffset>6200775</wp:posOffset>
                </wp:positionH>
                <wp:positionV relativeFrom="paragraph">
                  <wp:posOffset>-1572895</wp:posOffset>
                </wp:positionV>
                <wp:extent cx="838200" cy="977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977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8.25pt;margin-top:-123.85pt;width:66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9yew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" filled="f" stroked="f" strokeweight=".5pt">
                <v:textbo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v:textbox>
              </v:shape>
            </w:pict>
          </mc:Fallback>
        </mc:AlternateContent>
      </w:r>
    </w:p>
    <w:p w:rsidR="00F8111D" w:rsidRPr="003761BF" w:rsidRDefault="00F8111D" w:rsidP="00F8111D">
      <w:pPr>
        <w:jc w:val="both"/>
        <w:rPr>
          <w:rFonts w:ascii="Arial" w:hAnsi="Arial" w:cs="Arial"/>
          <w:b/>
          <w:sz w:val="20"/>
          <w:u w:val="single"/>
        </w:rPr>
      </w:pPr>
      <w:r w:rsidRPr="003761BF">
        <w:rPr>
          <w:rFonts w:ascii="Arial" w:hAnsi="Arial" w:cs="Arial"/>
          <w:b/>
          <w:sz w:val="20"/>
          <w:u w:val="single"/>
        </w:rPr>
        <w:t xml:space="preserve">D.  </w:t>
      </w:r>
      <w:r>
        <w:rPr>
          <w:rFonts w:ascii="Arial" w:hAnsi="Arial" w:cs="Arial"/>
          <w:b/>
          <w:sz w:val="20"/>
          <w:u w:val="single"/>
        </w:rPr>
        <w:t>General Conditions:</w:t>
      </w:r>
      <w:r w:rsidRPr="003761BF">
        <w:rPr>
          <w:rFonts w:ascii="Arial" w:hAnsi="Arial" w:cs="Arial"/>
          <w:b/>
          <w:sz w:val="20"/>
          <w:u w:val="single"/>
        </w:rPr>
        <w:t xml:space="preserve"> </w:t>
      </w:r>
      <w:r>
        <w:rPr>
          <w:rFonts w:ascii="Arial" w:hAnsi="Arial" w:cs="Arial"/>
          <w:b/>
          <w:sz w:val="20"/>
          <w:u w:val="single"/>
        </w:rPr>
        <w:t xml:space="preserve"> </w:t>
      </w:r>
      <w:r w:rsidRPr="00E100BD">
        <w:rPr>
          <w:rFonts w:ascii="Arial" w:hAnsi="Arial" w:cs="Arial"/>
          <w:sz w:val="20"/>
        </w:rPr>
        <w:t xml:space="preserve">(continued) </w:t>
      </w:r>
    </w:p>
    <w:p w:rsidR="00F8111D" w:rsidRPr="00C72D5F" w:rsidRDefault="00F8111D" w:rsidP="00F8111D">
      <w:pPr>
        <w:pStyle w:val="ListParagraph"/>
        <w:tabs>
          <w:tab w:val="left" w:pos="360"/>
        </w:tabs>
        <w:ind w:hanging="360"/>
        <w:jc w:val="both"/>
        <w:rPr>
          <w:rFonts w:ascii="Arial" w:hAnsi="Arial" w:cs="Arial"/>
          <w:sz w:val="20"/>
        </w:rPr>
      </w:pPr>
      <w:proofErr w:type="spellStart"/>
      <w:r w:rsidRPr="00C72D5F">
        <w:rPr>
          <w:rFonts w:ascii="Arial" w:hAnsi="Arial" w:cs="Arial"/>
          <w:sz w:val="20"/>
        </w:rPr>
        <w:t>i</w:t>
      </w:r>
      <w:proofErr w:type="spellEnd"/>
      <w:r w:rsidRPr="00C72D5F">
        <w:rPr>
          <w:rFonts w:ascii="Arial" w:hAnsi="Arial" w:cs="Arial"/>
          <w:sz w:val="20"/>
        </w:rPr>
        <w:t>)</w:t>
      </w:r>
      <w:r w:rsidRPr="00C72D5F">
        <w:rPr>
          <w:rFonts w:ascii="Arial" w:hAnsi="Arial" w:cs="Arial"/>
          <w:sz w:val="20"/>
        </w:rPr>
        <w:tab/>
      </w:r>
      <w:r>
        <w:rPr>
          <w:rFonts w:ascii="Arial" w:hAnsi="Arial" w:cs="Arial"/>
          <w:sz w:val="20"/>
        </w:rPr>
        <w:t>Disconnection (continued)</w:t>
      </w:r>
    </w:p>
    <w:p w:rsidR="006D08E2" w:rsidRPr="00A61BE9" w:rsidRDefault="00F8111D" w:rsidP="00F8111D">
      <w:pPr>
        <w:pStyle w:val="ListParagraph"/>
        <w:tabs>
          <w:tab w:val="left" w:pos="-450"/>
        </w:tabs>
        <w:ind w:left="1440" w:hanging="360"/>
        <w:jc w:val="both"/>
        <w:rPr>
          <w:rFonts w:ascii="Arial" w:hAnsi="Arial" w:cs="Arial"/>
          <w:b/>
          <w:sz w:val="20"/>
        </w:rPr>
      </w:pPr>
      <w:r>
        <w:rPr>
          <w:rFonts w:ascii="Arial" w:hAnsi="Arial" w:cs="Arial"/>
          <w:b/>
          <w:sz w:val="20"/>
        </w:rPr>
        <w:t>(ii</w:t>
      </w:r>
      <w:r w:rsidR="006D08E2">
        <w:rPr>
          <w:rFonts w:ascii="Arial" w:hAnsi="Arial" w:cs="Arial"/>
          <w:b/>
          <w:sz w:val="20"/>
        </w:rPr>
        <w:t>)</w:t>
      </w:r>
      <w:r w:rsidR="006D08E2">
        <w:rPr>
          <w:rFonts w:ascii="Arial" w:hAnsi="Arial" w:cs="Arial"/>
          <w:b/>
          <w:sz w:val="20"/>
        </w:rPr>
        <w:tab/>
        <w:t xml:space="preserve">Interconnection customer’s right to disconnect. </w:t>
      </w:r>
      <w:r w:rsidR="006D08E2">
        <w:rPr>
          <w:rFonts w:ascii="Arial" w:hAnsi="Arial" w:cs="Arial"/>
          <w:sz w:val="20"/>
        </w:rPr>
        <w:t>The interconnection customer may disconnect the generating facility at any time, provided that the interconnection customer provides reasonable advance notice to the Company.</w:t>
      </w:r>
    </w:p>
    <w:p w:rsidR="00C742EF" w:rsidRPr="00F8111D" w:rsidRDefault="00C742EF" w:rsidP="00E74A2C">
      <w:pPr>
        <w:pStyle w:val="ListParagraph"/>
        <w:tabs>
          <w:tab w:val="left" w:pos="-1170"/>
          <w:tab w:val="left" w:pos="360"/>
        </w:tabs>
        <w:ind w:left="360"/>
        <w:jc w:val="both"/>
        <w:rPr>
          <w:rFonts w:ascii="Arial" w:hAnsi="Arial" w:cs="Arial"/>
          <w:sz w:val="20"/>
        </w:rPr>
      </w:pPr>
    </w:p>
    <w:p w:rsidR="00234D36" w:rsidRPr="00F8111D" w:rsidRDefault="00F8111D" w:rsidP="00F8111D">
      <w:pPr>
        <w:pStyle w:val="ListParagraph"/>
        <w:ind w:hanging="360"/>
        <w:jc w:val="both"/>
        <w:rPr>
          <w:rFonts w:ascii="Arial" w:hAnsi="Arial" w:cs="Arial"/>
          <w:sz w:val="20"/>
        </w:rPr>
      </w:pPr>
      <w:r w:rsidRPr="00F8111D">
        <w:rPr>
          <w:rFonts w:ascii="Arial" w:hAnsi="Arial" w:cs="Arial"/>
          <w:sz w:val="20"/>
        </w:rPr>
        <w:t>j)</w:t>
      </w:r>
      <w:r w:rsidR="006D08E2" w:rsidRPr="00F8111D">
        <w:rPr>
          <w:rFonts w:ascii="Arial" w:hAnsi="Arial" w:cs="Arial"/>
          <w:sz w:val="20"/>
        </w:rPr>
        <w:tab/>
      </w:r>
      <w:r w:rsidR="00234D36" w:rsidRPr="00F8111D">
        <w:rPr>
          <w:rFonts w:ascii="Arial" w:hAnsi="Arial" w:cs="Arial"/>
          <w:sz w:val="20"/>
        </w:rPr>
        <w:t>To ensure reliable service to Company customers and to minimize possible problems for other customers, the Company may review the need for upgrade to its system, including a dedicated transformer. If the Company notifies the interconnection customer that upgrades are required before or at the time of application approval, the interconnection customer shall pay for all the costs of those upgrades, except where inconsistent with these rules.</w:t>
      </w:r>
    </w:p>
    <w:p w:rsidR="00234D36" w:rsidRPr="00F8111D" w:rsidRDefault="00234D36" w:rsidP="00F8111D">
      <w:pPr>
        <w:pStyle w:val="ListParagraph"/>
        <w:ind w:hanging="360"/>
        <w:jc w:val="both"/>
        <w:rPr>
          <w:rFonts w:ascii="Arial" w:hAnsi="Arial" w:cs="Arial"/>
          <w:sz w:val="20"/>
        </w:rPr>
      </w:pPr>
    </w:p>
    <w:p w:rsidR="00234D36" w:rsidRPr="00F8111D" w:rsidRDefault="00F8111D" w:rsidP="00F8111D">
      <w:pPr>
        <w:pStyle w:val="ListParagraph"/>
        <w:ind w:hanging="360"/>
        <w:jc w:val="both"/>
        <w:rPr>
          <w:rFonts w:ascii="Arial" w:hAnsi="Arial" w:cs="Arial"/>
          <w:sz w:val="20"/>
        </w:rPr>
      </w:pPr>
      <w:r w:rsidRPr="00F8111D">
        <w:rPr>
          <w:rFonts w:ascii="Arial" w:hAnsi="Arial" w:cs="Arial"/>
          <w:sz w:val="20"/>
        </w:rPr>
        <w:t>k)</w:t>
      </w:r>
      <w:r w:rsidR="006D08E2" w:rsidRPr="00F8111D">
        <w:rPr>
          <w:rFonts w:ascii="Arial" w:hAnsi="Arial" w:cs="Arial"/>
          <w:sz w:val="20"/>
        </w:rPr>
        <w:tab/>
      </w:r>
      <w:r w:rsidR="00234D36" w:rsidRPr="00F8111D">
        <w:rPr>
          <w:rFonts w:ascii="Arial" w:hAnsi="Arial" w:cs="Arial"/>
          <w:sz w:val="20"/>
        </w:rPr>
        <w:t>The Company may require, and if it so requires will provide its reasoning in writing, a transfer trip system or an equivalent protective function for a generating facility, that cannot: Detect distribution system faults (both line-to-line and line-to-ground) and clear such faults within time and operating parameters found in IEEE 1547 Tables 1 and 2; or detect the formation of an unintended island and cease to energize the electric system within two seconds.</w:t>
      </w:r>
    </w:p>
    <w:p w:rsidR="00234D36" w:rsidRPr="00F8111D" w:rsidRDefault="00234D36" w:rsidP="00F8111D">
      <w:pPr>
        <w:pStyle w:val="ListParagraph"/>
        <w:ind w:hanging="360"/>
        <w:jc w:val="both"/>
        <w:rPr>
          <w:rFonts w:ascii="Arial" w:hAnsi="Arial" w:cs="Arial"/>
          <w:sz w:val="20"/>
        </w:rPr>
      </w:pPr>
    </w:p>
    <w:p w:rsidR="00C742EF" w:rsidRPr="00480BEC" w:rsidRDefault="00F8111D" w:rsidP="00F8111D">
      <w:pPr>
        <w:pStyle w:val="ListParagraph"/>
        <w:ind w:hanging="360"/>
        <w:jc w:val="both"/>
        <w:rPr>
          <w:rFonts w:ascii="Arial" w:hAnsi="Arial" w:cs="Arial"/>
          <w:b/>
          <w:sz w:val="20"/>
        </w:rPr>
      </w:pPr>
      <w:r w:rsidRPr="00F8111D">
        <w:rPr>
          <w:rFonts w:ascii="Arial" w:hAnsi="Arial" w:cs="Arial"/>
          <w:sz w:val="20"/>
        </w:rPr>
        <w:t>l)</w:t>
      </w:r>
      <w:r w:rsidR="006D08E2" w:rsidRPr="00480BEC">
        <w:rPr>
          <w:rFonts w:ascii="Arial" w:hAnsi="Arial" w:cs="Arial"/>
          <w:b/>
          <w:sz w:val="20"/>
        </w:rPr>
        <w:tab/>
      </w:r>
      <w:r w:rsidR="00234D36" w:rsidRPr="00480BEC">
        <w:rPr>
          <w:rFonts w:ascii="Arial" w:hAnsi="Arial" w:cs="Arial"/>
          <w:b/>
          <w:sz w:val="20"/>
        </w:rPr>
        <w:t>Metering</w:t>
      </w:r>
    </w:p>
    <w:p w:rsidR="00234D36" w:rsidRDefault="00F8111D" w:rsidP="00F8111D">
      <w:pPr>
        <w:pStyle w:val="ListParagraph"/>
        <w:ind w:left="1440" w:hanging="360"/>
        <w:jc w:val="both"/>
        <w:rPr>
          <w:rFonts w:ascii="Arial" w:hAnsi="Arial" w:cs="Arial"/>
          <w:sz w:val="20"/>
        </w:rPr>
      </w:pPr>
      <w:r>
        <w:rPr>
          <w:rFonts w:ascii="Arial" w:hAnsi="Arial" w:cs="Arial"/>
          <w:sz w:val="20"/>
        </w:rPr>
        <w:t>(</w:t>
      </w:r>
      <w:proofErr w:type="spellStart"/>
      <w:proofErr w:type="gramStart"/>
      <w:r>
        <w:rPr>
          <w:rFonts w:ascii="Arial" w:hAnsi="Arial" w:cs="Arial"/>
          <w:sz w:val="20"/>
        </w:rPr>
        <w:t>i</w:t>
      </w:r>
      <w:proofErr w:type="spellEnd"/>
      <w:proofErr w:type="gramEnd"/>
      <w:r w:rsidR="006D08E2" w:rsidRPr="00480BEC">
        <w:rPr>
          <w:rFonts w:ascii="Arial" w:hAnsi="Arial" w:cs="Arial"/>
          <w:sz w:val="20"/>
        </w:rPr>
        <w:t>)</w:t>
      </w:r>
      <w:r w:rsidR="006D08E2" w:rsidRPr="00480BEC">
        <w:rPr>
          <w:rFonts w:ascii="Arial" w:hAnsi="Arial" w:cs="Arial"/>
          <w:sz w:val="20"/>
        </w:rPr>
        <w:tab/>
      </w:r>
      <w:r w:rsidR="00234D36">
        <w:rPr>
          <w:rFonts w:ascii="Arial" w:hAnsi="Arial" w:cs="Arial"/>
          <w:b/>
          <w:sz w:val="20"/>
        </w:rPr>
        <w:t xml:space="preserve">Net Metering. </w:t>
      </w:r>
      <w:r w:rsidR="00234D36">
        <w:rPr>
          <w:rFonts w:ascii="Arial" w:hAnsi="Arial" w:cs="Arial"/>
          <w:sz w:val="20"/>
        </w:rPr>
        <w:t>The Company shall install, own and maintain a kilowatt-hour meter or meters capable of registering the bi-directional flow of electricity at the point of common coupling. The meters shall meet or exceed all applicable accuracy standards. The meter may measure parameters including the time of delivery, power factor, and voltage. The interconnection customer shall provide space for metering equipment. The interconnection customer must provide the current transformer enclosure (if required), meter socket(s) and junction box after the Company approves the interconnection customer’s drawings and equipment specifications.</w:t>
      </w:r>
    </w:p>
    <w:p w:rsidR="00F8111D" w:rsidRDefault="00F8111D" w:rsidP="00F8111D">
      <w:pPr>
        <w:pStyle w:val="ListParagraph"/>
        <w:ind w:left="1440" w:hanging="360"/>
        <w:jc w:val="both"/>
        <w:rPr>
          <w:rFonts w:ascii="Arial" w:hAnsi="Arial" w:cs="Arial"/>
          <w:sz w:val="20"/>
        </w:rPr>
      </w:pPr>
    </w:p>
    <w:p w:rsidR="00234D36" w:rsidRPr="008F7BAF" w:rsidRDefault="00F8111D" w:rsidP="00F8111D">
      <w:pPr>
        <w:pStyle w:val="ListParagraph"/>
        <w:ind w:left="1440" w:hanging="360"/>
        <w:jc w:val="both"/>
        <w:rPr>
          <w:rFonts w:ascii="Arial" w:hAnsi="Arial" w:cs="Arial"/>
          <w:b/>
          <w:sz w:val="20"/>
        </w:rPr>
      </w:pPr>
      <w:r>
        <w:rPr>
          <w:rFonts w:ascii="Arial" w:hAnsi="Arial" w:cs="Arial"/>
          <w:sz w:val="20"/>
        </w:rPr>
        <w:t>(ii</w:t>
      </w:r>
      <w:r w:rsidR="006D08E2" w:rsidRPr="00480BEC">
        <w:rPr>
          <w:rFonts w:ascii="Arial" w:hAnsi="Arial" w:cs="Arial"/>
          <w:sz w:val="20"/>
        </w:rPr>
        <w:t>)</w:t>
      </w:r>
      <w:r w:rsidR="006D08E2" w:rsidRPr="00480BEC">
        <w:rPr>
          <w:rFonts w:ascii="Arial" w:hAnsi="Arial" w:cs="Arial"/>
          <w:sz w:val="20"/>
        </w:rPr>
        <w:tab/>
      </w:r>
      <w:r w:rsidR="00234D36">
        <w:rPr>
          <w:rFonts w:ascii="Arial" w:hAnsi="Arial" w:cs="Arial"/>
          <w:b/>
          <w:sz w:val="20"/>
        </w:rPr>
        <w:t>Production metering.</w:t>
      </w:r>
      <w:r w:rsidR="00234D36">
        <w:rPr>
          <w:rFonts w:ascii="Arial" w:hAnsi="Arial" w:cs="Arial"/>
          <w:sz w:val="20"/>
        </w:rPr>
        <w:t xml:space="preserve"> The Company may require separate metering for production. This meter will record all generation produced and may be billed separately from any net metering or customer usage metering. All costs associated with the installation of production metering will be paid by the interconnection customer.</w:t>
      </w:r>
    </w:p>
    <w:p w:rsidR="00597D82" w:rsidRDefault="00597D82" w:rsidP="006D08E2">
      <w:pPr>
        <w:pStyle w:val="ListParagraph"/>
        <w:ind w:hanging="360"/>
        <w:jc w:val="both"/>
        <w:rPr>
          <w:rFonts w:ascii="Arial" w:hAnsi="Arial" w:cs="Arial"/>
          <w:b/>
          <w:sz w:val="20"/>
        </w:rPr>
      </w:pPr>
    </w:p>
    <w:p w:rsidR="00234D36" w:rsidRPr="008F7BAF" w:rsidRDefault="00F8111D" w:rsidP="006D08E2">
      <w:pPr>
        <w:pStyle w:val="ListParagraph"/>
        <w:ind w:hanging="360"/>
        <w:jc w:val="both"/>
        <w:rPr>
          <w:rFonts w:ascii="Arial" w:hAnsi="Arial" w:cs="Arial"/>
          <w:b/>
          <w:sz w:val="20"/>
        </w:rPr>
      </w:pPr>
      <w:r w:rsidRPr="00F8111D">
        <w:rPr>
          <w:rFonts w:ascii="Arial" w:hAnsi="Arial" w:cs="Arial"/>
          <w:sz w:val="20"/>
        </w:rPr>
        <w:t>m)</w:t>
      </w:r>
      <w:r w:rsidR="006D08E2">
        <w:rPr>
          <w:rFonts w:ascii="Arial" w:hAnsi="Arial" w:cs="Arial"/>
          <w:sz w:val="20"/>
        </w:rPr>
        <w:tab/>
      </w:r>
      <w:r w:rsidR="00234D36">
        <w:rPr>
          <w:rFonts w:ascii="Arial" w:hAnsi="Arial" w:cs="Arial"/>
          <w:b/>
          <w:sz w:val="20"/>
        </w:rPr>
        <w:t xml:space="preserve">Labeling. </w:t>
      </w:r>
      <w:r w:rsidR="00234D36">
        <w:rPr>
          <w:rFonts w:ascii="Arial" w:hAnsi="Arial" w:cs="Arial"/>
          <w:sz w:val="20"/>
        </w:rPr>
        <w:t>The interconnection customer must post common labeling, furnished or approved by the Company and in accordance with NEC requirements, on the  meter base, disconnects, and transformers informing working personnel that a generating facility is operating at or is located on the premises.</w:t>
      </w:r>
    </w:p>
    <w:p w:rsidR="00234D36" w:rsidRDefault="00234D36" w:rsidP="006D08E2">
      <w:pPr>
        <w:pStyle w:val="ListParagraph"/>
        <w:ind w:hanging="360"/>
        <w:jc w:val="both"/>
        <w:rPr>
          <w:rFonts w:ascii="Arial" w:hAnsi="Arial" w:cs="Arial"/>
          <w:b/>
          <w:sz w:val="20"/>
        </w:rPr>
      </w:pPr>
    </w:p>
    <w:p w:rsidR="00234D36" w:rsidRDefault="00F8111D" w:rsidP="006D08E2">
      <w:pPr>
        <w:pStyle w:val="ListParagraph"/>
        <w:ind w:hanging="360"/>
        <w:jc w:val="both"/>
        <w:rPr>
          <w:rFonts w:ascii="Arial" w:hAnsi="Arial" w:cs="Arial"/>
          <w:sz w:val="20"/>
        </w:rPr>
      </w:pPr>
      <w:r w:rsidRPr="00F8111D">
        <w:rPr>
          <w:rFonts w:ascii="Arial" w:hAnsi="Arial" w:cs="Arial"/>
          <w:sz w:val="20"/>
        </w:rPr>
        <w:t>n)</w:t>
      </w:r>
      <w:r w:rsidR="006D08E2">
        <w:rPr>
          <w:rFonts w:ascii="Arial" w:hAnsi="Arial" w:cs="Arial"/>
          <w:b/>
          <w:sz w:val="20"/>
        </w:rPr>
        <w:tab/>
      </w:r>
      <w:r w:rsidR="00234D36">
        <w:rPr>
          <w:rFonts w:ascii="Arial" w:hAnsi="Arial" w:cs="Arial"/>
          <w:b/>
          <w:sz w:val="20"/>
        </w:rPr>
        <w:t>Insurance.</w:t>
      </w:r>
      <w:r w:rsidR="00234D36">
        <w:rPr>
          <w:rFonts w:ascii="Arial" w:hAnsi="Arial" w:cs="Arial"/>
          <w:sz w:val="20"/>
        </w:rPr>
        <w:t xml:space="preserve"> No additional insurance is necessary for a generating facility with a nameplate capacity under 100 kW.</w:t>
      </w:r>
    </w:p>
    <w:p w:rsidR="006D08E2" w:rsidRDefault="006D08E2" w:rsidP="006D08E2">
      <w:pPr>
        <w:pStyle w:val="ListParagraph"/>
        <w:ind w:hanging="360"/>
        <w:jc w:val="both"/>
        <w:rPr>
          <w:rFonts w:ascii="Arial" w:hAnsi="Arial" w:cs="Arial"/>
          <w:b/>
          <w:sz w:val="20"/>
        </w:rPr>
      </w:pPr>
    </w:p>
    <w:p w:rsidR="006D08E2" w:rsidRDefault="006D08E2" w:rsidP="006D08E2">
      <w:pPr>
        <w:pStyle w:val="ListParagraph"/>
        <w:ind w:hanging="360"/>
        <w:jc w:val="both"/>
        <w:rPr>
          <w:rFonts w:ascii="Arial" w:hAnsi="Arial" w:cs="Arial"/>
          <w:b/>
          <w:sz w:val="20"/>
        </w:rPr>
      </w:pPr>
    </w:p>
    <w:p w:rsidR="006D08E2" w:rsidRDefault="006D08E2" w:rsidP="006D08E2">
      <w:pPr>
        <w:pStyle w:val="ListParagraph"/>
        <w:ind w:hanging="360"/>
        <w:jc w:val="both"/>
        <w:rPr>
          <w:rFonts w:ascii="Arial" w:hAnsi="Arial" w:cs="Arial"/>
          <w:b/>
          <w:sz w:val="20"/>
        </w:rPr>
      </w:pPr>
    </w:p>
    <w:p w:rsidR="006D08E2" w:rsidRDefault="006D08E2" w:rsidP="006D08E2">
      <w:pPr>
        <w:pStyle w:val="ListParagraph"/>
        <w:ind w:hanging="360"/>
        <w:jc w:val="both"/>
        <w:rPr>
          <w:rFonts w:ascii="Arial" w:hAnsi="Arial" w:cs="Arial"/>
          <w:b/>
          <w:sz w:val="20"/>
        </w:rPr>
      </w:pPr>
    </w:p>
    <w:p w:rsidR="00234D36" w:rsidRDefault="00234D36" w:rsidP="006D08E2">
      <w:pPr>
        <w:pStyle w:val="ListParagraph"/>
        <w:ind w:hanging="360"/>
        <w:jc w:val="both"/>
        <w:rPr>
          <w:rFonts w:ascii="Arial" w:hAnsi="Arial" w:cs="Arial"/>
          <w:b/>
          <w:sz w:val="20"/>
        </w:rPr>
      </w:pPr>
    </w:p>
    <w:sectPr w:rsidR="00234D36"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15" w:rsidRDefault="00060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0B" w:rsidRDefault="00BF7800"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 xml:space="preserve">(Continued) </w:t>
    </w:r>
  </w:p>
  <w:p w:rsidR="00B33311" w:rsidRDefault="00B33311" w:rsidP="00B3331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CC390C">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B33311" w:rsidRDefault="00B33311" w:rsidP="00B3331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B33311" w:rsidRDefault="00B33311" w:rsidP="00B3331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255D03BB" wp14:editId="7C64ED67">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B33311" w:rsidRDefault="00B33311" w:rsidP="00B3331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46F48BC4" wp14:editId="2EA2C814">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B33311" w:rsidRDefault="00B33311" w:rsidP="00B33311">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5E273FE" wp14:editId="4B88B11D">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B3331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15" w:rsidRDefault="00060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15" w:rsidRDefault="00060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4F3A7129" wp14:editId="101410AF">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6CD0B46E" wp14:editId="1DA6DC45">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22422A" w:rsidRDefault="0022422A"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22422A">
      <w:rPr>
        <w:rFonts w:ascii="Arial" w:hAnsi="Arial" w:cs="Arial"/>
        <w:sz w:val="20"/>
      </w:rPr>
      <w:t>1</w:t>
    </w:r>
    <w:r w:rsidR="006D08E2">
      <w:rPr>
        <w:rFonts w:ascii="Arial" w:hAnsi="Arial" w:cs="Arial"/>
        <w:sz w:val="20"/>
      </w:rPr>
      <w:t>5</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15" w:rsidRDefault="00060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ED7C3F30"/>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4"/>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60715"/>
    <w:rsid w:val="000760A1"/>
    <w:rsid w:val="0008276C"/>
    <w:rsid w:val="00084A66"/>
    <w:rsid w:val="00087CF7"/>
    <w:rsid w:val="00087F71"/>
    <w:rsid w:val="00093361"/>
    <w:rsid w:val="000A0FF1"/>
    <w:rsid w:val="000B36F4"/>
    <w:rsid w:val="000C75B6"/>
    <w:rsid w:val="000E3B96"/>
    <w:rsid w:val="000F29F0"/>
    <w:rsid w:val="00113567"/>
    <w:rsid w:val="00135716"/>
    <w:rsid w:val="001360F4"/>
    <w:rsid w:val="001522E7"/>
    <w:rsid w:val="001620F1"/>
    <w:rsid w:val="00162DE3"/>
    <w:rsid w:val="00172D01"/>
    <w:rsid w:val="001801E7"/>
    <w:rsid w:val="001A2436"/>
    <w:rsid w:val="001A77E1"/>
    <w:rsid w:val="001C0F5B"/>
    <w:rsid w:val="001D4F15"/>
    <w:rsid w:val="001D5191"/>
    <w:rsid w:val="001F19AC"/>
    <w:rsid w:val="001F372F"/>
    <w:rsid w:val="002020DC"/>
    <w:rsid w:val="00204381"/>
    <w:rsid w:val="00205735"/>
    <w:rsid w:val="0022422A"/>
    <w:rsid w:val="00234D36"/>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D72FC"/>
    <w:rsid w:val="003F4AC2"/>
    <w:rsid w:val="003F72C1"/>
    <w:rsid w:val="004028C8"/>
    <w:rsid w:val="004043D5"/>
    <w:rsid w:val="00416A6E"/>
    <w:rsid w:val="00422D71"/>
    <w:rsid w:val="004472A1"/>
    <w:rsid w:val="00457B71"/>
    <w:rsid w:val="00464C7E"/>
    <w:rsid w:val="004756BD"/>
    <w:rsid w:val="00480BEC"/>
    <w:rsid w:val="00490AF3"/>
    <w:rsid w:val="004A30F3"/>
    <w:rsid w:val="004A52F7"/>
    <w:rsid w:val="004B1617"/>
    <w:rsid w:val="004B7C51"/>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97D82"/>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D08E2"/>
    <w:rsid w:val="006E1287"/>
    <w:rsid w:val="006E402A"/>
    <w:rsid w:val="006E424F"/>
    <w:rsid w:val="007050E2"/>
    <w:rsid w:val="00710518"/>
    <w:rsid w:val="00716B4A"/>
    <w:rsid w:val="0072316D"/>
    <w:rsid w:val="0074140B"/>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64030"/>
    <w:rsid w:val="008766A2"/>
    <w:rsid w:val="00876B56"/>
    <w:rsid w:val="00886645"/>
    <w:rsid w:val="00897348"/>
    <w:rsid w:val="008A77C7"/>
    <w:rsid w:val="008E7364"/>
    <w:rsid w:val="008F0AD1"/>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661A7"/>
    <w:rsid w:val="00A84ABB"/>
    <w:rsid w:val="00A91A21"/>
    <w:rsid w:val="00A9698A"/>
    <w:rsid w:val="00AA4FC3"/>
    <w:rsid w:val="00AA6EAF"/>
    <w:rsid w:val="00AC2412"/>
    <w:rsid w:val="00AD4335"/>
    <w:rsid w:val="00AE07BB"/>
    <w:rsid w:val="00AE0A1C"/>
    <w:rsid w:val="00AE0A76"/>
    <w:rsid w:val="00AE1E9E"/>
    <w:rsid w:val="00AE4288"/>
    <w:rsid w:val="00AE7611"/>
    <w:rsid w:val="00AF0EAC"/>
    <w:rsid w:val="00B02412"/>
    <w:rsid w:val="00B14270"/>
    <w:rsid w:val="00B20EEB"/>
    <w:rsid w:val="00B330D4"/>
    <w:rsid w:val="00B33311"/>
    <w:rsid w:val="00B43CBE"/>
    <w:rsid w:val="00B54432"/>
    <w:rsid w:val="00B62CA7"/>
    <w:rsid w:val="00B64140"/>
    <w:rsid w:val="00B8202C"/>
    <w:rsid w:val="00B86CD1"/>
    <w:rsid w:val="00BA088F"/>
    <w:rsid w:val="00BA1A54"/>
    <w:rsid w:val="00BB5CCE"/>
    <w:rsid w:val="00BF7800"/>
    <w:rsid w:val="00C0493E"/>
    <w:rsid w:val="00C16EA7"/>
    <w:rsid w:val="00C210FD"/>
    <w:rsid w:val="00C2540C"/>
    <w:rsid w:val="00C31B67"/>
    <w:rsid w:val="00C36075"/>
    <w:rsid w:val="00C41C7D"/>
    <w:rsid w:val="00C4223A"/>
    <w:rsid w:val="00C461AA"/>
    <w:rsid w:val="00C60F7D"/>
    <w:rsid w:val="00C742EF"/>
    <w:rsid w:val="00C84F36"/>
    <w:rsid w:val="00C91131"/>
    <w:rsid w:val="00CC1A53"/>
    <w:rsid w:val="00CC390C"/>
    <w:rsid w:val="00CC7B43"/>
    <w:rsid w:val="00CD01ED"/>
    <w:rsid w:val="00CE6692"/>
    <w:rsid w:val="00CF4970"/>
    <w:rsid w:val="00CF64E6"/>
    <w:rsid w:val="00D23AB3"/>
    <w:rsid w:val="00D313E0"/>
    <w:rsid w:val="00D45A57"/>
    <w:rsid w:val="00D60206"/>
    <w:rsid w:val="00D9021F"/>
    <w:rsid w:val="00D932B5"/>
    <w:rsid w:val="00DA1394"/>
    <w:rsid w:val="00DB2070"/>
    <w:rsid w:val="00DE1F3B"/>
    <w:rsid w:val="00DE2657"/>
    <w:rsid w:val="00DE409D"/>
    <w:rsid w:val="00DF0EB8"/>
    <w:rsid w:val="00E01B74"/>
    <w:rsid w:val="00E13A5F"/>
    <w:rsid w:val="00E44254"/>
    <w:rsid w:val="00E44810"/>
    <w:rsid w:val="00E52C0F"/>
    <w:rsid w:val="00E53EC5"/>
    <w:rsid w:val="00E54726"/>
    <w:rsid w:val="00E70392"/>
    <w:rsid w:val="00E74A2C"/>
    <w:rsid w:val="00E84454"/>
    <w:rsid w:val="00E86C83"/>
    <w:rsid w:val="00EE629E"/>
    <w:rsid w:val="00EE6E21"/>
    <w:rsid w:val="00EF6074"/>
    <w:rsid w:val="00F07160"/>
    <w:rsid w:val="00F12645"/>
    <w:rsid w:val="00F30DDC"/>
    <w:rsid w:val="00F3756B"/>
    <w:rsid w:val="00F50525"/>
    <w:rsid w:val="00F528E2"/>
    <w:rsid w:val="00F66F8A"/>
    <w:rsid w:val="00F8111D"/>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57549C-9BF8-4388-8891-AC0570DCA16D}"/>
</file>

<file path=customXml/itemProps2.xml><?xml version="1.0" encoding="utf-8"?>
<ds:datastoreItem xmlns:ds="http://schemas.openxmlformats.org/officeDocument/2006/customXml" ds:itemID="{B034DE91-8E72-45E0-8703-A03A98CE063D}"/>
</file>

<file path=customXml/itemProps3.xml><?xml version="1.0" encoding="utf-8"?>
<ds:datastoreItem xmlns:ds="http://schemas.openxmlformats.org/officeDocument/2006/customXml" ds:itemID="{F8467214-93B6-4792-8ECD-4251D6503589}"/>
</file>

<file path=customXml/itemProps4.xml><?xml version="1.0" encoding="utf-8"?>
<ds:datastoreItem xmlns:ds="http://schemas.openxmlformats.org/officeDocument/2006/customXml" ds:itemID="{2DCE7D60-E2C1-46FA-9A47-75C34482EE9C}"/>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2013-12-12T19:04:00Z</dcterms:created>
  <dcterms:modified xsi:type="dcterms:W3CDTF">2013-12-12T19:04:00Z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