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41D71" w14:textId="77777777" w:rsidR="009C5FDF" w:rsidRPr="00C727AC" w:rsidRDefault="009C5FDF" w:rsidP="006C66B2">
      <w:pPr>
        <w:ind w:left="450"/>
        <w:jc w:val="center"/>
        <w:rPr>
          <w:b/>
          <w:i/>
          <w:sz w:val="28"/>
          <w:szCs w:val="28"/>
        </w:rPr>
      </w:pPr>
      <w:r w:rsidRPr="00C727AC">
        <w:rPr>
          <w:b/>
          <w:i/>
          <w:sz w:val="28"/>
          <w:szCs w:val="28"/>
        </w:rPr>
        <w:t>Memorandum</w:t>
      </w:r>
    </w:p>
    <w:p w14:paraId="485A5E41" w14:textId="77777777" w:rsidR="009C5FDF" w:rsidRPr="000A28EB" w:rsidRDefault="009C5FDF" w:rsidP="006C66B2">
      <w:pPr>
        <w:ind w:left="450"/>
        <w:jc w:val="center"/>
        <w:rPr>
          <w:sz w:val="24"/>
          <w:szCs w:val="24"/>
        </w:rPr>
      </w:pPr>
    </w:p>
    <w:p w14:paraId="4DDEB429" w14:textId="77777777" w:rsidR="009C5FDF" w:rsidRPr="00C727AC" w:rsidRDefault="009C5FDF" w:rsidP="006C66B2">
      <w:pPr>
        <w:ind w:left="450"/>
        <w:jc w:val="center"/>
        <w:rPr>
          <w:b/>
          <w:sz w:val="28"/>
          <w:szCs w:val="28"/>
        </w:rPr>
      </w:pPr>
      <w:r>
        <w:rPr>
          <w:b/>
          <w:sz w:val="28"/>
          <w:szCs w:val="28"/>
        </w:rPr>
        <w:t>Northwest Natural</w:t>
      </w:r>
      <w:r w:rsidRPr="00C727AC">
        <w:rPr>
          <w:b/>
          <w:sz w:val="28"/>
          <w:szCs w:val="28"/>
        </w:rPr>
        <w:t xml:space="preserve"> 2014 Natural Gas Integrated Resource Plan </w:t>
      </w:r>
    </w:p>
    <w:p w14:paraId="73B26CD9" w14:textId="77777777" w:rsidR="009C5FDF" w:rsidRDefault="009C5FDF" w:rsidP="006C66B2">
      <w:pPr>
        <w:ind w:left="450"/>
        <w:jc w:val="center"/>
        <w:rPr>
          <w:b/>
          <w:sz w:val="28"/>
          <w:szCs w:val="28"/>
        </w:rPr>
      </w:pPr>
      <w:r w:rsidRPr="00C727AC">
        <w:rPr>
          <w:b/>
          <w:sz w:val="28"/>
          <w:szCs w:val="28"/>
        </w:rPr>
        <w:t>Docket UG-1</w:t>
      </w:r>
      <w:r>
        <w:rPr>
          <w:b/>
          <w:sz w:val="28"/>
          <w:szCs w:val="28"/>
        </w:rPr>
        <w:t>31473</w:t>
      </w:r>
    </w:p>
    <w:p w14:paraId="1F06A683" w14:textId="77777777" w:rsidR="009C5FDF" w:rsidRDefault="009C5FDF" w:rsidP="006C66B2">
      <w:pPr>
        <w:ind w:left="450"/>
        <w:jc w:val="center"/>
        <w:rPr>
          <w:b/>
          <w:sz w:val="28"/>
          <w:szCs w:val="28"/>
        </w:rPr>
      </w:pPr>
    </w:p>
    <w:p w14:paraId="5D2EB5CC" w14:textId="77777777" w:rsidR="009C5FDF" w:rsidRPr="00541CF1" w:rsidRDefault="009C5FDF" w:rsidP="006C66B2">
      <w:pPr>
        <w:ind w:left="450"/>
        <w:rPr>
          <w:b/>
          <w:u w:val="single"/>
        </w:rPr>
      </w:pPr>
      <w:r w:rsidRPr="00541CF1">
        <w:rPr>
          <w:b/>
          <w:u w:val="single"/>
        </w:rPr>
        <w:t>Introduction</w:t>
      </w:r>
    </w:p>
    <w:p w14:paraId="64013484" w14:textId="77777777" w:rsidR="009C5FDF" w:rsidRPr="00541CF1" w:rsidRDefault="009C5FDF" w:rsidP="006C66B2">
      <w:pPr>
        <w:ind w:left="450"/>
        <w:rPr>
          <w:b/>
          <w:u w:val="single"/>
        </w:rPr>
      </w:pPr>
    </w:p>
    <w:p w14:paraId="1D488AE4" w14:textId="29822779" w:rsidR="009C5FDF" w:rsidRPr="00541CF1" w:rsidRDefault="009C5FDF" w:rsidP="006C66B2">
      <w:pPr>
        <w:ind w:left="450"/>
      </w:pPr>
      <w:r w:rsidRPr="00541CF1">
        <w:t>WAC 480-90-238 directs investor-owned utilities (IOUs) to describe the mix of natural gas supply resources and conservation that will meet current and future needs at the lowest reasonable cost to the utilities and its ratepayers.</w:t>
      </w:r>
      <w:r w:rsidRPr="00541CF1">
        <w:rPr>
          <w:rStyle w:val="FootnoteReference"/>
        </w:rPr>
        <w:footnoteReference w:id="2"/>
      </w:r>
      <w:r w:rsidR="00EA123C" w:rsidRPr="00541CF1">
        <w:t xml:space="preserve"> </w:t>
      </w:r>
      <w:r w:rsidRPr="00541CF1">
        <w:t xml:space="preserve"> In determining the lowest reasonable cost mix of resources, a utility must consid</w:t>
      </w:r>
      <w:r w:rsidR="001815F8" w:rsidRPr="00541CF1">
        <w:t>er such factors as resource cost</w:t>
      </w:r>
      <w:r w:rsidRPr="00541CF1">
        <w:t xml:space="preserve">, market-volatility risks, public policies regarding resource preference adopted </w:t>
      </w:r>
      <w:r w:rsidR="00C26A6E" w:rsidRPr="00541CF1">
        <w:t xml:space="preserve">or contemplated </w:t>
      </w:r>
      <w:r w:rsidRPr="00541CF1">
        <w:t xml:space="preserve">by </w:t>
      </w:r>
      <w:r w:rsidR="00D70219" w:rsidRPr="00B86776">
        <w:t xml:space="preserve">the State of </w:t>
      </w:r>
      <w:r w:rsidRPr="00541CF1">
        <w:t>Washington or the federal government and the cost of risks associated with environmental effects including emissions of carbon dioxide.</w:t>
      </w:r>
      <w:r w:rsidRPr="00541CF1">
        <w:rPr>
          <w:rStyle w:val="FootnoteReference"/>
        </w:rPr>
        <w:footnoteReference w:id="3"/>
      </w:r>
      <w:r w:rsidRPr="00541CF1">
        <w:t xml:space="preserve"> </w:t>
      </w:r>
      <w:r w:rsidR="00EA123C" w:rsidRPr="00541CF1">
        <w:t xml:space="preserve"> </w:t>
      </w:r>
      <w:r w:rsidRPr="00541CF1">
        <w:t xml:space="preserve">The rule </w:t>
      </w:r>
      <w:r w:rsidR="00153765">
        <w:t>requires</w:t>
      </w:r>
      <w:r w:rsidR="00974D9C" w:rsidRPr="00541CF1">
        <w:t xml:space="preserve"> </w:t>
      </w:r>
      <w:r w:rsidRPr="00541CF1">
        <w:t xml:space="preserve">IOUs </w:t>
      </w:r>
      <w:r w:rsidR="00153765">
        <w:t xml:space="preserve">to </w:t>
      </w:r>
      <w:r w:rsidRPr="00541CF1">
        <w:t xml:space="preserve">conduct a comprehensive analysis of the costs and benefits, including risk mitigation benefits, of various approaches for meeting future resource needs using the best available information.  </w:t>
      </w:r>
    </w:p>
    <w:p w14:paraId="030505A1" w14:textId="77777777" w:rsidR="009C5FDF" w:rsidRPr="00541CF1" w:rsidRDefault="009C5FDF" w:rsidP="006C66B2">
      <w:pPr>
        <w:ind w:left="450"/>
      </w:pPr>
    </w:p>
    <w:p w14:paraId="72B598D3" w14:textId="6E435795" w:rsidR="009C5FDF" w:rsidRPr="00541CF1" w:rsidRDefault="005C74FB" w:rsidP="006C66B2">
      <w:pPr>
        <w:ind w:left="450"/>
      </w:pPr>
      <w:r w:rsidRPr="00541CF1">
        <w:t>On August 29,</w:t>
      </w:r>
      <w:r w:rsidR="00C50B22" w:rsidRPr="00541CF1">
        <w:t xml:space="preserve"> 2014,</w:t>
      </w:r>
      <w:r w:rsidRPr="00541CF1">
        <w:t xml:space="preserve"> </w:t>
      </w:r>
      <w:r w:rsidR="00CD7CBB" w:rsidRPr="00541CF1">
        <w:t xml:space="preserve">Northwest Natural Gas </w:t>
      </w:r>
      <w:r w:rsidR="00190E60" w:rsidRPr="00541CF1">
        <w:t>Company</w:t>
      </w:r>
      <w:r w:rsidR="009C5FDF" w:rsidRPr="00541CF1">
        <w:t xml:space="preserve"> Corporation (</w:t>
      </w:r>
      <w:r w:rsidR="00CD7CBB" w:rsidRPr="00541CF1">
        <w:t>NW Natural</w:t>
      </w:r>
      <w:r w:rsidR="009C5FDF" w:rsidRPr="00541CF1">
        <w:t xml:space="preserve"> or </w:t>
      </w:r>
      <w:r w:rsidR="00190E60" w:rsidRPr="00541CF1">
        <w:t>Company</w:t>
      </w:r>
      <w:r w:rsidR="009C5FDF" w:rsidRPr="00541CF1">
        <w:t>)</w:t>
      </w:r>
      <w:r w:rsidRPr="00541CF1">
        <w:t xml:space="preserve"> filed with the </w:t>
      </w:r>
      <w:r w:rsidR="00D20864">
        <w:t xml:space="preserve">Washington Utilities and Transportation </w:t>
      </w:r>
      <w:r w:rsidRPr="00541CF1">
        <w:t>Commission</w:t>
      </w:r>
      <w:r w:rsidRPr="00B86776">
        <w:t xml:space="preserve"> </w:t>
      </w:r>
      <w:r w:rsidR="00D20864">
        <w:t>(Commission)</w:t>
      </w:r>
      <w:r w:rsidRPr="00541CF1">
        <w:t xml:space="preserve"> its 2014 Integrated Resource Plan (IRP or Plan). </w:t>
      </w:r>
      <w:r w:rsidR="00EA123C" w:rsidRPr="00541CF1">
        <w:t xml:space="preserve"> </w:t>
      </w:r>
      <w:r w:rsidRPr="00541CF1">
        <w:t>The Plan</w:t>
      </w:r>
      <w:r w:rsidR="009C5FDF" w:rsidRPr="00541CF1">
        <w:t xml:space="preserve"> describes its evaluation of potential resource strategies for meeting resource need over the next 20 years. </w:t>
      </w:r>
      <w:r w:rsidR="00EA123C" w:rsidRPr="00541CF1">
        <w:t xml:space="preserve"> </w:t>
      </w:r>
      <w:r w:rsidR="009C5FDF" w:rsidRPr="00541CF1">
        <w:t xml:space="preserve">In doing so, </w:t>
      </w:r>
      <w:r w:rsidR="00CD7CBB" w:rsidRPr="00541CF1">
        <w:t>NW Natural</w:t>
      </w:r>
      <w:r w:rsidR="009C5FDF" w:rsidRPr="00541CF1">
        <w:t xml:space="preserve"> has complied wit</w:t>
      </w:r>
      <w:r w:rsidR="00F600DA" w:rsidRPr="00541CF1">
        <w:t xml:space="preserve">h applicable Commission rules. </w:t>
      </w:r>
    </w:p>
    <w:p w14:paraId="3BB4BE5B" w14:textId="77777777" w:rsidR="00CD7CBB" w:rsidRPr="00541CF1" w:rsidRDefault="00CD7CBB" w:rsidP="006C66B2">
      <w:pPr>
        <w:ind w:left="450"/>
      </w:pPr>
    </w:p>
    <w:p w14:paraId="1FF7829A" w14:textId="77777777" w:rsidR="00CD7CBB" w:rsidRPr="00541CF1" w:rsidRDefault="00CD7CBB" w:rsidP="006C66B2">
      <w:pPr>
        <w:pStyle w:val="Heading1"/>
        <w:spacing w:before="0"/>
        <w:ind w:left="450"/>
        <w:rPr>
          <w:rFonts w:cs="Times New Roman"/>
          <w:sz w:val="25"/>
          <w:szCs w:val="25"/>
        </w:rPr>
      </w:pPr>
      <w:bookmarkStart w:id="0" w:name="_Toc376255995"/>
      <w:r w:rsidRPr="00541CF1">
        <w:rPr>
          <w:rFonts w:cs="Times New Roman"/>
          <w:sz w:val="25"/>
          <w:szCs w:val="25"/>
        </w:rPr>
        <w:t xml:space="preserve">Summary </w:t>
      </w:r>
      <w:bookmarkEnd w:id="0"/>
    </w:p>
    <w:p w14:paraId="4AC990D1" w14:textId="0B91A626" w:rsidR="008208EF" w:rsidRPr="00541CF1" w:rsidRDefault="008208EF" w:rsidP="006C66B2">
      <w:pPr>
        <w:ind w:left="450"/>
      </w:pPr>
    </w:p>
    <w:p w14:paraId="194E79E6" w14:textId="03D0C378" w:rsidR="00B0194F" w:rsidRPr="00541CF1" w:rsidRDefault="002719BC" w:rsidP="006C66B2">
      <w:pPr>
        <w:ind w:left="450"/>
      </w:pPr>
      <w:r w:rsidRPr="00B86776">
        <w:t>N</w:t>
      </w:r>
      <w:r w:rsidR="00F938CB">
        <w:t>W</w:t>
      </w:r>
      <w:r w:rsidRPr="00541CF1">
        <w:t xml:space="preserve"> Natural projects a</w:t>
      </w:r>
      <w:r w:rsidR="008B7455" w:rsidRPr="00541CF1">
        <w:t xml:space="preserve"> system-wide </w:t>
      </w:r>
      <w:r w:rsidRPr="00541CF1">
        <w:t>annual</w:t>
      </w:r>
      <w:r w:rsidR="008B7455" w:rsidRPr="00541CF1">
        <w:t xml:space="preserve"> average</w:t>
      </w:r>
      <w:r w:rsidRPr="00541CF1">
        <w:t xml:space="preserve"> rate of growth of 1.3 percent in its peak design day over the 20-year planning horizon.</w:t>
      </w:r>
      <w:r w:rsidR="00EA123C" w:rsidRPr="00541CF1">
        <w:t xml:space="preserve"> </w:t>
      </w:r>
      <w:r w:rsidRPr="00541CF1">
        <w:t xml:space="preserve"> This is an increase of 0.4 percent from its most recent projection in the 2013 Washington IRP.</w:t>
      </w:r>
      <w:r w:rsidRPr="00541CF1">
        <w:rPr>
          <w:rStyle w:val="FootnoteReference"/>
        </w:rPr>
        <w:footnoteReference w:id="4"/>
      </w:r>
      <w:r w:rsidRPr="00541CF1">
        <w:t xml:space="preserve"> </w:t>
      </w:r>
      <w:r w:rsidR="00EA123C" w:rsidRPr="00541CF1">
        <w:t xml:space="preserve"> </w:t>
      </w:r>
      <w:r w:rsidRPr="00541CF1">
        <w:t>The peak day</w:t>
      </w:r>
      <w:r w:rsidR="007D7D0B" w:rsidRPr="00541CF1">
        <w:t xml:space="preserve"> increase</w:t>
      </w:r>
      <w:r w:rsidRPr="00541CF1">
        <w:t xml:space="preserve"> is attributable to customer growth forecasts, </w:t>
      </w:r>
      <w:r w:rsidR="007D7D0B" w:rsidRPr="00541CF1">
        <w:t>particularly the</w:t>
      </w:r>
      <w:r w:rsidRPr="00541CF1">
        <w:t xml:space="preserve"> revised customer growth forecasts for the </w:t>
      </w:r>
      <w:r w:rsidR="00190E60" w:rsidRPr="00541CF1">
        <w:t>Company</w:t>
      </w:r>
      <w:r w:rsidRPr="00541CF1">
        <w:t>’s Washington service territory.</w:t>
      </w:r>
      <w:r w:rsidR="00EA123C" w:rsidRPr="00541CF1">
        <w:t xml:space="preserve"> </w:t>
      </w:r>
      <w:r w:rsidRPr="00541CF1">
        <w:t xml:space="preserve"> </w:t>
      </w:r>
      <w:r w:rsidR="00F600DA" w:rsidRPr="00541CF1">
        <w:t xml:space="preserve">At the request of </w:t>
      </w:r>
      <w:r w:rsidR="00963C6C" w:rsidRPr="00541CF1">
        <w:t>the Commission</w:t>
      </w:r>
      <w:r w:rsidR="00F600DA" w:rsidRPr="00541CF1">
        <w:t xml:space="preserve"> in </w:t>
      </w:r>
      <w:r w:rsidR="00963C6C" w:rsidRPr="00541CF1">
        <w:t>its</w:t>
      </w:r>
      <w:r w:rsidR="00F600DA" w:rsidRPr="00541CF1">
        <w:t xml:space="preserve"> 2013 IRP acknowledgment letter</w:t>
      </w:r>
      <w:r w:rsidR="009D2264" w:rsidRPr="00541CF1">
        <w:t>,</w:t>
      </w:r>
      <w:r w:rsidR="00F600DA" w:rsidRPr="00541CF1">
        <w:t xml:space="preserve"> </w:t>
      </w:r>
      <w:r w:rsidR="003038E0" w:rsidRPr="00541CF1">
        <w:t>NW Natural</w:t>
      </w:r>
      <w:r w:rsidR="00F600DA" w:rsidRPr="00541CF1">
        <w:t xml:space="preserve"> used Washington</w:t>
      </w:r>
      <w:r w:rsidR="006253C2" w:rsidRPr="00541CF1">
        <w:t>-</w:t>
      </w:r>
      <w:r w:rsidR="00F600DA" w:rsidRPr="00541CF1">
        <w:t xml:space="preserve">specific data </w:t>
      </w:r>
      <w:r w:rsidR="00963C6C" w:rsidRPr="00541CF1">
        <w:t>when projecting</w:t>
      </w:r>
      <w:r w:rsidR="0082080F" w:rsidRPr="00541CF1">
        <w:t xml:space="preserve"> </w:t>
      </w:r>
      <w:r w:rsidR="00963C6C" w:rsidRPr="00541CF1">
        <w:t xml:space="preserve">demand growth </w:t>
      </w:r>
      <w:r w:rsidR="00F600DA" w:rsidRPr="00541CF1">
        <w:t xml:space="preserve">for its Washington service territory, which led to an increase in its </w:t>
      </w:r>
      <w:r w:rsidR="003038E0" w:rsidRPr="00541CF1">
        <w:t xml:space="preserve">projected </w:t>
      </w:r>
      <w:r w:rsidR="00687695" w:rsidRPr="00541CF1">
        <w:t>customer growth rate</w:t>
      </w:r>
      <w:r w:rsidR="00340749" w:rsidRPr="00541CF1">
        <w:t xml:space="preserve"> </w:t>
      </w:r>
      <w:r w:rsidR="000223CE" w:rsidRPr="00541CF1">
        <w:t xml:space="preserve">for Washington </w:t>
      </w:r>
      <w:r w:rsidR="003038E0" w:rsidRPr="00541CF1">
        <w:t>from</w:t>
      </w:r>
      <w:r w:rsidR="00687695" w:rsidRPr="00541CF1">
        <w:t xml:space="preserve"> 2.3</w:t>
      </w:r>
      <w:r w:rsidR="003038E0" w:rsidRPr="00541CF1">
        <w:t xml:space="preserve"> percent to </w:t>
      </w:r>
      <w:r w:rsidR="00340749" w:rsidRPr="00541CF1">
        <w:t>3.</w:t>
      </w:r>
      <w:r w:rsidR="00687695" w:rsidRPr="00541CF1">
        <w:t>8</w:t>
      </w:r>
      <w:r w:rsidR="00B0194F" w:rsidRPr="00541CF1">
        <w:t xml:space="preserve"> percent</w:t>
      </w:r>
      <w:r w:rsidR="003038E0" w:rsidRPr="00541CF1">
        <w:t>.</w:t>
      </w:r>
      <w:r w:rsidR="00D17C9D" w:rsidRPr="00541CF1">
        <w:rPr>
          <w:rStyle w:val="FootnoteReference"/>
        </w:rPr>
        <w:t xml:space="preserve"> </w:t>
      </w:r>
      <w:r w:rsidR="00D17C9D" w:rsidRPr="00541CF1">
        <w:rPr>
          <w:rStyle w:val="FootnoteReference"/>
        </w:rPr>
        <w:footnoteReference w:id="5"/>
      </w:r>
      <w:r w:rsidR="00EA123C" w:rsidRPr="00541CF1">
        <w:t xml:space="preserve"> </w:t>
      </w:r>
      <w:r w:rsidR="00D17C9D" w:rsidRPr="00541CF1">
        <w:t xml:space="preserve"> </w:t>
      </w:r>
      <w:r w:rsidR="00F600DA" w:rsidRPr="00541CF1">
        <w:t>Clark, Skamania, and Klickitat counties</w:t>
      </w:r>
      <w:r w:rsidR="0078713C" w:rsidRPr="00541CF1">
        <w:t xml:space="preserve"> </w:t>
      </w:r>
      <w:r w:rsidR="007C08DB" w:rsidRPr="00541CF1">
        <w:t xml:space="preserve">encompass </w:t>
      </w:r>
      <w:r w:rsidR="00F600DA" w:rsidRPr="00541CF1">
        <w:t>onl</w:t>
      </w:r>
      <w:r w:rsidR="00B3118D" w:rsidRPr="00541CF1">
        <w:t xml:space="preserve">y 10 percent of the </w:t>
      </w:r>
      <w:r w:rsidR="00190E60" w:rsidRPr="00541CF1">
        <w:t>Company</w:t>
      </w:r>
      <w:r w:rsidR="0078713C" w:rsidRPr="00541CF1">
        <w:t xml:space="preserve">’s </w:t>
      </w:r>
      <w:r w:rsidR="000223CE" w:rsidRPr="00541CF1">
        <w:t xml:space="preserve">system </w:t>
      </w:r>
      <w:r w:rsidR="0078713C" w:rsidRPr="00541CF1">
        <w:t xml:space="preserve">load, </w:t>
      </w:r>
      <w:r w:rsidR="00F600DA" w:rsidRPr="00541CF1">
        <w:t xml:space="preserve">but </w:t>
      </w:r>
      <w:r w:rsidR="000223CE" w:rsidRPr="00541CF1">
        <w:t xml:space="preserve">Washington </w:t>
      </w:r>
      <w:r w:rsidR="0078713C" w:rsidRPr="00541CF1">
        <w:t>is the fastest growing regio</w:t>
      </w:r>
      <w:r w:rsidR="00B3118D" w:rsidRPr="00541CF1">
        <w:t xml:space="preserve">n in the </w:t>
      </w:r>
      <w:r w:rsidR="00190E60" w:rsidRPr="00541CF1">
        <w:t>Company</w:t>
      </w:r>
      <w:r w:rsidR="00340749" w:rsidRPr="00541CF1">
        <w:t>’s service area.</w:t>
      </w:r>
      <w:r w:rsidR="00CD206F">
        <w:t xml:space="preserve"> </w:t>
      </w:r>
    </w:p>
    <w:p w14:paraId="72A7395A" w14:textId="77777777" w:rsidR="00E0281D" w:rsidRPr="00541CF1" w:rsidRDefault="00E0281D" w:rsidP="006C66B2">
      <w:pPr>
        <w:ind w:left="450"/>
      </w:pPr>
    </w:p>
    <w:p w14:paraId="0BA53B39" w14:textId="50F8A7D7" w:rsidR="008E4A93" w:rsidRPr="00541CF1" w:rsidRDefault="00065A93" w:rsidP="006C66B2">
      <w:pPr>
        <w:pStyle w:val="NoSpacing"/>
        <w:spacing w:line="264" w:lineRule="auto"/>
        <w:ind w:left="450"/>
      </w:pPr>
      <w:r w:rsidRPr="00B86776">
        <w:lastRenderedPageBreak/>
        <w:t>N</w:t>
      </w:r>
      <w:r w:rsidR="00F938CB">
        <w:t>W</w:t>
      </w:r>
      <w:r w:rsidRPr="00541CF1">
        <w:t xml:space="preserve"> Natural</w:t>
      </w:r>
      <w:r w:rsidR="00E0281D" w:rsidRPr="00541CF1">
        <w:t xml:space="preserve"> </w:t>
      </w:r>
      <w:r w:rsidR="00572E3A" w:rsidRPr="00541CF1">
        <w:t xml:space="preserve">also </w:t>
      </w:r>
      <w:r w:rsidR="00E0281D" w:rsidRPr="00541CF1">
        <w:t xml:space="preserve">made significant changes to its </w:t>
      </w:r>
      <w:r w:rsidR="002E1ABE" w:rsidRPr="00541CF1">
        <w:t xml:space="preserve">firm </w:t>
      </w:r>
      <w:r w:rsidR="00E0281D" w:rsidRPr="00541CF1">
        <w:t>resource stack</w:t>
      </w:r>
      <w:r w:rsidR="0088028C" w:rsidRPr="00541CF1">
        <w:t xml:space="preserve"> as compared to the previous</w:t>
      </w:r>
      <w:r w:rsidR="00721D96" w:rsidRPr="00541CF1">
        <w:t xml:space="preserve"> </w:t>
      </w:r>
      <w:r w:rsidR="00F600DA" w:rsidRPr="00541CF1">
        <w:t>IRP.</w:t>
      </w:r>
      <w:r w:rsidR="00EA123C" w:rsidRPr="00541CF1">
        <w:t xml:space="preserve"> </w:t>
      </w:r>
      <w:r w:rsidR="00E0281D" w:rsidRPr="00541CF1">
        <w:t xml:space="preserve"> After a</w:t>
      </w:r>
      <w:r w:rsidR="00153765">
        <w:t>n unexpected</w:t>
      </w:r>
      <w:r w:rsidR="00E0281D" w:rsidRPr="00541CF1">
        <w:t xml:space="preserve"> December 2013 </w:t>
      </w:r>
      <w:r w:rsidR="00572E3A" w:rsidRPr="00541CF1">
        <w:t xml:space="preserve">transmission </w:t>
      </w:r>
      <w:r w:rsidR="00E0281D" w:rsidRPr="00541CF1">
        <w:t xml:space="preserve">curtailment </w:t>
      </w:r>
      <w:r w:rsidR="004424A5" w:rsidRPr="00541CF1">
        <w:t xml:space="preserve">of gas sourced </w:t>
      </w:r>
      <w:r w:rsidR="0029148D" w:rsidRPr="00541CF1">
        <w:t xml:space="preserve">from </w:t>
      </w:r>
      <w:r w:rsidR="00E0281D" w:rsidRPr="00541CF1">
        <w:t>Plymouth</w:t>
      </w:r>
      <w:r w:rsidR="0029148D" w:rsidRPr="00541CF1">
        <w:t xml:space="preserve"> LNG</w:t>
      </w:r>
      <w:r w:rsidR="00B3118D" w:rsidRPr="00541CF1">
        <w:t xml:space="preserve">, the </w:t>
      </w:r>
      <w:r w:rsidR="00190E60" w:rsidRPr="00541CF1">
        <w:t>Company</w:t>
      </w:r>
      <w:r w:rsidR="00E0281D" w:rsidRPr="00541CF1">
        <w:t xml:space="preserve"> </w:t>
      </w:r>
      <w:r w:rsidR="00E9402F" w:rsidRPr="00541CF1">
        <w:t xml:space="preserve">immediately </w:t>
      </w:r>
      <w:r w:rsidR="00E0281D" w:rsidRPr="00541CF1">
        <w:t xml:space="preserve">removed the storage facility from its </w:t>
      </w:r>
      <w:r w:rsidR="002E1ABE" w:rsidRPr="00541CF1">
        <w:t xml:space="preserve">firm </w:t>
      </w:r>
      <w:r w:rsidR="00DB57BA" w:rsidRPr="00541CF1">
        <w:t xml:space="preserve">resource stack. </w:t>
      </w:r>
      <w:r w:rsidR="00EA123C" w:rsidRPr="00541CF1">
        <w:t xml:space="preserve"> </w:t>
      </w:r>
      <w:r w:rsidR="00DB57BA" w:rsidRPr="00541CF1">
        <w:t>It will also remove</w:t>
      </w:r>
      <w:r w:rsidR="00E0281D" w:rsidRPr="00541CF1">
        <w:t xml:space="preserve"> a portion of </w:t>
      </w:r>
      <w:r w:rsidR="00E618DE" w:rsidRPr="00541CF1">
        <w:t xml:space="preserve">its </w:t>
      </w:r>
      <w:r w:rsidR="00E0281D" w:rsidRPr="00541CF1">
        <w:t xml:space="preserve">Jackson </w:t>
      </w:r>
      <w:r w:rsidR="000D5107" w:rsidRPr="00541CF1">
        <w:t>Prairie</w:t>
      </w:r>
      <w:r w:rsidR="00330B94" w:rsidRPr="00541CF1">
        <w:t xml:space="preserve"> (JP)</w:t>
      </w:r>
      <w:r w:rsidR="00E0281D" w:rsidRPr="00541CF1">
        <w:t xml:space="preserve"> </w:t>
      </w:r>
      <w:r w:rsidR="00E618DE" w:rsidRPr="00541CF1">
        <w:t xml:space="preserve">supply </w:t>
      </w:r>
      <w:r w:rsidR="00E0281D" w:rsidRPr="00541CF1">
        <w:t>beginning in 2018</w:t>
      </w:r>
      <w:r w:rsidR="004424A5" w:rsidRPr="00541CF1">
        <w:t xml:space="preserve"> due to the non-firm nature of </w:t>
      </w:r>
      <w:r w:rsidR="00E618DE" w:rsidRPr="00541CF1">
        <w:t xml:space="preserve">some of its </w:t>
      </w:r>
      <w:r w:rsidR="004424A5" w:rsidRPr="00541CF1">
        <w:t>transport service from the facility to its service territory</w:t>
      </w:r>
      <w:r w:rsidR="00E0281D" w:rsidRPr="00541CF1">
        <w:t xml:space="preserve">. </w:t>
      </w:r>
      <w:r w:rsidR="00EA123C" w:rsidRPr="00541CF1">
        <w:t xml:space="preserve"> </w:t>
      </w:r>
      <w:r w:rsidR="00974DC3" w:rsidRPr="00541CF1">
        <w:t>Considered</w:t>
      </w:r>
      <w:r w:rsidR="00C2378A" w:rsidRPr="00541CF1">
        <w:t xml:space="preserve"> as firm resources</w:t>
      </w:r>
      <w:r w:rsidR="00E0281D" w:rsidRPr="00541CF1">
        <w:t xml:space="preserve"> in prior IRPs</w:t>
      </w:r>
      <w:r w:rsidR="004424A5" w:rsidRPr="00541CF1">
        <w:t xml:space="preserve"> because the </w:t>
      </w:r>
      <w:r w:rsidR="00190E60" w:rsidRPr="00541CF1">
        <w:t>Company</w:t>
      </w:r>
      <w:r w:rsidR="004424A5" w:rsidRPr="00541CF1">
        <w:t xml:space="preserve"> believed the transport contracts were firm</w:t>
      </w:r>
      <w:r w:rsidR="00E0281D" w:rsidRPr="00541CF1">
        <w:t xml:space="preserve">, </w:t>
      </w:r>
      <w:r w:rsidR="00974DC3" w:rsidRPr="00541CF1">
        <w:t xml:space="preserve">the </w:t>
      </w:r>
      <w:r w:rsidR="004424A5" w:rsidRPr="00541CF1">
        <w:t xml:space="preserve">delivery of the gas under the </w:t>
      </w:r>
      <w:r w:rsidR="00C2378A" w:rsidRPr="00541CF1">
        <w:t xml:space="preserve">Plymouth and JP </w:t>
      </w:r>
      <w:r w:rsidR="00C033C7" w:rsidRPr="00541CF1">
        <w:t xml:space="preserve">contracts were </w:t>
      </w:r>
      <w:r w:rsidR="00974DC3" w:rsidRPr="00541CF1">
        <w:t xml:space="preserve">in reality </w:t>
      </w:r>
      <w:r w:rsidR="00C2378A" w:rsidRPr="00541CF1">
        <w:t>subordinate to firm</w:t>
      </w:r>
      <w:r w:rsidR="00330B94" w:rsidRPr="00541CF1">
        <w:t xml:space="preserve"> </w:t>
      </w:r>
      <w:r w:rsidR="004424A5" w:rsidRPr="00541CF1">
        <w:t xml:space="preserve">gas pipeline rights </w:t>
      </w:r>
      <w:r w:rsidR="000D5107" w:rsidRPr="00541CF1">
        <w:t>and</w:t>
      </w:r>
      <w:r w:rsidR="00330B94" w:rsidRPr="00541CF1">
        <w:t xml:space="preserve"> </w:t>
      </w:r>
      <w:r w:rsidR="004424A5" w:rsidRPr="00541CF1">
        <w:t xml:space="preserve">therefore </w:t>
      </w:r>
      <w:r w:rsidR="00330B94" w:rsidRPr="00541CF1">
        <w:t>subject to curtailment.</w:t>
      </w:r>
      <w:r w:rsidR="008E4A93" w:rsidRPr="00541CF1">
        <w:t xml:space="preserve"> </w:t>
      </w:r>
    </w:p>
    <w:p w14:paraId="3D38CD8B" w14:textId="77777777" w:rsidR="008E4A93" w:rsidRPr="00541CF1" w:rsidRDefault="008E4A93" w:rsidP="006C66B2">
      <w:pPr>
        <w:pStyle w:val="NoSpacing"/>
        <w:spacing w:line="264" w:lineRule="auto"/>
        <w:ind w:left="450"/>
      </w:pPr>
    </w:p>
    <w:p w14:paraId="5C62DC1D" w14:textId="77CDE95B" w:rsidR="008E4A93" w:rsidRPr="00541CF1" w:rsidRDefault="008E4A93" w:rsidP="006C66B2">
      <w:pPr>
        <w:pStyle w:val="NoSpacing"/>
        <w:spacing w:line="264" w:lineRule="auto"/>
        <w:ind w:left="450"/>
      </w:pPr>
      <w:r w:rsidRPr="00541CF1">
        <w:t xml:space="preserve">Driven by changes to the firm resource stack, the Plan states that the </w:t>
      </w:r>
      <w:r w:rsidR="00190E60" w:rsidRPr="00541CF1">
        <w:t>Company</w:t>
      </w:r>
      <w:r w:rsidRPr="00541CF1">
        <w:t xml:space="preserve"> will need additional interstate transmission capacity within the 20-year planning horizon. </w:t>
      </w:r>
      <w:r w:rsidR="00400AA7" w:rsidRPr="00541CF1">
        <w:t xml:space="preserve"> </w:t>
      </w:r>
      <w:r w:rsidRPr="00541CF1">
        <w:t xml:space="preserve">The </w:t>
      </w:r>
      <w:r w:rsidR="00190E60" w:rsidRPr="00541CF1">
        <w:t>Company</w:t>
      </w:r>
      <w:r w:rsidRPr="00541CF1">
        <w:t xml:space="preserve"> can cover transmission deficiencies for the next </w:t>
      </w:r>
      <w:r w:rsidR="00D20864">
        <w:t>five</w:t>
      </w:r>
      <w:r w:rsidRPr="00541CF1">
        <w:t xml:space="preserve"> years through segmented capacity and Mist storage recall, but will need to acquire additional supply-side resources within the planning horizon.</w:t>
      </w:r>
      <w:r w:rsidRPr="00541CF1">
        <w:rPr>
          <w:rStyle w:val="FootnoteReference"/>
        </w:rPr>
        <w:footnoteReference w:id="6"/>
      </w:r>
      <w:r w:rsidRPr="00541CF1">
        <w:t xml:space="preserve"> </w:t>
      </w:r>
      <w:r w:rsidR="00400AA7" w:rsidRPr="00541CF1">
        <w:t xml:space="preserve"> </w:t>
      </w:r>
      <w:r w:rsidRPr="00541CF1">
        <w:t xml:space="preserve">The </w:t>
      </w:r>
      <w:r w:rsidR="00994DC4">
        <w:t>Company does not yet know when it will need</w:t>
      </w:r>
      <w:r w:rsidRPr="00541CF1">
        <w:t xml:space="preserve"> additional capacity. </w:t>
      </w:r>
      <w:r w:rsidR="00400AA7" w:rsidRPr="00541CF1">
        <w:t xml:space="preserve"> </w:t>
      </w:r>
      <w:r w:rsidRPr="00541CF1">
        <w:t xml:space="preserve">The Plan determined that due to the high degree of uncertainty regarding proposed regional projects, the </w:t>
      </w:r>
      <w:r w:rsidR="00190E60" w:rsidRPr="00541CF1">
        <w:t>Company</w:t>
      </w:r>
      <w:r w:rsidRPr="00541CF1">
        <w:t xml:space="preserve"> should remain flexible and employ risk management strategies as the regional projects unfold.</w:t>
      </w:r>
      <w:r w:rsidR="003629E9">
        <w:rPr>
          <w:rStyle w:val="FootnoteReference"/>
        </w:rPr>
        <w:footnoteReference w:id="7"/>
      </w:r>
      <w:r w:rsidR="00400AA7" w:rsidRPr="00541CF1">
        <w:t xml:space="preserve"> </w:t>
      </w:r>
      <w:r w:rsidRPr="00541CF1">
        <w:t xml:space="preserve"> A key tool for managing this risk is Mist storage recall.</w:t>
      </w:r>
    </w:p>
    <w:p w14:paraId="03C1CF2D" w14:textId="77777777" w:rsidR="008E4A93" w:rsidRPr="00541CF1" w:rsidRDefault="008E4A93" w:rsidP="006C66B2">
      <w:pPr>
        <w:ind w:left="450"/>
      </w:pPr>
    </w:p>
    <w:p w14:paraId="45D1004B" w14:textId="7AE792F4" w:rsidR="0050580A" w:rsidRPr="00541CF1" w:rsidRDefault="008E4A93" w:rsidP="006C66B2">
      <w:pPr>
        <w:ind w:left="450"/>
      </w:pPr>
      <w:r w:rsidRPr="00541CF1">
        <w:t>Furthermore, due to</w:t>
      </w:r>
      <w:r w:rsidR="00071B4E" w:rsidRPr="00541CF1">
        <w:t xml:space="preserve"> customer growth in the Washington service territory, t</w:t>
      </w:r>
      <w:r w:rsidR="00F600DA" w:rsidRPr="00541CF1">
        <w:t xml:space="preserve">he </w:t>
      </w:r>
      <w:r w:rsidR="00071B4E" w:rsidRPr="00541CF1">
        <w:t xml:space="preserve">Plan states that the </w:t>
      </w:r>
      <w:r w:rsidR="00D20864">
        <w:t xml:space="preserve">Company requires immediate </w:t>
      </w:r>
      <w:r w:rsidR="00D20864" w:rsidRPr="00B86776">
        <w:t xml:space="preserve">distribution upgrades </w:t>
      </w:r>
      <w:r w:rsidR="00D20864">
        <w:t xml:space="preserve">in its </w:t>
      </w:r>
      <w:r w:rsidR="00071B4E" w:rsidRPr="00541CF1">
        <w:t>Washington service territory</w:t>
      </w:r>
      <w:r w:rsidR="00071B4E" w:rsidRPr="00B86776">
        <w:t xml:space="preserve">. </w:t>
      </w:r>
      <w:r w:rsidR="00400AA7" w:rsidRPr="00B86776">
        <w:t xml:space="preserve"> </w:t>
      </w:r>
      <w:r w:rsidR="00D20864">
        <w:t>The Plan shows that the Company</w:t>
      </w:r>
      <w:r w:rsidR="00071B4E" w:rsidRPr="00541CF1">
        <w:t xml:space="preserve"> is</w:t>
      </w:r>
      <w:r w:rsidR="00011A52" w:rsidRPr="00541CF1">
        <w:t xml:space="preserve"> currently</w:t>
      </w:r>
      <w:r w:rsidR="005C6E9C" w:rsidRPr="00541CF1">
        <w:t xml:space="preserve"> peak</w:t>
      </w:r>
      <w:r w:rsidR="0050580A" w:rsidRPr="00541CF1">
        <w:t xml:space="preserve"> resource deficient</w:t>
      </w:r>
      <w:r w:rsidR="00312FF6" w:rsidRPr="00541CF1">
        <w:t xml:space="preserve"> in Clark County, as shown in Figure 1.2</w:t>
      </w:r>
      <w:r w:rsidR="0078247A" w:rsidRPr="00541CF1">
        <w:t>.</w:t>
      </w:r>
      <w:r w:rsidR="005C6E9C" w:rsidRPr="00541CF1">
        <w:rPr>
          <w:rStyle w:val="FootnoteReference"/>
        </w:rPr>
        <w:t xml:space="preserve"> </w:t>
      </w:r>
      <w:r w:rsidR="005C6E9C" w:rsidRPr="00541CF1">
        <w:rPr>
          <w:rStyle w:val="FootnoteReference"/>
        </w:rPr>
        <w:footnoteReference w:id="8"/>
      </w:r>
      <w:r w:rsidR="005C6E9C" w:rsidRPr="00541CF1">
        <w:t xml:space="preserve"> </w:t>
      </w:r>
      <w:r w:rsidR="00400AA7" w:rsidRPr="00541CF1">
        <w:t xml:space="preserve"> </w:t>
      </w:r>
      <w:r w:rsidR="005C6E9C" w:rsidRPr="00541CF1">
        <w:t xml:space="preserve">The Plan states that </w:t>
      </w:r>
      <w:r w:rsidR="00D20864">
        <w:t>the Company</w:t>
      </w:r>
      <w:r w:rsidR="00071B4E" w:rsidRPr="00541CF1">
        <w:t xml:space="preserve"> will need</w:t>
      </w:r>
      <w:r w:rsidR="005C6E9C" w:rsidRPr="00541CF1">
        <w:t xml:space="preserve"> to invest $25 million in Washington distribution system projects o</w:t>
      </w:r>
      <w:r w:rsidR="00C50B22" w:rsidRPr="00541CF1">
        <w:t xml:space="preserve">ver the next </w:t>
      </w:r>
      <w:r w:rsidR="000E0FC3">
        <w:t>five</w:t>
      </w:r>
      <w:r w:rsidR="00C50B22" w:rsidRPr="00541CF1">
        <w:t xml:space="preserve"> years to ameliorate</w:t>
      </w:r>
      <w:r w:rsidR="005C6E9C" w:rsidRPr="00541CF1">
        <w:t xml:space="preserve"> </w:t>
      </w:r>
      <w:r w:rsidR="00C50B22" w:rsidRPr="00541CF1">
        <w:t>the</w:t>
      </w:r>
      <w:r w:rsidR="005C6E9C" w:rsidRPr="00541CF1">
        <w:t xml:space="preserve"> deficiencies. </w:t>
      </w:r>
      <w:r w:rsidR="00CD206F">
        <w:t xml:space="preserve"> </w:t>
      </w:r>
    </w:p>
    <w:p w14:paraId="7E0507F2" w14:textId="24391648" w:rsidR="00960A70" w:rsidRPr="00541CF1" w:rsidRDefault="007C1FD0" w:rsidP="006C66B2">
      <w:pPr>
        <w:ind w:left="450"/>
      </w:pPr>
      <w:r w:rsidRPr="00541CF1">
        <w:rPr>
          <w:noProof/>
        </w:rPr>
        <w:lastRenderedPageBreak/>
        <w:drawing>
          <wp:anchor distT="0" distB="0" distL="114300" distR="114300" simplePos="0" relativeHeight="251658240" behindDoc="1" locked="0" layoutInCell="1" allowOverlap="1" wp14:anchorId="6453EA4E" wp14:editId="52328462">
            <wp:simplePos x="0" y="0"/>
            <wp:positionH relativeFrom="column">
              <wp:posOffset>1080135</wp:posOffset>
            </wp:positionH>
            <wp:positionV relativeFrom="paragraph">
              <wp:posOffset>0</wp:posOffset>
            </wp:positionV>
            <wp:extent cx="4199890" cy="26568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rk County Deficiency.PNG"/>
                    <pic:cNvPicPr/>
                  </pic:nvPicPr>
                  <pic:blipFill>
                    <a:blip r:embed="rId8">
                      <a:extLst>
                        <a:ext uri="{28A0092B-C50C-407E-A947-70E740481C1C}">
                          <a14:useLocalDpi xmlns:a14="http://schemas.microsoft.com/office/drawing/2010/main" val="0"/>
                        </a:ext>
                      </a:extLst>
                    </a:blip>
                    <a:stretch>
                      <a:fillRect/>
                    </a:stretch>
                  </pic:blipFill>
                  <pic:spPr>
                    <a:xfrm>
                      <a:off x="0" y="0"/>
                      <a:ext cx="4199890" cy="2656840"/>
                    </a:xfrm>
                    <a:prstGeom prst="rect">
                      <a:avLst/>
                    </a:prstGeom>
                  </pic:spPr>
                </pic:pic>
              </a:graphicData>
            </a:graphic>
          </wp:anchor>
        </w:drawing>
      </w:r>
    </w:p>
    <w:p w14:paraId="220ED2CA" w14:textId="12A2FE8D" w:rsidR="0050580A" w:rsidRPr="00541CF1" w:rsidRDefault="0050580A" w:rsidP="006C66B2">
      <w:pPr>
        <w:ind w:left="450"/>
        <w:jc w:val="center"/>
      </w:pPr>
    </w:p>
    <w:p w14:paraId="79810234" w14:textId="77777777" w:rsidR="0040315A" w:rsidRPr="00541CF1" w:rsidRDefault="0040315A" w:rsidP="006C66B2">
      <w:pPr>
        <w:pStyle w:val="NoSpacing"/>
        <w:spacing w:line="264" w:lineRule="auto"/>
        <w:ind w:left="450"/>
      </w:pPr>
    </w:p>
    <w:p w14:paraId="467ABEDD" w14:textId="77777777" w:rsidR="008E4A93" w:rsidRPr="00F62BD2" w:rsidRDefault="008E4A93" w:rsidP="00F62BD2">
      <w:pPr>
        <w:ind w:left="450"/>
        <w:jc w:val="center"/>
        <w:rPr>
          <w:i/>
        </w:rPr>
      </w:pPr>
    </w:p>
    <w:p w14:paraId="17BF7D7F" w14:textId="77777777" w:rsidR="006C66B2" w:rsidRPr="00541CF1" w:rsidRDefault="006C66B2" w:rsidP="006C66B2">
      <w:pPr>
        <w:ind w:left="450"/>
        <w:rPr>
          <w:i/>
        </w:rPr>
      </w:pPr>
    </w:p>
    <w:p w14:paraId="770D8036" w14:textId="77777777" w:rsidR="00891017" w:rsidRDefault="00891017" w:rsidP="006C66B2">
      <w:pPr>
        <w:ind w:left="450"/>
        <w:rPr>
          <w:i/>
        </w:rPr>
      </w:pPr>
    </w:p>
    <w:p w14:paraId="5BFC84F0" w14:textId="77777777" w:rsidR="00891017" w:rsidRDefault="00891017" w:rsidP="006C66B2">
      <w:pPr>
        <w:ind w:left="450"/>
        <w:rPr>
          <w:i/>
        </w:rPr>
      </w:pPr>
    </w:p>
    <w:p w14:paraId="0184C5A1" w14:textId="77777777" w:rsidR="00891017" w:rsidRDefault="00891017" w:rsidP="006C66B2">
      <w:pPr>
        <w:ind w:left="450"/>
        <w:rPr>
          <w:i/>
        </w:rPr>
      </w:pPr>
    </w:p>
    <w:p w14:paraId="5D9E6E2E" w14:textId="77777777" w:rsidR="00891017" w:rsidRDefault="00891017" w:rsidP="006C66B2">
      <w:pPr>
        <w:ind w:left="450"/>
        <w:rPr>
          <w:i/>
        </w:rPr>
      </w:pPr>
    </w:p>
    <w:p w14:paraId="21F5B980" w14:textId="77777777" w:rsidR="00891017" w:rsidRDefault="00891017" w:rsidP="006C66B2">
      <w:pPr>
        <w:ind w:left="450"/>
        <w:rPr>
          <w:i/>
        </w:rPr>
      </w:pPr>
    </w:p>
    <w:p w14:paraId="6ADA19D2" w14:textId="77777777" w:rsidR="00891017" w:rsidRDefault="00891017" w:rsidP="006C66B2">
      <w:pPr>
        <w:ind w:left="450"/>
        <w:rPr>
          <w:i/>
        </w:rPr>
      </w:pPr>
    </w:p>
    <w:p w14:paraId="4C1D8194" w14:textId="77777777" w:rsidR="00891017" w:rsidRDefault="00891017" w:rsidP="006C66B2">
      <w:pPr>
        <w:ind w:left="450"/>
        <w:rPr>
          <w:i/>
        </w:rPr>
      </w:pPr>
    </w:p>
    <w:p w14:paraId="2300E103" w14:textId="77777777" w:rsidR="00891017" w:rsidRDefault="00891017" w:rsidP="006C66B2">
      <w:pPr>
        <w:ind w:left="450"/>
        <w:rPr>
          <w:i/>
        </w:rPr>
      </w:pPr>
    </w:p>
    <w:p w14:paraId="73C4E62F" w14:textId="77777777" w:rsidR="00891017" w:rsidRDefault="00891017" w:rsidP="006C66B2">
      <w:pPr>
        <w:ind w:left="450"/>
        <w:rPr>
          <w:i/>
        </w:rPr>
      </w:pPr>
    </w:p>
    <w:p w14:paraId="3C58B397" w14:textId="5DC4A7B6" w:rsidR="005C6E9C" w:rsidRPr="00541CF1" w:rsidRDefault="006F528E" w:rsidP="006C66B2">
      <w:pPr>
        <w:ind w:left="450"/>
        <w:rPr>
          <w:i/>
        </w:rPr>
      </w:pPr>
      <w:r w:rsidRPr="00541CF1">
        <w:rPr>
          <w:i/>
        </w:rPr>
        <w:t>Recommendations</w:t>
      </w:r>
    </w:p>
    <w:p w14:paraId="3E864D53" w14:textId="111F71F4" w:rsidR="005C6E9C" w:rsidRPr="00541CF1" w:rsidRDefault="00065A93" w:rsidP="006C66B2">
      <w:pPr>
        <w:ind w:left="450"/>
      </w:pPr>
      <w:r w:rsidRPr="00541CF1">
        <w:t xml:space="preserve">NW Natural’s </w:t>
      </w:r>
      <w:r w:rsidR="00BB704B" w:rsidRPr="00541CF1">
        <w:t>general ana</w:t>
      </w:r>
      <w:r w:rsidR="009A553A" w:rsidRPr="00541CF1">
        <w:t>lytic approach in the final IRP</w:t>
      </w:r>
      <w:r w:rsidR="0017551C" w:rsidRPr="00541CF1">
        <w:t xml:space="preserve"> is sound</w:t>
      </w:r>
      <w:r w:rsidR="00563934" w:rsidRPr="00541CF1">
        <w:t xml:space="preserve"> and </w:t>
      </w:r>
      <w:r w:rsidR="0017551C" w:rsidRPr="00541CF1">
        <w:t xml:space="preserve">we </w:t>
      </w:r>
      <w:r w:rsidR="00563934" w:rsidRPr="00541CF1">
        <w:t>concur</w:t>
      </w:r>
      <w:r w:rsidR="00B3118D" w:rsidRPr="00541CF1">
        <w:t xml:space="preserve"> that the </w:t>
      </w:r>
      <w:r w:rsidR="00190E60" w:rsidRPr="00541CF1">
        <w:t>Company</w:t>
      </w:r>
      <w:r w:rsidR="00F600DA" w:rsidRPr="00541CF1">
        <w:t xml:space="preserve"> will likely need additional interstate transmission capacity </w:t>
      </w:r>
      <w:r w:rsidR="00E9305F" w:rsidRPr="00541CF1">
        <w:t>with</w:t>
      </w:r>
      <w:r w:rsidR="00F600DA" w:rsidRPr="00541CF1">
        <w:t xml:space="preserve">in the </w:t>
      </w:r>
      <w:r w:rsidR="00E9305F" w:rsidRPr="00541CF1">
        <w:t>next 20 years</w:t>
      </w:r>
      <w:r w:rsidR="00F600DA" w:rsidRPr="00541CF1">
        <w:t>.</w:t>
      </w:r>
      <w:r w:rsidR="009A553A" w:rsidRPr="00541CF1">
        <w:t xml:space="preserve"> </w:t>
      </w:r>
      <w:r w:rsidR="00400AA7" w:rsidRPr="00541CF1">
        <w:t xml:space="preserve"> </w:t>
      </w:r>
      <w:r w:rsidR="009A553A" w:rsidRPr="00541CF1">
        <w:t xml:space="preserve">Although </w:t>
      </w:r>
      <w:r w:rsidR="00B3118D" w:rsidRPr="00541CF1">
        <w:t>NW Natural’s</w:t>
      </w:r>
      <w:r w:rsidR="009A553A" w:rsidRPr="00541CF1">
        <w:t xml:space="preserve"> draft IRP determine</w:t>
      </w:r>
      <w:r w:rsidR="00F600DA" w:rsidRPr="00541CF1">
        <w:t xml:space="preserve">d that in all scenarios it is necessary to </w:t>
      </w:r>
      <w:r w:rsidR="009A553A" w:rsidRPr="00541CF1">
        <w:t xml:space="preserve">enter into an agreement for Cross-Cascades capacity </w:t>
      </w:r>
      <w:r w:rsidR="003324D0" w:rsidRPr="00541CF1">
        <w:t>within</w:t>
      </w:r>
      <w:r w:rsidR="009A553A" w:rsidRPr="00541CF1">
        <w:t xml:space="preserve"> 10 years, the</w:t>
      </w:r>
      <w:r w:rsidR="00F600DA" w:rsidRPr="00541CF1">
        <w:t xml:space="preserve"> final IRP is</w:t>
      </w:r>
      <w:r w:rsidR="009A553A" w:rsidRPr="00541CF1">
        <w:t xml:space="preserve"> more nuanced.</w:t>
      </w:r>
      <w:r w:rsidR="00400AA7" w:rsidRPr="00541CF1">
        <w:t xml:space="preserve"> </w:t>
      </w:r>
      <w:r w:rsidR="009A553A" w:rsidRPr="00541CF1">
        <w:t xml:space="preserve"> </w:t>
      </w:r>
      <w:r w:rsidR="00AA25F7" w:rsidRPr="00541CF1">
        <w:t>At th</w:t>
      </w:r>
      <w:r w:rsidR="00572E3A" w:rsidRPr="00541CF1">
        <w:t xml:space="preserve">e request of the advisory group to examine additional alternatives (such as the proposed Pacific Connector), the </w:t>
      </w:r>
      <w:r w:rsidR="00190E60" w:rsidRPr="00541CF1">
        <w:t>Company</w:t>
      </w:r>
      <w:r w:rsidR="00C406EC" w:rsidRPr="00541CF1">
        <w:t xml:space="preserve"> </w:t>
      </w:r>
      <w:r w:rsidR="00176C7C" w:rsidRPr="00541CF1">
        <w:t>determined that</w:t>
      </w:r>
      <w:r w:rsidR="00C406EC" w:rsidRPr="00541CF1">
        <w:t xml:space="preserve"> </w:t>
      </w:r>
      <w:r w:rsidR="00AA25F7" w:rsidRPr="00541CF1">
        <w:t>in some scenarios</w:t>
      </w:r>
      <w:r w:rsidR="0029148D" w:rsidRPr="00541CF1">
        <w:t xml:space="preserve"> alternatives</w:t>
      </w:r>
      <w:r w:rsidR="00AA25F7" w:rsidRPr="00541CF1">
        <w:t xml:space="preserve"> to the Cross-Cascades</w:t>
      </w:r>
      <w:r w:rsidR="0029148D" w:rsidRPr="00541CF1">
        <w:t xml:space="preserve"> had lower costs.</w:t>
      </w:r>
      <w:r w:rsidR="00400AA7" w:rsidRPr="00541CF1">
        <w:t xml:space="preserve"> </w:t>
      </w:r>
      <w:r w:rsidR="009A553A" w:rsidRPr="00541CF1">
        <w:t xml:space="preserve"> </w:t>
      </w:r>
      <w:r w:rsidR="0017551C" w:rsidRPr="00541CF1">
        <w:t>More i</w:t>
      </w:r>
      <w:r w:rsidR="00572E3A" w:rsidRPr="00541CF1">
        <w:t>mportantly</w:t>
      </w:r>
      <w:r w:rsidR="00AA25F7" w:rsidRPr="00541CF1">
        <w:t>,</w:t>
      </w:r>
      <w:r w:rsidR="0017551C" w:rsidRPr="00541CF1">
        <w:t xml:space="preserve"> the Plan</w:t>
      </w:r>
      <w:r w:rsidR="00F600DA" w:rsidRPr="00541CF1">
        <w:t xml:space="preserve"> </w:t>
      </w:r>
      <w:r w:rsidR="0017551C" w:rsidRPr="00541CF1">
        <w:t>recognizes</w:t>
      </w:r>
      <w:r w:rsidR="00AA25F7" w:rsidRPr="00541CF1">
        <w:t xml:space="preserve"> </w:t>
      </w:r>
      <w:r w:rsidR="003D1386" w:rsidRPr="00541CF1">
        <w:t xml:space="preserve">that regional projects and events outside the </w:t>
      </w:r>
      <w:r w:rsidR="00190E60" w:rsidRPr="00541CF1">
        <w:t>Company</w:t>
      </w:r>
      <w:r w:rsidR="003D1386" w:rsidRPr="00541CF1">
        <w:t>’</w:t>
      </w:r>
      <w:r w:rsidR="0017551C" w:rsidRPr="00541CF1">
        <w:t>s control will</w:t>
      </w:r>
      <w:r w:rsidR="00455692" w:rsidRPr="00541CF1">
        <w:t xml:space="preserve"> determine the next regional pipeline</w:t>
      </w:r>
      <w:r w:rsidR="00802028" w:rsidRPr="00541CF1">
        <w:t xml:space="preserve">, and </w:t>
      </w:r>
      <w:r w:rsidR="00F407DE" w:rsidRPr="00541CF1">
        <w:t>identifies</w:t>
      </w:r>
      <w:r w:rsidR="00563934" w:rsidRPr="00541CF1">
        <w:t xml:space="preserve"> the lowest-cost</w:t>
      </w:r>
      <w:r w:rsidR="00572E3A" w:rsidRPr="00541CF1">
        <w:t xml:space="preserve"> </w:t>
      </w:r>
      <w:r w:rsidR="00F407DE" w:rsidRPr="00541CF1">
        <w:t>resource stack for</w:t>
      </w:r>
      <w:r w:rsidR="00572E3A" w:rsidRPr="00541CF1">
        <w:t xml:space="preserve"> multiple scenarios</w:t>
      </w:r>
      <w:r w:rsidR="00563934" w:rsidRPr="00541CF1">
        <w:t xml:space="preserve">. </w:t>
      </w:r>
      <w:r w:rsidR="00400AA7" w:rsidRPr="00541CF1">
        <w:t xml:space="preserve"> </w:t>
      </w:r>
      <w:r w:rsidR="0017551C" w:rsidRPr="00541CF1">
        <w:t>This decision-making analysis</w:t>
      </w:r>
      <w:r w:rsidR="00563934" w:rsidRPr="00541CF1">
        <w:t xml:space="preserve"> </w:t>
      </w:r>
      <w:r w:rsidR="0017551C" w:rsidRPr="00541CF1">
        <w:t xml:space="preserve">should help the </w:t>
      </w:r>
      <w:r w:rsidR="00190E60" w:rsidRPr="00541CF1">
        <w:t>Company</w:t>
      </w:r>
      <w:r w:rsidR="0017551C" w:rsidRPr="00541CF1">
        <w:t xml:space="preserve"> </w:t>
      </w:r>
      <w:r w:rsidR="00F407DE" w:rsidRPr="00541CF1">
        <w:t>be prepared to respond appropriately as regional projects move forward.</w:t>
      </w:r>
      <w:r w:rsidR="00400AA7" w:rsidRPr="00541CF1">
        <w:t xml:space="preserve"> </w:t>
      </w:r>
      <w:r w:rsidR="00F407DE" w:rsidRPr="00541CF1">
        <w:t xml:space="preserve"> This</w:t>
      </w:r>
      <w:r w:rsidR="00563934" w:rsidRPr="00541CF1">
        <w:t xml:space="preserve"> is the appropriate analysis for a </w:t>
      </w:r>
      <w:r w:rsidR="0081170E">
        <w:t>c</w:t>
      </w:r>
      <w:r w:rsidR="00190E60" w:rsidRPr="00B86776">
        <w:t>ompany</w:t>
      </w:r>
      <w:r w:rsidR="00563934" w:rsidRPr="00541CF1">
        <w:t xml:space="preserve"> that is fortunate to have storage recall as a buffer </w:t>
      </w:r>
      <w:r w:rsidR="00220350" w:rsidRPr="00541CF1">
        <w:t>while regional events unfold</w:t>
      </w:r>
      <w:r w:rsidR="005453BD" w:rsidRPr="00541CF1">
        <w:t>.</w:t>
      </w:r>
    </w:p>
    <w:p w14:paraId="46DD397D" w14:textId="77777777" w:rsidR="00725437" w:rsidRPr="00541CF1" w:rsidRDefault="00725437" w:rsidP="006C66B2">
      <w:pPr>
        <w:ind w:left="450"/>
      </w:pPr>
    </w:p>
    <w:p w14:paraId="575AF2D8" w14:textId="3CADAD50" w:rsidR="00F407DE" w:rsidRPr="00541CF1" w:rsidRDefault="00F407DE" w:rsidP="006C66B2">
      <w:pPr>
        <w:ind w:left="450"/>
        <w:rPr>
          <w:spacing w:val="0"/>
        </w:rPr>
      </w:pPr>
      <w:r w:rsidRPr="00541CF1">
        <w:t xml:space="preserve">Although the Commission is satisfied with NW Natural’s general analytical approach and with the overall presentation of the analysis in this IRP, the Commission does have concerns with certain aspects of the Plan. </w:t>
      </w:r>
      <w:r w:rsidR="00400AA7" w:rsidRPr="00541CF1">
        <w:t xml:space="preserve"> </w:t>
      </w:r>
      <w:r w:rsidRPr="00541CF1">
        <w:t xml:space="preserve">For example, relative to the previous IRP, in this IRP the </w:t>
      </w:r>
      <w:r w:rsidR="00190E60" w:rsidRPr="00541CF1">
        <w:t>Company</w:t>
      </w:r>
      <w:r w:rsidRPr="00541CF1">
        <w:t xml:space="preserve"> made several significant changes to the inputs to its resource-planning model including adjusting the Washington load forecast upward, modifying the weather design criteria to plan for a more extreme winter event, and removing a storage contract from its firm resource stack. </w:t>
      </w:r>
      <w:r w:rsidR="00400AA7" w:rsidRPr="00541CF1">
        <w:t xml:space="preserve"> </w:t>
      </w:r>
      <w:r w:rsidRPr="00541CF1">
        <w:t xml:space="preserve">Although the Commission does not contest these individual adjustments, cumulatively the changes to the model invite skepticism, as it appears that all changes serve to advance the date of </w:t>
      </w:r>
      <w:r w:rsidR="00190E60" w:rsidRPr="00541CF1">
        <w:t>Company</w:t>
      </w:r>
      <w:r w:rsidRPr="00541CF1">
        <w:t xml:space="preserve">’s projected resource deficit. </w:t>
      </w:r>
      <w:r w:rsidR="00400AA7" w:rsidRPr="00541CF1">
        <w:t xml:space="preserve"> </w:t>
      </w:r>
      <w:r w:rsidRPr="00541CF1">
        <w:t xml:space="preserve">As it seems unlikely that all model adjustments should be so reliably one directional, the Commission must now pay particular attention to these types of adjustments in NW Natural’s future IRPs. </w:t>
      </w:r>
      <w:r w:rsidR="00400AA7" w:rsidRPr="00541CF1">
        <w:t xml:space="preserve"> </w:t>
      </w:r>
      <w:r w:rsidRPr="00541CF1">
        <w:t xml:space="preserve">As a matter of mere statistical probability, counter-balancing adjustments to the </w:t>
      </w:r>
      <w:r w:rsidR="00190E60" w:rsidRPr="00541CF1">
        <w:t>Company</w:t>
      </w:r>
      <w:r w:rsidRPr="00541CF1">
        <w:t xml:space="preserve">’s </w:t>
      </w:r>
      <w:r w:rsidRPr="00541CF1">
        <w:lastRenderedPageBreak/>
        <w:t xml:space="preserve">next resource planning model likely will be necessary. </w:t>
      </w:r>
      <w:r w:rsidR="00400AA7" w:rsidRPr="00541CF1">
        <w:t xml:space="preserve"> </w:t>
      </w:r>
      <w:r w:rsidRPr="00541CF1">
        <w:t xml:space="preserve">In developing its 2016 Plan, the </w:t>
      </w:r>
      <w:r w:rsidR="00190E60" w:rsidRPr="00541CF1">
        <w:t>Company</w:t>
      </w:r>
      <w:r w:rsidRPr="00541CF1">
        <w:t xml:space="preserve"> should strive to capture such counterbalancing factors.   </w:t>
      </w:r>
    </w:p>
    <w:p w14:paraId="73A0F512" w14:textId="77777777" w:rsidR="00572E3A" w:rsidRPr="00541CF1" w:rsidRDefault="00572E3A" w:rsidP="006C66B2">
      <w:pPr>
        <w:ind w:left="450"/>
      </w:pPr>
    </w:p>
    <w:p w14:paraId="6D2C2D5F" w14:textId="6EA9334A" w:rsidR="009D7719" w:rsidRPr="00541CF1" w:rsidRDefault="000D4D2E" w:rsidP="006C66B2">
      <w:pPr>
        <w:ind w:left="450"/>
      </w:pPr>
      <w:r w:rsidRPr="00541CF1">
        <w:t xml:space="preserve">The Commission is also concerned with the </w:t>
      </w:r>
      <w:r w:rsidR="00190E60" w:rsidRPr="00541CF1">
        <w:t>Company</w:t>
      </w:r>
      <w:r w:rsidRPr="00541CF1">
        <w:t>’s avoided cost calculation</w:t>
      </w:r>
      <w:r w:rsidR="00F407DE" w:rsidRPr="00541CF1">
        <w:t>, which does not include the capacity costs of projects in the expected case.</w:t>
      </w:r>
      <w:r w:rsidR="00400AA7" w:rsidRPr="00541CF1">
        <w:t xml:space="preserve"> </w:t>
      </w:r>
      <w:r w:rsidR="00F407DE" w:rsidRPr="00541CF1">
        <w:t xml:space="preserve"> </w:t>
      </w:r>
      <w:r w:rsidR="00153765">
        <w:t>This suggests that the Company</w:t>
      </w:r>
      <w:r w:rsidR="00F407DE" w:rsidRPr="00541CF1">
        <w:t xml:space="preserve"> is under-investing in conservation resources. </w:t>
      </w:r>
      <w:r w:rsidRPr="00541CF1">
        <w:t xml:space="preserve"> </w:t>
      </w:r>
      <w:r w:rsidR="009D7719" w:rsidRPr="00541CF1">
        <w:t xml:space="preserve">As a condition of acknowledgment of this IRP, the Commission requires the </w:t>
      </w:r>
      <w:r w:rsidR="00190E60" w:rsidRPr="00541CF1">
        <w:t>Company</w:t>
      </w:r>
      <w:r w:rsidR="009D7719" w:rsidRPr="00541CF1">
        <w:t xml:space="preserve"> to:</w:t>
      </w:r>
    </w:p>
    <w:p w14:paraId="16E72B81" w14:textId="77777777" w:rsidR="00802028" w:rsidRPr="00541CF1" w:rsidRDefault="00802028" w:rsidP="006C66B2">
      <w:pPr>
        <w:ind w:left="450"/>
      </w:pPr>
    </w:p>
    <w:p w14:paraId="3FDD9F98" w14:textId="11265894" w:rsidR="005453BD" w:rsidRPr="00541CF1" w:rsidRDefault="00977E05" w:rsidP="008E538C">
      <w:pPr>
        <w:pStyle w:val="ListParagraph"/>
        <w:numPr>
          <w:ilvl w:val="0"/>
          <w:numId w:val="6"/>
        </w:numPr>
        <w:ind w:left="1260"/>
      </w:pPr>
      <w:r w:rsidRPr="00541CF1">
        <w:t>Work with the Technical Working Group</w:t>
      </w:r>
      <w:r w:rsidR="00400AA7" w:rsidRPr="00541CF1">
        <w:t xml:space="preserve"> (TWG)</w:t>
      </w:r>
      <w:r w:rsidRPr="00541CF1">
        <w:t xml:space="preserve"> to correct deficiencies in the avoided cost, and file </w:t>
      </w:r>
      <w:r w:rsidR="00E207E0" w:rsidRPr="00541CF1">
        <w:t>an updated cost in</w:t>
      </w:r>
      <w:r w:rsidRPr="00541CF1">
        <w:t xml:space="preserve"> the 2016 Energy Efficiency Business Plan</w:t>
      </w:r>
      <w:r w:rsidR="00B57B43" w:rsidRPr="00541CF1">
        <w:t>.</w:t>
      </w:r>
    </w:p>
    <w:p w14:paraId="1C082C83" w14:textId="77777777" w:rsidR="009D7719" w:rsidRPr="00541CF1" w:rsidRDefault="009D7719" w:rsidP="008E538C">
      <w:pPr>
        <w:ind w:left="1260"/>
      </w:pPr>
    </w:p>
    <w:p w14:paraId="09E150D7" w14:textId="16B6B081" w:rsidR="009D7719" w:rsidRPr="00541CF1" w:rsidRDefault="000D4D2E" w:rsidP="00F62BD2">
      <w:pPr>
        <w:ind w:left="450"/>
      </w:pPr>
      <w:r w:rsidRPr="00541CF1">
        <w:t>The Commission also</w:t>
      </w:r>
      <w:r w:rsidR="009D7719" w:rsidRPr="00541CF1">
        <w:t xml:space="preserve"> has a number of recommendations that it believes will make for a stronger 2016 IRP. </w:t>
      </w:r>
    </w:p>
    <w:p w14:paraId="7BBFD87E" w14:textId="77777777" w:rsidR="009D7719" w:rsidRPr="00541CF1" w:rsidRDefault="009D7719" w:rsidP="008E538C">
      <w:pPr>
        <w:ind w:left="1260"/>
      </w:pPr>
    </w:p>
    <w:p w14:paraId="5ADC95E4" w14:textId="7E634AD2" w:rsidR="003B35C1" w:rsidRPr="00541CF1" w:rsidRDefault="00B84D4B" w:rsidP="008E538C">
      <w:pPr>
        <w:pStyle w:val="ListParagraph"/>
        <w:numPr>
          <w:ilvl w:val="0"/>
          <w:numId w:val="6"/>
        </w:numPr>
        <w:ind w:left="1260"/>
      </w:pPr>
      <w:r w:rsidRPr="00541CF1">
        <w:t>Consider a larger range</w:t>
      </w:r>
      <w:r w:rsidR="0017551C" w:rsidRPr="00541CF1">
        <w:t xml:space="preserve"> of potential </w:t>
      </w:r>
      <w:r w:rsidR="00975DBC" w:rsidRPr="00541CF1">
        <w:t>peak</w:t>
      </w:r>
      <w:r w:rsidR="00A929AE">
        <w:t>-</w:t>
      </w:r>
      <w:r w:rsidR="00975DBC" w:rsidRPr="00541CF1">
        <w:t>day demand</w:t>
      </w:r>
      <w:r w:rsidR="0017551C" w:rsidRPr="00541CF1">
        <w:t xml:space="preserve"> growth</w:t>
      </w:r>
      <w:r w:rsidRPr="00541CF1">
        <w:t xml:space="preserve"> scenarios</w:t>
      </w:r>
      <w:r w:rsidR="00EC0B75" w:rsidRPr="00541CF1">
        <w:t xml:space="preserve">, including a </w:t>
      </w:r>
      <w:r w:rsidRPr="00541CF1">
        <w:t xml:space="preserve">very </w:t>
      </w:r>
      <w:r w:rsidR="00975DBC" w:rsidRPr="00541CF1">
        <w:t>low</w:t>
      </w:r>
      <w:r w:rsidR="00EC0B75" w:rsidRPr="00541CF1">
        <w:t xml:space="preserve"> </w:t>
      </w:r>
      <w:r w:rsidRPr="00541CF1">
        <w:t xml:space="preserve">demand growth </w:t>
      </w:r>
      <w:r w:rsidR="00127C33" w:rsidRPr="00541CF1">
        <w:t>forecast;</w:t>
      </w:r>
    </w:p>
    <w:p w14:paraId="666EA800" w14:textId="6B82748E" w:rsidR="00E207E0" w:rsidRPr="00541CF1" w:rsidRDefault="003E5E59" w:rsidP="008E538C">
      <w:pPr>
        <w:pStyle w:val="ListParagraph"/>
        <w:numPr>
          <w:ilvl w:val="0"/>
          <w:numId w:val="6"/>
        </w:numPr>
        <w:ind w:left="1260"/>
      </w:pPr>
      <w:r w:rsidRPr="00541CF1">
        <w:t>Re-examine the</w:t>
      </w:r>
      <w:r w:rsidR="00B57B43" w:rsidRPr="00541CF1">
        <w:t xml:space="preserve"> Washington service territory use-per-customer</w:t>
      </w:r>
      <w:r w:rsidR="00E207E0" w:rsidRPr="00541CF1">
        <w:t>;</w:t>
      </w:r>
    </w:p>
    <w:p w14:paraId="44F25797" w14:textId="34EF8994" w:rsidR="00127C33" w:rsidRPr="00541CF1" w:rsidRDefault="00127C33" w:rsidP="008E538C">
      <w:pPr>
        <w:pStyle w:val="ListParagraph"/>
        <w:numPr>
          <w:ilvl w:val="0"/>
          <w:numId w:val="6"/>
        </w:numPr>
        <w:ind w:left="1260"/>
      </w:pPr>
      <w:r w:rsidRPr="00541CF1">
        <w:t>Provide more detail on the distribution model results and analysis that identify specific</w:t>
      </w:r>
      <w:r w:rsidR="00725437" w:rsidRPr="00541CF1">
        <w:t xml:space="preserve"> large</w:t>
      </w:r>
      <w:r w:rsidRPr="00541CF1">
        <w:t xml:space="preserve"> distribution projects;</w:t>
      </w:r>
    </w:p>
    <w:p w14:paraId="595E49F9" w14:textId="7FE35537" w:rsidR="00B57B43" w:rsidRPr="00541CF1" w:rsidRDefault="00161AB2" w:rsidP="008E538C">
      <w:pPr>
        <w:pStyle w:val="ListParagraph"/>
        <w:numPr>
          <w:ilvl w:val="0"/>
          <w:numId w:val="6"/>
        </w:numPr>
        <w:ind w:left="1260"/>
      </w:pPr>
      <w:r w:rsidRPr="00541CF1">
        <w:t>Discuss with the Technical Working Group</w:t>
      </w:r>
      <w:r w:rsidR="00D23BBE" w:rsidRPr="00541CF1">
        <w:t xml:space="preserve"> </w:t>
      </w:r>
      <w:r w:rsidRPr="00541CF1">
        <w:t>the appropriateness of the changes made to the</w:t>
      </w:r>
      <w:r w:rsidR="000B71EE" w:rsidRPr="00541CF1">
        <w:t xml:space="preserve"> design weather </w:t>
      </w:r>
      <w:r w:rsidRPr="00541CF1">
        <w:t>criteria;</w:t>
      </w:r>
    </w:p>
    <w:p w14:paraId="4C18D214" w14:textId="50F9A4C3" w:rsidR="00975603" w:rsidRPr="00541CF1" w:rsidRDefault="00127C33" w:rsidP="008E538C">
      <w:pPr>
        <w:pStyle w:val="ListParagraph"/>
        <w:numPr>
          <w:ilvl w:val="0"/>
          <w:numId w:val="6"/>
        </w:numPr>
        <w:ind w:left="1260"/>
      </w:pPr>
      <w:r w:rsidRPr="00B86776">
        <w:t>Co</w:t>
      </w:r>
      <w:r w:rsidR="00DB10B4">
        <w:t>nsider</w:t>
      </w:r>
      <w:r w:rsidR="00373513" w:rsidRPr="00541CF1">
        <w:t xml:space="preserve"> a </w:t>
      </w:r>
      <w:r w:rsidR="00725437" w:rsidRPr="00541CF1">
        <w:t xml:space="preserve">quantitative </w:t>
      </w:r>
      <w:r w:rsidR="00373513" w:rsidRPr="00541CF1">
        <w:t xml:space="preserve">risk analysis </w:t>
      </w:r>
      <w:r w:rsidR="008D0277" w:rsidRPr="00541CF1">
        <w:t xml:space="preserve">of </w:t>
      </w:r>
      <w:r w:rsidR="008D0277" w:rsidRPr="00B86776">
        <w:t>rel</w:t>
      </w:r>
      <w:r w:rsidR="00AA2745">
        <w:t>iance</w:t>
      </w:r>
      <w:r w:rsidR="008D0277" w:rsidRPr="00541CF1">
        <w:t xml:space="preserve"> upon segmented capacity as a firm resource until 2018.</w:t>
      </w:r>
      <w:r w:rsidR="00EB76B6" w:rsidRPr="00541CF1">
        <w:t xml:space="preserve"> </w:t>
      </w:r>
    </w:p>
    <w:p w14:paraId="6F4035D6" w14:textId="77777777" w:rsidR="00975603" w:rsidRPr="00541CF1" w:rsidRDefault="00975603" w:rsidP="008E538C">
      <w:pPr>
        <w:ind w:left="1260"/>
      </w:pPr>
    </w:p>
    <w:p w14:paraId="15C742EC" w14:textId="77777777" w:rsidR="0058365C" w:rsidRPr="00541CF1" w:rsidRDefault="0058365C" w:rsidP="006C66B2">
      <w:pPr>
        <w:ind w:left="450"/>
      </w:pPr>
    </w:p>
    <w:p w14:paraId="657BB9E5" w14:textId="77777777" w:rsidR="00CD7CBB" w:rsidRPr="00541CF1" w:rsidRDefault="00CD7CBB" w:rsidP="006C66B2">
      <w:pPr>
        <w:ind w:left="450"/>
        <w:rPr>
          <w:b/>
          <w:u w:val="single"/>
        </w:rPr>
      </w:pPr>
      <w:r w:rsidRPr="00541CF1">
        <w:rPr>
          <w:b/>
          <w:u w:val="single"/>
        </w:rPr>
        <w:t>Discussion</w:t>
      </w:r>
    </w:p>
    <w:p w14:paraId="569778AE" w14:textId="77777777" w:rsidR="00CD7CBB" w:rsidRPr="00541CF1" w:rsidRDefault="00CD7CBB" w:rsidP="006C66B2">
      <w:pPr>
        <w:ind w:left="450"/>
      </w:pPr>
    </w:p>
    <w:p w14:paraId="0BFD9A09" w14:textId="77777777" w:rsidR="00C22A8C" w:rsidRPr="00541CF1" w:rsidRDefault="00C22A8C" w:rsidP="006C66B2">
      <w:pPr>
        <w:ind w:left="450"/>
        <w:rPr>
          <w:b/>
        </w:rPr>
      </w:pPr>
      <w:r w:rsidRPr="00541CF1">
        <w:rPr>
          <w:b/>
        </w:rPr>
        <w:t>Load Forecast</w:t>
      </w:r>
    </w:p>
    <w:p w14:paraId="1A0D0959" w14:textId="47DA7372" w:rsidR="002D57F4" w:rsidRPr="00541CF1" w:rsidRDefault="00065A93" w:rsidP="006C66B2">
      <w:pPr>
        <w:ind w:left="450"/>
      </w:pPr>
      <w:r w:rsidRPr="00B86776">
        <w:t>N</w:t>
      </w:r>
      <w:r w:rsidR="005421B7">
        <w:t>W</w:t>
      </w:r>
      <w:r w:rsidRPr="00541CF1">
        <w:t xml:space="preserve"> Natural</w:t>
      </w:r>
      <w:r w:rsidR="008202A0" w:rsidRPr="00541CF1">
        <w:t xml:space="preserve"> projects its Washington </w:t>
      </w:r>
      <w:r w:rsidR="00DC3200" w:rsidRPr="00541CF1">
        <w:t xml:space="preserve">peak-day </w:t>
      </w:r>
      <w:r w:rsidR="008202A0" w:rsidRPr="00541CF1">
        <w:t xml:space="preserve">demand to </w:t>
      </w:r>
      <w:r w:rsidR="00DC3200" w:rsidRPr="00541CF1">
        <w:t>grow at 3.4</w:t>
      </w:r>
      <w:r w:rsidR="004A65E4" w:rsidRPr="00541CF1">
        <w:t xml:space="preserve"> percent annually</w:t>
      </w:r>
      <w:r w:rsidR="00234E41" w:rsidRPr="00541CF1">
        <w:t xml:space="preserve"> net of demand-side management (DSM)</w:t>
      </w:r>
      <w:r w:rsidR="004A65E4" w:rsidRPr="00541CF1">
        <w:t>, a substantial</w:t>
      </w:r>
      <w:r w:rsidR="008202A0" w:rsidRPr="00541CF1">
        <w:t xml:space="preserve"> increase from </w:t>
      </w:r>
      <w:r w:rsidR="00E01AAD" w:rsidRPr="00541CF1">
        <w:t xml:space="preserve">the </w:t>
      </w:r>
      <w:r w:rsidR="008202A0" w:rsidRPr="00541CF1">
        <w:t xml:space="preserve">1.61 percent </w:t>
      </w:r>
      <w:r w:rsidR="00E01AAD" w:rsidRPr="00541CF1">
        <w:t xml:space="preserve">projected </w:t>
      </w:r>
      <w:r w:rsidR="008202A0" w:rsidRPr="00541CF1">
        <w:t>in the 2013 IRP.</w:t>
      </w:r>
      <w:r w:rsidR="001E5BEA" w:rsidRPr="00541CF1">
        <w:t xml:space="preserve"> </w:t>
      </w:r>
      <w:r w:rsidR="00DC3200" w:rsidRPr="00541CF1">
        <w:t xml:space="preserve"> </w:t>
      </w:r>
      <w:r w:rsidR="00321F24" w:rsidRPr="00B86776">
        <w:t>This growth is attributable to growth in customers</w:t>
      </w:r>
      <w:r w:rsidR="00153765">
        <w:t>,</w:t>
      </w:r>
      <w:r w:rsidR="00321F24" w:rsidRPr="00B86776">
        <w:t xml:space="preserve"> not use-per-customer. </w:t>
      </w:r>
      <w:r w:rsidR="00DC3200" w:rsidRPr="00B86776">
        <w:t xml:space="preserve"> </w:t>
      </w:r>
      <w:r w:rsidR="00DC3200" w:rsidRPr="00541CF1">
        <w:t>In Washington, the resident</w:t>
      </w:r>
      <w:r w:rsidR="00B57B43" w:rsidRPr="00541CF1">
        <w:t>ial use-per-customer is declining by</w:t>
      </w:r>
      <w:r w:rsidR="00DC3200" w:rsidRPr="00541CF1">
        <w:t xml:space="preserve"> 0.</w:t>
      </w:r>
      <w:r w:rsidR="00B57B43" w:rsidRPr="00541CF1">
        <w:t xml:space="preserve">1 </w:t>
      </w:r>
      <w:r w:rsidR="00153765">
        <w:t>percent, and the commercial by</w:t>
      </w:r>
      <w:r w:rsidR="00DC3200" w:rsidRPr="00541CF1">
        <w:t xml:space="preserve"> 0.6 percent. </w:t>
      </w:r>
      <w:r w:rsidR="001E5BEA" w:rsidRPr="00541CF1">
        <w:t xml:space="preserve"> </w:t>
      </w:r>
      <w:r w:rsidR="00321F24" w:rsidRPr="00B86776">
        <w:t>However, t</w:t>
      </w:r>
      <w:r w:rsidR="00340749" w:rsidRPr="00B86776">
        <w:t>he</w:t>
      </w:r>
      <w:r w:rsidR="00340749" w:rsidRPr="00541CF1">
        <w:t xml:space="preserve"> </w:t>
      </w:r>
      <w:r w:rsidR="00002F87" w:rsidRPr="00541CF1">
        <w:t xml:space="preserve">annual </w:t>
      </w:r>
      <w:r w:rsidR="00340749" w:rsidRPr="00541CF1">
        <w:t xml:space="preserve">customer growth rate for </w:t>
      </w:r>
      <w:r w:rsidR="003F1FE6" w:rsidRPr="00541CF1">
        <w:t xml:space="preserve">Washington service territory </w:t>
      </w:r>
      <w:bookmarkStart w:id="1" w:name="_GoBack"/>
      <w:bookmarkEnd w:id="1"/>
      <w:r w:rsidR="003F1FE6" w:rsidRPr="00541CF1">
        <w:t xml:space="preserve">is 3.8 percent, and 1.9 percent for the entire system. </w:t>
      </w:r>
      <w:r w:rsidR="001E5BEA" w:rsidRPr="00541CF1">
        <w:t xml:space="preserve"> </w:t>
      </w:r>
      <w:r w:rsidR="00340749" w:rsidRPr="00541CF1">
        <w:t xml:space="preserve">In </w:t>
      </w:r>
      <w:r w:rsidR="0098294F" w:rsidRPr="00541CF1">
        <w:t>part,</w:t>
      </w:r>
      <w:r w:rsidR="00340749" w:rsidRPr="00541CF1">
        <w:t xml:space="preserve"> the increase</w:t>
      </w:r>
      <w:r w:rsidR="00F61FC3" w:rsidRPr="00541CF1">
        <w:t xml:space="preserve"> in</w:t>
      </w:r>
      <w:r w:rsidR="00896E79" w:rsidRPr="00541CF1">
        <w:t xml:space="preserve"> residential customer growth</w:t>
      </w:r>
      <w:r w:rsidR="00340749" w:rsidRPr="00541CF1">
        <w:t xml:space="preserve"> from the 2013 IRP </w:t>
      </w:r>
      <w:r w:rsidR="00455692" w:rsidRPr="00541CF1">
        <w:t>is attributable</w:t>
      </w:r>
      <w:r w:rsidRPr="00541CF1">
        <w:t xml:space="preserve"> to </w:t>
      </w:r>
      <w:r w:rsidR="00FD5372" w:rsidRPr="00541CF1">
        <w:t xml:space="preserve">modified, </w:t>
      </w:r>
      <w:r w:rsidR="004A65E4" w:rsidRPr="00541CF1">
        <w:t>Washington</w:t>
      </w:r>
      <w:r w:rsidR="003E2498" w:rsidRPr="00541CF1">
        <w:t>-</w:t>
      </w:r>
      <w:r w:rsidR="004A65E4" w:rsidRPr="00541CF1">
        <w:t>specific new construction forecasts</w:t>
      </w:r>
      <w:r w:rsidR="003E2498" w:rsidRPr="00541CF1">
        <w:t xml:space="preserve"> for the 2014 IRP</w:t>
      </w:r>
      <w:r w:rsidR="00571A73" w:rsidRPr="00541CF1">
        <w:t>.</w:t>
      </w:r>
      <w:r w:rsidR="000218E4" w:rsidRPr="00541CF1">
        <w:rPr>
          <w:rStyle w:val="FootnoteReference"/>
        </w:rPr>
        <w:footnoteReference w:id="9"/>
      </w:r>
      <w:r w:rsidR="002D57F4" w:rsidRPr="00541CF1">
        <w:t xml:space="preserve"> </w:t>
      </w:r>
    </w:p>
    <w:p w14:paraId="0C704C71" w14:textId="77777777" w:rsidR="007C08DB" w:rsidRPr="00541CF1" w:rsidRDefault="007C08DB" w:rsidP="006C66B2">
      <w:pPr>
        <w:ind w:left="450"/>
      </w:pPr>
    </w:p>
    <w:p w14:paraId="70B5F775" w14:textId="3255939B" w:rsidR="00030CE8" w:rsidRPr="00541CF1" w:rsidRDefault="007C08DB" w:rsidP="006C66B2">
      <w:pPr>
        <w:tabs>
          <w:tab w:val="left" w:pos="2344"/>
        </w:tabs>
        <w:ind w:left="450"/>
      </w:pPr>
      <w:r w:rsidRPr="00541CF1">
        <w:t>We a</w:t>
      </w:r>
      <w:r w:rsidR="00957B6B" w:rsidRPr="00541CF1">
        <w:t xml:space="preserve">ppreciate </w:t>
      </w:r>
      <w:r w:rsidR="00BE68DF" w:rsidRPr="00541CF1">
        <w:t xml:space="preserve">that </w:t>
      </w:r>
      <w:r w:rsidR="00957B6B" w:rsidRPr="00541CF1">
        <w:t>NW Natural use</w:t>
      </w:r>
      <w:r w:rsidR="008453F3" w:rsidRPr="00541CF1">
        <w:t>d</w:t>
      </w:r>
      <w:r w:rsidRPr="00541CF1">
        <w:t xml:space="preserve"> Washington</w:t>
      </w:r>
      <w:r w:rsidR="007753D3" w:rsidRPr="00541CF1">
        <w:t>-</w:t>
      </w:r>
      <w:r w:rsidRPr="00541CF1">
        <w:t>specific data in its load forecas</w:t>
      </w:r>
      <w:r w:rsidR="00D0258E" w:rsidRPr="00541CF1">
        <w:t>t as requested</w:t>
      </w:r>
      <w:r w:rsidR="008453F3" w:rsidRPr="00541CF1">
        <w:t xml:space="preserve"> in the 2013 IRP Commission acknowledgment letter</w:t>
      </w:r>
      <w:r w:rsidR="00CC5397" w:rsidRPr="00541CF1">
        <w:t>.</w:t>
      </w:r>
      <w:r w:rsidR="001E5BEA" w:rsidRPr="00541CF1">
        <w:t xml:space="preserve"> </w:t>
      </w:r>
      <w:r w:rsidR="00D0258E" w:rsidRPr="00541CF1">
        <w:t xml:space="preserve"> </w:t>
      </w:r>
      <w:r w:rsidR="005A2C9E" w:rsidRPr="00541CF1">
        <w:t xml:space="preserve">In general, </w:t>
      </w:r>
      <w:r w:rsidR="007753D3" w:rsidRPr="00541CF1">
        <w:t>relying more heavily on</w:t>
      </w:r>
      <w:r w:rsidR="008453F3" w:rsidRPr="00541CF1">
        <w:t xml:space="preserve"> local</w:t>
      </w:r>
      <w:r w:rsidR="00D0258E" w:rsidRPr="00541CF1">
        <w:t xml:space="preserve"> data</w:t>
      </w:r>
      <w:r w:rsidR="008B7455" w:rsidRPr="00541CF1">
        <w:t xml:space="preserve"> leads to better IRPs</w:t>
      </w:r>
      <w:r w:rsidR="00D0258E" w:rsidRPr="00541CF1">
        <w:t>.</w:t>
      </w:r>
      <w:r w:rsidR="00EC0B75" w:rsidRPr="00541CF1">
        <w:t xml:space="preserve"> </w:t>
      </w:r>
      <w:r w:rsidR="001E5BEA" w:rsidRPr="00541CF1">
        <w:t xml:space="preserve"> </w:t>
      </w:r>
      <w:r w:rsidR="00EC0B75" w:rsidRPr="00541CF1">
        <w:t xml:space="preserve">To continue to improve upon this Plan, the </w:t>
      </w:r>
      <w:r w:rsidR="00190E60" w:rsidRPr="00541CF1">
        <w:t>Company</w:t>
      </w:r>
      <w:r w:rsidR="00EC0B75" w:rsidRPr="00541CF1">
        <w:t xml:space="preserve"> should </w:t>
      </w:r>
      <w:r w:rsidR="00A27741" w:rsidRPr="00541CF1">
        <w:t>consider taking</w:t>
      </w:r>
      <w:r w:rsidR="00EC0B75" w:rsidRPr="00541CF1">
        <w:t xml:space="preserve"> a broader scope of potential demand growth in th</w:t>
      </w:r>
      <w:r w:rsidR="00A27741" w:rsidRPr="00541CF1">
        <w:t>e Washington service territory.</w:t>
      </w:r>
      <w:r w:rsidR="001E5BEA" w:rsidRPr="00541CF1">
        <w:t xml:space="preserve"> </w:t>
      </w:r>
      <w:r w:rsidR="00A27741" w:rsidRPr="00541CF1">
        <w:t xml:space="preserve"> </w:t>
      </w:r>
      <w:r w:rsidR="00E32D35" w:rsidRPr="00541CF1">
        <w:t>This</w:t>
      </w:r>
      <w:r w:rsidR="00EC0B75" w:rsidRPr="00541CF1">
        <w:t xml:space="preserve"> is possible by inclu</w:t>
      </w:r>
      <w:r w:rsidR="005D4EAF" w:rsidRPr="00541CF1">
        <w:t xml:space="preserve">ding a </w:t>
      </w:r>
      <w:r w:rsidR="00E67AEF" w:rsidRPr="00541CF1">
        <w:t xml:space="preserve">very </w:t>
      </w:r>
      <w:r w:rsidR="008B7455" w:rsidRPr="00541CF1">
        <w:t>low demand forecast in its scenarios.</w:t>
      </w:r>
      <w:r w:rsidR="001E5BEA" w:rsidRPr="00541CF1">
        <w:t xml:space="preserve"> </w:t>
      </w:r>
      <w:r w:rsidR="008B7455" w:rsidRPr="00541CF1">
        <w:t xml:space="preserve"> </w:t>
      </w:r>
      <w:r w:rsidR="00030CE8" w:rsidRPr="00541CF1">
        <w:t>Clark County has been growing at a rapid pace for more than a decade, and we agree it is likely to remain one of the fastest growing regions of the Pacific Northwest.</w:t>
      </w:r>
      <w:r w:rsidR="001E5BEA" w:rsidRPr="00541CF1">
        <w:t xml:space="preserve"> </w:t>
      </w:r>
      <w:r w:rsidR="00030CE8" w:rsidRPr="00541CF1">
        <w:t xml:space="preserve"> Nevertheless, as we saw during the 2008/2009 recession, growth rates can decline rapidly for unforeseen reasons and take years to recover. </w:t>
      </w:r>
      <w:r w:rsidR="001E5BEA" w:rsidRPr="00541CF1">
        <w:t xml:space="preserve"> </w:t>
      </w:r>
      <w:r w:rsidR="008B7455" w:rsidRPr="00541CF1">
        <w:t>We</w:t>
      </w:r>
      <w:r w:rsidR="002D1C78" w:rsidRPr="00541CF1">
        <w:t xml:space="preserve"> </w:t>
      </w:r>
      <w:r w:rsidR="00030CE8" w:rsidRPr="00541CF1">
        <w:t xml:space="preserve">also </w:t>
      </w:r>
      <w:r w:rsidR="002D1C78" w:rsidRPr="00541CF1">
        <w:t>note that u</w:t>
      </w:r>
      <w:r w:rsidR="00A27741" w:rsidRPr="00541CF1">
        <w:t>se-pe</w:t>
      </w:r>
      <w:r w:rsidR="007C18D0" w:rsidRPr="00541CF1">
        <w:t>r-customer continues to decline, and</w:t>
      </w:r>
      <w:r w:rsidR="00030CE8" w:rsidRPr="00541CF1">
        <w:t xml:space="preserve"> as can be seen in Figure 2.3,</w:t>
      </w:r>
      <w:r w:rsidR="007C18D0" w:rsidRPr="00541CF1">
        <w:t xml:space="preserve"> </w:t>
      </w:r>
      <w:r w:rsidR="005D4EAF" w:rsidRPr="00541CF1">
        <w:t xml:space="preserve">the </w:t>
      </w:r>
      <w:r w:rsidR="00190E60" w:rsidRPr="00541CF1">
        <w:t>Company</w:t>
      </w:r>
      <w:r w:rsidR="005D4EAF" w:rsidRPr="00541CF1">
        <w:t xml:space="preserve"> has over-estimated its </w:t>
      </w:r>
      <w:r w:rsidR="00030CE8" w:rsidRPr="00541CF1">
        <w:t xml:space="preserve">residential </w:t>
      </w:r>
      <w:r w:rsidR="005D4EAF" w:rsidRPr="00541CF1">
        <w:t>customer forecasts</w:t>
      </w:r>
      <w:r w:rsidR="00030CE8" w:rsidRPr="00541CF1">
        <w:t xml:space="preserve"> since 2008.</w:t>
      </w:r>
      <w:r w:rsidR="008B7455" w:rsidRPr="00541CF1">
        <w:rPr>
          <w:rStyle w:val="FootnoteReference"/>
        </w:rPr>
        <w:footnoteReference w:id="10"/>
      </w:r>
      <w:r w:rsidR="005D4EAF" w:rsidRPr="00541CF1">
        <w:t xml:space="preserve"> </w:t>
      </w:r>
      <w:r w:rsidR="001E5BEA" w:rsidRPr="00541CF1">
        <w:t xml:space="preserve"> </w:t>
      </w:r>
      <w:r w:rsidR="00030CE8" w:rsidRPr="00541CF1">
        <w:t>A very low forecast would provide a more robust analysis of the range of possible growth scenarios.</w:t>
      </w:r>
    </w:p>
    <w:p w14:paraId="36E53C45" w14:textId="77777777" w:rsidR="00030CE8" w:rsidRPr="00541CF1" w:rsidRDefault="00030CE8" w:rsidP="006C66B2">
      <w:pPr>
        <w:tabs>
          <w:tab w:val="left" w:pos="2344"/>
        </w:tabs>
        <w:ind w:left="450"/>
      </w:pPr>
    </w:p>
    <w:p w14:paraId="2BC11B78" w14:textId="4834DE1E" w:rsidR="00030CE8" w:rsidRPr="00541CF1" w:rsidRDefault="00030CE8" w:rsidP="006C66B2">
      <w:pPr>
        <w:tabs>
          <w:tab w:val="left" w:pos="2344"/>
        </w:tabs>
        <w:ind w:left="450"/>
        <w:jc w:val="center"/>
      </w:pPr>
      <w:r w:rsidRPr="00541CF1">
        <w:rPr>
          <w:noProof/>
        </w:rPr>
        <w:drawing>
          <wp:inline distT="0" distB="0" distL="0" distR="0" wp14:anchorId="2F39F094" wp14:editId="40ACEAFA">
            <wp:extent cx="4906275" cy="280358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2.3.PNG"/>
                    <pic:cNvPicPr/>
                  </pic:nvPicPr>
                  <pic:blipFill>
                    <a:blip r:embed="rId9">
                      <a:extLst>
                        <a:ext uri="{28A0092B-C50C-407E-A947-70E740481C1C}">
                          <a14:useLocalDpi xmlns:a14="http://schemas.microsoft.com/office/drawing/2010/main" val="0"/>
                        </a:ext>
                      </a:extLst>
                    </a:blip>
                    <a:stretch>
                      <a:fillRect/>
                    </a:stretch>
                  </pic:blipFill>
                  <pic:spPr>
                    <a:xfrm>
                      <a:off x="0" y="0"/>
                      <a:ext cx="4960031" cy="2834303"/>
                    </a:xfrm>
                    <a:prstGeom prst="rect">
                      <a:avLst/>
                    </a:prstGeom>
                  </pic:spPr>
                </pic:pic>
              </a:graphicData>
            </a:graphic>
          </wp:inline>
        </w:drawing>
      </w:r>
    </w:p>
    <w:p w14:paraId="1400D211" w14:textId="77777777" w:rsidR="00FA3B49" w:rsidRPr="00541CF1" w:rsidRDefault="00FA3B49" w:rsidP="006C66B2">
      <w:pPr>
        <w:tabs>
          <w:tab w:val="left" w:pos="2344"/>
        </w:tabs>
        <w:ind w:left="450"/>
      </w:pPr>
    </w:p>
    <w:p w14:paraId="32DC0ACA" w14:textId="3C55405A" w:rsidR="002612D6" w:rsidRPr="00541CF1" w:rsidRDefault="002612D6" w:rsidP="006C66B2">
      <w:pPr>
        <w:tabs>
          <w:tab w:val="left" w:pos="2344"/>
        </w:tabs>
        <w:ind w:left="450"/>
      </w:pPr>
      <w:r w:rsidRPr="00541CF1">
        <w:t xml:space="preserve">We would also like the </w:t>
      </w:r>
      <w:r w:rsidR="00190E60" w:rsidRPr="00541CF1">
        <w:t>Company</w:t>
      </w:r>
      <w:r w:rsidRPr="00541CF1">
        <w:t xml:space="preserve"> to </w:t>
      </w:r>
      <w:r w:rsidR="00001776" w:rsidRPr="00541CF1">
        <w:t>review</w:t>
      </w:r>
      <w:r w:rsidRPr="00541CF1">
        <w:t xml:space="preserve"> its Washington service territory use-per-customer</w:t>
      </w:r>
      <w:r w:rsidR="00001776" w:rsidRPr="00541CF1">
        <w:t xml:space="preserve">, which it has not done </w:t>
      </w:r>
      <w:r w:rsidR="003E5E59" w:rsidRPr="00541CF1">
        <w:t xml:space="preserve">since before the 2013 Plan. </w:t>
      </w:r>
      <w:r w:rsidR="001E5BEA" w:rsidRPr="00541CF1">
        <w:t xml:space="preserve"> </w:t>
      </w:r>
      <w:r w:rsidR="003E5E59" w:rsidRPr="00541CF1">
        <w:t xml:space="preserve">The </w:t>
      </w:r>
      <w:r w:rsidR="00190E60" w:rsidRPr="00541CF1">
        <w:t>Company</w:t>
      </w:r>
      <w:r w:rsidR="003E5E59" w:rsidRPr="00541CF1">
        <w:t>’s load growth is increasing primarily because of n</w:t>
      </w:r>
      <w:r w:rsidR="0058365C" w:rsidRPr="00541CF1">
        <w:t>ew home construction, which should</w:t>
      </w:r>
      <w:r w:rsidR="003E5E59" w:rsidRPr="00541CF1">
        <w:t xml:space="preserve"> be</w:t>
      </w:r>
      <w:r w:rsidRPr="00541CF1">
        <w:t xml:space="preserve"> more efficient than the general housing stock. </w:t>
      </w:r>
      <w:r w:rsidR="001E5BEA" w:rsidRPr="00541CF1">
        <w:t xml:space="preserve"> </w:t>
      </w:r>
      <w:r w:rsidRPr="00541CF1">
        <w:t>At the s</w:t>
      </w:r>
      <w:r w:rsidR="00527165">
        <w:t>ame time, we can expect that owners of</w:t>
      </w:r>
      <w:r w:rsidRPr="00541CF1">
        <w:t xml:space="preserve"> Clark county homes built during the massive construction boom of the 1990s will </w:t>
      </w:r>
      <w:r w:rsidR="003E5E59" w:rsidRPr="00541CF1">
        <w:t>begin to replace older furnaces.</w:t>
      </w:r>
      <w:r w:rsidR="001E5BEA" w:rsidRPr="00541CF1">
        <w:t xml:space="preserve"> </w:t>
      </w:r>
      <w:r w:rsidR="003E5E59" w:rsidRPr="00541CF1">
        <w:t xml:space="preserve"> </w:t>
      </w:r>
      <w:r w:rsidR="0058365C" w:rsidRPr="00541CF1">
        <w:t>It</w:t>
      </w:r>
      <w:r w:rsidR="003E5E59" w:rsidRPr="00541CF1">
        <w:t xml:space="preserve"> is also possible that newer homes are larger than the general housing stock and might require more gas to heat </w:t>
      </w:r>
      <w:r w:rsidR="00001776" w:rsidRPr="00541CF1">
        <w:t>and thus increase the use-per-customer</w:t>
      </w:r>
      <w:r w:rsidR="006658A4" w:rsidRPr="00541CF1">
        <w:t xml:space="preserve">. </w:t>
      </w:r>
      <w:r w:rsidR="001E5BEA" w:rsidRPr="00541CF1">
        <w:t xml:space="preserve"> </w:t>
      </w:r>
      <w:r w:rsidR="006658A4" w:rsidRPr="00541CF1">
        <w:t xml:space="preserve">In light of the </w:t>
      </w:r>
      <w:r w:rsidR="006658A4" w:rsidRPr="00541CF1">
        <w:lastRenderedPageBreak/>
        <w:t xml:space="preserve">planned and anticipated </w:t>
      </w:r>
      <w:r w:rsidR="00001776" w:rsidRPr="00541CF1">
        <w:t>local</w:t>
      </w:r>
      <w:r w:rsidR="006658A4" w:rsidRPr="00541CF1">
        <w:t xml:space="preserve"> distribution projects, it is </w:t>
      </w:r>
      <w:r w:rsidR="005B4D9F" w:rsidRPr="00541CF1">
        <w:t xml:space="preserve">important that the </w:t>
      </w:r>
      <w:r w:rsidR="00190E60" w:rsidRPr="00541CF1">
        <w:t>Company</w:t>
      </w:r>
      <w:r w:rsidR="005B4D9F" w:rsidRPr="00541CF1">
        <w:t xml:space="preserve"> have the </w:t>
      </w:r>
      <w:r w:rsidR="006658A4" w:rsidRPr="00541CF1">
        <w:t xml:space="preserve">most recent information to guide its decision-making. </w:t>
      </w:r>
      <w:r w:rsidR="00CD206F">
        <w:t xml:space="preserve"> </w:t>
      </w:r>
    </w:p>
    <w:p w14:paraId="2A273C7C" w14:textId="77777777" w:rsidR="00BB2492" w:rsidRPr="00541CF1" w:rsidRDefault="00BB2492" w:rsidP="006C66B2">
      <w:pPr>
        <w:tabs>
          <w:tab w:val="left" w:pos="2344"/>
        </w:tabs>
        <w:ind w:left="450"/>
        <w:rPr>
          <w:b/>
        </w:rPr>
      </w:pPr>
    </w:p>
    <w:p w14:paraId="455B714D" w14:textId="15E0201C" w:rsidR="008202A0" w:rsidRPr="00541CF1" w:rsidRDefault="00234E41" w:rsidP="006C66B2">
      <w:pPr>
        <w:tabs>
          <w:tab w:val="left" w:pos="2344"/>
        </w:tabs>
        <w:ind w:left="450"/>
        <w:rPr>
          <w:b/>
        </w:rPr>
      </w:pPr>
      <w:r w:rsidRPr="00541CF1">
        <w:rPr>
          <w:i/>
        </w:rPr>
        <w:t xml:space="preserve">Design Weather Criteria </w:t>
      </w:r>
    </w:p>
    <w:p w14:paraId="11DCE5E8" w14:textId="2D928C92" w:rsidR="00CE0C27" w:rsidRPr="00541CF1" w:rsidRDefault="008202A0" w:rsidP="006C66B2">
      <w:pPr>
        <w:ind w:left="450"/>
      </w:pPr>
      <w:r w:rsidRPr="00541CF1">
        <w:t xml:space="preserve">In the 2014 IRP, NW Natural uses a </w:t>
      </w:r>
      <w:r w:rsidR="00527165">
        <w:t>seven</w:t>
      </w:r>
      <w:r w:rsidRPr="00541CF1">
        <w:t>-day</w:t>
      </w:r>
      <w:r w:rsidR="005421B7">
        <w:t xml:space="preserve"> peak</w:t>
      </w:r>
      <w:r w:rsidRPr="00541CF1">
        <w:t xml:space="preserve"> </w:t>
      </w:r>
      <w:r w:rsidR="00FD118F" w:rsidRPr="00541CF1">
        <w:t>event</w:t>
      </w:r>
      <w:r w:rsidRPr="00541CF1">
        <w:t xml:space="preserve"> to model </w:t>
      </w:r>
      <w:r w:rsidR="00FD118F" w:rsidRPr="00541CF1">
        <w:t xml:space="preserve">demand for </w:t>
      </w:r>
      <w:r w:rsidRPr="00541CF1">
        <w:t>an unusually col</w:t>
      </w:r>
      <w:r w:rsidR="00065A93" w:rsidRPr="00541CF1">
        <w:t xml:space="preserve">d multi-day weather event. </w:t>
      </w:r>
      <w:r w:rsidR="00EB339B" w:rsidRPr="00541CF1">
        <w:t xml:space="preserve"> </w:t>
      </w:r>
      <w:r w:rsidR="00065A93" w:rsidRPr="00541CF1">
        <w:t xml:space="preserve">The </w:t>
      </w:r>
      <w:r w:rsidR="00190E60" w:rsidRPr="00541CF1">
        <w:t>Company</w:t>
      </w:r>
      <w:r w:rsidRPr="00541CF1">
        <w:t xml:space="preserve"> uses the actual 53 heating </w:t>
      </w:r>
      <w:r w:rsidR="0098294F" w:rsidRPr="00541CF1">
        <w:t>degree-days</w:t>
      </w:r>
      <w:r w:rsidRPr="00541CF1">
        <w:t xml:space="preserve"> (HDD) </w:t>
      </w:r>
      <w:r w:rsidR="00806D6D" w:rsidRPr="00541CF1">
        <w:t xml:space="preserve">(equivalent to an average daily temperature of 12 degrees Fahrenheit) </w:t>
      </w:r>
      <w:r w:rsidRPr="00541CF1">
        <w:t>from February 3, 1989, as the peak day</w:t>
      </w:r>
      <w:r w:rsidR="0098294F" w:rsidRPr="00541CF1">
        <w:t xml:space="preserve">. </w:t>
      </w:r>
      <w:r w:rsidR="00EB339B" w:rsidRPr="00541CF1">
        <w:t xml:space="preserve"> </w:t>
      </w:r>
      <w:r w:rsidR="0098294F" w:rsidRPr="00541CF1">
        <w:t xml:space="preserve">The </w:t>
      </w:r>
      <w:r w:rsidR="00806D6D" w:rsidRPr="00541CF1">
        <w:t xml:space="preserve">53 HDD </w:t>
      </w:r>
      <w:r w:rsidR="0098294F" w:rsidRPr="00541CF1">
        <w:t xml:space="preserve">peak day is </w:t>
      </w:r>
      <w:r w:rsidRPr="00541CF1">
        <w:t xml:space="preserve">shouldered by colder-than-average temperatures on the </w:t>
      </w:r>
      <w:r w:rsidR="00527165">
        <w:t>three</w:t>
      </w:r>
      <w:r w:rsidRPr="00541CF1">
        <w:t xml:space="preserve"> days preceding and </w:t>
      </w:r>
      <w:r w:rsidR="00527165">
        <w:t>three</w:t>
      </w:r>
      <w:r w:rsidRPr="00541CF1">
        <w:t xml:space="preserve"> days </w:t>
      </w:r>
      <w:r w:rsidR="00541C32" w:rsidRPr="00541CF1">
        <w:t xml:space="preserve">following the peak, </w:t>
      </w:r>
      <w:r w:rsidRPr="00541CF1">
        <w:t xml:space="preserve">creating a </w:t>
      </w:r>
      <w:r w:rsidR="00527165">
        <w:t>seven</w:t>
      </w:r>
      <w:r w:rsidRPr="00541CF1">
        <w:t xml:space="preserve">-day </w:t>
      </w:r>
      <w:r w:rsidR="00541C32" w:rsidRPr="00541CF1">
        <w:t xml:space="preserve">peak </w:t>
      </w:r>
      <w:r w:rsidRPr="00541CF1">
        <w:t xml:space="preserve">event. </w:t>
      </w:r>
      <w:r w:rsidR="00EB339B" w:rsidRPr="00541CF1">
        <w:t xml:space="preserve"> </w:t>
      </w:r>
      <w:r w:rsidRPr="00541CF1">
        <w:t xml:space="preserve">The 2013 IRP used the same peak day, but with colder-than-normal temperatures only the day before and after, creating a </w:t>
      </w:r>
      <w:r w:rsidR="00527165">
        <w:t>three</w:t>
      </w:r>
      <w:r w:rsidRPr="00541CF1">
        <w:t>-day event.</w:t>
      </w:r>
      <w:r w:rsidR="00EB339B" w:rsidRPr="00541CF1">
        <w:t xml:space="preserve"> </w:t>
      </w:r>
      <w:r w:rsidR="00001776" w:rsidRPr="00541CF1">
        <w:t xml:space="preserve"> It </w:t>
      </w:r>
      <w:r w:rsidR="00BE714F" w:rsidRPr="00541CF1">
        <w:t xml:space="preserve">is not clear </w:t>
      </w:r>
      <w:r w:rsidR="00396675" w:rsidRPr="00541CF1">
        <w:t xml:space="preserve">whether or how </w:t>
      </w:r>
      <w:r w:rsidR="00001776" w:rsidRPr="00541CF1">
        <w:t xml:space="preserve">the modification </w:t>
      </w:r>
      <w:r w:rsidR="00BE714F" w:rsidRPr="00541CF1">
        <w:t>results in a change to peak</w:t>
      </w:r>
      <w:r w:rsidR="00396675" w:rsidRPr="00541CF1">
        <w:t xml:space="preserve"> load transportation or storage.</w:t>
      </w:r>
      <w:r w:rsidR="00CD206F">
        <w:t xml:space="preserve"> </w:t>
      </w:r>
      <w:r w:rsidR="00396675" w:rsidRPr="00541CF1">
        <w:t xml:space="preserve"> </w:t>
      </w:r>
    </w:p>
    <w:p w14:paraId="295D9823" w14:textId="18EB4C70" w:rsidR="00396675" w:rsidRPr="00541CF1" w:rsidRDefault="00396675" w:rsidP="006C66B2">
      <w:pPr>
        <w:ind w:left="450"/>
        <w:rPr>
          <w:i/>
        </w:rPr>
      </w:pPr>
    </w:p>
    <w:p w14:paraId="59838858" w14:textId="6A2788A4" w:rsidR="008202A0" w:rsidRPr="00541CF1" w:rsidRDefault="00C9555F" w:rsidP="006C66B2">
      <w:pPr>
        <w:ind w:left="450"/>
      </w:pPr>
      <w:r w:rsidRPr="00541CF1">
        <w:t>For generating seasonal demand data i</w:t>
      </w:r>
      <w:r w:rsidR="008202A0" w:rsidRPr="00541CF1">
        <w:t>n the 2014 IRP,</w:t>
      </w:r>
      <w:r w:rsidR="00065A93" w:rsidRPr="00541CF1">
        <w:t xml:space="preserve"> NW Natural</w:t>
      </w:r>
      <w:r w:rsidR="008202A0" w:rsidRPr="00541CF1">
        <w:t xml:space="preserve"> uses daily temperatures for a year at the 90</w:t>
      </w:r>
      <w:r w:rsidR="008202A0" w:rsidRPr="00541CF1">
        <w:rPr>
          <w:vertAlign w:val="superscript"/>
        </w:rPr>
        <w:t>th</w:t>
      </w:r>
      <w:r w:rsidR="008202A0" w:rsidRPr="00541CF1">
        <w:t xml:space="preserve"> percentile of years in a 30-year winter weather history.</w:t>
      </w:r>
      <w:r w:rsidR="008202A0" w:rsidRPr="00541CF1">
        <w:rPr>
          <w:rStyle w:val="FootnoteReference"/>
        </w:rPr>
        <w:footnoteReference w:id="11"/>
      </w:r>
      <w:r w:rsidR="00EB339B" w:rsidRPr="00541CF1">
        <w:t xml:space="preserve"> </w:t>
      </w:r>
      <w:r w:rsidR="008202A0" w:rsidRPr="00541CF1">
        <w:t xml:space="preserve"> In its 2013 IRP, NW Natural used daily temperatures for a year at the 85</w:t>
      </w:r>
      <w:r w:rsidR="008202A0" w:rsidRPr="00541CF1">
        <w:rPr>
          <w:vertAlign w:val="superscript"/>
        </w:rPr>
        <w:t>th</w:t>
      </w:r>
      <w:r w:rsidR="008202A0" w:rsidRPr="00541CF1">
        <w:t xml:space="preserve"> percentile in a 20-year history.</w:t>
      </w:r>
      <w:r w:rsidRPr="00541CF1">
        <w:rPr>
          <w:rStyle w:val="FootnoteReference"/>
        </w:rPr>
        <w:footnoteReference w:id="12"/>
      </w:r>
      <w:r w:rsidR="008202A0" w:rsidRPr="00541CF1">
        <w:t xml:space="preserve"> </w:t>
      </w:r>
      <w:r w:rsidR="00EB339B" w:rsidRPr="00541CF1">
        <w:t xml:space="preserve"> </w:t>
      </w:r>
      <w:r w:rsidR="008202A0" w:rsidRPr="00541CF1">
        <w:t xml:space="preserve">The change increases the total </w:t>
      </w:r>
      <w:r w:rsidRPr="00541CF1">
        <w:t xml:space="preserve">seasonal </w:t>
      </w:r>
      <w:r w:rsidR="008202A0" w:rsidRPr="00541CF1">
        <w:t xml:space="preserve">heating HDD by 180, or </w:t>
      </w:r>
      <w:r w:rsidR="00EB339B" w:rsidRPr="00541CF1">
        <w:t>5</w:t>
      </w:r>
      <w:r w:rsidR="008202A0" w:rsidRPr="00541CF1">
        <w:t xml:space="preserve"> percent. </w:t>
      </w:r>
      <w:r w:rsidR="00EB339B" w:rsidRPr="00541CF1">
        <w:t xml:space="preserve"> </w:t>
      </w:r>
      <w:r w:rsidRPr="00541CF1">
        <w:t>As justification for the change, t</w:t>
      </w:r>
      <w:r w:rsidR="008202A0" w:rsidRPr="00541CF1">
        <w:t xml:space="preserve">he </w:t>
      </w:r>
      <w:r w:rsidR="00190E60" w:rsidRPr="00541CF1">
        <w:t>Company</w:t>
      </w:r>
      <w:r w:rsidR="008202A0" w:rsidRPr="00541CF1">
        <w:t xml:space="preserve"> noted that </w:t>
      </w:r>
      <w:r w:rsidR="00EB339B" w:rsidRPr="00541CF1">
        <w:t>3</w:t>
      </w:r>
      <w:r w:rsidR="008202A0" w:rsidRPr="00541CF1">
        <w:t xml:space="preserve"> winters (2007, 2008, and 2011) have been subsequently colder than the 2013 IRP design winter of 2000.</w:t>
      </w:r>
      <w:r w:rsidR="00CD206F">
        <w:t xml:space="preserve"> </w:t>
      </w:r>
      <w:r w:rsidR="008202A0" w:rsidRPr="00541CF1">
        <w:t xml:space="preserve"> </w:t>
      </w:r>
    </w:p>
    <w:p w14:paraId="0341B5A2" w14:textId="77777777" w:rsidR="00FF0E44" w:rsidRPr="00541CF1" w:rsidRDefault="00FF0E44" w:rsidP="006C66B2">
      <w:pPr>
        <w:ind w:left="450"/>
        <w:rPr>
          <w:b/>
        </w:rPr>
      </w:pPr>
    </w:p>
    <w:p w14:paraId="6367523F" w14:textId="09B1DFFC" w:rsidR="00B47D60" w:rsidRPr="00541CF1" w:rsidRDefault="00A445EC" w:rsidP="006C66B2">
      <w:pPr>
        <w:ind w:left="450"/>
      </w:pPr>
      <w:r w:rsidRPr="00541CF1">
        <w:t xml:space="preserve">The </w:t>
      </w:r>
      <w:r w:rsidR="00527165">
        <w:t>movement to a seven</w:t>
      </w:r>
      <w:r w:rsidR="004E63F0" w:rsidRPr="00541CF1">
        <w:t>-day</w:t>
      </w:r>
      <w:r w:rsidR="007237BC" w:rsidRPr="00541CF1">
        <w:t xml:space="preserve"> peak event</w:t>
      </w:r>
      <w:r w:rsidR="004E63F0" w:rsidRPr="00541CF1">
        <w:t xml:space="preserve"> and the</w:t>
      </w:r>
      <w:r w:rsidR="003B35C1" w:rsidRPr="00541CF1">
        <w:t xml:space="preserve"> change to </w:t>
      </w:r>
      <w:r w:rsidR="00A258FD" w:rsidRPr="00541CF1">
        <w:t>a 90</w:t>
      </w:r>
      <w:r w:rsidR="00A258FD" w:rsidRPr="00541CF1">
        <w:rPr>
          <w:vertAlign w:val="superscript"/>
        </w:rPr>
        <w:t>th</w:t>
      </w:r>
      <w:r w:rsidR="00A258FD" w:rsidRPr="00541CF1">
        <w:t xml:space="preserve"> </w:t>
      </w:r>
      <w:r w:rsidR="004E63F0" w:rsidRPr="00541CF1">
        <w:t xml:space="preserve">percentile heating season both serve to increase </w:t>
      </w:r>
      <w:r w:rsidR="00A258FD" w:rsidRPr="00541CF1">
        <w:t xml:space="preserve">forecasted peak </w:t>
      </w:r>
      <w:r w:rsidR="004E63F0" w:rsidRPr="00541CF1">
        <w:t>winter d</w:t>
      </w:r>
      <w:r w:rsidR="00930D67" w:rsidRPr="00541CF1">
        <w:t>emand for this IRP over previous</w:t>
      </w:r>
      <w:r w:rsidR="004E63F0" w:rsidRPr="00541CF1">
        <w:t xml:space="preserve"> IRP</w:t>
      </w:r>
      <w:r w:rsidR="00930D67" w:rsidRPr="00541CF1">
        <w:t>s</w:t>
      </w:r>
      <w:r w:rsidR="004E63F0" w:rsidRPr="00541CF1">
        <w:t xml:space="preserve">. </w:t>
      </w:r>
      <w:r w:rsidR="00EB339B" w:rsidRPr="00541CF1">
        <w:t xml:space="preserve"> </w:t>
      </w:r>
      <w:r w:rsidR="00001776" w:rsidRPr="00541CF1">
        <w:t xml:space="preserve">Although the individual changes might be justifiable, cumulatively the </w:t>
      </w:r>
      <w:r w:rsidR="00190E60" w:rsidRPr="00541CF1">
        <w:t>Company</w:t>
      </w:r>
      <w:r w:rsidR="00001776" w:rsidRPr="00541CF1">
        <w:t xml:space="preserve"> has not adequately demonstrated that the </w:t>
      </w:r>
      <w:r w:rsidR="005B4D9F" w:rsidRPr="00541CF1">
        <w:t>resulting</w:t>
      </w:r>
      <w:r w:rsidR="00001776" w:rsidRPr="00541CF1">
        <w:t xml:space="preserve"> more conservative method is necessary</w:t>
      </w:r>
      <w:r w:rsidR="0026140F" w:rsidRPr="00541CF1">
        <w:t>.</w:t>
      </w:r>
      <w:r w:rsidR="00EB339B" w:rsidRPr="00541CF1">
        <w:t xml:space="preserve"> </w:t>
      </w:r>
      <w:r w:rsidR="0026140F" w:rsidRPr="00541CF1">
        <w:t xml:space="preserve"> Therefore, we recommend</w:t>
      </w:r>
      <w:r w:rsidR="00A258FD" w:rsidRPr="00541CF1">
        <w:t xml:space="preserve"> that</w:t>
      </w:r>
      <w:r w:rsidR="00930D67" w:rsidRPr="00541CF1">
        <w:t xml:space="preserve"> the </w:t>
      </w:r>
      <w:r w:rsidR="00190E60" w:rsidRPr="00541CF1">
        <w:t>Company</w:t>
      </w:r>
      <w:r w:rsidR="00930D67" w:rsidRPr="00541CF1">
        <w:t xml:space="preserve"> </w:t>
      </w:r>
      <w:r w:rsidR="00396675" w:rsidRPr="00541CF1">
        <w:t>fully justify the</w:t>
      </w:r>
      <w:r w:rsidR="00930D67" w:rsidRPr="00541CF1">
        <w:t xml:space="preserve"> change in weather design criteria</w:t>
      </w:r>
      <w:r w:rsidR="00396675" w:rsidRPr="00541CF1">
        <w:t xml:space="preserve"> in</w:t>
      </w:r>
      <w:r w:rsidRPr="00541CF1">
        <w:t xml:space="preserve"> its 2016 IRP,</w:t>
      </w:r>
      <w:r w:rsidR="008352E1" w:rsidRPr="00541CF1">
        <w:t xml:space="preserve"> </w:t>
      </w:r>
      <w:r w:rsidR="00396675" w:rsidRPr="00541CF1">
        <w:t>providing</w:t>
      </w:r>
      <w:r w:rsidR="005F48F4" w:rsidRPr="00541CF1">
        <w:t xml:space="preserve"> a discussion of</w:t>
      </w:r>
      <w:r w:rsidR="003B35C1" w:rsidRPr="00541CF1">
        <w:t xml:space="preserve"> </w:t>
      </w:r>
      <w:r w:rsidR="000C12EE" w:rsidRPr="00541CF1">
        <w:t>risk and benefit-cost analysis of the new and old</w:t>
      </w:r>
      <w:r w:rsidR="00005336" w:rsidRPr="00541CF1">
        <w:t xml:space="preserve"> design</w:t>
      </w:r>
      <w:r w:rsidR="000C12EE" w:rsidRPr="00541CF1">
        <w:t xml:space="preserve"> criteria</w:t>
      </w:r>
      <w:r w:rsidR="008352E1" w:rsidRPr="00541CF1">
        <w:t>.</w:t>
      </w:r>
      <w:r w:rsidR="00CD206F">
        <w:t xml:space="preserve">  </w:t>
      </w:r>
    </w:p>
    <w:p w14:paraId="0DCB15B4" w14:textId="77777777" w:rsidR="00B47D60" w:rsidRPr="00541CF1" w:rsidRDefault="00B47D60" w:rsidP="006C66B2">
      <w:pPr>
        <w:ind w:left="450"/>
        <w:rPr>
          <w:b/>
        </w:rPr>
      </w:pPr>
    </w:p>
    <w:p w14:paraId="0AE1B8A2" w14:textId="2539F664" w:rsidR="00CD7CBB" w:rsidRPr="00541CF1" w:rsidRDefault="00847600" w:rsidP="006C66B2">
      <w:pPr>
        <w:ind w:left="450"/>
        <w:rPr>
          <w:b/>
        </w:rPr>
      </w:pPr>
      <w:r w:rsidRPr="00541CF1">
        <w:rPr>
          <w:b/>
        </w:rPr>
        <w:t>Demand-Side Management Resources</w:t>
      </w:r>
    </w:p>
    <w:p w14:paraId="1074DBD9" w14:textId="6A1635D1" w:rsidR="0078713C" w:rsidRPr="00541CF1" w:rsidRDefault="00065A93" w:rsidP="006C66B2">
      <w:pPr>
        <w:ind w:left="450"/>
      </w:pPr>
      <w:r w:rsidRPr="00541CF1">
        <w:t>N</w:t>
      </w:r>
      <w:r w:rsidR="008F0FEA" w:rsidRPr="00541CF1">
        <w:t>W</w:t>
      </w:r>
      <w:r w:rsidRPr="00541CF1">
        <w:t xml:space="preserve"> Natural</w:t>
      </w:r>
      <w:r w:rsidR="0078713C" w:rsidRPr="00541CF1">
        <w:t xml:space="preserve"> works with the Energy Trust of Oregon (ETO) to forecast its 20-year demand-side management potential for its entire service territory, including Washington. </w:t>
      </w:r>
      <w:r w:rsidR="00EB339B" w:rsidRPr="00541CF1">
        <w:t xml:space="preserve"> </w:t>
      </w:r>
      <w:r w:rsidR="0078713C" w:rsidRPr="00541CF1">
        <w:t xml:space="preserve">The </w:t>
      </w:r>
      <w:r w:rsidR="00190E60" w:rsidRPr="00541CF1">
        <w:t>Company</w:t>
      </w:r>
      <w:r w:rsidR="0078713C" w:rsidRPr="00541CF1">
        <w:t xml:space="preserve"> </w:t>
      </w:r>
      <w:r w:rsidR="00071A50" w:rsidRPr="00541CF1">
        <w:t>provides</w:t>
      </w:r>
      <w:r w:rsidR="00D24C11" w:rsidRPr="00541CF1">
        <w:t xml:space="preserve"> </w:t>
      </w:r>
      <w:r w:rsidR="0078713C" w:rsidRPr="00541CF1">
        <w:t>ETO its avoided cost</w:t>
      </w:r>
      <w:r w:rsidR="00071A50" w:rsidRPr="00541CF1">
        <w:t xml:space="preserve"> and ETO produces </w:t>
      </w:r>
      <w:r w:rsidR="0078713C" w:rsidRPr="00541CF1">
        <w:t>a forecast of cost-effective therm savings</w:t>
      </w:r>
      <w:r w:rsidR="004C0DAE" w:rsidRPr="00541CF1">
        <w:t>.</w:t>
      </w:r>
      <w:r w:rsidR="00EB339B" w:rsidRPr="00541CF1">
        <w:t xml:space="preserve"> </w:t>
      </w:r>
      <w:r w:rsidR="004C0DAE" w:rsidRPr="00541CF1">
        <w:t xml:space="preserve"> NW Natural then </w:t>
      </w:r>
      <w:r w:rsidR="00DB1326" w:rsidRPr="00541CF1">
        <w:t>includes</w:t>
      </w:r>
      <w:r w:rsidR="004C0DAE" w:rsidRPr="00541CF1">
        <w:t xml:space="preserve"> this forecast</w:t>
      </w:r>
      <w:r w:rsidR="00DB1326" w:rsidRPr="00541CF1">
        <w:t xml:space="preserve"> in</w:t>
      </w:r>
      <w:r w:rsidR="0078713C" w:rsidRPr="00541CF1">
        <w:t xml:space="preserve"> its SENDOUT model.</w:t>
      </w:r>
      <w:r w:rsidR="0078713C" w:rsidRPr="00541CF1">
        <w:rPr>
          <w:rStyle w:val="FootnoteReference"/>
        </w:rPr>
        <w:footnoteReference w:id="13"/>
      </w:r>
      <w:r w:rsidR="00D24C11" w:rsidRPr="00541CF1">
        <w:t xml:space="preserve"> </w:t>
      </w:r>
      <w:r w:rsidR="00EB339B" w:rsidRPr="00541CF1">
        <w:t xml:space="preserve"> </w:t>
      </w:r>
      <w:r w:rsidR="00D24C11" w:rsidRPr="00541CF1">
        <w:t xml:space="preserve">This Plan </w:t>
      </w:r>
      <w:r w:rsidR="004C0DAE" w:rsidRPr="00541CF1">
        <w:lastRenderedPageBreak/>
        <w:t>projects</w:t>
      </w:r>
      <w:r w:rsidR="0078713C" w:rsidRPr="00541CF1">
        <w:t xml:space="preserve"> that the </w:t>
      </w:r>
      <w:r w:rsidR="00190E60" w:rsidRPr="00541CF1">
        <w:t>Company</w:t>
      </w:r>
      <w:r w:rsidR="0078713C" w:rsidRPr="00541CF1">
        <w:t xml:space="preserve"> can achieve </w:t>
      </w:r>
      <w:r w:rsidR="00974D9C" w:rsidRPr="00541CF1">
        <w:t xml:space="preserve">savings of </w:t>
      </w:r>
      <w:r w:rsidR="0078713C" w:rsidRPr="00541CF1">
        <w:t>1.1 million therms by 2018 and 3.6 million by 2033 in Washington.</w:t>
      </w:r>
    </w:p>
    <w:p w14:paraId="6E22D8C1" w14:textId="77777777" w:rsidR="0078713C" w:rsidRPr="00541CF1" w:rsidRDefault="0078713C" w:rsidP="006C66B2">
      <w:pPr>
        <w:ind w:left="450"/>
      </w:pPr>
    </w:p>
    <w:p w14:paraId="039EB73C" w14:textId="53F2956C" w:rsidR="008D0B89" w:rsidRPr="00541CF1" w:rsidRDefault="009B631F" w:rsidP="006C66B2">
      <w:pPr>
        <w:ind w:left="450"/>
      </w:pPr>
      <w:r w:rsidRPr="00541CF1">
        <w:t xml:space="preserve">In light of the Commission Policy Statement </w:t>
      </w:r>
      <w:r w:rsidR="00775EAB" w:rsidRPr="00541CF1">
        <w:t>on the cost-effectiveness of natural gas conservation</w:t>
      </w:r>
      <w:r w:rsidR="00BF29BB" w:rsidRPr="00541CF1">
        <w:t xml:space="preserve"> </w:t>
      </w:r>
      <w:r w:rsidRPr="00541CF1">
        <w:t xml:space="preserve">and lower avoided costs, </w:t>
      </w:r>
      <w:r w:rsidR="00065A93" w:rsidRPr="00541CF1">
        <w:t>NW Natural</w:t>
      </w:r>
      <w:r w:rsidRPr="00541CF1">
        <w:t xml:space="preserve"> </w:t>
      </w:r>
      <w:r w:rsidR="00BC6BA6" w:rsidRPr="00541CF1">
        <w:t xml:space="preserve">will </w:t>
      </w:r>
      <w:r w:rsidR="00DB1326" w:rsidRPr="00541CF1">
        <w:t xml:space="preserve">temporarily </w:t>
      </w:r>
      <w:r w:rsidR="00BC6BA6" w:rsidRPr="00541CF1">
        <w:t>use</w:t>
      </w:r>
      <w:r w:rsidRPr="00541CF1">
        <w:t xml:space="preserve"> the Utility Cost Test (UCT) as the primary cost-effectiveness test in 2015.</w:t>
      </w:r>
      <w:r w:rsidR="00BF29BB" w:rsidRPr="00541CF1">
        <w:rPr>
          <w:rStyle w:val="FootnoteReference"/>
        </w:rPr>
        <w:t xml:space="preserve"> </w:t>
      </w:r>
      <w:r w:rsidR="00BF29BB" w:rsidRPr="00541CF1">
        <w:rPr>
          <w:rStyle w:val="FootnoteReference"/>
        </w:rPr>
        <w:footnoteReference w:id="14"/>
      </w:r>
      <w:r w:rsidR="00BF29BB" w:rsidRPr="00541CF1">
        <w:t xml:space="preserve"> </w:t>
      </w:r>
      <w:r w:rsidRPr="00541CF1">
        <w:t xml:space="preserve"> </w:t>
      </w:r>
      <w:r w:rsidR="00A445EC" w:rsidRPr="00541CF1">
        <w:t>This is the appropriate</w:t>
      </w:r>
      <w:r w:rsidRPr="00541CF1">
        <w:t xml:space="preserve"> approach</w:t>
      </w:r>
      <w:r w:rsidR="00527165">
        <w:t xml:space="preserve"> in the near </w:t>
      </w:r>
      <w:r w:rsidR="00B35F7F" w:rsidRPr="00541CF1">
        <w:t>term</w:t>
      </w:r>
      <w:r w:rsidR="000D1F55" w:rsidRPr="00541CF1">
        <w:t>.</w:t>
      </w:r>
      <w:r w:rsidR="00EB339B" w:rsidRPr="00541CF1">
        <w:t xml:space="preserve">  </w:t>
      </w:r>
      <w:r w:rsidR="000D1F55" w:rsidRPr="00541CF1">
        <w:t xml:space="preserve">The </w:t>
      </w:r>
      <w:r w:rsidR="00190E60" w:rsidRPr="00541CF1">
        <w:t>Company</w:t>
      </w:r>
      <w:r w:rsidR="000D1F55" w:rsidRPr="00541CF1">
        <w:t xml:space="preserve">’s </w:t>
      </w:r>
      <w:r w:rsidR="003341F1" w:rsidRPr="00B86776">
        <w:t xml:space="preserve">forecasts of </w:t>
      </w:r>
      <w:r w:rsidR="000D1F55" w:rsidRPr="00541CF1">
        <w:t>avoided cost and declining cost-effectiv</w:t>
      </w:r>
      <w:r w:rsidR="004C0DAE" w:rsidRPr="00541CF1">
        <w:t>e</w:t>
      </w:r>
      <w:r w:rsidR="000D1F55" w:rsidRPr="00541CF1">
        <w:t>ness of the p</w:t>
      </w:r>
      <w:r w:rsidR="00974D9C" w:rsidRPr="00541CF1">
        <w:t>ortfolio</w:t>
      </w:r>
      <w:r w:rsidR="000D1F55" w:rsidRPr="00541CF1">
        <w:t xml:space="preserve"> under a </w:t>
      </w:r>
      <w:r w:rsidR="004C0DAE" w:rsidRPr="00541CF1">
        <w:t>total resource cost (</w:t>
      </w:r>
      <w:r w:rsidR="000D1F55" w:rsidRPr="00541CF1">
        <w:t>TRC</w:t>
      </w:r>
      <w:r w:rsidR="004C0DAE" w:rsidRPr="00541CF1">
        <w:t>)</w:t>
      </w:r>
      <w:r w:rsidR="000D1F55" w:rsidRPr="00541CF1">
        <w:t xml:space="preserve"> </w:t>
      </w:r>
      <w:r w:rsidR="004C0DAE" w:rsidRPr="00541CF1">
        <w:t>test</w:t>
      </w:r>
      <w:r w:rsidR="00DB1326" w:rsidRPr="00541CF1">
        <w:t xml:space="preserve"> highlight missing</w:t>
      </w:r>
      <w:r w:rsidR="00BC6BA6" w:rsidRPr="00541CF1">
        <w:t xml:space="preserve"> non-energy benefits</w:t>
      </w:r>
      <w:r w:rsidR="00DB1326" w:rsidRPr="00541CF1">
        <w:t xml:space="preserve"> in the analysis</w:t>
      </w:r>
      <w:r w:rsidR="000D1F55" w:rsidRPr="00541CF1">
        <w:t>.</w:t>
      </w:r>
      <w:r w:rsidR="00B5243E" w:rsidRPr="00541CF1">
        <w:t xml:space="preserve"> </w:t>
      </w:r>
      <w:r w:rsidR="00EB339B" w:rsidRPr="00541CF1">
        <w:t xml:space="preserve"> </w:t>
      </w:r>
      <w:r w:rsidR="00A445EC" w:rsidRPr="00541CF1">
        <w:t xml:space="preserve">As directed by the policy statement, the </w:t>
      </w:r>
      <w:r w:rsidR="00190E60" w:rsidRPr="00541CF1">
        <w:t>Company</w:t>
      </w:r>
      <w:r w:rsidR="008D0B89" w:rsidRPr="00541CF1">
        <w:t xml:space="preserve"> and ETO </w:t>
      </w:r>
      <w:r w:rsidR="00A445EC" w:rsidRPr="00541CF1">
        <w:t xml:space="preserve">should </w:t>
      </w:r>
      <w:r w:rsidR="00BF29BB" w:rsidRPr="00541CF1">
        <w:t xml:space="preserve">continue to </w:t>
      </w:r>
      <w:r w:rsidR="008D0B89" w:rsidRPr="00541CF1">
        <w:t xml:space="preserve">work with </w:t>
      </w:r>
      <w:r w:rsidR="00BF29BB" w:rsidRPr="00541CF1">
        <w:t>S</w:t>
      </w:r>
      <w:r w:rsidR="00A445EC" w:rsidRPr="00541CF1">
        <w:t>taff</w:t>
      </w:r>
      <w:r w:rsidR="004B62A4" w:rsidRPr="00541CF1">
        <w:t xml:space="preserve"> and regional stakeholders</w:t>
      </w:r>
      <w:r w:rsidR="008D0B89" w:rsidRPr="00541CF1">
        <w:t xml:space="preserve"> to quantify non-energy benefits </w:t>
      </w:r>
      <w:r w:rsidR="00527165">
        <w:t xml:space="preserve">properly </w:t>
      </w:r>
      <w:r w:rsidR="008D0B89" w:rsidRPr="00541CF1">
        <w:t>and develop a fully</w:t>
      </w:r>
      <w:r w:rsidR="00D10A7D">
        <w:t>-</w:t>
      </w:r>
      <w:r w:rsidR="008D0B89" w:rsidRPr="00541CF1">
        <w:t>balanced TRC</w:t>
      </w:r>
      <w:r w:rsidR="004C0DAE" w:rsidRPr="00541CF1">
        <w:t xml:space="preserve"> test</w:t>
      </w:r>
      <w:r w:rsidR="00974D9C" w:rsidRPr="00541CF1">
        <w:t xml:space="preserve"> in accordance with Commission policy</w:t>
      </w:r>
      <w:r w:rsidR="008D0B89" w:rsidRPr="00541CF1">
        <w:t>.</w:t>
      </w:r>
    </w:p>
    <w:p w14:paraId="00C1ED23" w14:textId="77777777" w:rsidR="00BF29BB" w:rsidRPr="00541CF1" w:rsidRDefault="00BF29BB" w:rsidP="006C66B2">
      <w:pPr>
        <w:ind w:left="450"/>
      </w:pPr>
    </w:p>
    <w:p w14:paraId="54BF5D9A" w14:textId="2AB30C3E" w:rsidR="009B631F" w:rsidRPr="00541CF1" w:rsidRDefault="00BF29BB" w:rsidP="006C66B2">
      <w:pPr>
        <w:ind w:left="450"/>
      </w:pPr>
      <w:r w:rsidRPr="00541CF1">
        <w:rPr>
          <w:i/>
        </w:rPr>
        <w:t>Avoided Cost Calculation</w:t>
      </w:r>
      <w:r w:rsidR="009B631F" w:rsidRPr="00541CF1">
        <w:t xml:space="preserve"> </w:t>
      </w:r>
    </w:p>
    <w:p w14:paraId="237DE687" w14:textId="590640A0" w:rsidR="00923237" w:rsidRPr="00B14084" w:rsidRDefault="0065352B" w:rsidP="00B14084">
      <w:pPr>
        <w:ind w:left="450"/>
      </w:pPr>
      <w:r w:rsidRPr="00541CF1">
        <w:t>Demand-side resources reduce peak demand</w:t>
      </w:r>
      <w:r w:rsidR="00F673A8" w:rsidRPr="00541CF1">
        <w:t xml:space="preserve"> and </w:t>
      </w:r>
      <w:r w:rsidRPr="00541CF1">
        <w:t xml:space="preserve">total </w:t>
      </w:r>
      <w:r w:rsidR="000F2551" w:rsidRPr="00541CF1">
        <w:t>gas usage by offsetting supply-side resources at a lower cost</w:t>
      </w:r>
      <w:r w:rsidR="00F673A8" w:rsidRPr="00541CF1">
        <w:t>,</w:t>
      </w:r>
      <w:r w:rsidR="000F2551" w:rsidRPr="00541CF1">
        <w:t xml:space="preserve"> so long as the cost of the supply-side resources are reflected in the avoided cost for demand-side resources. </w:t>
      </w:r>
      <w:r w:rsidR="00EB339B" w:rsidRPr="00541CF1">
        <w:t xml:space="preserve"> </w:t>
      </w:r>
      <w:r w:rsidR="00C82F3A" w:rsidRPr="00541CF1">
        <w:t xml:space="preserve">The </w:t>
      </w:r>
      <w:r w:rsidR="00190E60" w:rsidRPr="00541CF1">
        <w:t>Company</w:t>
      </w:r>
      <w:r w:rsidR="00C82F3A" w:rsidRPr="00541CF1">
        <w:t xml:space="preserve">’s </w:t>
      </w:r>
      <w:r w:rsidR="00854C58" w:rsidRPr="00541CF1">
        <w:t>expected case for the future</w:t>
      </w:r>
      <w:r w:rsidR="00C82F3A" w:rsidRPr="00541CF1">
        <w:t xml:space="preserve"> include</w:t>
      </w:r>
      <w:r w:rsidR="00854C58" w:rsidRPr="00541CF1">
        <w:t>s</w:t>
      </w:r>
      <w:r w:rsidR="00B5243E" w:rsidRPr="00541CF1">
        <w:t xml:space="preserve"> subscribing to a</w:t>
      </w:r>
      <w:r w:rsidR="00C82F3A" w:rsidRPr="00541CF1">
        <w:t xml:space="preserve"> Cross </w:t>
      </w:r>
      <w:r w:rsidR="00C82F3A" w:rsidRPr="00B86776">
        <w:t>Cascades</w:t>
      </w:r>
      <w:r w:rsidR="00C82F3A" w:rsidRPr="00541CF1">
        <w:t xml:space="preserve"> transmission pipeline, recalling Mi</w:t>
      </w:r>
      <w:r w:rsidR="000F2551" w:rsidRPr="00541CF1">
        <w:t>st storage contracts, building a</w:t>
      </w:r>
      <w:r w:rsidR="00C82F3A" w:rsidRPr="00541CF1">
        <w:t xml:space="preserve"> compressor</w:t>
      </w:r>
      <w:r w:rsidR="000F2551" w:rsidRPr="00541CF1">
        <w:t xml:space="preserve"> to increase the</w:t>
      </w:r>
      <w:r w:rsidR="004D3454" w:rsidRPr="00541CF1">
        <w:t xml:space="preserve"> capacity of the</w:t>
      </w:r>
      <w:r w:rsidR="000F2551" w:rsidRPr="00541CF1">
        <w:t xml:space="preserve"> Central Coast Feeder</w:t>
      </w:r>
      <w:r w:rsidR="00096A33" w:rsidRPr="00541CF1">
        <w:t>, and refurbishing the Newport</w:t>
      </w:r>
      <w:r w:rsidR="00C82F3A" w:rsidRPr="00541CF1">
        <w:t xml:space="preserve"> LNG plant</w:t>
      </w:r>
      <w:r w:rsidR="00854C58" w:rsidRPr="00541CF1">
        <w:t>,</w:t>
      </w:r>
      <w:r w:rsidR="00C82F3A" w:rsidRPr="00541CF1">
        <w:t xml:space="preserve"> among other distribution and transmission projects. </w:t>
      </w:r>
      <w:r w:rsidR="00EB339B" w:rsidRPr="00541CF1">
        <w:t xml:space="preserve"> </w:t>
      </w:r>
      <w:r w:rsidR="00854C58" w:rsidRPr="00541CF1">
        <w:t xml:space="preserve">However, the </w:t>
      </w:r>
      <w:r w:rsidR="00190E60" w:rsidRPr="00541CF1">
        <w:t>Company</w:t>
      </w:r>
      <w:r w:rsidR="00854C58" w:rsidRPr="00541CF1">
        <w:t>’s avoided cost did not account for the capacity value of any of these transmission and distribution projects, only the commodity cost.</w:t>
      </w:r>
      <w:r w:rsidR="00F5745C" w:rsidRPr="00541CF1">
        <w:t xml:space="preserve"> </w:t>
      </w:r>
      <w:r w:rsidR="00854C58" w:rsidRPr="00541CF1">
        <w:t xml:space="preserve"> If the </w:t>
      </w:r>
      <w:r w:rsidR="00C161F5" w:rsidRPr="00541CF1">
        <w:t xml:space="preserve">resources of the </w:t>
      </w:r>
      <w:r w:rsidR="00854C58" w:rsidRPr="00541CF1">
        <w:t xml:space="preserve">expected case </w:t>
      </w:r>
      <w:r w:rsidR="004677B9" w:rsidRPr="00541CF1">
        <w:t>are necessary because</w:t>
      </w:r>
      <w:r w:rsidR="007B7FCB" w:rsidRPr="00541CF1">
        <w:t xml:space="preserve"> peak </w:t>
      </w:r>
      <w:r w:rsidR="00854C58" w:rsidRPr="00541CF1">
        <w:t>d</w:t>
      </w:r>
      <w:r w:rsidR="00C82F3A" w:rsidRPr="00541CF1">
        <w:t>emand forecasts exceed the ability of the current infrastructure</w:t>
      </w:r>
      <w:r w:rsidR="006E0FEB" w:rsidRPr="00541CF1">
        <w:t xml:space="preserve"> to meet that future demand</w:t>
      </w:r>
      <w:r w:rsidR="00854C58" w:rsidRPr="00541CF1">
        <w:t xml:space="preserve">, then there is a value associated with </w:t>
      </w:r>
      <w:r w:rsidR="00C82F3A" w:rsidRPr="00541CF1">
        <w:t xml:space="preserve">avoiding or even delaying these projects. </w:t>
      </w:r>
      <w:r w:rsidR="00F5745C" w:rsidRPr="00541CF1">
        <w:t xml:space="preserve"> </w:t>
      </w:r>
      <w:r w:rsidR="00C161F5" w:rsidRPr="00541CF1">
        <w:t>A</w:t>
      </w:r>
      <w:r w:rsidR="00CD4550" w:rsidRPr="00541CF1">
        <w:t>cquiring additional demand-</w:t>
      </w:r>
      <w:r w:rsidR="00C82F3A" w:rsidRPr="00541CF1">
        <w:t xml:space="preserve">side resources </w:t>
      </w:r>
      <w:r w:rsidR="00C161F5" w:rsidRPr="00541CF1">
        <w:t xml:space="preserve">to reduce demand is a least cost alternative </w:t>
      </w:r>
      <w:r w:rsidR="00C82F3A" w:rsidRPr="00541CF1">
        <w:t xml:space="preserve">to </w:t>
      </w:r>
      <w:r w:rsidR="00C161F5" w:rsidRPr="00541CF1">
        <w:t>resource addition</w:t>
      </w:r>
      <w:r w:rsidR="00CD4550" w:rsidRPr="00541CF1">
        <w:t>s</w:t>
      </w:r>
      <w:r w:rsidR="00C161F5" w:rsidRPr="00541CF1">
        <w:t>.</w:t>
      </w:r>
      <w:r w:rsidR="00854C58" w:rsidRPr="00541CF1">
        <w:t xml:space="preserve"> </w:t>
      </w:r>
      <w:r w:rsidR="00F5745C" w:rsidRPr="00541CF1">
        <w:t xml:space="preserve"> </w:t>
      </w:r>
      <w:r w:rsidR="00854C58" w:rsidRPr="00541CF1">
        <w:t>By not including the capacity cost of the expected projects</w:t>
      </w:r>
      <w:r w:rsidR="00CD4550" w:rsidRPr="00541CF1">
        <w:t xml:space="preserve">, </w:t>
      </w:r>
      <w:r w:rsidR="00854C58" w:rsidRPr="00541CF1">
        <w:t xml:space="preserve">the </w:t>
      </w:r>
      <w:r w:rsidR="00190E60" w:rsidRPr="00541CF1">
        <w:t>Company</w:t>
      </w:r>
      <w:r w:rsidR="00527165">
        <w:t xml:space="preserve"> is </w:t>
      </w:r>
      <w:r w:rsidR="00CD4550" w:rsidRPr="00541CF1">
        <w:t>likely</w:t>
      </w:r>
      <w:r w:rsidR="00C82F3A" w:rsidRPr="00541CF1">
        <w:t xml:space="preserve"> under-inves</w:t>
      </w:r>
      <w:r w:rsidR="00854C58" w:rsidRPr="00541CF1">
        <w:t>ting in conservation resources</w:t>
      </w:r>
      <w:r w:rsidR="00C82F3A" w:rsidRPr="00541CF1">
        <w:t>.</w:t>
      </w:r>
      <w:r w:rsidR="00F5745C" w:rsidRPr="00541CF1">
        <w:t xml:space="preserve"> </w:t>
      </w:r>
      <w:r w:rsidR="00C82F3A" w:rsidRPr="00541CF1">
        <w:t xml:space="preserve"> Prior to its 2</w:t>
      </w:r>
      <w:r w:rsidR="00CD4550" w:rsidRPr="00541CF1">
        <w:t>016 energy efficiency plan expected</w:t>
      </w:r>
      <w:r w:rsidR="00C82F3A" w:rsidRPr="00541CF1">
        <w:t xml:space="preserve"> in November 2015, the </w:t>
      </w:r>
      <w:r w:rsidR="00190E60" w:rsidRPr="00541CF1">
        <w:t>Company</w:t>
      </w:r>
      <w:r w:rsidR="00C82F3A" w:rsidRPr="00541CF1">
        <w:t xml:space="preserve"> should work with Staff and interested parties to modify </w:t>
      </w:r>
      <w:r w:rsidR="00CD4550" w:rsidRPr="00541CF1">
        <w:t xml:space="preserve">and refile </w:t>
      </w:r>
      <w:r w:rsidR="00C82F3A" w:rsidRPr="00541CF1">
        <w:t xml:space="preserve">its avoided cost calculation. </w:t>
      </w:r>
    </w:p>
    <w:p w14:paraId="24F3709B" w14:textId="77777777" w:rsidR="00923237" w:rsidRDefault="00923237" w:rsidP="006C66B2">
      <w:pPr>
        <w:ind w:left="450"/>
        <w:rPr>
          <w:b/>
        </w:rPr>
      </w:pPr>
    </w:p>
    <w:p w14:paraId="7165CDC4" w14:textId="6993BB1B" w:rsidR="00923237" w:rsidRPr="00923237" w:rsidRDefault="00923237" w:rsidP="00923237">
      <w:pPr>
        <w:ind w:left="450"/>
        <w:rPr>
          <w:b/>
        </w:rPr>
      </w:pPr>
      <w:r>
        <w:rPr>
          <w:b/>
        </w:rPr>
        <w:t>Natural Gas Hedging</w:t>
      </w:r>
    </w:p>
    <w:p w14:paraId="4D5BAEC7" w14:textId="319B2B48" w:rsidR="00923237" w:rsidRDefault="00923237" w:rsidP="00923237">
      <w:pPr>
        <w:ind w:left="450"/>
      </w:pPr>
      <w:r>
        <w:t xml:space="preserve">The Plan states that the Company would like to increase its long-term hedged position up to no more than 25 percent of its expected annual purchases requirements. </w:t>
      </w:r>
      <w:r w:rsidR="00CD206F">
        <w:t xml:space="preserve"> </w:t>
      </w:r>
      <w:r>
        <w:t>Currently, the Company does not have long-term hedges for its Washington customers.</w:t>
      </w:r>
      <w:r w:rsidR="005304CE">
        <w:rPr>
          <w:rStyle w:val="FootnoteReference"/>
        </w:rPr>
        <w:footnoteReference w:id="15"/>
      </w:r>
      <w:r>
        <w:t xml:space="preserve"> </w:t>
      </w:r>
      <w:r w:rsidR="00CD206F">
        <w:t xml:space="preserve"> </w:t>
      </w:r>
      <w:r>
        <w:t xml:space="preserve">A long-term </w:t>
      </w:r>
      <w:r>
        <w:lastRenderedPageBreak/>
        <w:t xml:space="preserve">hedge in this context is a contract for more than three years. </w:t>
      </w:r>
      <w:r w:rsidR="00CD206F">
        <w:t xml:space="preserve"> </w:t>
      </w:r>
      <w:r>
        <w:t>NW Natural believes that the fundamentals of gas production and demand favor locking-in gas prices now for longer-term periods.</w:t>
      </w:r>
      <w:r w:rsidR="00CD206F">
        <w:t xml:space="preserve"> </w:t>
      </w:r>
      <w:r>
        <w:t xml:space="preserve"> </w:t>
      </w:r>
    </w:p>
    <w:p w14:paraId="514CE4E7" w14:textId="77777777" w:rsidR="00923237" w:rsidRDefault="00923237" w:rsidP="00923237">
      <w:pPr>
        <w:ind w:left="450"/>
      </w:pPr>
    </w:p>
    <w:p w14:paraId="26AC16EC" w14:textId="28D83715" w:rsidR="00923237" w:rsidRPr="00923237" w:rsidRDefault="00923237" w:rsidP="00923237">
      <w:pPr>
        <w:ind w:left="450"/>
      </w:pPr>
      <w:r>
        <w:t xml:space="preserve">The Commission is interested in further discussions of the Company’s hedging practices in the Commission’s existing natural gas hedging practices inquiry in Docket UG-132019. </w:t>
      </w:r>
      <w:r w:rsidR="00CD206F">
        <w:t xml:space="preserve"> </w:t>
      </w:r>
      <w:r>
        <w:t>We look forward to the Company’s participation in the continua</w:t>
      </w:r>
      <w:r w:rsidR="00AF2D7D">
        <w:t>tion of these workshops later</w:t>
      </w:r>
      <w:r>
        <w:t xml:space="preserve"> this year.</w:t>
      </w:r>
      <w:r w:rsidR="00CD206F">
        <w:t xml:space="preserve"> </w:t>
      </w:r>
      <w:r>
        <w:t xml:space="preserve"> </w:t>
      </w:r>
    </w:p>
    <w:p w14:paraId="32F81F9F" w14:textId="77777777" w:rsidR="00923237" w:rsidRDefault="00923237" w:rsidP="00923237">
      <w:pPr>
        <w:ind w:left="900"/>
        <w:rPr>
          <w:b/>
        </w:rPr>
      </w:pPr>
    </w:p>
    <w:p w14:paraId="22347729" w14:textId="434D07F6" w:rsidR="00CD7CBB" w:rsidRPr="00541CF1" w:rsidRDefault="00D77388" w:rsidP="00923237">
      <w:pPr>
        <w:ind w:left="450"/>
        <w:rPr>
          <w:b/>
        </w:rPr>
      </w:pPr>
      <w:r w:rsidRPr="00541CF1">
        <w:rPr>
          <w:b/>
        </w:rPr>
        <w:t xml:space="preserve">Resource </w:t>
      </w:r>
      <w:r w:rsidR="00A315E0" w:rsidRPr="00541CF1">
        <w:rPr>
          <w:b/>
        </w:rPr>
        <w:t>Stack</w:t>
      </w:r>
    </w:p>
    <w:p w14:paraId="51CC36D0" w14:textId="37645A4B" w:rsidR="007D1F11" w:rsidRPr="00541CF1" w:rsidRDefault="00A315E0" w:rsidP="00923237">
      <w:pPr>
        <w:pStyle w:val="NoSpacing"/>
        <w:spacing w:line="264" w:lineRule="auto"/>
        <w:ind w:left="450"/>
        <w:rPr>
          <w:i/>
        </w:rPr>
      </w:pPr>
      <w:r w:rsidRPr="00541CF1">
        <w:rPr>
          <w:i/>
        </w:rPr>
        <w:t xml:space="preserve">Modification to </w:t>
      </w:r>
      <w:r w:rsidR="00C4070E" w:rsidRPr="00541CF1">
        <w:rPr>
          <w:i/>
        </w:rPr>
        <w:t xml:space="preserve">Resource </w:t>
      </w:r>
      <w:r w:rsidRPr="00541CF1">
        <w:rPr>
          <w:i/>
        </w:rPr>
        <w:t>Stack</w:t>
      </w:r>
    </w:p>
    <w:p w14:paraId="6431D976" w14:textId="2141987A" w:rsidR="00AA25F7" w:rsidRPr="00541CF1" w:rsidRDefault="00B4735A" w:rsidP="00923237">
      <w:pPr>
        <w:pStyle w:val="NoSpacing"/>
        <w:spacing w:line="264" w:lineRule="auto"/>
        <w:ind w:left="450"/>
      </w:pPr>
      <w:r w:rsidRPr="00541CF1">
        <w:t>In December 2013, prior to the explosion</w:t>
      </w:r>
      <w:r w:rsidR="008B63E8" w:rsidRPr="00541CF1">
        <w:t xml:space="preserve"> at Plymouth LNG</w:t>
      </w:r>
      <w:r w:rsidRPr="00541CF1">
        <w:t xml:space="preserve">, </w:t>
      </w:r>
      <w:r w:rsidR="002961C4" w:rsidRPr="00541CF1">
        <w:t xml:space="preserve">Williams </w:t>
      </w:r>
      <w:r w:rsidR="00AB5E77" w:rsidRPr="00541CF1">
        <w:t>Northwest Pipeline (</w:t>
      </w:r>
      <w:r w:rsidR="00D77388" w:rsidRPr="00541CF1">
        <w:t>NWP</w:t>
      </w:r>
      <w:r w:rsidR="00AB5E77" w:rsidRPr="00541CF1">
        <w:t>)</w:t>
      </w:r>
      <w:r w:rsidR="00D77388" w:rsidRPr="00541CF1">
        <w:t xml:space="preserve"> curtailed </w:t>
      </w:r>
      <w:r w:rsidR="00AA25F7" w:rsidRPr="00541CF1">
        <w:t xml:space="preserve">the </w:t>
      </w:r>
      <w:r w:rsidR="00190E60" w:rsidRPr="00541CF1">
        <w:t>Company</w:t>
      </w:r>
      <w:r w:rsidR="00AA25F7" w:rsidRPr="00541CF1">
        <w:t>’s TF-2 transmission service from Plymouth</w:t>
      </w:r>
      <w:r w:rsidRPr="00541CF1">
        <w:t>.</w:t>
      </w:r>
      <w:r w:rsidR="00974D9C" w:rsidRPr="00541CF1">
        <w:rPr>
          <w:rStyle w:val="FootnoteReference"/>
        </w:rPr>
        <w:footnoteReference w:id="16"/>
      </w:r>
      <w:r w:rsidRPr="00541CF1">
        <w:t xml:space="preserve"> </w:t>
      </w:r>
      <w:r w:rsidR="00F5745C" w:rsidRPr="00541CF1">
        <w:t xml:space="preserve"> </w:t>
      </w:r>
      <w:r w:rsidR="00A20500" w:rsidRPr="00541CF1">
        <w:t xml:space="preserve">In previous </w:t>
      </w:r>
      <w:r w:rsidR="00CD4550" w:rsidRPr="00541CF1">
        <w:t>p</w:t>
      </w:r>
      <w:r w:rsidR="00E32D35" w:rsidRPr="00541CF1">
        <w:t>lans,</w:t>
      </w:r>
      <w:r w:rsidR="00A20500" w:rsidRPr="00541CF1">
        <w:t xml:space="preserve"> the </w:t>
      </w:r>
      <w:r w:rsidR="00190E60" w:rsidRPr="00541CF1">
        <w:t>Company</w:t>
      </w:r>
      <w:r w:rsidR="00A20500" w:rsidRPr="00541CF1">
        <w:t xml:space="preserve"> claimed</w:t>
      </w:r>
      <w:r w:rsidR="007B7FCB" w:rsidRPr="00541CF1">
        <w:t xml:space="preserve"> the</w:t>
      </w:r>
      <w:r w:rsidR="008B63E8" w:rsidRPr="00541CF1">
        <w:t xml:space="preserve"> </w:t>
      </w:r>
      <w:r w:rsidR="007B7FCB" w:rsidRPr="00541CF1">
        <w:t>resource, and implicitly its transmission, as firm</w:t>
      </w:r>
      <w:r w:rsidR="00D77388" w:rsidRPr="00541CF1">
        <w:t>.</w:t>
      </w:r>
      <w:r w:rsidR="00B34EAA" w:rsidRPr="00541CF1">
        <w:rPr>
          <w:rStyle w:val="FootnoteReference"/>
        </w:rPr>
        <w:footnoteReference w:id="17"/>
      </w:r>
      <w:r w:rsidR="00D77388" w:rsidRPr="00541CF1">
        <w:t xml:space="preserve"> </w:t>
      </w:r>
      <w:r w:rsidR="00F5745C" w:rsidRPr="00541CF1">
        <w:t xml:space="preserve"> </w:t>
      </w:r>
      <w:r w:rsidR="00D77388" w:rsidRPr="00541CF1">
        <w:t xml:space="preserve">In light of </w:t>
      </w:r>
      <w:r w:rsidR="00670A89" w:rsidRPr="00541CF1">
        <w:t xml:space="preserve">the discovery that this was a </w:t>
      </w:r>
      <w:r w:rsidRPr="00541CF1">
        <w:t>“secondary” or “subordinate”</w:t>
      </w:r>
      <w:r w:rsidR="00D77388" w:rsidRPr="00541CF1">
        <w:t xml:space="preserve"> contract, the </w:t>
      </w:r>
      <w:r w:rsidR="00190E60" w:rsidRPr="00541CF1">
        <w:t>Company</w:t>
      </w:r>
      <w:r w:rsidR="00D77388" w:rsidRPr="00541CF1">
        <w:t xml:space="preserve"> did not renew the</w:t>
      </w:r>
      <w:r w:rsidRPr="00541CF1">
        <w:t xml:space="preserve"> service in 2015</w:t>
      </w:r>
      <w:r w:rsidR="003B5F86" w:rsidRPr="00541CF1">
        <w:t xml:space="preserve"> and removed the 40,000 dth/day from the resource stack</w:t>
      </w:r>
      <w:r w:rsidRPr="00541CF1">
        <w:t>.</w:t>
      </w:r>
      <w:r w:rsidR="00F5745C" w:rsidRPr="00541CF1">
        <w:t xml:space="preserve"> </w:t>
      </w:r>
      <w:r w:rsidR="008B63E8" w:rsidRPr="00541CF1">
        <w:t xml:space="preserve"> </w:t>
      </w:r>
      <w:r w:rsidR="00D77388" w:rsidRPr="00541CF1">
        <w:t xml:space="preserve">The </w:t>
      </w:r>
      <w:r w:rsidR="00190E60" w:rsidRPr="00541CF1">
        <w:t>Company</w:t>
      </w:r>
      <w:r w:rsidR="00D77388" w:rsidRPr="00541CF1">
        <w:t xml:space="preserve"> also removed a </w:t>
      </w:r>
      <w:r w:rsidR="00670A89" w:rsidRPr="00541CF1">
        <w:t>portion of its</w:t>
      </w:r>
      <w:r w:rsidR="008B63E8" w:rsidRPr="00541CF1">
        <w:t xml:space="preserve"> Jackson Prairie </w:t>
      </w:r>
      <w:r w:rsidR="00670A89" w:rsidRPr="00541CF1">
        <w:t xml:space="preserve">(JP) </w:t>
      </w:r>
      <w:r w:rsidR="008B63E8" w:rsidRPr="00541CF1">
        <w:t>contract from the firm resource stack</w:t>
      </w:r>
      <w:r w:rsidR="00670A89" w:rsidRPr="00541CF1">
        <w:t xml:space="preserve"> for </w:t>
      </w:r>
      <w:r w:rsidR="0065352B" w:rsidRPr="00541CF1">
        <w:t xml:space="preserve">meeting peak demand </w:t>
      </w:r>
      <w:r w:rsidR="00F3743F" w:rsidRPr="00541CF1">
        <w:t xml:space="preserve">in recognition of the subordinate status of the pipeline capacity.  However, the </w:t>
      </w:r>
      <w:r w:rsidR="00190E60" w:rsidRPr="00541CF1">
        <w:t>Company</w:t>
      </w:r>
      <w:r w:rsidR="00F3743F" w:rsidRPr="00541CF1">
        <w:t xml:space="preserve"> </w:t>
      </w:r>
      <w:r w:rsidR="003015B5" w:rsidRPr="00541CF1">
        <w:t xml:space="preserve">does not expect curtailment along that stretch of the pipeline within the next </w:t>
      </w:r>
      <w:r w:rsidR="00E340C8">
        <w:t>five</w:t>
      </w:r>
      <w:r w:rsidR="003015B5" w:rsidRPr="00541CF1">
        <w:t xml:space="preserve"> years and is</w:t>
      </w:r>
      <w:r w:rsidR="00B35F7F" w:rsidRPr="00541CF1">
        <w:t xml:space="preserve"> therefore</w:t>
      </w:r>
      <w:r w:rsidR="008B63E8" w:rsidRPr="00541CF1">
        <w:t xml:space="preserve"> </w:t>
      </w:r>
      <w:r w:rsidR="00F673A8" w:rsidRPr="00541CF1">
        <w:t>renewing</w:t>
      </w:r>
      <w:r w:rsidR="008B63E8" w:rsidRPr="00541CF1">
        <w:t xml:space="preserve"> the</w:t>
      </w:r>
      <w:r w:rsidR="00CD4550" w:rsidRPr="00541CF1">
        <w:t xml:space="preserve"> JP</w:t>
      </w:r>
      <w:r w:rsidR="008B63E8" w:rsidRPr="00541CF1">
        <w:t xml:space="preserve"> </w:t>
      </w:r>
      <w:r w:rsidR="003015B5" w:rsidRPr="00541CF1">
        <w:t>contract</w:t>
      </w:r>
      <w:r w:rsidR="00D77388" w:rsidRPr="00541CF1">
        <w:t>.</w:t>
      </w:r>
      <w:r w:rsidR="00AA25F7" w:rsidRPr="00541CF1">
        <w:t xml:space="preserve"> </w:t>
      </w:r>
      <w:r w:rsidR="00CD206F">
        <w:t xml:space="preserve"> </w:t>
      </w:r>
    </w:p>
    <w:p w14:paraId="4F0AFCEF" w14:textId="77777777" w:rsidR="00A315E0" w:rsidRPr="00541CF1" w:rsidRDefault="00A315E0" w:rsidP="00923237">
      <w:pPr>
        <w:pStyle w:val="NoSpacing"/>
        <w:spacing w:line="264" w:lineRule="auto"/>
        <w:ind w:left="450"/>
        <w:rPr>
          <w:i/>
        </w:rPr>
      </w:pPr>
    </w:p>
    <w:p w14:paraId="7404C00F" w14:textId="0DF63557" w:rsidR="008B63E8" w:rsidRPr="00541CF1" w:rsidRDefault="005B4D9F" w:rsidP="00923237">
      <w:pPr>
        <w:pStyle w:val="NoSpacing"/>
        <w:spacing w:line="264" w:lineRule="auto"/>
        <w:ind w:left="450"/>
      </w:pPr>
      <w:r w:rsidRPr="00541CF1">
        <w:t>Primarily</w:t>
      </w:r>
      <w:r w:rsidR="00CD4550" w:rsidRPr="00541CF1">
        <w:t xml:space="preserve"> due to</w:t>
      </w:r>
      <w:r w:rsidR="00B4735A" w:rsidRPr="00541CF1">
        <w:t xml:space="preserve"> the removal</w:t>
      </w:r>
      <w:r w:rsidR="004A1F8F" w:rsidRPr="00541CF1">
        <w:t xml:space="preserve"> of Plymouth and a portion of JP</w:t>
      </w:r>
      <w:r w:rsidR="00B4735A" w:rsidRPr="00541CF1">
        <w:t xml:space="preserve">, </w:t>
      </w:r>
      <w:r w:rsidR="00065A93" w:rsidRPr="00541CF1">
        <w:t>NW Natural</w:t>
      </w:r>
      <w:r w:rsidR="00B4735A" w:rsidRPr="00541CF1">
        <w:t xml:space="preserve"> </w:t>
      </w:r>
      <w:r w:rsidR="001F2C0E" w:rsidRPr="00541CF1">
        <w:t xml:space="preserve">projects it </w:t>
      </w:r>
      <w:r w:rsidR="00B4735A" w:rsidRPr="00541CF1">
        <w:t>will need additional</w:t>
      </w:r>
      <w:r w:rsidR="00D77388" w:rsidRPr="00541CF1">
        <w:t xml:space="preserve"> regional pipeline capacity</w:t>
      </w:r>
      <w:r w:rsidR="00AA25F7" w:rsidRPr="00541CF1">
        <w:t xml:space="preserve"> </w:t>
      </w:r>
      <w:r w:rsidR="001F2C0E" w:rsidRPr="00541CF1">
        <w:t>with</w:t>
      </w:r>
      <w:r w:rsidR="00AA25F7" w:rsidRPr="00541CF1">
        <w:t>in the planning horizon</w:t>
      </w:r>
      <w:r w:rsidR="00D77388" w:rsidRPr="00541CF1">
        <w:t>.</w:t>
      </w:r>
      <w:r w:rsidR="00C34D23" w:rsidRPr="00541CF1">
        <w:t xml:space="preserve"> </w:t>
      </w:r>
      <w:r w:rsidR="00F5745C" w:rsidRPr="00541CF1">
        <w:t xml:space="preserve"> </w:t>
      </w:r>
      <w:r w:rsidR="00D77388" w:rsidRPr="00541CF1">
        <w:t xml:space="preserve">In all </w:t>
      </w:r>
      <w:r w:rsidR="00206729" w:rsidRPr="00541CF1">
        <w:t>scenarios,</w:t>
      </w:r>
      <w:r w:rsidR="00D77388" w:rsidRPr="00541CF1">
        <w:t xml:space="preserve"> the </w:t>
      </w:r>
      <w:r w:rsidR="00190E60" w:rsidRPr="00541CF1">
        <w:t>Company</w:t>
      </w:r>
      <w:r w:rsidR="00CD4550" w:rsidRPr="00541CF1">
        <w:t>’s resource stack includes</w:t>
      </w:r>
      <w:r w:rsidR="00F5745C" w:rsidRPr="00541CF1">
        <w:t>:</w:t>
      </w:r>
    </w:p>
    <w:p w14:paraId="0491C524" w14:textId="7548EECA" w:rsidR="008B63E8" w:rsidRPr="00541CF1" w:rsidRDefault="00706C3D" w:rsidP="00923237">
      <w:pPr>
        <w:pStyle w:val="NoSpacing"/>
        <w:spacing w:line="264" w:lineRule="auto"/>
        <w:ind w:left="450"/>
      </w:pPr>
      <w:r w:rsidRPr="00541CF1">
        <w:t xml:space="preserve"> </w:t>
      </w:r>
    </w:p>
    <w:p w14:paraId="15698B72" w14:textId="77E33C16" w:rsidR="00372A7E" w:rsidRPr="00541CF1" w:rsidRDefault="00D77388" w:rsidP="00923237">
      <w:pPr>
        <w:pStyle w:val="NoSpacing"/>
        <w:numPr>
          <w:ilvl w:val="0"/>
          <w:numId w:val="1"/>
        </w:numPr>
        <w:spacing w:line="264" w:lineRule="auto"/>
        <w:ind w:left="1440"/>
      </w:pPr>
      <w:r w:rsidRPr="00541CF1">
        <w:t xml:space="preserve">Recall </w:t>
      </w:r>
      <w:r w:rsidR="00CD4550" w:rsidRPr="00541CF1">
        <w:t xml:space="preserve">of </w:t>
      </w:r>
      <w:r w:rsidR="00372A7E" w:rsidRPr="00541CF1">
        <w:t xml:space="preserve">Mist storage contracts </w:t>
      </w:r>
      <w:r w:rsidR="00256738" w:rsidRPr="00541CF1">
        <w:t>beginning in 2015</w:t>
      </w:r>
      <w:r w:rsidR="004D5F07" w:rsidRPr="00541CF1">
        <w:t>,</w:t>
      </w:r>
    </w:p>
    <w:p w14:paraId="2776BDA4" w14:textId="77777777" w:rsidR="00256738" w:rsidRPr="00541CF1" w:rsidRDefault="00CD4550" w:rsidP="00923237">
      <w:pPr>
        <w:pStyle w:val="NoSpacing"/>
        <w:numPr>
          <w:ilvl w:val="0"/>
          <w:numId w:val="1"/>
        </w:numPr>
        <w:spacing w:line="264" w:lineRule="auto"/>
        <w:ind w:left="1440"/>
      </w:pPr>
      <w:r w:rsidRPr="00541CF1">
        <w:t>S</w:t>
      </w:r>
      <w:r w:rsidR="00256738" w:rsidRPr="00541CF1">
        <w:t>eg</w:t>
      </w:r>
      <w:r w:rsidR="00D24C11" w:rsidRPr="00541CF1">
        <w:t xml:space="preserve">mented capacity </w:t>
      </w:r>
      <w:r w:rsidR="00FF0CF4" w:rsidRPr="00541CF1">
        <w:t>until</w:t>
      </w:r>
      <w:r w:rsidR="00D24C11" w:rsidRPr="00541CF1">
        <w:t xml:space="preserve"> 2018</w:t>
      </w:r>
      <w:r w:rsidR="004D5F07" w:rsidRPr="00541CF1">
        <w:t>,</w:t>
      </w:r>
    </w:p>
    <w:p w14:paraId="7BD33DBE" w14:textId="20B16B30" w:rsidR="00256738" w:rsidRPr="00541CF1" w:rsidRDefault="00D77388" w:rsidP="00923237">
      <w:pPr>
        <w:pStyle w:val="NoSpacing"/>
        <w:numPr>
          <w:ilvl w:val="0"/>
          <w:numId w:val="1"/>
        </w:numPr>
        <w:spacing w:line="264" w:lineRule="auto"/>
        <w:ind w:left="1440"/>
      </w:pPr>
      <w:r w:rsidRPr="00541CF1">
        <w:t>North Mist e</w:t>
      </w:r>
      <w:r w:rsidR="00256738" w:rsidRPr="00541CF1">
        <w:t xml:space="preserve">xpansion </w:t>
      </w:r>
      <w:r w:rsidR="00FF0CF4" w:rsidRPr="00541CF1">
        <w:t>as soon as 2020</w:t>
      </w:r>
      <w:r w:rsidR="00CD4550" w:rsidRPr="00541CF1">
        <w:t xml:space="preserve"> and</w:t>
      </w:r>
      <w:r w:rsidR="00FF0CF4" w:rsidRPr="00541CF1">
        <w:t>,</w:t>
      </w:r>
    </w:p>
    <w:p w14:paraId="09FDB897" w14:textId="09C5F6E0" w:rsidR="008B63E8" w:rsidRPr="00541CF1" w:rsidRDefault="00CD4550" w:rsidP="00923237">
      <w:pPr>
        <w:pStyle w:val="NoSpacing"/>
        <w:numPr>
          <w:ilvl w:val="0"/>
          <w:numId w:val="1"/>
        </w:numPr>
        <w:spacing w:line="264" w:lineRule="auto"/>
        <w:ind w:left="1440"/>
      </w:pPr>
      <w:r w:rsidRPr="00541CF1">
        <w:t>Subscribing</w:t>
      </w:r>
      <w:r w:rsidR="00FF0CF4" w:rsidRPr="00541CF1">
        <w:t xml:space="preserve"> to a regional interstate pipeline.</w:t>
      </w:r>
      <w:r w:rsidR="00CD206F">
        <w:t xml:space="preserve"> </w:t>
      </w:r>
      <w:r w:rsidR="00FF0CF4" w:rsidRPr="00541CF1">
        <w:t xml:space="preserve"> </w:t>
      </w:r>
    </w:p>
    <w:p w14:paraId="5E9D58FF" w14:textId="77777777" w:rsidR="00FE2477" w:rsidRPr="00541CF1" w:rsidRDefault="00FE2477" w:rsidP="00923237">
      <w:pPr>
        <w:pStyle w:val="NoSpacing"/>
        <w:spacing w:line="264" w:lineRule="auto"/>
        <w:ind w:left="450"/>
      </w:pPr>
    </w:p>
    <w:p w14:paraId="6483C1C1" w14:textId="189A2A16" w:rsidR="00D20459" w:rsidRPr="00541CF1" w:rsidRDefault="00D20459" w:rsidP="00923237">
      <w:pPr>
        <w:pStyle w:val="NoSpacing"/>
        <w:spacing w:line="264" w:lineRule="auto"/>
        <w:ind w:left="450"/>
        <w:rPr>
          <w:i/>
        </w:rPr>
      </w:pPr>
      <w:r w:rsidRPr="00541CF1">
        <w:rPr>
          <w:i/>
        </w:rPr>
        <w:t xml:space="preserve">Regional </w:t>
      </w:r>
      <w:r w:rsidR="00D1799F" w:rsidRPr="00541CF1">
        <w:rPr>
          <w:i/>
        </w:rPr>
        <w:t xml:space="preserve">Interstate </w:t>
      </w:r>
      <w:r w:rsidRPr="00541CF1">
        <w:rPr>
          <w:i/>
        </w:rPr>
        <w:t>Pipeline</w:t>
      </w:r>
    </w:p>
    <w:p w14:paraId="5C5F62EC" w14:textId="0E98D7DB" w:rsidR="00772A6A" w:rsidRPr="00541CF1" w:rsidRDefault="00FF0CF4" w:rsidP="00923237">
      <w:pPr>
        <w:pStyle w:val="NoSpacing"/>
        <w:spacing w:line="264" w:lineRule="auto"/>
        <w:ind w:left="450"/>
      </w:pPr>
      <w:r w:rsidRPr="00541CF1">
        <w:t>The plan state</w:t>
      </w:r>
      <w:r w:rsidR="00670A89" w:rsidRPr="00541CF1">
        <w:t>s</w:t>
      </w:r>
      <w:r w:rsidRPr="00541CF1">
        <w:t xml:space="preserve"> that the </w:t>
      </w:r>
      <w:r w:rsidR="00190E60" w:rsidRPr="00541CF1">
        <w:t>Company</w:t>
      </w:r>
      <w:r w:rsidR="00CF0F18" w:rsidRPr="00541CF1">
        <w:t xml:space="preserve"> </w:t>
      </w:r>
      <w:r w:rsidR="00A315E0" w:rsidRPr="00541CF1">
        <w:t xml:space="preserve">will need additional </w:t>
      </w:r>
      <w:r w:rsidR="00CF0F18" w:rsidRPr="00541CF1">
        <w:t>interstate</w:t>
      </w:r>
      <w:r w:rsidR="00A315E0" w:rsidRPr="00541CF1">
        <w:t xml:space="preserve"> pipeline capacity</w:t>
      </w:r>
      <w:r w:rsidR="00250574" w:rsidRPr="00541CF1">
        <w:t xml:space="preserve"> within the planning </w:t>
      </w:r>
      <w:r w:rsidR="00E32D35" w:rsidRPr="00541CF1">
        <w:t>horizon</w:t>
      </w:r>
      <w:r w:rsidR="00250574" w:rsidRPr="00541CF1">
        <w:t xml:space="preserve"> and likely before 2025</w:t>
      </w:r>
      <w:r w:rsidR="000928E4" w:rsidRPr="00541CF1">
        <w:t xml:space="preserve">. </w:t>
      </w:r>
      <w:r w:rsidR="00F5745C" w:rsidRPr="00541CF1">
        <w:t xml:space="preserve"> </w:t>
      </w:r>
      <w:r w:rsidR="000928E4" w:rsidRPr="00541CF1">
        <w:t>However, th</w:t>
      </w:r>
      <w:r w:rsidR="00B35F7F" w:rsidRPr="00541CF1">
        <w:t>e Plan’s</w:t>
      </w:r>
      <w:r w:rsidR="00256738" w:rsidRPr="00541CF1">
        <w:t xml:space="preserve"> optimal resource </w:t>
      </w:r>
      <w:r w:rsidR="00711449" w:rsidRPr="00541CF1">
        <w:t>plan</w:t>
      </w:r>
      <w:r w:rsidR="009658FC" w:rsidRPr="00541CF1">
        <w:t xml:space="preserve"> depends </w:t>
      </w:r>
      <w:r w:rsidR="00256738" w:rsidRPr="00541CF1">
        <w:t>upon</w:t>
      </w:r>
      <w:r w:rsidR="00AD6E0E" w:rsidRPr="00541CF1">
        <w:t xml:space="preserve"> </w:t>
      </w:r>
      <w:r w:rsidR="00BF550D" w:rsidRPr="00541CF1">
        <w:t>third-party</w:t>
      </w:r>
      <w:r w:rsidR="00CD4550" w:rsidRPr="00541CF1">
        <w:t xml:space="preserve"> developer-</w:t>
      </w:r>
      <w:r w:rsidR="00BF550D" w:rsidRPr="00541CF1">
        <w:t xml:space="preserve">driven </w:t>
      </w:r>
      <w:r w:rsidR="00AD6E0E" w:rsidRPr="00541CF1">
        <w:t xml:space="preserve">events and actions outside the </w:t>
      </w:r>
      <w:r w:rsidR="00190E60" w:rsidRPr="00541CF1">
        <w:t>Company</w:t>
      </w:r>
      <w:r w:rsidR="00AD6E0E" w:rsidRPr="00541CF1">
        <w:t>’s control.</w:t>
      </w:r>
      <w:r w:rsidR="006A37D2" w:rsidRPr="00541CF1">
        <w:t xml:space="preserve"> </w:t>
      </w:r>
      <w:r w:rsidR="00F5745C" w:rsidRPr="00541CF1">
        <w:t xml:space="preserve"> </w:t>
      </w:r>
      <w:r w:rsidR="009658FC" w:rsidRPr="00541CF1">
        <w:t xml:space="preserve">The Northwest gas market is approaching a period of </w:t>
      </w:r>
      <w:r w:rsidR="00CF0F18" w:rsidRPr="00541CF1">
        <w:t>uncertainty</w:t>
      </w:r>
      <w:r w:rsidR="00B35F7F" w:rsidRPr="00541CF1">
        <w:t xml:space="preserve"> and possible growth</w:t>
      </w:r>
      <w:r w:rsidR="00CD4550" w:rsidRPr="00541CF1">
        <w:t xml:space="preserve"> in exports and industrial uses</w:t>
      </w:r>
      <w:r w:rsidR="009658FC" w:rsidRPr="00541CF1">
        <w:t xml:space="preserve">. </w:t>
      </w:r>
      <w:r w:rsidR="00F5745C" w:rsidRPr="00541CF1">
        <w:t xml:space="preserve"> </w:t>
      </w:r>
      <w:r w:rsidR="00E528DE">
        <w:t>Earlier referenced as ‘the regional projects,’ t</w:t>
      </w:r>
      <w:r w:rsidR="006A37D2" w:rsidRPr="00541CF1">
        <w:t>here are plans for t</w:t>
      </w:r>
      <w:r w:rsidR="00AD6E0E" w:rsidRPr="00541CF1">
        <w:t xml:space="preserve">wo </w:t>
      </w:r>
      <w:r w:rsidR="00D1799F" w:rsidRPr="00541CF1">
        <w:lastRenderedPageBreak/>
        <w:t>liquefied natural gas (</w:t>
      </w:r>
      <w:r w:rsidR="00AD6E0E" w:rsidRPr="00541CF1">
        <w:t>LNG</w:t>
      </w:r>
      <w:r w:rsidR="00D1799F" w:rsidRPr="00541CF1">
        <w:t>)</w:t>
      </w:r>
      <w:r w:rsidR="00AD6E0E" w:rsidRPr="00541CF1">
        <w:t xml:space="preserve"> export facilities along the </w:t>
      </w:r>
      <w:r w:rsidR="00772A6A" w:rsidRPr="00541CF1">
        <w:t>Oregon coast, as well as three m</w:t>
      </w:r>
      <w:r w:rsidR="00AD6E0E" w:rsidRPr="00541CF1">
        <w:t>ethanol plants</w:t>
      </w:r>
      <w:r w:rsidR="006A37D2" w:rsidRPr="00541CF1">
        <w:t xml:space="preserve"> in Washington and Oregon</w:t>
      </w:r>
      <w:r w:rsidR="00AD6E0E" w:rsidRPr="00541CF1">
        <w:t>.</w:t>
      </w:r>
      <w:r w:rsidR="00772A6A" w:rsidRPr="00541CF1">
        <w:t xml:space="preserve"> </w:t>
      </w:r>
      <w:r w:rsidR="00F5745C" w:rsidRPr="00541CF1">
        <w:t xml:space="preserve"> </w:t>
      </w:r>
      <w:r w:rsidR="00D1799F" w:rsidRPr="00541CF1">
        <w:t>It</w:t>
      </w:r>
      <w:r w:rsidR="00772A6A" w:rsidRPr="00541CF1">
        <w:t xml:space="preserve"> is unlikely</w:t>
      </w:r>
      <w:r w:rsidR="00D1799F" w:rsidRPr="00541CF1">
        <w:t xml:space="preserve"> that all five projects will be </w:t>
      </w:r>
      <w:r w:rsidR="00E32D35" w:rsidRPr="00541CF1">
        <w:t>built;</w:t>
      </w:r>
      <w:r w:rsidR="00772A6A" w:rsidRPr="00541CF1">
        <w:t xml:space="preserve"> </w:t>
      </w:r>
      <w:r w:rsidR="00B35F7F" w:rsidRPr="00541CF1">
        <w:t>n</w:t>
      </w:r>
      <w:r w:rsidR="00CD735F" w:rsidRPr="00541CF1">
        <w:t>ever</w:t>
      </w:r>
      <w:r w:rsidR="00B35F7F" w:rsidRPr="00541CF1">
        <w:t>theless</w:t>
      </w:r>
      <w:r w:rsidR="00711449" w:rsidRPr="00541CF1">
        <w:t>, the completion of</w:t>
      </w:r>
      <w:r w:rsidR="00B35F7F" w:rsidRPr="00541CF1">
        <w:t xml:space="preserve"> </w:t>
      </w:r>
      <w:r w:rsidR="00772A6A" w:rsidRPr="00541CF1">
        <w:t xml:space="preserve">even one </w:t>
      </w:r>
      <w:r w:rsidR="00B35F7F" w:rsidRPr="00541CF1">
        <w:t xml:space="preserve">project </w:t>
      </w:r>
      <w:r w:rsidR="00772A6A" w:rsidRPr="00541CF1">
        <w:t>would have a significant impact in the Northwest</w:t>
      </w:r>
      <w:r w:rsidR="00711449" w:rsidRPr="00541CF1">
        <w:t xml:space="preserve"> and on NW Natural’s eventual resource acquisition decisions</w:t>
      </w:r>
      <w:r w:rsidR="00772A6A" w:rsidRPr="00541CF1">
        <w:t>.</w:t>
      </w:r>
    </w:p>
    <w:p w14:paraId="659F4069" w14:textId="77777777" w:rsidR="008B63E8" w:rsidRPr="00541CF1" w:rsidRDefault="008B63E8" w:rsidP="00923237">
      <w:pPr>
        <w:pStyle w:val="NoSpacing"/>
        <w:spacing w:line="264" w:lineRule="auto"/>
        <w:ind w:left="450"/>
      </w:pPr>
    </w:p>
    <w:p w14:paraId="134C6375" w14:textId="5815F380" w:rsidR="007B7FCB" w:rsidRPr="00541CF1" w:rsidRDefault="007B7FCB" w:rsidP="00923237">
      <w:pPr>
        <w:pStyle w:val="NoSpacing"/>
        <w:spacing w:line="264" w:lineRule="auto"/>
        <w:ind w:left="450"/>
        <w:jc w:val="center"/>
      </w:pPr>
      <w:r w:rsidRPr="00541CF1">
        <w:rPr>
          <w:noProof/>
        </w:rPr>
        <w:drawing>
          <wp:inline distT="0" distB="0" distL="0" distR="0" wp14:anchorId="61A765EE" wp14:editId="58BC4564">
            <wp:extent cx="4105275" cy="2978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gional Gas Projects.PNG"/>
                    <pic:cNvPicPr/>
                  </pic:nvPicPr>
                  <pic:blipFill rotWithShape="1">
                    <a:blip r:embed="rId10">
                      <a:extLst>
                        <a:ext uri="{28A0092B-C50C-407E-A947-70E740481C1C}">
                          <a14:useLocalDpi xmlns:a14="http://schemas.microsoft.com/office/drawing/2010/main" val="0"/>
                        </a:ext>
                      </a:extLst>
                    </a:blip>
                    <a:srcRect b="1313"/>
                    <a:stretch/>
                  </pic:blipFill>
                  <pic:spPr bwMode="auto">
                    <a:xfrm>
                      <a:off x="0" y="0"/>
                      <a:ext cx="4134259" cy="2999757"/>
                    </a:xfrm>
                    <a:prstGeom prst="rect">
                      <a:avLst/>
                    </a:prstGeom>
                    <a:ln>
                      <a:noFill/>
                    </a:ln>
                    <a:extLst>
                      <a:ext uri="{53640926-AAD7-44D8-BBD7-CCE9431645EC}">
                        <a14:shadowObscured xmlns:a14="http://schemas.microsoft.com/office/drawing/2010/main"/>
                      </a:ext>
                    </a:extLst>
                  </pic:spPr>
                </pic:pic>
              </a:graphicData>
            </a:graphic>
          </wp:inline>
        </w:drawing>
      </w:r>
    </w:p>
    <w:p w14:paraId="74903D18" w14:textId="77777777" w:rsidR="007B7FCB" w:rsidRPr="00541CF1" w:rsidRDefault="007B7FCB" w:rsidP="00923237">
      <w:pPr>
        <w:pStyle w:val="NoSpacing"/>
        <w:spacing w:line="264" w:lineRule="auto"/>
        <w:ind w:left="450"/>
      </w:pPr>
    </w:p>
    <w:p w14:paraId="5C84A765" w14:textId="1470F01B" w:rsidR="007B7FCB" w:rsidRPr="00541CF1" w:rsidRDefault="008F0D16" w:rsidP="00F969F2">
      <w:pPr>
        <w:pStyle w:val="NoSpacing"/>
        <w:spacing w:line="264" w:lineRule="auto"/>
        <w:ind w:left="450" w:right="-180"/>
      </w:pPr>
      <w:r w:rsidRPr="00541CF1">
        <w:t>The graph</w:t>
      </w:r>
      <w:r w:rsidR="0012376D" w:rsidRPr="00541CF1">
        <w:t xml:space="preserve"> above</w:t>
      </w:r>
      <w:r w:rsidR="007B7FCB" w:rsidRPr="00541CF1">
        <w:t xml:space="preserve"> shows the demand of NW Natural’s </w:t>
      </w:r>
      <w:r w:rsidR="00CD4550" w:rsidRPr="00541CF1">
        <w:t xml:space="preserve">entire </w:t>
      </w:r>
      <w:r w:rsidR="007B7FCB" w:rsidRPr="00541CF1">
        <w:t>servic</w:t>
      </w:r>
      <w:r w:rsidR="00CD4550" w:rsidRPr="00541CF1">
        <w:t xml:space="preserve">e territory relative to </w:t>
      </w:r>
      <w:r w:rsidR="00823531" w:rsidRPr="00541CF1">
        <w:t xml:space="preserve">the </w:t>
      </w:r>
      <w:r w:rsidR="00CD4550" w:rsidRPr="00541CF1">
        <w:t xml:space="preserve">entire </w:t>
      </w:r>
      <w:r w:rsidR="00F5745C" w:rsidRPr="00541CF1">
        <w:t>n</w:t>
      </w:r>
      <w:r w:rsidR="007B7FCB" w:rsidRPr="00541CF1">
        <w:t xml:space="preserve">orthwest regional demand and the proposed projects. </w:t>
      </w:r>
      <w:r w:rsidR="00F5745C" w:rsidRPr="00541CF1">
        <w:t xml:space="preserve"> </w:t>
      </w:r>
      <w:r w:rsidR="007B7FCB" w:rsidRPr="00541CF1">
        <w:t>One methanol plant is equivalent to</w:t>
      </w:r>
      <w:r w:rsidR="00F673A8" w:rsidRPr="00541CF1">
        <w:t xml:space="preserve"> the demand of </w:t>
      </w:r>
      <w:r w:rsidR="000C1D87" w:rsidRPr="00541CF1">
        <w:t>an additional local</w:t>
      </w:r>
      <w:r w:rsidR="007B7FCB" w:rsidRPr="00541CF1">
        <w:t xml:space="preserve"> distribution </w:t>
      </w:r>
      <w:r w:rsidR="00190E60" w:rsidRPr="00541CF1">
        <w:t>Company</w:t>
      </w:r>
      <w:r w:rsidR="007B7FCB" w:rsidRPr="00541CF1">
        <w:t>.</w:t>
      </w:r>
      <w:r w:rsidR="00F5745C" w:rsidRPr="00541CF1">
        <w:t xml:space="preserve"> </w:t>
      </w:r>
      <w:r w:rsidR="007B7FCB" w:rsidRPr="00541CF1">
        <w:t xml:space="preserve"> The proposed Jordan Cove project could have a capacity of 1,000,000 dth/day, which is more than three times greater than NW Natural’s entire system.</w:t>
      </w:r>
      <w:r w:rsidR="007B7FCB" w:rsidRPr="00541CF1">
        <w:rPr>
          <w:rStyle w:val="FootnoteReference"/>
        </w:rPr>
        <w:footnoteReference w:id="18"/>
      </w:r>
      <w:r w:rsidR="007B7FCB" w:rsidRPr="00541CF1">
        <w:t xml:space="preserve"> </w:t>
      </w:r>
      <w:r w:rsidR="00F5745C" w:rsidRPr="00541CF1">
        <w:t xml:space="preserve"> </w:t>
      </w:r>
      <w:r w:rsidR="007B7FCB" w:rsidRPr="00541CF1">
        <w:t>The current infrastructure does not have the capacity to meet that additional demand</w:t>
      </w:r>
      <w:r w:rsidR="00823531" w:rsidRPr="00541CF1">
        <w:t>, and NW Natural may have the opportunity to explore partnerships in new transmission pipelines that will serve the large, new developments</w:t>
      </w:r>
      <w:r w:rsidR="007B7FCB" w:rsidRPr="00541CF1">
        <w:t>.</w:t>
      </w:r>
    </w:p>
    <w:p w14:paraId="6816BA43" w14:textId="77777777" w:rsidR="007B7FCB" w:rsidRPr="00541CF1" w:rsidRDefault="007B7FCB" w:rsidP="00923237">
      <w:pPr>
        <w:pStyle w:val="NoSpacing"/>
        <w:spacing w:line="264" w:lineRule="auto"/>
        <w:ind w:left="450"/>
      </w:pPr>
    </w:p>
    <w:p w14:paraId="4AF47DBF" w14:textId="1B4A05AA" w:rsidR="007B7FCB" w:rsidRPr="00541CF1" w:rsidRDefault="007B7FCB" w:rsidP="00923237">
      <w:pPr>
        <w:pStyle w:val="NoSpacing"/>
        <w:spacing w:line="264" w:lineRule="auto"/>
        <w:ind w:left="450"/>
      </w:pPr>
      <w:r w:rsidRPr="00541CF1">
        <w:t xml:space="preserve">Nearly all of the </w:t>
      </w:r>
      <w:r w:rsidR="00190E60" w:rsidRPr="00541CF1">
        <w:t>Company</w:t>
      </w:r>
      <w:r w:rsidRPr="00541CF1">
        <w:t>’s supplies must flow on Williams’ Northwest Pipeline (NWP), which does not have additional firm TF-1 service.</w:t>
      </w:r>
      <w:r w:rsidR="00F673A8" w:rsidRPr="00541CF1">
        <w:rPr>
          <w:rStyle w:val="FootnoteReference"/>
        </w:rPr>
        <w:t xml:space="preserve"> </w:t>
      </w:r>
      <w:r w:rsidR="00F673A8" w:rsidRPr="00541CF1">
        <w:rPr>
          <w:rStyle w:val="FootnoteReference"/>
        </w:rPr>
        <w:footnoteReference w:id="19"/>
      </w:r>
      <w:r w:rsidRPr="00541CF1">
        <w:t xml:space="preserve"> </w:t>
      </w:r>
      <w:r w:rsidR="008C0D59" w:rsidRPr="00541CF1">
        <w:t xml:space="preserve"> </w:t>
      </w:r>
      <w:r w:rsidRPr="00541CF1">
        <w:t>Williams is currently soliciting interest in an expansion along its Washingto</w:t>
      </w:r>
      <w:r w:rsidR="00823531" w:rsidRPr="00541CF1">
        <w:t xml:space="preserve">n Interstate </w:t>
      </w:r>
      <w:r w:rsidRPr="00541CF1">
        <w:t>5 line to serve the proposed Oregon LNG export terminal in Warrenton, Oregon.</w:t>
      </w:r>
      <w:r w:rsidR="00B509D3" w:rsidRPr="00541CF1">
        <w:t xml:space="preserve"> </w:t>
      </w:r>
      <w:r w:rsidRPr="00541CF1">
        <w:t xml:space="preserve"> </w:t>
      </w:r>
      <w:r w:rsidR="002321C6" w:rsidRPr="00541CF1">
        <w:t>A</w:t>
      </w:r>
      <w:r w:rsidRPr="00541CF1">
        <w:t xml:space="preserve"> non-reg</w:t>
      </w:r>
      <w:r w:rsidR="002321C6" w:rsidRPr="00541CF1">
        <w:t xml:space="preserve">ulated affiliate of NW Natural and </w:t>
      </w:r>
      <w:r w:rsidRPr="00541CF1">
        <w:t>Williams is also soliciting interest in a Cross-Cascades project that would run from Stanfield to Molalla, the same as presented in Northwest Natural’s 2013 IRP.</w:t>
      </w:r>
      <w:r w:rsidRPr="00541CF1">
        <w:rPr>
          <w:rStyle w:val="FootnoteReference"/>
        </w:rPr>
        <w:footnoteReference w:id="20"/>
      </w:r>
      <w:r w:rsidR="00B509D3" w:rsidRPr="00541CF1">
        <w:t xml:space="preserve"> </w:t>
      </w:r>
      <w:r w:rsidRPr="00541CF1">
        <w:t xml:space="preserve"> In its initial draft of the 2014 IRP, the </w:t>
      </w:r>
      <w:r w:rsidR="00190E60" w:rsidRPr="00541CF1">
        <w:t>Company</w:t>
      </w:r>
      <w:r w:rsidRPr="00541CF1">
        <w:t xml:space="preserve"> determined that the lowest-cost resource addition always included </w:t>
      </w:r>
      <w:r w:rsidRPr="00541CF1">
        <w:lastRenderedPageBreak/>
        <w:t xml:space="preserve">participating as an anchor tenant to the Cross-Cascades pipeline. </w:t>
      </w:r>
      <w:r w:rsidR="00B509D3" w:rsidRPr="00541CF1">
        <w:t xml:space="preserve"> </w:t>
      </w:r>
      <w:r w:rsidRPr="00541CF1">
        <w:t xml:space="preserve">At the request of the Technical Working Group, the </w:t>
      </w:r>
      <w:r w:rsidR="00190E60" w:rsidRPr="00541CF1">
        <w:t>Company</w:t>
      </w:r>
      <w:r w:rsidRPr="00541CF1">
        <w:t xml:space="preserve"> analyzed additional alternatives such as subscribing to the proposed Pacific Connector line that will extend </w:t>
      </w:r>
      <w:r w:rsidR="00F673A8" w:rsidRPr="00541CF1">
        <w:t xml:space="preserve">from Malin </w:t>
      </w:r>
      <w:r w:rsidRPr="00541CF1">
        <w:t xml:space="preserve">to Jordan Cove. </w:t>
      </w:r>
      <w:r w:rsidR="00B509D3" w:rsidRPr="00541CF1">
        <w:t xml:space="preserve"> </w:t>
      </w:r>
      <w:r w:rsidRPr="00541CF1">
        <w:t xml:space="preserve">The final Plan determined that events outside of the </w:t>
      </w:r>
      <w:r w:rsidR="00190E60" w:rsidRPr="00541CF1">
        <w:t>Company</w:t>
      </w:r>
      <w:r w:rsidRPr="00541CF1">
        <w:t xml:space="preserve">’s control will likely dictate the next regional pipeline and the </w:t>
      </w:r>
      <w:r w:rsidR="00190E60" w:rsidRPr="00541CF1">
        <w:t>Company</w:t>
      </w:r>
      <w:r w:rsidRPr="00541CF1">
        <w:t xml:space="preserve"> does not need to make a decision for at least </w:t>
      </w:r>
      <w:r w:rsidR="00CA2DE0">
        <w:t>five</w:t>
      </w:r>
      <w:r w:rsidRPr="00541CF1">
        <w:t xml:space="preserve"> years. </w:t>
      </w:r>
      <w:r w:rsidR="00B509D3" w:rsidRPr="00541CF1">
        <w:t xml:space="preserve"> </w:t>
      </w:r>
      <w:r w:rsidR="00C30F6E" w:rsidRPr="00541CF1">
        <w:t xml:space="preserve">The Commission agrees that the </w:t>
      </w:r>
      <w:r w:rsidR="00190E60" w:rsidRPr="00541CF1">
        <w:t>Company</w:t>
      </w:r>
      <w:r w:rsidRPr="00541CF1">
        <w:t xml:space="preserve"> should keep its options open by recalling Mist storage contracts as regional events unfold. </w:t>
      </w:r>
    </w:p>
    <w:p w14:paraId="2088E753" w14:textId="77777777" w:rsidR="007B7FCB" w:rsidRPr="00541CF1" w:rsidRDefault="007B7FCB" w:rsidP="00923237">
      <w:pPr>
        <w:pStyle w:val="NoSpacing"/>
        <w:spacing w:line="264" w:lineRule="auto"/>
        <w:ind w:left="450"/>
      </w:pPr>
    </w:p>
    <w:p w14:paraId="3F1F13F3" w14:textId="0ECB3FEE" w:rsidR="007B7FCB" w:rsidRPr="00541CF1" w:rsidRDefault="007B7FCB" w:rsidP="00923237">
      <w:pPr>
        <w:pStyle w:val="NoSpacing"/>
        <w:spacing w:line="264" w:lineRule="auto"/>
        <w:ind w:left="450"/>
      </w:pPr>
      <w:r w:rsidRPr="00541CF1">
        <w:t xml:space="preserve">We have some concern with the </w:t>
      </w:r>
      <w:r w:rsidR="00190E60" w:rsidRPr="00541CF1">
        <w:t>Company</w:t>
      </w:r>
      <w:r w:rsidRPr="00541CF1">
        <w:t xml:space="preserve">’s reliance upon segmented capacity as a near-term resource without having presented a </w:t>
      </w:r>
      <w:r w:rsidR="008E67D8" w:rsidRPr="00541CF1">
        <w:t xml:space="preserve">quantitative </w:t>
      </w:r>
      <w:r w:rsidRPr="00541CF1">
        <w:t xml:space="preserve">risk-analysis of the likelihood of potential constraints from </w:t>
      </w:r>
      <w:r w:rsidR="00C30F6E" w:rsidRPr="00541CF1">
        <w:t xml:space="preserve">Sumas. </w:t>
      </w:r>
      <w:r w:rsidR="00B509D3" w:rsidRPr="00541CF1">
        <w:t xml:space="preserve"> </w:t>
      </w:r>
      <w:r w:rsidR="00C30F6E" w:rsidRPr="00541CF1">
        <w:t xml:space="preserve">As part of its next planning </w:t>
      </w:r>
      <w:r w:rsidR="008E67D8" w:rsidRPr="00541CF1">
        <w:t>process,</w:t>
      </w:r>
      <w:r w:rsidR="00C30F6E" w:rsidRPr="00541CF1">
        <w:t xml:space="preserve"> the </w:t>
      </w:r>
      <w:r w:rsidR="00190E60" w:rsidRPr="00541CF1">
        <w:t>Company</w:t>
      </w:r>
      <w:r w:rsidR="008E67D8" w:rsidRPr="00541CF1">
        <w:t xml:space="preserve"> should include a</w:t>
      </w:r>
      <w:r w:rsidRPr="00541CF1">
        <w:t xml:space="preserve"> risk analysis study of segmented capacity</w:t>
      </w:r>
      <w:r w:rsidR="008E67D8" w:rsidRPr="00541CF1">
        <w:t xml:space="preserve"> that shows the likelihood of curtailment along this pipeline through 2018</w:t>
      </w:r>
      <w:r w:rsidRPr="00541CF1">
        <w:t xml:space="preserve">.   </w:t>
      </w:r>
    </w:p>
    <w:p w14:paraId="264D1EFB" w14:textId="77777777" w:rsidR="007B7FCB" w:rsidRPr="00541CF1" w:rsidRDefault="007B7FCB" w:rsidP="00923237">
      <w:pPr>
        <w:pStyle w:val="NoSpacing"/>
        <w:spacing w:line="264" w:lineRule="auto"/>
        <w:ind w:left="450"/>
      </w:pPr>
    </w:p>
    <w:p w14:paraId="77AA4485" w14:textId="1A41F801" w:rsidR="007B7FCB" w:rsidRPr="00541CF1" w:rsidRDefault="007B7FCB" w:rsidP="00F969F2">
      <w:pPr>
        <w:pStyle w:val="NoSpacing"/>
        <w:spacing w:line="264" w:lineRule="auto"/>
        <w:ind w:left="450" w:right="-180"/>
      </w:pPr>
      <w:r w:rsidRPr="00541CF1">
        <w:t xml:space="preserve">We are pleased with the Plan’s multiple scenario paradigm analysis to manage its portfolio in an uncertain future. </w:t>
      </w:r>
      <w:r w:rsidR="00B509D3" w:rsidRPr="00541CF1">
        <w:t xml:space="preserve"> </w:t>
      </w:r>
      <w:r w:rsidRPr="00B86776">
        <w:t>Th</w:t>
      </w:r>
      <w:r w:rsidR="007B7F23">
        <w:t>is</w:t>
      </w:r>
      <w:r w:rsidRPr="00541CF1">
        <w:t xml:space="preserve"> decision-making analysis provides an effective tool for understanding the range of possible future scenarios.</w:t>
      </w:r>
      <w:r w:rsidR="00B509D3" w:rsidRPr="00541CF1">
        <w:t xml:space="preserve"> </w:t>
      </w:r>
      <w:r w:rsidRPr="00541CF1">
        <w:t xml:space="preserve"> It is apparent that the non-</w:t>
      </w:r>
      <w:r w:rsidR="00C30F6E" w:rsidRPr="00541CF1">
        <w:t>utility</w:t>
      </w:r>
      <w:r w:rsidRPr="00541CF1">
        <w:t xml:space="preserve"> use of natural gas is still undergoing a period of rapid change and expansion.</w:t>
      </w:r>
      <w:r w:rsidR="00B509D3" w:rsidRPr="00541CF1">
        <w:t xml:space="preserve"> </w:t>
      </w:r>
      <w:r w:rsidRPr="00541CF1">
        <w:t xml:space="preserve"> We do not yet know what, if any, regional project</w:t>
      </w:r>
      <w:r w:rsidR="00E340C8">
        <w:t>s</w:t>
      </w:r>
      <w:r w:rsidRPr="00541CF1">
        <w:t xml:space="preserve"> will be built</w:t>
      </w:r>
      <w:r w:rsidR="00B509D3" w:rsidRPr="00541CF1">
        <w:t>.</w:t>
      </w:r>
      <w:r w:rsidRPr="00541CF1">
        <w:t xml:space="preserve"> </w:t>
      </w:r>
      <w:r w:rsidR="00B509D3" w:rsidRPr="00541CF1">
        <w:t xml:space="preserve"> </w:t>
      </w:r>
      <w:r w:rsidRPr="00541CF1">
        <w:t>Only recently, liquid natural gas import facilities along the coast were proposed and in the permitting process.</w:t>
      </w:r>
      <w:r w:rsidR="000C1D87" w:rsidRPr="00541CF1">
        <w:t xml:space="preserve"> </w:t>
      </w:r>
      <w:r w:rsidR="00B509D3" w:rsidRPr="00541CF1">
        <w:t xml:space="preserve"> </w:t>
      </w:r>
      <w:r w:rsidR="000C1D87" w:rsidRPr="00541CF1">
        <w:t>Now, those facilities are in the permitting process to export natural gas</w:t>
      </w:r>
      <w:r w:rsidRPr="00541CF1">
        <w:t xml:space="preserve">. </w:t>
      </w:r>
      <w:r w:rsidR="00B509D3" w:rsidRPr="00541CF1">
        <w:t xml:space="preserve"> </w:t>
      </w:r>
      <w:r w:rsidR="00E340C8">
        <w:t xml:space="preserve">As we have noted, </w:t>
      </w:r>
      <w:r w:rsidRPr="00541CF1">
        <w:t xml:space="preserve">NW Natural is in the fortuitous position of having the ability to recall Mist storage contracts so that it can wait for </w:t>
      </w:r>
      <w:r w:rsidR="00C30F6E" w:rsidRPr="00541CF1">
        <w:t>regional events to unfold</w:t>
      </w:r>
      <w:r w:rsidRPr="00541CF1">
        <w:t>.</w:t>
      </w:r>
      <w:r w:rsidR="00B509D3" w:rsidRPr="00541CF1">
        <w:t xml:space="preserve"> </w:t>
      </w:r>
      <w:r w:rsidRPr="00541CF1">
        <w:t xml:space="preserve"> We believe that this Plan puts the </w:t>
      </w:r>
      <w:r w:rsidR="00190E60" w:rsidRPr="00541CF1">
        <w:t>Company</w:t>
      </w:r>
      <w:r w:rsidRPr="00541CF1">
        <w:t xml:space="preserve"> in a better position to strike the right deal for its customers at the right time.</w:t>
      </w:r>
      <w:r w:rsidR="00B509D3" w:rsidRPr="00541CF1">
        <w:t xml:space="preserve"> </w:t>
      </w:r>
      <w:r w:rsidRPr="00541CF1">
        <w:t xml:space="preserve"> We encourage the </w:t>
      </w:r>
      <w:r w:rsidR="00190E60" w:rsidRPr="00541CF1">
        <w:t>Company</w:t>
      </w:r>
      <w:r w:rsidR="000C1D87" w:rsidRPr="00541CF1">
        <w:t xml:space="preserve"> to continue to use and improve its</w:t>
      </w:r>
      <w:r w:rsidRPr="00541CF1">
        <w:t xml:space="preserve"> </w:t>
      </w:r>
      <w:r w:rsidR="000C1D87" w:rsidRPr="00541CF1">
        <w:t>multiple scenario analysis</w:t>
      </w:r>
      <w:r w:rsidRPr="00541CF1">
        <w:t xml:space="preserve"> for the next Plan. </w:t>
      </w:r>
    </w:p>
    <w:p w14:paraId="5A138B24" w14:textId="77777777" w:rsidR="007B7FCB" w:rsidRPr="00541CF1" w:rsidRDefault="007B7FCB" w:rsidP="00923237">
      <w:pPr>
        <w:pStyle w:val="NoSpacing"/>
        <w:spacing w:line="264" w:lineRule="auto"/>
        <w:ind w:left="450"/>
      </w:pPr>
      <w:r w:rsidRPr="00541CF1">
        <w:t xml:space="preserve">   </w:t>
      </w:r>
    </w:p>
    <w:p w14:paraId="3ACDC26A" w14:textId="77777777" w:rsidR="007B7FCB" w:rsidRPr="00541CF1" w:rsidRDefault="007B7FCB" w:rsidP="00923237">
      <w:pPr>
        <w:pStyle w:val="NoSpacing"/>
        <w:spacing w:line="264" w:lineRule="auto"/>
        <w:ind w:left="450"/>
        <w:rPr>
          <w:i/>
        </w:rPr>
      </w:pPr>
      <w:r w:rsidRPr="00541CF1">
        <w:rPr>
          <w:i/>
        </w:rPr>
        <w:t>Distribution</w:t>
      </w:r>
    </w:p>
    <w:p w14:paraId="02A82A4A" w14:textId="0CD53ADD" w:rsidR="007B7FCB" w:rsidRPr="00541CF1" w:rsidRDefault="007B7FCB" w:rsidP="00923237">
      <w:pPr>
        <w:ind w:left="450"/>
      </w:pPr>
      <w:r w:rsidRPr="00541CF1">
        <w:t xml:space="preserve">The </w:t>
      </w:r>
      <w:r w:rsidR="00190E60" w:rsidRPr="00541CF1">
        <w:t>Company</w:t>
      </w:r>
      <w:r w:rsidRPr="00541CF1">
        <w:t xml:space="preserve"> is planning five distribution system projects in its Washington service territory within the next </w:t>
      </w:r>
      <w:r w:rsidR="00B509D3" w:rsidRPr="00541CF1">
        <w:t>5</w:t>
      </w:r>
      <w:r w:rsidRPr="00541CF1">
        <w:t xml:space="preserve"> years. </w:t>
      </w:r>
      <w:r w:rsidR="00B509D3" w:rsidRPr="00541CF1">
        <w:t xml:space="preserve"> </w:t>
      </w:r>
      <w:r w:rsidRPr="00541CF1">
        <w:t xml:space="preserve">The five projects will reinforce distribution system pipelines in the Vancouver region. </w:t>
      </w:r>
      <w:r w:rsidR="00B509D3" w:rsidRPr="00541CF1">
        <w:t xml:space="preserve"> </w:t>
      </w:r>
      <w:r w:rsidRPr="00541CF1">
        <w:t xml:space="preserve">At an estimated cost of $25 million, these significant investments deserve greater attention. </w:t>
      </w:r>
    </w:p>
    <w:p w14:paraId="086AFAD4" w14:textId="77777777" w:rsidR="007B7FCB" w:rsidRPr="00541CF1" w:rsidRDefault="007B7FCB" w:rsidP="00923237">
      <w:pPr>
        <w:pStyle w:val="NoSpacing"/>
        <w:spacing w:line="264" w:lineRule="auto"/>
        <w:ind w:left="450"/>
      </w:pPr>
    </w:p>
    <w:p w14:paraId="0B25555D" w14:textId="2551D637" w:rsidR="007B7FCB" w:rsidRPr="00541CF1" w:rsidRDefault="007B7FCB" w:rsidP="00423E2B">
      <w:pPr>
        <w:ind w:left="450" w:right="-90"/>
      </w:pPr>
      <w:r w:rsidRPr="00541CF1">
        <w:t>The Plan’s distribution chapter was a good overview of its distribution planning methodology,</w:t>
      </w:r>
      <w:r w:rsidR="00423E2B">
        <w:t xml:space="preserve"> </w:t>
      </w:r>
      <w:r w:rsidRPr="00541CF1">
        <w:t>but it did not provide analysis of the SynerGEE distribution model runs.</w:t>
      </w:r>
      <w:r w:rsidR="00B509D3" w:rsidRPr="00541CF1">
        <w:t xml:space="preserve"> </w:t>
      </w:r>
      <w:r w:rsidRPr="00541CF1">
        <w:t xml:space="preserve"> For example, t</w:t>
      </w:r>
      <w:r w:rsidR="000C1D87" w:rsidRPr="00541CF1">
        <w:t>he P</w:t>
      </w:r>
      <w:r w:rsidRPr="00541CF1">
        <w:t>lan displays two interesting and potentially informative distribution system maps that show the improved pipeline pressure of a neighborhood in Vancouver with the addition of a city gate.</w:t>
      </w:r>
      <w:r w:rsidRPr="00541CF1">
        <w:rPr>
          <w:rStyle w:val="FootnoteReference"/>
        </w:rPr>
        <w:footnoteReference w:id="21"/>
      </w:r>
      <w:r w:rsidRPr="00541CF1">
        <w:t xml:space="preserve"> </w:t>
      </w:r>
      <w:r w:rsidR="00B509D3" w:rsidRPr="00541CF1">
        <w:t xml:space="preserve"> </w:t>
      </w:r>
      <w:r w:rsidRPr="00541CF1">
        <w:t>A discussion of these</w:t>
      </w:r>
      <w:r w:rsidR="00487C95" w:rsidRPr="00541CF1">
        <w:t xml:space="preserve"> types of</w:t>
      </w:r>
      <w:r w:rsidRPr="00541CF1">
        <w:t xml:space="preserve"> displays would improve the quality of analysis both the </w:t>
      </w:r>
      <w:r w:rsidR="00190E60" w:rsidRPr="00541CF1">
        <w:lastRenderedPageBreak/>
        <w:t>Company</w:t>
      </w:r>
      <w:r w:rsidRPr="00541CF1">
        <w:t xml:space="preserve"> and Staff can perform. </w:t>
      </w:r>
      <w:r w:rsidR="00B509D3" w:rsidRPr="00541CF1">
        <w:t xml:space="preserve"> </w:t>
      </w:r>
      <w:r w:rsidRPr="00541CF1">
        <w:t xml:space="preserve">In future Plans, we recommend that the </w:t>
      </w:r>
      <w:r w:rsidR="00190E60" w:rsidRPr="00541CF1">
        <w:t>Company</w:t>
      </w:r>
      <w:r w:rsidRPr="00541CF1">
        <w:t xml:space="preserve"> provide more discussion on the analyses that identify specific</w:t>
      </w:r>
      <w:r w:rsidR="0008137B" w:rsidRPr="00541CF1">
        <w:t xml:space="preserve"> large</w:t>
      </w:r>
      <w:r w:rsidRPr="00541CF1">
        <w:t xml:space="preserve"> distribution projects. </w:t>
      </w:r>
      <w:r w:rsidR="00CD206F">
        <w:t xml:space="preserve"> </w:t>
      </w:r>
    </w:p>
    <w:p w14:paraId="21712644" w14:textId="77777777" w:rsidR="007B7FCB" w:rsidRPr="00541CF1" w:rsidRDefault="007B7FCB" w:rsidP="00923237">
      <w:pPr>
        <w:pStyle w:val="NoSpacing"/>
        <w:spacing w:line="264" w:lineRule="auto"/>
        <w:ind w:left="450"/>
        <w:rPr>
          <w:b/>
          <w:u w:val="single"/>
        </w:rPr>
      </w:pPr>
    </w:p>
    <w:p w14:paraId="7646320A" w14:textId="3C882010" w:rsidR="008E538C" w:rsidRPr="00541CF1" w:rsidRDefault="008E538C" w:rsidP="00923237">
      <w:pPr>
        <w:pStyle w:val="NoSpacing"/>
        <w:spacing w:line="264" w:lineRule="auto"/>
        <w:ind w:left="450"/>
        <w:rPr>
          <w:b/>
          <w:u w:val="single"/>
        </w:rPr>
      </w:pPr>
    </w:p>
    <w:p w14:paraId="0CD5BCAC" w14:textId="77777777" w:rsidR="007B7FCB" w:rsidRPr="00541CF1" w:rsidRDefault="007B7FCB" w:rsidP="00923237">
      <w:pPr>
        <w:pStyle w:val="NoSpacing"/>
        <w:spacing w:line="264" w:lineRule="auto"/>
        <w:ind w:left="450"/>
        <w:rPr>
          <w:b/>
          <w:u w:val="single"/>
        </w:rPr>
      </w:pPr>
      <w:r w:rsidRPr="00541CF1">
        <w:rPr>
          <w:b/>
          <w:u w:val="single"/>
        </w:rPr>
        <w:t>Conclusion</w:t>
      </w:r>
    </w:p>
    <w:p w14:paraId="7EB3CE46" w14:textId="77777777" w:rsidR="007B7FCB" w:rsidRPr="00541CF1" w:rsidRDefault="007B7FCB" w:rsidP="00923237">
      <w:pPr>
        <w:pStyle w:val="NoSpacing"/>
        <w:spacing w:line="264" w:lineRule="auto"/>
        <w:ind w:left="450"/>
        <w:rPr>
          <w:b/>
        </w:rPr>
      </w:pPr>
    </w:p>
    <w:p w14:paraId="52FD51AF" w14:textId="3684F257" w:rsidR="007B7FCB" w:rsidRPr="00541CF1" w:rsidRDefault="007B7FCB" w:rsidP="00923237">
      <w:pPr>
        <w:pStyle w:val="NoSpacing"/>
        <w:spacing w:line="264" w:lineRule="auto"/>
        <w:ind w:left="450"/>
      </w:pPr>
      <w:r w:rsidRPr="00541CF1">
        <w:t>The Commission acknowledges that Northwest Natural’s 2014 Natural Gas IRP complies with WAC 480-90-238, on the condition that the</w:t>
      </w:r>
      <w:r w:rsidR="00487C95" w:rsidRPr="00541CF1">
        <w:t xml:space="preserve"> </w:t>
      </w:r>
      <w:r w:rsidR="00190E60" w:rsidRPr="00541CF1">
        <w:t>Company</w:t>
      </w:r>
      <w:r w:rsidR="00487C95" w:rsidRPr="00541CF1">
        <w:t xml:space="preserve"> file a revised avoided cost prior to </w:t>
      </w:r>
      <w:r w:rsidR="001404B2" w:rsidRPr="00541CF1">
        <w:t>its 2016 Energy Efficiency Plan.</w:t>
      </w:r>
      <w:r w:rsidR="00487C95" w:rsidRPr="00541CF1">
        <w:t xml:space="preserve"> </w:t>
      </w:r>
      <w:r w:rsidR="00B509D3" w:rsidRPr="00541CF1">
        <w:t xml:space="preserve"> </w:t>
      </w:r>
      <w:r w:rsidR="0008137B" w:rsidRPr="00541CF1">
        <w:t xml:space="preserve">It is also our </w:t>
      </w:r>
      <w:r w:rsidR="0008137B" w:rsidRPr="00B86776">
        <w:t>expectation</w:t>
      </w:r>
      <w:r w:rsidR="0008137B" w:rsidRPr="00541CF1">
        <w:t xml:space="preserve"> that the </w:t>
      </w:r>
      <w:r w:rsidR="00190E60" w:rsidRPr="00541CF1">
        <w:t>Company</w:t>
      </w:r>
      <w:r w:rsidR="0008137B" w:rsidRPr="00541CF1">
        <w:t xml:space="preserve"> will discuss with the TWG prior to the </w:t>
      </w:r>
      <w:r w:rsidR="007B7F23">
        <w:t>submission</w:t>
      </w:r>
      <w:r w:rsidR="0008137B" w:rsidRPr="00541CF1">
        <w:t xml:space="preserve"> of </w:t>
      </w:r>
      <w:r w:rsidR="007B7F23">
        <w:t>its</w:t>
      </w:r>
      <w:r w:rsidR="0008137B" w:rsidRPr="00541CF1">
        <w:t xml:space="preserve"> 2016 IRP</w:t>
      </w:r>
      <w:r w:rsidR="007B7F23" w:rsidRPr="00B86776">
        <w:t xml:space="preserve"> </w:t>
      </w:r>
      <w:r w:rsidR="007B7F23">
        <w:t>our</w:t>
      </w:r>
      <w:r w:rsidR="0008137B" w:rsidRPr="00B86776">
        <w:t xml:space="preserve"> recommendations </w:t>
      </w:r>
      <w:r w:rsidR="007B7F23">
        <w:t>in this acknowledgement letter</w:t>
      </w:r>
      <w:r w:rsidR="0008137B" w:rsidRPr="00541CF1">
        <w:t xml:space="preserve">. </w:t>
      </w:r>
      <w:r w:rsidR="00CD206F">
        <w:t xml:space="preserve"> </w:t>
      </w:r>
    </w:p>
    <w:p w14:paraId="29B745AB" w14:textId="465588DD" w:rsidR="008301D2" w:rsidRPr="00541CF1" w:rsidRDefault="008301D2" w:rsidP="00923237">
      <w:pPr>
        <w:ind w:left="450"/>
      </w:pPr>
    </w:p>
    <w:sectPr w:rsidR="008301D2" w:rsidRPr="00541CF1" w:rsidSect="00F40EAC">
      <w:headerReference w:type="default" r:id="rId11"/>
      <w:headerReference w:type="first" r:id="rId12"/>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C3917" w14:textId="77777777" w:rsidR="00F50B6A" w:rsidRDefault="00F50B6A" w:rsidP="009C5FDF">
      <w:pPr>
        <w:spacing w:line="240" w:lineRule="auto"/>
      </w:pPr>
      <w:r>
        <w:separator/>
      </w:r>
    </w:p>
  </w:endnote>
  <w:endnote w:type="continuationSeparator" w:id="0">
    <w:p w14:paraId="711FB72E" w14:textId="77777777" w:rsidR="00F50B6A" w:rsidRDefault="00F50B6A" w:rsidP="009C5FDF">
      <w:pPr>
        <w:spacing w:line="240" w:lineRule="auto"/>
      </w:pPr>
      <w:r>
        <w:continuationSeparator/>
      </w:r>
    </w:p>
  </w:endnote>
  <w:endnote w:type="continuationNotice" w:id="1">
    <w:p w14:paraId="27DC416F" w14:textId="77777777" w:rsidR="00F50B6A" w:rsidRDefault="00F50B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1AE22" w14:textId="77777777" w:rsidR="00F50B6A" w:rsidRDefault="00F50B6A" w:rsidP="00F62BD2">
      <w:pPr>
        <w:spacing w:line="240" w:lineRule="auto"/>
        <w:ind w:left="432"/>
      </w:pPr>
      <w:r>
        <w:separator/>
      </w:r>
    </w:p>
  </w:footnote>
  <w:footnote w:type="continuationSeparator" w:id="0">
    <w:p w14:paraId="69CEAF4A" w14:textId="77777777" w:rsidR="00F50B6A" w:rsidRDefault="00F50B6A" w:rsidP="009C5FDF">
      <w:pPr>
        <w:spacing w:line="240" w:lineRule="auto"/>
      </w:pPr>
      <w:r>
        <w:continuationSeparator/>
      </w:r>
    </w:p>
  </w:footnote>
  <w:footnote w:type="continuationNotice" w:id="1">
    <w:p w14:paraId="3DE38BA3" w14:textId="77777777" w:rsidR="00F50B6A" w:rsidRDefault="00F50B6A">
      <w:pPr>
        <w:spacing w:line="240" w:lineRule="auto"/>
      </w:pPr>
    </w:p>
  </w:footnote>
  <w:footnote w:id="2">
    <w:p w14:paraId="0144C2F7" w14:textId="77777777" w:rsidR="002C3E45" w:rsidRPr="00DD0ADE" w:rsidRDefault="002C3E45" w:rsidP="008E538C">
      <w:pPr>
        <w:pStyle w:val="FootnoteText"/>
        <w:spacing w:after="120"/>
        <w:ind w:left="450"/>
        <w:contextualSpacing/>
      </w:pPr>
      <w:r w:rsidRPr="00DD0ADE">
        <w:rPr>
          <w:rStyle w:val="FootnoteReference"/>
        </w:rPr>
        <w:footnoteRef/>
      </w:r>
      <w:r w:rsidRPr="00DD0ADE">
        <w:t xml:space="preserve"> WAC 480-90-238(2)(a).</w:t>
      </w:r>
    </w:p>
  </w:footnote>
  <w:footnote w:id="3">
    <w:p w14:paraId="45F833FB" w14:textId="77777777" w:rsidR="002C3E45" w:rsidRPr="00DD0ADE" w:rsidRDefault="002C3E45" w:rsidP="008E538C">
      <w:pPr>
        <w:pStyle w:val="FootnoteText"/>
        <w:spacing w:after="120"/>
        <w:ind w:left="450"/>
        <w:contextualSpacing/>
      </w:pPr>
      <w:r w:rsidRPr="00DD0ADE">
        <w:rPr>
          <w:rStyle w:val="FootnoteReference"/>
        </w:rPr>
        <w:footnoteRef/>
      </w:r>
      <w:r w:rsidRPr="00DD0ADE">
        <w:t xml:space="preserve"> WAC 480-90-238(2)(b).</w:t>
      </w:r>
    </w:p>
  </w:footnote>
  <w:footnote w:id="4">
    <w:p w14:paraId="54DD58A5" w14:textId="2CD9DB06" w:rsidR="002719BC" w:rsidRDefault="002719BC" w:rsidP="008E538C">
      <w:pPr>
        <w:pStyle w:val="FootnoteText"/>
        <w:ind w:left="450"/>
      </w:pPr>
      <w:r>
        <w:rPr>
          <w:rStyle w:val="FootnoteReference"/>
        </w:rPr>
        <w:footnoteRef/>
      </w:r>
      <w:r>
        <w:t xml:space="preserve"> Northwest Natural Gas </w:t>
      </w:r>
      <w:r w:rsidR="00190E60">
        <w:t>Company</w:t>
      </w:r>
      <w:r>
        <w:t>, 2013 Integrated Resource Plan, D</w:t>
      </w:r>
      <w:r w:rsidR="00996B5C">
        <w:t>ocket UG-120417</w:t>
      </w:r>
      <w:r>
        <w:t>.</w:t>
      </w:r>
    </w:p>
  </w:footnote>
  <w:footnote w:id="5">
    <w:p w14:paraId="6472C3D1" w14:textId="683A932C" w:rsidR="00D17C9D" w:rsidRDefault="00D17C9D" w:rsidP="008E538C">
      <w:pPr>
        <w:pStyle w:val="FootnoteText"/>
        <w:spacing w:after="240"/>
        <w:ind w:left="450"/>
        <w:contextualSpacing/>
      </w:pPr>
      <w:r>
        <w:rPr>
          <w:rStyle w:val="FootnoteReference"/>
        </w:rPr>
        <w:footnoteRef/>
      </w:r>
      <w:r w:rsidR="00991856">
        <w:t xml:space="preserve"> Northwest</w:t>
      </w:r>
      <w:r w:rsidR="009D23B3">
        <w:t xml:space="preserve"> Natural Gas </w:t>
      </w:r>
      <w:r w:rsidR="00190E60">
        <w:t>Company</w:t>
      </w:r>
      <w:r w:rsidR="009D23B3">
        <w:t>, 2013 Integrated Resource Plan</w:t>
      </w:r>
      <w:r>
        <w:t xml:space="preserve"> Acknowledgment Letter, Dock</w:t>
      </w:r>
      <w:r w:rsidR="00996B5C">
        <w:t>et UG-120417</w:t>
      </w:r>
      <w:r>
        <w:t>.</w:t>
      </w:r>
    </w:p>
  </w:footnote>
  <w:footnote w:id="6">
    <w:p w14:paraId="2A048133" w14:textId="694018C1" w:rsidR="008E4A93" w:rsidRDefault="008E4A93" w:rsidP="008E538C">
      <w:pPr>
        <w:pStyle w:val="FootnoteText"/>
        <w:ind w:left="450"/>
      </w:pPr>
      <w:r>
        <w:rPr>
          <w:rStyle w:val="FootnoteReference"/>
        </w:rPr>
        <w:footnoteRef/>
      </w:r>
      <w:r>
        <w:t xml:space="preserve"> Segmented capacity is a contract that allows the </w:t>
      </w:r>
      <w:r w:rsidR="00190E60">
        <w:t>Company</w:t>
      </w:r>
      <w:r>
        <w:t xml:space="preserve"> to flow more gas on an existing contract as secondary firm transportation. See pages 3.12-3.14 of the Plan for more information. </w:t>
      </w:r>
      <w:r w:rsidR="00515859">
        <w:t>Mist is an underground natural gas storage located near Mist, Oregon, owned and operated by NW Natural.</w:t>
      </w:r>
      <w:r w:rsidR="00766C0F">
        <w:t xml:space="preserve"> The Company has annual contracts for storage with other parties it can recall to serve its own end-use customers.</w:t>
      </w:r>
    </w:p>
  </w:footnote>
  <w:footnote w:id="7">
    <w:p w14:paraId="317E524D" w14:textId="20380E81" w:rsidR="003629E9" w:rsidRDefault="003629E9" w:rsidP="00891017">
      <w:pPr>
        <w:pStyle w:val="FootnoteText"/>
        <w:ind w:left="450"/>
      </w:pPr>
      <w:r>
        <w:rPr>
          <w:rStyle w:val="FootnoteReference"/>
        </w:rPr>
        <w:footnoteRef/>
      </w:r>
      <w:r>
        <w:t xml:space="preserve"> </w:t>
      </w:r>
      <w:r w:rsidR="00DC2BDE">
        <w:t>We collectively refer to five</w:t>
      </w:r>
      <w:r>
        <w:t xml:space="preserve"> large industrial and export proposals </w:t>
      </w:r>
      <w:r w:rsidR="00DC2BDE">
        <w:t xml:space="preserve">located </w:t>
      </w:r>
      <w:r>
        <w:t xml:space="preserve">in the Pacific </w:t>
      </w:r>
      <w:r w:rsidR="00DC2BDE">
        <w:t>as ‘the regional projects,’ and discuss it in detail later in this letter.</w:t>
      </w:r>
      <w:r w:rsidR="00891017">
        <w:t xml:space="preserve"> </w:t>
      </w:r>
      <w:r w:rsidR="00DC2BDE">
        <w:t xml:space="preserve"> The Company also provides a summary of the projects on page</w:t>
      </w:r>
      <w:r w:rsidR="00996483">
        <w:t xml:space="preserve"> </w:t>
      </w:r>
      <w:r w:rsidR="00866F20">
        <w:t>2.26</w:t>
      </w:r>
      <w:r w:rsidR="00DC2BDE">
        <w:t xml:space="preserve"> of the Plan</w:t>
      </w:r>
      <w:r w:rsidR="00866F20">
        <w:t>.</w:t>
      </w:r>
      <w:r>
        <w:t xml:space="preserve"> </w:t>
      </w:r>
    </w:p>
  </w:footnote>
  <w:footnote w:id="8">
    <w:p w14:paraId="3F800E7A" w14:textId="5C826F68" w:rsidR="005C6E9C" w:rsidRDefault="005C6E9C" w:rsidP="008E538C">
      <w:pPr>
        <w:pStyle w:val="FootnoteText"/>
        <w:ind w:left="450"/>
      </w:pPr>
      <w:r>
        <w:rPr>
          <w:rStyle w:val="FootnoteReference"/>
        </w:rPr>
        <w:footnoteRef/>
      </w:r>
      <w:r>
        <w:t xml:space="preserve"> The </w:t>
      </w:r>
      <w:r w:rsidR="00190E60">
        <w:t>Company</w:t>
      </w:r>
      <w:r>
        <w:t xml:space="preserve">’s peak design day is 53 Heating Degree Days, which is equivalent to 12 degrees Fahrenheit. </w:t>
      </w:r>
    </w:p>
  </w:footnote>
  <w:footnote w:id="9">
    <w:p w14:paraId="7649ECA7" w14:textId="20FD9BF8" w:rsidR="000218E4" w:rsidRDefault="000218E4" w:rsidP="008E538C">
      <w:pPr>
        <w:pStyle w:val="FootnoteText"/>
        <w:ind w:left="450"/>
      </w:pPr>
      <w:r>
        <w:rPr>
          <w:rStyle w:val="FootnoteReference"/>
        </w:rPr>
        <w:footnoteRef/>
      </w:r>
      <w:r>
        <w:t xml:space="preserve"> </w:t>
      </w:r>
      <w:r w:rsidR="00153765">
        <w:t xml:space="preserve">The </w:t>
      </w:r>
      <w:r w:rsidR="00153765" w:rsidRPr="00541CF1">
        <w:t>Washington Office of Financial Management projects Clark County population growth to be 1.2 percent from 2015-2032, (with a high estimate of 1.6 percent</w:t>
      </w:r>
      <w:r w:rsidR="00153765">
        <w:t>).</w:t>
      </w:r>
      <w:r w:rsidR="00153765" w:rsidRPr="00541CF1">
        <w:t xml:space="preserve"> NW Natural modified this data using consultant and in-house new construction data, and projects the average annual customer growth rate to be 3.8 percent</w:t>
      </w:r>
      <w:r w:rsidR="00153765">
        <w:t xml:space="preserve">. </w:t>
      </w:r>
      <w:r w:rsidR="00CD206F">
        <w:t xml:space="preserve"> </w:t>
      </w:r>
      <w:r w:rsidR="00153765">
        <w:t>Page 2.13 of the Plan shows the forecasts range</w:t>
      </w:r>
      <w:r w:rsidR="00975603">
        <w:t xml:space="preserve"> from a low case of 3.1 percent to a </w:t>
      </w:r>
      <w:r w:rsidR="00E17C8E" w:rsidRPr="00E17C8E">
        <w:t xml:space="preserve">high case of 4.1 percent. </w:t>
      </w:r>
    </w:p>
  </w:footnote>
  <w:footnote w:id="10">
    <w:p w14:paraId="4A517D1E" w14:textId="4B5684C2" w:rsidR="008B7455" w:rsidRDefault="008B7455" w:rsidP="008E538C">
      <w:pPr>
        <w:pStyle w:val="FootnoteText"/>
        <w:ind w:left="450"/>
      </w:pPr>
      <w:r>
        <w:rPr>
          <w:rStyle w:val="FootnoteReference"/>
        </w:rPr>
        <w:footnoteRef/>
      </w:r>
      <w:r>
        <w:t xml:space="preserve"> </w:t>
      </w:r>
      <w:r w:rsidR="00030CE8">
        <w:t>Pages 2.6 &amp; 2.7; Figures 2.3, 2.4, and 2.5.</w:t>
      </w:r>
    </w:p>
  </w:footnote>
  <w:footnote w:id="11">
    <w:p w14:paraId="23418BAC" w14:textId="07EA8950" w:rsidR="002C3E45" w:rsidRDefault="002C3E45" w:rsidP="008E538C">
      <w:pPr>
        <w:pStyle w:val="FootnoteText"/>
        <w:ind w:left="450"/>
      </w:pPr>
      <w:r>
        <w:rPr>
          <w:rStyle w:val="FootnoteReference"/>
        </w:rPr>
        <w:footnoteRef/>
      </w:r>
      <w:r>
        <w:t xml:space="preserve"> </w:t>
      </w:r>
      <w:r w:rsidR="00571A73">
        <w:t xml:space="preserve">This </w:t>
      </w:r>
      <w:r w:rsidR="007C7AE3">
        <w:t xml:space="preserve">means that the </w:t>
      </w:r>
      <w:r w:rsidR="00190E60">
        <w:t>Company</w:t>
      </w:r>
      <w:r w:rsidR="007C7AE3">
        <w:t xml:space="preserve"> uses the </w:t>
      </w:r>
      <w:r w:rsidR="00571A73">
        <w:t>third</w:t>
      </w:r>
      <w:r w:rsidR="007C7AE3">
        <w:t xml:space="preserve"> coldest year</w:t>
      </w:r>
      <w:r w:rsidR="00571A73">
        <w:t xml:space="preserve"> of 30 years (90</w:t>
      </w:r>
      <w:r w:rsidR="00571A73" w:rsidRPr="00571A73">
        <w:rPr>
          <w:vertAlign w:val="superscript"/>
        </w:rPr>
        <w:t>th</w:t>
      </w:r>
      <w:r w:rsidR="00571A73">
        <w:t xml:space="preserve"> percentile).</w:t>
      </w:r>
      <w:r w:rsidR="007C7AE3">
        <w:t xml:space="preserve"> </w:t>
      </w:r>
      <w:r w:rsidR="00CD206F">
        <w:t xml:space="preserve"> </w:t>
      </w:r>
      <w:r w:rsidR="00571A73">
        <w:t xml:space="preserve">In this case, the </w:t>
      </w:r>
      <w:r w:rsidR="00935DD2">
        <w:t>heating season is</w:t>
      </w:r>
      <w:r w:rsidR="00571A73">
        <w:t xml:space="preserve"> 1992</w:t>
      </w:r>
      <w:r w:rsidR="00935DD2">
        <w:t>/1993</w:t>
      </w:r>
      <w:r w:rsidR="00571A73">
        <w:t>.</w:t>
      </w:r>
    </w:p>
  </w:footnote>
  <w:footnote w:id="12">
    <w:p w14:paraId="6DEF50A1" w14:textId="4BA26F78" w:rsidR="00C9555F" w:rsidRDefault="00C9555F" w:rsidP="008E538C">
      <w:pPr>
        <w:pStyle w:val="FootnoteText"/>
        <w:ind w:left="450"/>
      </w:pPr>
      <w:r>
        <w:rPr>
          <w:rStyle w:val="FootnoteReference"/>
        </w:rPr>
        <w:footnoteRef/>
      </w:r>
      <w:r>
        <w:t xml:space="preserve"> </w:t>
      </w:r>
      <w:r w:rsidR="00935DD2">
        <w:t xml:space="preserve">This means that the </w:t>
      </w:r>
      <w:r w:rsidR="00190E60">
        <w:t>Company</w:t>
      </w:r>
      <w:r w:rsidR="00935DD2">
        <w:t xml:space="preserve"> used the third coldest year of 20 years (85</w:t>
      </w:r>
      <w:r w:rsidR="00935DD2" w:rsidRPr="00935DD2">
        <w:rPr>
          <w:vertAlign w:val="superscript"/>
        </w:rPr>
        <w:t>th</w:t>
      </w:r>
      <w:r w:rsidR="00935DD2">
        <w:t xml:space="preserve"> percentile).</w:t>
      </w:r>
      <w:r w:rsidR="00CD206F">
        <w:t xml:space="preserve"> </w:t>
      </w:r>
      <w:r w:rsidR="00935DD2">
        <w:t xml:space="preserve"> In this case, the heating season was 2000/2001.</w:t>
      </w:r>
    </w:p>
  </w:footnote>
  <w:footnote w:id="13">
    <w:p w14:paraId="20E5FD5A" w14:textId="664222A9" w:rsidR="002C3E45" w:rsidRDefault="002C3E45" w:rsidP="008E538C">
      <w:pPr>
        <w:pStyle w:val="FootnoteText"/>
        <w:ind w:left="450"/>
      </w:pPr>
      <w:r>
        <w:rPr>
          <w:rStyle w:val="FootnoteReference"/>
        </w:rPr>
        <w:footnoteRef/>
      </w:r>
      <w:r>
        <w:t xml:space="preserve"> SENDOUT is a linear programming </w:t>
      </w:r>
      <w:r w:rsidR="008F1E90">
        <w:t>model, which</w:t>
      </w:r>
      <w:r>
        <w:t xml:space="preserve"> provides d</w:t>
      </w:r>
      <w:r w:rsidR="003D1386">
        <w:t>eterministic results used</w:t>
      </w:r>
      <w:r>
        <w:t xml:space="preserve"> by all of Washington natural gas utilities for modeling the IRP.</w:t>
      </w:r>
    </w:p>
  </w:footnote>
  <w:footnote w:id="14">
    <w:p w14:paraId="6C000596" w14:textId="79F31A89" w:rsidR="00BF29BB" w:rsidRDefault="00BF29BB" w:rsidP="008E538C">
      <w:pPr>
        <w:pStyle w:val="FootnoteText"/>
        <w:ind w:left="450"/>
      </w:pPr>
      <w:r>
        <w:rPr>
          <w:rStyle w:val="FootnoteReference"/>
        </w:rPr>
        <w:footnoteRef/>
      </w:r>
      <w:r>
        <w:t xml:space="preserve"> </w:t>
      </w:r>
      <w:r w:rsidR="00991856">
        <w:t xml:space="preserve">Policy Statement on the Evaluation of the Cost-Effectiveness of Natural Gas Conservation Programs Docket </w:t>
      </w:r>
      <w:r>
        <w:t>UG-121207</w:t>
      </w:r>
      <w:r w:rsidR="00CD4550">
        <w:t>.</w:t>
      </w:r>
    </w:p>
  </w:footnote>
  <w:footnote w:id="15">
    <w:p w14:paraId="0A30CAD2" w14:textId="35602247" w:rsidR="005304CE" w:rsidRDefault="005304CE" w:rsidP="00884648">
      <w:pPr>
        <w:pStyle w:val="FootnoteText"/>
        <w:ind w:left="450"/>
      </w:pPr>
      <w:r>
        <w:rPr>
          <w:rStyle w:val="FootnoteReference"/>
        </w:rPr>
        <w:footnoteRef/>
      </w:r>
      <w:r w:rsidR="00884648">
        <w:t xml:space="preserve"> </w:t>
      </w:r>
      <w:r>
        <w:t xml:space="preserve">NW Natural meets about 10 percent of its annual Oregon requirement through a 30-year supply agreement with Encana, located Jonah field in Wyoming. </w:t>
      </w:r>
      <w:r w:rsidR="00423E2B">
        <w:t xml:space="preserve"> </w:t>
      </w:r>
      <w:r>
        <w:t>The Washington Commission ordered the Company not to include the Encana transaction in Washington rates</w:t>
      </w:r>
      <w:r w:rsidR="003B5526">
        <w:t>, in Docket UG-111233</w:t>
      </w:r>
      <w:r>
        <w:t>.</w:t>
      </w:r>
      <w:r w:rsidR="00423E2B">
        <w:t xml:space="preserve"> </w:t>
      </w:r>
      <w:r>
        <w:t xml:space="preserve"> </w:t>
      </w:r>
      <w:r w:rsidR="003B5526">
        <w:t xml:space="preserve">In its </w:t>
      </w:r>
      <w:r>
        <w:t xml:space="preserve">acknowledgment letter of this IRP, </w:t>
      </w:r>
      <w:r w:rsidR="003B5526">
        <w:t xml:space="preserve">the Oregon Public Utilities Commission </w:t>
      </w:r>
      <w:r>
        <w:t>decided to open a new docket to investigate the Company’s hedging practice (Docket LC 60).</w:t>
      </w:r>
      <w:r>
        <w:tab/>
      </w:r>
    </w:p>
  </w:footnote>
  <w:footnote w:id="16">
    <w:p w14:paraId="125DE49E" w14:textId="0A9CA57A" w:rsidR="00974D9C" w:rsidRDefault="00974D9C" w:rsidP="008E538C">
      <w:pPr>
        <w:pStyle w:val="FootnoteText"/>
        <w:ind w:left="450"/>
      </w:pPr>
      <w:r>
        <w:rPr>
          <w:rStyle w:val="FootnoteReference"/>
        </w:rPr>
        <w:footnoteRef/>
      </w:r>
      <w:r>
        <w:t xml:space="preserve"> TF-2 is NWP’s contract for secondary, or subordinate, firm service. </w:t>
      </w:r>
      <w:r w:rsidR="00CD206F">
        <w:t xml:space="preserve"> </w:t>
      </w:r>
    </w:p>
  </w:footnote>
  <w:footnote w:id="17">
    <w:p w14:paraId="066140B1" w14:textId="13E8B77A" w:rsidR="00B34EAA" w:rsidRDefault="00B34EAA" w:rsidP="008E538C">
      <w:pPr>
        <w:pStyle w:val="FootnoteText"/>
        <w:ind w:left="450"/>
      </w:pPr>
      <w:r>
        <w:rPr>
          <w:rStyle w:val="FootnoteReference"/>
        </w:rPr>
        <w:footnoteRef/>
      </w:r>
      <w:r>
        <w:t xml:space="preserve"> </w:t>
      </w:r>
      <w:r w:rsidR="00991856">
        <w:t xml:space="preserve">Northwest Natural Gas </w:t>
      </w:r>
      <w:r w:rsidR="00190E60">
        <w:t>Company</w:t>
      </w:r>
      <w:r w:rsidR="00991856">
        <w:t>, 2013 Integrated Resource Plan, Docket UG-120417, P</w:t>
      </w:r>
      <w:r>
        <w:t>age 3.6;</w:t>
      </w:r>
      <w:r w:rsidR="00991856">
        <w:t xml:space="preserve"> Northwest Natural Gas </w:t>
      </w:r>
      <w:r w:rsidR="00190E60">
        <w:t>Company</w:t>
      </w:r>
      <w:r w:rsidR="00991856">
        <w:t>, 2011 Integrated Resource Plan, Docket UG-100245, Page 3.6.</w:t>
      </w:r>
    </w:p>
  </w:footnote>
  <w:footnote w:id="18">
    <w:p w14:paraId="121C0733" w14:textId="68BD232A" w:rsidR="007B7FCB" w:rsidRDefault="007B7FCB" w:rsidP="008E538C">
      <w:pPr>
        <w:pStyle w:val="FootnoteText"/>
        <w:ind w:left="450"/>
      </w:pPr>
      <w:r>
        <w:rPr>
          <w:rStyle w:val="FootnoteReference"/>
        </w:rPr>
        <w:footnoteRef/>
      </w:r>
      <w:r>
        <w:t xml:space="preserve"> Jordan Cove Energy Project, L.P., </w:t>
      </w:r>
      <w:hyperlink r:id="rId1" w:history="1">
        <w:r w:rsidR="00CA2DE0" w:rsidRPr="00FA3B9F">
          <w:rPr>
            <w:rStyle w:val="Hyperlink"/>
          </w:rPr>
          <w:t>http://www.jordancoveenergy.com/project.htm</w:t>
        </w:r>
      </w:hyperlink>
      <w:r w:rsidR="00823531">
        <w:t>.</w:t>
      </w:r>
    </w:p>
  </w:footnote>
  <w:footnote w:id="19">
    <w:p w14:paraId="56613FC3" w14:textId="0A7B2B06" w:rsidR="00F673A8" w:rsidRDefault="00F673A8" w:rsidP="008E538C">
      <w:pPr>
        <w:pStyle w:val="FootnoteText"/>
        <w:ind w:left="450"/>
      </w:pPr>
      <w:r>
        <w:rPr>
          <w:rStyle w:val="FootnoteReference"/>
        </w:rPr>
        <w:footnoteRef/>
      </w:r>
      <w:r>
        <w:t xml:space="preserve"> Mist field produces two percent of the </w:t>
      </w:r>
      <w:r w:rsidR="00190E60">
        <w:t>Company</w:t>
      </w:r>
      <w:r>
        <w:t xml:space="preserve">’s needs and is located within its service territory. </w:t>
      </w:r>
    </w:p>
  </w:footnote>
  <w:footnote w:id="20">
    <w:p w14:paraId="17D5D8BD" w14:textId="32B91146" w:rsidR="007B7FCB" w:rsidRDefault="007B7FCB" w:rsidP="008E538C">
      <w:pPr>
        <w:pStyle w:val="FootnoteText"/>
        <w:ind w:left="450"/>
      </w:pPr>
      <w:r>
        <w:rPr>
          <w:rStyle w:val="FootnoteReference"/>
        </w:rPr>
        <w:footnoteRef/>
      </w:r>
      <w:r>
        <w:t xml:space="preserve"> Formerly known as Palomar, the </w:t>
      </w:r>
      <w:r w:rsidR="00190E60">
        <w:t>Company</w:t>
      </w:r>
      <w:r>
        <w:t xml:space="preserve"> is referring to the project as “Cross-Cascades.”</w:t>
      </w:r>
    </w:p>
  </w:footnote>
  <w:footnote w:id="21">
    <w:p w14:paraId="01E87FDD" w14:textId="1A099EF9" w:rsidR="007B7FCB" w:rsidRDefault="007B7FCB" w:rsidP="008767E0">
      <w:pPr>
        <w:pStyle w:val="FootnoteText"/>
        <w:ind w:left="450"/>
      </w:pPr>
      <w:r>
        <w:rPr>
          <w:rStyle w:val="FootnoteReference"/>
        </w:rPr>
        <w:footnoteRef/>
      </w:r>
      <w:r w:rsidR="000B55C2">
        <w:t xml:space="preserve"> Page 6.7, Figure 6.1 and 6.2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CB8B6" w14:textId="054D2F91" w:rsidR="008B48AA" w:rsidRPr="00891017" w:rsidRDefault="008B48AA" w:rsidP="006C66B2">
    <w:pPr>
      <w:pStyle w:val="Header"/>
      <w:ind w:left="450"/>
      <w:rPr>
        <w:sz w:val="22"/>
        <w:szCs w:val="22"/>
      </w:rPr>
    </w:pPr>
    <w:r w:rsidRPr="00891017">
      <w:rPr>
        <w:sz w:val="22"/>
        <w:szCs w:val="22"/>
      </w:rPr>
      <w:t>Northwest Natural</w:t>
    </w:r>
    <w:r w:rsidR="0047394D" w:rsidRPr="00891017">
      <w:rPr>
        <w:sz w:val="22"/>
        <w:szCs w:val="22"/>
      </w:rPr>
      <w:t xml:space="preserve"> Gas </w:t>
    </w:r>
    <w:r w:rsidR="00190E60" w:rsidRPr="00891017">
      <w:rPr>
        <w:sz w:val="22"/>
        <w:szCs w:val="22"/>
      </w:rPr>
      <w:t>Company</w:t>
    </w:r>
    <w:r w:rsidR="0047394D" w:rsidRPr="00891017">
      <w:rPr>
        <w:sz w:val="22"/>
        <w:szCs w:val="22"/>
      </w:rPr>
      <w:t>’s</w:t>
    </w:r>
    <w:r w:rsidRPr="00891017">
      <w:rPr>
        <w:sz w:val="22"/>
        <w:szCs w:val="22"/>
      </w:rPr>
      <w:t xml:space="preserve"> </w:t>
    </w:r>
    <w:r w:rsidR="007004A7" w:rsidRPr="00891017">
      <w:rPr>
        <w:sz w:val="22"/>
        <w:szCs w:val="22"/>
      </w:rPr>
      <w:t>2014</w:t>
    </w:r>
    <w:r w:rsidRPr="00891017">
      <w:rPr>
        <w:sz w:val="22"/>
        <w:szCs w:val="22"/>
      </w:rPr>
      <w:t xml:space="preserve"> Integrated Resource Plan</w:t>
    </w:r>
    <w:r w:rsidR="00423E2B" w:rsidRPr="00891017">
      <w:rPr>
        <w:sz w:val="22"/>
        <w:szCs w:val="22"/>
      </w:rPr>
      <w:tab/>
      <w:t xml:space="preserve">Page </w:t>
    </w:r>
    <w:r w:rsidR="00423E2B" w:rsidRPr="00891017">
      <w:rPr>
        <w:sz w:val="22"/>
        <w:szCs w:val="22"/>
      </w:rPr>
      <w:fldChar w:fldCharType="begin"/>
    </w:r>
    <w:r w:rsidR="00423E2B" w:rsidRPr="00891017">
      <w:rPr>
        <w:sz w:val="22"/>
        <w:szCs w:val="22"/>
      </w:rPr>
      <w:instrText xml:space="preserve"> PAGE   \* MERGEFORMAT </w:instrText>
    </w:r>
    <w:r w:rsidR="00423E2B" w:rsidRPr="00891017">
      <w:rPr>
        <w:sz w:val="22"/>
        <w:szCs w:val="22"/>
      </w:rPr>
      <w:fldChar w:fldCharType="separate"/>
    </w:r>
    <w:r w:rsidR="00F40EAC">
      <w:rPr>
        <w:noProof/>
        <w:sz w:val="22"/>
        <w:szCs w:val="22"/>
      </w:rPr>
      <w:t>11</w:t>
    </w:r>
    <w:r w:rsidR="00423E2B" w:rsidRPr="00891017">
      <w:rPr>
        <w:noProof/>
        <w:sz w:val="22"/>
        <w:szCs w:val="22"/>
      </w:rPr>
      <w:fldChar w:fldCharType="end"/>
    </w:r>
  </w:p>
  <w:p w14:paraId="7E7EC2DE" w14:textId="0BF48D10" w:rsidR="008B48AA" w:rsidRPr="00891017" w:rsidRDefault="00891017" w:rsidP="006C66B2">
    <w:pPr>
      <w:pStyle w:val="Header"/>
      <w:ind w:left="450"/>
      <w:rPr>
        <w:sz w:val="22"/>
        <w:szCs w:val="22"/>
      </w:rPr>
    </w:pPr>
    <w:r w:rsidRPr="00891017">
      <w:rPr>
        <w:sz w:val="22"/>
        <w:szCs w:val="22"/>
      </w:rPr>
      <w:t xml:space="preserve">Docket </w:t>
    </w:r>
    <w:r w:rsidR="008B48AA" w:rsidRPr="00891017">
      <w:rPr>
        <w:sz w:val="22"/>
        <w:szCs w:val="22"/>
      </w:rPr>
      <w:t>UG-131473</w:t>
    </w:r>
  </w:p>
  <w:p w14:paraId="7E899ADE" w14:textId="5103AE4F" w:rsidR="008B48AA" w:rsidRPr="00891017" w:rsidRDefault="008B48AA" w:rsidP="006C66B2">
    <w:pPr>
      <w:pStyle w:val="Header"/>
      <w:ind w:left="450"/>
      <w:rPr>
        <w:sz w:val="22"/>
        <w:szCs w:val="22"/>
      </w:rPr>
    </w:pPr>
    <w:r w:rsidRPr="00891017">
      <w:rPr>
        <w:sz w:val="22"/>
        <w:szCs w:val="22"/>
      </w:rPr>
      <w:t xml:space="preserve">March </w:t>
    </w:r>
    <w:r w:rsidR="00423E2B" w:rsidRPr="00891017">
      <w:rPr>
        <w:sz w:val="22"/>
        <w:szCs w:val="22"/>
      </w:rPr>
      <w:t>2</w:t>
    </w:r>
    <w:r w:rsidR="00891017" w:rsidRPr="00891017">
      <w:rPr>
        <w:sz w:val="22"/>
        <w:szCs w:val="22"/>
      </w:rPr>
      <w:t>7</w:t>
    </w:r>
    <w:r w:rsidRPr="00891017">
      <w:rPr>
        <w:sz w:val="22"/>
        <w:szCs w:val="22"/>
      </w:rPr>
      <w:t>, 2015</w:t>
    </w:r>
  </w:p>
  <w:p w14:paraId="39424742" w14:textId="77777777" w:rsidR="008B48AA" w:rsidRDefault="008B48AA">
    <w:pPr>
      <w:pStyle w:val="Header"/>
      <w:rPr>
        <w:sz w:val="20"/>
        <w:szCs w:val="20"/>
      </w:rPr>
    </w:pPr>
  </w:p>
  <w:p w14:paraId="7D9BA9E8" w14:textId="77777777" w:rsidR="00423E2B" w:rsidRPr="00EA123C" w:rsidRDefault="00423E2B">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8E11" w14:textId="77777777" w:rsidR="006C66B2" w:rsidRDefault="006C66B2" w:rsidP="006C66B2">
    <w:pPr>
      <w:pStyle w:val="Header"/>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73AE"/>
    <w:multiLevelType w:val="hybridMultilevel"/>
    <w:tmpl w:val="6B14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70140"/>
    <w:multiLevelType w:val="hybridMultilevel"/>
    <w:tmpl w:val="36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00218"/>
    <w:multiLevelType w:val="hybridMultilevel"/>
    <w:tmpl w:val="E7E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203EF"/>
    <w:multiLevelType w:val="hybridMultilevel"/>
    <w:tmpl w:val="A5DC919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A4444BB"/>
    <w:multiLevelType w:val="hybridMultilevel"/>
    <w:tmpl w:val="11C6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77066"/>
    <w:multiLevelType w:val="hybridMultilevel"/>
    <w:tmpl w:val="9FE6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DF"/>
    <w:rsid w:val="00001776"/>
    <w:rsid w:val="00002F87"/>
    <w:rsid w:val="00005336"/>
    <w:rsid w:val="00011A52"/>
    <w:rsid w:val="00014E57"/>
    <w:rsid w:val="000218E4"/>
    <w:rsid w:val="000223CE"/>
    <w:rsid w:val="0002691C"/>
    <w:rsid w:val="00027DB8"/>
    <w:rsid w:val="00030CE8"/>
    <w:rsid w:val="00037D3A"/>
    <w:rsid w:val="000407DF"/>
    <w:rsid w:val="00042226"/>
    <w:rsid w:val="000520E2"/>
    <w:rsid w:val="00055EFA"/>
    <w:rsid w:val="00062467"/>
    <w:rsid w:val="0006501D"/>
    <w:rsid w:val="00065A93"/>
    <w:rsid w:val="00066AE0"/>
    <w:rsid w:val="00070B21"/>
    <w:rsid w:val="00071A50"/>
    <w:rsid w:val="00071B4E"/>
    <w:rsid w:val="00076802"/>
    <w:rsid w:val="0008137B"/>
    <w:rsid w:val="00083CC8"/>
    <w:rsid w:val="0008539A"/>
    <w:rsid w:val="00086B3A"/>
    <w:rsid w:val="00086DB0"/>
    <w:rsid w:val="000928E4"/>
    <w:rsid w:val="00094DCE"/>
    <w:rsid w:val="00096A33"/>
    <w:rsid w:val="000A3B3E"/>
    <w:rsid w:val="000A5987"/>
    <w:rsid w:val="000B55C2"/>
    <w:rsid w:val="000B71EE"/>
    <w:rsid w:val="000C12EE"/>
    <w:rsid w:val="000C1D87"/>
    <w:rsid w:val="000D112D"/>
    <w:rsid w:val="000D1F55"/>
    <w:rsid w:val="000D4D2E"/>
    <w:rsid w:val="000D5107"/>
    <w:rsid w:val="000E00A8"/>
    <w:rsid w:val="000E0FC3"/>
    <w:rsid w:val="000E29C8"/>
    <w:rsid w:val="000E2A53"/>
    <w:rsid w:val="000F2551"/>
    <w:rsid w:val="001020B1"/>
    <w:rsid w:val="00103A6C"/>
    <w:rsid w:val="00112386"/>
    <w:rsid w:val="00121E7F"/>
    <w:rsid w:val="0012376D"/>
    <w:rsid w:val="00127C33"/>
    <w:rsid w:val="001404B2"/>
    <w:rsid w:val="00144422"/>
    <w:rsid w:val="00153765"/>
    <w:rsid w:val="00161AB2"/>
    <w:rsid w:val="00164539"/>
    <w:rsid w:val="0017551C"/>
    <w:rsid w:val="00176494"/>
    <w:rsid w:val="00176C7C"/>
    <w:rsid w:val="001815F8"/>
    <w:rsid w:val="001829F5"/>
    <w:rsid w:val="00186674"/>
    <w:rsid w:val="00190E60"/>
    <w:rsid w:val="00191F5A"/>
    <w:rsid w:val="00195AEE"/>
    <w:rsid w:val="001B18EC"/>
    <w:rsid w:val="001B2D5D"/>
    <w:rsid w:val="001B5AC6"/>
    <w:rsid w:val="001B7663"/>
    <w:rsid w:val="001E55D2"/>
    <w:rsid w:val="001E5BEA"/>
    <w:rsid w:val="001E5DA5"/>
    <w:rsid w:val="001F2C0E"/>
    <w:rsid w:val="001F5E8B"/>
    <w:rsid w:val="00206729"/>
    <w:rsid w:val="00207F09"/>
    <w:rsid w:val="00211B16"/>
    <w:rsid w:val="0021320B"/>
    <w:rsid w:val="00214E36"/>
    <w:rsid w:val="00215865"/>
    <w:rsid w:val="00215C6C"/>
    <w:rsid w:val="00220350"/>
    <w:rsid w:val="0022187D"/>
    <w:rsid w:val="002246E2"/>
    <w:rsid w:val="002314A4"/>
    <w:rsid w:val="002321C6"/>
    <w:rsid w:val="00234E41"/>
    <w:rsid w:val="0024486F"/>
    <w:rsid w:val="00250574"/>
    <w:rsid w:val="00256738"/>
    <w:rsid w:val="002612D6"/>
    <w:rsid w:val="0026140F"/>
    <w:rsid w:val="00261CD3"/>
    <w:rsid w:val="00265BA1"/>
    <w:rsid w:val="002704B7"/>
    <w:rsid w:val="002719BC"/>
    <w:rsid w:val="00274023"/>
    <w:rsid w:val="0029148D"/>
    <w:rsid w:val="00292151"/>
    <w:rsid w:val="00292B5E"/>
    <w:rsid w:val="002961C4"/>
    <w:rsid w:val="002A2424"/>
    <w:rsid w:val="002A3082"/>
    <w:rsid w:val="002A514A"/>
    <w:rsid w:val="002B0E39"/>
    <w:rsid w:val="002C3A26"/>
    <w:rsid w:val="002C3E45"/>
    <w:rsid w:val="002C5199"/>
    <w:rsid w:val="002D1C78"/>
    <w:rsid w:val="002D57F4"/>
    <w:rsid w:val="002E1ABE"/>
    <w:rsid w:val="003015B5"/>
    <w:rsid w:val="003038E0"/>
    <w:rsid w:val="00310AEC"/>
    <w:rsid w:val="00312FF6"/>
    <w:rsid w:val="00314789"/>
    <w:rsid w:val="0032072A"/>
    <w:rsid w:val="00321F24"/>
    <w:rsid w:val="0032441E"/>
    <w:rsid w:val="00330B94"/>
    <w:rsid w:val="003324D0"/>
    <w:rsid w:val="003341F1"/>
    <w:rsid w:val="00334D15"/>
    <w:rsid w:val="00337547"/>
    <w:rsid w:val="00340749"/>
    <w:rsid w:val="00341821"/>
    <w:rsid w:val="00343F28"/>
    <w:rsid w:val="00350AA6"/>
    <w:rsid w:val="003629E9"/>
    <w:rsid w:val="00363248"/>
    <w:rsid w:val="00365298"/>
    <w:rsid w:val="003662D6"/>
    <w:rsid w:val="00372A7E"/>
    <w:rsid w:val="00373513"/>
    <w:rsid w:val="00376703"/>
    <w:rsid w:val="00377C6D"/>
    <w:rsid w:val="0038105A"/>
    <w:rsid w:val="0038472A"/>
    <w:rsid w:val="0039044E"/>
    <w:rsid w:val="0039256F"/>
    <w:rsid w:val="00396675"/>
    <w:rsid w:val="003B35C1"/>
    <w:rsid w:val="003B5526"/>
    <w:rsid w:val="003B5F86"/>
    <w:rsid w:val="003C41BE"/>
    <w:rsid w:val="003D1386"/>
    <w:rsid w:val="003D3F8A"/>
    <w:rsid w:val="003E2498"/>
    <w:rsid w:val="003E493C"/>
    <w:rsid w:val="003E5E59"/>
    <w:rsid w:val="003E5F8D"/>
    <w:rsid w:val="003F1FE6"/>
    <w:rsid w:val="003F30F1"/>
    <w:rsid w:val="00400AA7"/>
    <w:rsid w:val="0040315A"/>
    <w:rsid w:val="00417609"/>
    <w:rsid w:val="00423E2B"/>
    <w:rsid w:val="00433B17"/>
    <w:rsid w:val="004424A5"/>
    <w:rsid w:val="00442668"/>
    <w:rsid w:val="00455164"/>
    <w:rsid w:val="00455692"/>
    <w:rsid w:val="004626E0"/>
    <w:rsid w:val="004658ED"/>
    <w:rsid w:val="004677B9"/>
    <w:rsid w:val="00470611"/>
    <w:rsid w:val="0047394D"/>
    <w:rsid w:val="00487C95"/>
    <w:rsid w:val="004958EE"/>
    <w:rsid w:val="004A1F8F"/>
    <w:rsid w:val="004A50A7"/>
    <w:rsid w:val="004A65E4"/>
    <w:rsid w:val="004B54A9"/>
    <w:rsid w:val="004B62A4"/>
    <w:rsid w:val="004C0DAE"/>
    <w:rsid w:val="004C6618"/>
    <w:rsid w:val="004D3454"/>
    <w:rsid w:val="004D5F07"/>
    <w:rsid w:val="004E23B3"/>
    <w:rsid w:val="004E3399"/>
    <w:rsid w:val="004E3985"/>
    <w:rsid w:val="004E5205"/>
    <w:rsid w:val="004E63F0"/>
    <w:rsid w:val="0050580A"/>
    <w:rsid w:val="0050639D"/>
    <w:rsid w:val="00512F20"/>
    <w:rsid w:val="00515859"/>
    <w:rsid w:val="00525183"/>
    <w:rsid w:val="005268B8"/>
    <w:rsid w:val="00526FB8"/>
    <w:rsid w:val="00527165"/>
    <w:rsid w:val="005304CE"/>
    <w:rsid w:val="00530D83"/>
    <w:rsid w:val="005330CD"/>
    <w:rsid w:val="00535197"/>
    <w:rsid w:val="00541C32"/>
    <w:rsid w:val="00541CF1"/>
    <w:rsid w:val="005421B7"/>
    <w:rsid w:val="005453BD"/>
    <w:rsid w:val="005464ED"/>
    <w:rsid w:val="00550971"/>
    <w:rsid w:val="0056312A"/>
    <w:rsid w:val="00563259"/>
    <w:rsid w:val="00563934"/>
    <w:rsid w:val="0056406C"/>
    <w:rsid w:val="00564FC2"/>
    <w:rsid w:val="00567957"/>
    <w:rsid w:val="00571A73"/>
    <w:rsid w:val="00572D12"/>
    <w:rsid w:val="00572E3A"/>
    <w:rsid w:val="0057498C"/>
    <w:rsid w:val="005834BA"/>
    <w:rsid w:val="0058365C"/>
    <w:rsid w:val="005858D3"/>
    <w:rsid w:val="0058728A"/>
    <w:rsid w:val="0059504A"/>
    <w:rsid w:val="005A2C9E"/>
    <w:rsid w:val="005B40F6"/>
    <w:rsid w:val="005B4D9F"/>
    <w:rsid w:val="005C58B3"/>
    <w:rsid w:val="005C6E9C"/>
    <w:rsid w:val="005C74FB"/>
    <w:rsid w:val="005C7769"/>
    <w:rsid w:val="005D11A6"/>
    <w:rsid w:val="005D3031"/>
    <w:rsid w:val="005D4701"/>
    <w:rsid w:val="005D4EAF"/>
    <w:rsid w:val="005E55ED"/>
    <w:rsid w:val="005F2A42"/>
    <w:rsid w:val="005F4396"/>
    <w:rsid w:val="005F48F4"/>
    <w:rsid w:val="00602546"/>
    <w:rsid w:val="006130FA"/>
    <w:rsid w:val="006253C2"/>
    <w:rsid w:val="006359FF"/>
    <w:rsid w:val="00650B5C"/>
    <w:rsid w:val="0065352B"/>
    <w:rsid w:val="00654147"/>
    <w:rsid w:val="006544F6"/>
    <w:rsid w:val="00656873"/>
    <w:rsid w:val="006658A4"/>
    <w:rsid w:val="00670A89"/>
    <w:rsid w:val="00673E20"/>
    <w:rsid w:val="00680456"/>
    <w:rsid w:val="00687695"/>
    <w:rsid w:val="006968D8"/>
    <w:rsid w:val="006A37D2"/>
    <w:rsid w:val="006A6378"/>
    <w:rsid w:val="006B1145"/>
    <w:rsid w:val="006C4758"/>
    <w:rsid w:val="006C66B2"/>
    <w:rsid w:val="006C6F7F"/>
    <w:rsid w:val="006D72EC"/>
    <w:rsid w:val="006E08E4"/>
    <w:rsid w:val="006E0FEB"/>
    <w:rsid w:val="006E71D9"/>
    <w:rsid w:val="006F528E"/>
    <w:rsid w:val="007004A7"/>
    <w:rsid w:val="00706C3D"/>
    <w:rsid w:val="00711449"/>
    <w:rsid w:val="00721D96"/>
    <w:rsid w:val="007237BC"/>
    <w:rsid w:val="00725437"/>
    <w:rsid w:val="007328D4"/>
    <w:rsid w:val="007374F6"/>
    <w:rsid w:val="00746805"/>
    <w:rsid w:val="0074714B"/>
    <w:rsid w:val="00756888"/>
    <w:rsid w:val="0076680A"/>
    <w:rsid w:val="00766C0F"/>
    <w:rsid w:val="00767CCF"/>
    <w:rsid w:val="00772A6A"/>
    <w:rsid w:val="00772B56"/>
    <w:rsid w:val="007753D3"/>
    <w:rsid w:val="00775EAB"/>
    <w:rsid w:val="0078247A"/>
    <w:rsid w:val="0078713C"/>
    <w:rsid w:val="007B025C"/>
    <w:rsid w:val="007B734B"/>
    <w:rsid w:val="007B7F23"/>
    <w:rsid w:val="007B7FCB"/>
    <w:rsid w:val="007C08DB"/>
    <w:rsid w:val="007C0CFB"/>
    <w:rsid w:val="007C18D0"/>
    <w:rsid w:val="007C1FD0"/>
    <w:rsid w:val="007C42FC"/>
    <w:rsid w:val="007C7AE3"/>
    <w:rsid w:val="007D1F11"/>
    <w:rsid w:val="007D29B6"/>
    <w:rsid w:val="007D7D0B"/>
    <w:rsid w:val="007F4EFC"/>
    <w:rsid w:val="00802028"/>
    <w:rsid w:val="00806D6D"/>
    <w:rsid w:val="0081170E"/>
    <w:rsid w:val="00817B13"/>
    <w:rsid w:val="008202A0"/>
    <w:rsid w:val="0082080F"/>
    <w:rsid w:val="008208EF"/>
    <w:rsid w:val="00822197"/>
    <w:rsid w:val="0082350F"/>
    <w:rsid w:val="00823531"/>
    <w:rsid w:val="008301D2"/>
    <w:rsid w:val="00831FF7"/>
    <w:rsid w:val="008352E1"/>
    <w:rsid w:val="00843161"/>
    <w:rsid w:val="00843BA2"/>
    <w:rsid w:val="008453F3"/>
    <w:rsid w:val="00846335"/>
    <w:rsid w:val="00847600"/>
    <w:rsid w:val="00854C58"/>
    <w:rsid w:val="00866F20"/>
    <w:rsid w:val="0087603D"/>
    <w:rsid w:val="008767E0"/>
    <w:rsid w:val="0088028C"/>
    <w:rsid w:val="00880ED1"/>
    <w:rsid w:val="00884648"/>
    <w:rsid w:val="00886233"/>
    <w:rsid w:val="00886923"/>
    <w:rsid w:val="00886C91"/>
    <w:rsid w:val="00891017"/>
    <w:rsid w:val="008925D2"/>
    <w:rsid w:val="00894CC1"/>
    <w:rsid w:val="00895787"/>
    <w:rsid w:val="00896E79"/>
    <w:rsid w:val="008B03C7"/>
    <w:rsid w:val="008B0F88"/>
    <w:rsid w:val="008B43F7"/>
    <w:rsid w:val="008B48AA"/>
    <w:rsid w:val="008B63E8"/>
    <w:rsid w:val="008B7455"/>
    <w:rsid w:val="008B7FC0"/>
    <w:rsid w:val="008C0D59"/>
    <w:rsid w:val="008C1759"/>
    <w:rsid w:val="008C607B"/>
    <w:rsid w:val="008D0277"/>
    <w:rsid w:val="008D0B89"/>
    <w:rsid w:val="008D2069"/>
    <w:rsid w:val="008D322E"/>
    <w:rsid w:val="008D7DFF"/>
    <w:rsid w:val="008E01DD"/>
    <w:rsid w:val="008E3720"/>
    <w:rsid w:val="008E3850"/>
    <w:rsid w:val="008E3D60"/>
    <w:rsid w:val="008E4A93"/>
    <w:rsid w:val="008E538C"/>
    <w:rsid w:val="008E67D8"/>
    <w:rsid w:val="008F0540"/>
    <w:rsid w:val="008F0D16"/>
    <w:rsid w:val="008F0FEA"/>
    <w:rsid w:val="008F1E90"/>
    <w:rsid w:val="0091374F"/>
    <w:rsid w:val="00914DAF"/>
    <w:rsid w:val="00921960"/>
    <w:rsid w:val="00923237"/>
    <w:rsid w:val="00930D67"/>
    <w:rsid w:val="0093258F"/>
    <w:rsid w:val="00934D35"/>
    <w:rsid w:val="00935DD2"/>
    <w:rsid w:val="00957B6B"/>
    <w:rsid w:val="00960A70"/>
    <w:rsid w:val="00960E63"/>
    <w:rsid w:val="00963C6C"/>
    <w:rsid w:val="009658FC"/>
    <w:rsid w:val="00972355"/>
    <w:rsid w:val="009747E1"/>
    <w:rsid w:val="00974D9C"/>
    <w:rsid w:val="00974DC3"/>
    <w:rsid w:val="0097521A"/>
    <w:rsid w:val="0097529C"/>
    <w:rsid w:val="00975603"/>
    <w:rsid w:val="00975DBC"/>
    <w:rsid w:val="00977E05"/>
    <w:rsid w:val="00977EEB"/>
    <w:rsid w:val="00980D8F"/>
    <w:rsid w:val="009817A8"/>
    <w:rsid w:val="0098294F"/>
    <w:rsid w:val="00983826"/>
    <w:rsid w:val="00991856"/>
    <w:rsid w:val="00994795"/>
    <w:rsid w:val="00994DC4"/>
    <w:rsid w:val="00996483"/>
    <w:rsid w:val="00996B5C"/>
    <w:rsid w:val="009A553A"/>
    <w:rsid w:val="009A6EF3"/>
    <w:rsid w:val="009B631F"/>
    <w:rsid w:val="009B794A"/>
    <w:rsid w:val="009B7E96"/>
    <w:rsid w:val="009C10CC"/>
    <w:rsid w:val="009C4177"/>
    <w:rsid w:val="009C5FDF"/>
    <w:rsid w:val="009D2264"/>
    <w:rsid w:val="009D23B3"/>
    <w:rsid w:val="009D2B27"/>
    <w:rsid w:val="009D7719"/>
    <w:rsid w:val="009E2BAA"/>
    <w:rsid w:val="009E6540"/>
    <w:rsid w:val="009F5AE5"/>
    <w:rsid w:val="009F7EA5"/>
    <w:rsid w:val="00A01373"/>
    <w:rsid w:val="00A01B18"/>
    <w:rsid w:val="00A03316"/>
    <w:rsid w:val="00A06005"/>
    <w:rsid w:val="00A071FE"/>
    <w:rsid w:val="00A132A8"/>
    <w:rsid w:val="00A20500"/>
    <w:rsid w:val="00A248AB"/>
    <w:rsid w:val="00A255B5"/>
    <w:rsid w:val="00A258FD"/>
    <w:rsid w:val="00A27741"/>
    <w:rsid w:val="00A315E0"/>
    <w:rsid w:val="00A43562"/>
    <w:rsid w:val="00A4374F"/>
    <w:rsid w:val="00A445EC"/>
    <w:rsid w:val="00A529AF"/>
    <w:rsid w:val="00A603DE"/>
    <w:rsid w:val="00A65EA3"/>
    <w:rsid w:val="00A66793"/>
    <w:rsid w:val="00A768C4"/>
    <w:rsid w:val="00A86D51"/>
    <w:rsid w:val="00A929AE"/>
    <w:rsid w:val="00AA25F7"/>
    <w:rsid w:val="00AA2745"/>
    <w:rsid w:val="00AA3DD7"/>
    <w:rsid w:val="00AB10ED"/>
    <w:rsid w:val="00AB5E77"/>
    <w:rsid w:val="00AC0A52"/>
    <w:rsid w:val="00AC38B4"/>
    <w:rsid w:val="00AD02C9"/>
    <w:rsid w:val="00AD48D4"/>
    <w:rsid w:val="00AD6E0E"/>
    <w:rsid w:val="00AD7548"/>
    <w:rsid w:val="00AE4BAD"/>
    <w:rsid w:val="00AE75F8"/>
    <w:rsid w:val="00AE7DE4"/>
    <w:rsid w:val="00AF2D7D"/>
    <w:rsid w:val="00B0194F"/>
    <w:rsid w:val="00B14084"/>
    <w:rsid w:val="00B1424C"/>
    <w:rsid w:val="00B22787"/>
    <w:rsid w:val="00B26CC6"/>
    <w:rsid w:val="00B27199"/>
    <w:rsid w:val="00B3118D"/>
    <w:rsid w:val="00B34EAA"/>
    <w:rsid w:val="00B35F7F"/>
    <w:rsid w:val="00B362BD"/>
    <w:rsid w:val="00B428CC"/>
    <w:rsid w:val="00B4735A"/>
    <w:rsid w:val="00B47D60"/>
    <w:rsid w:val="00B509D3"/>
    <w:rsid w:val="00B5243E"/>
    <w:rsid w:val="00B56D1B"/>
    <w:rsid w:val="00B57B43"/>
    <w:rsid w:val="00B63741"/>
    <w:rsid w:val="00B65AD1"/>
    <w:rsid w:val="00B766AC"/>
    <w:rsid w:val="00B84D4B"/>
    <w:rsid w:val="00B86776"/>
    <w:rsid w:val="00B86C53"/>
    <w:rsid w:val="00B90809"/>
    <w:rsid w:val="00B91219"/>
    <w:rsid w:val="00B91B0A"/>
    <w:rsid w:val="00B96E6D"/>
    <w:rsid w:val="00BB229A"/>
    <w:rsid w:val="00BB2492"/>
    <w:rsid w:val="00BB6E8C"/>
    <w:rsid w:val="00BB704B"/>
    <w:rsid w:val="00BC25EA"/>
    <w:rsid w:val="00BC2D42"/>
    <w:rsid w:val="00BC3BA6"/>
    <w:rsid w:val="00BC59AF"/>
    <w:rsid w:val="00BC6BA6"/>
    <w:rsid w:val="00BD20AF"/>
    <w:rsid w:val="00BE68DF"/>
    <w:rsid w:val="00BE714F"/>
    <w:rsid w:val="00BF29BB"/>
    <w:rsid w:val="00BF550D"/>
    <w:rsid w:val="00BF5EDD"/>
    <w:rsid w:val="00C033C7"/>
    <w:rsid w:val="00C15565"/>
    <w:rsid w:val="00C161F5"/>
    <w:rsid w:val="00C22A8C"/>
    <w:rsid w:val="00C22D57"/>
    <w:rsid w:val="00C2378A"/>
    <w:rsid w:val="00C26A6E"/>
    <w:rsid w:val="00C30508"/>
    <w:rsid w:val="00C30ACB"/>
    <w:rsid w:val="00C30F6E"/>
    <w:rsid w:val="00C34D23"/>
    <w:rsid w:val="00C36236"/>
    <w:rsid w:val="00C406EC"/>
    <w:rsid w:val="00C4070E"/>
    <w:rsid w:val="00C469C7"/>
    <w:rsid w:val="00C476AA"/>
    <w:rsid w:val="00C47F68"/>
    <w:rsid w:val="00C50B22"/>
    <w:rsid w:val="00C633CB"/>
    <w:rsid w:val="00C66A6B"/>
    <w:rsid w:val="00C70CBF"/>
    <w:rsid w:val="00C73513"/>
    <w:rsid w:val="00C76702"/>
    <w:rsid w:val="00C82D69"/>
    <w:rsid w:val="00C82F3A"/>
    <w:rsid w:val="00C86298"/>
    <w:rsid w:val="00C9555F"/>
    <w:rsid w:val="00CA2DE0"/>
    <w:rsid w:val="00CC3710"/>
    <w:rsid w:val="00CC5397"/>
    <w:rsid w:val="00CD206F"/>
    <w:rsid w:val="00CD4550"/>
    <w:rsid w:val="00CD592C"/>
    <w:rsid w:val="00CD735F"/>
    <w:rsid w:val="00CD7625"/>
    <w:rsid w:val="00CD7CBB"/>
    <w:rsid w:val="00CE0C27"/>
    <w:rsid w:val="00CE23EA"/>
    <w:rsid w:val="00CF0F18"/>
    <w:rsid w:val="00CF3837"/>
    <w:rsid w:val="00CF5418"/>
    <w:rsid w:val="00CF69C1"/>
    <w:rsid w:val="00D0258E"/>
    <w:rsid w:val="00D059B9"/>
    <w:rsid w:val="00D10A7D"/>
    <w:rsid w:val="00D1799F"/>
    <w:rsid w:val="00D17C9D"/>
    <w:rsid w:val="00D20459"/>
    <w:rsid w:val="00D20864"/>
    <w:rsid w:val="00D23BBE"/>
    <w:rsid w:val="00D24C11"/>
    <w:rsid w:val="00D36218"/>
    <w:rsid w:val="00D36915"/>
    <w:rsid w:val="00D4320E"/>
    <w:rsid w:val="00D46106"/>
    <w:rsid w:val="00D468C6"/>
    <w:rsid w:val="00D5739B"/>
    <w:rsid w:val="00D57604"/>
    <w:rsid w:val="00D622AC"/>
    <w:rsid w:val="00D626AB"/>
    <w:rsid w:val="00D70219"/>
    <w:rsid w:val="00D74F88"/>
    <w:rsid w:val="00D77388"/>
    <w:rsid w:val="00D83333"/>
    <w:rsid w:val="00D850ED"/>
    <w:rsid w:val="00D95E5D"/>
    <w:rsid w:val="00DA1A88"/>
    <w:rsid w:val="00DB10B4"/>
    <w:rsid w:val="00DB1326"/>
    <w:rsid w:val="00DB57BA"/>
    <w:rsid w:val="00DC2BDE"/>
    <w:rsid w:val="00DC3200"/>
    <w:rsid w:val="00DD422B"/>
    <w:rsid w:val="00DD435A"/>
    <w:rsid w:val="00DD72CA"/>
    <w:rsid w:val="00DE2C3C"/>
    <w:rsid w:val="00DF7756"/>
    <w:rsid w:val="00E01AAD"/>
    <w:rsid w:val="00E0281D"/>
    <w:rsid w:val="00E0750D"/>
    <w:rsid w:val="00E17C8E"/>
    <w:rsid w:val="00E207E0"/>
    <w:rsid w:val="00E3176A"/>
    <w:rsid w:val="00E32D35"/>
    <w:rsid w:val="00E340C8"/>
    <w:rsid w:val="00E3524A"/>
    <w:rsid w:val="00E353CF"/>
    <w:rsid w:val="00E37B05"/>
    <w:rsid w:val="00E4474E"/>
    <w:rsid w:val="00E51CDB"/>
    <w:rsid w:val="00E528DE"/>
    <w:rsid w:val="00E5345E"/>
    <w:rsid w:val="00E60907"/>
    <w:rsid w:val="00E618DE"/>
    <w:rsid w:val="00E67AEF"/>
    <w:rsid w:val="00E72A7F"/>
    <w:rsid w:val="00E77CED"/>
    <w:rsid w:val="00E80830"/>
    <w:rsid w:val="00E80D3E"/>
    <w:rsid w:val="00E9283A"/>
    <w:rsid w:val="00E9305F"/>
    <w:rsid w:val="00E9402F"/>
    <w:rsid w:val="00EA123C"/>
    <w:rsid w:val="00EA4A57"/>
    <w:rsid w:val="00EA7A87"/>
    <w:rsid w:val="00EB0414"/>
    <w:rsid w:val="00EB339B"/>
    <w:rsid w:val="00EB72E7"/>
    <w:rsid w:val="00EB76B6"/>
    <w:rsid w:val="00EC0B75"/>
    <w:rsid w:val="00ED018F"/>
    <w:rsid w:val="00F2623B"/>
    <w:rsid w:val="00F36E16"/>
    <w:rsid w:val="00F3743F"/>
    <w:rsid w:val="00F407DE"/>
    <w:rsid w:val="00F40EAC"/>
    <w:rsid w:val="00F412B2"/>
    <w:rsid w:val="00F44198"/>
    <w:rsid w:val="00F46CA5"/>
    <w:rsid w:val="00F50B6A"/>
    <w:rsid w:val="00F5745C"/>
    <w:rsid w:val="00F600DA"/>
    <w:rsid w:val="00F61FC3"/>
    <w:rsid w:val="00F62BD2"/>
    <w:rsid w:val="00F63102"/>
    <w:rsid w:val="00F673A8"/>
    <w:rsid w:val="00F870D8"/>
    <w:rsid w:val="00F938CB"/>
    <w:rsid w:val="00F969F2"/>
    <w:rsid w:val="00FA3B49"/>
    <w:rsid w:val="00FA5513"/>
    <w:rsid w:val="00FD118F"/>
    <w:rsid w:val="00FD5372"/>
    <w:rsid w:val="00FE09BE"/>
    <w:rsid w:val="00FE1B78"/>
    <w:rsid w:val="00FE2477"/>
    <w:rsid w:val="00FE6D49"/>
    <w:rsid w:val="00FF0CF4"/>
    <w:rsid w:val="00FF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C47D"/>
  <w15:chartTrackingRefBased/>
  <w15:docId w15:val="{E86D4571-5B43-4316-8E0D-0ED204E2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9C7"/>
    <w:pPr>
      <w:spacing w:after="0" w:line="264" w:lineRule="auto"/>
    </w:pPr>
    <w:rPr>
      <w:rFonts w:ascii="Times New Roman" w:eastAsia="Times New Roman" w:hAnsi="Times New Roman" w:cs="Times New Roman"/>
      <w:spacing w:val="-5"/>
      <w:sz w:val="25"/>
      <w:szCs w:val="25"/>
    </w:rPr>
  </w:style>
  <w:style w:type="paragraph" w:styleId="Heading1">
    <w:name w:val="heading 1"/>
    <w:basedOn w:val="NoSpacing"/>
    <w:next w:val="NoSpacing"/>
    <w:link w:val="Heading1Char"/>
    <w:uiPriority w:val="9"/>
    <w:qFormat/>
    <w:rsid w:val="0038105A"/>
    <w:pPr>
      <w:keepNext/>
      <w:keepLines/>
      <w:spacing w:before="480"/>
      <w:outlineLvl w:val="0"/>
    </w:pPr>
    <w:rPr>
      <w:rFonts w:eastAsiaTheme="majorEastAsia" w:cstheme="majorBidi"/>
      <w:b/>
      <w:bCs/>
      <w:spacing w:val="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5FDF"/>
    <w:pPr>
      <w:spacing w:line="240" w:lineRule="auto"/>
    </w:pPr>
    <w:rPr>
      <w:sz w:val="20"/>
      <w:szCs w:val="20"/>
    </w:rPr>
  </w:style>
  <w:style w:type="character" w:customStyle="1" w:styleId="FootnoteTextChar">
    <w:name w:val="Footnote Text Char"/>
    <w:basedOn w:val="DefaultParagraphFont"/>
    <w:link w:val="FootnoteText"/>
    <w:uiPriority w:val="99"/>
    <w:rsid w:val="009C5FDF"/>
    <w:rPr>
      <w:rFonts w:ascii="Times New Roman" w:eastAsia="Times New Roman" w:hAnsi="Times New Roman" w:cs="Times New Roman"/>
      <w:noProof/>
      <w:spacing w:val="-5"/>
      <w:sz w:val="20"/>
      <w:szCs w:val="20"/>
    </w:rPr>
  </w:style>
  <w:style w:type="character" w:styleId="FootnoteReference">
    <w:name w:val="footnote reference"/>
    <w:basedOn w:val="DefaultParagraphFont"/>
    <w:uiPriority w:val="99"/>
    <w:semiHidden/>
    <w:unhideWhenUsed/>
    <w:rsid w:val="009C5FDF"/>
    <w:rPr>
      <w:vertAlign w:val="superscript"/>
    </w:rPr>
  </w:style>
  <w:style w:type="character" w:customStyle="1" w:styleId="Heading1Char">
    <w:name w:val="Heading 1 Char"/>
    <w:basedOn w:val="DefaultParagraphFont"/>
    <w:link w:val="Heading1"/>
    <w:uiPriority w:val="9"/>
    <w:rsid w:val="0038105A"/>
    <w:rPr>
      <w:rFonts w:ascii="Times New Roman" w:eastAsiaTheme="majorEastAsia" w:hAnsi="Times New Roman" w:cstheme="majorBidi"/>
      <w:b/>
      <w:bCs/>
      <w:sz w:val="24"/>
      <w:szCs w:val="28"/>
      <w:u w:val="single"/>
    </w:rPr>
  </w:style>
  <w:style w:type="paragraph" w:styleId="NoSpacing">
    <w:name w:val="No Spacing"/>
    <w:uiPriority w:val="1"/>
    <w:qFormat/>
    <w:rsid w:val="0038105A"/>
    <w:pPr>
      <w:spacing w:after="0" w:line="240" w:lineRule="auto"/>
    </w:pPr>
    <w:rPr>
      <w:rFonts w:ascii="Times New Roman" w:eastAsia="Times New Roman" w:hAnsi="Times New Roman" w:cs="Times New Roman"/>
      <w:spacing w:val="-5"/>
      <w:sz w:val="25"/>
      <w:szCs w:val="25"/>
    </w:rPr>
  </w:style>
  <w:style w:type="paragraph" w:styleId="BalloonText">
    <w:name w:val="Balloon Text"/>
    <w:basedOn w:val="Normal"/>
    <w:link w:val="BalloonTextChar"/>
    <w:uiPriority w:val="99"/>
    <w:semiHidden/>
    <w:unhideWhenUsed/>
    <w:rsid w:val="000D51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07"/>
    <w:rPr>
      <w:rFonts w:ascii="Segoe UI" w:eastAsia="Times New Roman" w:hAnsi="Segoe UI" w:cs="Segoe UI"/>
      <w:noProof/>
      <w:spacing w:val="-5"/>
      <w:sz w:val="18"/>
      <w:szCs w:val="18"/>
    </w:rPr>
  </w:style>
  <w:style w:type="character" w:styleId="CommentReference">
    <w:name w:val="annotation reference"/>
    <w:basedOn w:val="DefaultParagraphFont"/>
    <w:uiPriority w:val="99"/>
    <w:semiHidden/>
    <w:unhideWhenUsed/>
    <w:rsid w:val="00706C3D"/>
    <w:rPr>
      <w:sz w:val="16"/>
      <w:szCs w:val="16"/>
    </w:rPr>
  </w:style>
  <w:style w:type="paragraph" w:styleId="CommentText">
    <w:name w:val="annotation text"/>
    <w:basedOn w:val="Normal"/>
    <w:link w:val="CommentTextChar"/>
    <w:uiPriority w:val="99"/>
    <w:semiHidden/>
    <w:unhideWhenUsed/>
    <w:rsid w:val="00706C3D"/>
    <w:pPr>
      <w:spacing w:line="240" w:lineRule="auto"/>
    </w:pPr>
    <w:rPr>
      <w:sz w:val="20"/>
      <w:szCs w:val="20"/>
    </w:rPr>
  </w:style>
  <w:style w:type="character" w:customStyle="1" w:styleId="CommentTextChar">
    <w:name w:val="Comment Text Char"/>
    <w:basedOn w:val="DefaultParagraphFont"/>
    <w:link w:val="CommentText"/>
    <w:uiPriority w:val="99"/>
    <w:semiHidden/>
    <w:rsid w:val="00706C3D"/>
    <w:rPr>
      <w:rFonts w:ascii="Times New Roman" w:eastAsia="Times New Roman" w:hAnsi="Times New Roman" w:cs="Times New Roman"/>
      <w:noProof/>
      <w:spacing w:val="-5"/>
      <w:sz w:val="20"/>
      <w:szCs w:val="20"/>
    </w:rPr>
  </w:style>
  <w:style w:type="paragraph" w:styleId="CommentSubject">
    <w:name w:val="annotation subject"/>
    <w:basedOn w:val="CommentText"/>
    <w:next w:val="CommentText"/>
    <w:link w:val="CommentSubjectChar"/>
    <w:uiPriority w:val="99"/>
    <w:semiHidden/>
    <w:unhideWhenUsed/>
    <w:rsid w:val="00706C3D"/>
    <w:rPr>
      <w:b/>
      <w:bCs/>
    </w:rPr>
  </w:style>
  <w:style w:type="character" w:customStyle="1" w:styleId="CommentSubjectChar">
    <w:name w:val="Comment Subject Char"/>
    <w:basedOn w:val="CommentTextChar"/>
    <w:link w:val="CommentSubject"/>
    <w:uiPriority w:val="99"/>
    <w:semiHidden/>
    <w:rsid w:val="00706C3D"/>
    <w:rPr>
      <w:rFonts w:ascii="Times New Roman" w:eastAsia="Times New Roman" w:hAnsi="Times New Roman" w:cs="Times New Roman"/>
      <w:b/>
      <w:bCs/>
      <w:noProof/>
      <w:spacing w:val="-5"/>
      <w:sz w:val="20"/>
      <w:szCs w:val="20"/>
    </w:rPr>
  </w:style>
  <w:style w:type="paragraph" w:styleId="ListParagraph">
    <w:name w:val="List Paragraph"/>
    <w:basedOn w:val="Normal"/>
    <w:uiPriority w:val="34"/>
    <w:qFormat/>
    <w:rsid w:val="0038105A"/>
    <w:pPr>
      <w:ind w:left="720"/>
      <w:contextualSpacing/>
    </w:pPr>
  </w:style>
  <w:style w:type="paragraph" w:styleId="Header">
    <w:name w:val="header"/>
    <w:basedOn w:val="Normal"/>
    <w:link w:val="HeaderChar"/>
    <w:uiPriority w:val="99"/>
    <w:unhideWhenUsed/>
    <w:rsid w:val="008B48AA"/>
    <w:pPr>
      <w:tabs>
        <w:tab w:val="center" w:pos="4680"/>
        <w:tab w:val="right" w:pos="9360"/>
      </w:tabs>
      <w:spacing w:line="240" w:lineRule="auto"/>
    </w:pPr>
  </w:style>
  <w:style w:type="character" w:customStyle="1" w:styleId="HeaderChar">
    <w:name w:val="Header Char"/>
    <w:basedOn w:val="DefaultParagraphFont"/>
    <w:link w:val="Header"/>
    <w:uiPriority w:val="99"/>
    <w:rsid w:val="008B48AA"/>
    <w:rPr>
      <w:rFonts w:ascii="Times New Roman" w:eastAsia="Times New Roman" w:hAnsi="Times New Roman" w:cs="Times New Roman"/>
      <w:spacing w:val="-5"/>
      <w:sz w:val="25"/>
      <w:szCs w:val="25"/>
    </w:rPr>
  </w:style>
  <w:style w:type="paragraph" w:styleId="Footer">
    <w:name w:val="footer"/>
    <w:basedOn w:val="Normal"/>
    <w:link w:val="FooterChar"/>
    <w:uiPriority w:val="99"/>
    <w:unhideWhenUsed/>
    <w:rsid w:val="008B48AA"/>
    <w:pPr>
      <w:tabs>
        <w:tab w:val="center" w:pos="4680"/>
        <w:tab w:val="right" w:pos="9360"/>
      </w:tabs>
      <w:spacing w:line="240" w:lineRule="auto"/>
    </w:pPr>
  </w:style>
  <w:style w:type="character" w:customStyle="1" w:styleId="FooterChar">
    <w:name w:val="Footer Char"/>
    <w:basedOn w:val="DefaultParagraphFont"/>
    <w:link w:val="Footer"/>
    <w:uiPriority w:val="99"/>
    <w:rsid w:val="008B48AA"/>
    <w:rPr>
      <w:rFonts w:ascii="Times New Roman" w:eastAsia="Times New Roman" w:hAnsi="Times New Roman" w:cs="Times New Roman"/>
      <w:spacing w:val="-5"/>
      <w:sz w:val="25"/>
      <w:szCs w:val="25"/>
    </w:rPr>
  </w:style>
  <w:style w:type="character" w:styleId="Hyperlink">
    <w:name w:val="Hyperlink"/>
    <w:basedOn w:val="DefaultParagraphFont"/>
    <w:uiPriority w:val="99"/>
    <w:unhideWhenUsed/>
    <w:rsid w:val="00650B5C"/>
    <w:rPr>
      <w:color w:val="0563C1" w:themeColor="hyperlink"/>
      <w:u w:val="single"/>
    </w:rPr>
  </w:style>
  <w:style w:type="paragraph" w:styleId="Revision">
    <w:name w:val="Revision"/>
    <w:hidden/>
    <w:uiPriority w:val="99"/>
    <w:semiHidden/>
    <w:rsid w:val="00F62BD2"/>
    <w:pPr>
      <w:spacing w:after="0" w:line="240" w:lineRule="auto"/>
    </w:pPr>
    <w:rPr>
      <w:rFonts w:ascii="Times New Roman" w:eastAsia="Times New Roman" w:hAnsi="Times New Roman" w:cs="Times New Roman"/>
      <w:spacing w:val="-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99900">
      <w:bodyDiv w:val="1"/>
      <w:marLeft w:val="0"/>
      <w:marRight w:val="0"/>
      <w:marTop w:val="0"/>
      <w:marBottom w:val="0"/>
      <w:divBdr>
        <w:top w:val="none" w:sz="0" w:space="0" w:color="auto"/>
        <w:left w:val="none" w:sz="0" w:space="0" w:color="auto"/>
        <w:bottom w:val="none" w:sz="0" w:space="0" w:color="auto"/>
        <w:right w:val="none" w:sz="0" w:space="0" w:color="auto"/>
      </w:divBdr>
    </w:div>
    <w:div w:id="9792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ordancoveenergy.com/proje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9340CF18034548BCFD1F22DBE393D0" ma:contentTypeVersion="135" ma:contentTypeDescription="" ma:contentTypeScope="" ma:versionID="63f092230608ebbf49c1a095b9187c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2013-08-12T07:00:00+00:00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131473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578D5F-D821-4CEC-9146-E6E9EB1DB55E}"/>
</file>

<file path=customXml/itemProps2.xml><?xml version="1.0" encoding="utf-8"?>
<ds:datastoreItem xmlns:ds="http://schemas.openxmlformats.org/officeDocument/2006/customXml" ds:itemID="{3EEB1CF2-AA79-4F58-A02D-EFBCE1BA05DE}"/>
</file>

<file path=customXml/itemProps3.xml><?xml version="1.0" encoding="utf-8"?>
<ds:datastoreItem xmlns:ds="http://schemas.openxmlformats.org/officeDocument/2006/customXml" ds:itemID="{D55FD115-F41B-400D-B6B6-B394389058AC}"/>
</file>

<file path=customXml/itemProps4.xml><?xml version="1.0" encoding="utf-8"?>
<ds:datastoreItem xmlns:ds="http://schemas.openxmlformats.org/officeDocument/2006/customXml" ds:itemID="{C77646AE-AFAE-4884-B6CA-D0303C2A5F41}"/>
</file>

<file path=customXml/itemProps5.xml><?xml version="1.0" encoding="utf-8"?>
<ds:datastoreItem xmlns:ds="http://schemas.openxmlformats.org/officeDocument/2006/customXml" ds:itemID="{336F6305-9FA0-4B82-BD01-F4B14336353C}"/>
</file>

<file path=docProps/app.xml><?xml version="1.0" encoding="utf-8"?>
<Properties xmlns="http://schemas.openxmlformats.org/officeDocument/2006/extended-properties" xmlns:vt="http://schemas.openxmlformats.org/officeDocument/2006/docPropsVTypes">
  <Template>Normal.dotm</Template>
  <TotalTime>27</TotalTime>
  <Pages>11</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Cebulko, Bradley (UTC)</dc:creator>
  <cp:keywords/>
  <dc:description/>
  <cp:lastModifiedBy>Anderson, Linda (UTC)</cp:lastModifiedBy>
  <cp:revision>4</cp:revision>
  <cp:lastPrinted>2015-03-19T22:43:00Z</cp:lastPrinted>
  <dcterms:created xsi:type="dcterms:W3CDTF">2015-03-26T20:50:00Z</dcterms:created>
  <dcterms:modified xsi:type="dcterms:W3CDTF">2015-03-26T21:27:00Z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0x0101006E56B4D1795A2E4DB2F0B01679ED314A00719340CF18034548BCFD1F22DBE393D0</vt:lpwstr>
  </property>
  <property fmtid="{D5CDD505-2E9C-101B-9397-08002B2CF9AE}" pid="3" name="_docset_NoMedatataSyncRequired">
    <vt:lpwstr>False</vt:lpwstr>
  </property>
</Properties>
</file>