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41" w:rsidRPr="00046E39" w:rsidRDefault="007C2D41">
      <w:pPr>
        <w:pStyle w:val="SingleSpacing"/>
        <w:rPr>
          <w:b/>
        </w:rPr>
      </w:pPr>
    </w:p>
    <w:p w:rsidR="007C2D41" w:rsidRPr="00E369F1" w:rsidRDefault="007C2D41">
      <w:pPr>
        <w:pStyle w:val="SingleSpacing"/>
      </w:pPr>
    </w:p>
    <w:p w:rsidR="007C2D41" w:rsidRPr="00E369F1" w:rsidRDefault="007C2D41">
      <w:pPr>
        <w:pStyle w:val="SingleSpacing"/>
      </w:pPr>
    </w:p>
    <w:p w:rsidR="007C2D41" w:rsidRPr="00E369F1" w:rsidRDefault="007C2D41">
      <w:pPr>
        <w:pStyle w:val="SingleSpacing"/>
      </w:pPr>
    </w:p>
    <w:p w:rsidR="007C2D41" w:rsidRPr="00E369F1" w:rsidRDefault="007C2D41">
      <w:pPr>
        <w:pStyle w:val="SingleSpacing"/>
      </w:pPr>
    </w:p>
    <w:p w:rsidR="007C2D41" w:rsidRPr="00E369F1" w:rsidRDefault="007C2D41" w:rsidP="003921A9">
      <w:pPr>
        <w:pStyle w:val="center"/>
        <w:rPr>
          <w:b/>
          <w:bCs/>
        </w:rPr>
      </w:pPr>
      <w:r w:rsidRPr="00E369F1">
        <w:rPr>
          <w:b/>
          <w:bCs/>
        </w:rPr>
        <w:t xml:space="preserve">BEFORE THE </w:t>
      </w:r>
      <w:smartTag w:uri="urn:schemas-microsoft-com:office:smarttags" w:element="place">
        <w:smartTag w:uri="urn:schemas-microsoft-com:office:smarttags" w:element="State">
          <w:r w:rsidRPr="00E369F1">
            <w:rPr>
              <w:b/>
              <w:bCs/>
            </w:rPr>
            <w:t>WASHINGTON</w:t>
          </w:r>
        </w:smartTag>
      </w:smartTag>
      <w:r w:rsidRPr="00E369F1">
        <w:rPr>
          <w:b/>
          <w:bCs/>
        </w:rPr>
        <w:t xml:space="preserve"> </w:t>
      </w:r>
    </w:p>
    <w:p w:rsidR="007C2D41" w:rsidRPr="00E369F1" w:rsidRDefault="007C2D41" w:rsidP="003921A9">
      <w:pPr>
        <w:pStyle w:val="center"/>
        <w:rPr>
          <w:b/>
          <w:bCs/>
        </w:rPr>
      </w:pPr>
      <w:r w:rsidRPr="00E369F1">
        <w:rPr>
          <w:b/>
          <w:bCs/>
        </w:rPr>
        <w:t>UTILITIES AND TRANSPORTATION COMMISSION</w:t>
      </w:r>
    </w:p>
    <w:p w:rsidR="007C2D41" w:rsidRDefault="007C2D41">
      <w:pPr>
        <w:pStyle w:val="center"/>
        <w:jc w:val="left"/>
        <w:rPr>
          <w:b/>
          <w:bCs/>
        </w:rPr>
      </w:pPr>
    </w:p>
    <w:p w:rsidR="00342237" w:rsidRPr="00E369F1" w:rsidRDefault="00342237">
      <w:pPr>
        <w:pStyle w:val="center"/>
        <w:jc w:val="left"/>
        <w:rPr>
          <w:b/>
          <w:bCs/>
        </w:rPr>
      </w:pPr>
    </w:p>
    <w:p w:rsidR="007C2D41" w:rsidRPr="00E369F1" w:rsidRDefault="007C2D41">
      <w:pPr>
        <w:pStyle w:val="center"/>
        <w:jc w:val="left"/>
        <w:rPr>
          <w:b/>
          <w:bCs/>
        </w:rPr>
      </w:pPr>
    </w:p>
    <w:tbl>
      <w:tblPr>
        <w:tblW w:w="0" w:type="auto"/>
        <w:tblInd w:w="-106" w:type="dxa"/>
        <w:tblLayout w:type="fixed"/>
        <w:tblLook w:val="0000"/>
      </w:tblPr>
      <w:tblGrid>
        <w:gridCol w:w="4444"/>
        <w:gridCol w:w="4466"/>
      </w:tblGrid>
      <w:tr w:rsidR="007C2D41" w:rsidRPr="00E369F1">
        <w:tc>
          <w:tcPr>
            <w:tcW w:w="4444" w:type="dxa"/>
            <w:tcBorders>
              <w:right w:val="single" w:sz="4" w:space="0" w:color="auto"/>
            </w:tcBorders>
          </w:tcPr>
          <w:p w:rsidR="007C2D41" w:rsidRPr="00E369F1" w:rsidRDefault="007C2D41" w:rsidP="00EC575F">
            <w:pPr>
              <w:spacing w:line="240" w:lineRule="auto"/>
              <w:rPr>
                <w:b/>
                <w:bCs/>
              </w:rPr>
            </w:pPr>
          </w:p>
          <w:p w:rsidR="007C2D41" w:rsidRPr="00E369F1" w:rsidRDefault="007C2D41" w:rsidP="004D1FB4">
            <w:pPr>
              <w:tabs>
                <w:tab w:val="left" w:pos="-720"/>
              </w:tabs>
              <w:suppressAutoHyphens/>
              <w:spacing w:line="240" w:lineRule="auto"/>
            </w:pPr>
            <w:smartTag w:uri="urn:schemas-microsoft-com:office:smarttags" w:element="place">
              <w:smartTag w:uri="urn:schemas-microsoft-com:office:smarttags" w:element="State">
                <w:r w:rsidRPr="00E369F1">
                  <w:t>WASHINGTON</w:t>
                </w:r>
              </w:smartTag>
            </w:smartTag>
            <w:r w:rsidRPr="00E369F1">
              <w:t xml:space="preserve"> STATE ATTORNEY GENERAL’S OFFICE</w:t>
            </w:r>
            <w:r w:rsidR="00DD2782">
              <w:t xml:space="preserve"> AND THE INDUSTRIAL CUSTOMERS OF NORTHWEST UTILITIES</w:t>
            </w:r>
            <w:r w:rsidRPr="00E369F1">
              <w:t>,</w:t>
            </w:r>
          </w:p>
          <w:p w:rsidR="007C2D41" w:rsidRPr="00E369F1" w:rsidRDefault="007C2D41" w:rsidP="004D1FB4">
            <w:pPr>
              <w:tabs>
                <w:tab w:val="left" w:pos="-720"/>
              </w:tabs>
              <w:suppressAutoHyphens/>
              <w:spacing w:line="240" w:lineRule="auto"/>
            </w:pPr>
          </w:p>
          <w:p w:rsidR="007C2D41" w:rsidRPr="00E369F1" w:rsidRDefault="007C2D41" w:rsidP="00EA1853">
            <w:pPr>
              <w:tabs>
                <w:tab w:val="left" w:pos="-720"/>
              </w:tabs>
              <w:suppressAutoHyphens/>
              <w:spacing w:line="240" w:lineRule="auto"/>
            </w:pPr>
            <w:r w:rsidRPr="00E369F1">
              <w:tab/>
            </w:r>
            <w:r w:rsidRPr="00E369F1">
              <w:tab/>
            </w:r>
            <w:r w:rsidRPr="00E369F1">
              <w:tab/>
            </w:r>
            <w:r w:rsidR="00DD2782">
              <w:t xml:space="preserve">Joint </w:t>
            </w:r>
            <w:r w:rsidRPr="00E369F1">
              <w:t>Complainant</w:t>
            </w:r>
            <w:r w:rsidR="00DD2782">
              <w:t>s</w:t>
            </w:r>
            <w:r w:rsidRPr="00E369F1">
              <w:t>,</w:t>
            </w:r>
          </w:p>
          <w:p w:rsidR="007C2D41" w:rsidRPr="00E369F1" w:rsidRDefault="007C2D41" w:rsidP="004D1FB4">
            <w:pPr>
              <w:tabs>
                <w:tab w:val="left" w:pos="-720"/>
              </w:tabs>
              <w:suppressAutoHyphens/>
              <w:spacing w:line="240" w:lineRule="auto"/>
            </w:pPr>
          </w:p>
          <w:p w:rsidR="007C2D41" w:rsidRPr="00E369F1" w:rsidRDefault="007C2D41" w:rsidP="004D1FB4">
            <w:pPr>
              <w:tabs>
                <w:tab w:val="left" w:pos="-720"/>
              </w:tabs>
              <w:suppressAutoHyphens/>
              <w:spacing w:line="240" w:lineRule="auto"/>
            </w:pPr>
            <w:r w:rsidRPr="00E369F1">
              <w:tab/>
            </w:r>
            <w:proofErr w:type="gramStart"/>
            <w:r w:rsidRPr="00E369F1">
              <w:t>v</w:t>
            </w:r>
            <w:proofErr w:type="gramEnd"/>
            <w:r w:rsidRPr="00E369F1">
              <w:t>.</w:t>
            </w:r>
          </w:p>
          <w:p w:rsidR="007C2D41" w:rsidRPr="00E369F1" w:rsidRDefault="007C2D41" w:rsidP="004D1FB4">
            <w:pPr>
              <w:tabs>
                <w:tab w:val="left" w:pos="-720"/>
              </w:tabs>
              <w:suppressAutoHyphens/>
              <w:spacing w:line="240" w:lineRule="auto"/>
            </w:pPr>
          </w:p>
          <w:p w:rsidR="007C2D41" w:rsidRPr="00E369F1" w:rsidRDefault="007C2D41" w:rsidP="00DA3957">
            <w:pPr>
              <w:tabs>
                <w:tab w:val="left" w:pos="-720"/>
              </w:tabs>
              <w:suppressAutoHyphens/>
              <w:spacing w:line="240" w:lineRule="auto"/>
              <w:rPr>
                <w:caps/>
              </w:rPr>
            </w:pPr>
            <w:r w:rsidRPr="00E369F1">
              <w:t>PACIFICORP, d/b/a PACIFIC POWER &amp; LIGHT CORP.</w:t>
            </w:r>
          </w:p>
          <w:p w:rsidR="007C2D41" w:rsidRPr="00E369F1" w:rsidRDefault="007C2D41" w:rsidP="004D1FB4">
            <w:pPr>
              <w:tabs>
                <w:tab w:val="left" w:pos="-720"/>
              </w:tabs>
              <w:suppressAutoHyphens/>
              <w:spacing w:line="240" w:lineRule="auto"/>
            </w:pPr>
          </w:p>
          <w:p w:rsidR="007C2D41" w:rsidRPr="00E369F1" w:rsidRDefault="007C2D41" w:rsidP="00EA0A20">
            <w:pPr>
              <w:pStyle w:val="normalblock"/>
              <w:spacing w:line="240" w:lineRule="atLeast"/>
            </w:pPr>
            <w:r w:rsidRPr="00E369F1">
              <w:tab/>
            </w:r>
            <w:r w:rsidRPr="00E369F1">
              <w:tab/>
            </w:r>
            <w:r w:rsidRPr="00E369F1">
              <w:tab/>
              <w:t>Respondents.</w:t>
            </w:r>
          </w:p>
        </w:tc>
        <w:tc>
          <w:tcPr>
            <w:tcW w:w="4466" w:type="dxa"/>
            <w:tcBorders>
              <w:left w:val="nil"/>
            </w:tcBorders>
          </w:tcPr>
          <w:p w:rsidR="007C2D41" w:rsidRPr="00E369F1" w:rsidRDefault="007C2D41">
            <w:pPr>
              <w:pStyle w:val="normalblock"/>
            </w:pPr>
          </w:p>
          <w:p w:rsidR="007C2D41" w:rsidRPr="00E369F1" w:rsidRDefault="007C2D41" w:rsidP="00EA0A20">
            <w:pPr>
              <w:pStyle w:val="normalblock"/>
              <w:ind w:left="162"/>
            </w:pPr>
            <w:r w:rsidRPr="00E369F1">
              <w:t>Docket No. UE-</w:t>
            </w:r>
            <w:r w:rsidR="003C061A">
              <w:t>110070</w:t>
            </w:r>
          </w:p>
          <w:p w:rsidR="007C2D41" w:rsidRPr="00E369F1" w:rsidRDefault="007C2D41" w:rsidP="00EA0A20">
            <w:pPr>
              <w:pStyle w:val="normalblock"/>
              <w:ind w:left="162"/>
            </w:pPr>
          </w:p>
          <w:p w:rsidR="007C2D41" w:rsidRPr="00E369F1" w:rsidRDefault="007C2D41" w:rsidP="00EA0A20">
            <w:pPr>
              <w:pStyle w:val="normalblock"/>
              <w:ind w:left="162"/>
            </w:pPr>
          </w:p>
          <w:p w:rsidR="007C2D41" w:rsidRPr="00E369F1" w:rsidRDefault="007C2D41" w:rsidP="00EA0A20">
            <w:pPr>
              <w:pStyle w:val="normalblock"/>
              <w:ind w:left="162"/>
            </w:pPr>
          </w:p>
          <w:p w:rsidR="007C2D41" w:rsidRPr="00E369F1" w:rsidRDefault="007C2D41" w:rsidP="00EA0A20">
            <w:pPr>
              <w:pStyle w:val="normalblock"/>
              <w:ind w:left="162"/>
            </w:pPr>
          </w:p>
          <w:p w:rsidR="007C2D41" w:rsidRPr="00E369F1" w:rsidRDefault="00BE111F" w:rsidP="00BE111F">
            <w:pPr>
              <w:pStyle w:val="normalblock"/>
              <w:ind w:left="162"/>
            </w:pPr>
            <w:r>
              <w:t xml:space="preserve">ICNU AND PUBLIC COUNSEL’S RESPONSE </w:t>
            </w:r>
            <w:r w:rsidR="00202D3E">
              <w:t xml:space="preserve">IN OPPOSITION </w:t>
            </w:r>
            <w:r w:rsidR="002E3D7D">
              <w:t>TO PACIFICORP’S MOTION TO DISMISS</w:t>
            </w:r>
            <w:r w:rsidR="005268EA">
              <w:t xml:space="preserve"> JOINT COMPLAINT</w:t>
            </w:r>
          </w:p>
        </w:tc>
      </w:tr>
      <w:tr w:rsidR="007C2D41" w:rsidRPr="00E369F1">
        <w:tc>
          <w:tcPr>
            <w:tcW w:w="4444" w:type="dxa"/>
            <w:tcBorders>
              <w:right w:val="single" w:sz="4" w:space="0" w:color="auto"/>
            </w:tcBorders>
          </w:tcPr>
          <w:p w:rsidR="007C2D41" w:rsidRPr="00E369F1" w:rsidRDefault="007C2D41" w:rsidP="00EC575F">
            <w:pPr>
              <w:spacing w:line="240" w:lineRule="auto"/>
              <w:rPr>
                <w:b/>
                <w:bCs/>
              </w:rPr>
            </w:pPr>
          </w:p>
        </w:tc>
        <w:tc>
          <w:tcPr>
            <w:tcW w:w="4466" w:type="dxa"/>
            <w:tcBorders>
              <w:left w:val="nil"/>
            </w:tcBorders>
          </w:tcPr>
          <w:p w:rsidR="007C2D41" w:rsidRPr="00E369F1" w:rsidRDefault="007C2D41">
            <w:pPr>
              <w:pStyle w:val="normalblock"/>
            </w:pPr>
          </w:p>
        </w:tc>
      </w:tr>
      <w:tr w:rsidR="007C2D41" w:rsidRPr="00E369F1">
        <w:trPr>
          <w:trHeight w:val="80"/>
        </w:trPr>
        <w:tc>
          <w:tcPr>
            <w:tcW w:w="4444" w:type="dxa"/>
            <w:tcBorders>
              <w:bottom w:val="single" w:sz="4" w:space="0" w:color="auto"/>
              <w:right w:val="single" w:sz="4" w:space="0" w:color="auto"/>
            </w:tcBorders>
          </w:tcPr>
          <w:p w:rsidR="007C2D41" w:rsidRPr="00E369F1" w:rsidRDefault="007C2D41" w:rsidP="00EC575F">
            <w:pPr>
              <w:spacing w:line="240" w:lineRule="auto"/>
              <w:rPr>
                <w:b/>
                <w:bCs/>
              </w:rPr>
            </w:pPr>
          </w:p>
        </w:tc>
        <w:tc>
          <w:tcPr>
            <w:tcW w:w="4466" w:type="dxa"/>
            <w:tcBorders>
              <w:left w:val="nil"/>
            </w:tcBorders>
          </w:tcPr>
          <w:p w:rsidR="007C2D41" w:rsidRPr="00E369F1" w:rsidRDefault="007C2D41">
            <w:pPr>
              <w:pStyle w:val="normalblock"/>
            </w:pPr>
          </w:p>
        </w:tc>
      </w:tr>
    </w:tbl>
    <w:p w:rsidR="000B7369" w:rsidRDefault="000B7369" w:rsidP="000B7369">
      <w:pPr>
        <w:pStyle w:val="WUTCParagraph"/>
        <w:numPr>
          <w:ilvl w:val="0"/>
          <w:numId w:val="0"/>
        </w:numPr>
        <w:spacing w:line="240" w:lineRule="auto"/>
      </w:pPr>
    </w:p>
    <w:p w:rsidR="00AF7968" w:rsidRDefault="00AF7968" w:rsidP="000B7369">
      <w:pPr>
        <w:pStyle w:val="WUTCParagraph"/>
        <w:numPr>
          <w:ilvl w:val="0"/>
          <w:numId w:val="0"/>
        </w:numPr>
        <w:spacing w:line="240" w:lineRule="auto"/>
        <w:sectPr w:rsidR="00AF7968" w:rsidSect="007376D1">
          <w:headerReference w:type="default" r:id="rId8"/>
          <w:footerReference w:type="default" r:id="rId9"/>
          <w:footnotePr>
            <w:pos w:val="beneathText"/>
          </w:footnotePr>
          <w:pgSz w:w="12240" w:h="15840" w:code="1"/>
          <w:pgMar w:top="1440" w:right="1440" w:bottom="1440" w:left="1440" w:header="432" w:footer="720" w:gutter="0"/>
          <w:paperSrc w:first="15" w:other="15"/>
          <w:pgNumType w:start="0"/>
          <w:cols w:space="720"/>
          <w:titlePg/>
          <w:docGrid w:linePitch="326"/>
        </w:sectPr>
      </w:pPr>
    </w:p>
    <w:p w:rsidR="00AF7968" w:rsidRPr="00AF7968" w:rsidRDefault="00AF7968" w:rsidP="00AF7968">
      <w:pPr>
        <w:widowControl/>
        <w:spacing w:before="240" w:line="240" w:lineRule="auto"/>
        <w:jc w:val="center"/>
        <w:rPr>
          <w:b/>
          <w:bCs/>
          <w:snapToGrid w:val="0"/>
          <w:sz w:val="28"/>
          <w:szCs w:val="20"/>
        </w:rPr>
      </w:pPr>
      <w:r w:rsidRPr="00AF7968">
        <w:rPr>
          <w:b/>
          <w:bCs/>
          <w:snapToGrid w:val="0"/>
          <w:sz w:val="28"/>
          <w:szCs w:val="20"/>
        </w:rPr>
        <w:lastRenderedPageBreak/>
        <w:t>TABLE OF CONTENTS</w:t>
      </w:r>
    </w:p>
    <w:p w:rsidR="00AF7968" w:rsidRPr="00AF7968" w:rsidRDefault="00AF7968" w:rsidP="00AF7968">
      <w:pPr>
        <w:widowControl/>
        <w:tabs>
          <w:tab w:val="right" w:pos="8640"/>
        </w:tabs>
        <w:spacing w:before="240" w:line="240" w:lineRule="auto"/>
        <w:rPr>
          <w:b/>
          <w:snapToGrid w:val="0"/>
          <w:sz w:val="28"/>
          <w:szCs w:val="20"/>
          <w:u w:val="single"/>
        </w:rPr>
      </w:pPr>
      <w:r w:rsidRPr="00AF7968">
        <w:rPr>
          <w:snapToGrid w:val="0"/>
          <w:sz w:val="28"/>
          <w:szCs w:val="20"/>
        </w:rPr>
        <w:tab/>
      </w:r>
      <w:r w:rsidRPr="00AF7968">
        <w:rPr>
          <w:b/>
          <w:snapToGrid w:val="0"/>
          <w:sz w:val="28"/>
          <w:szCs w:val="20"/>
          <w:u w:val="single"/>
        </w:rPr>
        <w:t>Page</w:t>
      </w:r>
    </w:p>
    <w:p w:rsidR="00AF7968" w:rsidRPr="00AF7968" w:rsidRDefault="00AF7968" w:rsidP="00AF7968">
      <w:pPr>
        <w:widowControl/>
        <w:tabs>
          <w:tab w:val="right" w:leader="dot" w:pos="8640"/>
        </w:tabs>
        <w:spacing w:before="240" w:line="240" w:lineRule="auto"/>
        <w:rPr>
          <w:snapToGrid w:val="0"/>
          <w:sz w:val="28"/>
          <w:szCs w:val="20"/>
        </w:rPr>
      </w:pPr>
      <w:r w:rsidRPr="00AF7968">
        <w:rPr>
          <w:snapToGrid w:val="0"/>
          <w:sz w:val="28"/>
          <w:szCs w:val="20"/>
        </w:rPr>
        <w:t>TABLE OF CONTENTS</w:t>
      </w:r>
      <w:r w:rsidRPr="00AF7968">
        <w:rPr>
          <w:snapToGrid w:val="0"/>
          <w:sz w:val="28"/>
          <w:szCs w:val="20"/>
        </w:rPr>
        <w:tab/>
      </w:r>
      <w:proofErr w:type="spellStart"/>
      <w:r w:rsidRPr="00AF7968">
        <w:rPr>
          <w:snapToGrid w:val="0"/>
          <w:sz w:val="28"/>
          <w:szCs w:val="20"/>
        </w:rPr>
        <w:t>i</w:t>
      </w:r>
      <w:proofErr w:type="spellEnd"/>
    </w:p>
    <w:p w:rsidR="00AF7968" w:rsidRPr="00AF7968" w:rsidRDefault="00AF7968" w:rsidP="00AF7968">
      <w:pPr>
        <w:widowControl/>
        <w:tabs>
          <w:tab w:val="right" w:leader="dot" w:pos="8640"/>
        </w:tabs>
        <w:spacing w:before="240" w:line="240" w:lineRule="auto"/>
        <w:rPr>
          <w:snapToGrid w:val="0"/>
          <w:sz w:val="28"/>
          <w:szCs w:val="20"/>
        </w:rPr>
      </w:pPr>
      <w:r w:rsidRPr="00AF7968">
        <w:rPr>
          <w:snapToGrid w:val="0"/>
          <w:sz w:val="28"/>
          <w:szCs w:val="20"/>
        </w:rPr>
        <w:t>TABLE OF AUTHORITIES</w:t>
      </w:r>
      <w:r w:rsidRPr="00AF7968">
        <w:rPr>
          <w:snapToGrid w:val="0"/>
          <w:sz w:val="28"/>
          <w:szCs w:val="20"/>
        </w:rPr>
        <w:tab/>
      </w:r>
      <w:proofErr w:type="gramStart"/>
      <w:r w:rsidRPr="00AF7968">
        <w:rPr>
          <w:snapToGrid w:val="0"/>
          <w:sz w:val="28"/>
          <w:szCs w:val="20"/>
        </w:rPr>
        <w:t>iv</w:t>
      </w:r>
      <w:proofErr w:type="gramEnd"/>
    </w:p>
    <w:p w:rsidR="00AF7968" w:rsidRPr="00AF7968" w:rsidRDefault="00AF7968" w:rsidP="00AF7968">
      <w:pPr>
        <w:widowControl/>
        <w:tabs>
          <w:tab w:val="left" w:pos="720"/>
          <w:tab w:val="right" w:leader="dot" w:pos="8640"/>
        </w:tabs>
        <w:spacing w:before="240" w:line="240" w:lineRule="auto"/>
        <w:rPr>
          <w:snapToGrid w:val="0"/>
          <w:sz w:val="28"/>
          <w:szCs w:val="20"/>
        </w:rPr>
      </w:pPr>
      <w:r w:rsidRPr="00AF7968">
        <w:rPr>
          <w:snapToGrid w:val="0"/>
          <w:sz w:val="28"/>
          <w:szCs w:val="20"/>
        </w:rPr>
        <w:t>I.</w:t>
      </w:r>
      <w:r w:rsidRPr="00AF7968">
        <w:rPr>
          <w:snapToGrid w:val="0"/>
          <w:sz w:val="28"/>
          <w:szCs w:val="20"/>
        </w:rPr>
        <w:tab/>
        <w:t>INTRODUCTION</w:t>
      </w:r>
      <w:r w:rsidRPr="00AF7968">
        <w:rPr>
          <w:snapToGrid w:val="0"/>
          <w:sz w:val="28"/>
          <w:szCs w:val="20"/>
        </w:rPr>
        <w:tab/>
        <w:t>1</w:t>
      </w:r>
    </w:p>
    <w:p w:rsidR="00AF7968" w:rsidRPr="00AF7968" w:rsidRDefault="00AF7968" w:rsidP="00AF7968">
      <w:pPr>
        <w:widowControl/>
        <w:tabs>
          <w:tab w:val="left" w:pos="720"/>
          <w:tab w:val="right" w:leader="dot" w:pos="8640"/>
        </w:tabs>
        <w:spacing w:before="240" w:line="240" w:lineRule="auto"/>
        <w:rPr>
          <w:snapToGrid w:val="0"/>
          <w:sz w:val="28"/>
          <w:szCs w:val="20"/>
        </w:rPr>
      </w:pPr>
      <w:r w:rsidRPr="00AF7968">
        <w:rPr>
          <w:snapToGrid w:val="0"/>
          <w:sz w:val="28"/>
          <w:szCs w:val="20"/>
        </w:rPr>
        <w:t>II.</w:t>
      </w:r>
      <w:r w:rsidRPr="00AF7968">
        <w:rPr>
          <w:snapToGrid w:val="0"/>
          <w:sz w:val="28"/>
          <w:szCs w:val="20"/>
        </w:rPr>
        <w:tab/>
        <w:t>BACKGROUND</w:t>
      </w:r>
      <w:r w:rsidRPr="00AF7968">
        <w:rPr>
          <w:snapToGrid w:val="0"/>
          <w:sz w:val="28"/>
          <w:szCs w:val="20"/>
        </w:rPr>
        <w:tab/>
        <w:t>1</w:t>
      </w:r>
    </w:p>
    <w:p w:rsidR="00AF7968" w:rsidRPr="00AF7968" w:rsidRDefault="00AF7968" w:rsidP="00AF7968">
      <w:pPr>
        <w:widowControl/>
        <w:tabs>
          <w:tab w:val="left" w:pos="720"/>
          <w:tab w:val="right" w:leader="dot" w:pos="8640"/>
        </w:tabs>
        <w:spacing w:before="240" w:line="240" w:lineRule="auto"/>
        <w:rPr>
          <w:snapToGrid w:val="0"/>
          <w:sz w:val="28"/>
          <w:szCs w:val="20"/>
        </w:rPr>
      </w:pPr>
      <w:r w:rsidRPr="00AF7968">
        <w:rPr>
          <w:snapToGrid w:val="0"/>
          <w:sz w:val="28"/>
          <w:szCs w:val="20"/>
        </w:rPr>
        <w:t>III.</w:t>
      </w:r>
      <w:r w:rsidRPr="00AF7968">
        <w:rPr>
          <w:snapToGrid w:val="0"/>
          <w:sz w:val="28"/>
          <w:szCs w:val="20"/>
        </w:rPr>
        <w:tab/>
        <w:t>STANDARD OF REVIEW</w:t>
      </w:r>
      <w:r w:rsidRPr="00AF7968">
        <w:rPr>
          <w:snapToGrid w:val="0"/>
          <w:sz w:val="28"/>
          <w:szCs w:val="20"/>
        </w:rPr>
        <w:tab/>
        <w:t>3</w:t>
      </w:r>
    </w:p>
    <w:p w:rsidR="00AF7968" w:rsidRPr="00AF7968" w:rsidRDefault="00AF7968" w:rsidP="00AF7968">
      <w:pPr>
        <w:widowControl/>
        <w:tabs>
          <w:tab w:val="left" w:pos="720"/>
          <w:tab w:val="right" w:leader="dot" w:pos="8640"/>
        </w:tabs>
        <w:spacing w:before="240" w:line="240" w:lineRule="auto"/>
        <w:rPr>
          <w:snapToGrid w:val="0"/>
          <w:sz w:val="28"/>
          <w:szCs w:val="20"/>
        </w:rPr>
      </w:pPr>
      <w:r w:rsidRPr="00AF7968">
        <w:rPr>
          <w:snapToGrid w:val="0"/>
          <w:sz w:val="28"/>
          <w:szCs w:val="20"/>
        </w:rPr>
        <w:t>IV.</w:t>
      </w:r>
      <w:r w:rsidRPr="00AF7968">
        <w:rPr>
          <w:snapToGrid w:val="0"/>
          <w:sz w:val="28"/>
          <w:szCs w:val="20"/>
        </w:rPr>
        <w:tab/>
        <w:t>ARGUMENT</w:t>
      </w:r>
      <w:r w:rsidRPr="00AF7968">
        <w:rPr>
          <w:snapToGrid w:val="0"/>
          <w:sz w:val="28"/>
          <w:szCs w:val="20"/>
        </w:rPr>
        <w:tab/>
        <w:t>4</w:t>
      </w:r>
    </w:p>
    <w:p w:rsidR="00AF7968" w:rsidRPr="00AF7968" w:rsidRDefault="00AF7968" w:rsidP="00AF7968">
      <w:pPr>
        <w:keepLines/>
        <w:widowControl/>
        <w:numPr>
          <w:ilvl w:val="0"/>
          <w:numId w:val="25"/>
        </w:numPr>
        <w:tabs>
          <w:tab w:val="left" w:pos="1440"/>
          <w:tab w:val="right" w:leader="dot" w:pos="8640"/>
        </w:tabs>
        <w:spacing w:before="240" w:line="240" w:lineRule="auto"/>
        <w:ind w:right="720"/>
        <w:rPr>
          <w:bCs/>
          <w:snapToGrid w:val="0"/>
          <w:sz w:val="28"/>
          <w:szCs w:val="28"/>
        </w:rPr>
      </w:pPr>
      <w:r w:rsidRPr="00AF7968">
        <w:rPr>
          <w:bCs/>
          <w:snapToGrid w:val="0"/>
          <w:sz w:val="28"/>
          <w:szCs w:val="28"/>
        </w:rPr>
        <w:t>The Allegations Raised in the Joint Complaint Are Not Time-Barred</w:t>
      </w:r>
      <w:r w:rsidRPr="00AF7968">
        <w:rPr>
          <w:snapToGrid w:val="0"/>
          <w:sz w:val="28"/>
          <w:szCs w:val="20"/>
        </w:rPr>
        <w:tab/>
        <w:t>4</w:t>
      </w:r>
    </w:p>
    <w:p w:rsidR="00AF7968" w:rsidRPr="00AF7968" w:rsidRDefault="00AF7968" w:rsidP="00AF7968">
      <w:pPr>
        <w:widowControl/>
        <w:tabs>
          <w:tab w:val="right" w:leader="dot" w:pos="8640"/>
        </w:tabs>
        <w:spacing w:before="240" w:line="240" w:lineRule="auto"/>
        <w:ind w:left="1980" w:right="720" w:hanging="630"/>
        <w:rPr>
          <w:snapToGrid w:val="0"/>
          <w:sz w:val="28"/>
          <w:szCs w:val="20"/>
        </w:rPr>
      </w:pPr>
      <w:r w:rsidRPr="00AF7968">
        <w:rPr>
          <w:snapToGrid w:val="0"/>
          <w:sz w:val="28"/>
          <w:szCs w:val="20"/>
        </w:rPr>
        <w:t>1.</w:t>
      </w:r>
      <w:r w:rsidRPr="00AF7968">
        <w:rPr>
          <w:snapToGrid w:val="0"/>
          <w:sz w:val="28"/>
          <w:szCs w:val="20"/>
        </w:rPr>
        <w:tab/>
      </w:r>
      <w:r w:rsidRPr="00AF7968">
        <w:rPr>
          <w:snapToGrid w:val="0"/>
          <w:sz w:val="28"/>
          <w:szCs w:val="28"/>
        </w:rPr>
        <w:t>PacifiCorp Has Not Met its Burden to Prove That Any of ICNU and Public Counsel’s Claims are Time-Barred</w:t>
      </w:r>
      <w:r w:rsidRPr="00AF7968">
        <w:rPr>
          <w:snapToGrid w:val="0"/>
          <w:sz w:val="28"/>
          <w:szCs w:val="20"/>
        </w:rPr>
        <w:tab/>
        <w:t>6</w:t>
      </w:r>
    </w:p>
    <w:p w:rsidR="00AF7968" w:rsidRPr="00AF7968" w:rsidRDefault="00AF7968" w:rsidP="00AF7968">
      <w:pPr>
        <w:widowControl/>
        <w:tabs>
          <w:tab w:val="right" w:leader="dot" w:pos="8640"/>
        </w:tabs>
        <w:spacing w:before="240" w:line="240" w:lineRule="auto"/>
        <w:ind w:left="2794" w:right="720" w:hanging="634"/>
        <w:rPr>
          <w:snapToGrid w:val="0"/>
          <w:sz w:val="28"/>
          <w:szCs w:val="20"/>
        </w:rPr>
      </w:pPr>
      <w:r w:rsidRPr="00AF7968">
        <w:rPr>
          <w:snapToGrid w:val="0"/>
          <w:sz w:val="28"/>
          <w:szCs w:val="20"/>
        </w:rPr>
        <w:t>a.</w:t>
      </w:r>
      <w:r w:rsidRPr="00AF7968">
        <w:rPr>
          <w:snapToGrid w:val="0"/>
          <w:sz w:val="28"/>
          <w:szCs w:val="20"/>
        </w:rPr>
        <w:tab/>
      </w:r>
      <w:r w:rsidRPr="00AF7968">
        <w:rPr>
          <w:snapToGrid w:val="0"/>
          <w:sz w:val="28"/>
          <w:szCs w:val="28"/>
        </w:rPr>
        <w:t>Standard for Asserting a Statute of Limitations Affirmative Defense</w:t>
      </w:r>
      <w:r w:rsidRPr="00AF7968">
        <w:rPr>
          <w:snapToGrid w:val="0"/>
          <w:sz w:val="28"/>
          <w:szCs w:val="20"/>
        </w:rPr>
        <w:tab/>
        <w:t>6</w:t>
      </w:r>
    </w:p>
    <w:p w:rsidR="00AF7968" w:rsidRPr="00AF7968" w:rsidRDefault="00AF7968" w:rsidP="00AF7968">
      <w:pPr>
        <w:widowControl/>
        <w:tabs>
          <w:tab w:val="right" w:leader="dot" w:pos="8640"/>
        </w:tabs>
        <w:spacing w:before="240" w:line="240" w:lineRule="auto"/>
        <w:ind w:left="1980" w:right="720" w:hanging="630"/>
        <w:rPr>
          <w:snapToGrid w:val="0"/>
          <w:sz w:val="28"/>
          <w:szCs w:val="20"/>
        </w:rPr>
      </w:pPr>
      <w:r w:rsidRPr="00AF7968">
        <w:rPr>
          <w:snapToGrid w:val="0"/>
          <w:sz w:val="28"/>
          <w:szCs w:val="20"/>
        </w:rPr>
        <w:t>2.</w:t>
      </w:r>
      <w:r w:rsidRPr="00AF7968">
        <w:rPr>
          <w:snapToGrid w:val="0"/>
          <w:sz w:val="28"/>
          <w:szCs w:val="20"/>
        </w:rPr>
        <w:tab/>
      </w:r>
      <w:r w:rsidRPr="00AF7968">
        <w:rPr>
          <w:snapToGrid w:val="0"/>
          <w:sz w:val="28"/>
          <w:szCs w:val="28"/>
        </w:rPr>
        <w:t>PacifiCorp Inaccurately Characterizes the Essential Elements of ICNU and Public Counsel’s Claims</w:t>
      </w:r>
      <w:r w:rsidRPr="00AF7968">
        <w:rPr>
          <w:snapToGrid w:val="0"/>
          <w:sz w:val="28"/>
          <w:szCs w:val="20"/>
        </w:rPr>
        <w:tab/>
        <w:t>6</w:t>
      </w:r>
    </w:p>
    <w:p w:rsidR="00AF7968" w:rsidRPr="00AF7968" w:rsidRDefault="00AF7968" w:rsidP="00AF7968">
      <w:pPr>
        <w:widowControl/>
        <w:tabs>
          <w:tab w:val="right" w:leader="dot" w:pos="8640"/>
        </w:tabs>
        <w:spacing w:before="240" w:line="240" w:lineRule="auto"/>
        <w:ind w:left="1980" w:right="720" w:hanging="630"/>
        <w:rPr>
          <w:snapToGrid w:val="0"/>
          <w:sz w:val="28"/>
          <w:szCs w:val="20"/>
        </w:rPr>
      </w:pPr>
      <w:r w:rsidRPr="00AF7968">
        <w:rPr>
          <w:snapToGrid w:val="0"/>
          <w:sz w:val="28"/>
          <w:szCs w:val="20"/>
        </w:rPr>
        <w:t>3.</w:t>
      </w:r>
      <w:r w:rsidRPr="00AF7968">
        <w:rPr>
          <w:snapToGrid w:val="0"/>
          <w:sz w:val="28"/>
          <w:szCs w:val="20"/>
        </w:rPr>
        <w:tab/>
      </w:r>
      <w:r w:rsidRPr="00AF7968">
        <w:rPr>
          <w:snapToGrid w:val="0"/>
          <w:sz w:val="28"/>
          <w:szCs w:val="28"/>
        </w:rPr>
        <w:t>PacifiCorp has not shown that the claims could have accrued prior to July 28, 2010, for ICNU or September 9, 2010, for Public Counsel</w:t>
      </w:r>
      <w:r w:rsidRPr="00AF7968">
        <w:rPr>
          <w:snapToGrid w:val="0"/>
          <w:sz w:val="28"/>
          <w:szCs w:val="20"/>
        </w:rPr>
        <w:tab/>
        <w:t>8</w:t>
      </w:r>
    </w:p>
    <w:p w:rsidR="00AF7968" w:rsidRPr="00AF7968" w:rsidRDefault="00AF7968" w:rsidP="00AF7968">
      <w:pPr>
        <w:widowControl/>
        <w:tabs>
          <w:tab w:val="right" w:leader="dot" w:pos="8640"/>
        </w:tabs>
        <w:spacing w:before="240" w:line="240" w:lineRule="auto"/>
        <w:ind w:left="2794" w:right="720" w:hanging="634"/>
        <w:rPr>
          <w:snapToGrid w:val="0"/>
          <w:sz w:val="28"/>
          <w:szCs w:val="20"/>
        </w:rPr>
      </w:pPr>
      <w:r w:rsidRPr="00AF7968">
        <w:rPr>
          <w:snapToGrid w:val="0"/>
          <w:sz w:val="28"/>
          <w:szCs w:val="20"/>
        </w:rPr>
        <w:t>a.</w:t>
      </w:r>
      <w:r w:rsidRPr="00AF7968">
        <w:rPr>
          <w:snapToGrid w:val="0"/>
          <w:sz w:val="28"/>
          <w:szCs w:val="20"/>
        </w:rPr>
        <w:tab/>
      </w:r>
      <w:r w:rsidRPr="00AF7968">
        <w:rPr>
          <w:snapToGrid w:val="0"/>
          <w:sz w:val="28"/>
          <w:szCs w:val="28"/>
        </w:rPr>
        <w:t>The Claims Rely on Multiple Pieces of Information and Therefore Could Not Accrue at a Single Occurrence</w:t>
      </w:r>
      <w:r w:rsidRPr="00AF7968">
        <w:rPr>
          <w:snapToGrid w:val="0"/>
          <w:sz w:val="28"/>
          <w:szCs w:val="20"/>
        </w:rPr>
        <w:tab/>
        <w:t>8</w:t>
      </w:r>
    </w:p>
    <w:p w:rsidR="00AF7968" w:rsidRPr="00AF7968" w:rsidRDefault="00AF7968" w:rsidP="00AF7968">
      <w:pPr>
        <w:widowControl/>
        <w:tabs>
          <w:tab w:val="right" w:leader="dot" w:pos="8640"/>
        </w:tabs>
        <w:spacing w:before="240" w:line="240" w:lineRule="auto"/>
        <w:ind w:left="2794" w:right="720" w:hanging="634"/>
        <w:rPr>
          <w:snapToGrid w:val="0"/>
          <w:sz w:val="28"/>
          <w:szCs w:val="28"/>
        </w:rPr>
      </w:pPr>
      <w:proofErr w:type="gramStart"/>
      <w:r w:rsidRPr="00AF7968">
        <w:rPr>
          <w:snapToGrid w:val="0"/>
          <w:sz w:val="28"/>
          <w:szCs w:val="20"/>
        </w:rPr>
        <w:t>b.</w:t>
      </w:r>
      <w:r w:rsidRPr="00AF7968">
        <w:rPr>
          <w:snapToGrid w:val="0"/>
          <w:sz w:val="28"/>
          <w:szCs w:val="20"/>
        </w:rPr>
        <w:tab/>
      </w:r>
      <w:r w:rsidRPr="00AF7968">
        <w:rPr>
          <w:snapToGrid w:val="0"/>
          <w:sz w:val="28"/>
          <w:szCs w:val="28"/>
        </w:rPr>
        <w:t>PacifiCorp</w:t>
      </w:r>
      <w:proofErr w:type="gramEnd"/>
      <w:r w:rsidRPr="00AF7968">
        <w:rPr>
          <w:snapToGrid w:val="0"/>
          <w:sz w:val="28"/>
          <w:szCs w:val="28"/>
        </w:rPr>
        <w:t xml:space="preserve"> Has Not Shown that the Claims Accrued Upon the Filing of PacifiCorp’s 2009 Form 10-K, the Commission Basis </w:t>
      </w:r>
    </w:p>
    <w:p w:rsidR="00AF7968" w:rsidRPr="00AF7968" w:rsidRDefault="00AF7968" w:rsidP="00AF7968">
      <w:pPr>
        <w:widowControl/>
        <w:tabs>
          <w:tab w:val="right" w:leader="dot" w:pos="8640"/>
        </w:tabs>
        <w:spacing w:line="240" w:lineRule="auto"/>
        <w:ind w:left="2794" w:right="720"/>
        <w:rPr>
          <w:snapToGrid w:val="0"/>
          <w:sz w:val="28"/>
          <w:szCs w:val="28"/>
        </w:rPr>
      </w:pPr>
      <w:r w:rsidRPr="00AF7968">
        <w:rPr>
          <w:snapToGrid w:val="0"/>
          <w:sz w:val="28"/>
          <w:szCs w:val="28"/>
        </w:rPr>
        <w:t xml:space="preserve">Report, or the </w:t>
      </w:r>
      <w:r w:rsidRPr="00AF7968">
        <w:rPr>
          <w:i/>
          <w:snapToGrid w:val="0"/>
          <w:sz w:val="28"/>
          <w:szCs w:val="28"/>
        </w:rPr>
        <w:t>2010 GRC</w:t>
      </w:r>
      <w:r w:rsidRPr="00AF7968">
        <w:rPr>
          <w:snapToGrid w:val="0"/>
          <w:sz w:val="28"/>
          <w:szCs w:val="20"/>
        </w:rPr>
        <w:tab/>
        <w:t>9</w:t>
      </w:r>
    </w:p>
    <w:p w:rsidR="00AF7968" w:rsidRPr="00AF7968" w:rsidRDefault="00AF7968" w:rsidP="00AF7968">
      <w:pPr>
        <w:widowControl/>
        <w:tabs>
          <w:tab w:val="right" w:leader="dot" w:pos="8640"/>
        </w:tabs>
        <w:spacing w:before="240" w:line="240" w:lineRule="auto"/>
        <w:ind w:left="1980" w:right="720" w:hanging="630"/>
        <w:rPr>
          <w:snapToGrid w:val="0"/>
          <w:sz w:val="28"/>
          <w:szCs w:val="20"/>
        </w:rPr>
      </w:pPr>
      <w:r w:rsidRPr="00AF7968">
        <w:rPr>
          <w:snapToGrid w:val="0"/>
          <w:sz w:val="28"/>
          <w:szCs w:val="20"/>
        </w:rPr>
        <w:lastRenderedPageBreak/>
        <w:t>4.</w:t>
      </w:r>
      <w:r w:rsidRPr="00AF7968">
        <w:rPr>
          <w:snapToGrid w:val="0"/>
          <w:sz w:val="28"/>
          <w:szCs w:val="20"/>
        </w:rPr>
        <w:tab/>
      </w:r>
      <w:r w:rsidRPr="00AF7968">
        <w:rPr>
          <w:snapToGrid w:val="0"/>
          <w:sz w:val="28"/>
          <w:szCs w:val="28"/>
        </w:rPr>
        <w:t>Expert Witnesses’ Participation and Filings in Other States Does Not Support PacifiCorp’s Statute of Limitations Argument</w:t>
      </w:r>
      <w:r w:rsidRPr="00AF7968">
        <w:rPr>
          <w:snapToGrid w:val="0"/>
          <w:sz w:val="28"/>
          <w:szCs w:val="20"/>
        </w:rPr>
        <w:tab/>
        <w:t>10</w:t>
      </w:r>
    </w:p>
    <w:p w:rsidR="00AF7968" w:rsidRPr="00AF7968" w:rsidRDefault="00AF7968" w:rsidP="00AF7968">
      <w:pPr>
        <w:widowControl/>
        <w:tabs>
          <w:tab w:val="right" w:leader="dot" w:pos="8640"/>
        </w:tabs>
        <w:spacing w:before="240" w:line="240" w:lineRule="auto"/>
        <w:ind w:left="2794" w:right="720" w:hanging="634"/>
        <w:rPr>
          <w:snapToGrid w:val="0"/>
          <w:sz w:val="28"/>
          <w:szCs w:val="20"/>
        </w:rPr>
      </w:pPr>
      <w:r w:rsidRPr="00AF7968">
        <w:rPr>
          <w:snapToGrid w:val="0"/>
          <w:sz w:val="28"/>
          <w:szCs w:val="20"/>
        </w:rPr>
        <w:t>a.</w:t>
      </w:r>
      <w:r w:rsidRPr="00AF7968">
        <w:rPr>
          <w:snapToGrid w:val="0"/>
          <w:sz w:val="28"/>
          <w:szCs w:val="20"/>
        </w:rPr>
        <w:tab/>
      </w:r>
      <w:r w:rsidRPr="00AF7968">
        <w:rPr>
          <w:snapToGrid w:val="0"/>
          <w:sz w:val="28"/>
          <w:szCs w:val="28"/>
        </w:rPr>
        <w:t>Expert Witnesses Are Not Agents</w:t>
      </w:r>
      <w:r w:rsidRPr="00AF7968">
        <w:rPr>
          <w:snapToGrid w:val="0"/>
          <w:sz w:val="28"/>
          <w:szCs w:val="20"/>
        </w:rPr>
        <w:tab/>
        <w:t>11</w:t>
      </w:r>
    </w:p>
    <w:p w:rsidR="00AF7968" w:rsidRPr="00AF7968" w:rsidRDefault="00AF7968" w:rsidP="00AF7968">
      <w:pPr>
        <w:widowControl/>
        <w:tabs>
          <w:tab w:val="right" w:leader="dot" w:pos="8640"/>
        </w:tabs>
        <w:spacing w:before="240" w:line="240" w:lineRule="auto"/>
        <w:ind w:left="2794" w:right="720" w:hanging="634"/>
        <w:rPr>
          <w:snapToGrid w:val="0"/>
          <w:sz w:val="28"/>
          <w:szCs w:val="20"/>
        </w:rPr>
      </w:pPr>
      <w:proofErr w:type="gramStart"/>
      <w:r w:rsidRPr="00AF7968">
        <w:rPr>
          <w:snapToGrid w:val="0"/>
          <w:sz w:val="28"/>
          <w:szCs w:val="20"/>
        </w:rPr>
        <w:t>b</w:t>
      </w:r>
      <w:proofErr w:type="gramEnd"/>
      <w:r w:rsidRPr="00AF7968">
        <w:rPr>
          <w:snapToGrid w:val="0"/>
          <w:sz w:val="28"/>
          <w:szCs w:val="20"/>
        </w:rPr>
        <w:t>.</w:t>
      </w:r>
      <w:r w:rsidRPr="00AF7968">
        <w:rPr>
          <w:snapToGrid w:val="0"/>
          <w:sz w:val="28"/>
          <w:szCs w:val="20"/>
        </w:rPr>
        <w:tab/>
      </w:r>
      <w:r w:rsidRPr="00AF7968">
        <w:rPr>
          <w:snapToGrid w:val="0"/>
          <w:sz w:val="28"/>
          <w:szCs w:val="28"/>
        </w:rPr>
        <w:t xml:space="preserve">Ms. </w:t>
      </w:r>
      <w:proofErr w:type="spellStart"/>
      <w:r w:rsidRPr="00AF7968">
        <w:rPr>
          <w:snapToGrid w:val="0"/>
          <w:sz w:val="28"/>
          <w:szCs w:val="28"/>
        </w:rPr>
        <w:t>Ramas</w:t>
      </w:r>
      <w:proofErr w:type="spellEnd"/>
      <w:r w:rsidRPr="00AF7968">
        <w:rPr>
          <w:snapToGrid w:val="0"/>
          <w:sz w:val="28"/>
          <w:szCs w:val="28"/>
        </w:rPr>
        <w:t xml:space="preserve">’ and Mr. Falkenberg’s Participation in Proceedings in Utah is Outside of the Scope of their Work on Behalf of ICNU and Public Counsel </w:t>
      </w:r>
      <w:r w:rsidRPr="00AF7968">
        <w:rPr>
          <w:snapToGrid w:val="0"/>
          <w:sz w:val="28"/>
          <w:szCs w:val="20"/>
        </w:rPr>
        <w:tab/>
        <w:t>12</w:t>
      </w:r>
    </w:p>
    <w:p w:rsidR="00AF7968" w:rsidRPr="00AF7968" w:rsidRDefault="00AF7968" w:rsidP="00AF7968">
      <w:pPr>
        <w:widowControl/>
        <w:tabs>
          <w:tab w:val="right" w:leader="dot" w:pos="8640"/>
        </w:tabs>
        <w:spacing w:before="240" w:line="240" w:lineRule="auto"/>
        <w:ind w:left="2794" w:right="720" w:hanging="634"/>
        <w:rPr>
          <w:snapToGrid w:val="0"/>
          <w:sz w:val="28"/>
          <w:szCs w:val="20"/>
        </w:rPr>
      </w:pPr>
      <w:r w:rsidRPr="00AF7968">
        <w:rPr>
          <w:snapToGrid w:val="0"/>
          <w:sz w:val="28"/>
          <w:szCs w:val="20"/>
        </w:rPr>
        <w:t>c.</w:t>
      </w:r>
      <w:r w:rsidRPr="00AF7968">
        <w:rPr>
          <w:snapToGrid w:val="0"/>
          <w:sz w:val="28"/>
          <w:szCs w:val="20"/>
        </w:rPr>
        <w:tab/>
      </w:r>
      <w:r w:rsidRPr="00AF7968">
        <w:rPr>
          <w:snapToGrid w:val="0"/>
          <w:sz w:val="28"/>
          <w:szCs w:val="28"/>
        </w:rPr>
        <w:t xml:space="preserve">PacifiCorp Has Not Shown that Mr. Falkenberg Learned of the Essential Elements of the Claims </w:t>
      </w:r>
      <w:proofErr w:type="gramStart"/>
      <w:r w:rsidRPr="00AF7968">
        <w:rPr>
          <w:snapToGrid w:val="0"/>
          <w:sz w:val="28"/>
          <w:szCs w:val="28"/>
        </w:rPr>
        <w:t>Through</w:t>
      </w:r>
      <w:proofErr w:type="gramEnd"/>
      <w:r w:rsidRPr="00AF7968">
        <w:rPr>
          <w:snapToGrid w:val="0"/>
          <w:sz w:val="28"/>
          <w:szCs w:val="28"/>
        </w:rPr>
        <w:t xml:space="preserve"> Participation in Oregon Proceedings</w:t>
      </w:r>
      <w:r w:rsidRPr="00AF7968">
        <w:rPr>
          <w:snapToGrid w:val="0"/>
          <w:sz w:val="28"/>
          <w:szCs w:val="20"/>
        </w:rPr>
        <w:tab/>
        <w:t>13</w:t>
      </w:r>
    </w:p>
    <w:p w:rsidR="00AF7968" w:rsidRPr="00AF7968" w:rsidRDefault="00AF7968" w:rsidP="00AF7968">
      <w:pPr>
        <w:widowControl/>
        <w:tabs>
          <w:tab w:val="right" w:leader="dot" w:pos="8640"/>
        </w:tabs>
        <w:spacing w:before="240" w:line="240" w:lineRule="auto"/>
        <w:ind w:left="1980" w:right="720" w:hanging="630"/>
        <w:rPr>
          <w:snapToGrid w:val="0"/>
          <w:sz w:val="28"/>
          <w:szCs w:val="20"/>
        </w:rPr>
      </w:pPr>
      <w:r w:rsidRPr="00AF7968">
        <w:rPr>
          <w:snapToGrid w:val="0"/>
          <w:sz w:val="28"/>
          <w:szCs w:val="20"/>
        </w:rPr>
        <w:t>5.</w:t>
      </w:r>
      <w:r w:rsidRPr="00AF7968">
        <w:rPr>
          <w:snapToGrid w:val="0"/>
          <w:sz w:val="28"/>
          <w:szCs w:val="20"/>
        </w:rPr>
        <w:tab/>
      </w:r>
      <w:r w:rsidRPr="00AF7968">
        <w:rPr>
          <w:snapToGrid w:val="0"/>
          <w:sz w:val="28"/>
          <w:szCs w:val="28"/>
        </w:rPr>
        <w:t xml:space="preserve">The Commission Orders in </w:t>
      </w:r>
      <w:r w:rsidRPr="00AF7968">
        <w:rPr>
          <w:i/>
          <w:snapToGrid w:val="0"/>
          <w:sz w:val="28"/>
          <w:szCs w:val="28"/>
        </w:rPr>
        <w:t xml:space="preserve">AT&amp;T v. Quest </w:t>
      </w:r>
      <w:r w:rsidRPr="00AF7968">
        <w:rPr>
          <w:snapToGrid w:val="0"/>
          <w:sz w:val="28"/>
          <w:szCs w:val="28"/>
        </w:rPr>
        <w:t xml:space="preserve">Support a Finding that ICNU and Public Counsel’s Claims Are </w:t>
      </w:r>
      <w:r w:rsidRPr="00AF7968">
        <w:rPr>
          <w:i/>
          <w:snapToGrid w:val="0"/>
          <w:sz w:val="28"/>
          <w:szCs w:val="28"/>
        </w:rPr>
        <w:t xml:space="preserve">Not </w:t>
      </w:r>
      <w:r w:rsidRPr="00AF7968">
        <w:rPr>
          <w:snapToGrid w:val="0"/>
          <w:sz w:val="28"/>
          <w:szCs w:val="28"/>
        </w:rPr>
        <w:t>Time-Barred</w:t>
      </w:r>
      <w:r w:rsidRPr="00AF7968">
        <w:rPr>
          <w:snapToGrid w:val="0"/>
          <w:sz w:val="28"/>
          <w:szCs w:val="20"/>
        </w:rPr>
        <w:tab/>
        <w:t>14</w:t>
      </w:r>
    </w:p>
    <w:p w:rsidR="00AF7968" w:rsidRPr="00AF7968" w:rsidRDefault="00AF7968" w:rsidP="00AF7968">
      <w:pPr>
        <w:widowControl/>
        <w:tabs>
          <w:tab w:val="right" w:leader="dot" w:pos="8640"/>
        </w:tabs>
        <w:spacing w:before="240" w:line="240" w:lineRule="auto"/>
        <w:ind w:left="2794" w:right="720" w:hanging="634"/>
        <w:rPr>
          <w:snapToGrid w:val="0"/>
          <w:sz w:val="28"/>
          <w:szCs w:val="20"/>
        </w:rPr>
      </w:pPr>
      <w:r w:rsidRPr="00AF7968">
        <w:rPr>
          <w:snapToGrid w:val="0"/>
          <w:sz w:val="28"/>
          <w:szCs w:val="20"/>
        </w:rPr>
        <w:t>a.</w:t>
      </w:r>
      <w:r w:rsidRPr="00AF7968">
        <w:rPr>
          <w:snapToGrid w:val="0"/>
          <w:sz w:val="28"/>
          <w:szCs w:val="20"/>
        </w:rPr>
        <w:tab/>
      </w:r>
      <w:r w:rsidRPr="00AF7968">
        <w:rPr>
          <w:snapToGrid w:val="0"/>
          <w:sz w:val="28"/>
          <w:szCs w:val="28"/>
        </w:rPr>
        <w:t>The Statute of Limitations Applies Only to Requests for Refunds and therefore Does Not Apply to Requests for Any Other Remedies</w:t>
      </w:r>
      <w:r w:rsidRPr="00AF7968">
        <w:rPr>
          <w:snapToGrid w:val="0"/>
          <w:sz w:val="28"/>
          <w:szCs w:val="20"/>
        </w:rPr>
        <w:tab/>
        <w:t>17</w:t>
      </w:r>
    </w:p>
    <w:p w:rsidR="00AF7968" w:rsidRPr="00AF7968" w:rsidRDefault="00AF7968" w:rsidP="00AF7968">
      <w:pPr>
        <w:keepLines/>
        <w:widowControl/>
        <w:tabs>
          <w:tab w:val="left" w:pos="1440"/>
          <w:tab w:val="right" w:leader="dot" w:pos="8640"/>
        </w:tabs>
        <w:spacing w:before="240" w:line="240" w:lineRule="auto"/>
        <w:ind w:left="1440" w:right="720" w:hanging="720"/>
        <w:rPr>
          <w:snapToGrid w:val="0"/>
          <w:sz w:val="28"/>
          <w:szCs w:val="20"/>
        </w:rPr>
      </w:pPr>
      <w:r w:rsidRPr="00AF7968">
        <w:rPr>
          <w:snapToGrid w:val="0"/>
          <w:sz w:val="28"/>
          <w:szCs w:val="20"/>
        </w:rPr>
        <w:t>B.</w:t>
      </w:r>
      <w:r w:rsidRPr="00AF7968">
        <w:rPr>
          <w:snapToGrid w:val="0"/>
          <w:sz w:val="28"/>
          <w:szCs w:val="20"/>
        </w:rPr>
        <w:tab/>
      </w:r>
      <w:proofErr w:type="gramStart"/>
      <w:r w:rsidRPr="00AF7968">
        <w:rPr>
          <w:snapToGrid w:val="0"/>
          <w:sz w:val="28"/>
          <w:szCs w:val="28"/>
        </w:rPr>
        <w:t>The</w:t>
      </w:r>
      <w:proofErr w:type="gramEnd"/>
      <w:r w:rsidRPr="00AF7968">
        <w:rPr>
          <w:snapToGrid w:val="0"/>
          <w:sz w:val="28"/>
          <w:szCs w:val="28"/>
        </w:rPr>
        <w:t xml:space="preserve"> Alternative Requests for Amendment of the Final Order in the </w:t>
      </w:r>
      <w:r w:rsidRPr="00AF7968">
        <w:rPr>
          <w:i/>
          <w:snapToGrid w:val="0"/>
          <w:sz w:val="28"/>
          <w:szCs w:val="28"/>
        </w:rPr>
        <w:t xml:space="preserve">2009 GRC </w:t>
      </w:r>
      <w:r w:rsidRPr="00AF7968">
        <w:rPr>
          <w:snapToGrid w:val="0"/>
          <w:sz w:val="28"/>
          <w:szCs w:val="28"/>
        </w:rPr>
        <w:t>Under RCW 80.04.210 is Appropriate</w:t>
      </w:r>
      <w:r w:rsidRPr="00AF7968">
        <w:rPr>
          <w:snapToGrid w:val="0"/>
          <w:sz w:val="28"/>
          <w:szCs w:val="20"/>
        </w:rPr>
        <w:tab/>
        <w:t>18</w:t>
      </w:r>
    </w:p>
    <w:p w:rsidR="00AF7968" w:rsidRPr="00AF7968" w:rsidRDefault="00AF7968" w:rsidP="00AF7968">
      <w:pPr>
        <w:widowControl/>
        <w:tabs>
          <w:tab w:val="right" w:leader="dot" w:pos="8640"/>
        </w:tabs>
        <w:spacing w:before="240" w:after="240" w:line="240" w:lineRule="auto"/>
        <w:ind w:left="1988" w:right="720" w:hanging="634"/>
        <w:rPr>
          <w:snapToGrid w:val="0"/>
          <w:sz w:val="28"/>
          <w:szCs w:val="20"/>
        </w:rPr>
      </w:pPr>
      <w:r w:rsidRPr="00AF7968">
        <w:rPr>
          <w:snapToGrid w:val="0"/>
          <w:sz w:val="28"/>
          <w:szCs w:val="20"/>
        </w:rPr>
        <w:t>1.</w:t>
      </w:r>
      <w:r w:rsidRPr="00AF7968">
        <w:rPr>
          <w:snapToGrid w:val="0"/>
          <w:sz w:val="28"/>
          <w:szCs w:val="20"/>
        </w:rPr>
        <w:tab/>
      </w:r>
      <w:r w:rsidRPr="00AF7968">
        <w:rPr>
          <w:snapToGrid w:val="0"/>
          <w:sz w:val="28"/>
          <w:szCs w:val="28"/>
        </w:rPr>
        <w:t xml:space="preserve">The Joint Complaint is Not a Collateral Attack on the </w:t>
      </w:r>
      <w:r w:rsidRPr="00AF7968">
        <w:rPr>
          <w:i/>
          <w:snapToGrid w:val="0"/>
          <w:sz w:val="28"/>
          <w:szCs w:val="28"/>
        </w:rPr>
        <w:t xml:space="preserve">2009 GRC </w:t>
      </w:r>
      <w:r w:rsidRPr="00AF7968">
        <w:rPr>
          <w:snapToGrid w:val="0"/>
          <w:sz w:val="28"/>
          <w:szCs w:val="28"/>
        </w:rPr>
        <w:t>Final Order</w:t>
      </w:r>
      <w:r w:rsidRPr="00AF7968">
        <w:rPr>
          <w:snapToGrid w:val="0"/>
          <w:sz w:val="28"/>
          <w:szCs w:val="20"/>
        </w:rPr>
        <w:tab/>
        <w:t>18</w:t>
      </w:r>
    </w:p>
    <w:p w:rsidR="00AF7968" w:rsidRPr="00AF7968" w:rsidRDefault="00AF7968" w:rsidP="00AF7968">
      <w:pPr>
        <w:widowControl/>
        <w:tabs>
          <w:tab w:val="right" w:leader="dot" w:pos="8640"/>
        </w:tabs>
        <w:spacing w:before="240" w:after="240" w:line="240" w:lineRule="auto"/>
        <w:ind w:left="1988" w:right="720" w:hanging="634"/>
        <w:rPr>
          <w:snapToGrid w:val="0"/>
          <w:sz w:val="28"/>
          <w:szCs w:val="20"/>
        </w:rPr>
      </w:pPr>
      <w:r w:rsidRPr="00AF7968">
        <w:rPr>
          <w:snapToGrid w:val="0"/>
          <w:sz w:val="28"/>
          <w:szCs w:val="20"/>
        </w:rPr>
        <w:t>2.</w:t>
      </w:r>
      <w:r w:rsidRPr="00AF7968">
        <w:rPr>
          <w:snapToGrid w:val="0"/>
          <w:sz w:val="28"/>
          <w:szCs w:val="20"/>
        </w:rPr>
        <w:tab/>
      </w:r>
      <w:r w:rsidRPr="00AF7968">
        <w:rPr>
          <w:snapToGrid w:val="0"/>
          <w:sz w:val="28"/>
          <w:szCs w:val="28"/>
        </w:rPr>
        <w:t>The Relief Requested in the Joint Complaint Will Not Result in Retroactive Ratemaking</w:t>
      </w:r>
      <w:r w:rsidRPr="00AF7968">
        <w:rPr>
          <w:snapToGrid w:val="0"/>
          <w:sz w:val="28"/>
          <w:szCs w:val="20"/>
        </w:rPr>
        <w:tab/>
        <w:t>20</w:t>
      </w:r>
    </w:p>
    <w:p w:rsidR="00AF7968" w:rsidRPr="00AF7968" w:rsidRDefault="00AF7968" w:rsidP="00AF7968">
      <w:pPr>
        <w:widowControl/>
        <w:tabs>
          <w:tab w:val="right" w:leader="dot" w:pos="8640"/>
        </w:tabs>
        <w:spacing w:before="240" w:after="240" w:line="240" w:lineRule="auto"/>
        <w:ind w:left="1988" w:right="720" w:hanging="634"/>
        <w:rPr>
          <w:snapToGrid w:val="0"/>
          <w:sz w:val="28"/>
          <w:szCs w:val="20"/>
        </w:rPr>
      </w:pPr>
      <w:r w:rsidRPr="00AF7968">
        <w:rPr>
          <w:snapToGrid w:val="0"/>
          <w:sz w:val="28"/>
          <w:szCs w:val="20"/>
        </w:rPr>
        <w:t>3.</w:t>
      </w:r>
      <w:r w:rsidRPr="00AF7968">
        <w:rPr>
          <w:snapToGrid w:val="0"/>
          <w:sz w:val="28"/>
          <w:szCs w:val="20"/>
        </w:rPr>
        <w:tab/>
      </w:r>
      <w:r w:rsidRPr="00AF7968">
        <w:rPr>
          <w:snapToGrid w:val="0"/>
          <w:sz w:val="28"/>
          <w:szCs w:val="28"/>
        </w:rPr>
        <w:t>The Relief Requested in a Permissible Exception to the General Rule Disfavoring Single-Issue Ratemaking</w:t>
      </w:r>
      <w:r w:rsidRPr="00AF7968">
        <w:rPr>
          <w:snapToGrid w:val="0"/>
          <w:sz w:val="28"/>
          <w:szCs w:val="20"/>
        </w:rPr>
        <w:tab/>
        <w:t>24</w:t>
      </w:r>
    </w:p>
    <w:p w:rsidR="00AF7968" w:rsidRPr="00AF7968" w:rsidRDefault="00AF7968" w:rsidP="00AF7968">
      <w:pPr>
        <w:keepLines/>
        <w:widowControl/>
        <w:tabs>
          <w:tab w:val="left" w:pos="1440"/>
          <w:tab w:val="right" w:leader="dot" w:pos="8640"/>
        </w:tabs>
        <w:spacing w:line="240" w:lineRule="auto"/>
        <w:ind w:left="720" w:right="720"/>
        <w:rPr>
          <w:snapToGrid w:val="0"/>
          <w:sz w:val="28"/>
          <w:szCs w:val="28"/>
        </w:rPr>
      </w:pPr>
      <w:r w:rsidRPr="00AF7968">
        <w:rPr>
          <w:snapToGrid w:val="0"/>
          <w:sz w:val="28"/>
          <w:szCs w:val="20"/>
        </w:rPr>
        <w:t>C.</w:t>
      </w:r>
      <w:r w:rsidRPr="00AF7968">
        <w:rPr>
          <w:snapToGrid w:val="0"/>
          <w:sz w:val="28"/>
          <w:szCs w:val="20"/>
        </w:rPr>
        <w:tab/>
      </w:r>
      <w:r w:rsidRPr="00AF7968">
        <w:rPr>
          <w:snapToGrid w:val="0"/>
          <w:sz w:val="28"/>
          <w:szCs w:val="28"/>
        </w:rPr>
        <w:t xml:space="preserve">PacifiCorp Violated Commission Rules for Failure to </w:t>
      </w:r>
    </w:p>
    <w:p w:rsidR="00AF7968" w:rsidRPr="00AF7968" w:rsidRDefault="00AF7968" w:rsidP="00AF7968">
      <w:pPr>
        <w:keepLines/>
        <w:widowControl/>
        <w:tabs>
          <w:tab w:val="left" w:pos="1440"/>
          <w:tab w:val="right" w:leader="dot" w:pos="8640"/>
        </w:tabs>
        <w:spacing w:line="240" w:lineRule="auto"/>
        <w:ind w:left="720" w:right="720"/>
        <w:rPr>
          <w:snapToGrid w:val="0"/>
          <w:sz w:val="28"/>
          <w:szCs w:val="28"/>
        </w:rPr>
      </w:pPr>
      <w:r w:rsidRPr="00AF7968">
        <w:rPr>
          <w:snapToGrid w:val="0"/>
          <w:sz w:val="28"/>
          <w:szCs w:val="28"/>
        </w:rPr>
        <w:tab/>
        <w:t xml:space="preserve">Support its Pro Forma Adjustment and Failure to Correct the </w:t>
      </w:r>
    </w:p>
    <w:p w:rsidR="00AF7968" w:rsidRPr="00AF7968" w:rsidRDefault="00AF7968" w:rsidP="00AF7968">
      <w:pPr>
        <w:keepLines/>
        <w:widowControl/>
        <w:tabs>
          <w:tab w:val="left" w:pos="1440"/>
          <w:tab w:val="right" w:leader="dot" w:pos="8640"/>
        </w:tabs>
        <w:spacing w:line="240" w:lineRule="auto"/>
        <w:ind w:left="720" w:right="720"/>
        <w:rPr>
          <w:snapToGrid w:val="0"/>
          <w:sz w:val="28"/>
          <w:szCs w:val="28"/>
        </w:rPr>
      </w:pPr>
      <w:r w:rsidRPr="00AF7968">
        <w:rPr>
          <w:snapToGrid w:val="0"/>
          <w:sz w:val="28"/>
          <w:szCs w:val="28"/>
        </w:rPr>
        <w:tab/>
        <w:t>Record</w:t>
      </w:r>
      <w:r w:rsidRPr="00AF7968">
        <w:rPr>
          <w:snapToGrid w:val="0"/>
          <w:sz w:val="28"/>
          <w:szCs w:val="20"/>
        </w:rPr>
        <w:tab/>
        <w:t>26</w:t>
      </w:r>
    </w:p>
    <w:p w:rsidR="00AF7968" w:rsidRPr="00AF7968" w:rsidRDefault="00AF7968" w:rsidP="00AF7968">
      <w:pPr>
        <w:widowControl/>
        <w:tabs>
          <w:tab w:val="right" w:leader="dot" w:pos="8640"/>
        </w:tabs>
        <w:spacing w:before="240" w:after="240" w:line="240" w:lineRule="auto"/>
        <w:ind w:left="1988" w:right="720" w:hanging="634"/>
        <w:rPr>
          <w:snapToGrid w:val="0"/>
          <w:sz w:val="28"/>
          <w:szCs w:val="20"/>
        </w:rPr>
      </w:pPr>
      <w:r w:rsidRPr="00AF7968">
        <w:rPr>
          <w:snapToGrid w:val="0"/>
          <w:sz w:val="28"/>
          <w:szCs w:val="20"/>
        </w:rPr>
        <w:t>1.</w:t>
      </w:r>
      <w:r w:rsidRPr="00AF7968">
        <w:rPr>
          <w:snapToGrid w:val="0"/>
          <w:sz w:val="28"/>
          <w:szCs w:val="20"/>
        </w:rPr>
        <w:tab/>
      </w:r>
      <w:r w:rsidRPr="00AF7968">
        <w:rPr>
          <w:snapToGrid w:val="0"/>
          <w:sz w:val="28"/>
          <w:szCs w:val="28"/>
        </w:rPr>
        <w:t>PacifiCorp’s Failure to Include “Contingent” California Contracts in Pro Forma Adjustment to REC Price Was Unreasonable</w:t>
      </w:r>
      <w:r w:rsidRPr="00AF7968">
        <w:rPr>
          <w:snapToGrid w:val="0"/>
          <w:sz w:val="28"/>
          <w:szCs w:val="20"/>
        </w:rPr>
        <w:tab/>
        <w:t>26</w:t>
      </w:r>
    </w:p>
    <w:p w:rsidR="00AF7968" w:rsidRPr="00AF7968" w:rsidRDefault="00AF7968" w:rsidP="00AF7968">
      <w:pPr>
        <w:widowControl/>
        <w:tabs>
          <w:tab w:val="right" w:leader="dot" w:pos="8640"/>
        </w:tabs>
        <w:spacing w:before="240" w:after="240" w:line="240" w:lineRule="auto"/>
        <w:ind w:left="1988" w:right="720" w:hanging="634"/>
        <w:rPr>
          <w:snapToGrid w:val="0"/>
          <w:sz w:val="28"/>
          <w:szCs w:val="20"/>
        </w:rPr>
      </w:pPr>
      <w:r w:rsidRPr="00AF7968">
        <w:rPr>
          <w:snapToGrid w:val="0"/>
          <w:sz w:val="28"/>
          <w:szCs w:val="20"/>
        </w:rPr>
        <w:lastRenderedPageBreak/>
        <w:t>2.</w:t>
      </w:r>
      <w:r w:rsidRPr="00AF7968">
        <w:rPr>
          <w:snapToGrid w:val="0"/>
          <w:sz w:val="28"/>
          <w:szCs w:val="20"/>
        </w:rPr>
        <w:tab/>
      </w:r>
      <w:r w:rsidRPr="00AF7968">
        <w:rPr>
          <w:snapToGrid w:val="0"/>
          <w:sz w:val="28"/>
          <w:szCs w:val="28"/>
        </w:rPr>
        <w:t xml:space="preserve">The Reparations Claim </w:t>
      </w:r>
      <w:proofErr w:type="gramStart"/>
      <w:r w:rsidRPr="00AF7968">
        <w:rPr>
          <w:snapToGrid w:val="0"/>
          <w:sz w:val="28"/>
          <w:szCs w:val="28"/>
        </w:rPr>
        <w:t>Relating</w:t>
      </w:r>
      <w:proofErr w:type="gramEnd"/>
      <w:r w:rsidRPr="00AF7968">
        <w:rPr>
          <w:snapToGrid w:val="0"/>
          <w:sz w:val="28"/>
          <w:szCs w:val="28"/>
        </w:rPr>
        <w:t xml:space="preserve"> to the Pro Forma Adjustment is Not Time-Barred</w:t>
      </w:r>
      <w:r w:rsidRPr="00AF7968">
        <w:rPr>
          <w:snapToGrid w:val="0"/>
          <w:sz w:val="28"/>
          <w:szCs w:val="20"/>
        </w:rPr>
        <w:tab/>
        <w:t>29</w:t>
      </w:r>
    </w:p>
    <w:p w:rsidR="00AF7968" w:rsidRPr="00AF7968" w:rsidRDefault="00AF7968" w:rsidP="00AF7968">
      <w:pPr>
        <w:widowControl/>
        <w:tabs>
          <w:tab w:val="right" w:leader="dot" w:pos="8640"/>
        </w:tabs>
        <w:spacing w:before="240" w:after="240" w:line="240" w:lineRule="auto"/>
        <w:ind w:left="1988" w:right="720" w:hanging="634"/>
        <w:rPr>
          <w:snapToGrid w:val="0"/>
          <w:sz w:val="28"/>
          <w:szCs w:val="20"/>
        </w:rPr>
      </w:pPr>
      <w:r w:rsidRPr="00AF7968">
        <w:rPr>
          <w:snapToGrid w:val="0"/>
          <w:sz w:val="28"/>
          <w:szCs w:val="20"/>
        </w:rPr>
        <w:t>3.</w:t>
      </w:r>
      <w:r w:rsidRPr="00AF7968">
        <w:rPr>
          <w:snapToGrid w:val="0"/>
          <w:sz w:val="28"/>
          <w:szCs w:val="20"/>
        </w:rPr>
        <w:tab/>
      </w:r>
      <w:r w:rsidRPr="00AF7968">
        <w:rPr>
          <w:snapToGrid w:val="0"/>
          <w:sz w:val="28"/>
          <w:szCs w:val="28"/>
        </w:rPr>
        <w:t>The Failure to Disclose a Material Fact is Not a “Procedural Deficiency”</w:t>
      </w:r>
      <w:r w:rsidRPr="00AF7968">
        <w:rPr>
          <w:snapToGrid w:val="0"/>
          <w:sz w:val="28"/>
          <w:szCs w:val="20"/>
        </w:rPr>
        <w:tab/>
        <w:t>30</w:t>
      </w:r>
    </w:p>
    <w:p w:rsidR="00AF7968" w:rsidRPr="00AF7968" w:rsidRDefault="00AF7968" w:rsidP="00AF7968">
      <w:pPr>
        <w:keepLines/>
        <w:widowControl/>
        <w:tabs>
          <w:tab w:val="left" w:pos="1440"/>
          <w:tab w:val="right" w:leader="dot" w:pos="8640"/>
        </w:tabs>
        <w:spacing w:before="240" w:line="240" w:lineRule="auto"/>
        <w:ind w:left="1440" w:right="720" w:hanging="720"/>
        <w:rPr>
          <w:snapToGrid w:val="0"/>
          <w:sz w:val="28"/>
          <w:szCs w:val="20"/>
        </w:rPr>
      </w:pPr>
      <w:r w:rsidRPr="00AF7968">
        <w:rPr>
          <w:snapToGrid w:val="0"/>
          <w:sz w:val="28"/>
          <w:szCs w:val="20"/>
        </w:rPr>
        <w:t>D.</w:t>
      </w:r>
      <w:r w:rsidRPr="00AF7968">
        <w:rPr>
          <w:snapToGrid w:val="0"/>
          <w:sz w:val="28"/>
          <w:szCs w:val="20"/>
        </w:rPr>
        <w:tab/>
      </w:r>
      <w:r w:rsidRPr="00AF7968">
        <w:rPr>
          <w:snapToGrid w:val="0"/>
          <w:sz w:val="28"/>
          <w:szCs w:val="28"/>
        </w:rPr>
        <w:t xml:space="preserve">PacifiCorp’s Justifications for its Failure to Provide Complete and Accurate Responses in Discovery and its Failure to </w:t>
      </w:r>
      <w:proofErr w:type="gramStart"/>
      <w:r w:rsidRPr="00AF7968">
        <w:rPr>
          <w:snapToGrid w:val="0"/>
          <w:sz w:val="28"/>
          <w:szCs w:val="28"/>
        </w:rPr>
        <w:t>Update</w:t>
      </w:r>
      <w:proofErr w:type="gramEnd"/>
      <w:r w:rsidRPr="00AF7968">
        <w:rPr>
          <w:snapToGrid w:val="0"/>
          <w:sz w:val="28"/>
          <w:szCs w:val="28"/>
        </w:rPr>
        <w:t xml:space="preserve"> its Responses Are Based on an Unreasonable Narrow Interpretation of the Data Requests</w:t>
      </w:r>
      <w:r w:rsidRPr="00AF7968">
        <w:rPr>
          <w:snapToGrid w:val="0"/>
          <w:sz w:val="28"/>
          <w:szCs w:val="20"/>
        </w:rPr>
        <w:tab/>
        <w:t>32</w:t>
      </w:r>
    </w:p>
    <w:p w:rsidR="00AF7968" w:rsidRPr="00AF7968" w:rsidRDefault="00AF7968" w:rsidP="00AF7968">
      <w:pPr>
        <w:widowControl/>
        <w:tabs>
          <w:tab w:val="left" w:pos="720"/>
          <w:tab w:val="right" w:leader="dot" w:pos="8640"/>
        </w:tabs>
        <w:spacing w:before="240" w:line="240" w:lineRule="auto"/>
        <w:rPr>
          <w:snapToGrid w:val="0"/>
          <w:sz w:val="28"/>
          <w:szCs w:val="20"/>
        </w:rPr>
      </w:pPr>
      <w:r w:rsidRPr="00AF7968">
        <w:rPr>
          <w:snapToGrid w:val="0"/>
          <w:sz w:val="28"/>
          <w:szCs w:val="20"/>
        </w:rPr>
        <w:t>V.</w:t>
      </w:r>
      <w:r w:rsidRPr="00AF7968">
        <w:rPr>
          <w:snapToGrid w:val="0"/>
          <w:sz w:val="28"/>
          <w:szCs w:val="20"/>
        </w:rPr>
        <w:tab/>
        <w:t>CONCLUSION</w:t>
      </w:r>
      <w:r w:rsidRPr="00AF7968">
        <w:rPr>
          <w:snapToGrid w:val="0"/>
          <w:sz w:val="28"/>
          <w:szCs w:val="20"/>
        </w:rPr>
        <w:tab/>
        <w:t>34</w:t>
      </w:r>
    </w:p>
    <w:p w:rsidR="00AF7968" w:rsidRPr="00AF7968" w:rsidRDefault="00AF7968" w:rsidP="00AF7968">
      <w:pPr>
        <w:widowControl/>
        <w:tabs>
          <w:tab w:val="right" w:leader="dot" w:pos="8640"/>
        </w:tabs>
        <w:spacing w:before="240" w:after="240" w:line="240" w:lineRule="auto"/>
        <w:ind w:left="1988" w:right="720" w:hanging="634"/>
        <w:rPr>
          <w:snapToGrid w:val="0"/>
          <w:sz w:val="28"/>
          <w:szCs w:val="20"/>
        </w:rPr>
      </w:pPr>
    </w:p>
    <w:p w:rsidR="00AF7968" w:rsidRPr="00AF7968" w:rsidRDefault="00AF7968" w:rsidP="00AF7968">
      <w:pPr>
        <w:widowControl/>
        <w:tabs>
          <w:tab w:val="right" w:leader="dot" w:pos="8640"/>
        </w:tabs>
        <w:spacing w:before="240" w:after="240" w:line="240" w:lineRule="auto"/>
        <w:ind w:left="1988" w:right="720" w:hanging="634"/>
        <w:rPr>
          <w:snapToGrid w:val="0"/>
          <w:sz w:val="28"/>
          <w:szCs w:val="20"/>
        </w:rPr>
      </w:pPr>
    </w:p>
    <w:p w:rsidR="00AF7968" w:rsidRPr="00AF7968" w:rsidRDefault="00AF7968" w:rsidP="00AF7968">
      <w:pPr>
        <w:widowControl/>
        <w:tabs>
          <w:tab w:val="right" w:leader="dot" w:pos="8640"/>
        </w:tabs>
        <w:spacing w:before="240" w:after="240" w:line="240" w:lineRule="auto"/>
        <w:ind w:left="1988" w:right="720" w:hanging="634"/>
        <w:rPr>
          <w:snapToGrid w:val="0"/>
          <w:sz w:val="28"/>
          <w:szCs w:val="20"/>
        </w:rPr>
      </w:pPr>
    </w:p>
    <w:p w:rsidR="00AF7968" w:rsidRPr="00AF7968" w:rsidRDefault="00AF7968" w:rsidP="00AF7968">
      <w:pPr>
        <w:keepLines/>
        <w:widowControl/>
        <w:tabs>
          <w:tab w:val="left" w:pos="1440"/>
          <w:tab w:val="right" w:leader="dot" w:pos="8640"/>
        </w:tabs>
        <w:spacing w:before="240" w:line="240" w:lineRule="auto"/>
        <w:ind w:left="1440" w:right="720" w:hanging="720"/>
        <w:rPr>
          <w:snapToGrid w:val="0"/>
          <w:sz w:val="28"/>
          <w:szCs w:val="20"/>
        </w:rPr>
      </w:pPr>
    </w:p>
    <w:p w:rsidR="00AF7968" w:rsidRPr="00AF7968" w:rsidRDefault="00AF7968" w:rsidP="00AF7968">
      <w:pPr>
        <w:widowControl/>
        <w:tabs>
          <w:tab w:val="right" w:leader="dot" w:pos="8640"/>
        </w:tabs>
        <w:spacing w:before="240" w:after="240" w:line="240" w:lineRule="auto"/>
        <w:ind w:left="1988" w:right="720" w:hanging="634"/>
        <w:rPr>
          <w:snapToGrid w:val="0"/>
          <w:sz w:val="28"/>
          <w:szCs w:val="20"/>
        </w:rPr>
      </w:pPr>
    </w:p>
    <w:p w:rsidR="00AF7968" w:rsidRPr="00AF7968" w:rsidRDefault="00AF7968" w:rsidP="00AF7968">
      <w:pPr>
        <w:widowControl/>
        <w:tabs>
          <w:tab w:val="right" w:leader="dot" w:pos="8640"/>
        </w:tabs>
        <w:spacing w:before="240" w:after="240" w:line="240" w:lineRule="auto"/>
        <w:ind w:left="1988" w:right="720" w:hanging="634"/>
        <w:rPr>
          <w:snapToGrid w:val="0"/>
          <w:sz w:val="28"/>
          <w:szCs w:val="20"/>
        </w:rPr>
      </w:pPr>
    </w:p>
    <w:p w:rsidR="00AF7968" w:rsidRPr="00AF7968" w:rsidRDefault="00AF7968" w:rsidP="00AF7968">
      <w:pPr>
        <w:widowControl/>
        <w:tabs>
          <w:tab w:val="right" w:leader="dot" w:pos="8640"/>
        </w:tabs>
        <w:spacing w:before="240" w:line="240" w:lineRule="auto"/>
        <w:ind w:left="2794" w:right="720" w:hanging="634"/>
        <w:rPr>
          <w:snapToGrid w:val="0"/>
          <w:sz w:val="28"/>
          <w:szCs w:val="20"/>
        </w:rPr>
      </w:pPr>
    </w:p>
    <w:p w:rsidR="00AF7968" w:rsidRPr="00AF7968" w:rsidRDefault="00AF7968" w:rsidP="00AF7968">
      <w:pPr>
        <w:widowControl/>
        <w:tabs>
          <w:tab w:val="right" w:leader="dot" w:pos="8640"/>
        </w:tabs>
        <w:spacing w:before="240" w:line="240" w:lineRule="auto"/>
        <w:ind w:left="1980" w:right="720" w:hanging="630"/>
        <w:rPr>
          <w:snapToGrid w:val="0"/>
          <w:sz w:val="28"/>
          <w:szCs w:val="20"/>
        </w:rPr>
      </w:pPr>
    </w:p>
    <w:p w:rsidR="00AF7968" w:rsidRPr="00AF7968" w:rsidRDefault="00AF7968" w:rsidP="00AF7968">
      <w:pPr>
        <w:widowControl/>
        <w:tabs>
          <w:tab w:val="right" w:leader="dot" w:pos="8640"/>
        </w:tabs>
        <w:spacing w:before="240" w:line="240" w:lineRule="auto"/>
        <w:ind w:left="2794" w:right="720" w:hanging="634"/>
        <w:rPr>
          <w:snapToGrid w:val="0"/>
          <w:sz w:val="28"/>
          <w:szCs w:val="20"/>
        </w:rPr>
      </w:pPr>
    </w:p>
    <w:p w:rsidR="00AF7968" w:rsidRPr="00AF7968" w:rsidRDefault="00AF7968" w:rsidP="00AF7968">
      <w:pPr>
        <w:widowControl/>
        <w:tabs>
          <w:tab w:val="right" w:leader="dot" w:pos="8640"/>
        </w:tabs>
        <w:spacing w:before="240" w:line="240" w:lineRule="auto"/>
        <w:ind w:left="2794" w:right="720" w:hanging="634"/>
        <w:rPr>
          <w:snapToGrid w:val="0"/>
          <w:sz w:val="28"/>
          <w:szCs w:val="20"/>
        </w:rPr>
      </w:pPr>
    </w:p>
    <w:p w:rsidR="00AF7968" w:rsidRPr="00AF7968" w:rsidRDefault="00AF7968" w:rsidP="00AF7968">
      <w:pPr>
        <w:widowControl/>
        <w:tabs>
          <w:tab w:val="right" w:leader="dot" w:pos="8640"/>
        </w:tabs>
        <w:spacing w:before="240" w:line="240" w:lineRule="auto"/>
        <w:ind w:left="2794" w:right="720" w:hanging="634"/>
        <w:rPr>
          <w:snapToGrid w:val="0"/>
          <w:sz w:val="28"/>
          <w:szCs w:val="20"/>
        </w:rPr>
      </w:pPr>
    </w:p>
    <w:p w:rsidR="00AF7968" w:rsidRPr="00AF7968" w:rsidRDefault="00AF7968" w:rsidP="00AF7968">
      <w:pPr>
        <w:widowControl/>
        <w:tabs>
          <w:tab w:val="right" w:leader="dot" w:pos="8640"/>
        </w:tabs>
        <w:spacing w:before="240" w:line="240" w:lineRule="auto"/>
        <w:ind w:left="2794" w:right="720" w:hanging="634"/>
        <w:rPr>
          <w:snapToGrid w:val="0"/>
          <w:sz w:val="28"/>
          <w:szCs w:val="20"/>
        </w:rPr>
      </w:pPr>
    </w:p>
    <w:p w:rsidR="00AF7968" w:rsidRPr="00AF7968" w:rsidRDefault="00AF7968" w:rsidP="00AF7968">
      <w:pPr>
        <w:widowControl/>
        <w:tabs>
          <w:tab w:val="right" w:leader="dot" w:pos="8640"/>
        </w:tabs>
        <w:spacing w:before="240" w:line="240" w:lineRule="auto"/>
        <w:ind w:left="2794" w:right="720" w:hanging="634"/>
        <w:rPr>
          <w:snapToGrid w:val="0"/>
          <w:sz w:val="28"/>
          <w:szCs w:val="20"/>
        </w:rPr>
      </w:pPr>
    </w:p>
    <w:p w:rsidR="00AF7968" w:rsidRPr="00AF7968" w:rsidRDefault="00AF7968" w:rsidP="00AF7968">
      <w:pPr>
        <w:widowControl/>
        <w:tabs>
          <w:tab w:val="right" w:leader="dot" w:pos="8640"/>
        </w:tabs>
        <w:spacing w:before="240" w:line="240" w:lineRule="auto"/>
        <w:ind w:left="2794" w:right="720" w:hanging="634"/>
        <w:rPr>
          <w:snapToGrid w:val="0"/>
          <w:sz w:val="28"/>
          <w:szCs w:val="20"/>
        </w:rPr>
      </w:pPr>
    </w:p>
    <w:p w:rsidR="00AF7968" w:rsidRPr="00AF7968" w:rsidRDefault="00AF7968" w:rsidP="00AF7968">
      <w:pPr>
        <w:widowControl/>
        <w:tabs>
          <w:tab w:val="right" w:leader="dot" w:pos="8640"/>
        </w:tabs>
        <w:spacing w:before="240" w:line="240" w:lineRule="auto"/>
        <w:ind w:left="2794" w:right="720" w:hanging="634"/>
        <w:rPr>
          <w:snapToGrid w:val="0"/>
          <w:sz w:val="28"/>
          <w:szCs w:val="20"/>
        </w:rPr>
      </w:pPr>
    </w:p>
    <w:p w:rsidR="00AF7968" w:rsidRPr="00AF7968" w:rsidRDefault="00AF7968" w:rsidP="00AF7968">
      <w:pPr>
        <w:widowControl/>
        <w:tabs>
          <w:tab w:val="right" w:leader="dot" w:pos="8640"/>
        </w:tabs>
        <w:spacing w:before="240" w:line="240" w:lineRule="auto"/>
        <w:ind w:left="2794" w:right="720" w:hanging="634"/>
        <w:rPr>
          <w:snapToGrid w:val="0"/>
          <w:sz w:val="28"/>
          <w:szCs w:val="20"/>
        </w:rPr>
      </w:pPr>
    </w:p>
    <w:p w:rsidR="00AF7968" w:rsidRPr="00AF7968" w:rsidRDefault="00AF7968" w:rsidP="00AF7968">
      <w:pPr>
        <w:widowControl/>
        <w:spacing w:after="200" w:line="240" w:lineRule="auto"/>
        <w:jc w:val="center"/>
        <w:rPr>
          <w:snapToGrid w:val="0"/>
          <w:sz w:val="28"/>
          <w:szCs w:val="20"/>
        </w:rPr>
      </w:pPr>
    </w:p>
    <w:p w:rsidR="00AF7968" w:rsidRPr="00AF7968" w:rsidRDefault="00AF7968" w:rsidP="00AF7968">
      <w:pPr>
        <w:widowControl/>
        <w:spacing w:after="200" w:line="240" w:lineRule="auto"/>
        <w:jc w:val="center"/>
        <w:rPr>
          <w:b/>
          <w:bCs/>
          <w:color w:val="000000"/>
          <w:sz w:val="28"/>
          <w:szCs w:val="20"/>
        </w:rPr>
      </w:pPr>
      <w:r w:rsidRPr="00AF7968">
        <w:rPr>
          <w:b/>
          <w:bCs/>
          <w:color w:val="000000"/>
          <w:sz w:val="28"/>
          <w:szCs w:val="20"/>
        </w:rPr>
        <w:lastRenderedPageBreak/>
        <w:t>TABLE OF AUTHORITIES</w:t>
      </w:r>
    </w:p>
    <w:p w:rsidR="00AF7968" w:rsidRPr="00AF7968" w:rsidRDefault="00AF7968" w:rsidP="00AF7968">
      <w:pPr>
        <w:widowControl/>
        <w:tabs>
          <w:tab w:val="center" w:pos="4320"/>
          <w:tab w:val="right" w:pos="8640"/>
        </w:tabs>
        <w:spacing w:before="240" w:line="240" w:lineRule="auto"/>
        <w:jc w:val="center"/>
        <w:rPr>
          <w:snapToGrid w:val="0"/>
          <w:sz w:val="28"/>
          <w:szCs w:val="20"/>
          <w:u w:val="single"/>
        </w:rPr>
      </w:pPr>
      <w:r w:rsidRPr="00AF7968">
        <w:rPr>
          <w:snapToGrid w:val="0"/>
          <w:sz w:val="28"/>
          <w:szCs w:val="20"/>
        </w:rPr>
        <w:tab/>
      </w:r>
      <w:r w:rsidRPr="00AF7968">
        <w:rPr>
          <w:b/>
          <w:snapToGrid w:val="0"/>
          <w:sz w:val="28"/>
          <w:szCs w:val="20"/>
          <w:u w:val="single"/>
        </w:rPr>
        <w:t>Cases</w:t>
      </w:r>
      <w:r w:rsidRPr="00AF7968">
        <w:rPr>
          <w:snapToGrid w:val="0"/>
          <w:sz w:val="28"/>
          <w:szCs w:val="20"/>
        </w:rPr>
        <w:tab/>
      </w:r>
      <w:r w:rsidRPr="00AF7968">
        <w:rPr>
          <w:b/>
          <w:snapToGrid w:val="0"/>
          <w:sz w:val="28"/>
          <w:szCs w:val="20"/>
          <w:u w:val="single"/>
        </w:rPr>
        <w:t>Page</w:t>
      </w:r>
    </w:p>
    <w:p w:rsidR="00AF7968" w:rsidRPr="00AF7968" w:rsidRDefault="00AF7968" w:rsidP="00AF7968">
      <w:pPr>
        <w:widowControl/>
        <w:spacing w:line="240" w:lineRule="auto"/>
        <w:ind w:left="240" w:hanging="240"/>
        <w:rPr>
          <w:sz w:val="28"/>
          <w:szCs w:val="28"/>
          <w:u w:val="single"/>
        </w:rPr>
      </w:pPr>
    </w:p>
    <w:p w:rsidR="00AF7968" w:rsidRPr="00AF7968" w:rsidRDefault="00AF7968" w:rsidP="00AF7968">
      <w:pPr>
        <w:widowControl/>
        <w:tabs>
          <w:tab w:val="left" w:pos="720"/>
          <w:tab w:val="right" w:leader="dot" w:pos="8640"/>
        </w:tabs>
        <w:spacing w:line="240" w:lineRule="auto"/>
        <w:rPr>
          <w:snapToGrid w:val="0"/>
          <w:sz w:val="28"/>
          <w:szCs w:val="20"/>
        </w:rPr>
      </w:pPr>
      <w:r w:rsidRPr="00AF7968">
        <w:rPr>
          <w:iCs/>
          <w:sz w:val="28"/>
          <w:szCs w:val="28"/>
          <w:u w:val="single"/>
        </w:rPr>
        <w:t>Activate, Inc., v. State, Dept. of Revenue</w:t>
      </w:r>
      <w:r w:rsidRPr="00AF7968">
        <w:rPr>
          <w:sz w:val="28"/>
          <w:szCs w:val="28"/>
        </w:rPr>
        <w:t xml:space="preserve">, </w:t>
      </w:r>
      <w:proofErr w:type="gramStart"/>
      <w:r w:rsidRPr="00AF7968">
        <w:rPr>
          <w:sz w:val="28"/>
          <w:szCs w:val="28"/>
        </w:rPr>
        <w:t>150</w:t>
      </w:r>
      <w:proofErr w:type="gramEnd"/>
      <w:r w:rsidRPr="00AF7968">
        <w:rPr>
          <w:sz w:val="28"/>
          <w:szCs w:val="28"/>
        </w:rPr>
        <w:t xml:space="preserve"> </w:t>
      </w:r>
      <w:proofErr w:type="spellStart"/>
      <w:r w:rsidRPr="00AF7968">
        <w:rPr>
          <w:sz w:val="28"/>
          <w:szCs w:val="28"/>
        </w:rPr>
        <w:t>Wash.App</w:t>
      </w:r>
      <w:proofErr w:type="spellEnd"/>
      <w:r w:rsidRPr="00AF7968">
        <w:rPr>
          <w:sz w:val="28"/>
          <w:szCs w:val="28"/>
        </w:rPr>
        <w:t xml:space="preserve">. 807, 812, </w:t>
      </w:r>
      <w:proofErr w:type="gramStart"/>
      <w:r w:rsidRPr="00AF7968">
        <w:rPr>
          <w:sz w:val="28"/>
          <w:szCs w:val="28"/>
        </w:rPr>
        <w:t>209</w:t>
      </w:r>
      <w:proofErr w:type="gramEnd"/>
      <w:r w:rsidRPr="00AF7968">
        <w:rPr>
          <w:sz w:val="28"/>
          <w:szCs w:val="28"/>
        </w:rPr>
        <w:t xml:space="preserve"> (2009)</w:t>
      </w:r>
      <w:r w:rsidRPr="00AF7968">
        <w:rPr>
          <w:snapToGrid w:val="0"/>
          <w:sz w:val="28"/>
          <w:szCs w:val="20"/>
        </w:rPr>
        <w:t>………..</w:t>
      </w:r>
      <w:r w:rsidRPr="00AF7968">
        <w:rPr>
          <w:snapToGrid w:val="0"/>
          <w:sz w:val="28"/>
          <w:szCs w:val="20"/>
        </w:rPr>
        <w:tab/>
        <w:t>3</w:t>
      </w:r>
    </w:p>
    <w:p w:rsidR="00AF7968" w:rsidRPr="00AF7968" w:rsidRDefault="00AF7968" w:rsidP="00AF7968">
      <w:pPr>
        <w:widowControl/>
        <w:tabs>
          <w:tab w:val="left" w:pos="720"/>
          <w:tab w:val="right" w:leader="dot" w:pos="8640"/>
        </w:tabs>
        <w:spacing w:line="240" w:lineRule="auto"/>
        <w:rPr>
          <w:snapToGrid w:val="0"/>
          <w:sz w:val="28"/>
          <w:szCs w:val="20"/>
        </w:rPr>
      </w:pPr>
    </w:p>
    <w:p w:rsidR="00AF7968" w:rsidRPr="00AF7968" w:rsidRDefault="00AF7968" w:rsidP="00AF7968">
      <w:pPr>
        <w:widowControl/>
        <w:tabs>
          <w:tab w:val="left" w:pos="720"/>
          <w:tab w:val="right" w:leader="dot" w:pos="8640"/>
        </w:tabs>
        <w:spacing w:line="240" w:lineRule="auto"/>
        <w:rPr>
          <w:iCs/>
          <w:sz w:val="28"/>
          <w:szCs w:val="28"/>
          <w:u w:val="single"/>
        </w:rPr>
      </w:pPr>
      <w:proofErr w:type="gramStart"/>
      <w:r w:rsidRPr="00AF7968">
        <w:rPr>
          <w:iCs/>
          <w:sz w:val="28"/>
          <w:szCs w:val="28"/>
          <w:u w:val="single"/>
        </w:rPr>
        <w:t>Amended Petition of Puget Sound Energy, Inc.</w:t>
      </w:r>
      <w:proofErr w:type="gramEnd"/>
      <w:r w:rsidRPr="00AF7968">
        <w:rPr>
          <w:iCs/>
          <w:sz w:val="28"/>
          <w:szCs w:val="28"/>
          <w:u w:val="single"/>
        </w:rPr>
        <w:t xml:space="preserve"> For an Order </w:t>
      </w:r>
    </w:p>
    <w:p w:rsidR="00AF7968" w:rsidRPr="00AF7968" w:rsidRDefault="00AF7968" w:rsidP="00AF7968">
      <w:pPr>
        <w:widowControl/>
        <w:tabs>
          <w:tab w:val="left" w:pos="720"/>
          <w:tab w:val="right" w:leader="dot" w:pos="8640"/>
        </w:tabs>
        <w:spacing w:line="240" w:lineRule="auto"/>
        <w:rPr>
          <w:iCs/>
          <w:sz w:val="28"/>
          <w:szCs w:val="28"/>
          <w:u w:val="single"/>
        </w:rPr>
      </w:pPr>
      <w:r w:rsidRPr="00AF7968">
        <w:rPr>
          <w:iCs/>
          <w:sz w:val="28"/>
          <w:szCs w:val="28"/>
          <w:u w:val="single"/>
        </w:rPr>
        <w:t xml:space="preserve">Authorizing the Use of the Proceeds from the Sale of Renewable </w:t>
      </w:r>
    </w:p>
    <w:p w:rsidR="00AF7968" w:rsidRPr="00AF7968" w:rsidRDefault="00AF7968" w:rsidP="00AF7968">
      <w:pPr>
        <w:widowControl/>
        <w:tabs>
          <w:tab w:val="left" w:pos="720"/>
          <w:tab w:val="right" w:leader="dot" w:pos="8640"/>
        </w:tabs>
        <w:spacing w:line="240" w:lineRule="auto"/>
        <w:rPr>
          <w:iCs/>
          <w:sz w:val="28"/>
          <w:szCs w:val="28"/>
        </w:rPr>
      </w:pPr>
      <w:r w:rsidRPr="00AF7968">
        <w:rPr>
          <w:iCs/>
          <w:sz w:val="28"/>
          <w:szCs w:val="28"/>
          <w:u w:val="single"/>
        </w:rPr>
        <w:t>Energy Credits and Carbon Financial Instruments</w:t>
      </w:r>
      <w:r w:rsidRPr="00AF7968">
        <w:rPr>
          <w:iCs/>
          <w:sz w:val="28"/>
          <w:szCs w:val="28"/>
        </w:rPr>
        <w:t xml:space="preserve">, Docket. No. </w:t>
      </w:r>
    </w:p>
    <w:p w:rsidR="00AF7968" w:rsidRPr="00AF7968" w:rsidRDefault="00AF7968" w:rsidP="00AF7968">
      <w:pPr>
        <w:widowControl/>
        <w:tabs>
          <w:tab w:val="left" w:pos="720"/>
          <w:tab w:val="right" w:leader="dot" w:pos="8640"/>
        </w:tabs>
        <w:spacing w:line="240" w:lineRule="auto"/>
        <w:rPr>
          <w:iCs/>
          <w:sz w:val="28"/>
          <w:szCs w:val="28"/>
        </w:rPr>
      </w:pPr>
      <w:r w:rsidRPr="00AF7968">
        <w:rPr>
          <w:iCs/>
          <w:sz w:val="28"/>
          <w:szCs w:val="28"/>
        </w:rPr>
        <w:t xml:space="preserve">UE-070725, Final </w:t>
      </w:r>
      <w:proofErr w:type="gramStart"/>
      <w:r w:rsidRPr="00AF7968">
        <w:rPr>
          <w:iCs/>
          <w:sz w:val="28"/>
          <w:szCs w:val="28"/>
        </w:rPr>
        <w:t>Order(</w:t>
      </w:r>
      <w:proofErr w:type="gramEnd"/>
      <w:r w:rsidRPr="00AF7968">
        <w:rPr>
          <w:iCs/>
          <w:sz w:val="28"/>
          <w:szCs w:val="28"/>
        </w:rPr>
        <w:t>2010)</w:t>
      </w:r>
      <w:r w:rsidRPr="00AF7968">
        <w:rPr>
          <w:snapToGrid w:val="0"/>
          <w:sz w:val="28"/>
          <w:szCs w:val="20"/>
        </w:rPr>
        <w:t xml:space="preserve"> ………..</w:t>
      </w:r>
      <w:r w:rsidRPr="00AF7968">
        <w:rPr>
          <w:snapToGrid w:val="0"/>
          <w:sz w:val="28"/>
          <w:szCs w:val="20"/>
        </w:rPr>
        <w:tab/>
        <w:t>5</w:t>
      </w:r>
    </w:p>
    <w:p w:rsidR="00AF7968" w:rsidRPr="00AF7968" w:rsidRDefault="00AF7968" w:rsidP="00AF7968">
      <w:pPr>
        <w:widowControl/>
        <w:tabs>
          <w:tab w:val="left" w:pos="720"/>
          <w:tab w:val="right" w:leader="dot" w:pos="8640"/>
        </w:tabs>
        <w:spacing w:line="240" w:lineRule="auto"/>
        <w:rPr>
          <w:iCs/>
          <w:sz w:val="28"/>
          <w:szCs w:val="28"/>
          <w:u w:val="single"/>
        </w:rPr>
      </w:pPr>
    </w:p>
    <w:p w:rsidR="00AF7968" w:rsidRPr="00AF7968" w:rsidRDefault="00AF7968" w:rsidP="00AF7968">
      <w:pPr>
        <w:widowControl/>
        <w:tabs>
          <w:tab w:val="left" w:pos="720"/>
          <w:tab w:val="right" w:leader="dot" w:pos="8640"/>
        </w:tabs>
        <w:spacing w:line="240" w:lineRule="auto"/>
        <w:rPr>
          <w:iCs/>
          <w:sz w:val="28"/>
          <w:szCs w:val="28"/>
        </w:rPr>
      </w:pPr>
      <w:r w:rsidRPr="00AF7968">
        <w:rPr>
          <w:iCs/>
          <w:sz w:val="28"/>
          <w:szCs w:val="28"/>
          <w:u w:val="single"/>
        </w:rPr>
        <w:t xml:space="preserve">AT&amp;T </w:t>
      </w:r>
      <w:proofErr w:type="spellStart"/>
      <w:r w:rsidRPr="00AF7968">
        <w:rPr>
          <w:iCs/>
          <w:sz w:val="28"/>
          <w:szCs w:val="28"/>
          <w:u w:val="single"/>
        </w:rPr>
        <w:t>Commun</w:t>
      </w:r>
      <w:proofErr w:type="spellEnd"/>
      <w:r w:rsidRPr="00AF7968">
        <w:rPr>
          <w:iCs/>
          <w:sz w:val="28"/>
          <w:szCs w:val="28"/>
          <w:u w:val="single"/>
        </w:rPr>
        <w:t xml:space="preserve">. </w:t>
      </w:r>
      <w:proofErr w:type="gramStart"/>
      <w:r w:rsidRPr="00AF7968">
        <w:rPr>
          <w:iCs/>
          <w:sz w:val="28"/>
          <w:szCs w:val="28"/>
          <w:u w:val="single"/>
        </w:rPr>
        <w:t>et</w:t>
      </w:r>
      <w:proofErr w:type="gramEnd"/>
      <w:r w:rsidRPr="00AF7968">
        <w:rPr>
          <w:iCs/>
          <w:sz w:val="28"/>
          <w:szCs w:val="28"/>
          <w:u w:val="single"/>
        </w:rPr>
        <w:t xml:space="preserve"> al. v. Qwest Corp.</w:t>
      </w:r>
      <w:r w:rsidRPr="00AF7968">
        <w:rPr>
          <w:iCs/>
          <w:sz w:val="28"/>
          <w:szCs w:val="28"/>
        </w:rPr>
        <w:t xml:space="preserve">, Docket No. UT-051682, </w:t>
      </w:r>
    </w:p>
    <w:p w:rsidR="00AF7968" w:rsidRPr="00AF7968" w:rsidRDefault="00AF7968" w:rsidP="00AF7968">
      <w:pPr>
        <w:widowControl/>
        <w:tabs>
          <w:tab w:val="left" w:pos="720"/>
          <w:tab w:val="right" w:leader="dot" w:pos="8640"/>
        </w:tabs>
        <w:spacing w:line="240" w:lineRule="auto"/>
        <w:rPr>
          <w:iCs/>
          <w:sz w:val="28"/>
          <w:szCs w:val="28"/>
          <w:u w:val="single"/>
        </w:rPr>
      </w:pPr>
      <w:r w:rsidRPr="00AF7968">
        <w:rPr>
          <w:iCs/>
          <w:sz w:val="28"/>
          <w:szCs w:val="28"/>
        </w:rPr>
        <w:t>Initial Order (Order 03) (2005)</w:t>
      </w:r>
      <w:r w:rsidRPr="00AF7968">
        <w:rPr>
          <w:snapToGrid w:val="0"/>
          <w:sz w:val="28"/>
          <w:szCs w:val="20"/>
        </w:rPr>
        <w:t>………..</w:t>
      </w:r>
      <w:r w:rsidRPr="00AF7968">
        <w:rPr>
          <w:snapToGrid w:val="0"/>
          <w:sz w:val="28"/>
          <w:szCs w:val="20"/>
        </w:rPr>
        <w:tab/>
        <w:t>…15, 16</w:t>
      </w:r>
    </w:p>
    <w:p w:rsidR="00AF7968" w:rsidRPr="00AF7968" w:rsidRDefault="00AF7968" w:rsidP="00AF7968">
      <w:pPr>
        <w:widowControl/>
        <w:tabs>
          <w:tab w:val="left" w:pos="720"/>
          <w:tab w:val="right" w:leader="dot" w:pos="8640"/>
        </w:tabs>
        <w:spacing w:line="240" w:lineRule="auto"/>
        <w:rPr>
          <w:iCs/>
          <w:snapToGrid w:val="0"/>
          <w:sz w:val="28"/>
          <w:szCs w:val="20"/>
          <w:u w:val="single"/>
        </w:rPr>
      </w:pPr>
    </w:p>
    <w:p w:rsidR="00AF7968" w:rsidRPr="00AF7968" w:rsidRDefault="00AF7968" w:rsidP="00AF7968">
      <w:pPr>
        <w:widowControl/>
        <w:tabs>
          <w:tab w:val="left" w:pos="720"/>
          <w:tab w:val="right" w:leader="dot" w:pos="8640"/>
        </w:tabs>
        <w:spacing w:line="240" w:lineRule="auto"/>
        <w:rPr>
          <w:iCs/>
          <w:sz w:val="28"/>
          <w:szCs w:val="28"/>
        </w:rPr>
      </w:pPr>
      <w:r w:rsidRPr="00AF7968">
        <w:rPr>
          <w:iCs/>
          <w:sz w:val="28"/>
          <w:szCs w:val="28"/>
          <w:u w:val="single"/>
        </w:rPr>
        <w:t xml:space="preserve">AT&amp;T </w:t>
      </w:r>
      <w:proofErr w:type="spellStart"/>
      <w:r w:rsidRPr="00AF7968">
        <w:rPr>
          <w:iCs/>
          <w:sz w:val="28"/>
          <w:szCs w:val="28"/>
          <w:u w:val="single"/>
        </w:rPr>
        <w:t>Commun</w:t>
      </w:r>
      <w:proofErr w:type="spellEnd"/>
      <w:r w:rsidRPr="00AF7968">
        <w:rPr>
          <w:iCs/>
          <w:sz w:val="28"/>
          <w:szCs w:val="28"/>
          <w:u w:val="single"/>
        </w:rPr>
        <w:t xml:space="preserve">. </w:t>
      </w:r>
      <w:proofErr w:type="gramStart"/>
      <w:r w:rsidRPr="00AF7968">
        <w:rPr>
          <w:iCs/>
          <w:sz w:val="28"/>
          <w:szCs w:val="28"/>
          <w:u w:val="single"/>
        </w:rPr>
        <w:t>et</w:t>
      </w:r>
      <w:proofErr w:type="gramEnd"/>
      <w:r w:rsidRPr="00AF7968">
        <w:rPr>
          <w:iCs/>
          <w:sz w:val="28"/>
          <w:szCs w:val="28"/>
          <w:u w:val="single"/>
        </w:rPr>
        <w:t xml:space="preserve"> al. v. Qwest Corp.</w:t>
      </w:r>
      <w:r w:rsidRPr="00AF7968">
        <w:rPr>
          <w:iCs/>
          <w:sz w:val="28"/>
          <w:szCs w:val="28"/>
        </w:rPr>
        <w:t xml:space="preserve">, Docket No. UT-051682, </w:t>
      </w:r>
    </w:p>
    <w:p w:rsidR="00AF7968" w:rsidRPr="00AF7968" w:rsidRDefault="00AF7968" w:rsidP="00AF7968">
      <w:pPr>
        <w:widowControl/>
        <w:tabs>
          <w:tab w:val="left" w:pos="720"/>
          <w:tab w:val="right" w:leader="dot" w:pos="8640"/>
        </w:tabs>
        <w:spacing w:line="240" w:lineRule="auto"/>
        <w:rPr>
          <w:iCs/>
          <w:snapToGrid w:val="0"/>
          <w:sz w:val="28"/>
          <w:szCs w:val="20"/>
          <w:u w:val="single"/>
        </w:rPr>
      </w:pPr>
      <w:r w:rsidRPr="00AF7968">
        <w:rPr>
          <w:iCs/>
          <w:sz w:val="28"/>
          <w:szCs w:val="28"/>
        </w:rPr>
        <w:t>Motion for Summary Determination and Dismissal (2005</w:t>
      </w:r>
      <w:proofErr w:type="gramStart"/>
      <w:r w:rsidRPr="00AF7968">
        <w:rPr>
          <w:iCs/>
          <w:sz w:val="28"/>
          <w:szCs w:val="28"/>
        </w:rPr>
        <w:t>)</w:t>
      </w:r>
      <w:r w:rsidRPr="00AF7968">
        <w:rPr>
          <w:snapToGrid w:val="0"/>
          <w:sz w:val="28"/>
          <w:szCs w:val="20"/>
        </w:rPr>
        <w:t xml:space="preserve"> .</w:t>
      </w:r>
      <w:r w:rsidRPr="00AF7968">
        <w:rPr>
          <w:snapToGrid w:val="0"/>
          <w:sz w:val="28"/>
          <w:szCs w:val="20"/>
        </w:rPr>
        <w:tab/>
      </w:r>
      <w:proofErr w:type="gramEnd"/>
      <w:r w:rsidRPr="00AF7968">
        <w:rPr>
          <w:snapToGrid w:val="0"/>
          <w:sz w:val="28"/>
          <w:szCs w:val="20"/>
        </w:rPr>
        <w:t>15, 16</w:t>
      </w:r>
    </w:p>
    <w:p w:rsidR="00AF7968" w:rsidRPr="00AF7968" w:rsidRDefault="00AF7968" w:rsidP="00AF7968">
      <w:pPr>
        <w:widowControl/>
        <w:tabs>
          <w:tab w:val="left" w:pos="720"/>
          <w:tab w:val="right" w:leader="dot" w:pos="8640"/>
        </w:tabs>
        <w:spacing w:line="240" w:lineRule="auto"/>
        <w:rPr>
          <w:iCs/>
          <w:snapToGrid w:val="0"/>
          <w:sz w:val="28"/>
          <w:szCs w:val="20"/>
          <w:u w:val="single"/>
        </w:rPr>
      </w:pPr>
    </w:p>
    <w:p w:rsidR="00AF7968" w:rsidRPr="00AF7968" w:rsidRDefault="00AF7968" w:rsidP="00AF7968">
      <w:pPr>
        <w:widowControl/>
        <w:tabs>
          <w:tab w:val="left" w:pos="720"/>
          <w:tab w:val="right" w:leader="dot" w:pos="8640"/>
        </w:tabs>
        <w:spacing w:line="240" w:lineRule="auto"/>
        <w:rPr>
          <w:iCs/>
          <w:sz w:val="28"/>
          <w:szCs w:val="28"/>
        </w:rPr>
      </w:pPr>
      <w:r w:rsidRPr="00AF7968">
        <w:rPr>
          <w:iCs/>
          <w:sz w:val="28"/>
          <w:szCs w:val="28"/>
          <w:u w:val="single"/>
        </w:rPr>
        <w:t xml:space="preserve">AT&amp;T </w:t>
      </w:r>
      <w:proofErr w:type="spellStart"/>
      <w:r w:rsidRPr="00AF7968">
        <w:rPr>
          <w:iCs/>
          <w:sz w:val="28"/>
          <w:szCs w:val="28"/>
          <w:u w:val="single"/>
        </w:rPr>
        <w:t>Commun</w:t>
      </w:r>
      <w:proofErr w:type="spellEnd"/>
      <w:r w:rsidRPr="00AF7968">
        <w:rPr>
          <w:iCs/>
          <w:sz w:val="28"/>
          <w:szCs w:val="28"/>
          <w:u w:val="single"/>
        </w:rPr>
        <w:t xml:space="preserve">. </w:t>
      </w:r>
      <w:proofErr w:type="gramStart"/>
      <w:r w:rsidRPr="00AF7968">
        <w:rPr>
          <w:iCs/>
          <w:sz w:val="28"/>
          <w:szCs w:val="28"/>
          <w:u w:val="single"/>
        </w:rPr>
        <w:t>et</w:t>
      </w:r>
      <w:proofErr w:type="gramEnd"/>
      <w:r w:rsidRPr="00AF7968">
        <w:rPr>
          <w:iCs/>
          <w:sz w:val="28"/>
          <w:szCs w:val="28"/>
          <w:u w:val="single"/>
        </w:rPr>
        <w:t xml:space="preserve"> al. v. Qwest Corp.</w:t>
      </w:r>
      <w:r w:rsidRPr="00AF7968">
        <w:rPr>
          <w:iCs/>
          <w:sz w:val="28"/>
          <w:szCs w:val="28"/>
        </w:rPr>
        <w:t xml:space="preserve">, Docket No. UT-051682, </w:t>
      </w:r>
    </w:p>
    <w:p w:rsidR="00AF7968" w:rsidRPr="00AF7968" w:rsidRDefault="00AF7968" w:rsidP="00AF7968">
      <w:pPr>
        <w:widowControl/>
        <w:tabs>
          <w:tab w:val="left" w:pos="720"/>
          <w:tab w:val="right" w:leader="dot" w:pos="8640"/>
        </w:tabs>
        <w:spacing w:line="240" w:lineRule="auto"/>
        <w:rPr>
          <w:iCs/>
          <w:snapToGrid w:val="0"/>
          <w:sz w:val="28"/>
          <w:szCs w:val="20"/>
          <w:u w:val="single"/>
        </w:rPr>
      </w:pPr>
      <w:r w:rsidRPr="00AF7968">
        <w:rPr>
          <w:iCs/>
          <w:sz w:val="28"/>
          <w:szCs w:val="28"/>
        </w:rPr>
        <w:t>Motion for Summary Determination or to Dismiss (2007</w:t>
      </w:r>
      <w:proofErr w:type="gramStart"/>
      <w:r w:rsidRPr="00AF7968">
        <w:rPr>
          <w:iCs/>
          <w:sz w:val="28"/>
          <w:szCs w:val="28"/>
        </w:rPr>
        <w:t>)</w:t>
      </w:r>
      <w:r w:rsidRPr="00AF7968">
        <w:rPr>
          <w:snapToGrid w:val="0"/>
          <w:sz w:val="28"/>
          <w:szCs w:val="20"/>
        </w:rPr>
        <w:t xml:space="preserve"> .</w:t>
      </w:r>
      <w:r w:rsidRPr="00AF7968">
        <w:rPr>
          <w:snapToGrid w:val="0"/>
          <w:sz w:val="28"/>
          <w:szCs w:val="20"/>
        </w:rPr>
        <w:tab/>
      </w:r>
      <w:proofErr w:type="gramEnd"/>
      <w:r w:rsidRPr="00AF7968">
        <w:rPr>
          <w:snapToGrid w:val="0"/>
          <w:sz w:val="28"/>
          <w:szCs w:val="20"/>
        </w:rPr>
        <w:t>15, 16</w:t>
      </w:r>
    </w:p>
    <w:p w:rsidR="00AF7968" w:rsidRPr="00AF7968" w:rsidRDefault="00AF7968" w:rsidP="00AF7968">
      <w:pPr>
        <w:widowControl/>
        <w:tabs>
          <w:tab w:val="left" w:pos="720"/>
          <w:tab w:val="right" w:leader="dot" w:pos="8640"/>
        </w:tabs>
        <w:spacing w:line="240" w:lineRule="auto"/>
        <w:rPr>
          <w:iCs/>
          <w:snapToGrid w:val="0"/>
          <w:sz w:val="28"/>
          <w:szCs w:val="20"/>
          <w:u w:val="single"/>
        </w:rPr>
      </w:pPr>
    </w:p>
    <w:p w:rsidR="00AF7968" w:rsidRPr="00AF7968" w:rsidRDefault="00AF7968" w:rsidP="00AF7968">
      <w:pPr>
        <w:widowControl/>
        <w:tabs>
          <w:tab w:val="left" w:pos="720"/>
          <w:tab w:val="right" w:leader="dot" w:pos="8640"/>
        </w:tabs>
        <w:spacing w:line="240" w:lineRule="auto"/>
        <w:rPr>
          <w:iCs/>
          <w:snapToGrid w:val="0"/>
          <w:sz w:val="28"/>
          <w:szCs w:val="20"/>
        </w:rPr>
      </w:pPr>
      <w:proofErr w:type="gramStart"/>
      <w:r w:rsidRPr="00AF7968">
        <w:rPr>
          <w:iCs/>
          <w:snapToGrid w:val="0"/>
          <w:sz w:val="28"/>
          <w:szCs w:val="20"/>
          <w:u w:val="single"/>
        </w:rPr>
        <w:t>AT&amp;T Comm. of the Pacific Northwest Inc. v. Verizon Northwest Inc.</w:t>
      </w:r>
      <w:r w:rsidRPr="00AF7968">
        <w:rPr>
          <w:iCs/>
          <w:snapToGrid w:val="0"/>
          <w:sz w:val="28"/>
          <w:szCs w:val="20"/>
        </w:rPr>
        <w:t>,</w:t>
      </w:r>
      <w:proofErr w:type="gramEnd"/>
      <w:r w:rsidRPr="00AF7968">
        <w:rPr>
          <w:iCs/>
          <w:snapToGrid w:val="0"/>
          <w:sz w:val="28"/>
          <w:szCs w:val="20"/>
        </w:rPr>
        <w:t xml:space="preserve"> </w:t>
      </w:r>
    </w:p>
    <w:p w:rsidR="00AF7968" w:rsidRPr="00AF7968" w:rsidRDefault="00AF7968" w:rsidP="00AF7968">
      <w:pPr>
        <w:widowControl/>
        <w:tabs>
          <w:tab w:val="left" w:pos="720"/>
          <w:tab w:val="right" w:leader="dot" w:pos="8640"/>
        </w:tabs>
        <w:spacing w:line="240" w:lineRule="auto"/>
        <w:rPr>
          <w:iCs/>
          <w:snapToGrid w:val="0"/>
          <w:sz w:val="28"/>
          <w:szCs w:val="20"/>
          <w:u w:val="single"/>
        </w:rPr>
      </w:pPr>
      <w:r w:rsidRPr="00AF7968">
        <w:rPr>
          <w:iCs/>
          <w:snapToGrid w:val="0"/>
          <w:sz w:val="28"/>
          <w:szCs w:val="20"/>
        </w:rPr>
        <w:t>Docket No. UT-020406 Eleventh Supp. Order (2003)</w:t>
      </w:r>
      <w:r w:rsidRPr="00AF7968">
        <w:rPr>
          <w:snapToGrid w:val="0"/>
          <w:sz w:val="28"/>
          <w:szCs w:val="20"/>
        </w:rPr>
        <w:t xml:space="preserve"> ………..</w:t>
      </w:r>
      <w:r w:rsidRPr="00AF7968">
        <w:rPr>
          <w:snapToGrid w:val="0"/>
          <w:sz w:val="28"/>
          <w:szCs w:val="20"/>
        </w:rPr>
        <w:tab/>
        <w:t>9</w:t>
      </w:r>
    </w:p>
    <w:p w:rsidR="00AF7968" w:rsidRPr="00AF7968" w:rsidRDefault="00AF7968" w:rsidP="00AF7968">
      <w:pPr>
        <w:widowControl/>
        <w:tabs>
          <w:tab w:val="left" w:pos="720"/>
          <w:tab w:val="right" w:leader="dot" w:pos="8640"/>
        </w:tabs>
        <w:spacing w:line="240" w:lineRule="auto"/>
        <w:rPr>
          <w:iCs/>
          <w:snapToGrid w:val="0"/>
          <w:sz w:val="28"/>
          <w:szCs w:val="20"/>
          <w:u w:val="single"/>
        </w:rPr>
      </w:pPr>
    </w:p>
    <w:p w:rsidR="00AF7968" w:rsidRPr="00AF7968" w:rsidRDefault="00AF7968" w:rsidP="00AF7968">
      <w:pPr>
        <w:widowControl/>
        <w:tabs>
          <w:tab w:val="left" w:pos="720"/>
          <w:tab w:val="right" w:leader="dot" w:pos="8640"/>
        </w:tabs>
        <w:spacing w:line="240" w:lineRule="auto"/>
        <w:rPr>
          <w:snapToGrid w:val="0"/>
          <w:sz w:val="28"/>
          <w:szCs w:val="20"/>
        </w:rPr>
      </w:pPr>
      <w:r w:rsidRPr="00AF7968">
        <w:rPr>
          <w:iCs/>
          <w:snapToGrid w:val="0"/>
          <w:sz w:val="28"/>
          <w:szCs w:val="20"/>
          <w:u w:val="single"/>
        </w:rPr>
        <w:t xml:space="preserve">Brown v. </w:t>
      </w:r>
      <w:proofErr w:type="spellStart"/>
      <w:r w:rsidRPr="00AF7968">
        <w:rPr>
          <w:iCs/>
          <w:snapToGrid w:val="0"/>
          <w:sz w:val="28"/>
          <w:szCs w:val="20"/>
          <w:u w:val="single"/>
        </w:rPr>
        <w:t>Prowest</w:t>
      </w:r>
      <w:proofErr w:type="spellEnd"/>
      <w:r w:rsidRPr="00AF7968">
        <w:rPr>
          <w:iCs/>
          <w:snapToGrid w:val="0"/>
          <w:sz w:val="28"/>
          <w:szCs w:val="20"/>
          <w:u w:val="single"/>
        </w:rPr>
        <w:t xml:space="preserve"> Transp.</w:t>
      </w:r>
      <w:r w:rsidRPr="00AF7968">
        <w:rPr>
          <w:snapToGrid w:val="0"/>
          <w:sz w:val="28"/>
          <w:szCs w:val="20"/>
        </w:rPr>
        <w:t xml:space="preserve">, 76 </w:t>
      </w:r>
      <w:proofErr w:type="spellStart"/>
      <w:r w:rsidRPr="00AF7968">
        <w:rPr>
          <w:snapToGrid w:val="0"/>
          <w:sz w:val="28"/>
          <w:szCs w:val="20"/>
        </w:rPr>
        <w:t>Wn</w:t>
      </w:r>
      <w:proofErr w:type="spellEnd"/>
      <w:r w:rsidRPr="00AF7968">
        <w:rPr>
          <w:snapToGrid w:val="0"/>
          <w:sz w:val="28"/>
          <w:szCs w:val="20"/>
        </w:rPr>
        <w:t>. App. 412, 419, 886</w:t>
      </w:r>
    </w:p>
    <w:p w:rsidR="00AF7968" w:rsidRPr="00AF7968" w:rsidRDefault="00AF7968" w:rsidP="00AF7968">
      <w:pPr>
        <w:widowControl/>
        <w:tabs>
          <w:tab w:val="left" w:pos="720"/>
          <w:tab w:val="right" w:leader="dot" w:pos="8640"/>
        </w:tabs>
        <w:spacing w:line="240" w:lineRule="auto"/>
        <w:rPr>
          <w:snapToGrid w:val="0"/>
          <w:sz w:val="28"/>
          <w:szCs w:val="20"/>
        </w:rPr>
      </w:pPr>
      <w:r w:rsidRPr="00AF7968">
        <w:rPr>
          <w:snapToGrid w:val="0"/>
          <w:sz w:val="28"/>
          <w:szCs w:val="20"/>
        </w:rPr>
        <w:t>(1994) ………..</w:t>
      </w:r>
      <w:r w:rsidRPr="00AF7968">
        <w:rPr>
          <w:snapToGrid w:val="0"/>
          <w:sz w:val="28"/>
          <w:szCs w:val="20"/>
        </w:rPr>
        <w:tab/>
        <w:t>5</w:t>
      </w:r>
    </w:p>
    <w:p w:rsidR="00AF7968" w:rsidRPr="00AF7968" w:rsidRDefault="00AF7968" w:rsidP="00AF7968">
      <w:pPr>
        <w:widowControl/>
        <w:tabs>
          <w:tab w:val="left" w:pos="720"/>
          <w:tab w:val="right" w:leader="dot" w:pos="8640"/>
        </w:tabs>
        <w:spacing w:line="240" w:lineRule="auto"/>
        <w:rPr>
          <w:snapToGrid w:val="0"/>
          <w:sz w:val="28"/>
          <w:szCs w:val="20"/>
        </w:rPr>
      </w:pPr>
    </w:p>
    <w:p w:rsidR="00AF7968" w:rsidRPr="00AF7968" w:rsidRDefault="00AF7968" w:rsidP="00AF7968">
      <w:pPr>
        <w:widowControl/>
        <w:tabs>
          <w:tab w:val="left" w:pos="720"/>
          <w:tab w:val="right" w:leader="dot" w:pos="8640"/>
        </w:tabs>
        <w:spacing w:line="240" w:lineRule="auto"/>
        <w:rPr>
          <w:snapToGrid w:val="0"/>
          <w:sz w:val="28"/>
          <w:szCs w:val="20"/>
        </w:rPr>
      </w:pPr>
      <w:proofErr w:type="spellStart"/>
      <w:r w:rsidRPr="00AF7968">
        <w:rPr>
          <w:snapToGrid w:val="0"/>
          <w:sz w:val="28"/>
          <w:szCs w:val="20"/>
          <w:u w:val="single"/>
        </w:rPr>
        <w:t>Busk</w:t>
      </w:r>
      <w:proofErr w:type="spellEnd"/>
      <w:r w:rsidRPr="00AF7968">
        <w:rPr>
          <w:snapToGrid w:val="0"/>
          <w:sz w:val="28"/>
          <w:szCs w:val="20"/>
          <w:u w:val="single"/>
        </w:rPr>
        <w:t xml:space="preserve"> v. Hoard</w:t>
      </w:r>
      <w:r w:rsidRPr="00AF7968">
        <w:rPr>
          <w:snapToGrid w:val="0"/>
          <w:sz w:val="28"/>
          <w:szCs w:val="20"/>
        </w:rPr>
        <w:t xml:space="preserve">, 65 </w:t>
      </w:r>
      <w:proofErr w:type="spellStart"/>
      <w:r w:rsidRPr="00AF7968">
        <w:rPr>
          <w:snapToGrid w:val="0"/>
          <w:sz w:val="28"/>
          <w:szCs w:val="20"/>
        </w:rPr>
        <w:t>Wn</w:t>
      </w:r>
      <w:proofErr w:type="spellEnd"/>
      <w:r w:rsidRPr="00AF7968">
        <w:rPr>
          <w:snapToGrid w:val="0"/>
          <w:sz w:val="28"/>
          <w:szCs w:val="20"/>
        </w:rPr>
        <w:t xml:space="preserve">. 2d 126, 129, </w:t>
      </w:r>
      <w:proofErr w:type="gramStart"/>
      <w:r w:rsidRPr="00AF7968">
        <w:rPr>
          <w:snapToGrid w:val="0"/>
          <w:sz w:val="28"/>
          <w:szCs w:val="20"/>
        </w:rPr>
        <w:t>396</w:t>
      </w:r>
      <w:proofErr w:type="gramEnd"/>
      <w:r w:rsidRPr="00AF7968">
        <w:rPr>
          <w:snapToGrid w:val="0"/>
          <w:sz w:val="28"/>
          <w:szCs w:val="20"/>
        </w:rPr>
        <w:t xml:space="preserve"> (1964) ………..</w:t>
      </w:r>
      <w:r w:rsidRPr="00AF7968">
        <w:rPr>
          <w:snapToGrid w:val="0"/>
          <w:sz w:val="28"/>
          <w:szCs w:val="20"/>
        </w:rPr>
        <w:tab/>
        <w:t>9</w:t>
      </w:r>
    </w:p>
    <w:p w:rsidR="00AF7968" w:rsidRPr="00AF7968" w:rsidRDefault="00AF7968" w:rsidP="00AF7968">
      <w:pPr>
        <w:widowControl/>
        <w:tabs>
          <w:tab w:val="left" w:pos="720"/>
          <w:tab w:val="right" w:leader="dot" w:pos="8640"/>
        </w:tabs>
        <w:spacing w:line="240" w:lineRule="auto"/>
        <w:rPr>
          <w:snapToGrid w:val="0"/>
          <w:sz w:val="28"/>
          <w:szCs w:val="20"/>
        </w:rPr>
      </w:pPr>
    </w:p>
    <w:p w:rsidR="00AF7968" w:rsidRPr="00AF7968" w:rsidRDefault="00AF7968" w:rsidP="00AF7968">
      <w:pPr>
        <w:widowControl/>
        <w:tabs>
          <w:tab w:val="left" w:pos="720"/>
          <w:tab w:val="right" w:leader="dot" w:pos="8640"/>
        </w:tabs>
        <w:spacing w:line="240" w:lineRule="auto"/>
        <w:rPr>
          <w:iCs/>
          <w:sz w:val="28"/>
          <w:szCs w:val="28"/>
        </w:rPr>
      </w:pPr>
      <w:r w:rsidRPr="00AF7968">
        <w:rPr>
          <w:iCs/>
          <w:sz w:val="28"/>
          <w:szCs w:val="28"/>
          <w:u w:val="single"/>
        </w:rPr>
        <w:t>Cross v. Cutter Biological</w:t>
      </w:r>
      <w:r w:rsidRPr="00AF7968">
        <w:rPr>
          <w:iCs/>
          <w:sz w:val="28"/>
          <w:szCs w:val="28"/>
        </w:rPr>
        <w:t>, 676 So.2d (La. Ct. App. 4</w:t>
      </w:r>
      <w:r w:rsidRPr="00AF7968">
        <w:rPr>
          <w:iCs/>
          <w:sz w:val="28"/>
          <w:szCs w:val="28"/>
          <w:vertAlign w:val="superscript"/>
        </w:rPr>
        <w:t>th</w:t>
      </w:r>
      <w:r w:rsidRPr="00AF7968">
        <w:rPr>
          <w:iCs/>
          <w:sz w:val="28"/>
          <w:szCs w:val="28"/>
        </w:rPr>
        <w:t xml:space="preserve"> Cir., 1996)</w:t>
      </w:r>
      <w:r w:rsidRPr="00AF7968">
        <w:rPr>
          <w:snapToGrid w:val="0"/>
          <w:sz w:val="28"/>
          <w:szCs w:val="20"/>
        </w:rPr>
        <w:t xml:space="preserve"> ………..</w:t>
      </w:r>
      <w:r w:rsidRPr="00AF7968">
        <w:rPr>
          <w:snapToGrid w:val="0"/>
          <w:sz w:val="28"/>
          <w:szCs w:val="20"/>
        </w:rPr>
        <w:tab/>
        <w:t>12</w:t>
      </w:r>
    </w:p>
    <w:p w:rsidR="00AF7968" w:rsidRPr="00AF7968" w:rsidRDefault="00AF7968" w:rsidP="00AF7968">
      <w:pPr>
        <w:widowControl/>
        <w:tabs>
          <w:tab w:val="left" w:pos="720"/>
          <w:tab w:val="right" w:leader="dot" w:pos="8640"/>
        </w:tabs>
        <w:spacing w:line="240" w:lineRule="auto"/>
        <w:rPr>
          <w:iCs/>
          <w:sz w:val="28"/>
          <w:szCs w:val="28"/>
          <w:u w:val="single"/>
        </w:rPr>
      </w:pPr>
    </w:p>
    <w:p w:rsidR="00AF7968" w:rsidRPr="00AF7968" w:rsidRDefault="00AF7968" w:rsidP="00AF7968">
      <w:pPr>
        <w:widowControl/>
        <w:tabs>
          <w:tab w:val="left" w:pos="720"/>
          <w:tab w:val="right" w:leader="dot" w:pos="8640"/>
        </w:tabs>
        <w:spacing w:line="240" w:lineRule="auto"/>
        <w:rPr>
          <w:iCs/>
          <w:sz w:val="28"/>
          <w:szCs w:val="28"/>
          <w:u w:val="single"/>
        </w:rPr>
      </w:pPr>
      <w:r w:rsidRPr="00AF7968">
        <w:rPr>
          <w:iCs/>
          <w:sz w:val="28"/>
          <w:szCs w:val="28"/>
          <w:u w:val="single"/>
        </w:rPr>
        <w:t>Green v. A.P.C.</w:t>
      </w:r>
      <w:r w:rsidRPr="00AF7968">
        <w:rPr>
          <w:iCs/>
          <w:sz w:val="28"/>
          <w:szCs w:val="28"/>
        </w:rPr>
        <w:t xml:space="preserve">, </w:t>
      </w:r>
      <w:proofErr w:type="gramStart"/>
      <w:r w:rsidRPr="00AF7968">
        <w:rPr>
          <w:iCs/>
          <w:sz w:val="28"/>
          <w:szCs w:val="28"/>
        </w:rPr>
        <w:t>136 Wash.2d 87, 99, 960</w:t>
      </w:r>
      <w:proofErr w:type="gramEnd"/>
      <w:r w:rsidRPr="00AF7968">
        <w:rPr>
          <w:iCs/>
          <w:sz w:val="28"/>
          <w:szCs w:val="28"/>
        </w:rPr>
        <w:t xml:space="preserve"> (1998)</w:t>
      </w:r>
      <w:r w:rsidRPr="00AF7968">
        <w:rPr>
          <w:snapToGrid w:val="0"/>
          <w:sz w:val="28"/>
          <w:szCs w:val="20"/>
        </w:rPr>
        <w:t xml:space="preserve"> ………..</w:t>
      </w:r>
      <w:r w:rsidRPr="00AF7968">
        <w:rPr>
          <w:snapToGrid w:val="0"/>
          <w:sz w:val="28"/>
          <w:szCs w:val="20"/>
        </w:rPr>
        <w:tab/>
        <w:t>6</w:t>
      </w:r>
    </w:p>
    <w:p w:rsidR="00AF7968" w:rsidRPr="00AF7968" w:rsidRDefault="00AF7968" w:rsidP="00AF7968">
      <w:pPr>
        <w:widowControl/>
        <w:tabs>
          <w:tab w:val="left" w:pos="720"/>
          <w:tab w:val="right" w:leader="dot" w:pos="8640"/>
        </w:tabs>
        <w:spacing w:line="240" w:lineRule="auto"/>
        <w:rPr>
          <w:iCs/>
          <w:sz w:val="28"/>
          <w:szCs w:val="28"/>
          <w:u w:val="single"/>
        </w:rPr>
      </w:pPr>
    </w:p>
    <w:p w:rsidR="00AF7968" w:rsidRPr="00AF7968" w:rsidRDefault="00AF7968" w:rsidP="00AF7968">
      <w:pPr>
        <w:widowControl/>
        <w:tabs>
          <w:tab w:val="left" w:pos="720"/>
          <w:tab w:val="right" w:leader="dot" w:pos="8640"/>
        </w:tabs>
        <w:spacing w:line="240" w:lineRule="auto"/>
        <w:rPr>
          <w:bCs/>
          <w:iCs/>
          <w:sz w:val="28"/>
          <w:szCs w:val="28"/>
          <w:u w:val="single"/>
        </w:rPr>
      </w:pPr>
      <w:r w:rsidRPr="00AF7968">
        <w:rPr>
          <w:iCs/>
          <w:sz w:val="28"/>
          <w:szCs w:val="28"/>
          <w:u w:val="single"/>
        </w:rPr>
        <w:t>Hendricks v. Lake</w:t>
      </w:r>
      <w:r w:rsidRPr="00AF7968">
        <w:rPr>
          <w:iCs/>
          <w:sz w:val="28"/>
          <w:szCs w:val="28"/>
        </w:rPr>
        <w:t xml:space="preserve">, </w:t>
      </w:r>
      <w:proofErr w:type="gramStart"/>
      <w:r w:rsidRPr="00AF7968">
        <w:rPr>
          <w:bCs/>
          <w:iCs/>
          <w:sz w:val="28"/>
          <w:szCs w:val="28"/>
        </w:rPr>
        <w:t xml:space="preserve">12 </w:t>
      </w:r>
      <w:proofErr w:type="spellStart"/>
      <w:r w:rsidRPr="00AF7968">
        <w:rPr>
          <w:bCs/>
          <w:iCs/>
          <w:sz w:val="28"/>
          <w:szCs w:val="28"/>
        </w:rPr>
        <w:t>Wash.App</w:t>
      </w:r>
      <w:proofErr w:type="spellEnd"/>
      <w:proofErr w:type="gramEnd"/>
      <w:r w:rsidRPr="00AF7968">
        <w:rPr>
          <w:bCs/>
          <w:iCs/>
          <w:sz w:val="28"/>
          <w:szCs w:val="28"/>
        </w:rPr>
        <w:t>. 15, 22 528 (1974)</w:t>
      </w:r>
      <w:r w:rsidRPr="00AF7968">
        <w:rPr>
          <w:snapToGrid w:val="0"/>
          <w:sz w:val="28"/>
          <w:szCs w:val="20"/>
        </w:rPr>
        <w:t xml:space="preserve"> ………..</w:t>
      </w:r>
      <w:r w:rsidRPr="00AF7968">
        <w:rPr>
          <w:snapToGrid w:val="0"/>
          <w:sz w:val="28"/>
          <w:szCs w:val="20"/>
        </w:rPr>
        <w:tab/>
        <w:t>9</w:t>
      </w:r>
    </w:p>
    <w:p w:rsidR="00AF7968" w:rsidRPr="00AF7968" w:rsidRDefault="00AF7968" w:rsidP="00AF7968">
      <w:pPr>
        <w:widowControl/>
        <w:tabs>
          <w:tab w:val="left" w:pos="720"/>
          <w:tab w:val="right" w:leader="dot" w:pos="8640"/>
        </w:tabs>
        <w:spacing w:line="240" w:lineRule="auto"/>
        <w:rPr>
          <w:iCs/>
          <w:sz w:val="28"/>
          <w:szCs w:val="28"/>
          <w:u w:val="single"/>
        </w:rPr>
      </w:pPr>
    </w:p>
    <w:p w:rsidR="00AF7968" w:rsidRPr="00AF7968" w:rsidRDefault="00AF7968" w:rsidP="00AF7968">
      <w:pPr>
        <w:widowControl/>
        <w:tabs>
          <w:tab w:val="left" w:pos="720"/>
          <w:tab w:val="right" w:leader="dot" w:pos="8640"/>
        </w:tabs>
        <w:spacing w:line="240" w:lineRule="auto"/>
        <w:rPr>
          <w:iCs/>
          <w:sz w:val="28"/>
          <w:szCs w:val="28"/>
        </w:rPr>
      </w:pPr>
      <w:proofErr w:type="spellStart"/>
      <w:r w:rsidRPr="00AF7968">
        <w:rPr>
          <w:iCs/>
          <w:sz w:val="28"/>
          <w:szCs w:val="28"/>
          <w:u w:val="single"/>
        </w:rPr>
        <w:t>Hewson</w:t>
      </w:r>
      <w:proofErr w:type="spellEnd"/>
      <w:r w:rsidRPr="00AF7968">
        <w:rPr>
          <w:iCs/>
          <w:sz w:val="28"/>
          <w:szCs w:val="28"/>
          <w:u w:val="single"/>
        </w:rPr>
        <w:t xml:space="preserve"> Constr., Inc. v. </w:t>
      </w:r>
      <w:proofErr w:type="spellStart"/>
      <w:r w:rsidRPr="00AF7968">
        <w:rPr>
          <w:iCs/>
          <w:sz w:val="28"/>
          <w:szCs w:val="28"/>
          <w:u w:val="single"/>
        </w:rPr>
        <w:t>Reintree</w:t>
      </w:r>
      <w:proofErr w:type="spellEnd"/>
      <w:r w:rsidRPr="00AF7968">
        <w:rPr>
          <w:iCs/>
          <w:sz w:val="28"/>
          <w:szCs w:val="28"/>
          <w:u w:val="single"/>
        </w:rPr>
        <w:t xml:space="preserve"> Corp.</w:t>
      </w:r>
      <w:r w:rsidRPr="00AF7968">
        <w:rPr>
          <w:iCs/>
          <w:sz w:val="28"/>
          <w:szCs w:val="28"/>
        </w:rPr>
        <w:t xml:space="preserve">, </w:t>
      </w:r>
      <w:proofErr w:type="gramStart"/>
      <w:r w:rsidRPr="00AF7968">
        <w:rPr>
          <w:iCs/>
          <w:sz w:val="28"/>
          <w:szCs w:val="28"/>
        </w:rPr>
        <w:t>101 Wn.2d (1989)</w:t>
      </w:r>
      <w:r w:rsidRPr="00AF7968">
        <w:rPr>
          <w:snapToGrid w:val="0"/>
          <w:sz w:val="28"/>
          <w:szCs w:val="20"/>
        </w:rPr>
        <w:t xml:space="preserve"> ……</w:t>
      </w:r>
      <w:proofErr w:type="gramEnd"/>
      <w:r w:rsidRPr="00AF7968">
        <w:rPr>
          <w:snapToGrid w:val="0"/>
          <w:sz w:val="28"/>
          <w:szCs w:val="20"/>
        </w:rPr>
        <w:t>…..</w:t>
      </w:r>
      <w:r w:rsidRPr="00AF7968">
        <w:rPr>
          <w:snapToGrid w:val="0"/>
          <w:sz w:val="28"/>
          <w:szCs w:val="20"/>
        </w:rPr>
        <w:tab/>
        <w:t>11</w:t>
      </w:r>
    </w:p>
    <w:p w:rsidR="00AF7968" w:rsidRPr="00AF7968" w:rsidRDefault="00AF7968" w:rsidP="00AF7968">
      <w:pPr>
        <w:widowControl/>
        <w:tabs>
          <w:tab w:val="left" w:pos="720"/>
          <w:tab w:val="right" w:leader="dot" w:pos="8640"/>
        </w:tabs>
        <w:spacing w:line="240" w:lineRule="auto"/>
        <w:rPr>
          <w:iCs/>
          <w:sz w:val="28"/>
          <w:szCs w:val="28"/>
          <w:u w:val="single"/>
        </w:rPr>
      </w:pPr>
    </w:p>
    <w:p w:rsidR="00AF7968" w:rsidRPr="00AF7968" w:rsidRDefault="00AF7968" w:rsidP="00AF7968">
      <w:pPr>
        <w:widowControl/>
        <w:tabs>
          <w:tab w:val="left" w:pos="720"/>
          <w:tab w:val="right" w:leader="dot" w:pos="8640"/>
        </w:tabs>
        <w:spacing w:line="240" w:lineRule="auto"/>
        <w:rPr>
          <w:iCs/>
          <w:sz w:val="28"/>
          <w:szCs w:val="28"/>
          <w:u w:val="single"/>
        </w:rPr>
      </w:pPr>
      <w:proofErr w:type="spellStart"/>
      <w:r w:rsidRPr="00AF7968">
        <w:rPr>
          <w:iCs/>
          <w:sz w:val="28"/>
          <w:szCs w:val="28"/>
          <w:u w:val="single"/>
        </w:rPr>
        <w:t>Hoffer</w:t>
      </w:r>
      <w:proofErr w:type="spellEnd"/>
      <w:r w:rsidRPr="00AF7968">
        <w:rPr>
          <w:iCs/>
          <w:sz w:val="28"/>
          <w:szCs w:val="28"/>
          <w:u w:val="single"/>
        </w:rPr>
        <w:t xml:space="preserve"> v. State</w:t>
      </w:r>
      <w:r w:rsidRPr="00AF7968">
        <w:rPr>
          <w:iCs/>
          <w:sz w:val="28"/>
          <w:szCs w:val="28"/>
        </w:rPr>
        <w:t xml:space="preserve">, </w:t>
      </w:r>
      <w:proofErr w:type="gramStart"/>
      <w:r w:rsidRPr="00AF7968">
        <w:rPr>
          <w:iCs/>
          <w:sz w:val="28"/>
          <w:szCs w:val="28"/>
        </w:rPr>
        <w:t>110 Wn.2d 415,</w:t>
      </w:r>
      <w:proofErr w:type="gramEnd"/>
      <w:r w:rsidRPr="00AF7968">
        <w:rPr>
          <w:iCs/>
          <w:sz w:val="28"/>
          <w:szCs w:val="28"/>
        </w:rPr>
        <w:t xml:space="preserve"> 420, 755 (1988)</w:t>
      </w:r>
      <w:r w:rsidRPr="00AF7968">
        <w:rPr>
          <w:snapToGrid w:val="0"/>
          <w:sz w:val="28"/>
          <w:szCs w:val="20"/>
        </w:rPr>
        <w:t xml:space="preserve"> ………..</w:t>
      </w:r>
      <w:r w:rsidRPr="00AF7968">
        <w:rPr>
          <w:snapToGrid w:val="0"/>
          <w:sz w:val="28"/>
          <w:szCs w:val="20"/>
        </w:rPr>
        <w:tab/>
        <w:t>4</w:t>
      </w:r>
    </w:p>
    <w:p w:rsidR="00AF7968" w:rsidRPr="00AF7968" w:rsidRDefault="00AF7968" w:rsidP="00AF7968">
      <w:pPr>
        <w:widowControl/>
        <w:tabs>
          <w:tab w:val="left" w:pos="720"/>
          <w:tab w:val="right" w:leader="dot" w:pos="8640"/>
        </w:tabs>
        <w:spacing w:line="240" w:lineRule="auto"/>
        <w:rPr>
          <w:iCs/>
          <w:sz w:val="28"/>
          <w:szCs w:val="28"/>
          <w:u w:val="single"/>
        </w:rPr>
      </w:pPr>
    </w:p>
    <w:p w:rsidR="00AF7968" w:rsidRPr="00AF7968" w:rsidRDefault="00AF7968" w:rsidP="00AF7968">
      <w:pPr>
        <w:widowControl/>
        <w:tabs>
          <w:tab w:val="left" w:pos="720"/>
          <w:tab w:val="right" w:leader="dot" w:pos="8640"/>
        </w:tabs>
        <w:spacing w:line="240" w:lineRule="auto"/>
        <w:rPr>
          <w:iCs/>
          <w:sz w:val="28"/>
          <w:szCs w:val="28"/>
          <w:u w:val="single"/>
        </w:rPr>
      </w:pPr>
    </w:p>
    <w:p w:rsidR="00AF7968" w:rsidRPr="00AF7968" w:rsidRDefault="00AF7968" w:rsidP="00AF7968">
      <w:pPr>
        <w:widowControl/>
        <w:tabs>
          <w:tab w:val="left" w:pos="720"/>
          <w:tab w:val="right" w:leader="dot" w:pos="8640"/>
        </w:tabs>
        <w:spacing w:line="240" w:lineRule="auto"/>
        <w:rPr>
          <w:iCs/>
          <w:sz w:val="28"/>
          <w:szCs w:val="28"/>
          <w:u w:val="single"/>
        </w:rPr>
      </w:pPr>
      <w:r w:rsidRPr="00AF7968">
        <w:rPr>
          <w:iCs/>
          <w:sz w:val="28"/>
          <w:szCs w:val="28"/>
          <w:u w:val="single"/>
        </w:rPr>
        <w:lastRenderedPageBreak/>
        <w:t xml:space="preserve">In the Matter of the Application of Puget Sound Energy for Authorization Regarding the Deferral of the Net Impact of the Conservation Incentive </w:t>
      </w:r>
    </w:p>
    <w:p w:rsidR="00AF7968" w:rsidRPr="00AF7968" w:rsidRDefault="00AF7968" w:rsidP="00AF7968">
      <w:pPr>
        <w:widowControl/>
        <w:tabs>
          <w:tab w:val="left" w:pos="720"/>
          <w:tab w:val="right" w:leader="dot" w:pos="8640"/>
        </w:tabs>
        <w:spacing w:line="240" w:lineRule="auto"/>
        <w:rPr>
          <w:iCs/>
          <w:sz w:val="28"/>
          <w:szCs w:val="28"/>
        </w:rPr>
      </w:pPr>
      <w:r w:rsidRPr="00AF7968">
        <w:rPr>
          <w:iCs/>
          <w:sz w:val="28"/>
          <w:szCs w:val="28"/>
          <w:u w:val="single"/>
        </w:rPr>
        <w:t>Program</w:t>
      </w:r>
      <w:r w:rsidRPr="00AF7968">
        <w:rPr>
          <w:iCs/>
          <w:sz w:val="28"/>
          <w:szCs w:val="28"/>
        </w:rPr>
        <w:t xml:space="preserve">, Docket No. UE-010410, Order Denying Petition to Amend </w:t>
      </w:r>
    </w:p>
    <w:p w:rsidR="00AF7968" w:rsidRPr="00AF7968" w:rsidRDefault="00AF7968" w:rsidP="00AF7968">
      <w:pPr>
        <w:widowControl/>
        <w:tabs>
          <w:tab w:val="left" w:pos="720"/>
          <w:tab w:val="right" w:leader="dot" w:pos="8640"/>
        </w:tabs>
        <w:spacing w:line="240" w:lineRule="auto"/>
        <w:rPr>
          <w:iCs/>
          <w:sz w:val="28"/>
          <w:szCs w:val="28"/>
        </w:rPr>
      </w:pPr>
      <w:r w:rsidRPr="00AF7968">
        <w:rPr>
          <w:iCs/>
          <w:sz w:val="28"/>
          <w:szCs w:val="28"/>
        </w:rPr>
        <w:t xml:space="preserve">Accounting </w:t>
      </w:r>
      <w:proofErr w:type="gramStart"/>
      <w:r w:rsidRPr="00AF7968">
        <w:rPr>
          <w:iCs/>
          <w:sz w:val="28"/>
          <w:szCs w:val="28"/>
        </w:rPr>
        <w:t>Order  ¶</w:t>
      </w:r>
      <w:proofErr w:type="gramEnd"/>
      <w:r w:rsidRPr="00AF7968">
        <w:rPr>
          <w:iCs/>
          <w:sz w:val="28"/>
          <w:szCs w:val="28"/>
        </w:rPr>
        <w:t>9 (2001)</w:t>
      </w:r>
      <w:r w:rsidRPr="00AF7968">
        <w:rPr>
          <w:snapToGrid w:val="0"/>
          <w:sz w:val="28"/>
          <w:szCs w:val="20"/>
        </w:rPr>
        <w:t xml:space="preserve"> ………..</w:t>
      </w:r>
      <w:r w:rsidRPr="00AF7968">
        <w:rPr>
          <w:snapToGrid w:val="0"/>
          <w:sz w:val="28"/>
          <w:szCs w:val="20"/>
        </w:rPr>
        <w:tab/>
        <w:t>23</w:t>
      </w:r>
    </w:p>
    <w:p w:rsidR="00AF7968" w:rsidRPr="00AF7968" w:rsidRDefault="00AF7968" w:rsidP="00AF7968">
      <w:pPr>
        <w:widowControl/>
        <w:tabs>
          <w:tab w:val="left" w:pos="720"/>
          <w:tab w:val="right" w:leader="dot" w:pos="8640"/>
        </w:tabs>
        <w:spacing w:line="240" w:lineRule="auto"/>
        <w:rPr>
          <w:iCs/>
          <w:sz w:val="28"/>
          <w:szCs w:val="28"/>
        </w:rPr>
      </w:pPr>
    </w:p>
    <w:p w:rsidR="00AF7968" w:rsidRPr="00AF7968" w:rsidRDefault="00AF7968" w:rsidP="00AF7968">
      <w:pPr>
        <w:widowControl/>
        <w:tabs>
          <w:tab w:val="left" w:pos="720"/>
          <w:tab w:val="right" w:leader="dot" w:pos="8640"/>
        </w:tabs>
        <w:spacing w:line="240" w:lineRule="auto"/>
        <w:rPr>
          <w:iCs/>
          <w:sz w:val="28"/>
          <w:szCs w:val="28"/>
          <w:u w:val="single"/>
        </w:rPr>
      </w:pPr>
      <w:proofErr w:type="spellStart"/>
      <w:r w:rsidRPr="00AF7968">
        <w:rPr>
          <w:iCs/>
          <w:sz w:val="28"/>
          <w:szCs w:val="28"/>
          <w:u w:val="single"/>
        </w:rPr>
        <w:t>Janicki</w:t>
      </w:r>
      <w:proofErr w:type="spellEnd"/>
      <w:r w:rsidRPr="00AF7968">
        <w:rPr>
          <w:iCs/>
          <w:sz w:val="28"/>
          <w:szCs w:val="28"/>
          <w:u w:val="single"/>
        </w:rPr>
        <w:t xml:space="preserve"> Logging &amp; Construction Company, Inc. v. </w:t>
      </w:r>
      <w:proofErr w:type="spellStart"/>
      <w:r w:rsidRPr="00AF7968">
        <w:rPr>
          <w:iCs/>
          <w:sz w:val="28"/>
          <w:szCs w:val="28"/>
          <w:u w:val="single"/>
        </w:rPr>
        <w:t>Schwabe</w:t>
      </w:r>
      <w:proofErr w:type="spellEnd"/>
      <w:r w:rsidRPr="00AF7968">
        <w:rPr>
          <w:iCs/>
          <w:sz w:val="28"/>
          <w:szCs w:val="28"/>
          <w:u w:val="single"/>
        </w:rPr>
        <w:t xml:space="preserve"> </w:t>
      </w:r>
    </w:p>
    <w:p w:rsidR="00AF7968" w:rsidRPr="00AF7968" w:rsidRDefault="00AF7968" w:rsidP="00AF7968">
      <w:pPr>
        <w:widowControl/>
        <w:tabs>
          <w:tab w:val="left" w:pos="720"/>
          <w:tab w:val="right" w:leader="dot" w:pos="8640"/>
        </w:tabs>
        <w:spacing w:line="240" w:lineRule="auto"/>
        <w:rPr>
          <w:iCs/>
          <w:sz w:val="28"/>
          <w:szCs w:val="28"/>
          <w:u w:val="single"/>
        </w:rPr>
      </w:pPr>
      <w:r w:rsidRPr="00AF7968">
        <w:rPr>
          <w:iCs/>
          <w:sz w:val="28"/>
          <w:szCs w:val="28"/>
          <w:u w:val="single"/>
        </w:rPr>
        <w:t>Williamson &amp; Wyatt</w:t>
      </w:r>
      <w:r w:rsidRPr="00AF7968">
        <w:rPr>
          <w:iCs/>
          <w:sz w:val="28"/>
          <w:szCs w:val="28"/>
        </w:rPr>
        <w:t xml:space="preserve">, 109 </w:t>
      </w:r>
      <w:proofErr w:type="spellStart"/>
      <w:r w:rsidRPr="00AF7968">
        <w:rPr>
          <w:iCs/>
          <w:sz w:val="28"/>
          <w:szCs w:val="28"/>
        </w:rPr>
        <w:t>Wn</w:t>
      </w:r>
      <w:proofErr w:type="spellEnd"/>
      <w:r w:rsidRPr="00AF7968">
        <w:rPr>
          <w:iCs/>
          <w:sz w:val="28"/>
          <w:szCs w:val="28"/>
        </w:rPr>
        <w:t>. App. 655, 660, 37 (2001)</w:t>
      </w:r>
      <w:r w:rsidRPr="00AF7968">
        <w:rPr>
          <w:snapToGrid w:val="0"/>
          <w:sz w:val="28"/>
          <w:szCs w:val="20"/>
        </w:rPr>
        <w:t xml:space="preserve"> ………..</w:t>
      </w:r>
      <w:r w:rsidRPr="00AF7968">
        <w:rPr>
          <w:snapToGrid w:val="0"/>
          <w:sz w:val="28"/>
          <w:szCs w:val="20"/>
        </w:rPr>
        <w:tab/>
        <w:t>6, 9</w:t>
      </w:r>
    </w:p>
    <w:p w:rsidR="00AF7968" w:rsidRPr="00AF7968" w:rsidRDefault="00AF7968" w:rsidP="00AF7968">
      <w:pPr>
        <w:widowControl/>
        <w:tabs>
          <w:tab w:val="left" w:pos="720"/>
          <w:tab w:val="right" w:leader="dot" w:pos="8640"/>
        </w:tabs>
        <w:spacing w:line="240" w:lineRule="auto"/>
        <w:rPr>
          <w:iCs/>
          <w:sz w:val="28"/>
          <w:szCs w:val="28"/>
          <w:u w:val="single"/>
        </w:rPr>
      </w:pPr>
    </w:p>
    <w:p w:rsidR="00AF7968" w:rsidRPr="00AF7968" w:rsidRDefault="00AF7968" w:rsidP="00AF7968">
      <w:pPr>
        <w:widowControl/>
        <w:tabs>
          <w:tab w:val="left" w:pos="720"/>
          <w:tab w:val="right" w:leader="dot" w:pos="8640"/>
        </w:tabs>
        <w:spacing w:line="240" w:lineRule="auto"/>
        <w:rPr>
          <w:iCs/>
          <w:sz w:val="28"/>
          <w:szCs w:val="28"/>
        </w:rPr>
      </w:pPr>
      <w:r w:rsidRPr="00AF7968">
        <w:rPr>
          <w:iCs/>
          <w:sz w:val="28"/>
          <w:szCs w:val="28"/>
          <w:u w:val="single"/>
        </w:rPr>
        <w:t xml:space="preserve">Judd v. AT&amp;T Communications of the Pacific </w:t>
      </w:r>
      <w:proofErr w:type="gramStart"/>
      <w:r w:rsidRPr="00AF7968">
        <w:rPr>
          <w:iCs/>
          <w:sz w:val="28"/>
          <w:szCs w:val="28"/>
          <w:u w:val="single"/>
        </w:rPr>
        <w:t>Nw.,</w:t>
      </w:r>
      <w:proofErr w:type="gramEnd"/>
      <w:r w:rsidRPr="00AF7968">
        <w:rPr>
          <w:iCs/>
          <w:sz w:val="28"/>
          <w:szCs w:val="28"/>
          <w:u w:val="single"/>
        </w:rPr>
        <w:t xml:space="preserve"> Inc. and T-</w:t>
      </w:r>
      <w:proofErr w:type="spellStart"/>
      <w:r w:rsidRPr="00AF7968">
        <w:rPr>
          <w:iCs/>
          <w:sz w:val="28"/>
          <w:szCs w:val="28"/>
          <w:u w:val="single"/>
        </w:rPr>
        <w:t>Netix</w:t>
      </w:r>
      <w:proofErr w:type="spellEnd"/>
      <w:r w:rsidRPr="00AF7968">
        <w:rPr>
          <w:iCs/>
          <w:sz w:val="28"/>
          <w:szCs w:val="28"/>
          <w:u w:val="single"/>
        </w:rPr>
        <w:t>, Inc.</w:t>
      </w:r>
      <w:r w:rsidRPr="00AF7968">
        <w:rPr>
          <w:iCs/>
          <w:sz w:val="28"/>
          <w:szCs w:val="28"/>
        </w:rPr>
        <w:t>,</w:t>
      </w:r>
    </w:p>
    <w:p w:rsidR="00AF7968" w:rsidRPr="00AF7968" w:rsidRDefault="00AF7968" w:rsidP="00AF7968">
      <w:pPr>
        <w:widowControl/>
        <w:tabs>
          <w:tab w:val="left" w:pos="720"/>
          <w:tab w:val="right" w:leader="dot" w:pos="8640"/>
        </w:tabs>
        <w:spacing w:line="240" w:lineRule="auto"/>
        <w:rPr>
          <w:snapToGrid w:val="0"/>
          <w:sz w:val="28"/>
          <w:szCs w:val="20"/>
        </w:rPr>
      </w:pPr>
      <w:r w:rsidRPr="00AF7968">
        <w:rPr>
          <w:iCs/>
          <w:sz w:val="28"/>
          <w:szCs w:val="28"/>
        </w:rPr>
        <w:t>Docket No. UT-042022, Order No. 23 (Apr. 21, 2010)</w:t>
      </w:r>
      <w:r w:rsidRPr="00AF7968">
        <w:rPr>
          <w:snapToGrid w:val="0"/>
          <w:sz w:val="28"/>
          <w:szCs w:val="20"/>
        </w:rPr>
        <w:t xml:space="preserve"> ………..</w:t>
      </w:r>
      <w:r w:rsidRPr="00AF7968">
        <w:rPr>
          <w:snapToGrid w:val="0"/>
          <w:sz w:val="28"/>
          <w:szCs w:val="20"/>
        </w:rPr>
        <w:tab/>
        <w:t>3</w:t>
      </w:r>
    </w:p>
    <w:p w:rsidR="00AF7968" w:rsidRPr="00AF7968" w:rsidRDefault="00AF7968" w:rsidP="00AF7968">
      <w:pPr>
        <w:widowControl/>
        <w:tabs>
          <w:tab w:val="left" w:pos="720"/>
          <w:tab w:val="right" w:leader="dot" w:pos="8640"/>
        </w:tabs>
        <w:spacing w:line="240" w:lineRule="auto"/>
        <w:rPr>
          <w:iCs/>
          <w:sz w:val="28"/>
          <w:szCs w:val="28"/>
          <w:u w:val="single"/>
        </w:rPr>
      </w:pPr>
    </w:p>
    <w:p w:rsidR="00AF7968" w:rsidRPr="00AF7968" w:rsidRDefault="00AF7968" w:rsidP="00AF7968">
      <w:pPr>
        <w:widowControl/>
        <w:tabs>
          <w:tab w:val="left" w:pos="720"/>
          <w:tab w:val="right" w:leader="dot" w:pos="8640"/>
        </w:tabs>
        <w:spacing w:line="240" w:lineRule="auto"/>
        <w:rPr>
          <w:sz w:val="28"/>
          <w:szCs w:val="28"/>
        </w:rPr>
      </w:pPr>
      <w:r w:rsidRPr="00AF7968">
        <w:rPr>
          <w:iCs/>
          <w:sz w:val="28"/>
          <w:szCs w:val="28"/>
          <w:u w:val="single"/>
        </w:rPr>
        <w:t>Kinney v. Cook</w:t>
      </w:r>
      <w:r w:rsidRPr="00AF7968">
        <w:rPr>
          <w:iCs/>
          <w:sz w:val="28"/>
          <w:szCs w:val="28"/>
        </w:rPr>
        <w:t xml:space="preserve">, </w:t>
      </w:r>
      <w:proofErr w:type="gramStart"/>
      <w:r w:rsidRPr="00AF7968">
        <w:rPr>
          <w:iCs/>
          <w:sz w:val="28"/>
          <w:szCs w:val="28"/>
        </w:rPr>
        <w:t>159 Wash.2d 837, 842, 154</w:t>
      </w:r>
      <w:proofErr w:type="gramEnd"/>
      <w:r w:rsidRPr="00AF7968">
        <w:rPr>
          <w:iCs/>
          <w:sz w:val="28"/>
          <w:szCs w:val="28"/>
        </w:rPr>
        <w:t xml:space="preserve"> (2007)</w:t>
      </w:r>
      <w:r w:rsidRPr="00AF7968">
        <w:rPr>
          <w:snapToGrid w:val="0"/>
          <w:sz w:val="28"/>
          <w:szCs w:val="20"/>
        </w:rPr>
        <w:t xml:space="preserve"> ………..</w:t>
      </w:r>
      <w:r w:rsidRPr="00AF7968">
        <w:rPr>
          <w:snapToGrid w:val="0"/>
          <w:sz w:val="28"/>
          <w:szCs w:val="20"/>
        </w:rPr>
        <w:tab/>
        <w:t>4</w:t>
      </w:r>
    </w:p>
    <w:p w:rsidR="00AF7968" w:rsidRPr="00AF7968" w:rsidRDefault="00AF7968" w:rsidP="00AF7968">
      <w:pPr>
        <w:widowControl/>
        <w:tabs>
          <w:tab w:val="left" w:pos="720"/>
          <w:tab w:val="right" w:leader="dot" w:pos="8640"/>
        </w:tabs>
        <w:spacing w:line="240" w:lineRule="auto"/>
        <w:rPr>
          <w:sz w:val="28"/>
          <w:szCs w:val="28"/>
        </w:rPr>
      </w:pP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u w:val="single"/>
        </w:rPr>
        <w:t xml:space="preserve">Kirk v. </w:t>
      </w:r>
      <w:proofErr w:type="spellStart"/>
      <w:r w:rsidRPr="00AF7968">
        <w:rPr>
          <w:sz w:val="28"/>
          <w:szCs w:val="28"/>
          <w:u w:val="single"/>
        </w:rPr>
        <w:t>Raymark</w:t>
      </w:r>
      <w:proofErr w:type="spellEnd"/>
      <w:r w:rsidRPr="00AF7968">
        <w:rPr>
          <w:sz w:val="28"/>
          <w:szCs w:val="28"/>
          <w:u w:val="single"/>
        </w:rPr>
        <w:t xml:space="preserve"> Indus.</w:t>
      </w:r>
      <w:r w:rsidRPr="00AF7968">
        <w:rPr>
          <w:sz w:val="28"/>
          <w:szCs w:val="28"/>
        </w:rPr>
        <w:t>, 61 F.3d 147, 164 (3</w:t>
      </w:r>
      <w:r w:rsidRPr="00AF7968">
        <w:rPr>
          <w:sz w:val="28"/>
          <w:szCs w:val="28"/>
          <w:vertAlign w:val="superscript"/>
        </w:rPr>
        <w:t>rd</w:t>
      </w:r>
      <w:r w:rsidRPr="00AF7968">
        <w:rPr>
          <w:sz w:val="28"/>
          <w:szCs w:val="28"/>
        </w:rPr>
        <w:t xml:space="preserve"> </w:t>
      </w:r>
      <w:proofErr w:type="gramStart"/>
      <w:r w:rsidRPr="00AF7968">
        <w:rPr>
          <w:sz w:val="28"/>
          <w:szCs w:val="28"/>
        </w:rPr>
        <w:t>Cir.,</w:t>
      </w:r>
      <w:proofErr w:type="gramEnd"/>
      <w:r w:rsidRPr="00AF7968">
        <w:rPr>
          <w:sz w:val="28"/>
          <w:szCs w:val="28"/>
        </w:rPr>
        <w:t xml:space="preserve"> 1995)</w:t>
      </w:r>
      <w:r w:rsidRPr="00AF7968">
        <w:rPr>
          <w:snapToGrid w:val="0"/>
          <w:sz w:val="28"/>
          <w:szCs w:val="20"/>
        </w:rPr>
        <w:t xml:space="preserve"> ………..</w:t>
      </w:r>
      <w:r w:rsidRPr="00AF7968">
        <w:rPr>
          <w:snapToGrid w:val="0"/>
          <w:sz w:val="28"/>
          <w:szCs w:val="20"/>
        </w:rPr>
        <w:tab/>
        <w:t>12</w:t>
      </w:r>
    </w:p>
    <w:p w:rsidR="00AF7968" w:rsidRPr="00AF7968" w:rsidRDefault="00AF7968" w:rsidP="00AF7968">
      <w:pPr>
        <w:widowControl/>
        <w:tabs>
          <w:tab w:val="left" w:pos="720"/>
          <w:tab w:val="right" w:leader="dot" w:pos="8640"/>
        </w:tabs>
        <w:spacing w:line="240" w:lineRule="auto"/>
        <w:rPr>
          <w:sz w:val="28"/>
          <w:szCs w:val="28"/>
          <w:u w:val="single"/>
        </w:rPr>
      </w:pPr>
    </w:p>
    <w:p w:rsidR="00AF7968" w:rsidRPr="00AF7968" w:rsidRDefault="00AF7968" w:rsidP="00AF7968">
      <w:pPr>
        <w:widowControl/>
        <w:tabs>
          <w:tab w:val="left" w:pos="720"/>
          <w:tab w:val="right" w:leader="dot" w:pos="8640"/>
        </w:tabs>
        <w:spacing w:line="240" w:lineRule="auto"/>
        <w:rPr>
          <w:sz w:val="28"/>
          <w:szCs w:val="28"/>
        </w:rPr>
      </w:pPr>
      <w:proofErr w:type="spellStart"/>
      <w:r w:rsidRPr="00AF7968">
        <w:rPr>
          <w:sz w:val="28"/>
          <w:szCs w:val="28"/>
          <w:u w:val="single"/>
        </w:rPr>
        <w:t>McLeodUSA</w:t>
      </w:r>
      <w:proofErr w:type="spellEnd"/>
      <w:r w:rsidRPr="00AF7968">
        <w:rPr>
          <w:sz w:val="28"/>
          <w:szCs w:val="28"/>
          <w:u w:val="single"/>
        </w:rPr>
        <w:t xml:space="preserve"> Telecom. Services, Inc. v. Qwest Corp.</w:t>
      </w:r>
      <w:r w:rsidRPr="00AF7968">
        <w:rPr>
          <w:sz w:val="28"/>
          <w:szCs w:val="28"/>
        </w:rPr>
        <w:t xml:space="preserve">, Docket </w:t>
      </w: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rPr>
        <w:t>UT-063013, Order 04 (2007)</w:t>
      </w:r>
      <w:r w:rsidRPr="00AF7968">
        <w:rPr>
          <w:snapToGrid w:val="0"/>
          <w:sz w:val="28"/>
          <w:szCs w:val="20"/>
        </w:rPr>
        <w:t xml:space="preserve"> ………..</w:t>
      </w:r>
      <w:r w:rsidRPr="00AF7968">
        <w:rPr>
          <w:snapToGrid w:val="0"/>
          <w:sz w:val="28"/>
          <w:szCs w:val="20"/>
        </w:rPr>
        <w:tab/>
        <w:t>24</w:t>
      </w:r>
    </w:p>
    <w:p w:rsidR="00AF7968" w:rsidRPr="00AF7968" w:rsidRDefault="00AF7968" w:rsidP="00AF7968">
      <w:pPr>
        <w:widowControl/>
        <w:tabs>
          <w:tab w:val="left" w:pos="720"/>
          <w:tab w:val="right" w:leader="dot" w:pos="8640"/>
        </w:tabs>
        <w:spacing w:line="240" w:lineRule="auto"/>
        <w:rPr>
          <w:sz w:val="28"/>
          <w:szCs w:val="28"/>
          <w:u w:val="single"/>
        </w:rPr>
      </w:pP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u w:val="single"/>
        </w:rPr>
        <w:t xml:space="preserve">Neb. Pub. Advocate v. Neb. Pub. Serv. </w:t>
      </w:r>
      <w:proofErr w:type="spellStart"/>
      <w:r w:rsidRPr="00AF7968">
        <w:rPr>
          <w:sz w:val="28"/>
          <w:szCs w:val="28"/>
          <w:u w:val="single"/>
        </w:rPr>
        <w:t>Comm’n</w:t>
      </w:r>
      <w:proofErr w:type="spellEnd"/>
      <w:r w:rsidRPr="00AF7968">
        <w:rPr>
          <w:sz w:val="28"/>
          <w:szCs w:val="28"/>
        </w:rPr>
        <w:t xml:space="preserve">, 279 Neb. 543 </w:t>
      </w: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rPr>
        <w:t>(2010)</w:t>
      </w:r>
      <w:r w:rsidRPr="00AF7968">
        <w:rPr>
          <w:snapToGrid w:val="0"/>
          <w:sz w:val="28"/>
          <w:szCs w:val="20"/>
        </w:rPr>
        <w:t xml:space="preserve"> ………..</w:t>
      </w:r>
      <w:r w:rsidRPr="00AF7968">
        <w:rPr>
          <w:snapToGrid w:val="0"/>
          <w:sz w:val="28"/>
          <w:szCs w:val="20"/>
        </w:rPr>
        <w:tab/>
        <w:t>9</w:t>
      </w:r>
    </w:p>
    <w:p w:rsidR="00AF7968" w:rsidRPr="00AF7968" w:rsidRDefault="00AF7968" w:rsidP="00AF7968">
      <w:pPr>
        <w:widowControl/>
        <w:tabs>
          <w:tab w:val="left" w:pos="720"/>
          <w:tab w:val="right" w:leader="dot" w:pos="8640"/>
        </w:tabs>
        <w:spacing w:line="240" w:lineRule="auto"/>
        <w:rPr>
          <w:sz w:val="28"/>
          <w:szCs w:val="28"/>
        </w:rPr>
      </w:pPr>
    </w:p>
    <w:p w:rsidR="00AF7968" w:rsidRPr="00AF7968" w:rsidRDefault="00AF7968" w:rsidP="00AF7968">
      <w:pPr>
        <w:widowControl/>
        <w:tabs>
          <w:tab w:val="left" w:pos="720"/>
          <w:tab w:val="right" w:leader="dot" w:pos="8640"/>
        </w:tabs>
        <w:spacing w:line="240" w:lineRule="auto"/>
        <w:rPr>
          <w:sz w:val="28"/>
          <w:szCs w:val="28"/>
          <w:u w:val="single"/>
        </w:rPr>
      </w:pPr>
      <w:proofErr w:type="gramStart"/>
      <w:r w:rsidRPr="00AF7968">
        <w:rPr>
          <w:sz w:val="28"/>
          <w:szCs w:val="28"/>
          <w:u w:val="single"/>
        </w:rPr>
        <w:t>Oregon Pub.</w:t>
      </w:r>
      <w:proofErr w:type="gramEnd"/>
      <w:r w:rsidRPr="00AF7968">
        <w:rPr>
          <w:sz w:val="28"/>
          <w:szCs w:val="28"/>
          <w:u w:val="single"/>
        </w:rPr>
        <w:t xml:space="preserve"> Utility </w:t>
      </w:r>
      <w:proofErr w:type="spellStart"/>
      <w:r w:rsidRPr="00AF7968">
        <w:rPr>
          <w:sz w:val="28"/>
          <w:szCs w:val="28"/>
          <w:u w:val="single"/>
        </w:rPr>
        <w:t>Comm’n</w:t>
      </w:r>
      <w:proofErr w:type="spellEnd"/>
      <w:r w:rsidRPr="00AF7968">
        <w:rPr>
          <w:sz w:val="28"/>
          <w:szCs w:val="28"/>
          <w:u w:val="single"/>
        </w:rPr>
        <w:t xml:space="preserve"> Net Power Cost Update for PacifiCorp’s </w:t>
      </w:r>
    </w:p>
    <w:p w:rsidR="00AF7968" w:rsidRPr="00AF7968" w:rsidRDefault="00AF7968" w:rsidP="00AF7968">
      <w:pPr>
        <w:widowControl/>
        <w:tabs>
          <w:tab w:val="left" w:pos="720"/>
          <w:tab w:val="right" w:leader="dot" w:pos="8640"/>
        </w:tabs>
        <w:spacing w:line="240" w:lineRule="auto"/>
        <w:rPr>
          <w:sz w:val="28"/>
          <w:szCs w:val="28"/>
        </w:rPr>
      </w:pPr>
      <w:proofErr w:type="gramStart"/>
      <w:r w:rsidRPr="00AF7968">
        <w:rPr>
          <w:sz w:val="28"/>
          <w:szCs w:val="28"/>
          <w:u w:val="single"/>
        </w:rPr>
        <w:t>2011 TAM</w:t>
      </w:r>
      <w:r w:rsidRPr="00AF7968">
        <w:rPr>
          <w:sz w:val="28"/>
          <w:szCs w:val="28"/>
        </w:rPr>
        <w:t>, OPUC Docket No.</w:t>
      </w:r>
      <w:proofErr w:type="gramEnd"/>
      <w:r w:rsidRPr="00AF7968">
        <w:rPr>
          <w:sz w:val="28"/>
          <w:szCs w:val="28"/>
        </w:rPr>
        <w:t xml:space="preserve"> UE 207 (2009)</w:t>
      </w:r>
      <w:r w:rsidRPr="00AF7968">
        <w:rPr>
          <w:snapToGrid w:val="0"/>
          <w:sz w:val="28"/>
          <w:szCs w:val="20"/>
        </w:rPr>
        <w:t xml:space="preserve"> ………..</w:t>
      </w:r>
      <w:r w:rsidRPr="00AF7968">
        <w:rPr>
          <w:snapToGrid w:val="0"/>
          <w:sz w:val="28"/>
          <w:szCs w:val="20"/>
        </w:rPr>
        <w:tab/>
        <w:t>14</w:t>
      </w:r>
    </w:p>
    <w:p w:rsidR="00AF7968" w:rsidRPr="00AF7968" w:rsidRDefault="00AF7968" w:rsidP="00AF7968">
      <w:pPr>
        <w:widowControl/>
        <w:tabs>
          <w:tab w:val="left" w:pos="720"/>
          <w:tab w:val="right" w:leader="dot" w:pos="8640"/>
        </w:tabs>
        <w:spacing w:line="240" w:lineRule="auto"/>
        <w:rPr>
          <w:sz w:val="28"/>
          <w:szCs w:val="28"/>
        </w:rPr>
      </w:pP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u w:val="single"/>
        </w:rPr>
        <w:t xml:space="preserve">Petition of Avista Corp. d/b/a Avista </w:t>
      </w:r>
      <w:proofErr w:type="spellStart"/>
      <w:r w:rsidRPr="00AF7968">
        <w:rPr>
          <w:sz w:val="28"/>
          <w:szCs w:val="28"/>
          <w:u w:val="single"/>
        </w:rPr>
        <w:t>Utils</w:t>
      </w:r>
      <w:proofErr w:type="spellEnd"/>
      <w:r w:rsidRPr="00AF7968">
        <w:rPr>
          <w:sz w:val="28"/>
          <w:szCs w:val="28"/>
          <w:u w:val="single"/>
        </w:rPr>
        <w:t>., for an Order Authorizing Implementation of a Natural Gas Decoupling Mechanism</w:t>
      </w:r>
      <w:r w:rsidRPr="00AF7968">
        <w:rPr>
          <w:sz w:val="28"/>
          <w:szCs w:val="28"/>
        </w:rPr>
        <w:t xml:space="preserve">,  Docket No. </w:t>
      </w: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rPr>
        <w:t>UG-060618, Order No. 4 (2007)</w:t>
      </w:r>
      <w:r w:rsidRPr="00AF7968">
        <w:rPr>
          <w:snapToGrid w:val="0"/>
          <w:sz w:val="28"/>
          <w:szCs w:val="20"/>
        </w:rPr>
        <w:t xml:space="preserve"> ………..</w:t>
      </w:r>
      <w:r w:rsidRPr="00AF7968">
        <w:rPr>
          <w:snapToGrid w:val="0"/>
          <w:sz w:val="28"/>
          <w:szCs w:val="20"/>
        </w:rPr>
        <w:tab/>
        <w:t>25</w:t>
      </w:r>
    </w:p>
    <w:p w:rsidR="00AF7968" w:rsidRPr="00AF7968" w:rsidRDefault="00AF7968" w:rsidP="00AF7968">
      <w:pPr>
        <w:widowControl/>
        <w:tabs>
          <w:tab w:val="left" w:pos="720"/>
          <w:tab w:val="right" w:leader="dot" w:pos="8640"/>
        </w:tabs>
        <w:spacing w:line="240" w:lineRule="auto"/>
        <w:rPr>
          <w:sz w:val="28"/>
          <w:szCs w:val="28"/>
          <w:u w:val="single"/>
        </w:rPr>
      </w:pP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u w:val="single"/>
        </w:rPr>
        <w:t>Pfizer, Inc. v. Ranbaxy Lab., Ltd.</w:t>
      </w:r>
      <w:r w:rsidRPr="00AF7968">
        <w:rPr>
          <w:sz w:val="28"/>
          <w:szCs w:val="28"/>
        </w:rPr>
        <w:t xml:space="preserve">, 2005 WL 2296613 </w:t>
      </w: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rPr>
        <w:t>(D. Del. 2005)</w:t>
      </w:r>
      <w:r w:rsidRPr="00AF7968">
        <w:rPr>
          <w:snapToGrid w:val="0"/>
          <w:sz w:val="28"/>
          <w:szCs w:val="20"/>
        </w:rPr>
        <w:t xml:space="preserve"> ………..</w:t>
      </w:r>
      <w:r w:rsidRPr="00AF7968">
        <w:rPr>
          <w:snapToGrid w:val="0"/>
          <w:sz w:val="28"/>
          <w:szCs w:val="20"/>
        </w:rPr>
        <w:tab/>
        <w:t>12</w:t>
      </w:r>
    </w:p>
    <w:p w:rsidR="00AF7968" w:rsidRPr="00AF7968" w:rsidRDefault="00AF7968" w:rsidP="00AF7968">
      <w:pPr>
        <w:widowControl/>
        <w:tabs>
          <w:tab w:val="left" w:pos="720"/>
          <w:tab w:val="right" w:leader="dot" w:pos="8640"/>
        </w:tabs>
        <w:spacing w:line="240" w:lineRule="auto"/>
        <w:rPr>
          <w:sz w:val="28"/>
          <w:szCs w:val="28"/>
          <w:u w:val="single"/>
        </w:rPr>
      </w:pP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u w:val="single"/>
        </w:rPr>
        <w:t>PSE RECs Petition</w:t>
      </w:r>
      <w:r w:rsidRPr="00AF7968">
        <w:rPr>
          <w:sz w:val="28"/>
          <w:szCs w:val="28"/>
        </w:rPr>
        <w:t>, Docket No. UE-070725, Final Order (2010)</w:t>
      </w:r>
      <w:r w:rsidRPr="00AF7968">
        <w:rPr>
          <w:snapToGrid w:val="0"/>
          <w:sz w:val="28"/>
          <w:szCs w:val="20"/>
        </w:rPr>
        <w:t>………..</w:t>
      </w:r>
      <w:r w:rsidRPr="00AF7968">
        <w:rPr>
          <w:snapToGrid w:val="0"/>
          <w:sz w:val="28"/>
          <w:szCs w:val="20"/>
        </w:rPr>
        <w:tab/>
        <w:t>25</w:t>
      </w:r>
    </w:p>
    <w:p w:rsidR="00AF7968" w:rsidRPr="00AF7968" w:rsidRDefault="00AF7968" w:rsidP="00AF7968">
      <w:pPr>
        <w:widowControl/>
        <w:tabs>
          <w:tab w:val="left" w:pos="720"/>
          <w:tab w:val="right" w:leader="dot" w:pos="8640"/>
        </w:tabs>
        <w:spacing w:line="240" w:lineRule="auto"/>
        <w:rPr>
          <w:sz w:val="28"/>
          <w:szCs w:val="28"/>
          <w:u w:val="single"/>
        </w:rPr>
      </w:pP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u w:val="single"/>
        </w:rPr>
        <w:t>Re PG&amp;E Request for Approval</w:t>
      </w:r>
      <w:r w:rsidRPr="00AF7968">
        <w:rPr>
          <w:sz w:val="28"/>
          <w:szCs w:val="28"/>
        </w:rPr>
        <w:t xml:space="preserve">, CPUC Resolution E-4170, PG&amp;E AL </w:t>
      </w: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rPr>
        <w:t>3183-E/SVN (May 15, 2008)</w:t>
      </w:r>
      <w:r w:rsidRPr="00AF7968">
        <w:rPr>
          <w:snapToGrid w:val="0"/>
          <w:sz w:val="28"/>
          <w:szCs w:val="20"/>
        </w:rPr>
        <w:t xml:space="preserve"> ………..</w:t>
      </w:r>
      <w:r w:rsidRPr="00AF7968">
        <w:rPr>
          <w:snapToGrid w:val="0"/>
          <w:sz w:val="28"/>
          <w:szCs w:val="20"/>
        </w:rPr>
        <w:tab/>
        <w:t>28</w:t>
      </w:r>
    </w:p>
    <w:p w:rsidR="00AF7968" w:rsidRPr="00AF7968" w:rsidRDefault="00AF7968" w:rsidP="00AF7968">
      <w:pPr>
        <w:widowControl/>
        <w:tabs>
          <w:tab w:val="left" w:pos="720"/>
          <w:tab w:val="right" w:leader="dot" w:pos="8640"/>
        </w:tabs>
        <w:spacing w:line="240" w:lineRule="auto"/>
        <w:rPr>
          <w:sz w:val="28"/>
          <w:szCs w:val="28"/>
          <w:u w:val="single"/>
        </w:rPr>
      </w:pP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u w:val="single"/>
        </w:rPr>
        <w:t>Re Southern California Edison Company Request for Approval</w:t>
      </w:r>
      <w:r w:rsidRPr="00AF7968">
        <w:rPr>
          <w:sz w:val="28"/>
          <w:szCs w:val="28"/>
        </w:rPr>
        <w:t xml:space="preserve">, CPUC </w:t>
      </w: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rPr>
        <w:t>Resolution E-4168, ALs 2143-E/E-A/E-B/SMK (2008)</w:t>
      </w:r>
      <w:r w:rsidRPr="00AF7968">
        <w:rPr>
          <w:snapToGrid w:val="0"/>
          <w:sz w:val="28"/>
          <w:szCs w:val="20"/>
        </w:rPr>
        <w:t xml:space="preserve"> ………..</w:t>
      </w:r>
      <w:r w:rsidRPr="00AF7968">
        <w:rPr>
          <w:snapToGrid w:val="0"/>
          <w:sz w:val="28"/>
          <w:szCs w:val="20"/>
        </w:rPr>
        <w:tab/>
        <w:t>28</w:t>
      </w:r>
    </w:p>
    <w:p w:rsidR="00AF7968" w:rsidRPr="00AF7968" w:rsidRDefault="00AF7968" w:rsidP="00AF7968">
      <w:pPr>
        <w:widowControl/>
        <w:tabs>
          <w:tab w:val="left" w:pos="720"/>
          <w:tab w:val="right" w:leader="dot" w:pos="8640"/>
        </w:tabs>
        <w:spacing w:line="240" w:lineRule="auto"/>
        <w:rPr>
          <w:sz w:val="28"/>
          <w:szCs w:val="28"/>
          <w:u w:val="single"/>
        </w:rPr>
      </w:pP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u w:val="single"/>
        </w:rPr>
        <w:t>Rho Co., Inc. v. Dep’t of Revenue</w:t>
      </w:r>
      <w:r w:rsidRPr="00AF7968">
        <w:rPr>
          <w:sz w:val="28"/>
          <w:szCs w:val="28"/>
        </w:rPr>
        <w:t xml:space="preserve">, </w:t>
      </w:r>
      <w:proofErr w:type="gramStart"/>
      <w:r w:rsidRPr="00AF7968">
        <w:rPr>
          <w:sz w:val="28"/>
          <w:szCs w:val="28"/>
        </w:rPr>
        <w:t>113 Wn.2d (1989)</w:t>
      </w:r>
      <w:r w:rsidRPr="00AF7968">
        <w:rPr>
          <w:snapToGrid w:val="0"/>
          <w:sz w:val="28"/>
          <w:szCs w:val="20"/>
        </w:rPr>
        <w:t xml:space="preserve"> ……</w:t>
      </w:r>
      <w:proofErr w:type="gramEnd"/>
      <w:r w:rsidRPr="00AF7968">
        <w:rPr>
          <w:snapToGrid w:val="0"/>
          <w:sz w:val="28"/>
          <w:szCs w:val="20"/>
        </w:rPr>
        <w:t>…..</w:t>
      </w:r>
      <w:r w:rsidRPr="00AF7968">
        <w:rPr>
          <w:snapToGrid w:val="0"/>
          <w:sz w:val="28"/>
          <w:szCs w:val="20"/>
        </w:rPr>
        <w:tab/>
        <w:t>11</w:t>
      </w:r>
    </w:p>
    <w:p w:rsidR="00AF7968" w:rsidRPr="00AF7968" w:rsidRDefault="00AF7968" w:rsidP="00AF7968">
      <w:pPr>
        <w:widowControl/>
        <w:tabs>
          <w:tab w:val="left" w:pos="720"/>
          <w:tab w:val="right" w:leader="dot" w:pos="8640"/>
        </w:tabs>
        <w:spacing w:line="240" w:lineRule="auto"/>
        <w:rPr>
          <w:sz w:val="28"/>
          <w:szCs w:val="28"/>
          <w:u w:val="single"/>
        </w:rPr>
      </w:pPr>
    </w:p>
    <w:p w:rsidR="00AF7968" w:rsidRPr="00AF7968" w:rsidRDefault="00AF7968" w:rsidP="00AF7968">
      <w:pPr>
        <w:widowControl/>
        <w:tabs>
          <w:tab w:val="left" w:pos="720"/>
          <w:tab w:val="right" w:leader="dot" w:pos="8640"/>
        </w:tabs>
        <w:spacing w:line="240" w:lineRule="auto"/>
        <w:rPr>
          <w:sz w:val="28"/>
          <w:szCs w:val="28"/>
        </w:rPr>
      </w:pPr>
      <w:proofErr w:type="spellStart"/>
      <w:r w:rsidRPr="00AF7968">
        <w:rPr>
          <w:sz w:val="28"/>
          <w:szCs w:val="28"/>
          <w:u w:val="single"/>
        </w:rPr>
        <w:t>Sabel</w:t>
      </w:r>
      <w:proofErr w:type="spellEnd"/>
      <w:r w:rsidRPr="00AF7968">
        <w:rPr>
          <w:sz w:val="28"/>
          <w:szCs w:val="28"/>
          <w:u w:val="single"/>
        </w:rPr>
        <w:t xml:space="preserve"> v. Mead Johnson &amp; Co.</w:t>
      </w:r>
      <w:r w:rsidRPr="00AF7968">
        <w:rPr>
          <w:sz w:val="28"/>
          <w:szCs w:val="28"/>
        </w:rPr>
        <w:t xml:space="preserve">, 737 f. Supp 135, 138-39 </w:t>
      </w: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rPr>
        <w:t>(D. Mass 1990)</w:t>
      </w:r>
      <w:r w:rsidRPr="00AF7968">
        <w:rPr>
          <w:snapToGrid w:val="0"/>
          <w:sz w:val="28"/>
          <w:szCs w:val="20"/>
        </w:rPr>
        <w:t xml:space="preserve"> ………..</w:t>
      </w:r>
      <w:r w:rsidRPr="00AF7968">
        <w:rPr>
          <w:snapToGrid w:val="0"/>
          <w:sz w:val="28"/>
          <w:szCs w:val="20"/>
        </w:rPr>
        <w:tab/>
        <w:t>12</w:t>
      </w:r>
    </w:p>
    <w:p w:rsidR="00AF7968" w:rsidRPr="00AF7968" w:rsidRDefault="00AF7968" w:rsidP="00AF7968">
      <w:pPr>
        <w:widowControl/>
        <w:tabs>
          <w:tab w:val="left" w:pos="720"/>
          <w:tab w:val="right" w:leader="dot" w:pos="8640"/>
        </w:tabs>
        <w:spacing w:line="240" w:lineRule="auto"/>
        <w:rPr>
          <w:sz w:val="28"/>
          <w:szCs w:val="28"/>
          <w:u w:val="single"/>
        </w:rPr>
      </w:pP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u w:val="single"/>
        </w:rPr>
        <w:t>State v. Garcia</w:t>
      </w:r>
      <w:r w:rsidRPr="00AF7968">
        <w:rPr>
          <w:sz w:val="28"/>
          <w:szCs w:val="28"/>
        </w:rPr>
        <w:t xml:space="preserve">, </w:t>
      </w:r>
      <w:proofErr w:type="gramStart"/>
      <w:r w:rsidRPr="00AF7968">
        <w:rPr>
          <w:sz w:val="28"/>
          <w:szCs w:val="28"/>
        </w:rPr>
        <w:t xml:space="preserve">146 </w:t>
      </w:r>
      <w:proofErr w:type="spellStart"/>
      <w:r w:rsidRPr="00AF7968">
        <w:rPr>
          <w:sz w:val="28"/>
          <w:szCs w:val="28"/>
        </w:rPr>
        <w:t>Wn.App</w:t>
      </w:r>
      <w:proofErr w:type="spellEnd"/>
      <w:proofErr w:type="gramEnd"/>
      <w:r w:rsidRPr="00AF7968">
        <w:rPr>
          <w:sz w:val="28"/>
          <w:szCs w:val="28"/>
        </w:rPr>
        <w:t xml:space="preserve">. 821, 827-28, </w:t>
      </w:r>
      <w:proofErr w:type="gramStart"/>
      <w:r w:rsidRPr="00AF7968">
        <w:rPr>
          <w:sz w:val="28"/>
          <w:szCs w:val="28"/>
        </w:rPr>
        <w:t>193</w:t>
      </w:r>
      <w:proofErr w:type="gramEnd"/>
      <w:r w:rsidRPr="00AF7968">
        <w:rPr>
          <w:sz w:val="28"/>
          <w:szCs w:val="28"/>
        </w:rPr>
        <w:t xml:space="preserve"> (2008)</w:t>
      </w:r>
      <w:r w:rsidRPr="00AF7968">
        <w:rPr>
          <w:snapToGrid w:val="0"/>
          <w:sz w:val="28"/>
          <w:szCs w:val="20"/>
        </w:rPr>
        <w:t xml:space="preserve"> ………..</w:t>
      </w:r>
      <w:r w:rsidRPr="00AF7968">
        <w:rPr>
          <w:snapToGrid w:val="0"/>
          <w:sz w:val="28"/>
          <w:szCs w:val="20"/>
        </w:rPr>
        <w:tab/>
        <w:t>11</w:t>
      </w:r>
    </w:p>
    <w:p w:rsidR="00AF7968" w:rsidRPr="00AF7968" w:rsidRDefault="00AF7968" w:rsidP="00AF7968">
      <w:pPr>
        <w:widowControl/>
        <w:tabs>
          <w:tab w:val="left" w:pos="720"/>
          <w:tab w:val="right" w:leader="dot" w:pos="8640"/>
        </w:tabs>
        <w:spacing w:line="240" w:lineRule="auto"/>
        <w:rPr>
          <w:sz w:val="28"/>
          <w:szCs w:val="28"/>
          <w:u w:val="single"/>
        </w:rPr>
      </w:pP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u w:val="single"/>
        </w:rPr>
        <w:t>Sutherlin v. White</w:t>
      </w:r>
      <w:r w:rsidRPr="00AF7968">
        <w:rPr>
          <w:sz w:val="28"/>
          <w:szCs w:val="28"/>
        </w:rPr>
        <w:t>, 2006 WL 1737860 (2006)</w:t>
      </w:r>
      <w:r w:rsidRPr="00AF7968">
        <w:rPr>
          <w:snapToGrid w:val="0"/>
          <w:sz w:val="28"/>
          <w:szCs w:val="20"/>
        </w:rPr>
        <w:t xml:space="preserve"> ………..</w:t>
      </w:r>
      <w:r w:rsidRPr="00AF7968">
        <w:rPr>
          <w:snapToGrid w:val="0"/>
          <w:sz w:val="28"/>
          <w:szCs w:val="20"/>
        </w:rPr>
        <w:tab/>
        <w:t>12</w:t>
      </w:r>
    </w:p>
    <w:p w:rsidR="00AF7968" w:rsidRPr="00AF7968" w:rsidRDefault="00AF7968" w:rsidP="00AF7968">
      <w:pPr>
        <w:widowControl/>
        <w:tabs>
          <w:tab w:val="left" w:pos="720"/>
          <w:tab w:val="right" w:leader="dot" w:pos="8640"/>
        </w:tabs>
        <w:spacing w:line="240" w:lineRule="auto"/>
        <w:rPr>
          <w:sz w:val="28"/>
          <w:szCs w:val="28"/>
          <w:u w:val="single"/>
        </w:rPr>
      </w:pP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u w:val="single"/>
        </w:rPr>
        <w:t xml:space="preserve">Taylor v. </w:t>
      </w:r>
      <w:proofErr w:type="spellStart"/>
      <w:r w:rsidRPr="00AF7968">
        <w:rPr>
          <w:sz w:val="28"/>
          <w:szCs w:val="28"/>
          <w:u w:val="single"/>
        </w:rPr>
        <w:t>Kohli</w:t>
      </w:r>
      <w:proofErr w:type="spellEnd"/>
      <w:r w:rsidRPr="00AF7968">
        <w:rPr>
          <w:sz w:val="28"/>
          <w:szCs w:val="28"/>
        </w:rPr>
        <w:t xml:space="preserve">, </w:t>
      </w:r>
      <w:proofErr w:type="gramStart"/>
      <w:r w:rsidRPr="00AF7968">
        <w:rPr>
          <w:sz w:val="28"/>
          <w:szCs w:val="28"/>
        </w:rPr>
        <w:t>162 Ill.2d 91,</w:t>
      </w:r>
      <w:proofErr w:type="gramEnd"/>
      <w:r w:rsidRPr="00AF7968">
        <w:rPr>
          <w:sz w:val="28"/>
          <w:szCs w:val="28"/>
        </w:rPr>
        <w:t xml:space="preserve"> 96, 642 N.E.2d 467, 469 (1994)</w:t>
      </w:r>
      <w:r w:rsidRPr="00AF7968">
        <w:rPr>
          <w:snapToGrid w:val="0"/>
          <w:sz w:val="28"/>
          <w:szCs w:val="20"/>
        </w:rPr>
        <w:t xml:space="preserve"> ………..</w:t>
      </w:r>
      <w:r w:rsidRPr="00AF7968">
        <w:rPr>
          <w:snapToGrid w:val="0"/>
          <w:sz w:val="28"/>
          <w:szCs w:val="20"/>
        </w:rPr>
        <w:tab/>
        <w:t>12</w:t>
      </w:r>
    </w:p>
    <w:p w:rsidR="00AF7968" w:rsidRPr="00AF7968" w:rsidRDefault="00AF7968" w:rsidP="00AF7968">
      <w:pPr>
        <w:widowControl/>
        <w:tabs>
          <w:tab w:val="left" w:pos="720"/>
          <w:tab w:val="right" w:leader="dot" w:pos="8640"/>
        </w:tabs>
        <w:spacing w:line="240" w:lineRule="auto"/>
        <w:rPr>
          <w:sz w:val="28"/>
          <w:szCs w:val="28"/>
          <w:u w:val="single"/>
        </w:rPr>
      </w:pP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u w:val="single"/>
        </w:rPr>
        <w:t>U.S. W. Communications, Inc. v. WUTC</w:t>
      </w:r>
      <w:r w:rsidRPr="00AF7968">
        <w:rPr>
          <w:sz w:val="28"/>
          <w:szCs w:val="28"/>
        </w:rPr>
        <w:t xml:space="preserve">, </w:t>
      </w:r>
      <w:proofErr w:type="gramStart"/>
      <w:r w:rsidRPr="00AF7968">
        <w:rPr>
          <w:sz w:val="28"/>
          <w:szCs w:val="28"/>
        </w:rPr>
        <w:t>134 Wn.2d 74, 121, 949</w:t>
      </w:r>
      <w:proofErr w:type="gramEnd"/>
      <w:r w:rsidRPr="00AF7968">
        <w:rPr>
          <w:sz w:val="28"/>
          <w:szCs w:val="28"/>
        </w:rPr>
        <w:t xml:space="preserve"> </w:t>
      </w: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rPr>
        <w:t>(1997)</w:t>
      </w:r>
      <w:r w:rsidRPr="00AF7968">
        <w:rPr>
          <w:snapToGrid w:val="0"/>
          <w:sz w:val="28"/>
          <w:szCs w:val="20"/>
        </w:rPr>
        <w:t xml:space="preserve"> ………..</w:t>
      </w:r>
      <w:r w:rsidRPr="00AF7968">
        <w:rPr>
          <w:snapToGrid w:val="0"/>
          <w:sz w:val="28"/>
          <w:szCs w:val="20"/>
        </w:rPr>
        <w:tab/>
        <w:t>18</w:t>
      </w:r>
    </w:p>
    <w:p w:rsidR="00AF7968" w:rsidRPr="00AF7968" w:rsidRDefault="00AF7968" w:rsidP="00AF7968">
      <w:pPr>
        <w:widowControl/>
        <w:spacing w:line="240" w:lineRule="auto"/>
        <w:ind w:left="240" w:hanging="240"/>
        <w:rPr>
          <w:sz w:val="28"/>
          <w:szCs w:val="28"/>
        </w:rPr>
      </w:pPr>
    </w:p>
    <w:p w:rsidR="00AF7968" w:rsidRPr="00AF7968" w:rsidRDefault="00AF7968" w:rsidP="00AF7968">
      <w:pPr>
        <w:widowControl/>
        <w:tabs>
          <w:tab w:val="left" w:pos="720"/>
          <w:tab w:val="right" w:leader="dot" w:pos="8640"/>
        </w:tabs>
        <w:spacing w:line="240" w:lineRule="auto"/>
        <w:rPr>
          <w:sz w:val="28"/>
          <w:szCs w:val="28"/>
        </w:rPr>
      </w:pPr>
      <w:proofErr w:type="spellStart"/>
      <w:r w:rsidRPr="00AF7968">
        <w:rPr>
          <w:iCs/>
          <w:sz w:val="28"/>
          <w:szCs w:val="28"/>
          <w:u w:val="single"/>
        </w:rPr>
        <w:t>Vallandigham</w:t>
      </w:r>
      <w:proofErr w:type="spellEnd"/>
      <w:r w:rsidRPr="00AF7968">
        <w:rPr>
          <w:iCs/>
          <w:sz w:val="28"/>
          <w:szCs w:val="28"/>
          <w:u w:val="single"/>
        </w:rPr>
        <w:t xml:space="preserve"> v. Clover Park Sch. Dist. No. 400</w:t>
      </w:r>
      <w:r w:rsidRPr="00AF7968">
        <w:rPr>
          <w:sz w:val="28"/>
          <w:szCs w:val="28"/>
        </w:rPr>
        <w:t xml:space="preserve">, </w:t>
      </w:r>
      <w:proofErr w:type="gramStart"/>
      <w:r w:rsidRPr="00AF7968">
        <w:rPr>
          <w:sz w:val="28"/>
          <w:szCs w:val="28"/>
        </w:rPr>
        <w:t>154 Wash.2d</w:t>
      </w:r>
      <w:proofErr w:type="gramEnd"/>
      <w:r w:rsidRPr="00AF7968">
        <w:rPr>
          <w:sz w:val="28"/>
          <w:szCs w:val="28"/>
        </w:rPr>
        <w:t xml:space="preserve"> </w:t>
      </w:r>
    </w:p>
    <w:p w:rsidR="00AF7968" w:rsidRPr="00AF7968" w:rsidRDefault="00AF7968" w:rsidP="00AF7968">
      <w:pPr>
        <w:widowControl/>
        <w:tabs>
          <w:tab w:val="left" w:pos="720"/>
          <w:tab w:val="right" w:leader="dot" w:pos="8640"/>
        </w:tabs>
        <w:spacing w:line="240" w:lineRule="auto"/>
        <w:rPr>
          <w:sz w:val="28"/>
          <w:szCs w:val="28"/>
          <w:u w:val="single"/>
        </w:rPr>
      </w:pPr>
      <w:r w:rsidRPr="00AF7968">
        <w:rPr>
          <w:sz w:val="28"/>
          <w:szCs w:val="28"/>
        </w:rPr>
        <w:t xml:space="preserve">16, 26, </w:t>
      </w:r>
      <w:proofErr w:type="gramStart"/>
      <w:r w:rsidRPr="00AF7968">
        <w:rPr>
          <w:sz w:val="28"/>
          <w:szCs w:val="28"/>
        </w:rPr>
        <w:t>109</w:t>
      </w:r>
      <w:proofErr w:type="gramEnd"/>
      <w:r w:rsidRPr="00AF7968">
        <w:rPr>
          <w:sz w:val="28"/>
          <w:szCs w:val="28"/>
        </w:rPr>
        <w:t xml:space="preserve"> (2005)</w:t>
      </w:r>
      <w:r w:rsidRPr="00AF7968">
        <w:rPr>
          <w:snapToGrid w:val="0"/>
          <w:sz w:val="28"/>
          <w:szCs w:val="20"/>
        </w:rPr>
        <w:t xml:space="preserve"> ………..</w:t>
      </w:r>
      <w:r w:rsidRPr="00AF7968">
        <w:rPr>
          <w:snapToGrid w:val="0"/>
          <w:sz w:val="28"/>
          <w:szCs w:val="20"/>
        </w:rPr>
        <w:tab/>
        <w:t>3</w:t>
      </w:r>
    </w:p>
    <w:p w:rsidR="00AF7968" w:rsidRPr="00AF7968" w:rsidRDefault="00AF7968" w:rsidP="00AF7968">
      <w:pPr>
        <w:widowControl/>
        <w:tabs>
          <w:tab w:val="left" w:pos="720"/>
          <w:tab w:val="right" w:leader="dot" w:pos="8640"/>
        </w:tabs>
        <w:spacing w:line="240" w:lineRule="auto"/>
        <w:rPr>
          <w:sz w:val="28"/>
          <w:szCs w:val="28"/>
          <w:u w:val="single"/>
        </w:rPr>
      </w:pP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u w:val="single"/>
        </w:rPr>
        <w:t>Washington State Attorney General’s Office v. WUTC</w:t>
      </w:r>
      <w:r w:rsidRPr="00AF7968">
        <w:rPr>
          <w:sz w:val="28"/>
          <w:szCs w:val="28"/>
        </w:rPr>
        <w:t xml:space="preserve">, 128 </w:t>
      </w:r>
    </w:p>
    <w:p w:rsidR="00AF7968" w:rsidRPr="00AF7968" w:rsidRDefault="00AF7968" w:rsidP="00AF7968">
      <w:pPr>
        <w:widowControl/>
        <w:tabs>
          <w:tab w:val="left" w:pos="720"/>
          <w:tab w:val="right" w:leader="dot" w:pos="8640"/>
        </w:tabs>
        <w:spacing w:line="240" w:lineRule="auto"/>
        <w:rPr>
          <w:snapToGrid w:val="0"/>
          <w:sz w:val="28"/>
          <w:szCs w:val="20"/>
        </w:rPr>
      </w:pPr>
      <w:proofErr w:type="spellStart"/>
      <w:r w:rsidRPr="00AF7968">
        <w:rPr>
          <w:sz w:val="28"/>
          <w:szCs w:val="28"/>
        </w:rPr>
        <w:t>Wn.App</w:t>
      </w:r>
      <w:proofErr w:type="spellEnd"/>
      <w:r w:rsidRPr="00AF7968">
        <w:rPr>
          <w:sz w:val="28"/>
          <w:szCs w:val="28"/>
        </w:rPr>
        <w:t xml:space="preserve"> 818, 826, 116 (2005)</w:t>
      </w:r>
      <w:r w:rsidRPr="00AF7968">
        <w:rPr>
          <w:snapToGrid w:val="0"/>
          <w:sz w:val="28"/>
          <w:szCs w:val="20"/>
        </w:rPr>
        <w:t xml:space="preserve"> </w:t>
      </w:r>
      <w:r w:rsidRPr="00AF7968">
        <w:rPr>
          <w:snapToGrid w:val="0"/>
          <w:sz w:val="28"/>
          <w:szCs w:val="20"/>
        </w:rPr>
        <w:tab/>
        <w:t>18</w:t>
      </w:r>
    </w:p>
    <w:p w:rsidR="00AF7968" w:rsidRPr="00AF7968" w:rsidRDefault="00AF7968" w:rsidP="00AF7968">
      <w:pPr>
        <w:widowControl/>
        <w:spacing w:line="240" w:lineRule="auto"/>
        <w:rPr>
          <w:sz w:val="28"/>
          <w:szCs w:val="28"/>
          <w:u w:val="single"/>
        </w:rPr>
      </w:pPr>
    </w:p>
    <w:p w:rsidR="00AF7968" w:rsidRPr="00AF7968" w:rsidRDefault="00AF7968" w:rsidP="00AF7968">
      <w:pPr>
        <w:widowControl/>
        <w:spacing w:line="240" w:lineRule="auto"/>
        <w:rPr>
          <w:sz w:val="28"/>
          <w:szCs w:val="28"/>
        </w:rPr>
      </w:pPr>
      <w:r w:rsidRPr="00AF7968">
        <w:rPr>
          <w:sz w:val="28"/>
          <w:szCs w:val="28"/>
          <w:u w:val="single"/>
        </w:rPr>
        <w:t>WUTC v. Avista Corp., d/b/a Avista Utilities</w:t>
      </w:r>
      <w:r w:rsidRPr="00AF7968">
        <w:rPr>
          <w:sz w:val="28"/>
          <w:szCs w:val="28"/>
        </w:rPr>
        <w:t xml:space="preserve">, Docket No. </w:t>
      </w:r>
    </w:p>
    <w:p w:rsidR="00AF7968" w:rsidRPr="00AF7968" w:rsidRDefault="00AF7968" w:rsidP="00AF7968">
      <w:pPr>
        <w:widowControl/>
        <w:tabs>
          <w:tab w:val="left" w:pos="720"/>
          <w:tab w:val="right" w:leader="dot" w:pos="8640"/>
        </w:tabs>
        <w:spacing w:line="240" w:lineRule="auto"/>
        <w:rPr>
          <w:sz w:val="28"/>
          <w:szCs w:val="28"/>
          <w:u w:val="single"/>
        </w:rPr>
      </w:pPr>
      <w:r w:rsidRPr="00AF7968">
        <w:rPr>
          <w:sz w:val="28"/>
          <w:szCs w:val="28"/>
        </w:rPr>
        <w:t>UE-080416/UG-0804167 Order 08 (2008)</w:t>
      </w:r>
      <w:r w:rsidRPr="00AF7968">
        <w:rPr>
          <w:snapToGrid w:val="0"/>
          <w:sz w:val="28"/>
          <w:szCs w:val="20"/>
        </w:rPr>
        <w:t xml:space="preserve"> ………..</w:t>
      </w:r>
      <w:r w:rsidRPr="00AF7968">
        <w:rPr>
          <w:snapToGrid w:val="0"/>
          <w:sz w:val="28"/>
          <w:szCs w:val="20"/>
        </w:rPr>
        <w:tab/>
        <w:t>21</w:t>
      </w:r>
    </w:p>
    <w:p w:rsidR="00AF7968" w:rsidRPr="00AF7968" w:rsidRDefault="00AF7968" w:rsidP="00AF7968">
      <w:pPr>
        <w:widowControl/>
        <w:spacing w:line="240" w:lineRule="auto"/>
        <w:rPr>
          <w:sz w:val="28"/>
          <w:szCs w:val="28"/>
          <w:u w:val="single"/>
        </w:rPr>
      </w:pPr>
    </w:p>
    <w:p w:rsidR="00AF7968" w:rsidRPr="00AF7968" w:rsidRDefault="00AF7968" w:rsidP="00AF7968">
      <w:pPr>
        <w:widowControl/>
        <w:spacing w:line="240" w:lineRule="auto"/>
        <w:rPr>
          <w:sz w:val="28"/>
          <w:szCs w:val="28"/>
        </w:rPr>
      </w:pPr>
      <w:r w:rsidRPr="00AF7968">
        <w:rPr>
          <w:sz w:val="28"/>
          <w:szCs w:val="28"/>
          <w:u w:val="single"/>
        </w:rPr>
        <w:t>WUTC v. Olympic Pipe Line Company</w:t>
      </w:r>
      <w:r w:rsidRPr="00AF7968">
        <w:rPr>
          <w:sz w:val="28"/>
          <w:szCs w:val="28"/>
        </w:rPr>
        <w:t xml:space="preserve">, Docket No. TO-011472 </w:t>
      </w:r>
    </w:p>
    <w:p w:rsidR="00AF7968" w:rsidRPr="00AF7968" w:rsidRDefault="00AF7968" w:rsidP="00AF7968">
      <w:pPr>
        <w:widowControl/>
        <w:spacing w:line="240" w:lineRule="auto"/>
        <w:rPr>
          <w:sz w:val="28"/>
          <w:szCs w:val="28"/>
        </w:rPr>
      </w:pPr>
      <w:r w:rsidRPr="00AF7968">
        <w:rPr>
          <w:sz w:val="28"/>
          <w:szCs w:val="28"/>
        </w:rPr>
        <w:t>(2002)</w:t>
      </w:r>
      <w:r w:rsidRPr="00AF7968">
        <w:rPr>
          <w:snapToGrid w:val="0"/>
          <w:sz w:val="28"/>
          <w:szCs w:val="20"/>
        </w:rPr>
        <w:t xml:space="preserve"> ……………………………………………………………………..32</w:t>
      </w:r>
    </w:p>
    <w:p w:rsidR="00AF7968" w:rsidRPr="00AF7968" w:rsidRDefault="00AF7968" w:rsidP="00AF7968">
      <w:pPr>
        <w:widowControl/>
        <w:spacing w:line="240" w:lineRule="auto"/>
        <w:rPr>
          <w:sz w:val="28"/>
          <w:szCs w:val="28"/>
          <w:u w:val="single"/>
        </w:rPr>
      </w:pPr>
    </w:p>
    <w:p w:rsidR="00AF7968" w:rsidRPr="00AF7968" w:rsidRDefault="00AF7968" w:rsidP="00AF7968">
      <w:pPr>
        <w:widowControl/>
        <w:spacing w:line="240" w:lineRule="auto"/>
        <w:rPr>
          <w:sz w:val="28"/>
          <w:szCs w:val="28"/>
        </w:rPr>
      </w:pPr>
      <w:r w:rsidRPr="00AF7968">
        <w:rPr>
          <w:sz w:val="28"/>
          <w:szCs w:val="28"/>
          <w:u w:val="single"/>
        </w:rPr>
        <w:t>WUTC v. Northwest Natural Gas Co.</w:t>
      </w:r>
      <w:r w:rsidRPr="00AF7968">
        <w:rPr>
          <w:sz w:val="28"/>
          <w:szCs w:val="28"/>
        </w:rPr>
        <w:t xml:space="preserve">, Docket. No. UE-080546, </w:t>
      </w:r>
    </w:p>
    <w:p w:rsidR="00AF7968" w:rsidRPr="00AF7968" w:rsidRDefault="00AF7968" w:rsidP="00AF7968">
      <w:pPr>
        <w:widowControl/>
        <w:spacing w:line="240" w:lineRule="auto"/>
        <w:rPr>
          <w:sz w:val="28"/>
          <w:szCs w:val="28"/>
        </w:rPr>
      </w:pPr>
      <w:r w:rsidRPr="00AF7968">
        <w:rPr>
          <w:sz w:val="28"/>
          <w:szCs w:val="28"/>
        </w:rPr>
        <w:t>Order No. 5 (2010)</w:t>
      </w:r>
      <w:r w:rsidRPr="00AF7968">
        <w:rPr>
          <w:snapToGrid w:val="0"/>
          <w:sz w:val="28"/>
          <w:szCs w:val="20"/>
        </w:rPr>
        <w:t xml:space="preserve"> …………………………………………………..……21</w:t>
      </w:r>
    </w:p>
    <w:p w:rsidR="00AF7968" w:rsidRPr="00AF7968" w:rsidRDefault="00AF7968" w:rsidP="00AF7968">
      <w:pPr>
        <w:widowControl/>
        <w:tabs>
          <w:tab w:val="left" w:pos="720"/>
          <w:tab w:val="right" w:leader="dot" w:pos="8640"/>
        </w:tabs>
        <w:spacing w:line="240" w:lineRule="auto"/>
        <w:rPr>
          <w:sz w:val="28"/>
          <w:szCs w:val="28"/>
          <w:u w:val="single"/>
        </w:rPr>
      </w:pP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u w:val="single"/>
        </w:rPr>
        <w:t>WUTC v. PacifiCorp d/b/a Pacific Power &amp; Light Co.</w:t>
      </w:r>
      <w:r w:rsidRPr="00AF7968">
        <w:rPr>
          <w:sz w:val="28"/>
          <w:szCs w:val="28"/>
        </w:rPr>
        <w:t xml:space="preserve">, Docket No. </w:t>
      </w:r>
    </w:p>
    <w:p w:rsidR="00AF7968" w:rsidRPr="00AF7968" w:rsidRDefault="00AF7968" w:rsidP="00AF7968">
      <w:pPr>
        <w:widowControl/>
        <w:tabs>
          <w:tab w:val="left" w:pos="720"/>
          <w:tab w:val="right" w:leader="dot" w:pos="8640"/>
        </w:tabs>
        <w:spacing w:line="240" w:lineRule="auto"/>
        <w:rPr>
          <w:snapToGrid w:val="0"/>
          <w:sz w:val="28"/>
          <w:szCs w:val="20"/>
        </w:rPr>
      </w:pPr>
      <w:r w:rsidRPr="00AF7968">
        <w:rPr>
          <w:sz w:val="28"/>
          <w:szCs w:val="28"/>
        </w:rPr>
        <w:t>UE-090205 (2009)</w:t>
      </w:r>
      <w:r w:rsidRPr="00AF7968">
        <w:rPr>
          <w:snapToGrid w:val="0"/>
          <w:sz w:val="28"/>
          <w:szCs w:val="20"/>
        </w:rPr>
        <w:t>………..</w:t>
      </w:r>
      <w:r w:rsidRPr="00AF7968">
        <w:rPr>
          <w:snapToGrid w:val="0"/>
          <w:sz w:val="28"/>
          <w:szCs w:val="20"/>
        </w:rPr>
        <w:tab/>
        <w:t>1</w:t>
      </w:r>
    </w:p>
    <w:p w:rsidR="00AF7968" w:rsidRPr="00AF7968" w:rsidRDefault="00AF7968" w:rsidP="00AF7968">
      <w:pPr>
        <w:widowControl/>
        <w:tabs>
          <w:tab w:val="left" w:pos="720"/>
          <w:tab w:val="right" w:leader="dot" w:pos="8640"/>
        </w:tabs>
        <w:spacing w:line="240" w:lineRule="auto"/>
        <w:rPr>
          <w:snapToGrid w:val="0"/>
          <w:sz w:val="28"/>
          <w:szCs w:val="20"/>
        </w:rPr>
      </w:pP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u w:val="single"/>
        </w:rPr>
        <w:t>WUTC v. PacifiCorp d/b/a Pacific Power &amp; Light Co.</w:t>
      </w:r>
      <w:r w:rsidRPr="00AF7968">
        <w:rPr>
          <w:sz w:val="28"/>
          <w:szCs w:val="28"/>
        </w:rPr>
        <w:t xml:space="preserve">, Docket No. </w:t>
      </w: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rPr>
        <w:t>UE-100749 (Pending Final Order)</w:t>
      </w:r>
      <w:r w:rsidRPr="00AF7968">
        <w:rPr>
          <w:snapToGrid w:val="0"/>
          <w:sz w:val="28"/>
          <w:szCs w:val="20"/>
        </w:rPr>
        <w:t>………..</w:t>
      </w:r>
      <w:r w:rsidRPr="00AF7968">
        <w:rPr>
          <w:snapToGrid w:val="0"/>
          <w:sz w:val="28"/>
          <w:szCs w:val="20"/>
        </w:rPr>
        <w:tab/>
        <w:t>2</w:t>
      </w:r>
    </w:p>
    <w:p w:rsidR="00AF7968" w:rsidRPr="00AF7968" w:rsidRDefault="00AF7968" w:rsidP="00AF7968">
      <w:pPr>
        <w:widowControl/>
        <w:tabs>
          <w:tab w:val="left" w:pos="720"/>
          <w:tab w:val="right" w:leader="dot" w:pos="8640"/>
        </w:tabs>
        <w:spacing w:line="240" w:lineRule="auto"/>
        <w:rPr>
          <w:sz w:val="28"/>
          <w:szCs w:val="28"/>
          <w:u w:val="single"/>
        </w:rPr>
      </w:pPr>
    </w:p>
    <w:p w:rsidR="00AF7968" w:rsidRPr="00AF7968" w:rsidRDefault="00AF7968" w:rsidP="00AF7968">
      <w:pPr>
        <w:widowControl/>
        <w:tabs>
          <w:tab w:val="left" w:pos="720"/>
          <w:tab w:val="right" w:leader="dot" w:pos="8640"/>
        </w:tabs>
        <w:spacing w:line="240" w:lineRule="auto"/>
        <w:rPr>
          <w:sz w:val="28"/>
          <w:szCs w:val="28"/>
        </w:rPr>
      </w:pPr>
      <w:r w:rsidRPr="00AF7968">
        <w:rPr>
          <w:sz w:val="28"/>
          <w:szCs w:val="28"/>
          <w:u w:val="single"/>
        </w:rPr>
        <w:t>WUTC v. Puget Sound Power &amp; Light Co.</w:t>
      </w:r>
      <w:r w:rsidRPr="00AF7968">
        <w:rPr>
          <w:sz w:val="28"/>
          <w:szCs w:val="28"/>
        </w:rPr>
        <w:t xml:space="preserve">, Docket No. U-81-41, </w:t>
      </w:r>
    </w:p>
    <w:p w:rsidR="00AF7968" w:rsidRPr="00AF7968" w:rsidRDefault="00AF7968" w:rsidP="00AF7968">
      <w:pPr>
        <w:widowControl/>
        <w:tabs>
          <w:tab w:val="left" w:pos="720"/>
          <w:tab w:val="right" w:leader="dot" w:pos="8640"/>
        </w:tabs>
        <w:spacing w:line="240" w:lineRule="auto"/>
        <w:rPr>
          <w:sz w:val="28"/>
          <w:szCs w:val="28"/>
          <w:u w:val="single"/>
        </w:rPr>
      </w:pPr>
      <w:r w:rsidRPr="00AF7968">
        <w:rPr>
          <w:sz w:val="28"/>
          <w:szCs w:val="28"/>
        </w:rPr>
        <w:t>Sixth Supp. Order (1988)</w:t>
      </w:r>
      <w:r w:rsidRPr="00AF7968">
        <w:rPr>
          <w:snapToGrid w:val="0"/>
          <w:sz w:val="28"/>
          <w:szCs w:val="20"/>
        </w:rPr>
        <w:tab/>
        <w:t>22, 23</w:t>
      </w:r>
    </w:p>
    <w:p w:rsidR="00AF7968" w:rsidRPr="00AF7968" w:rsidRDefault="00AF7968" w:rsidP="00AF7968">
      <w:pPr>
        <w:widowControl/>
        <w:tabs>
          <w:tab w:val="left" w:pos="720"/>
          <w:tab w:val="right" w:leader="dot" w:pos="8640"/>
        </w:tabs>
        <w:spacing w:line="240" w:lineRule="auto"/>
        <w:rPr>
          <w:sz w:val="28"/>
          <w:szCs w:val="28"/>
          <w:u w:val="single"/>
        </w:rPr>
      </w:pPr>
    </w:p>
    <w:p w:rsidR="00AF7968" w:rsidRPr="00AF7968" w:rsidRDefault="00AF7968" w:rsidP="00AF7968">
      <w:pPr>
        <w:widowControl/>
        <w:tabs>
          <w:tab w:val="left" w:pos="720"/>
          <w:tab w:val="right" w:leader="dot" w:pos="8640"/>
        </w:tabs>
        <w:spacing w:line="240" w:lineRule="auto"/>
        <w:rPr>
          <w:sz w:val="28"/>
          <w:szCs w:val="28"/>
        </w:rPr>
      </w:pPr>
      <w:proofErr w:type="gramStart"/>
      <w:r w:rsidRPr="00AF7968">
        <w:rPr>
          <w:sz w:val="28"/>
          <w:szCs w:val="28"/>
          <w:u w:val="single"/>
        </w:rPr>
        <w:t xml:space="preserve">WUTC v. U.S. West </w:t>
      </w:r>
      <w:proofErr w:type="spellStart"/>
      <w:r w:rsidRPr="00AF7968">
        <w:rPr>
          <w:sz w:val="28"/>
          <w:szCs w:val="28"/>
          <w:u w:val="single"/>
        </w:rPr>
        <w:t>Commun</w:t>
      </w:r>
      <w:proofErr w:type="spellEnd"/>
      <w:r w:rsidRPr="00AF7968">
        <w:rPr>
          <w:sz w:val="28"/>
          <w:szCs w:val="28"/>
          <w:u w:val="single"/>
        </w:rPr>
        <w:t>., Inc</w:t>
      </w:r>
      <w:r w:rsidRPr="00AF7968">
        <w:rPr>
          <w:i/>
          <w:sz w:val="28"/>
          <w:szCs w:val="28"/>
          <w:u w:val="single"/>
        </w:rPr>
        <w:t>.</w:t>
      </w:r>
      <w:r w:rsidRPr="00AF7968">
        <w:rPr>
          <w:i/>
          <w:sz w:val="28"/>
          <w:szCs w:val="28"/>
        </w:rPr>
        <w:t xml:space="preserve">, </w:t>
      </w:r>
      <w:r w:rsidRPr="00AF7968">
        <w:rPr>
          <w:sz w:val="28"/>
          <w:szCs w:val="28"/>
        </w:rPr>
        <w:t>Docket No.</w:t>
      </w:r>
      <w:proofErr w:type="gramEnd"/>
      <w:r w:rsidRPr="00AF7968">
        <w:rPr>
          <w:sz w:val="28"/>
          <w:szCs w:val="28"/>
        </w:rPr>
        <w:t xml:space="preserve"> UT-970010, Second</w:t>
      </w:r>
    </w:p>
    <w:p w:rsidR="00AF7968" w:rsidRPr="00AF7968" w:rsidRDefault="00AF7968" w:rsidP="00AF7968">
      <w:pPr>
        <w:widowControl/>
        <w:tabs>
          <w:tab w:val="left" w:pos="720"/>
          <w:tab w:val="right" w:leader="dot" w:pos="8640"/>
        </w:tabs>
        <w:spacing w:line="240" w:lineRule="auto"/>
        <w:rPr>
          <w:sz w:val="28"/>
          <w:szCs w:val="28"/>
          <w:u w:val="single"/>
        </w:rPr>
      </w:pPr>
      <w:r w:rsidRPr="00AF7968">
        <w:rPr>
          <w:sz w:val="28"/>
          <w:szCs w:val="28"/>
        </w:rPr>
        <w:t>Supp. Order (1997)</w:t>
      </w:r>
      <w:r w:rsidRPr="00AF7968">
        <w:rPr>
          <w:snapToGrid w:val="0"/>
          <w:sz w:val="28"/>
          <w:szCs w:val="20"/>
        </w:rPr>
        <w:tab/>
        <w:t>22</w:t>
      </w:r>
    </w:p>
    <w:p w:rsidR="00AF7968" w:rsidRPr="00AF7968" w:rsidRDefault="00AF7968" w:rsidP="00AF7968">
      <w:pPr>
        <w:widowControl/>
        <w:tabs>
          <w:tab w:val="left" w:pos="720"/>
          <w:tab w:val="right" w:leader="dot" w:pos="8640"/>
        </w:tabs>
        <w:spacing w:line="240" w:lineRule="auto"/>
        <w:rPr>
          <w:snapToGrid w:val="0"/>
          <w:sz w:val="28"/>
          <w:szCs w:val="20"/>
        </w:rPr>
      </w:pPr>
    </w:p>
    <w:p w:rsidR="00AF7968" w:rsidRPr="00AF7968" w:rsidRDefault="00AF7968" w:rsidP="00AF7968">
      <w:pPr>
        <w:widowControl/>
        <w:tabs>
          <w:tab w:val="left" w:pos="720"/>
          <w:tab w:val="right" w:leader="dot" w:pos="8640"/>
        </w:tabs>
        <w:spacing w:line="240" w:lineRule="auto"/>
        <w:rPr>
          <w:snapToGrid w:val="0"/>
          <w:sz w:val="28"/>
          <w:szCs w:val="20"/>
        </w:rPr>
      </w:pPr>
      <w:proofErr w:type="gramStart"/>
      <w:r w:rsidRPr="00AF7968">
        <w:rPr>
          <w:snapToGrid w:val="0"/>
          <w:sz w:val="28"/>
          <w:szCs w:val="20"/>
          <w:u w:val="single"/>
        </w:rPr>
        <w:lastRenderedPageBreak/>
        <w:t>WUTC v. Puget Sound Energy, Inc.</w:t>
      </w:r>
      <w:r w:rsidRPr="00AF7968">
        <w:rPr>
          <w:snapToGrid w:val="0"/>
          <w:sz w:val="28"/>
          <w:szCs w:val="20"/>
        </w:rPr>
        <w:t xml:space="preserve"> Docket Nos.</w:t>
      </w:r>
      <w:proofErr w:type="gramEnd"/>
      <w:r w:rsidRPr="00AF7968">
        <w:rPr>
          <w:snapToGrid w:val="0"/>
          <w:sz w:val="28"/>
          <w:szCs w:val="20"/>
        </w:rPr>
        <w:t xml:space="preserve"> UE-072300 and </w:t>
      </w:r>
    </w:p>
    <w:p w:rsidR="00AF7968" w:rsidRPr="00AF7968" w:rsidRDefault="00AF7968" w:rsidP="00AF7968">
      <w:pPr>
        <w:widowControl/>
        <w:tabs>
          <w:tab w:val="left" w:pos="720"/>
          <w:tab w:val="right" w:leader="dot" w:pos="8640"/>
        </w:tabs>
        <w:spacing w:line="240" w:lineRule="auto"/>
        <w:rPr>
          <w:snapToGrid w:val="0"/>
          <w:sz w:val="28"/>
          <w:szCs w:val="20"/>
        </w:rPr>
      </w:pPr>
      <w:r w:rsidRPr="00AF7968">
        <w:rPr>
          <w:snapToGrid w:val="0"/>
          <w:sz w:val="28"/>
          <w:szCs w:val="20"/>
        </w:rPr>
        <w:t>UG-072301, Order No. 13(2009)</w:t>
      </w:r>
      <w:r w:rsidRPr="00AF7968">
        <w:rPr>
          <w:snapToGrid w:val="0"/>
          <w:sz w:val="28"/>
          <w:szCs w:val="20"/>
        </w:rPr>
        <w:tab/>
        <w:t>25</w:t>
      </w:r>
    </w:p>
    <w:p w:rsidR="00AF7968" w:rsidRPr="00AF7968" w:rsidRDefault="00AF7968" w:rsidP="00AF7968">
      <w:pPr>
        <w:widowControl/>
        <w:tabs>
          <w:tab w:val="left" w:pos="720"/>
          <w:tab w:val="right" w:leader="dot" w:pos="8640"/>
        </w:tabs>
        <w:spacing w:line="240" w:lineRule="auto"/>
        <w:rPr>
          <w:snapToGrid w:val="0"/>
          <w:sz w:val="28"/>
          <w:szCs w:val="20"/>
        </w:rPr>
      </w:pPr>
    </w:p>
    <w:p w:rsidR="00AF7968" w:rsidRPr="00AF7968" w:rsidRDefault="00AF7968" w:rsidP="00AF7968">
      <w:pPr>
        <w:widowControl/>
        <w:tabs>
          <w:tab w:val="left" w:pos="720"/>
          <w:tab w:val="right" w:leader="dot" w:pos="8640"/>
        </w:tabs>
        <w:spacing w:line="240" w:lineRule="auto"/>
        <w:rPr>
          <w:snapToGrid w:val="0"/>
          <w:sz w:val="28"/>
          <w:szCs w:val="20"/>
        </w:rPr>
      </w:pPr>
    </w:p>
    <w:p w:rsidR="00AF7968" w:rsidRPr="00AF7968" w:rsidRDefault="00AF7968" w:rsidP="00AF7968">
      <w:pPr>
        <w:widowControl/>
        <w:spacing w:line="240" w:lineRule="auto"/>
        <w:ind w:left="240" w:hanging="240"/>
        <w:rPr>
          <w:b/>
          <w:sz w:val="28"/>
          <w:szCs w:val="28"/>
        </w:rPr>
      </w:pPr>
    </w:p>
    <w:p w:rsidR="00AF7968" w:rsidRPr="00AF7968" w:rsidRDefault="00AF7968" w:rsidP="00AF7968">
      <w:pPr>
        <w:widowControl/>
        <w:spacing w:line="240" w:lineRule="auto"/>
        <w:ind w:left="240" w:hanging="240"/>
        <w:rPr>
          <w:sz w:val="28"/>
          <w:szCs w:val="28"/>
        </w:rPr>
      </w:pPr>
      <w:r w:rsidRPr="00AF7968">
        <w:rPr>
          <w:b/>
          <w:sz w:val="28"/>
          <w:szCs w:val="28"/>
        </w:rPr>
        <w:tab/>
      </w:r>
      <w:r w:rsidRPr="00AF7968">
        <w:rPr>
          <w:b/>
          <w:sz w:val="28"/>
          <w:szCs w:val="28"/>
        </w:rPr>
        <w:tab/>
      </w:r>
      <w:r w:rsidRPr="00AF7968">
        <w:rPr>
          <w:b/>
          <w:sz w:val="28"/>
          <w:szCs w:val="28"/>
        </w:rPr>
        <w:tab/>
      </w:r>
      <w:r w:rsidRPr="00AF7968">
        <w:rPr>
          <w:b/>
          <w:sz w:val="28"/>
          <w:szCs w:val="28"/>
        </w:rPr>
        <w:tab/>
      </w:r>
      <w:r w:rsidRPr="00AF7968">
        <w:rPr>
          <w:b/>
          <w:sz w:val="28"/>
          <w:szCs w:val="28"/>
        </w:rPr>
        <w:tab/>
      </w:r>
      <w:r w:rsidRPr="00AF7968">
        <w:rPr>
          <w:b/>
          <w:sz w:val="28"/>
          <w:szCs w:val="28"/>
          <w:u w:val="single"/>
        </w:rPr>
        <w:t>Statutes and Rules</w:t>
      </w:r>
      <w:r w:rsidRPr="00AF7968">
        <w:rPr>
          <w:sz w:val="28"/>
          <w:szCs w:val="28"/>
        </w:rPr>
        <w:tab/>
      </w:r>
      <w:r w:rsidRPr="00AF7968">
        <w:rPr>
          <w:sz w:val="28"/>
          <w:szCs w:val="28"/>
        </w:rPr>
        <w:tab/>
        <w:t xml:space="preserve">                  </w:t>
      </w:r>
      <w:r w:rsidRPr="00AF7968">
        <w:rPr>
          <w:sz w:val="28"/>
          <w:szCs w:val="28"/>
        </w:rPr>
        <w:tab/>
      </w:r>
      <w:r w:rsidRPr="00AF7968">
        <w:rPr>
          <w:b/>
          <w:sz w:val="28"/>
          <w:szCs w:val="28"/>
          <w:u w:val="single"/>
        </w:rPr>
        <w:t>Page</w:t>
      </w:r>
    </w:p>
    <w:p w:rsidR="00AF7968" w:rsidRPr="00AF7968" w:rsidRDefault="00AF7968" w:rsidP="00AF7968">
      <w:pPr>
        <w:widowControl/>
        <w:spacing w:line="240" w:lineRule="auto"/>
        <w:ind w:left="240" w:right="720" w:hanging="240"/>
        <w:rPr>
          <w:sz w:val="28"/>
          <w:szCs w:val="28"/>
        </w:rPr>
      </w:pPr>
    </w:p>
    <w:p w:rsidR="00AF7968" w:rsidRPr="00AF7968" w:rsidRDefault="00AF7968" w:rsidP="00AF7968">
      <w:pPr>
        <w:widowControl/>
        <w:tabs>
          <w:tab w:val="left" w:pos="720"/>
          <w:tab w:val="right" w:leader="dot" w:pos="8640"/>
        </w:tabs>
        <w:spacing w:line="240" w:lineRule="auto"/>
        <w:rPr>
          <w:sz w:val="28"/>
          <w:szCs w:val="28"/>
          <w:u w:val="single"/>
        </w:rPr>
      </w:pPr>
      <w:r w:rsidRPr="00AF7968">
        <w:rPr>
          <w:sz w:val="28"/>
          <w:szCs w:val="28"/>
        </w:rPr>
        <w:t>RCW 34.05.452(3)</w:t>
      </w:r>
      <w:r w:rsidRPr="00AF7968">
        <w:rPr>
          <w:snapToGrid w:val="0"/>
          <w:sz w:val="28"/>
          <w:szCs w:val="20"/>
        </w:rPr>
        <w:tab/>
        <w:t>7</w:t>
      </w:r>
    </w:p>
    <w:p w:rsidR="00AF7968" w:rsidRPr="00AF7968" w:rsidRDefault="00AF7968" w:rsidP="00AF7968">
      <w:pPr>
        <w:widowControl/>
        <w:spacing w:line="240" w:lineRule="auto"/>
        <w:ind w:left="240" w:right="720" w:hanging="240"/>
        <w:rPr>
          <w:sz w:val="28"/>
          <w:szCs w:val="28"/>
        </w:rPr>
      </w:pPr>
    </w:p>
    <w:p w:rsidR="00AF7968" w:rsidRPr="00AF7968" w:rsidRDefault="00AF7968" w:rsidP="00AF7968">
      <w:pPr>
        <w:widowControl/>
        <w:tabs>
          <w:tab w:val="left" w:pos="720"/>
          <w:tab w:val="right" w:leader="dot" w:pos="8640"/>
        </w:tabs>
        <w:spacing w:line="240" w:lineRule="auto"/>
        <w:rPr>
          <w:sz w:val="28"/>
          <w:szCs w:val="28"/>
          <w:u w:val="single"/>
        </w:rPr>
      </w:pPr>
      <w:proofErr w:type="gramStart"/>
      <w:r w:rsidRPr="00AF7968">
        <w:rPr>
          <w:sz w:val="28"/>
          <w:szCs w:val="28"/>
        </w:rPr>
        <w:t>RCW  80.04.110</w:t>
      </w:r>
      <w:proofErr w:type="gramEnd"/>
      <w:r w:rsidRPr="00AF7968">
        <w:rPr>
          <w:snapToGrid w:val="0"/>
          <w:sz w:val="28"/>
          <w:szCs w:val="20"/>
        </w:rPr>
        <w:tab/>
        <w:t>18</w:t>
      </w:r>
    </w:p>
    <w:p w:rsidR="00AF7968" w:rsidRPr="00AF7968" w:rsidRDefault="00AF7968" w:rsidP="00AF7968">
      <w:pPr>
        <w:widowControl/>
        <w:spacing w:line="240" w:lineRule="auto"/>
        <w:ind w:left="240" w:right="720" w:hanging="240"/>
        <w:rPr>
          <w:sz w:val="28"/>
          <w:szCs w:val="28"/>
        </w:rPr>
      </w:pPr>
    </w:p>
    <w:p w:rsidR="00AF7968" w:rsidRPr="00AF7968" w:rsidRDefault="00AF7968" w:rsidP="00AF7968">
      <w:pPr>
        <w:widowControl/>
        <w:tabs>
          <w:tab w:val="left" w:pos="720"/>
          <w:tab w:val="right" w:leader="dot" w:pos="8640"/>
        </w:tabs>
        <w:spacing w:line="240" w:lineRule="auto"/>
        <w:rPr>
          <w:sz w:val="28"/>
          <w:szCs w:val="28"/>
          <w:u w:val="single"/>
        </w:rPr>
      </w:pPr>
      <w:r w:rsidRPr="00AF7968">
        <w:rPr>
          <w:sz w:val="28"/>
          <w:szCs w:val="28"/>
        </w:rPr>
        <w:t>RCW 80.04.130</w:t>
      </w:r>
      <w:r w:rsidRPr="00AF7968">
        <w:rPr>
          <w:snapToGrid w:val="0"/>
          <w:sz w:val="28"/>
          <w:szCs w:val="20"/>
        </w:rPr>
        <w:tab/>
        <w:t>8</w:t>
      </w:r>
    </w:p>
    <w:p w:rsidR="00AF7968" w:rsidRPr="00AF7968" w:rsidRDefault="00AF7968" w:rsidP="00AF7968">
      <w:pPr>
        <w:widowControl/>
        <w:spacing w:line="240" w:lineRule="auto"/>
        <w:ind w:left="240" w:right="720" w:hanging="240"/>
        <w:rPr>
          <w:sz w:val="28"/>
          <w:szCs w:val="28"/>
        </w:rPr>
      </w:pPr>
    </w:p>
    <w:p w:rsidR="00AF7968" w:rsidRPr="00AF7968" w:rsidRDefault="00AF7968" w:rsidP="00AF7968">
      <w:pPr>
        <w:widowControl/>
        <w:tabs>
          <w:tab w:val="left" w:pos="720"/>
          <w:tab w:val="right" w:leader="dot" w:pos="8640"/>
        </w:tabs>
        <w:spacing w:line="240" w:lineRule="auto"/>
        <w:rPr>
          <w:sz w:val="28"/>
          <w:szCs w:val="28"/>
          <w:u w:val="single"/>
        </w:rPr>
      </w:pPr>
      <w:r w:rsidRPr="00AF7968">
        <w:rPr>
          <w:sz w:val="28"/>
          <w:szCs w:val="28"/>
        </w:rPr>
        <w:t>RCW 80.04.210</w:t>
      </w:r>
      <w:r w:rsidRPr="00AF7968">
        <w:rPr>
          <w:snapToGrid w:val="0"/>
          <w:sz w:val="28"/>
          <w:szCs w:val="20"/>
        </w:rPr>
        <w:tab/>
        <w:t>8</w:t>
      </w:r>
    </w:p>
    <w:p w:rsidR="00AF7968" w:rsidRPr="00AF7968" w:rsidRDefault="00AF7968" w:rsidP="00AF7968">
      <w:pPr>
        <w:widowControl/>
        <w:spacing w:line="240" w:lineRule="auto"/>
        <w:ind w:left="240" w:right="720" w:hanging="240"/>
        <w:rPr>
          <w:sz w:val="28"/>
          <w:szCs w:val="28"/>
          <w:lang w:val="fr-FR"/>
        </w:rPr>
      </w:pPr>
    </w:p>
    <w:p w:rsidR="00AF7968" w:rsidRPr="00AF7968" w:rsidRDefault="00AF7968" w:rsidP="00AF7968">
      <w:pPr>
        <w:widowControl/>
        <w:tabs>
          <w:tab w:val="left" w:pos="720"/>
          <w:tab w:val="right" w:leader="dot" w:pos="8640"/>
        </w:tabs>
        <w:spacing w:line="240" w:lineRule="auto"/>
        <w:rPr>
          <w:sz w:val="28"/>
          <w:szCs w:val="28"/>
          <w:u w:val="single"/>
        </w:rPr>
      </w:pPr>
      <w:r w:rsidRPr="00AF7968">
        <w:rPr>
          <w:sz w:val="28"/>
          <w:szCs w:val="28"/>
        </w:rPr>
        <w:t>RCW 80.04.230</w:t>
      </w:r>
      <w:r w:rsidRPr="00AF7968">
        <w:rPr>
          <w:snapToGrid w:val="0"/>
          <w:sz w:val="28"/>
          <w:szCs w:val="20"/>
        </w:rPr>
        <w:tab/>
        <w:t>8</w:t>
      </w:r>
    </w:p>
    <w:p w:rsidR="00AF7968" w:rsidRPr="00AF7968" w:rsidRDefault="00AF7968" w:rsidP="00AF7968">
      <w:pPr>
        <w:widowControl/>
        <w:spacing w:line="240" w:lineRule="auto"/>
        <w:ind w:left="240" w:right="720" w:hanging="240"/>
        <w:rPr>
          <w:sz w:val="28"/>
          <w:szCs w:val="28"/>
        </w:rPr>
      </w:pPr>
    </w:p>
    <w:p w:rsidR="00AF7968" w:rsidRPr="00AF7968" w:rsidRDefault="00AF7968" w:rsidP="00AF7968">
      <w:pPr>
        <w:widowControl/>
        <w:tabs>
          <w:tab w:val="left" w:pos="720"/>
          <w:tab w:val="right" w:leader="dot" w:pos="8640"/>
        </w:tabs>
        <w:spacing w:line="240" w:lineRule="auto"/>
        <w:rPr>
          <w:sz w:val="28"/>
          <w:szCs w:val="28"/>
          <w:u w:val="single"/>
        </w:rPr>
      </w:pPr>
      <w:r w:rsidRPr="00AF7968">
        <w:rPr>
          <w:sz w:val="28"/>
          <w:szCs w:val="28"/>
        </w:rPr>
        <w:t>RCW 80.04.240</w:t>
      </w:r>
      <w:r w:rsidRPr="00AF7968">
        <w:rPr>
          <w:snapToGrid w:val="0"/>
          <w:sz w:val="28"/>
          <w:szCs w:val="20"/>
        </w:rPr>
        <w:tab/>
        <w:t>18</w:t>
      </w:r>
    </w:p>
    <w:p w:rsidR="00AF7968" w:rsidRPr="00AF7968" w:rsidRDefault="00AF7968" w:rsidP="00AF7968">
      <w:pPr>
        <w:widowControl/>
        <w:spacing w:line="240" w:lineRule="auto"/>
        <w:ind w:left="240" w:right="720" w:hanging="240"/>
        <w:rPr>
          <w:sz w:val="28"/>
          <w:szCs w:val="28"/>
        </w:rPr>
      </w:pPr>
    </w:p>
    <w:p w:rsidR="00AF7968" w:rsidRPr="00AF7968" w:rsidRDefault="00AF7968" w:rsidP="00AF7968">
      <w:pPr>
        <w:widowControl/>
        <w:tabs>
          <w:tab w:val="left" w:pos="720"/>
          <w:tab w:val="right" w:leader="dot" w:pos="8640"/>
        </w:tabs>
        <w:spacing w:line="240" w:lineRule="auto"/>
        <w:rPr>
          <w:sz w:val="28"/>
          <w:szCs w:val="28"/>
          <w:u w:val="single"/>
        </w:rPr>
      </w:pPr>
      <w:r w:rsidRPr="00AF7968">
        <w:rPr>
          <w:sz w:val="28"/>
          <w:szCs w:val="28"/>
        </w:rPr>
        <w:t>WAC 480-07-380</w:t>
      </w:r>
      <w:r w:rsidRPr="00AF7968">
        <w:rPr>
          <w:snapToGrid w:val="0"/>
          <w:sz w:val="28"/>
          <w:szCs w:val="20"/>
        </w:rPr>
        <w:tab/>
        <w:t>3</w:t>
      </w:r>
      <w:proofErr w:type="gramStart"/>
      <w:r w:rsidRPr="00AF7968">
        <w:rPr>
          <w:snapToGrid w:val="0"/>
          <w:sz w:val="28"/>
          <w:szCs w:val="20"/>
        </w:rPr>
        <w:t>,4</w:t>
      </w:r>
      <w:proofErr w:type="gramEnd"/>
    </w:p>
    <w:p w:rsidR="00AF7968" w:rsidRPr="00AF7968" w:rsidRDefault="00AF7968" w:rsidP="00AF7968">
      <w:pPr>
        <w:widowControl/>
        <w:spacing w:line="240" w:lineRule="auto"/>
        <w:ind w:left="240" w:right="720" w:hanging="240"/>
        <w:rPr>
          <w:sz w:val="28"/>
          <w:szCs w:val="28"/>
        </w:rPr>
      </w:pPr>
    </w:p>
    <w:p w:rsidR="00AF7968" w:rsidRPr="00AF7968" w:rsidRDefault="00AF7968" w:rsidP="00AF7968">
      <w:pPr>
        <w:widowControl/>
        <w:tabs>
          <w:tab w:val="left" w:pos="720"/>
          <w:tab w:val="right" w:leader="dot" w:pos="8640"/>
        </w:tabs>
        <w:spacing w:line="240" w:lineRule="auto"/>
        <w:rPr>
          <w:sz w:val="28"/>
          <w:szCs w:val="28"/>
          <w:u w:val="single"/>
        </w:rPr>
      </w:pPr>
      <w:r w:rsidRPr="00AF7968">
        <w:rPr>
          <w:sz w:val="28"/>
          <w:szCs w:val="28"/>
        </w:rPr>
        <w:t>WAC 480-07-395(4)</w:t>
      </w:r>
      <w:r w:rsidRPr="00AF7968">
        <w:rPr>
          <w:snapToGrid w:val="0"/>
          <w:sz w:val="28"/>
          <w:szCs w:val="20"/>
        </w:rPr>
        <w:tab/>
        <w:t>20</w:t>
      </w:r>
    </w:p>
    <w:p w:rsidR="00AF7968" w:rsidRPr="00AF7968" w:rsidRDefault="00AF7968" w:rsidP="00AF7968">
      <w:pPr>
        <w:widowControl/>
        <w:spacing w:line="240" w:lineRule="auto"/>
        <w:ind w:left="240" w:right="720" w:hanging="240"/>
        <w:rPr>
          <w:sz w:val="28"/>
          <w:szCs w:val="28"/>
        </w:rPr>
      </w:pPr>
    </w:p>
    <w:p w:rsidR="00AF7968" w:rsidRPr="00AF7968" w:rsidRDefault="00AF7968" w:rsidP="00AF7968">
      <w:pPr>
        <w:widowControl/>
        <w:tabs>
          <w:tab w:val="left" w:pos="720"/>
          <w:tab w:val="right" w:leader="dot" w:pos="8640"/>
        </w:tabs>
        <w:spacing w:line="240" w:lineRule="auto"/>
        <w:rPr>
          <w:sz w:val="28"/>
          <w:szCs w:val="28"/>
          <w:u w:val="single"/>
        </w:rPr>
      </w:pPr>
      <w:r w:rsidRPr="00AF7968">
        <w:rPr>
          <w:sz w:val="28"/>
          <w:szCs w:val="28"/>
        </w:rPr>
        <w:t>WAC 480-07-540</w:t>
      </w:r>
      <w:r w:rsidRPr="00AF7968">
        <w:rPr>
          <w:snapToGrid w:val="0"/>
          <w:sz w:val="28"/>
          <w:szCs w:val="20"/>
        </w:rPr>
        <w:tab/>
        <w:t>8</w:t>
      </w:r>
    </w:p>
    <w:p w:rsidR="00AF7968" w:rsidRPr="00AF7968" w:rsidRDefault="00AF7968" w:rsidP="00AF7968">
      <w:pPr>
        <w:widowControl/>
        <w:spacing w:line="240" w:lineRule="auto"/>
        <w:ind w:left="240" w:right="720" w:hanging="240"/>
        <w:rPr>
          <w:sz w:val="28"/>
          <w:szCs w:val="28"/>
        </w:rPr>
      </w:pPr>
    </w:p>
    <w:p w:rsidR="00AF7968" w:rsidRPr="00AF7968" w:rsidRDefault="00AF7968" w:rsidP="00AF7968">
      <w:pPr>
        <w:widowControl/>
        <w:tabs>
          <w:tab w:val="left" w:pos="720"/>
          <w:tab w:val="right" w:leader="dot" w:pos="8640"/>
        </w:tabs>
        <w:spacing w:line="240" w:lineRule="auto"/>
        <w:rPr>
          <w:sz w:val="28"/>
          <w:szCs w:val="28"/>
          <w:u w:val="single"/>
        </w:rPr>
      </w:pPr>
      <w:r w:rsidRPr="00AF7968">
        <w:rPr>
          <w:sz w:val="28"/>
          <w:szCs w:val="28"/>
        </w:rPr>
        <w:t>Washington Superior Court Civil Rule (“CR”) 56(c)</w:t>
      </w:r>
      <w:r w:rsidRPr="00AF7968">
        <w:rPr>
          <w:snapToGrid w:val="0"/>
          <w:sz w:val="28"/>
          <w:szCs w:val="20"/>
        </w:rPr>
        <w:tab/>
        <w:t>8</w:t>
      </w:r>
    </w:p>
    <w:p w:rsidR="00355340" w:rsidRDefault="00355340" w:rsidP="000B7369">
      <w:pPr>
        <w:pStyle w:val="WUTCParagraph"/>
        <w:numPr>
          <w:ilvl w:val="0"/>
          <w:numId w:val="0"/>
        </w:numPr>
        <w:spacing w:line="240" w:lineRule="auto"/>
        <w:sectPr w:rsidR="00355340" w:rsidSect="003A797D">
          <w:footnotePr>
            <w:pos w:val="beneathText"/>
          </w:footnotePr>
          <w:pgSz w:w="12240" w:h="15840" w:code="1"/>
          <w:pgMar w:top="1440" w:right="1440" w:bottom="1440" w:left="1440" w:header="432" w:footer="720" w:gutter="0"/>
          <w:paperSrc w:first="15" w:other="15"/>
          <w:pgNumType w:fmt="lowerRoman" w:start="1"/>
          <w:cols w:space="720"/>
          <w:docGrid w:linePitch="326"/>
        </w:sectPr>
      </w:pPr>
    </w:p>
    <w:p w:rsidR="00592FC6" w:rsidRDefault="00592FC6" w:rsidP="006919C3">
      <w:pPr>
        <w:pStyle w:val="WUTCParagraph"/>
        <w:numPr>
          <w:ilvl w:val="0"/>
          <w:numId w:val="7"/>
        </w:numPr>
        <w:jc w:val="center"/>
      </w:pPr>
      <w:r>
        <w:rPr>
          <w:b/>
        </w:rPr>
        <w:lastRenderedPageBreak/>
        <w:t>INTRODUCTION</w:t>
      </w:r>
    </w:p>
    <w:p w:rsidR="000E1052" w:rsidRDefault="00DF50AC" w:rsidP="00260E99">
      <w:pPr>
        <w:pStyle w:val="WUTCParagraph"/>
        <w:spacing w:line="570" w:lineRule="exact"/>
      </w:pPr>
      <w:r>
        <w:t xml:space="preserve"> </w:t>
      </w:r>
      <w:r>
        <w:tab/>
        <w:t xml:space="preserve"> </w:t>
      </w:r>
      <w:r>
        <w:tab/>
      </w:r>
      <w:r w:rsidR="003C061A">
        <w:t>Pu</w:t>
      </w:r>
      <w:r w:rsidR="002E3D7D">
        <w:t xml:space="preserve">rsuant to WAC </w:t>
      </w:r>
      <w:r w:rsidR="00026E9D">
        <w:t xml:space="preserve">480-07-380(1)(c), WAC </w:t>
      </w:r>
      <w:r w:rsidR="000D2A98">
        <w:t>480-07-380(</w:t>
      </w:r>
      <w:r w:rsidR="00016B1D">
        <w:t>2</w:t>
      </w:r>
      <w:r w:rsidR="000D2A98">
        <w:t>)(c)</w:t>
      </w:r>
      <w:r w:rsidR="00BC2B2B">
        <w:t xml:space="preserve"> and the </w:t>
      </w:r>
      <w:r>
        <w:t>February 15, 2011 Notice Setting Due Date for Response</w:t>
      </w:r>
      <w:r w:rsidR="000D2A98">
        <w:t>, the Industrial Customers of Northwest Utilities (</w:t>
      </w:r>
      <w:r w:rsidR="002E3D7D">
        <w:t>“</w:t>
      </w:r>
      <w:r w:rsidR="000D2A98">
        <w:t>ICNU</w:t>
      </w:r>
      <w:r w:rsidR="002E3D7D">
        <w:t>”</w:t>
      </w:r>
      <w:r w:rsidR="000D2A98">
        <w:t xml:space="preserve">) and the </w:t>
      </w:r>
      <w:r w:rsidR="0071213D" w:rsidRPr="00E369F1">
        <w:t>Public Counsel Section of the Washington State Attorney General’s Office (</w:t>
      </w:r>
      <w:r w:rsidR="002E3D7D">
        <w:t>“</w:t>
      </w:r>
      <w:r w:rsidR="0071213D" w:rsidRPr="00E369F1">
        <w:t>Public Counsel</w:t>
      </w:r>
      <w:r w:rsidR="002E3D7D">
        <w:t>”</w:t>
      </w:r>
      <w:r w:rsidR="0071213D" w:rsidRPr="00E369F1">
        <w:t>)</w:t>
      </w:r>
      <w:r w:rsidR="00BC2B2B">
        <w:t xml:space="preserve"> </w:t>
      </w:r>
      <w:r w:rsidR="005532F5">
        <w:t>provide</w:t>
      </w:r>
      <w:r w:rsidR="00CD59E9">
        <w:t xml:space="preserve"> the following</w:t>
      </w:r>
      <w:r w:rsidR="00BC2B2B">
        <w:t xml:space="preserve"> </w:t>
      </w:r>
      <w:r w:rsidR="004B5089">
        <w:t>R</w:t>
      </w:r>
      <w:r w:rsidR="00F409FA">
        <w:t>esponse in O</w:t>
      </w:r>
      <w:r w:rsidR="00CD59E9">
        <w:t>pposition</w:t>
      </w:r>
      <w:r w:rsidR="00D16181">
        <w:t xml:space="preserve"> to</w:t>
      </w:r>
      <w:r w:rsidR="00A051DE">
        <w:t xml:space="preserve"> </w:t>
      </w:r>
      <w:r w:rsidR="000D2A98">
        <w:t xml:space="preserve">PacifiCorp’s </w:t>
      </w:r>
      <w:r w:rsidR="004B5089">
        <w:t>M</w:t>
      </w:r>
      <w:r w:rsidR="000D2A98">
        <w:t xml:space="preserve">otion to </w:t>
      </w:r>
      <w:r w:rsidR="004B5089">
        <w:t>Dismiss</w:t>
      </w:r>
      <w:r w:rsidR="00026E9D">
        <w:t xml:space="preserve"> Joint Complaint (“Motion to Dismiss”) and request oral argument on the Motion</w:t>
      </w:r>
      <w:r w:rsidR="004B5089">
        <w:t>.</w:t>
      </w:r>
      <w:r w:rsidR="00B437D6">
        <w:t xml:space="preserve">  </w:t>
      </w:r>
    </w:p>
    <w:p w:rsidR="00CD59E9" w:rsidRDefault="000E1052" w:rsidP="00260E99">
      <w:pPr>
        <w:pStyle w:val="WUTCParagraph"/>
        <w:spacing w:line="570" w:lineRule="exact"/>
      </w:pPr>
      <w:r>
        <w:t xml:space="preserve"> </w:t>
      </w:r>
      <w:r>
        <w:tab/>
        <w:t xml:space="preserve"> </w:t>
      </w:r>
      <w:r>
        <w:tab/>
      </w:r>
      <w:r w:rsidR="006C7118">
        <w:t>As discussed further in this Response</w:t>
      </w:r>
      <w:r w:rsidR="00AC23BD">
        <w:t xml:space="preserve">, </w:t>
      </w:r>
      <w:r w:rsidR="004B76A5">
        <w:t xml:space="preserve">dismissal of the Joint Complaint is precluded because </w:t>
      </w:r>
      <w:r w:rsidR="00AC23BD">
        <w:t>there are materia</w:t>
      </w:r>
      <w:r w:rsidR="004B76A5">
        <w:t>l facts in dispute</w:t>
      </w:r>
      <w:r w:rsidR="00AC23BD">
        <w:t xml:space="preserve">.  </w:t>
      </w:r>
      <w:r w:rsidR="004B76A5">
        <w:t>Moreover, t</w:t>
      </w:r>
      <w:r w:rsidR="00935735">
        <w:t xml:space="preserve">he </w:t>
      </w:r>
      <w:r w:rsidR="007C59A3">
        <w:t xml:space="preserve">allegations contained in the </w:t>
      </w:r>
      <w:r w:rsidR="00935735">
        <w:t xml:space="preserve">Joint Complaint </w:t>
      </w:r>
      <w:r w:rsidR="007C59A3">
        <w:t>are</w:t>
      </w:r>
      <w:r w:rsidR="00B22775">
        <w:t xml:space="preserve"> not time-barred and </w:t>
      </w:r>
      <w:r w:rsidR="008610AB">
        <w:t>properly state claims</w:t>
      </w:r>
      <w:r w:rsidR="00CD59E9">
        <w:t xml:space="preserve"> </w:t>
      </w:r>
      <w:r w:rsidR="008610AB">
        <w:t>for which</w:t>
      </w:r>
      <w:r w:rsidR="00CD59E9">
        <w:t xml:space="preserve"> the</w:t>
      </w:r>
      <w:r w:rsidR="009E262B">
        <w:t xml:space="preserve"> Washington Utilities and Transportation </w:t>
      </w:r>
      <w:r w:rsidR="00CD59E9">
        <w:t xml:space="preserve">Commission </w:t>
      </w:r>
      <w:r w:rsidR="009E262B">
        <w:t xml:space="preserve">(“Commission”) </w:t>
      </w:r>
      <w:r w:rsidR="00B22775">
        <w:t>may</w:t>
      </w:r>
      <w:r w:rsidR="00CD59E9">
        <w:t xml:space="preserve"> grant</w:t>
      </w:r>
      <w:r w:rsidR="00B22775">
        <w:t xml:space="preserve"> relief</w:t>
      </w:r>
      <w:r w:rsidR="00CD59E9">
        <w:t>.</w:t>
      </w:r>
      <w:r w:rsidR="00D024D7">
        <w:t xml:space="preserve">  </w:t>
      </w:r>
      <w:r w:rsidR="006A2451">
        <w:t>Finally</w:t>
      </w:r>
      <w:r w:rsidR="00D024D7">
        <w:t xml:space="preserve">, allowing </w:t>
      </w:r>
      <w:r w:rsidR="00194B88">
        <w:t>ICNU and Public Counsel to pursue the allegations raised in the Joint Complaint</w:t>
      </w:r>
      <w:r w:rsidR="003D2FFD">
        <w:t xml:space="preserve"> </w:t>
      </w:r>
      <w:r w:rsidR="003B04B6">
        <w:t xml:space="preserve">is in the public interest, as it </w:t>
      </w:r>
      <w:r w:rsidR="003D2FFD">
        <w:t xml:space="preserve">will result in identification and correction of amounts PacifiCorp has overcharged customers through </w:t>
      </w:r>
      <w:r w:rsidR="009F37F1">
        <w:t>inaccurate and incomplete</w:t>
      </w:r>
      <w:r w:rsidR="003D2FFD">
        <w:t xml:space="preserve"> representation of renewable energy credit (“REC”) revenue data in </w:t>
      </w:r>
      <w:r w:rsidR="00052BB0">
        <w:t>its</w:t>
      </w:r>
      <w:r w:rsidR="003D2FFD">
        <w:t xml:space="preserve"> 2009 </w:t>
      </w:r>
      <w:r w:rsidR="00052BB0">
        <w:t>general rate c</w:t>
      </w:r>
      <w:r w:rsidR="003D2FFD">
        <w:t>ase</w:t>
      </w:r>
      <w:r w:rsidR="00DE302B">
        <w:t>,</w:t>
      </w:r>
      <w:r w:rsidR="00DF1C6F" w:rsidRPr="0093179B">
        <w:rPr>
          <w:rStyle w:val="FootnoteReference"/>
          <w:u w:val="single"/>
        </w:rPr>
        <w:footnoteReference w:id="1"/>
      </w:r>
      <w:r w:rsidR="00DF1C6F" w:rsidRPr="0093179B">
        <w:rPr>
          <w:sz w:val="20"/>
          <w:szCs w:val="20"/>
          <w:vertAlign w:val="superscript"/>
        </w:rPr>
        <w:t>/</w:t>
      </w:r>
      <w:r w:rsidR="00DE302B" w:rsidRPr="00DE302B">
        <w:rPr>
          <w:i/>
        </w:rPr>
        <w:t xml:space="preserve"> </w:t>
      </w:r>
      <w:r w:rsidR="00DE302B" w:rsidRPr="001E065B">
        <w:t>(</w:t>
      </w:r>
      <w:r w:rsidR="00616E75">
        <w:t>“</w:t>
      </w:r>
      <w:r w:rsidR="00DE302B" w:rsidRPr="001E065B">
        <w:rPr>
          <w:i/>
        </w:rPr>
        <w:t>2009 GRC</w:t>
      </w:r>
      <w:r w:rsidR="00616E75">
        <w:t>”</w:t>
      </w:r>
      <w:r w:rsidR="00DE302B">
        <w:t>)</w:t>
      </w:r>
      <w:r w:rsidR="00194B88">
        <w:t>.</w:t>
      </w:r>
      <w:r w:rsidR="004B7236">
        <w:t xml:space="preserve">  Accordingly, </w:t>
      </w:r>
      <w:r w:rsidR="00F448BE">
        <w:t xml:space="preserve">as matter of law </w:t>
      </w:r>
      <w:r w:rsidR="004B7236">
        <w:t>PacifiCorp’s Motion to Dismiss must be denied.</w:t>
      </w:r>
    </w:p>
    <w:p w:rsidR="00592FC6" w:rsidRPr="00BE1D3B" w:rsidRDefault="00592FC6" w:rsidP="00260E99">
      <w:pPr>
        <w:pStyle w:val="WUTCParagraph"/>
        <w:numPr>
          <w:ilvl w:val="0"/>
          <w:numId w:val="7"/>
        </w:numPr>
        <w:spacing w:before="240" w:line="240" w:lineRule="auto"/>
        <w:jc w:val="center"/>
      </w:pPr>
      <w:r>
        <w:rPr>
          <w:b/>
        </w:rPr>
        <w:t>BACKGROUND</w:t>
      </w:r>
    </w:p>
    <w:p w:rsidR="00590766" w:rsidRDefault="00BE1D3B" w:rsidP="00260E99">
      <w:pPr>
        <w:pStyle w:val="Responsebody"/>
      </w:pPr>
      <w:r>
        <w:t xml:space="preserve"> </w:t>
      </w:r>
      <w:r>
        <w:tab/>
        <w:t xml:space="preserve"> </w:t>
      </w:r>
      <w:r>
        <w:tab/>
        <w:t>ICNU and Public Counsel provided a thorough summary of the factual background of this dispute in the Joint Complaint.  ICNU and Public Counsel l</w:t>
      </w:r>
      <w:r w:rsidR="00590766">
        <w:t xml:space="preserve">imit this section to </w:t>
      </w:r>
      <w:r w:rsidR="00CB5C5E">
        <w:t>provid</w:t>
      </w:r>
      <w:r w:rsidR="00F448BE">
        <w:t>ing</w:t>
      </w:r>
      <w:r w:rsidR="00CB5C5E">
        <w:t xml:space="preserve"> a brief summary of the procedural history of this case.</w:t>
      </w:r>
    </w:p>
    <w:p w:rsidR="00260FDF" w:rsidRDefault="00A017C3" w:rsidP="00260E99">
      <w:pPr>
        <w:pStyle w:val="Responsebody"/>
      </w:pPr>
      <w:r>
        <w:t xml:space="preserve"> </w:t>
      </w:r>
      <w:r>
        <w:tab/>
        <w:t xml:space="preserve"> </w:t>
      </w:r>
      <w:r>
        <w:tab/>
        <w:t xml:space="preserve">On December </w:t>
      </w:r>
      <w:r w:rsidR="004B1DAE">
        <w:t>9</w:t>
      </w:r>
      <w:r>
        <w:t>, 2010</w:t>
      </w:r>
      <w:r w:rsidR="008C6B70">
        <w:t>,</w:t>
      </w:r>
      <w:r>
        <w:t xml:space="preserve"> ICNU and Public Counsel filed a Joint Complaint alleging </w:t>
      </w:r>
      <w:r w:rsidR="007845E3">
        <w:t>violations of law and requesting</w:t>
      </w:r>
      <w:r w:rsidR="008A665E">
        <w:t>, among other relief,</w:t>
      </w:r>
      <w:r w:rsidR="007845E3">
        <w:t xml:space="preserve"> </w:t>
      </w:r>
      <w:r w:rsidR="00F448BE">
        <w:t>damages</w:t>
      </w:r>
      <w:r w:rsidR="007845E3">
        <w:t xml:space="preserve"> based on </w:t>
      </w:r>
      <w:r>
        <w:t>PacifiCorp</w:t>
      </w:r>
      <w:r w:rsidR="007845E3">
        <w:t xml:space="preserve">’s </w:t>
      </w:r>
      <w:r w:rsidR="007845E3">
        <w:lastRenderedPageBreak/>
        <w:t xml:space="preserve">misrepresentations </w:t>
      </w:r>
      <w:r w:rsidR="00F06EE7">
        <w:t xml:space="preserve">during the </w:t>
      </w:r>
      <w:r w:rsidR="00F06EE7">
        <w:rPr>
          <w:i/>
        </w:rPr>
        <w:t>2009 GRC</w:t>
      </w:r>
      <w:r w:rsidR="00F06EE7">
        <w:t xml:space="preserve"> </w:t>
      </w:r>
      <w:r w:rsidR="007845E3">
        <w:t xml:space="preserve">regarding </w:t>
      </w:r>
      <w:r>
        <w:t xml:space="preserve">its 2010 </w:t>
      </w:r>
      <w:r w:rsidR="00F06EE7">
        <w:t xml:space="preserve">(rate-effective period) </w:t>
      </w:r>
      <w:r>
        <w:t>REC revenue</w:t>
      </w:r>
      <w:r w:rsidR="002E4132">
        <w:t>.</w:t>
      </w:r>
      <w:r w:rsidR="005E7E08">
        <w:t xml:space="preserve">  </w:t>
      </w:r>
      <w:r w:rsidR="008C6B70">
        <w:t xml:space="preserve">Specifically, </w:t>
      </w:r>
      <w:r w:rsidR="005E7E08">
        <w:t xml:space="preserve">PacifiCorp failed to disclose </w:t>
      </w:r>
      <w:r w:rsidR="003D42CD">
        <w:t>in discovery</w:t>
      </w:r>
      <w:r w:rsidR="00AC3C33">
        <w:t xml:space="preserve">, in its testimony, and in the evidentiary hearing </w:t>
      </w:r>
      <w:r w:rsidR="005E7E08">
        <w:t xml:space="preserve">the </w:t>
      </w:r>
      <w:r w:rsidR="00F95081">
        <w:t xml:space="preserve">accurate </w:t>
      </w:r>
      <w:r w:rsidR="005E7E08">
        <w:t>amount of REC revenue that it would receive</w:t>
      </w:r>
      <w:r w:rsidR="00D54DB7">
        <w:t xml:space="preserve"> in </w:t>
      </w:r>
      <w:r w:rsidR="00323971">
        <w:t xml:space="preserve">2009 and </w:t>
      </w:r>
      <w:r w:rsidR="00D54DB7">
        <w:t>2010</w:t>
      </w:r>
      <w:r w:rsidR="005E7E08">
        <w:t xml:space="preserve"> </w:t>
      </w:r>
      <w:r w:rsidR="00F448BE">
        <w:t>that include</w:t>
      </w:r>
      <w:r w:rsidR="005E7E08">
        <w:t xml:space="preserve"> several contracts with California utilities (“California Contracts”) that </w:t>
      </w:r>
      <w:r w:rsidR="00F448BE">
        <w:t>were</w:t>
      </w:r>
      <w:r w:rsidR="005E7E08">
        <w:t xml:space="preserve"> entered into during </w:t>
      </w:r>
      <w:r w:rsidR="008D2C33">
        <w:t>2009</w:t>
      </w:r>
      <w:r w:rsidR="005E7E08">
        <w:t>.</w:t>
      </w:r>
      <w:r w:rsidR="00240E87">
        <w:t xml:space="preserve">  </w:t>
      </w:r>
      <w:r w:rsidR="00F448BE">
        <w:t>D</w:t>
      </w:r>
      <w:r w:rsidR="00E86451">
        <w:t>uring PacifiCorp’s 2010 general rate c</w:t>
      </w:r>
      <w:r w:rsidR="009E77A4">
        <w:t>ase</w:t>
      </w:r>
      <w:r w:rsidR="00DE302B">
        <w:t xml:space="preserve"> </w:t>
      </w:r>
      <w:r w:rsidR="009E77A4">
        <w:t>(“</w:t>
      </w:r>
      <w:r w:rsidR="009E77A4">
        <w:rPr>
          <w:i/>
        </w:rPr>
        <w:t xml:space="preserve">2010 </w:t>
      </w:r>
      <w:r w:rsidR="009E77A4" w:rsidRPr="009E77A4">
        <w:rPr>
          <w:i/>
        </w:rPr>
        <w:t>GRC</w:t>
      </w:r>
      <w:r w:rsidR="009E77A4">
        <w:t>”)</w:t>
      </w:r>
      <w:r w:rsidR="00F448BE">
        <w:t>, ICNU and Public Counsel obtained the California Contracts in discovery that was designated “highly confidential.”</w:t>
      </w:r>
      <w:r w:rsidR="00F448BE" w:rsidRPr="0093179B">
        <w:rPr>
          <w:rStyle w:val="FootnoteReference"/>
          <w:u w:val="single"/>
        </w:rPr>
        <w:footnoteReference w:id="2"/>
      </w:r>
      <w:r w:rsidR="00F448BE" w:rsidRPr="0093179B">
        <w:rPr>
          <w:sz w:val="20"/>
          <w:szCs w:val="20"/>
          <w:vertAlign w:val="superscript"/>
        </w:rPr>
        <w:t>/</w:t>
      </w:r>
      <w:r w:rsidR="009E77A4">
        <w:t xml:space="preserve">  </w:t>
      </w:r>
    </w:p>
    <w:p w:rsidR="005E7E08" w:rsidRDefault="00260FDF" w:rsidP="00260E99">
      <w:pPr>
        <w:pStyle w:val="Responsebody"/>
      </w:pPr>
      <w:r>
        <w:t xml:space="preserve"> </w:t>
      </w:r>
      <w:r>
        <w:tab/>
        <w:t xml:space="preserve"> </w:t>
      </w:r>
      <w:r>
        <w:tab/>
      </w:r>
      <w:r w:rsidR="00210D91" w:rsidRPr="009E77A4">
        <w:t>Prior</w:t>
      </w:r>
      <w:r w:rsidR="00210D91">
        <w:t xml:space="preserve"> to filing the Joint Complaint, ICNU and Public Counsel obtained PacifiCorp’s permission to reference highly confidential information</w:t>
      </w:r>
      <w:r w:rsidR="00F02EA1">
        <w:t xml:space="preserve"> </w:t>
      </w:r>
      <w:r w:rsidR="00F448BE">
        <w:t>received</w:t>
      </w:r>
      <w:r w:rsidR="00F02EA1">
        <w:t xml:space="preserve"> in the </w:t>
      </w:r>
      <w:r w:rsidR="00F02EA1" w:rsidRPr="00D54DB7">
        <w:rPr>
          <w:i/>
        </w:rPr>
        <w:t>2010 G</w:t>
      </w:r>
      <w:r w:rsidR="00D54DB7">
        <w:rPr>
          <w:i/>
        </w:rPr>
        <w:t>RC</w:t>
      </w:r>
      <w:r w:rsidR="00210D91">
        <w:t xml:space="preserve">.  </w:t>
      </w:r>
      <w:r w:rsidR="002F56E5">
        <w:t>The Joint Complaint, as originally filed</w:t>
      </w:r>
      <w:r w:rsidR="00210D91">
        <w:t>,</w:t>
      </w:r>
      <w:r w:rsidR="002F56E5">
        <w:t xml:space="preserve"> contained information</w:t>
      </w:r>
      <w:r w:rsidR="00DE15D1">
        <w:t xml:space="preserve"> that PacifiCorp claims is highly confidential</w:t>
      </w:r>
      <w:r w:rsidR="002D38FF">
        <w:t>, including</w:t>
      </w:r>
      <w:r w:rsidR="001519C2">
        <w:t xml:space="preserve"> the REC prices and REC revenues that PacifiCorp knew it would </w:t>
      </w:r>
      <w:r w:rsidR="00B63342">
        <w:t>receive</w:t>
      </w:r>
      <w:r w:rsidR="001519C2">
        <w:t xml:space="preserve"> during the effective </w:t>
      </w:r>
      <w:r w:rsidR="00B63342">
        <w:t xml:space="preserve">rate </w:t>
      </w:r>
      <w:r w:rsidR="001519C2">
        <w:t>period</w:t>
      </w:r>
      <w:r w:rsidR="002F56E5">
        <w:t>.</w:t>
      </w:r>
      <w:r w:rsidR="00210D91">
        <w:t xml:space="preserve">  Subsequent to </w:t>
      </w:r>
      <w:r w:rsidR="001519C2">
        <w:t xml:space="preserve">the initial </w:t>
      </w:r>
      <w:r w:rsidR="00210D91">
        <w:t>filing</w:t>
      </w:r>
      <w:r w:rsidR="001519C2">
        <w:t xml:space="preserve"> of the Joint Complaint</w:t>
      </w:r>
      <w:r w:rsidR="00210D91">
        <w:t xml:space="preserve">, PacifiCorp withdrew its authorization </w:t>
      </w:r>
      <w:r w:rsidR="00902F81">
        <w:t xml:space="preserve">for ICNU and Public Counsel </w:t>
      </w:r>
      <w:r w:rsidR="00210D91">
        <w:t>to use the highly confidential information</w:t>
      </w:r>
      <w:r w:rsidR="00893260">
        <w:t xml:space="preserve"> and demanded that ICNU and Public Counsel re-file the Joint Complaint without reference to highly confidential information.  </w:t>
      </w:r>
      <w:r w:rsidR="00A051DE">
        <w:t xml:space="preserve">Despite </w:t>
      </w:r>
      <w:r w:rsidR="0030292B">
        <w:t>disagreement</w:t>
      </w:r>
      <w:r w:rsidR="00A051DE">
        <w:t xml:space="preserve"> as to any actual defects in the initial filing, and without issuing an order formally declaring that the Joint Complaint was defective as filed, t</w:t>
      </w:r>
      <w:r w:rsidR="00893260">
        <w:t xml:space="preserve">he Commission </w:t>
      </w:r>
      <w:r w:rsidR="00BA054D">
        <w:t xml:space="preserve">through the Chief Administrative Law Judge </w:t>
      </w:r>
      <w:r w:rsidR="006A5EE4">
        <w:t>did not</w:t>
      </w:r>
      <w:r w:rsidR="00893260">
        <w:t xml:space="preserve"> serve the Joint Complaint on the Company and required that ICNU and Public Counsel re-file the Joint Complaint.</w:t>
      </w:r>
    </w:p>
    <w:p w:rsidR="00FC774D" w:rsidRDefault="005E7E08" w:rsidP="00FC774D">
      <w:pPr>
        <w:pStyle w:val="Responsebody"/>
      </w:pPr>
      <w:r>
        <w:t xml:space="preserve"> </w:t>
      </w:r>
      <w:r>
        <w:tab/>
        <w:t xml:space="preserve"> </w:t>
      </w:r>
      <w:r>
        <w:tab/>
      </w:r>
      <w:r w:rsidR="00BF2B31">
        <w:t>ICNU and Public Counsel</w:t>
      </w:r>
      <w:r w:rsidR="00240E87">
        <w:t xml:space="preserve"> </w:t>
      </w:r>
      <w:r w:rsidR="00BF2B31">
        <w:t xml:space="preserve">amended and re-filed the </w:t>
      </w:r>
      <w:r w:rsidR="00240E87">
        <w:t xml:space="preserve">Joint Complaint on January </w:t>
      </w:r>
      <w:r w:rsidR="004B1DAE">
        <w:t>6, 2011</w:t>
      </w:r>
      <w:r w:rsidR="00B67C6F">
        <w:t xml:space="preserve">, and </w:t>
      </w:r>
      <w:r w:rsidR="00351131">
        <w:t xml:space="preserve">the </w:t>
      </w:r>
      <w:r w:rsidR="00B67C6F">
        <w:t>Commission served the Joint Complaint on the Company</w:t>
      </w:r>
      <w:r w:rsidR="004B1DAE">
        <w:t xml:space="preserve">.  </w:t>
      </w:r>
      <w:r w:rsidR="00F168EB">
        <w:t xml:space="preserve">PacifiCorp </w:t>
      </w:r>
      <w:r w:rsidR="00765298">
        <w:t xml:space="preserve">requested and </w:t>
      </w:r>
      <w:r w:rsidR="00716283">
        <w:t>received</w:t>
      </w:r>
      <w:r w:rsidR="00765298">
        <w:t xml:space="preserve"> an</w:t>
      </w:r>
      <w:r w:rsidR="00F168EB">
        <w:t xml:space="preserve"> extension of time</w:t>
      </w:r>
      <w:r w:rsidR="00765298">
        <w:t xml:space="preserve"> to respond</w:t>
      </w:r>
      <w:r w:rsidR="001B54AA">
        <w:t xml:space="preserve"> to the Joint Complaint</w:t>
      </w:r>
      <w:r w:rsidR="00765298">
        <w:t>,</w:t>
      </w:r>
      <w:r w:rsidR="00F168EB">
        <w:t xml:space="preserve"> and filed its Answer and </w:t>
      </w:r>
      <w:r w:rsidR="00F168EB">
        <w:lastRenderedPageBreak/>
        <w:t>Motion to Dismiss</w:t>
      </w:r>
      <w:r w:rsidR="0010123C">
        <w:t xml:space="preserve"> </w:t>
      </w:r>
      <w:r w:rsidR="00FB7C31">
        <w:t>on February 7, 2011.</w:t>
      </w:r>
    </w:p>
    <w:p w:rsidR="00592FC6" w:rsidRPr="00592FC6" w:rsidRDefault="00592FC6" w:rsidP="00936C60">
      <w:pPr>
        <w:pStyle w:val="WUTCParagraph"/>
        <w:keepNext/>
        <w:numPr>
          <w:ilvl w:val="0"/>
          <w:numId w:val="7"/>
        </w:numPr>
        <w:spacing w:line="240" w:lineRule="auto"/>
        <w:jc w:val="center"/>
      </w:pPr>
      <w:r>
        <w:rPr>
          <w:b/>
        </w:rPr>
        <w:t>STANDARD OF REVIEW</w:t>
      </w:r>
    </w:p>
    <w:p w:rsidR="00C678AE" w:rsidRDefault="00275530" w:rsidP="00260E99">
      <w:pPr>
        <w:pStyle w:val="Responsebody"/>
      </w:pPr>
      <w:r>
        <w:rPr>
          <w:b/>
        </w:rPr>
        <w:t xml:space="preserve"> </w:t>
      </w:r>
      <w:r>
        <w:rPr>
          <w:b/>
        </w:rPr>
        <w:tab/>
        <w:t xml:space="preserve"> </w:t>
      </w:r>
      <w:r>
        <w:rPr>
          <w:b/>
        </w:rPr>
        <w:tab/>
      </w:r>
      <w:r w:rsidR="008D3733">
        <w:t xml:space="preserve">PacifiCorp has filed a </w:t>
      </w:r>
      <w:r w:rsidR="0091772B">
        <w:t>motion for summary d</w:t>
      </w:r>
      <w:r>
        <w:t>et</w:t>
      </w:r>
      <w:r w:rsidR="0091772B">
        <w:t>ermination that is styled as a motion to d</w:t>
      </w:r>
      <w:r>
        <w:t>ismiss.  The Commission</w:t>
      </w:r>
      <w:r w:rsidR="00693925">
        <w:t>’s</w:t>
      </w:r>
      <w:r>
        <w:t xml:space="preserve"> rules state that:  </w:t>
      </w:r>
    </w:p>
    <w:p w:rsidR="00C678AE" w:rsidRDefault="00275530" w:rsidP="00716283">
      <w:pPr>
        <w:pStyle w:val="WUTCParagraph"/>
        <w:numPr>
          <w:ilvl w:val="0"/>
          <w:numId w:val="0"/>
        </w:numPr>
        <w:spacing w:before="240" w:line="240" w:lineRule="auto"/>
        <w:ind w:left="1080" w:right="1440"/>
        <w:jc w:val="both"/>
      </w:pPr>
      <w:r>
        <w:t>If a party presents an affidavit or other material in support of its motion to dismiss, and the material is not excluded by the commission, the commission will treat the motion as one for summary determination as provided in subsections (2) and (3) of this section.</w:t>
      </w:r>
      <w:r w:rsidR="0093179B" w:rsidRPr="0093179B">
        <w:rPr>
          <w:rStyle w:val="FootnoteReference"/>
          <w:u w:val="single"/>
        </w:rPr>
        <w:footnoteReference w:id="3"/>
      </w:r>
      <w:r w:rsidR="0093179B" w:rsidRPr="0093179B">
        <w:rPr>
          <w:sz w:val="20"/>
          <w:szCs w:val="20"/>
          <w:vertAlign w:val="superscript"/>
        </w:rPr>
        <w:t>/</w:t>
      </w:r>
      <w:r>
        <w:t xml:space="preserve">  </w:t>
      </w:r>
    </w:p>
    <w:p w:rsidR="00592FC6" w:rsidRDefault="00275530" w:rsidP="00260E99">
      <w:pPr>
        <w:pStyle w:val="Responsebody"/>
      </w:pPr>
      <w:r>
        <w:t xml:space="preserve">PacifiCorp’s Motion to Dismiss was filed with the affidavit of Gregory N. Duvall, </w:t>
      </w:r>
      <w:r w:rsidR="00996B2B">
        <w:t>which</w:t>
      </w:r>
      <w:r>
        <w:t xml:space="preserve"> has not been excluded.  Accordingly, the Motion t</w:t>
      </w:r>
      <w:r w:rsidR="008F7A0C">
        <w:t xml:space="preserve">o Dismiss </w:t>
      </w:r>
      <w:r w:rsidR="00876A1E">
        <w:t>must</w:t>
      </w:r>
      <w:r w:rsidR="008F7A0C">
        <w:t xml:space="preserve"> be treated as a motion for summary d</w:t>
      </w:r>
      <w:r>
        <w:t>etermination</w:t>
      </w:r>
      <w:r w:rsidR="001E59A2">
        <w:t xml:space="preserve"> under the Commission’s</w:t>
      </w:r>
      <w:r w:rsidR="0084183D">
        <w:t xml:space="preserve"> rules</w:t>
      </w:r>
      <w:r>
        <w:t xml:space="preserve">.  </w:t>
      </w:r>
      <w:r w:rsidR="008F7A0C">
        <w:t>The rules governing a motion for s</w:t>
      </w:r>
      <w:r w:rsidR="00FD4E54">
        <w:t>umma</w:t>
      </w:r>
      <w:r w:rsidR="008F7A0C">
        <w:t>ry d</w:t>
      </w:r>
      <w:r w:rsidR="00FD4E54">
        <w:t>etermination are WAC 480-07-380(2) and Washington Superior Court</w:t>
      </w:r>
      <w:r w:rsidR="00832F66">
        <w:t xml:space="preserve"> Civil Rule</w:t>
      </w:r>
      <w:r w:rsidR="00FD4E54">
        <w:t xml:space="preserve"> (“CR”) 56(c).  </w:t>
      </w:r>
      <w:r w:rsidR="007B5344">
        <w:t>Evaluation of a motion for s</w:t>
      </w:r>
      <w:r w:rsidR="00FD4E54">
        <w:t xml:space="preserve">ummary </w:t>
      </w:r>
      <w:r w:rsidR="00832F66">
        <w:t>determination</w:t>
      </w:r>
      <w:r w:rsidR="00F35E3D">
        <w:t xml:space="preserve"> requires two levels of inquiry.</w:t>
      </w:r>
      <w:r w:rsidR="00F82BF4" w:rsidRPr="00EE0D5F">
        <w:rPr>
          <w:rStyle w:val="FootnoteReference"/>
          <w:u w:val="single"/>
        </w:rPr>
        <w:footnoteReference w:id="4"/>
      </w:r>
      <w:proofErr w:type="gramStart"/>
      <w:r w:rsidR="00F82BF4" w:rsidRPr="0093179B">
        <w:rPr>
          <w:sz w:val="20"/>
          <w:szCs w:val="20"/>
          <w:vertAlign w:val="superscript"/>
        </w:rPr>
        <w:t>/</w:t>
      </w:r>
      <w:r w:rsidR="00F35E3D">
        <w:t xml:space="preserve">  First</w:t>
      </w:r>
      <w:proofErr w:type="gramEnd"/>
      <w:r w:rsidR="00F35E3D">
        <w:t>, the Commission must consider whether there are disputed facts in the case</w:t>
      </w:r>
      <w:r w:rsidR="00853029">
        <w:t>,</w:t>
      </w:r>
      <w:r w:rsidR="00F35E3D">
        <w:t xml:space="preserve"> and </w:t>
      </w:r>
      <w:r w:rsidR="00FD4E54">
        <w:t xml:space="preserve">may </w:t>
      </w:r>
      <w:r w:rsidR="005C149E">
        <w:t xml:space="preserve">not grant </w:t>
      </w:r>
      <w:r w:rsidR="00F35E3D">
        <w:t xml:space="preserve">summary determination </w:t>
      </w:r>
      <w:r w:rsidR="007B5344">
        <w:t>if there are</w:t>
      </w:r>
      <w:r w:rsidR="00217D5D">
        <w:t xml:space="preserve"> </w:t>
      </w:r>
      <w:r w:rsidR="00217D5D" w:rsidRPr="0092614B">
        <w:rPr>
          <w:i/>
        </w:rPr>
        <w:t>any</w:t>
      </w:r>
      <w:r w:rsidR="00832F66">
        <w:t xml:space="preserve"> material facts</w:t>
      </w:r>
      <w:r w:rsidR="007B5344">
        <w:t xml:space="preserve"> in dispute</w:t>
      </w:r>
      <w:r w:rsidR="00F35E3D">
        <w:t>.</w:t>
      </w:r>
      <w:r w:rsidR="00F35E3D" w:rsidRPr="00EE0D5F">
        <w:rPr>
          <w:rStyle w:val="FootnoteReference"/>
          <w:u w:val="single"/>
        </w:rPr>
        <w:footnoteReference w:id="5"/>
      </w:r>
      <w:proofErr w:type="gramStart"/>
      <w:r w:rsidR="00F35E3D" w:rsidRPr="0093179B">
        <w:rPr>
          <w:sz w:val="20"/>
          <w:szCs w:val="20"/>
          <w:vertAlign w:val="superscript"/>
        </w:rPr>
        <w:t>/</w:t>
      </w:r>
      <w:r w:rsidR="00F35E3D">
        <w:t xml:space="preserve">  </w:t>
      </w:r>
      <w:r w:rsidR="00A65F5E">
        <w:t>I</w:t>
      </w:r>
      <w:r w:rsidR="0010159C">
        <w:t>f</w:t>
      </w:r>
      <w:proofErr w:type="gramEnd"/>
      <w:r w:rsidR="0010159C">
        <w:t xml:space="preserve"> the Commission finds that there is no dispute as to any material facts, the Commission must view </w:t>
      </w:r>
      <w:r w:rsidR="00832F66">
        <w:t xml:space="preserve">the </w:t>
      </w:r>
      <w:r w:rsidR="00F35E3D">
        <w:t>facts alleged in the complaint</w:t>
      </w:r>
      <w:r w:rsidR="00832F66">
        <w:t xml:space="preserve"> </w:t>
      </w:r>
      <w:r w:rsidR="00CD3A18">
        <w:t>“</w:t>
      </w:r>
      <w:r w:rsidR="00832F66">
        <w:t>in the light most favorable to the non-moving party</w:t>
      </w:r>
      <w:r w:rsidR="0010159C">
        <w:t>.</w:t>
      </w:r>
      <w:r w:rsidR="00CD3A18">
        <w:t>”</w:t>
      </w:r>
      <w:r w:rsidR="0010159C" w:rsidRPr="00EE0D5F">
        <w:rPr>
          <w:rStyle w:val="FootnoteReference"/>
          <w:u w:val="single"/>
        </w:rPr>
        <w:footnoteReference w:id="6"/>
      </w:r>
      <w:proofErr w:type="gramStart"/>
      <w:r w:rsidR="0010159C" w:rsidRPr="0093179B">
        <w:rPr>
          <w:sz w:val="20"/>
          <w:szCs w:val="20"/>
          <w:vertAlign w:val="superscript"/>
        </w:rPr>
        <w:t>/</w:t>
      </w:r>
      <w:r w:rsidR="0010159C">
        <w:t xml:space="preserve">  The</w:t>
      </w:r>
      <w:proofErr w:type="gramEnd"/>
      <w:r w:rsidR="0010159C">
        <w:t xml:space="preserve"> Commission may not grant the motion for summary determination unless </w:t>
      </w:r>
      <w:r w:rsidR="00832F66">
        <w:t xml:space="preserve">reasonable </w:t>
      </w:r>
      <w:r w:rsidR="00832F66" w:rsidRPr="006840E7">
        <w:t>persons could not disagree that the moving party</w:t>
      </w:r>
      <w:r w:rsidR="00202492">
        <w:t>, PacifiCorp,</w:t>
      </w:r>
      <w:r w:rsidR="00832F66" w:rsidRPr="006840E7">
        <w:t xml:space="preserve"> is entitled to a judgment as a matter of law.</w:t>
      </w:r>
      <w:r w:rsidR="00EE0D5F" w:rsidRPr="00EE0D5F">
        <w:rPr>
          <w:rStyle w:val="FootnoteReference"/>
          <w:u w:val="single"/>
        </w:rPr>
        <w:footnoteReference w:id="7"/>
      </w:r>
      <w:r w:rsidR="00EE0D5F" w:rsidRPr="0093179B">
        <w:rPr>
          <w:sz w:val="20"/>
          <w:szCs w:val="20"/>
          <w:vertAlign w:val="superscript"/>
        </w:rPr>
        <w:t>/</w:t>
      </w:r>
      <w:r w:rsidR="00EE0D5F">
        <w:t xml:space="preserve"> </w:t>
      </w:r>
      <w:r w:rsidR="00832F66" w:rsidRPr="006840E7">
        <w:t xml:space="preserve">  </w:t>
      </w:r>
    </w:p>
    <w:p w:rsidR="007B7C3B" w:rsidRDefault="00B0784D" w:rsidP="00260E99">
      <w:pPr>
        <w:pStyle w:val="Responsebody"/>
      </w:pPr>
      <w:r>
        <w:t xml:space="preserve"> </w:t>
      </w:r>
      <w:r>
        <w:tab/>
        <w:t xml:space="preserve"> </w:t>
      </w:r>
      <w:r>
        <w:tab/>
        <w:t>If</w:t>
      </w:r>
      <w:r w:rsidR="00A0600E">
        <w:t xml:space="preserve"> </w:t>
      </w:r>
      <w:r>
        <w:t>the Commission excludes the affidavit</w:t>
      </w:r>
      <w:r w:rsidR="00A0600E">
        <w:t xml:space="preserve"> of Mr. Duvall</w:t>
      </w:r>
      <w:r w:rsidR="00202492">
        <w:t>,</w:t>
      </w:r>
      <w:r>
        <w:t xml:space="preserve"> or </w:t>
      </w:r>
      <w:r w:rsidR="00A0600E">
        <w:t xml:space="preserve">otherwise </w:t>
      </w:r>
      <w:r w:rsidR="00276CB6">
        <w:t>regards</w:t>
      </w:r>
      <w:r>
        <w:t xml:space="preserve"> </w:t>
      </w:r>
      <w:r w:rsidR="00712016">
        <w:t>PacifiCorp’s Motion as a</w:t>
      </w:r>
      <w:r w:rsidR="00451B3A">
        <w:t xml:space="preserve"> motion to dismiss rather than a motion for summary d</w:t>
      </w:r>
      <w:r>
        <w:t>etermination,</w:t>
      </w:r>
      <w:r w:rsidR="008D3733">
        <w:t xml:space="preserve"> </w:t>
      </w:r>
      <w:r w:rsidR="00026E9D">
        <w:t xml:space="preserve">the </w:t>
      </w:r>
      <w:r w:rsidR="00026E9D">
        <w:lastRenderedPageBreak/>
        <w:t>standards applicable to a motion made under CRs 12(b)(6) and 12(c)</w:t>
      </w:r>
      <w:r w:rsidR="00412942">
        <w:t xml:space="preserve"> apply</w:t>
      </w:r>
      <w:r w:rsidR="00026E9D">
        <w:t>.</w:t>
      </w:r>
      <w:r w:rsidR="005C790F" w:rsidRPr="0093179B">
        <w:rPr>
          <w:rStyle w:val="FootnoteReference"/>
          <w:u w:val="single"/>
        </w:rPr>
        <w:footnoteReference w:id="8"/>
      </w:r>
      <w:proofErr w:type="gramStart"/>
      <w:r w:rsidR="005C790F" w:rsidRPr="007B7C3B">
        <w:rPr>
          <w:sz w:val="20"/>
          <w:szCs w:val="20"/>
          <w:vertAlign w:val="superscript"/>
        </w:rPr>
        <w:t>/</w:t>
      </w:r>
      <w:r w:rsidR="00026E9D">
        <w:t xml:space="preserve">  </w:t>
      </w:r>
      <w:r w:rsidR="00DC6624">
        <w:t>In</w:t>
      </w:r>
      <w:proofErr w:type="gramEnd"/>
      <w:r w:rsidR="00DC6624">
        <w:t xml:space="preserve"> its evaluation</w:t>
      </w:r>
      <w:r w:rsidR="003B6442">
        <w:t xml:space="preserve"> of a motion to dismiss, the Commission must assume all facts in the non-moving party's complaint are true and may even consider hypothetical facts supporting the non-moving party's claims.</w:t>
      </w:r>
      <w:r w:rsidR="008A72DD" w:rsidRPr="0093179B">
        <w:rPr>
          <w:rStyle w:val="FootnoteReference"/>
          <w:u w:val="single"/>
        </w:rPr>
        <w:footnoteReference w:id="9"/>
      </w:r>
      <w:proofErr w:type="gramStart"/>
      <w:r w:rsidR="008A72DD" w:rsidRPr="007B7C3B">
        <w:rPr>
          <w:sz w:val="20"/>
          <w:szCs w:val="20"/>
          <w:vertAlign w:val="superscript"/>
        </w:rPr>
        <w:t>/</w:t>
      </w:r>
      <w:r w:rsidR="003B6442" w:rsidRPr="007B7C3B">
        <w:rPr>
          <w:sz w:val="20"/>
          <w:szCs w:val="20"/>
        </w:rPr>
        <w:t xml:space="preserve">  </w:t>
      </w:r>
      <w:r w:rsidR="002869D7">
        <w:t>The</w:t>
      </w:r>
      <w:proofErr w:type="gramEnd"/>
      <w:r w:rsidR="002869D7">
        <w:t xml:space="preserve"> motion may be granted only if, despite consideration of facts in the light most favorable to the plaintiff, the facts alleged will not support the claims contained in the complaint.  A</w:t>
      </w:r>
      <w:r w:rsidR="003B6442">
        <w:t xml:space="preserve"> </w:t>
      </w:r>
      <w:r w:rsidR="00C20E4C">
        <w:t xml:space="preserve">motion to dismiss made under CR </w:t>
      </w:r>
      <w:r w:rsidR="008A72DD">
        <w:t>12(b</w:t>
      </w:r>
      <w:proofErr w:type="gramStart"/>
      <w:r w:rsidR="008A72DD">
        <w:t>)(</w:t>
      </w:r>
      <w:proofErr w:type="gramEnd"/>
      <w:r w:rsidR="008A72DD">
        <w:t xml:space="preserve">6) </w:t>
      </w:r>
      <w:r w:rsidR="00C20E4C">
        <w:t>is “granted ‘</w:t>
      </w:r>
      <w:r w:rsidR="003B6442">
        <w:t>sparingly and with care</w:t>
      </w:r>
      <w:r w:rsidR="00C20E4C">
        <w:t>’</w:t>
      </w:r>
      <w:r w:rsidR="003B6442">
        <w:t xml:space="preserve"> and, as a practical matter, ‘only in the unusual case in which plaintiff includes allegations that show on the face of the complaint that there is some insuperable bar to relief.’”</w:t>
      </w:r>
      <w:r w:rsidR="008A72DD" w:rsidRPr="0093179B">
        <w:rPr>
          <w:rStyle w:val="FootnoteReference"/>
          <w:u w:val="single"/>
        </w:rPr>
        <w:footnoteReference w:id="10"/>
      </w:r>
      <w:r w:rsidR="0094798E" w:rsidRPr="007B40D2">
        <w:rPr>
          <w:sz w:val="20"/>
          <w:szCs w:val="20"/>
          <w:vertAlign w:val="superscript"/>
        </w:rPr>
        <w:t>/</w:t>
      </w:r>
      <w:r w:rsidR="00CE6FD6">
        <w:t xml:space="preserve">  </w:t>
      </w:r>
    </w:p>
    <w:p w:rsidR="00B0784D" w:rsidRPr="00275530" w:rsidRDefault="00074D7A" w:rsidP="00260E99">
      <w:pPr>
        <w:pStyle w:val="Responsebody"/>
      </w:pPr>
      <w:r>
        <w:t xml:space="preserve"> </w:t>
      </w:r>
      <w:r>
        <w:tab/>
        <w:t xml:space="preserve"> </w:t>
      </w:r>
      <w:r>
        <w:tab/>
        <w:t xml:space="preserve">Under either standard, the Commission </w:t>
      </w:r>
      <w:r w:rsidR="0071649D">
        <w:t xml:space="preserve">must deny the </w:t>
      </w:r>
      <w:r w:rsidR="007B79AE">
        <w:t>M</w:t>
      </w:r>
      <w:r w:rsidR="0071649D">
        <w:t>otion if it finds that there are disputed issues of fact</w:t>
      </w:r>
      <w:r w:rsidR="00C043B8">
        <w:t xml:space="preserve"> and must view the facts alleged in the Complaint in the light most favorable to ICNU and Public Counsel</w:t>
      </w:r>
      <w:r w:rsidR="00875F7C">
        <w:t>.</w:t>
      </w:r>
      <w:r w:rsidR="00F31A9E">
        <w:t xml:space="preserve">  Specifically, there are numerous material facts in dispute, including whether PacifiCorp withheld key information requested in discovery that resulted in a settlement agreement that failed to properly account for REC revenues.  This issue of fact, if viewed as accurate in the Complaint, is sufficient to defeat the Motion for Summary Disposition.</w:t>
      </w:r>
    </w:p>
    <w:p w:rsidR="00291A86" w:rsidRDefault="00592FC6" w:rsidP="00260E99">
      <w:pPr>
        <w:pStyle w:val="WUTCParagraph"/>
        <w:numPr>
          <w:ilvl w:val="0"/>
          <w:numId w:val="7"/>
        </w:numPr>
        <w:spacing w:before="240" w:line="240" w:lineRule="auto"/>
        <w:jc w:val="center"/>
      </w:pPr>
      <w:r>
        <w:rPr>
          <w:b/>
        </w:rPr>
        <w:t>ARGUMENT</w:t>
      </w:r>
      <w:r w:rsidR="00291A86">
        <w:t xml:space="preserve"> </w:t>
      </w:r>
    </w:p>
    <w:p w:rsidR="00291A86" w:rsidRPr="006E0219" w:rsidRDefault="00291A86" w:rsidP="009771EC">
      <w:pPr>
        <w:pStyle w:val="paragraphnumbers"/>
      </w:pPr>
      <w:r>
        <w:t xml:space="preserve"> </w:t>
      </w:r>
      <w:r>
        <w:tab/>
        <w:t xml:space="preserve"> </w:t>
      </w:r>
      <w:r>
        <w:tab/>
        <w:t xml:space="preserve">The </w:t>
      </w:r>
      <w:r w:rsidR="00725660">
        <w:t xml:space="preserve">allegations presented in </w:t>
      </w:r>
      <w:r>
        <w:t xml:space="preserve">the Joint Complaint involve disputed questions of fact, and the Commission should deny PacifiCorp’s Motion to Dismiss to allow full development of an evidentiary record and </w:t>
      </w:r>
      <w:r w:rsidR="00F31A9E">
        <w:t xml:space="preserve">to </w:t>
      </w:r>
      <w:r>
        <w:t xml:space="preserve">provide the relief requested in the Joint Complaint.  </w:t>
      </w:r>
      <w:r w:rsidR="007B7C3B">
        <w:t>Even a</w:t>
      </w:r>
      <w:r>
        <w:t xml:space="preserve">t this time, ICNU and Public Counsel still do not know the </w:t>
      </w:r>
      <w:r w:rsidR="008E12D4">
        <w:t>full</w:t>
      </w:r>
      <w:r>
        <w:t xml:space="preserve"> amount of REC revenues that PacifiCorp has earned</w:t>
      </w:r>
      <w:r w:rsidR="002C58B1">
        <w:t xml:space="preserve"> </w:t>
      </w:r>
      <w:r w:rsidR="00CA7C4E">
        <w:t>and wrongfu</w:t>
      </w:r>
      <w:r w:rsidR="00FC3ABB">
        <w:t>l</w:t>
      </w:r>
      <w:r w:rsidR="00CA7C4E">
        <w:t xml:space="preserve">ly retained </w:t>
      </w:r>
      <w:r w:rsidR="002C58B1">
        <w:t xml:space="preserve">during the </w:t>
      </w:r>
      <w:r w:rsidR="00CA7C4E">
        <w:t xml:space="preserve">2010 </w:t>
      </w:r>
      <w:r w:rsidR="002C58B1">
        <w:t>rate</w:t>
      </w:r>
      <w:r w:rsidR="000863E7">
        <w:t>-</w:t>
      </w:r>
      <w:r w:rsidR="002C58B1">
        <w:t xml:space="preserve">effective period for the </w:t>
      </w:r>
      <w:r w:rsidR="002C58B1">
        <w:rPr>
          <w:i/>
        </w:rPr>
        <w:t xml:space="preserve">2009 </w:t>
      </w:r>
      <w:r w:rsidR="002C58B1">
        <w:rPr>
          <w:i/>
        </w:rPr>
        <w:lastRenderedPageBreak/>
        <w:t>GRC</w:t>
      </w:r>
      <w:r>
        <w:t xml:space="preserve">.  </w:t>
      </w:r>
      <w:r w:rsidR="002C58B1">
        <w:t>PacifiCorp’s underrepresentation of REC revenue</w:t>
      </w:r>
      <w:r>
        <w:t xml:space="preserve"> </w:t>
      </w:r>
      <w:r w:rsidR="002C58B1">
        <w:t xml:space="preserve">data in </w:t>
      </w:r>
      <w:r w:rsidR="00F31A9E">
        <w:t xml:space="preserve">the </w:t>
      </w:r>
      <w:r w:rsidR="00F31A9E" w:rsidRPr="00F31A9E">
        <w:rPr>
          <w:i/>
        </w:rPr>
        <w:t>2009 GRC</w:t>
      </w:r>
      <w:r>
        <w:t xml:space="preserve"> must be addressed</w:t>
      </w:r>
      <w:r w:rsidR="002C58B1">
        <w:t>,</w:t>
      </w:r>
      <w:r>
        <w:t xml:space="preserve"> because PacifiCorp’s customers, not its shareholders, </w:t>
      </w:r>
      <w:r w:rsidR="000863E7">
        <w:t>are entitled to</w:t>
      </w:r>
      <w:r>
        <w:t xml:space="preserve"> the </w:t>
      </w:r>
      <w:r w:rsidR="00C35A5B">
        <w:t xml:space="preserve">full </w:t>
      </w:r>
      <w:r>
        <w:t>benefit</w:t>
      </w:r>
      <w:r w:rsidR="000863E7">
        <w:t>s</w:t>
      </w:r>
      <w:r>
        <w:t xml:space="preserve"> of REC revenues</w:t>
      </w:r>
      <w:r w:rsidR="00C35A5B">
        <w:t>, as ratepayers have funded those renewable facilities</w:t>
      </w:r>
      <w:r>
        <w:t>.</w:t>
      </w:r>
      <w:r w:rsidRPr="0093179B">
        <w:rPr>
          <w:rStyle w:val="FootnoteReference"/>
          <w:u w:val="single"/>
        </w:rPr>
        <w:footnoteReference w:id="11"/>
      </w:r>
      <w:proofErr w:type="gramStart"/>
      <w:r w:rsidRPr="002C58B1">
        <w:rPr>
          <w:sz w:val="20"/>
          <w:szCs w:val="20"/>
          <w:vertAlign w:val="superscript"/>
        </w:rPr>
        <w:t>/</w:t>
      </w:r>
      <w:r>
        <w:t xml:space="preserve">  PacifiCorp</w:t>
      </w:r>
      <w:proofErr w:type="gramEnd"/>
      <w:r>
        <w:t xml:space="preserve"> has acknowledged that:  “customers are generally entitled to a revenue credit for REC sales.  The Company does not contest this premise.”</w:t>
      </w:r>
      <w:r w:rsidRPr="0093179B">
        <w:rPr>
          <w:rStyle w:val="FootnoteReference"/>
          <w:u w:val="single"/>
        </w:rPr>
        <w:footnoteReference w:id="12"/>
      </w:r>
      <w:proofErr w:type="gramStart"/>
      <w:r w:rsidRPr="002C58B1">
        <w:rPr>
          <w:sz w:val="20"/>
          <w:szCs w:val="20"/>
          <w:vertAlign w:val="superscript"/>
        </w:rPr>
        <w:t>/</w:t>
      </w:r>
      <w:r>
        <w:t xml:space="preserve">  </w:t>
      </w:r>
      <w:r w:rsidR="007B7C3B">
        <w:t>Additionally</w:t>
      </w:r>
      <w:proofErr w:type="gramEnd"/>
      <w:r w:rsidR="007B7C3B">
        <w:t xml:space="preserve">, PacifiCorp has admitted that it </w:t>
      </w:r>
      <w:r w:rsidR="003046E8">
        <w:t xml:space="preserve">earned </w:t>
      </w:r>
      <w:r w:rsidR="007B7C3B">
        <w:t xml:space="preserve">significantly </w:t>
      </w:r>
      <w:r w:rsidR="003046E8">
        <w:t>more</w:t>
      </w:r>
      <w:r w:rsidR="007B7C3B">
        <w:t xml:space="preserve"> REC revenue during the 2010 rate effective period</w:t>
      </w:r>
      <w:r w:rsidR="003046E8">
        <w:t xml:space="preserve"> as compared to its representations in the </w:t>
      </w:r>
      <w:r w:rsidR="003046E8">
        <w:rPr>
          <w:i/>
        </w:rPr>
        <w:t>2009 GRC</w:t>
      </w:r>
      <w:r w:rsidR="007B7C3B">
        <w:t>.</w:t>
      </w:r>
      <w:r w:rsidR="007B7C3B" w:rsidRPr="0093179B">
        <w:rPr>
          <w:rStyle w:val="FootnoteReference"/>
          <w:u w:val="single"/>
        </w:rPr>
        <w:footnoteReference w:id="13"/>
      </w:r>
      <w:proofErr w:type="gramStart"/>
      <w:r w:rsidR="007B7C3B" w:rsidRPr="00342EE4">
        <w:rPr>
          <w:sz w:val="20"/>
          <w:szCs w:val="20"/>
          <w:vertAlign w:val="superscript"/>
        </w:rPr>
        <w:t>/</w:t>
      </w:r>
      <w:r w:rsidR="007B7C3B">
        <w:t xml:space="preserve">  </w:t>
      </w:r>
      <w:r>
        <w:t>Fairness</w:t>
      </w:r>
      <w:proofErr w:type="gramEnd"/>
      <w:r>
        <w:t xml:space="preserve"> requires </w:t>
      </w:r>
      <w:r w:rsidR="003046E8">
        <w:t xml:space="preserve">a </w:t>
      </w:r>
      <w:r>
        <w:t xml:space="preserve">full investigation of PacifiCorp’s failure to disclose its 2010 REC revenues during the </w:t>
      </w:r>
      <w:r w:rsidRPr="002C58B1">
        <w:rPr>
          <w:i/>
        </w:rPr>
        <w:t>2009 GRC</w:t>
      </w:r>
      <w:r w:rsidR="007A61B5">
        <w:t xml:space="preserve"> and </w:t>
      </w:r>
      <w:r w:rsidR="009F55C3">
        <w:t>granting appropriate treatment of those revenues</w:t>
      </w:r>
      <w:r>
        <w:t>.</w:t>
      </w:r>
    </w:p>
    <w:p w:rsidR="00FC46F6" w:rsidRPr="00260E99" w:rsidRDefault="00FC46F6" w:rsidP="00D27B1E">
      <w:pPr>
        <w:pStyle w:val="WUTCParagraph"/>
        <w:keepNext/>
        <w:numPr>
          <w:ilvl w:val="0"/>
          <w:numId w:val="8"/>
        </w:numPr>
        <w:spacing w:before="240" w:line="240" w:lineRule="auto"/>
        <w:ind w:hanging="720"/>
        <w:rPr>
          <w:b/>
        </w:rPr>
      </w:pPr>
      <w:r w:rsidRPr="0048389B">
        <w:rPr>
          <w:b/>
        </w:rPr>
        <w:t xml:space="preserve"> </w:t>
      </w:r>
      <w:r w:rsidRPr="00260E99">
        <w:rPr>
          <w:b/>
        </w:rPr>
        <w:t>The Allegations Raised in the Joint Complaint Are Not Time-Barred</w:t>
      </w:r>
      <w:r w:rsidR="000F4866">
        <w:rPr>
          <w:b/>
        </w:rPr>
        <w:t xml:space="preserve"> </w:t>
      </w:r>
    </w:p>
    <w:p w:rsidR="00843428" w:rsidRDefault="009771EC" w:rsidP="009771EC">
      <w:pPr>
        <w:pStyle w:val="paragraphnumbers"/>
      </w:pPr>
      <w:r>
        <w:tab/>
        <w:t xml:space="preserve"> </w:t>
      </w:r>
      <w:r>
        <w:tab/>
      </w:r>
      <w:r w:rsidR="00672D2B" w:rsidRPr="00004061">
        <w:t>PacifiCorp argues that all of ICNU and Public Counsel’s causes of action under RCW 80.04.230 are barred by the six-month statute of limitations applicable to such claims.</w:t>
      </w:r>
      <w:r w:rsidR="00672D2B" w:rsidRPr="00586775">
        <w:rPr>
          <w:rStyle w:val="FootnoteTextChar2"/>
          <w:sz w:val="20"/>
          <w:szCs w:val="20"/>
          <w:u w:val="single"/>
          <w:vertAlign w:val="superscript"/>
        </w:rPr>
        <w:footnoteReference w:id="14"/>
      </w:r>
      <w:proofErr w:type="gramStart"/>
      <w:r w:rsidR="00672D2B" w:rsidRPr="00586775">
        <w:rPr>
          <w:sz w:val="20"/>
          <w:szCs w:val="20"/>
          <w:vertAlign w:val="superscript"/>
        </w:rPr>
        <w:t>/</w:t>
      </w:r>
      <w:r w:rsidR="00672D2B" w:rsidRPr="00004061">
        <w:t xml:space="preserve">  A</w:t>
      </w:r>
      <w:proofErr w:type="gramEnd"/>
      <w:r w:rsidR="00672D2B" w:rsidRPr="00004061">
        <w:t xml:space="preserve"> statute of limitations is an affirmative defense and</w:t>
      </w:r>
      <w:r w:rsidR="0033774D">
        <w:t>,</w:t>
      </w:r>
      <w:r w:rsidR="00672D2B" w:rsidRPr="00004061">
        <w:t xml:space="preserve"> therefore</w:t>
      </w:r>
      <w:r w:rsidR="0033774D">
        <w:t>,</w:t>
      </w:r>
      <w:r w:rsidR="00672D2B" w:rsidRPr="00004061">
        <w:t xml:space="preserve"> the party asserting it has the burden to prove the facts establishing it.</w:t>
      </w:r>
      <w:r w:rsidR="00672D2B" w:rsidRPr="00586775">
        <w:rPr>
          <w:rStyle w:val="FootnoteTextChar2"/>
          <w:sz w:val="20"/>
          <w:szCs w:val="20"/>
          <w:u w:val="single"/>
          <w:vertAlign w:val="superscript"/>
        </w:rPr>
        <w:footnoteReference w:id="15"/>
      </w:r>
      <w:r w:rsidR="00672D2B" w:rsidRPr="00586775">
        <w:rPr>
          <w:sz w:val="20"/>
          <w:szCs w:val="20"/>
          <w:vertAlign w:val="superscript"/>
        </w:rPr>
        <w:t xml:space="preserve">/ </w:t>
      </w:r>
      <w:r w:rsidR="00672D2B" w:rsidRPr="00586775">
        <w:rPr>
          <w:sz w:val="20"/>
          <w:szCs w:val="20"/>
        </w:rPr>
        <w:t xml:space="preserve"> </w:t>
      </w:r>
      <w:r w:rsidR="00672D2B" w:rsidRPr="00004061">
        <w:t xml:space="preserve"> </w:t>
      </w:r>
      <w:r w:rsidR="0035294E">
        <w:t>In calculating the time, the Commission should apply the December 9, 2010 date as the filing date for the Complaint.  However, as described below, even the later January 6, 2011 filing date is not time</w:t>
      </w:r>
      <w:r w:rsidR="00190C09">
        <w:t>-</w:t>
      </w:r>
      <w:r w:rsidR="0035294E">
        <w:t>barred.</w:t>
      </w:r>
    </w:p>
    <w:p w:rsidR="00672D2B" w:rsidRPr="00004061" w:rsidRDefault="00843428" w:rsidP="009771EC">
      <w:pPr>
        <w:pStyle w:val="paragraphnumbers"/>
      </w:pPr>
      <w:r>
        <w:tab/>
        <w:t xml:space="preserve"> </w:t>
      </w:r>
      <w:r>
        <w:tab/>
      </w:r>
      <w:r w:rsidR="00672D2B" w:rsidRPr="00004061">
        <w:t>As discussed below, PacifiCorp has not met its burden.  Instead, PacifiCorp has offered only unfounded and factually incorrect arguments—based on a misinterpretation of</w:t>
      </w:r>
      <w:r w:rsidR="000C0D68">
        <w:t xml:space="preserve"> the</w:t>
      </w:r>
      <w:r w:rsidR="00672D2B" w:rsidRPr="00004061">
        <w:t xml:space="preserve"> </w:t>
      </w:r>
      <w:r w:rsidR="00672D2B" w:rsidRPr="00004061">
        <w:rPr>
          <w:i/>
        </w:rPr>
        <w:lastRenderedPageBreak/>
        <w:t>AT&amp;T</w:t>
      </w:r>
      <w:r w:rsidR="00672D2B" w:rsidRPr="00004061">
        <w:t xml:space="preserve"> orders and a strained and illogical application of agency law—that do little more than confuse the </w:t>
      </w:r>
      <w:r w:rsidR="000C0D68">
        <w:t>issues</w:t>
      </w:r>
      <w:r w:rsidR="00672D2B" w:rsidRPr="00004061">
        <w:t xml:space="preserve"> and distract from the central </w:t>
      </w:r>
      <w:r w:rsidR="007F5CA0">
        <w:t>concerns</w:t>
      </w:r>
      <w:r w:rsidR="00672D2B" w:rsidRPr="00004061">
        <w:t xml:space="preserve"> in this case.</w:t>
      </w:r>
    </w:p>
    <w:p w:rsidR="00672D2B" w:rsidRPr="00004061" w:rsidRDefault="00CE2CEA" w:rsidP="009771EC">
      <w:pPr>
        <w:pStyle w:val="ResponseHeader3"/>
        <w:spacing w:before="240"/>
      </w:pPr>
      <w:r>
        <w:t>PacifiCorp Has Not Met its Burden to Prove That A</w:t>
      </w:r>
      <w:r w:rsidR="00672D2B" w:rsidRPr="00004061">
        <w:t>n</w:t>
      </w:r>
      <w:r>
        <w:t>y of ICNU and Public Counsel’s Claims are Time-B</w:t>
      </w:r>
      <w:r w:rsidR="00672D2B" w:rsidRPr="00004061">
        <w:t>arred</w:t>
      </w:r>
    </w:p>
    <w:p w:rsidR="00672D2B" w:rsidRPr="00004061" w:rsidRDefault="00672D2B" w:rsidP="00672D2B">
      <w:pPr>
        <w:pStyle w:val="ResponseHeader2"/>
        <w:numPr>
          <w:ilvl w:val="0"/>
          <w:numId w:val="0"/>
        </w:numPr>
        <w:ind w:left="720"/>
        <w:rPr>
          <w:szCs w:val="24"/>
        </w:rPr>
      </w:pPr>
    </w:p>
    <w:p w:rsidR="00672D2B" w:rsidRPr="007522EE" w:rsidRDefault="000E2419" w:rsidP="009771EC">
      <w:pPr>
        <w:pStyle w:val="ResponseHeader4"/>
      </w:pPr>
      <w:r>
        <w:t>Standard for Asserting a S</w:t>
      </w:r>
      <w:r w:rsidR="00672D2B" w:rsidRPr="00004061">
        <w:t>tatute of</w:t>
      </w:r>
      <w:r>
        <w:t xml:space="preserve"> L</w:t>
      </w:r>
      <w:r w:rsidR="0022140B">
        <w:t>imitation</w:t>
      </w:r>
      <w:r>
        <w:t>s Affirmative D</w:t>
      </w:r>
      <w:r w:rsidR="0022140B">
        <w:t>efense</w:t>
      </w:r>
    </w:p>
    <w:p w:rsidR="00672D2B" w:rsidRPr="00004061" w:rsidRDefault="009771EC" w:rsidP="009771EC">
      <w:pPr>
        <w:pStyle w:val="please"/>
        <w:spacing w:line="570" w:lineRule="exact"/>
      </w:pPr>
      <w:r>
        <w:tab/>
        <w:t xml:space="preserve"> </w:t>
      </w:r>
      <w:r>
        <w:tab/>
      </w:r>
      <w:r w:rsidR="00672D2B" w:rsidRPr="00004061">
        <w:t>To be granted summary determination, a moving party must show that there are no issues of material fact regarding when the non-moving party knew or should have known all elements of its claims.</w:t>
      </w:r>
      <w:r w:rsidR="00672D2B" w:rsidRPr="009B2790">
        <w:rPr>
          <w:rStyle w:val="FootnoteReference"/>
          <w:u w:val="single"/>
        </w:rPr>
        <w:footnoteReference w:id="16"/>
      </w:r>
      <w:proofErr w:type="gramStart"/>
      <w:r w:rsidR="00672D2B" w:rsidRPr="00586775">
        <w:rPr>
          <w:sz w:val="20"/>
          <w:szCs w:val="20"/>
          <w:vertAlign w:val="superscript"/>
        </w:rPr>
        <w:t>/</w:t>
      </w:r>
      <w:r w:rsidR="00672D2B" w:rsidRPr="00004061">
        <w:t xml:space="preserve">  Washington</w:t>
      </w:r>
      <w:proofErr w:type="gramEnd"/>
      <w:r w:rsidR="00672D2B" w:rsidRPr="00004061">
        <w:t xml:space="preserve"> precedent requires that “the facts supporting </w:t>
      </w:r>
      <w:r w:rsidR="00672D2B" w:rsidRPr="00004061">
        <w:rPr>
          <w:i/>
        </w:rPr>
        <w:t xml:space="preserve">each </w:t>
      </w:r>
      <w:r w:rsidR="00672D2B" w:rsidRPr="00004061">
        <w:t>of the essential elements of the cause of action… must be known before the statute begins to run.”</w:t>
      </w:r>
      <w:r w:rsidR="00672D2B" w:rsidRPr="009B2790">
        <w:rPr>
          <w:rStyle w:val="FootnoteReference"/>
          <w:u w:val="single"/>
        </w:rPr>
        <w:footnoteReference w:id="17"/>
      </w:r>
      <w:proofErr w:type="gramStart"/>
      <w:r w:rsidR="00672D2B" w:rsidRPr="00586775">
        <w:rPr>
          <w:sz w:val="20"/>
          <w:szCs w:val="20"/>
          <w:vertAlign w:val="superscript"/>
        </w:rPr>
        <w:t>/</w:t>
      </w:r>
      <w:r w:rsidR="00672D2B" w:rsidRPr="00004061">
        <w:t xml:space="preserve">  The</w:t>
      </w:r>
      <w:proofErr w:type="gramEnd"/>
      <w:r w:rsidR="00672D2B" w:rsidRPr="00004061">
        <w:t xml:space="preserve"> moving party’s burden cannot be supported by argument alone.</w:t>
      </w:r>
      <w:r w:rsidR="00672D2B" w:rsidRPr="009B2790">
        <w:rPr>
          <w:rStyle w:val="FootnoteReference"/>
          <w:u w:val="single"/>
        </w:rPr>
        <w:footnoteReference w:id="18"/>
      </w:r>
      <w:r w:rsidR="00672D2B" w:rsidRPr="00586775">
        <w:rPr>
          <w:sz w:val="20"/>
          <w:szCs w:val="20"/>
          <w:vertAlign w:val="superscript"/>
        </w:rPr>
        <w:t>/</w:t>
      </w:r>
      <w:r w:rsidR="00672D2B" w:rsidRPr="00004061">
        <w:t xml:space="preserve">  Thus, PacifiCorp bears the burden of demonstrating through actual evidence that each of the elements essential to ICNU and Public Counsel’s claims were known, or should have been known, six months prior to the initial filing of the Joint Complaint.  In this case, for ICNU and Public Counsel’s claims to be time-barred</w:t>
      </w:r>
      <w:r w:rsidR="00190C09">
        <w:t>,</w:t>
      </w:r>
      <w:r w:rsidR="00672D2B" w:rsidRPr="00004061">
        <w:t xml:space="preserve"> Pacifi</w:t>
      </w:r>
      <w:r w:rsidR="003A315E">
        <w:t>C</w:t>
      </w:r>
      <w:r w:rsidR="00672D2B" w:rsidRPr="00004061">
        <w:t xml:space="preserve">orp </w:t>
      </w:r>
      <w:r w:rsidR="00B245B3">
        <w:t>must</w:t>
      </w:r>
      <w:r w:rsidR="00672D2B" w:rsidRPr="00004061">
        <w:t xml:space="preserve"> provide evidence that, prior to June 9, 2010</w:t>
      </w:r>
      <w:r w:rsidR="00687416">
        <w:t xml:space="preserve"> or July 6, 2010</w:t>
      </w:r>
      <w:r w:rsidR="00190C09">
        <w:t>,</w:t>
      </w:r>
      <w:r w:rsidR="00672D2B" w:rsidRPr="00004061">
        <w:t xml:space="preserve"> </w:t>
      </w:r>
      <w:r w:rsidR="00813CEE">
        <w:t xml:space="preserve">depending upon which filing date the Commission applies, </w:t>
      </w:r>
      <w:r w:rsidR="00672D2B" w:rsidRPr="00004061">
        <w:t>ICNU and Public Counsel knew or should have known all facts essential to each element of their claims. PacifiCorp has not done so.</w:t>
      </w:r>
    </w:p>
    <w:p w:rsidR="00672D2B" w:rsidRPr="007522EE" w:rsidRDefault="00E16F1E" w:rsidP="009771EC">
      <w:pPr>
        <w:pStyle w:val="ResponseHeader3"/>
        <w:spacing w:before="240"/>
      </w:pPr>
      <w:r>
        <w:t>PacifiCorp Inaccurately Characterizes the Essential E</w:t>
      </w:r>
      <w:r w:rsidR="00672D2B" w:rsidRPr="00004061">
        <w:t>lements of ICNU and Public Counsel’s Claims</w:t>
      </w:r>
    </w:p>
    <w:p w:rsidR="00672D2B" w:rsidRPr="00004061" w:rsidRDefault="009771EC" w:rsidP="009771EC">
      <w:pPr>
        <w:pStyle w:val="please"/>
        <w:spacing w:line="570" w:lineRule="exact"/>
      </w:pPr>
      <w:r>
        <w:tab/>
        <w:t xml:space="preserve"> </w:t>
      </w:r>
      <w:r>
        <w:tab/>
      </w:r>
      <w:r w:rsidR="00672D2B" w:rsidRPr="00004061">
        <w:t xml:space="preserve">PacifiCorp argues that the essential elements, i.e., the facts that ICNU and Public Counsel knew or should have known to bring their claims, are as follows: (1) the REC revenues </w:t>
      </w:r>
      <w:r w:rsidR="00672D2B" w:rsidRPr="00004061">
        <w:lastRenderedPageBreak/>
        <w:t>PacifiCorp was receiving in 2010 were in excess of the $657,755 reflected in settlement</w:t>
      </w:r>
      <w:proofErr w:type="gramStart"/>
      <w:r w:rsidR="00672D2B" w:rsidRPr="00004061">
        <w:t>;</w:t>
      </w:r>
      <w:proofErr w:type="gramEnd"/>
      <w:r w:rsidR="00672D2B" w:rsidRPr="00E02563">
        <w:rPr>
          <w:rStyle w:val="FootnoteReference"/>
          <w:u w:val="single"/>
        </w:rPr>
        <w:footnoteReference w:id="19"/>
      </w:r>
      <w:r w:rsidR="00672D2B" w:rsidRPr="00E02563">
        <w:rPr>
          <w:sz w:val="20"/>
          <w:szCs w:val="20"/>
          <w:vertAlign w:val="superscript"/>
        </w:rPr>
        <w:t>/</w:t>
      </w:r>
      <w:r w:rsidR="00672D2B" w:rsidRPr="00004061">
        <w:t xml:space="preserve"> (2) REC prices were higher than the average sale price of $3.50 per-</w:t>
      </w:r>
      <w:proofErr w:type="spellStart"/>
      <w:r w:rsidR="00672D2B" w:rsidRPr="00004061">
        <w:t>MWh</w:t>
      </w:r>
      <w:proofErr w:type="spellEnd"/>
      <w:r w:rsidR="00672D2B" w:rsidRPr="00004061">
        <w:t>;</w:t>
      </w:r>
      <w:r w:rsidR="00672D2B" w:rsidRPr="009B2790">
        <w:rPr>
          <w:rStyle w:val="FootnoteReference"/>
          <w:u w:val="single"/>
        </w:rPr>
        <w:footnoteReference w:id="20"/>
      </w:r>
      <w:r w:rsidR="00672D2B" w:rsidRPr="00E02563">
        <w:rPr>
          <w:sz w:val="20"/>
          <w:szCs w:val="20"/>
          <w:vertAlign w:val="superscript"/>
        </w:rPr>
        <w:t>/</w:t>
      </w:r>
      <w:r w:rsidR="00672D2B" w:rsidRPr="00E02563">
        <w:rPr>
          <w:sz w:val="20"/>
          <w:szCs w:val="20"/>
        </w:rPr>
        <w:t xml:space="preserve"> </w:t>
      </w:r>
      <w:r w:rsidR="00672D2B" w:rsidRPr="00004061">
        <w:rPr>
          <w:i/>
        </w:rPr>
        <w:t>or</w:t>
      </w:r>
      <w:r w:rsidR="00672D2B" w:rsidRPr="00004061">
        <w:t>,</w:t>
      </w:r>
      <w:r w:rsidR="00672D2B" w:rsidRPr="00004061">
        <w:rPr>
          <w:i/>
        </w:rPr>
        <w:t xml:space="preserve"> </w:t>
      </w:r>
      <w:r w:rsidR="00672D2B" w:rsidRPr="00004061">
        <w:t>(3) that PacifiCorp had entered into and was receiving revenue under the California Contracts.</w:t>
      </w:r>
      <w:r w:rsidR="00672D2B" w:rsidRPr="00E02563">
        <w:rPr>
          <w:rStyle w:val="FootnoteReference"/>
          <w:u w:val="single"/>
        </w:rPr>
        <w:footnoteReference w:id="21"/>
      </w:r>
      <w:r w:rsidR="00672D2B" w:rsidRPr="00E02563">
        <w:rPr>
          <w:sz w:val="20"/>
          <w:szCs w:val="20"/>
          <w:vertAlign w:val="superscript"/>
        </w:rPr>
        <w:t>/</w:t>
      </w:r>
      <w:r w:rsidR="00672D2B" w:rsidRPr="00E02563">
        <w:rPr>
          <w:sz w:val="20"/>
          <w:szCs w:val="20"/>
        </w:rPr>
        <w:t xml:space="preserve"> </w:t>
      </w:r>
      <w:r w:rsidR="00672D2B" w:rsidRPr="00004061">
        <w:t xml:space="preserve">  </w:t>
      </w:r>
    </w:p>
    <w:p w:rsidR="00672D2B" w:rsidRPr="00004061" w:rsidRDefault="009771EC" w:rsidP="009771EC">
      <w:pPr>
        <w:pStyle w:val="Responsebody"/>
      </w:pPr>
      <w:r>
        <w:tab/>
        <w:t xml:space="preserve"> </w:t>
      </w:r>
      <w:r>
        <w:tab/>
      </w:r>
      <w:r w:rsidR="00672D2B" w:rsidRPr="00004061">
        <w:t xml:space="preserve">A plain reading of the Joint Complaint reveals that none of these three facts </w:t>
      </w:r>
      <w:r w:rsidR="00813CEE">
        <w:t xml:space="preserve">alone </w:t>
      </w:r>
      <w:r w:rsidR="00672D2B" w:rsidRPr="00004061">
        <w:t>sufficiently supports the claims asserted therein.</w:t>
      </w:r>
      <w:r w:rsidR="00672D2B" w:rsidRPr="009B2790">
        <w:rPr>
          <w:rStyle w:val="FootnoteReference"/>
          <w:u w:val="single"/>
        </w:rPr>
        <w:footnoteReference w:id="22"/>
      </w:r>
      <w:r w:rsidR="00672D2B" w:rsidRPr="00E02563">
        <w:rPr>
          <w:sz w:val="20"/>
          <w:szCs w:val="20"/>
          <w:vertAlign w:val="superscript"/>
        </w:rPr>
        <w:t>/</w:t>
      </w:r>
      <w:r w:rsidR="00672D2B" w:rsidRPr="00E02563">
        <w:rPr>
          <w:sz w:val="20"/>
          <w:szCs w:val="20"/>
        </w:rPr>
        <w:t xml:space="preserve"> </w:t>
      </w:r>
      <w:r w:rsidR="00672D2B" w:rsidRPr="00004061">
        <w:t xml:space="preserve">  This is because the claims center on when PacifiCorp had knowledge of the California Contracts and their impact on Washington revenues, and</w:t>
      </w:r>
      <w:r w:rsidR="00B245B3">
        <w:t>,</w:t>
      </w:r>
      <w:r w:rsidR="00672D2B" w:rsidRPr="00004061">
        <w:t xml:space="preserve"> therefore</w:t>
      </w:r>
      <w:r w:rsidR="00B245B3">
        <w:t>,</w:t>
      </w:r>
      <w:r w:rsidR="00672D2B" w:rsidRPr="00004061">
        <w:t xml:space="preserve"> whether PacifiCorp had a duty to provide this information to the Commission and</w:t>
      </w:r>
      <w:r w:rsidR="001E48DC">
        <w:t xml:space="preserve"> to the</w:t>
      </w:r>
      <w:r w:rsidR="00672D2B" w:rsidRPr="00004061">
        <w:t xml:space="preserve"> parties.  The Joint Complaint shows that ICNU and Public Counsel’s claims actually rely on a different set of facts, none of which could be gleaned from those listed by PacifiCorp.  The actual essential facts include: (1) the </w:t>
      </w:r>
      <w:r w:rsidR="00672D2B" w:rsidRPr="00004061">
        <w:rPr>
          <w:i/>
        </w:rPr>
        <w:t>dates</w:t>
      </w:r>
      <w:r w:rsidR="00672D2B" w:rsidRPr="00004061">
        <w:t xml:space="preserve"> on which the California Contracts were signed by PacifiCorp; (2) the specific per-REC price provided for in the California Contracts;</w:t>
      </w:r>
      <w:r w:rsidR="00672D2B" w:rsidRPr="00004061">
        <w:rPr>
          <w:i/>
        </w:rPr>
        <w:t xml:space="preserve"> </w:t>
      </w:r>
      <w:r w:rsidR="00672D2B" w:rsidRPr="00004061">
        <w:t xml:space="preserve">and (3) the extent to which </w:t>
      </w:r>
      <w:r w:rsidR="0012500E">
        <w:t xml:space="preserve">the </w:t>
      </w:r>
      <w:r w:rsidR="00672D2B" w:rsidRPr="00004061">
        <w:t>California Contracts themselves</w:t>
      </w:r>
      <w:r w:rsidR="00672D2B" w:rsidRPr="00004061">
        <w:rPr>
          <w:i/>
        </w:rPr>
        <w:t xml:space="preserve"> </w:t>
      </w:r>
      <w:r w:rsidR="00672D2B" w:rsidRPr="00004061">
        <w:t>would impact 2010 Washington</w:t>
      </w:r>
      <w:r w:rsidR="00672D2B" w:rsidRPr="00004061">
        <w:rPr>
          <w:i/>
        </w:rPr>
        <w:t xml:space="preserve"> </w:t>
      </w:r>
      <w:r w:rsidR="00672D2B" w:rsidRPr="00004061">
        <w:t>REC revenues.</w:t>
      </w:r>
      <w:r w:rsidR="00672D2B" w:rsidRPr="00E02563">
        <w:rPr>
          <w:rStyle w:val="FootnoteReference"/>
          <w:u w:val="single"/>
        </w:rPr>
        <w:footnoteReference w:id="23"/>
      </w:r>
      <w:r w:rsidR="00672D2B" w:rsidRPr="00E02563">
        <w:rPr>
          <w:sz w:val="20"/>
          <w:szCs w:val="20"/>
          <w:vertAlign w:val="superscript"/>
        </w:rPr>
        <w:t>/</w:t>
      </w:r>
      <w:r w:rsidR="00672D2B" w:rsidRPr="00004061">
        <w:t xml:space="preserve">  </w:t>
      </w:r>
    </w:p>
    <w:p w:rsidR="00672D2B" w:rsidRPr="007522EE" w:rsidRDefault="009771EC" w:rsidP="009771EC">
      <w:pPr>
        <w:pStyle w:val="Responsebody"/>
      </w:pPr>
      <w:r>
        <w:tab/>
        <w:t xml:space="preserve"> </w:t>
      </w:r>
      <w:r>
        <w:tab/>
      </w:r>
      <w:r w:rsidR="00672D2B" w:rsidRPr="00004061">
        <w:t xml:space="preserve">The first and second essential facts could only reasonably be ascertained from seeing the complete California Contracts, which the record shows were first provided to ICNU and Public Counsel in Washington on July 8, 2010, and September 9, 2010, respectively.  However, the last essential fact could not be known without seeing the complete contracts </w:t>
      </w:r>
      <w:r w:rsidR="00672D2B" w:rsidRPr="00004061">
        <w:rPr>
          <w:i/>
        </w:rPr>
        <w:t xml:space="preserve">and </w:t>
      </w:r>
      <w:r w:rsidR="00672D2B" w:rsidRPr="00004061">
        <w:t>the</w:t>
      </w:r>
      <w:r w:rsidR="007D06BA">
        <w:t xml:space="preserve"> 2010 1st Quarter</w:t>
      </w:r>
      <w:r w:rsidR="00672D2B" w:rsidRPr="00004061">
        <w:t xml:space="preserve"> REC Report, </w:t>
      </w:r>
      <w:r w:rsidR="007D06BA">
        <w:t xml:space="preserve">provided on </w:t>
      </w:r>
      <w:r w:rsidR="007D06BA" w:rsidRPr="00004061">
        <w:t>July 28, 2010</w:t>
      </w:r>
      <w:r w:rsidR="007D06BA">
        <w:t>,</w:t>
      </w:r>
      <w:r w:rsidR="007D06BA" w:rsidRPr="00004061">
        <w:t xml:space="preserve"> </w:t>
      </w:r>
      <w:r w:rsidR="00672D2B" w:rsidRPr="00004061">
        <w:t xml:space="preserve">which provided total revenues associated with the California Contracts and the allocation to Washington.  PacifiCorp has failed </w:t>
      </w:r>
      <w:r w:rsidR="00672D2B" w:rsidRPr="00004061">
        <w:lastRenderedPageBreak/>
        <w:t>to provide evidence of how the second and third facts could have been drawn from any source other than the 20</w:t>
      </w:r>
      <w:r w:rsidR="008E173C">
        <w:t>10 1st Quarter</w:t>
      </w:r>
      <w:r w:rsidR="00672D2B" w:rsidRPr="00004061">
        <w:t xml:space="preserve"> REC Report, and has therefore failed to show how ICNU and Public Counsel could have known, or should have known, all of the essential facts prior to June 9, 2010.  </w:t>
      </w:r>
      <w:r w:rsidR="001546CF">
        <w:t>To be clear,</w:t>
      </w:r>
      <w:r w:rsidR="00D231E5">
        <w:t xml:space="preserve"> however,</w:t>
      </w:r>
      <w:r w:rsidR="001546CF">
        <w:t xml:space="preserve"> neither ICNU nor Public Counsel concede that the full amount of 2010 REC revenues are known from this </w:t>
      </w:r>
      <w:r w:rsidR="00D231E5">
        <w:t>2010 1st Quarter REC R</w:t>
      </w:r>
      <w:r w:rsidR="001546CF">
        <w:t xml:space="preserve">eport.  </w:t>
      </w:r>
      <w:r w:rsidR="00672D2B" w:rsidRPr="00004061">
        <w:t>Thus, PacifiCorp is not entitled to summary determination on these grounds.</w:t>
      </w:r>
      <w:r w:rsidR="00672D2B" w:rsidRPr="00E02563">
        <w:rPr>
          <w:rStyle w:val="FootnoteReference"/>
          <w:u w:val="single"/>
        </w:rPr>
        <w:footnoteReference w:id="24"/>
      </w:r>
      <w:r w:rsidR="00672D2B" w:rsidRPr="00E02563">
        <w:rPr>
          <w:sz w:val="20"/>
          <w:szCs w:val="20"/>
          <w:vertAlign w:val="superscript"/>
        </w:rPr>
        <w:t>/</w:t>
      </w:r>
      <w:r w:rsidR="00672D2B" w:rsidRPr="00E02563">
        <w:rPr>
          <w:sz w:val="20"/>
          <w:szCs w:val="20"/>
        </w:rPr>
        <w:t xml:space="preserve"> </w:t>
      </w:r>
      <w:r w:rsidR="00672D2B" w:rsidRPr="00004061">
        <w:t xml:space="preserve"> </w:t>
      </w:r>
    </w:p>
    <w:p w:rsidR="00672D2B" w:rsidRPr="005E527A" w:rsidRDefault="00672D2B" w:rsidP="009771EC">
      <w:pPr>
        <w:pStyle w:val="ResponseHeader3"/>
        <w:spacing w:before="240"/>
      </w:pPr>
      <w:r w:rsidRPr="00004061">
        <w:t>PacifiCorp has not shown that the claims could have</w:t>
      </w:r>
      <w:r w:rsidRPr="00004061">
        <w:rPr>
          <w:i/>
        </w:rPr>
        <w:t xml:space="preserve"> </w:t>
      </w:r>
      <w:r w:rsidRPr="00004061">
        <w:t>accrued prior to July 28, 2010, for ICNU or September 9, 2010</w:t>
      </w:r>
      <w:r w:rsidR="00E16F1E">
        <w:t>,</w:t>
      </w:r>
      <w:r w:rsidRPr="00004061">
        <w:t xml:space="preserve"> for Public Counsel</w:t>
      </w:r>
    </w:p>
    <w:p w:rsidR="00575FBB" w:rsidRDefault="009771EC" w:rsidP="00575FBB">
      <w:pPr>
        <w:pStyle w:val="Responsebody"/>
      </w:pPr>
      <w:r>
        <w:tab/>
        <w:t xml:space="preserve"> </w:t>
      </w:r>
      <w:r>
        <w:tab/>
      </w:r>
      <w:r w:rsidR="00672D2B" w:rsidRPr="00004061">
        <w:t>As mentioned above, the essential elements of ICNU and Public Counsel’s claims rely on multiple pieces of information, and thus</w:t>
      </w:r>
      <w:r w:rsidR="00E16F1E">
        <w:t>,</w:t>
      </w:r>
      <w:r w:rsidR="00672D2B" w:rsidRPr="00004061">
        <w:t xml:space="preserve"> the claims could not accrue at a single occurrence, but rather upon </w:t>
      </w:r>
      <w:r w:rsidR="00D231E5">
        <w:t xml:space="preserve">at the very least </w:t>
      </w:r>
      <w:r w:rsidR="00672D2B" w:rsidRPr="00004061">
        <w:t xml:space="preserve">the provision of the complete Contracts </w:t>
      </w:r>
      <w:r w:rsidR="00672D2B" w:rsidRPr="00004061">
        <w:rPr>
          <w:i/>
        </w:rPr>
        <w:t>and</w:t>
      </w:r>
      <w:r w:rsidR="00672D2B" w:rsidRPr="00004061">
        <w:t xml:space="preserve"> the </w:t>
      </w:r>
      <w:r w:rsidR="00D501BA" w:rsidRPr="00004061">
        <w:t>20</w:t>
      </w:r>
      <w:r w:rsidR="00D501BA">
        <w:t>10 1st Quarter</w:t>
      </w:r>
      <w:r w:rsidR="00D501BA" w:rsidRPr="00004061">
        <w:t xml:space="preserve"> REC Report</w:t>
      </w:r>
      <w:r w:rsidR="00D501BA">
        <w:t>.</w:t>
      </w:r>
      <w:r w:rsidR="00672D2B" w:rsidRPr="00004061">
        <w:t xml:space="preserve">  Conversely, PacifiCorp wrongly argues that earlier-filed documents—specifically, its 2009 Form 10-K, the Commission Basis Report, and the </w:t>
      </w:r>
      <w:r w:rsidR="00672D2B" w:rsidRPr="00004061">
        <w:rPr>
          <w:i/>
        </w:rPr>
        <w:t>2010 GRC</w:t>
      </w:r>
      <w:r w:rsidR="00672D2B" w:rsidRPr="00004061">
        <w:t xml:space="preserve">, each of which was filed prior to June 9, 2010—were sufficient bases for the claims to accrue.  Additionally, PacifiCorp also wrongly argues that Donna </w:t>
      </w:r>
      <w:proofErr w:type="spellStart"/>
      <w:r w:rsidR="00672D2B" w:rsidRPr="00004061">
        <w:t>Ramas’s</w:t>
      </w:r>
      <w:proofErr w:type="spellEnd"/>
      <w:r w:rsidR="00672D2B" w:rsidRPr="00004061">
        <w:t xml:space="preserve"> and Randall Falkenberg’s participation and filings in other states support its argument that ICNU and Public Counsel’s claims accrued prior to June 9, 2010.</w:t>
      </w:r>
      <w:r w:rsidR="00575FBB">
        <w:t xml:space="preserve">  Further, it is absurd to assume </w:t>
      </w:r>
      <w:r w:rsidR="00575FBB" w:rsidRPr="00D231E5">
        <w:rPr>
          <w:i/>
        </w:rPr>
        <w:t>actual</w:t>
      </w:r>
      <w:r w:rsidR="00575FBB">
        <w:t xml:space="preserve"> knowledge based on cases from other jurisdictions.  Ironically, PacifiCorp frequently complains if there is an attempt to use data from one jurisdiction to another without its explicit permission.</w:t>
      </w:r>
    </w:p>
    <w:p w:rsidR="00575FBB" w:rsidRPr="00004061" w:rsidRDefault="00575FBB" w:rsidP="00575FBB">
      <w:pPr>
        <w:pStyle w:val="Responsebody"/>
        <w:numPr>
          <w:ilvl w:val="0"/>
          <w:numId w:val="0"/>
        </w:numPr>
        <w:spacing w:line="240" w:lineRule="auto"/>
      </w:pPr>
    </w:p>
    <w:p w:rsidR="00672D2B" w:rsidRPr="007522EE" w:rsidRDefault="00672D2B" w:rsidP="006B33C7">
      <w:pPr>
        <w:pStyle w:val="ResponseHeader4"/>
        <w:keepNext/>
        <w:numPr>
          <w:ilvl w:val="0"/>
          <w:numId w:val="0"/>
        </w:numPr>
        <w:ind w:left="2160" w:hanging="720"/>
      </w:pPr>
      <w:r>
        <w:t>a.</w:t>
      </w:r>
      <w:r>
        <w:tab/>
      </w:r>
      <w:r w:rsidR="00F936E6">
        <w:t>The C</w:t>
      </w:r>
      <w:r w:rsidRPr="00004061">
        <w:t>laim</w:t>
      </w:r>
      <w:r w:rsidR="00F936E6">
        <w:t>s Rely on Multiple Pieces of Information and Therefore Could Not Accrue at a Single O</w:t>
      </w:r>
      <w:r w:rsidRPr="00004061">
        <w:t>ccurrence</w:t>
      </w:r>
    </w:p>
    <w:p w:rsidR="00672D2B" w:rsidRPr="00004061" w:rsidRDefault="009771EC" w:rsidP="009771EC">
      <w:pPr>
        <w:pStyle w:val="Responsebody"/>
      </w:pPr>
      <w:r>
        <w:tab/>
        <w:t xml:space="preserve"> </w:t>
      </w:r>
      <w:r>
        <w:tab/>
      </w:r>
      <w:r w:rsidR="00672D2B" w:rsidRPr="00004061">
        <w:t xml:space="preserve">Only after </w:t>
      </w:r>
      <w:r w:rsidR="00CB1E1A">
        <w:t xml:space="preserve">all of </w:t>
      </w:r>
      <w:r w:rsidR="00672D2B" w:rsidRPr="00004061">
        <w:t xml:space="preserve">the following occurrences could both ICNU and Public Counsel, </w:t>
      </w:r>
      <w:r w:rsidR="00672D2B" w:rsidRPr="00004061">
        <w:lastRenderedPageBreak/>
        <w:t xml:space="preserve">with reasonable diligence, pursue the claims asserted in the Joint Complaint:  (1) ICNU received the California Contracts in Washington on July 8, 2010; (2) PacifiCorp filed </w:t>
      </w:r>
      <w:r w:rsidR="00EC6406">
        <w:t>the 2010 1st Quarter</w:t>
      </w:r>
      <w:r w:rsidR="00EC6406" w:rsidRPr="00004061">
        <w:t xml:space="preserve"> REC Report </w:t>
      </w:r>
      <w:r w:rsidR="00672D2B" w:rsidRPr="00004061">
        <w:t>on July 28, 2010</w:t>
      </w:r>
      <w:r w:rsidR="00ED26BD">
        <w:t>,</w:t>
      </w:r>
      <w:r w:rsidR="00672D2B" w:rsidRPr="00004061">
        <w:t xml:space="preserve"> demonstrating the potential impact of the California Contracts on 2010 Washington REC revenues; and, (3)</w:t>
      </w:r>
      <w:r w:rsidR="00672D2B" w:rsidRPr="00004061">
        <w:rPr>
          <w:i/>
        </w:rPr>
        <w:t xml:space="preserve"> </w:t>
      </w:r>
      <w:r w:rsidR="00672D2B" w:rsidRPr="00004061">
        <w:t xml:space="preserve">Public Counsel received the California Contracts on September 9, 2010. </w:t>
      </w:r>
      <w:r w:rsidR="00CD6CA7">
        <w:t xml:space="preserve"> </w:t>
      </w:r>
      <w:r w:rsidR="002C2381">
        <w:t>Again, this is not to say that even today ICNU and Public Counsel possess complete and accurate data on the REC revenue amounts.</w:t>
      </w:r>
    </w:p>
    <w:p w:rsidR="00672D2B" w:rsidRPr="00004061" w:rsidRDefault="009771EC" w:rsidP="009771EC">
      <w:pPr>
        <w:pStyle w:val="Responsebody"/>
        <w:rPr>
          <w:b/>
        </w:rPr>
      </w:pPr>
      <w:r>
        <w:tab/>
        <w:t xml:space="preserve"> </w:t>
      </w:r>
      <w:r>
        <w:tab/>
      </w:r>
      <w:r w:rsidR="00672D2B" w:rsidRPr="00004061">
        <w:t>The California Contracts provided ICNU and Public Counsel with knowledge of the date on which the contracts were executed and the per-REC price, but contained no information regarding the amount of revenue PacifiCorp coul</w:t>
      </w:r>
      <w:r w:rsidR="00CB1E1A">
        <w:t>d expect to receive from those c</w:t>
      </w:r>
      <w:r w:rsidR="00672D2B" w:rsidRPr="00004061">
        <w:t xml:space="preserve">ontracts on a Washington-basis during the 2010 rate-effective period.  Thus, ICNU’s possession of the contracts alone could not have triggered accrual of the claims asserted in the Joint Complaint.  It was only upon receipt of </w:t>
      </w:r>
      <w:r w:rsidR="00672D2B" w:rsidRPr="00004061">
        <w:rPr>
          <w:i/>
        </w:rPr>
        <w:t xml:space="preserve">both </w:t>
      </w:r>
      <w:r w:rsidR="00672D2B" w:rsidRPr="00004061">
        <w:t xml:space="preserve">the contracts </w:t>
      </w:r>
      <w:r w:rsidR="00672D2B" w:rsidRPr="00004061">
        <w:rPr>
          <w:i/>
        </w:rPr>
        <w:t xml:space="preserve">and </w:t>
      </w:r>
      <w:r w:rsidR="00672D2B" w:rsidRPr="00004061">
        <w:t xml:space="preserve">the </w:t>
      </w:r>
      <w:r w:rsidR="002C2381">
        <w:t>2010 1st Quarter</w:t>
      </w:r>
      <w:r w:rsidR="002C2381" w:rsidRPr="00004061">
        <w:t xml:space="preserve"> REC Report</w:t>
      </w:r>
      <w:r w:rsidR="00672D2B" w:rsidRPr="00004061">
        <w:t xml:space="preserve"> that </w:t>
      </w:r>
      <w:r w:rsidR="00CB1E1A">
        <w:t xml:space="preserve">ICNU and </w:t>
      </w:r>
      <w:r w:rsidR="00672D2B" w:rsidRPr="00004061">
        <w:t xml:space="preserve">Public Counsel could have had any reason to believe that PacifiCorp had </w:t>
      </w:r>
      <w:r w:rsidR="00D231E5">
        <w:t>significantly understated</w:t>
      </w:r>
      <w:r w:rsidR="00672D2B" w:rsidRPr="00004061">
        <w:t xml:space="preserve"> its expected 2010 REC revenue</w:t>
      </w:r>
      <w:r w:rsidR="00D231E5">
        <w:t>, thus,</w:t>
      </w:r>
      <w:r w:rsidR="00672D2B" w:rsidRPr="00004061">
        <w:t xml:space="preserve"> causing ratepayers material injury that </w:t>
      </w:r>
      <w:r w:rsidR="00D231E5">
        <w:t>is</w:t>
      </w:r>
      <w:r w:rsidR="00672D2B" w:rsidRPr="00004061">
        <w:t xml:space="preserve"> actionable under Washington statutes.  Indeed, at no point in its Motion to Dismiss does PacifiCorp show where else, besides </w:t>
      </w:r>
      <w:r w:rsidR="002C2381">
        <w:t>the 2010 1st Quarter</w:t>
      </w:r>
      <w:r w:rsidR="002C2381" w:rsidRPr="00004061">
        <w:t xml:space="preserve"> REC Report</w:t>
      </w:r>
      <w:r w:rsidR="00672D2B" w:rsidRPr="00004061">
        <w:t>, ICNU and Public Counsel could have gained knowledge regarding the Company’s actual or expected 2010 revenues on a Washington-basis.</w:t>
      </w:r>
    </w:p>
    <w:p w:rsidR="00672D2B" w:rsidRPr="007522EE" w:rsidRDefault="00E66548" w:rsidP="009771EC">
      <w:pPr>
        <w:pStyle w:val="ResponseHeader4"/>
        <w:keepNext/>
        <w:spacing w:before="240"/>
      </w:pPr>
      <w:r>
        <w:t>PacifiCorp Has Not Shown that the Claims Accrued Upon the F</w:t>
      </w:r>
      <w:r w:rsidR="00672D2B" w:rsidRPr="00004061">
        <w:t xml:space="preserve">iling of PacifiCorp’s 2009 Form 10-K, the Commission Basis Report, or the </w:t>
      </w:r>
      <w:r w:rsidR="00672D2B" w:rsidRPr="00004061">
        <w:rPr>
          <w:i/>
        </w:rPr>
        <w:t>2010 GRC</w:t>
      </w:r>
    </w:p>
    <w:p w:rsidR="00672D2B" w:rsidRPr="00004061" w:rsidRDefault="009771EC" w:rsidP="009771EC">
      <w:pPr>
        <w:pStyle w:val="Responsebody"/>
      </w:pPr>
      <w:r>
        <w:tab/>
        <w:t xml:space="preserve"> </w:t>
      </w:r>
      <w:r>
        <w:tab/>
      </w:r>
      <w:r w:rsidR="00672D2B" w:rsidRPr="00004061">
        <w:t>A party asserting a statute of limitations defense based on the “discovery rule” must provide actual evidence of when knowledge of the claims did or should have accrued.</w:t>
      </w:r>
      <w:r w:rsidR="00672D2B" w:rsidRPr="009B2790">
        <w:rPr>
          <w:rStyle w:val="FootnoteReference"/>
          <w:u w:val="single"/>
        </w:rPr>
        <w:footnoteReference w:id="25"/>
      </w:r>
      <w:proofErr w:type="gramStart"/>
      <w:r w:rsidR="00672D2B" w:rsidRPr="00FC0880">
        <w:rPr>
          <w:sz w:val="20"/>
          <w:szCs w:val="20"/>
          <w:vertAlign w:val="superscript"/>
        </w:rPr>
        <w:t>/</w:t>
      </w:r>
      <w:r w:rsidR="00672D2B" w:rsidRPr="00FC0880">
        <w:rPr>
          <w:sz w:val="20"/>
          <w:szCs w:val="20"/>
        </w:rPr>
        <w:t xml:space="preserve"> </w:t>
      </w:r>
      <w:r w:rsidR="00672D2B" w:rsidRPr="00004061">
        <w:t xml:space="preserve"> </w:t>
      </w:r>
      <w:r w:rsidR="00672D2B" w:rsidRPr="00004061">
        <w:lastRenderedPageBreak/>
        <w:t>PacifiCorp</w:t>
      </w:r>
      <w:proofErr w:type="gramEnd"/>
      <w:r w:rsidR="00672D2B" w:rsidRPr="00004061">
        <w:t xml:space="preserve"> argues that ICNU and Public Counsel could have, or should have, learned the essential elements of the claims from its 2009 Form 10-K</w:t>
      </w:r>
      <w:r w:rsidR="00FC0880">
        <w:t>,</w:t>
      </w:r>
      <w:r w:rsidR="00672D2B" w:rsidRPr="00004061">
        <w:t xml:space="preserve"> Basis Report</w:t>
      </w:r>
      <w:r w:rsidR="00FC0880">
        <w:t>,</w:t>
      </w:r>
      <w:r w:rsidR="00672D2B" w:rsidRPr="00004061">
        <w:t xml:space="preserve"> or </w:t>
      </w:r>
      <w:r w:rsidR="00672D2B" w:rsidRPr="00004061">
        <w:rPr>
          <w:i/>
        </w:rPr>
        <w:t>2010 GRC</w:t>
      </w:r>
      <w:r w:rsidR="00E368BD">
        <w:t>, but provides no evidence that either party had actual possession of these documents.</w:t>
      </w:r>
      <w:r w:rsidR="00382CF9" w:rsidRPr="009B2790">
        <w:rPr>
          <w:rStyle w:val="FootnoteReference"/>
          <w:u w:val="single"/>
        </w:rPr>
        <w:footnoteReference w:id="26"/>
      </w:r>
      <w:proofErr w:type="gramStart"/>
      <w:r w:rsidR="00382CF9" w:rsidRPr="00FC0880">
        <w:rPr>
          <w:sz w:val="20"/>
          <w:szCs w:val="20"/>
          <w:vertAlign w:val="superscript"/>
        </w:rPr>
        <w:t>/</w:t>
      </w:r>
      <w:r w:rsidR="00E368BD">
        <w:t xml:space="preserve">  Further</w:t>
      </w:r>
      <w:proofErr w:type="gramEnd"/>
      <w:r w:rsidR="00E368BD">
        <w:t>, none of these documents show the REC revenue for 2010 on a Washington basis.</w:t>
      </w:r>
      <w:r w:rsidR="00672D2B" w:rsidRPr="00004061">
        <w:t xml:space="preserve">  </w:t>
      </w:r>
    </w:p>
    <w:p w:rsidR="00672D2B" w:rsidRPr="00004061" w:rsidRDefault="009771EC" w:rsidP="009771EC">
      <w:pPr>
        <w:pStyle w:val="Responsebody"/>
      </w:pPr>
      <w:r>
        <w:tab/>
        <w:t xml:space="preserve"> </w:t>
      </w:r>
      <w:r>
        <w:tab/>
      </w:r>
      <w:r w:rsidR="00E368BD">
        <w:t>A</w:t>
      </w:r>
      <w:r w:rsidR="00DE1471">
        <w:t xml:space="preserve"> party cannot </w:t>
      </w:r>
      <w:r w:rsidR="00E368BD">
        <w:t>seek to dismiss a case</w:t>
      </w:r>
      <w:r w:rsidR="00DE1471">
        <w:t xml:space="preserve"> on some vague basis </w:t>
      </w:r>
      <w:r w:rsidR="004018DA">
        <w:t>that the information that PacifiCorp claims on the one hand is highly confidential</w:t>
      </w:r>
      <w:r w:rsidR="00E368BD">
        <w:t>, but</w:t>
      </w:r>
      <w:r w:rsidR="00633806">
        <w:t>,</w:t>
      </w:r>
      <w:r w:rsidR="004018DA">
        <w:t xml:space="preserve"> in this context</w:t>
      </w:r>
      <w:r w:rsidR="00633806">
        <w:t>,</w:t>
      </w:r>
      <w:r w:rsidR="004018DA">
        <w:t xml:space="preserve"> </w:t>
      </w:r>
      <w:r w:rsidR="00E368BD">
        <w:t xml:space="preserve">is </w:t>
      </w:r>
      <w:r w:rsidR="004018DA">
        <w:t>in the public domain.</w:t>
      </w:r>
      <w:r w:rsidR="00672D2B" w:rsidRPr="00004061">
        <w:t xml:space="preserve">  As PacifiCorp </w:t>
      </w:r>
      <w:r w:rsidR="000F5D68">
        <w:t>admits,</w:t>
      </w:r>
      <w:r w:rsidR="00672D2B" w:rsidRPr="00004061">
        <w:t xml:space="preserve"> the Form 10-K only gave a total-Company 2009 REC revenue number</w:t>
      </w:r>
      <w:r w:rsidR="00672D2B" w:rsidRPr="009B2790">
        <w:rPr>
          <w:rStyle w:val="FootnoteReference"/>
          <w:u w:val="single"/>
        </w:rPr>
        <w:footnoteReference w:id="27"/>
      </w:r>
      <w:r w:rsidR="00672D2B" w:rsidRPr="00A83D38">
        <w:rPr>
          <w:sz w:val="20"/>
          <w:szCs w:val="20"/>
          <w:vertAlign w:val="superscript"/>
        </w:rPr>
        <w:t>/</w:t>
      </w:r>
      <w:r w:rsidR="00672D2B" w:rsidRPr="00004061">
        <w:t xml:space="preserve"> and provides no information regarding the California Contracts or the revenues PacifiCorp generated from those contracts in 2010.  Moreover, the Basis Report and </w:t>
      </w:r>
      <w:r w:rsidR="00672D2B" w:rsidRPr="00004061">
        <w:rPr>
          <w:i/>
        </w:rPr>
        <w:t xml:space="preserve">2010 GRC </w:t>
      </w:r>
      <w:r w:rsidR="00672D2B" w:rsidRPr="00004061">
        <w:t xml:space="preserve">show only the amount of REC revenues generated </w:t>
      </w:r>
      <w:r w:rsidR="00672D2B" w:rsidRPr="00004061">
        <w:rPr>
          <w:i/>
        </w:rPr>
        <w:t>in 2009</w:t>
      </w:r>
      <w:r w:rsidR="00672D2B" w:rsidRPr="00004061">
        <w:t>.   PacifiCorp fails to ad</w:t>
      </w:r>
      <w:r w:rsidR="009B2790">
        <w:t xml:space="preserve">dress or offer any evidence of </w:t>
      </w:r>
      <w:r w:rsidR="00672D2B" w:rsidRPr="00004061">
        <w:t xml:space="preserve">how either ICNU or Public Counsel </w:t>
      </w:r>
      <w:r w:rsidR="00672D2B" w:rsidRPr="00004061">
        <w:rPr>
          <w:i/>
        </w:rPr>
        <w:t xml:space="preserve">should </w:t>
      </w:r>
      <w:r w:rsidR="00672D2B" w:rsidRPr="00004061">
        <w:t>have gleaned from this information any facts regarding the California Contracts or facts regarding the Company’s 2010 REC revenue.</w:t>
      </w:r>
    </w:p>
    <w:p w:rsidR="00672D2B" w:rsidRPr="00004061" w:rsidRDefault="00C955B0" w:rsidP="009771EC">
      <w:pPr>
        <w:pStyle w:val="ResponseHeader3"/>
        <w:keepNext/>
        <w:spacing w:before="240"/>
      </w:pPr>
      <w:r>
        <w:t>Expert W</w:t>
      </w:r>
      <w:r w:rsidR="00672D2B" w:rsidRPr="00004061">
        <w:t>itness</w:t>
      </w:r>
      <w:r>
        <w:t>es’ Participation and Filings in Other S</w:t>
      </w:r>
      <w:r w:rsidR="00672D2B" w:rsidRPr="00004061">
        <w:t>tates</w:t>
      </w:r>
      <w:r>
        <w:t xml:space="preserve"> Does N</w:t>
      </w:r>
      <w:r w:rsidR="00672D2B">
        <w:t xml:space="preserve">ot </w:t>
      </w:r>
      <w:r w:rsidR="000F5D68">
        <w:t>Meet the Actual Knowledge Requirement</w:t>
      </w:r>
    </w:p>
    <w:p w:rsidR="00672D2B" w:rsidRPr="00004061" w:rsidRDefault="009771EC" w:rsidP="009771EC">
      <w:pPr>
        <w:pStyle w:val="Responsebody"/>
      </w:pPr>
      <w:r>
        <w:tab/>
        <w:t xml:space="preserve"> </w:t>
      </w:r>
      <w:r>
        <w:tab/>
      </w:r>
      <w:r w:rsidR="00672D2B" w:rsidRPr="00004061">
        <w:t xml:space="preserve">PacifiCorp argues that Public Counsel and ICNU should have known about the alleged violations when Donna </w:t>
      </w:r>
      <w:proofErr w:type="spellStart"/>
      <w:r w:rsidR="00672D2B" w:rsidRPr="00004061">
        <w:t>Ramas</w:t>
      </w:r>
      <w:proofErr w:type="spellEnd"/>
      <w:r w:rsidR="00672D2B" w:rsidRPr="00004061">
        <w:t xml:space="preserve"> and Randall Falkenberg filed testimony on behalf of the Utah Office of Consumer Services in PacifiCorp’s 2009 Utah general rate case, or at the time </w:t>
      </w:r>
      <w:r w:rsidR="00672D2B" w:rsidRPr="00004061">
        <w:lastRenderedPageBreak/>
        <w:t>that Mr. Falkenberg filed testimony in a 2009 Oregon power cost proceeding.</w:t>
      </w:r>
      <w:r w:rsidR="00672D2B" w:rsidRPr="009B2790">
        <w:rPr>
          <w:rStyle w:val="FootnoteReference"/>
          <w:u w:val="single"/>
        </w:rPr>
        <w:footnoteReference w:id="28"/>
      </w:r>
      <w:proofErr w:type="gramStart"/>
      <w:r w:rsidR="00672D2B" w:rsidRPr="00522EE2">
        <w:rPr>
          <w:sz w:val="20"/>
          <w:szCs w:val="20"/>
          <w:vertAlign w:val="superscript"/>
        </w:rPr>
        <w:t>/</w:t>
      </w:r>
      <w:r w:rsidR="00672D2B" w:rsidRPr="00004061">
        <w:t xml:space="preserve">  </w:t>
      </w:r>
      <w:r w:rsidR="000F5D68">
        <w:t>Once</w:t>
      </w:r>
      <w:proofErr w:type="gramEnd"/>
      <w:r w:rsidR="000F5D68">
        <w:t xml:space="preserve"> again, PacifiCorp fails to provide any evidence of actual knowledge resulting from the Utah case.  </w:t>
      </w:r>
      <w:r w:rsidR="00672D2B" w:rsidRPr="00004061">
        <w:t xml:space="preserve">PacifiCorp relies on principles of agency law to argue that knowledge gained by Ms. </w:t>
      </w:r>
      <w:proofErr w:type="spellStart"/>
      <w:r w:rsidR="00672D2B" w:rsidRPr="00004061">
        <w:t>Ramas</w:t>
      </w:r>
      <w:proofErr w:type="spellEnd"/>
      <w:r w:rsidR="00672D2B" w:rsidRPr="00004061">
        <w:t xml:space="preserve"> and Mr. Falkenberg in these other jurisdictions may be imputed to Public Counsel and ICNU.  However, as discussed below, these arguments are completely without basis in fact or law.</w:t>
      </w:r>
    </w:p>
    <w:p w:rsidR="00672D2B" w:rsidRPr="00004061" w:rsidRDefault="00672D2B" w:rsidP="009771EC">
      <w:pPr>
        <w:pStyle w:val="ResponseHeader4"/>
        <w:numPr>
          <w:ilvl w:val="0"/>
          <w:numId w:val="0"/>
        </w:numPr>
        <w:spacing w:before="240"/>
        <w:ind w:left="2160" w:hanging="720"/>
      </w:pPr>
      <w:r>
        <w:t>a.</w:t>
      </w:r>
      <w:r>
        <w:tab/>
      </w:r>
      <w:r w:rsidR="00543010">
        <w:t>Expert Witnesses Are Not A</w:t>
      </w:r>
      <w:r w:rsidRPr="00004061">
        <w:t>gents</w:t>
      </w:r>
    </w:p>
    <w:p w:rsidR="00672D2B" w:rsidRPr="00004061" w:rsidRDefault="009771EC" w:rsidP="009771EC">
      <w:pPr>
        <w:pStyle w:val="Responsebody"/>
      </w:pPr>
      <w:r>
        <w:tab/>
        <w:t xml:space="preserve"> </w:t>
      </w:r>
      <w:r>
        <w:tab/>
      </w:r>
      <w:r w:rsidR="00672D2B" w:rsidRPr="00004061">
        <w:rPr>
          <w:color w:val="000000"/>
        </w:rPr>
        <w:t>An agency relationship may be implied when “two parties consent that one shall act under the control of the other.”</w:t>
      </w:r>
      <w:r w:rsidR="00672D2B" w:rsidRPr="009B2790">
        <w:rPr>
          <w:rStyle w:val="FootnoteReference"/>
          <w:color w:val="000000"/>
          <w:u w:val="single"/>
        </w:rPr>
        <w:footnoteReference w:id="29"/>
      </w:r>
      <w:proofErr w:type="gramStart"/>
      <w:r w:rsidR="00672D2B" w:rsidRPr="00522EE2">
        <w:rPr>
          <w:sz w:val="20"/>
          <w:szCs w:val="20"/>
          <w:vertAlign w:val="superscript"/>
        </w:rPr>
        <w:t>/</w:t>
      </w:r>
      <w:r w:rsidR="00672D2B" w:rsidRPr="00004061">
        <w:rPr>
          <w:color w:val="000000"/>
        </w:rPr>
        <w:t xml:space="preserve"> </w:t>
      </w:r>
      <w:r w:rsidR="00672D2B" w:rsidRPr="00004061">
        <w:t xml:space="preserve"> In</w:t>
      </w:r>
      <w:proofErr w:type="gramEnd"/>
      <w:r w:rsidR="00672D2B" w:rsidRPr="00004061">
        <w:t xml:space="preserve"> litigation, the party asserting an implied agency relationship bears the burden of proving the existence of such a relationship.</w:t>
      </w:r>
      <w:r w:rsidR="00672D2B" w:rsidRPr="009B2790">
        <w:rPr>
          <w:rStyle w:val="FootnoteReference"/>
          <w:u w:val="single"/>
        </w:rPr>
        <w:footnoteReference w:id="30"/>
      </w:r>
      <w:proofErr w:type="gramStart"/>
      <w:r w:rsidR="00672D2B" w:rsidRPr="00522EE2">
        <w:rPr>
          <w:sz w:val="20"/>
          <w:szCs w:val="20"/>
          <w:vertAlign w:val="superscript"/>
        </w:rPr>
        <w:t>/</w:t>
      </w:r>
      <w:r w:rsidR="00672D2B" w:rsidRPr="00522EE2">
        <w:rPr>
          <w:sz w:val="20"/>
          <w:szCs w:val="20"/>
        </w:rPr>
        <w:t xml:space="preserve"> </w:t>
      </w:r>
      <w:r w:rsidR="00672D2B" w:rsidRPr="00004061">
        <w:t xml:space="preserve"> In</w:t>
      </w:r>
      <w:proofErr w:type="gramEnd"/>
      <w:r w:rsidR="00672D2B" w:rsidRPr="00004061">
        <w:t xml:space="preserve"> order to find implied agency, the party asserting the agency must show: </w:t>
      </w:r>
      <w:r w:rsidR="000F5D68">
        <w:t xml:space="preserve"> </w:t>
      </w:r>
      <w:r w:rsidR="00672D2B" w:rsidRPr="00004061">
        <w:t>(1) an agreement between the parties to con</w:t>
      </w:r>
      <w:r w:rsidR="000F5D68">
        <w:t>sent to the agency relationship;</w:t>
      </w:r>
      <w:r w:rsidR="00672D2B" w:rsidRPr="00004061">
        <w:t xml:space="preserve"> </w:t>
      </w:r>
      <w:r w:rsidR="00672D2B" w:rsidRPr="00004061">
        <w:rPr>
          <w:i/>
        </w:rPr>
        <w:t>and</w:t>
      </w:r>
      <w:r w:rsidR="00672D2B" w:rsidRPr="00004061">
        <w:t xml:space="preserve"> (2) the right of the principal to control the manner of the agent’s performance.</w:t>
      </w:r>
      <w:r w:rsidR="00672D2B" w:rsidRPr="00522EE2">
        <w:rPr>
          <w:rStyle w:val="FootnoteReference"/>
          <w:u w:val="single"/>
        </w:rPr>
        <w:footnoteReference w:id="31"/>
      </w:r>
      <w:proofErr w:type="gramStart"/>
      <w:r w:rsidR="00672D2B" w:rsidRPr="00522EE2">
        <w:rPr>
          <w:sz w:val="20"/>
          <w:szCs w:val="20"/>
          <w:vertAlign w:val="superscript"/>
        </w:rPr>
        <w:t>/</w:t>
      </w:r>
      <w:r w:rsidR="00672D2B" w:rsidRPr="00522EE2">
        <w:rPr>
          <w:sz w:val="20"/>
          <w:szCs w:val="20"/>
        </w:rPr>
        <w:t xml:space="preserve"> </w:t>
      </w:r>
      <w:r w:rsidR="00672D2B" w:rsidRPr="00004061">
        <w:t xml:space="preserve"> The</w:t>
      </w:r>
      <w:proofErr w:type="gramEnd"/>
      <w:r w:rsidR="00672D2B" w:rsidRPr="00004061">
        <w:t xml:space="preserve"> element of control is essential to implied agencies.</w:t>
      </w:r>
      <w:r w:rsidR="00672D2B" w:rsidRPr="00522EE2">
        <w:rPr>
          <w:rStyle w:val="FootnoteReference"/>
          <w:u w:val="single"/>
        </w:rPr>
        <w:footnoteReference w:id="32"/>
      </w:r>
      <w:proofErr w:type="gramStart"/>
      <w:r w:rsidR="00672D2B" w:rsidRPr="00522EE2">
        <w:rPr>
          <w:sz w:val="20"/>
          <w:szCs w:val="20"/>
          <w:vertAlign w:val="superscript"/>
        </w:rPr>
        <w:t>/</w:t>
      </w:r>
      <w:r w:rsidR="00672D2B" w:rsidRPr="00004061">
        <w:t xml:space="preserve">  </w:t>
      </w:r>
      <w:r w:rsidR="000F5D68">
        <w:t>Neither</w:t>
      </w:r>
      <w:proofErr w:type="gramEnd"/>
      <w:r w:rsidR="000F5D68">
        <w:t xml:space="preserve"> element is met here.  </w:t>
      </w:r>
      <w:r w:rsidR="00672D2B" w:rsidRPr="00004061">
        <w:t xml:space="preserve">In this case, PacifiCorp presents </w:t>
      </w:r>
      <w:r w:rsidR="00672D2B" w:rsidRPr="00004061">
        <w:rPr>
          <w:i/>
        </w:rPr>
        <w:t xml:space="preserve">no evidence </w:t>
      </w:r>
      <w:r w:rsidR="00672D2B" w:rsidRPr="00004061">
        <w:t xml:space="preserve">regarding the nature of the relationships between Ms. </w:t>
      </w:r>
      <w:proofErr w:type="spellStart"/>
      <w:r w:rsidR="00672D2B" w:rsidRPr="00004061">
        <w:t>Ramas</w:t>
      </w:r>
      <w:proofErr w:type="spellEnd"/>
      <w:r w:rsidR="00672D2B" w:rsidRPr="00004061">
        <w:t xml:space="preserve"> and Public Counsel and between Mr. Falkenberg and ICNU.  This lack of evidence alone is enough to disreg</w:t>
      </w:r>
      <w:r w:rsidR="00633806">
        <w:t>ard any argument regarding when</w:t>
      </w:r>
      <w:r w:rsidR="00672D2B" w:rsidRPr="00004061">
        <w:t xml:space="preserve"> either Ms. </w:t>
      </w:r>
      <w:proofErr w:type="spellStart"/>
      <w:r w:rsidR="00672D2B" w:rsidRPr="00004061">
        <w:t>Ramas</w:t>
      </w:r>
      <w:proofErr w:type="spellEnd"/>
      <w:r w:rsidR="00672D2B" w:rsidRPr="00004061">
        <w:t xml:space="preserve"> or Mr. Falkenberg might have known something material to ICNU and Public Counsel’s claim</w:t>
      </w:r>
      <w:r w:rsidR="008F73B2">
        <w:t>s</w:t>
      </w:r>
      <w:r w:rsidR="00672D2B" w:rsidRPr="00004061">
        <w:t xml:space="preserve">.  </w:t>
      </w:r>
    </w:p>
    <w:p w:rsidR="00672D2B" w:rsidRPr="00004061" w:rsidRDefault="009771EC" w:rsidP="0095256A">
      <w:pPr>
        <w:pStyle w:val="Responsebody"/>
        <w:keepLines/>
        <w:widowControl/>
      </w:pPr>
      <w:r>
        <w:lastRenderedPageBreak/>
        <w:tab/>
        <w:t xml:space="preserve"> </w:t>
      </w:r>
      <w:r>
        <w:tab/>
      </w:r>
      <w:r w:rsidR="00672D2B" w:rsidRPr="00004061">
        <w:t xml:space="preserve">Indeed, </w:t>
      </w:r>
      <w:r w:rsidR="008F73B2">
        <w:t>there is no</w:t>
      </w:r>
      <w:r w:rsidR="00672D2B" w:rsidRPr="00004061">
        <w:t xml:space="preserve"> set of facts could show that either Ms. </w:t>
      </w:r>
      <w:proofErr w:type="spellStart"/>
      <w:r w:rsidR="00672D2B" w:rsidRPr="00004061">
        <w:t>Ramas</w:t>
      </w:r>
      <w:proofErr w:type="spellEnd"/>
      <w:r w:rsidR="00672D2B" w:rsidRPr="00004061">
        <w:t xml:space="preserve"> or Mr. Falkenberg were or are agents of Public Counsel or ICNU because expert witnesses are generally not agents of their clients, even during the term of their contract.  Numerous courts have explained why this is so.  The Supreme Court of Illinois stated: “Excepting for fraud, the employer can influence but cannot control the expert’s thought processes.  Thus, the control element, so crucial to agency, is at all times missing.”</w:t>
      </w:r>
      <w:r w:rsidR="00672D2B" w:rsidRPr="009B2790">
        <w:rPr>
          <w:rStyle w:val="FootnoteReference"/>
          <w:u w:val="single"/>
        </w:rPr>
        <w:footnoteReference w:id="33"/>
      </w:r>
      <w:proofErr w:type="gramStart"/>
      <w:r w:rsidR="00672D2B" w:rsidRPr="008F73B2">
        <w:rPr>
          <w:sz w:val="20"/>
          <w:szCs w:val="20"/>
          <w:vertAlign w:val="superscript"/>
        </w:rPr>
        <w:t>/</w:t>
      </w:r>
      <w:r w:rsidR="00672D2B" w:rsidRPr="00004061">
        <w:t xml:space="preserve">  The</w:t>
      </w:r>
      <w:proofErr w:type="gramEnd"/>
      <w:r w:rsidR="00672D2B" w:rsidRPr="00004061">
        <w:t xml:space="preserve"> Third Circuit likewise stated: “Since an expert witness is not subject to the control of the party opponent with respect to consultation and testimony he or she is hired to give, the expert witness cannot be deemed an agent.”</w:t>
      </w:r>
      <w:r w:rsidR="00672D2B" w:rsidRPr="009B2790">
        <w:rPr>
          <w:rStyle w:val="FootnoteReference"/>
          <w:u w:val="single"/>
        </w:rPr>
        <w:footnoteReference w:id="34"/>
      </w:r>
      <w:proofErr w:type="gramStart"/>
      <w:r w:rsidR="00672D2B" w:rsidRPr="008F73B2">
        <w:rPr>
          <w:sz w:val="20"/>
          <w:szCs w:val="20"/>
          <w:vertAlign w:val="superscript"/>
        </w:rPr>
        <w:t>/</w:t>
      </w:r>
      <w:r w:rsidR="00672D2B" w:rsidRPr="00004061">
        <w:t xml:space="preserve">  </w:t>
      </w:r>
      <w:r w:rsidR="00A54140">
        <w:t>There</w:t>
      </w:r>
      <w:proofErr w:type="gramEnd"/>
      <w:r w:rsidR="00A54140">
        <w:t xml:space="preserve"> is a long line of cases finding that expert witnesses are not agents.</w:t>
      </w:r>
      <w:r w:rsidR="00A54140" w:rsidRPr="009B2790">
        <w:rPr>
          <w:rStyle w:val="FootnoteReference"/>
          <w:u w:val="single"/>
        </w:rPr>
        <w:footnoteReference w:id="35"/>
      </w:r>
      <w:r w:rsidR="00A54140" w:rsidRPr="008F73B2">
        <w:rPr>
          <w:sz w:val="20"/>
          <w:szCs w:val="20"/>
          <w:vertAlign w:val="superscript"/>
        </w:rPr>
        <w:t>/</w:t>
      </w:r>
      <w:r w:rsidR="00672D2B" w:rsidRPr="00004061">
        <w:t xml:space="preserve"> </w:t>
      </w:r>
    </w:p>
    <w:p w:rsidR="00672D2B" w:rsidRPr="00004061" w:rsidRDefault="00672D2B" w:rsidP="009771EC">
      <w:pPr>
        <w:pStyle w:val="ResponseHeader4"/>
        <w:keepNext/>
        <w:numPr>
          <w:ilvl w:val="0"/>
          <w:numId w:val="0"/>
        </w:numPr>
        <w:spacing w:before="240"/>
        <w:ind w:left="2160" w:hanging="720"/>
      </w:pPr>
      <w:r>
        <w:t>b.</w:t>
      </w:r>
      <w:r>
        <w:tab/>
      </w:r>
      <w:r w:rsidRPr="00004061">
        <w:t xml:space="preserve">Ms. </w:t>
      </w:r>
      <w:proofErr w:type="spellStart"/>
      <w:r w:rsidRPr="00004061">
        <w:t>Ramas</w:t>
      </w:r>
      <w:proofErr w:type="spellEnd"/>
      <w:r w:rsidRPr="00004061">
        <w:t xml:space="preserve">’ and Mr. Falkenberg’s </w:t>
      </w:r>
      <w:r w:rsidR="008F73B2">
        <w:t>P</w:t>
      </w:r>
      <w:r w:rsidRPr="00004061">
        <w:t xml:space="preserve">articipation in </w:t>
      </w:r>
      <w:r w:rsidR="008F73B2">
        <w:t>P</w:t>
      </w:r>
      <w:r w:rsidRPr="00004061">
        <w:t xml:space="preserve">roceedings in Utah is </w:t>
      </w:r>
      <w:r w:rsidR="008F73B2">
        <w:t>O</w:t>
      </w:r>
      <w:r w:rsidRPr="00004061">
        <w:t xml:space="preserve">utside of the </w:t>
      </w:r>
      <w:r w:rsidR="008F73B2">
        <w:t>S</w:t>
      </w:r>
      <w:r w:rsidRPr="00004061">
        <w:t xml:space="preserve">cope of their </w:t>
      </w:r>
      <w:r w:rsidR="008F73B2">
        <w:t>W</w:t>
      </w:r>
      <w:r w:rsidRPr="00004061">
        <w:t xml:space="preserve">ork on </w:t>
      </w:r>
      <w:r w:rsidR="008F73B2">
        <w:t>B</w:t>
      </w:r>
      <w:r w:rsidRPr="00004061">
        <w:t>ehalf of ICNU and Public Counsel</w:t>
      </w:r>
    </w:p>
    <w:p w:rsidR="00672D2B" w:rsidRPr="00004061" w:rsidRDefault="009771EC" w:rsidP="009771EC">
      <w:pPr>
        <w:pStyle w:val="Responsebody"/>
      </w:pPr>
      <w:r>
        <w:tab/>
        <w:t xml:space="preserve"> </w:t>
      </w:r>
      <w:r>
        <w:tab/>
      </w:r>
      <w:r w:rsidR="00672D2B" w:rsidRPr="00004061">
        <w:t xml:space="preserve">Even </w:t>
      </w:r>
      <w:r w:rsidR="00672D2B" w:rsidRPr="00004061">
        <w:rPr>
          <w:i/>
        </w:rPr>
        <w:t xml:space="preserve">if </w:t>
      </w:r>
      <w:r w:rsidR="00672D2B" w:rsidRPr="00004061">
        <w:t xml:space="preserve">Ms. </w:t>
      </w:r>
      <w:proofErr w:type="spellStart"/>
      <w:r w:rsidR="00672D2B" w:rsidRPr="00004061">
        <w:t>Ramas</w:t>
      </w:r>
      <w:proofErr w:type="spellEnd"/>
      <w:r w:rsidR="00672D2B" w:rsidRPr="00004061">
        <w:t xml:space="preserve"> and Mr. Falkenberg could be construed as agents, the agency would necessarily be limited in scope and not extend to their work in other states.  Ms. </w:t>
      </w:r>
      <w:proofErr w:type="spellStart"/>
      <w:r w:rsidR="00672D2B" w:rsidRPr="00004061">
        <w:t>Ramas</w:t>
      </w:r>
      <w:proofErr w:type="spellEnd"/>
      <w:r w:rsidR="00672D2B" w:rsidRPr="00004061">
        <w:t xml:space="preserve"> was contracted </w:t>
      </w:r>
      <w:r w:rsidR="00633806">
        <w:t>by</w:t>
      </w:r>
      <w:r w:rsidR="00672D2B" w:rsidRPr="00004061">
        <w:t xml:space="preserve"> Public Counsel as an expert witness for the finite duration of the </w:t>
      </w:r>
      <w:r w:rsidR="00672D2B" w:rsidRPr="00004061">
        <w:rPr>
          <w:i/>
        </w:rPr>
        <w:t>2009 GRC</w:t>
      </w:r>
      <w:r w:rsidR="00672D2B" w:rsidRPr="00004061">
        <w:t>.</w:t>
      </w:r>
      <w:r w:rsidR="00672D2B" w:rsidRPr="009B2790">
        <w:rPr>
          <w:rStyle w:val="FootnoteReference"/>
          <w:u w:val="single"/>
        </w:rPr>
        <w:footnoteReference w:id="36"/>
      </w:r>
      <w:proofErr w:type="gramStart"/>
      <w:r w:rsidR="00672D2B" w:rsidRPr="008F73B2">
        <w:rPr>
          <w:sz w:val="20"/>
          <w:szCs w:val="20"/>
          <w:vertAlign w:val="superscript"/>
        </w:rPr>
        <w:t>/</w:t>
      </w:r>
      <w:r w:rsidR="00672D2B" w:rsidRPr="00004061">
        <w:t xml:space="preserve">  </w:t>
      </w:r>
      <w:r w:rsidR="00672D2B" w:rsidRPr="00004061">
        <w:lastRenderedPageBreak/>
        <w:t>Ms</w:t>
      </w:r>
      <w:proofErr w:type="gramEnd"/>
      <w:r w:rsidR="00672D2B" w:rsidRPr="00004061">
        <w:t xml:space="preserve">. </w:t>
      </w:r>
      <w:proofErr w:type="spellStart"/>
      <w:r w:rsidR="00672D2B" w:rsidRPr="00004061">
        <w:t>Ramas</w:t>
      </w:r>
      <w:proofErr w:type="spellEnd"/>
      <w:r w:rsidR="00672D2B" w:rsidRPr="00004061">
        <w:t>’ work on behalf of Public Counsel was strictly limited in scope to analyzing the revenue filing in that case, and her work ceased after she filed testimony in support of the proposed settlement in September 2009.</w:t>
      </w:r>
      <w:r w:rsidR="00672D2B" w:rsidRPr="009B2790">
        <w:rPr>
          <w:rStyle w:val="FootnoteReference"/>
          <w:u w:val="single"/>
        </w:rPr>
        <w:footnoteReference w:id="37"/>
      </w:r>
      <w:proofErr w:type="gramStart"/>
      <w:r w:rsidR="00672D2B" w:rsidRPr="008F73B2">
        <w:rPr>
          <w:sz w:val="20"/>
          <w:szCs w:val="20"/>
          <w:vertAlign w:val="superscript"/>
        </w:rPr>
        <w:t>/</w:t>
      </w:r>
      <w:r w:rsidR="00672D2B" w:rsidRPr="00004061">
        <w:t xml:space="preserve">  Likewise</w:t>
      </w:r>
      <w:proofErr w:type="gramEnd"/>
      <w:r w:rsidR="00672D2B" w:rsidRPr="00004061">
        <w:t>, Mr. Falkenberg also was retained by ICNU in Washington for the limited purpose of serving as a witness in the 2009 case, and not to act as an agent of knowledge for ICNU regarding PacifiCorp’s dealings in other states.</w:t>
      </w:r>
      <w:r w:rsidR="00672D2B" w:rsidRPr="009B2790">
        <w:rPr>
          <w:rStyle w:val="FootnoteReference"/>
          <w:u w:val="single"/>
        </w:rPr>
        <w:footnoteReference w:id="38"/>
      </w:r>
      <w:r w:rsidR="00672D2B" w:rsidRPr="008F73B2">
        <w:rPr>
          <w:sz w:val="20"/>
          <w:szCs w:val="20"/>
          <w:vertAlign w:val="superscript"/>
        </w:rPr>
        <w:t>/</w:t>
      </w:r>
      <w:r w:rsidR="00672D2B" w:rsidRPr="00004061">
        <w:t xml:space="preserve">   </w:t>
      </w:r>
    </w:p>
    <w:p w:rsidR="00672D2B" w:rsidRPr="00004061" w:rsidRDefault="009771EC" w:rsidP="009771EC">
      <w:pPr>
        <w:pStyle w:val="Responsebody"/>
      </w:pPr>
      <w:r>
        <w:tab/>
        <w:t xml:space="preserve"> </w:t>
      </w:r>
      <w:r>
        <w:tab/>
      </w:r>
      <w:r w:rsidR="00672D2B" w:rsidRPr="00004061">
        <w:t xml:space="preserve">And assuming </w:t>
      </w:r>
      <w:proofErr w:type="spellStart"/>
      <w:r w:rsidR="00672D2B" w:rsidRPr="00004061">
        <w:rPr>
          <w:i/>
        </w:rPr>
        <w:t>arguendo</w:t>
      </w:r>
      <w:proofErr w:type="spellEnd"/>
      <w:r w:rsidR="00672D2B" w:rsidRPr="00004061">
        <w:rPr>
          <w:i/>
        </w:rPr>
        <w:t xml:space="preserve"> </w:t>
      </w:r>
      <w:r w:rsidR="00672D2B" w:rsidRPr="00004061">
        <w:t xml:space="preserve">that Ms. </w:t>
      </w:r>
      <w:proofErr w:type="spellStart"/>
      <w:r w:rsidR="00672D2B" w:rsidRPr="00004061">
        <w:t>Ramas</w:t>
      </w:r>
      <w:proofErr w:type="spellEnd"/>
      <w:r w:rsidR="00672D2B" w:rsidRPr="00004061">
        <w:t xml:space="preserve"> and Mr. Falkenberg were</w:t>
      </w:r>
      <w:r w:rsidR="00672D2B" w:rsidRPr="00004061">
        <w:rPr>
          <w:i/>
        </w:rPr>
        <w:t xml:space="preserve"> </w:t>
      </w:r>
      <w:r w:rsidR="00672D2B" w:rsidRPr="00004061">
        <w:t xml:space="preserve">agents of Public Counsel and ICNU at the time they were working in Utah, any knowledge they may have gained during their work in Utah </w:t>
      </w:r>
      <w:r w:rsidR="00E5303F">
        <w:t xml:space="preserve">for other clients </w:t>
      </w:r>
      <w:r w:rsidR="00672D2B" w:rsidRPr="00004061">
        <w:t xml:space="preserve">could not be imputed to Public Counsel and ICNU because their work was outside the scope of any possible agency.  Ms. </w:t>
      </w:r>
      <w:proofErr w:type="spellStart"/>
      <w:r w:rsidR="00672D2B" w:rsidRPr="00004061">
        <w:t>Ramas</w:t>
      </w:r>
      <w:proofErr w:type="spellEnd"/>
      <w:r w:rsidR="00672D2B" w:rsidRPr="00004061">
        <w:t>’ and Mr. Falkenberg’s participation in the Utah case was on behalf of a completely separate party, the Utah Office of Consumer Services.</w:t>
      </w:r>
      <w:r w:rsidR="00672D2B" w:rsidRPr="009B2790">
        <w:rPr>
          <w:rStyle w:val="FootnoteReference"/>
          <w:u w:val="single"/>
        </w:rPr>
        <w:footnoteReference w:id="39"/>
      </w:r>
      <w:proofErr w:type="gramStart"/>
      <w:r w:rsidR="00672D2B" w:rsidRPr="00B477AB">
        <w:rPr>
          <w:sz w:val="20"/>
          <w:szCs w:val="20"/>
          <w:vertAlign w:val="superscript"/>
        </w:rPr>
        <w:t>/</w:t>
      </w:r>
      <w:r w:rsidR="00672D2B" w:rsidRPr="00B477AB">
        <w:rPr>
          <w:sz w:val="20"/>
          <w:szCs w:val="20"/>
        </w:rPr>
        <w:t xml:space="preserve"> </w:t>
      </w:r>
      <w:r w:rsidR="00672D2B" w:rsidRPr="00004061">
        <w:t xml:space="preserve"> </w:t>
      </w:r>
      <w:r w:rsidR="002E477B">
        <w:t>Since</w:t>
      </w:r>
      <w:proofErr w:type="gramEnd"/>
      <w:r w:rsidR="002E477B">
        <w:t xml:space="preserve"> ICNU and Public Counsel were not parties to the Utah case, even today, they do not know whether any information was actually presented in Utah that has any bearing on the parties’ claims in Washington</w:t>
      </w:r>
      <w:r w:rsidR="00672D2B" w:rsidRPr="00004061">
        <w:t>.</w:t>
      </w:r>
    </w:p>
    <w:p w:rsidR="00672D2B" w:rsidRPr="00004061" w:rsidRDefault="00326496" w:rsidP="009771EC">
      <w:pPr>
        <w:pStyle w:val="ResponseHeader4"/>
        <w:spacing w:before="240"/>
      </w:pPr>
      <w:r>
        <w:t>PacifiCorp H</w:t>
      </w:r>
      <w:r w:rsidR="00672D2B" w:rsidRPr="00004061">
        <w:t xml:space="preserve">as </w:t>
      </w:r>
      <w:r>
        <w:t>N</w:t>
      </w:r>
      <w:r w:rsidR="00672D2B" w:rsidRPr="00004061">
        <w:t xml:space="preserve">ot </w:t>
      </w:r>
      <w:r>
        <w:t>S</w:t>
      </w:r>
      <w:r w:rsidR="00672D2B" w:rsidRPr="00004061">
        <w:t xml:space="preserve">hown that Mr. Falkenberg </w:t>
      </w:r>
      <w:r>
        <w:t>L</w:t>
      </w:r>
      <w:r w:rsidR="00672D2B" w:rsidRPr="00004061">
        <w:t xml:space="preserve">earned of the </w:t>
      </w:r>
      <w:r>
        <w:t>E</w:t>
      </w:r>
      <w:r w:rsidR="00672D2B" w:rsidRPr="00004061">
        <w:t xml:space="preserve">ssential </w:t>
      </w:r>
      <w:r>
        <w:t>E</w:t>
      </w:r>
      <w:r w:rsidR="00672D2B" w:rsidRPr="00004061">
        <w:t xml:space="preserve">lements of the </w:t>
      </w:r>
      <w:r>
        <w:t>C</w:t>
      </w:r>
      <w:r w:rsidR="00672D2B" w:rsidRPr="00004061">
        <w:t xml:space="preserve">laims </w:t>
      </w:r>
      <w:r>
        <w:t>T</w:t>
      </w:r>
      <w:r w:rsidR="00672D2B" w:rsidRPr="00004061">
        <w:t xml:space="preserve">hrough </w:t>
      </w:r>
      <w:r>
        <w:t>P</w:t>
      </w:r>
      <w:r w:rsidR="00672D2B" w:rsidRPr="00004061">
        <w:t>articipation in Oregon Proceedings</w:t>
      </w:r>
    </w:p>
    <w:p w:rsidR="00672D2B" w:rsidRPr="00004061" w:rsidRDefault="009771EC" w:rsidP="009771EC">
      <w:pPr>
        <w:pStyle w:val="Responsebody"/>
      </w:pPr>
      <w:r>
        <w:tab/>
        <w:t xml:space="preserve"> </w:t>
      </w:r>
      <w:r>
        <w:tab/>
      </w:r>
      <w:r w:rsidR="00672D2B" w:rsidRPr="00004061">
        <w:t>PacifiCorp argues that ICNU and Public Counsel’s claims accrued at the time of Mr. Falkenberg’s participation as an expert witness for ICNU in two Oregon proceedi</w:t>
      </w:r>
      <w:r w:rsidR="009B2790">
        <w:t>ngs—</w:t>
      </w:r>
      <w:r w:rsidR="009B2790">
        <w:lastRenderedPageBreak/>
        <w:t>Docket</w:t>
      </w:r>
      <w:r w:rsidR="00745CED">
        <w:t xml:space="preserve"> Nos.</w:t>
      </w:r>
      <w:r w:rsidR="009B2790">
        <w:t xml:space="preserve"> UE 207 and UM </w:t>
      </w:r>
      <w:r w:rsidR="00672D2B" w:rsidRPr="00004061">
        <w:t>1465.</w:t>
      </w:r>
      <w:r w:rsidR="00672D2B" w:rsidRPr="00937875">
        <w:rPr>
          <w:rStyle w:val="FootnoteReference"/>
          <w:u w:val="single"/>
        </w:rPr>
        <w:footnoteReference w:id="40"/>
      </w:r>
      <w:proofErr w:type="gramStart"/>
      <w:r w:rsidR="00672D2B" w:rsidRPr="00937875">
        <w:rPr>
          <w:sz w:val="20"/>
          <w:szCs w:val="20"/>
          <w:vertAlign w:val="superscript"/>
        </w:rPr>
        <w:t>/</w:t>
      </w:r>
      <w:r w:rsidR="00672D2B" w:rsidRPr="00004061">
        <w:t xml:space="preserve">  Assuming</w:t>
      </w:r>
      <w:proofErr w:type="gramEnd"/>
      <w:r w:rsidR="00672D2B" w:rsidRPr="00004061">
        <w:t xml:space="preserve">, </w:t>
      </w:r>
      <w:proofErr w:type="spellStart"/>
      <w:r w:rsidR="00672D2B" w:rsidRPr="00004061">
        <w:rPr>
          <w:i/>
        </w:rPr>
        <w:t>arguendo</w:t>
      </w:r>
      <w:proofErr w:type="spellEnd"/>
      <w:r w:rsidR="00672D2B" w:rsidRPr="00004061">
        <w:t>, that Mr. Falkenberg was an “agent” of ICNU when he served as an expert witness, PacifiCorp has still failed to show that Mr. Falkenberg gained knowledge of the essential elements of the claims at that time.  Moreover, PacifiCorp says nothing about how this may have caused Public Counsel’s claims to accrue.</w:t>
      </w:r>
    </w:p>
    <w:p w:rsidR="002509A1" w:rsidRDefault="009771EC" w:rsidP="002509A1">
      <w:pPr>
        <w:pStyle w:val="Responsebody"/>
      </w:pPr>
      <w:r>
        <w:tab/>
        <w:t xml:space="preserve"> </w:t>
      </w:r>
      <w:r>
        <w:tab/>
      </w:r>
      <w:r w:rsidR="002E477B">
        <w:t>T</w:t>
      </w:r>
      <w:r w:rsidR="00672D2B" w:rsidRPr="00004061">
        <w:t>he documents that PacifiCorp references to support this assertion do not show that Mr. Falkenberg could have or should have gained knowledge of the essential elements of the claims.</w:t>
      </w:r>
      <w:r w:rsidR="00672D2B" w:rsidRPr="009B2790">
        <w:rPr>
          <w:rStyle w:val="FootnoteReference"/>
          <w:u w:val="single"/>
        </w:rPr>
        <w:footnoteReference w:id="41"/>
      </w:r>
      <w:proofErr w:type="gramStart"/>
      <w:r w:rsidR="00672D2B" w:rsidRPr="00937875">
        <w:rPr>
          <w:sz w:val="20"/>
          <w:szCs w:val="20"/>
          <w:vertAlign w:val="superscript"/>
        </w:rPr>
        <w:t>/</w:t>
      </w:r>
      <w:r w:rsidR="00672D2B" w:rsidRPr="00004061">
        <w:t xml:space="preserve">  For</w:t>
      </w:r>
      <w:proofErr w:type="gramEnd"/>
      <w:r w:rsidR="00672D2B" w:rsidRPr="00004061">
        <w:t xml:space="preserve"> instance, t</w:t>
      </w:r>
      <w:r w:rsidR="008F4578">
        <w:t xml:space="preserve">he November Update in Docket </w:t>
      </w:r>
      <w:r w:rsidR="00745CED">
        <w:t xml:space="preserve">No. </w:t>
      </w:r>
      <w:r w:rsidR="008F4578">
        <w:t xml:space="preserve">UE </w:t>
      </w:r>
      <w:r w:rsidR="00672D2B" w:rsidRPr="00004061">
        <w:t xml:space="preserve">207 shows three “new” sales contracts with California utilities and their impacts on Oregon net power costs.  The Update does </w:t>
      </w:r>
      <w:r w:rsidR="00672D2B" w:rsidRPr="00004061">
        <w:rPr>
          <w:i/>
        </w:rPr>
        <w:t xml:space="preserve">not </w:t>
      </w:r>
      <w:r w:rsidR="00672D2B" w:rsidRPr="00004061">
        <w:t xml:space="preserve">provide the </w:t>
      </w:r>
      <w:proofErr w:type="spellStart"/>
      <w:r w:rsidR="00672D2B" w:rsidRPr="00004061">
        <w:t>unredacted</w:t>
      </w:r>
      <w:proofErr w:type="spellEnd"/>
      <w:r w:rsidR="00672D2B" w:rsidRPr="00004061">
        <w:t xml:space="preserve"> California Contracts or show the impact of the sales on Washington.  In addition, the November Update explicitly states that the “prices for RECs are irrelevant” and that they are redacted from the filing.</w:t>
      </w:r>
      <w:r w:rsidR="00672D2B" w:rsidRPr="009B2790">
        <w:rPr>
          <w:rStyle w:val="FootnoteReference"/>
          <w:u w:val="single"/>
        </w:rPr>
        <w:footnoteReference w:id="42"/>
      </w:r>
      <w:proofErr w:type="gramStart"/>
      <w:r w:rsidR="00672D2B" w:rsidRPr="000844A2">
        <w:rPr>
          <w:sz w:val="20"/>
          <w:szCs w:val="20"/>
          <w:vertAlign w:val="superscript"/>
        </w:rPr>
        <w:t>/</w:t>
      </w:r>
      <w:r w:rsidR="00672D2B" w:rsidRPr="00004061">
        <w:t xml:space="preserve">  The</w:t>
      </w:r>
      <w:proofErr w:type="gramEnd"/>
      <w:r w:rsidR="00672D2B" w:rsidRPr="00004061">
        <w:t xml:space="preserve"> piece of testimony from Mr. Falkenberg supporting an Oregon accounting petition in Docket UM</w:t>
      </w:r>
      <w:r w:rsidR="00687416">
        <w:t xml:space="preserve"> </w:t>
      </w:r>
      <w:r w:rsidR="00672D2B" w:rsidRPr="00004061">
        <w:t>1465 is likewise insufficient to show that he could have or should have gained knowledge of the essential elements of the claims.  In that testimony, Mr. Falkenberg does little more than reference one contract generally.  This testimony includes nothing regarding the essential elements of ICNU and Public Counsel’s claims.</w:t>
      </w:r>
    </w:p>
    <w:p w:rsidR="002509A1" w:rsidRPr="00004061" w:rsidRDefault="002509A1" w:rsidP="002509A1">
      <w:pPr>
        <w:pStyle w:val="Responsebody"/>
        <w:numPr>
          <w:ilvl w:val="0"/>
          <w:numId w:val="0"/>
        </w:numPr>
        <w:spacing w:line="240" w:lineRule="auto"/>
      </w:pPr>
    </w:p>
    <w:p w:rsidR="00672D2B" w:rsidRPr="00004061" w:rsidRDefault="00672D2B" w:rsidP="00672D2B">
      <w:pPr>
        <w:pStyle w:val="ResponseHeader3"/>
      </w:pPr>
      <w:r w:rsidRPr="00004061">
        <w:t xml:space="preserve">The Commission Orders in </w:t>
      </w:r>
      <w:r w:rsidRPr="00004061">
        <w:rPr>
          <w:i/>
        </w:rPr>
        <w:t xml:space="preserve">AT&amp;T v. Qwest </w:t>
      </w:r>
      <w:r w:rsidR="002509A1">
        <w:t>Support a F</w:t>
      </w:r>
      <w:r w:rsidRPr="00004061">
        <w:t xml:space="preserve">inding </w:t>
      </w:r>
      <w:r w:rsidR="002509A1">
        <w:t>that ICNU and Public Counsel’s Claims A</w:t>
      </w:r>
      <w:r w:rsidRPr="00004061">
        <w:t xml:space="preserve">re </w:t>
      </w:r>
      <w:r w:rsidR="002509A1">
        <w:rPr>
          <w:i/>
        </w:rPr>
        <w:t>N</w:t>
      </w:r>
      <w:r w:rsidRPr="00004061">
        <w:rPr>
          <w:i/>
        </w:rPr>
        <w:t>ot</w:t>
      </w:r>
      <w:r w:rsidR="002509A1">
        <w:rPr>
          <w:i/>
        </w:rPr>
        <w:t xml:space="preserve"> </w:t>
      </w:r>
      <w:r w:rsidR="002509A1">
        <w:t>Time-B</w:t>
      </w:r>
      <w:r w:rsidRPr="00004061">
        <w:t>arred</w:t>
      </w:r>
    </w:p>
    <w:p w:rsidR="00672D2B" w:rsidRPr="00004061" w:rsidRDefault="009771EC" w:rsidP="009771EC">
      <w:pPr>
        <w:pStyle w:val="Responsebody"/>
      </w:pPr>
      <w:r>
        <w:t xml:space="preserve"> </w:t>
      </w:r>
      <w:r>
        <w:tab/>
        <w:t xml:space="preserve"> </w:t>
      </w:r>
      <w:r>
        <w:tab/>
      </w:r>
      <w:r w:rsidR="00672D2B" w:rsidRPr="00004061">
        <w:t xml:space="preserve">ICNU and Public Counsel cite to the Initial Order in </w:t>
      </w:r>
      <w:r w:rsidR="00672D2B" w:rsidRPr="00004061">
        <w:rPr>
          <w:i/>
        </w:rPr>
        <w:t xml:space="preserve">AT&amp;T </w:t>
      </w:r>
      <w:r w:rsidR="00672D2B" w:rsidRPr="00004061">
        <w:t xml:space="preserve">(hereinafter </w:t>
      </w:r>
      <w:r w:rsidR="00672D2B" w:rsidRPr="00004061">
        <w:rPr>
          <w:i/>
        </w:rPr>
        <w:t>AT&amp;T I</w:t>
      </w:r>
      <w:r w:rsidR="00672D2B" w:rsidRPr="00004061">
        <w:t>) when discussing the proper statute of limitations for refund claims.</w:t>
      </w:r>
      <w:r w:rsidR="00672D2B" w:rsidRPr="00173C79">
        <w:rPr>
          <w:rStyle w:val="FootnoteReference"/>
          <w:u w:val="single"/>
        </w:rPr>
        <w:footnoteReference w:id="43"/>
      </w:r>
      <w:proofErr w:type="gramStart"/>
      <w:r w:rsidR="00672D2B" w:rsidRPr="000844A2">
        <w:rPr>
          <w:sz w:val="20"/>
          <w:szCs w:val="20"/>
          <w:vertAlign w:val="superscript"/>
        </w:rPr>
        <w:t>/</w:t>
      </w:r>
      <w:r w:rsidR="00672D2B" w:rsidRPr="00004061">
        <w:t xml:space="preserve">  As</w:t>
      </w:r>
      <w:proofErr w:type="gramEnd"/>
      <w:r w:rsidR="00672D2B" w:rsidRPr="00004061">
        <w:t xml:space="preserve"> noted by PacifiCorp, two later orders—Orders 04 and 06—came to a different conclusion than </w:t>
      </w:r>
      <w:r w:rsidR="00672D2B" w:rsidRPr="00004061">
        <w:rPr>
          <w:i/>
        </w:rPr>
        <w:t xml:space="preserve">AT&amp;T I </w:t>
      </w:r>
      <w:r w:rsidR="00672D2B" w:rsidRPr="00004061">
        <w:t xml:space="preserve">with regard to </w:t>
      </w:r>
      <w:r w:rsidR="00672D2B" w:rsidRPr="00004061">
        <w:lastRenderedPageBreak/>
        <w:t xml:space="preserve">the facts in that case (hereinafter </w:t>
      </w:r>
      <w:r w:rsidR="00672D2B" w:rsidRPr="00004061">
        <w:rPr>
          <w:i/>
        </w:rPr>
        <w:t xml:space="preserve">AT&amp;T II </w:t>
      </w:r>
      <w:r w:rsidR="00672D2B" w:rsidRPr="00004061">
        <w:t xml:space="preserve">and </w:t>
      </w:r>
      <w:r w:rsidR="00672D2B" w:rsidRPr="00004061">
        <w:rPr>
          <w:i/>
        </w:rPr>
        <w:t>AT&amp;T III</w:t>
      </w:r>
      <w:r w:rsidR="00672D2B" w:rsidRPr="00004061">
        <w:t>).</w:t>
      </w:r>
      <w:r w:rsidR="00672D2B" w:rsidRPr="00173C79">
        <w:rPr>
          <w:rStyle w:val="FootnoteReference"/>
          <w:u w:val="single"/>
        </w:rPr>
        <w:footnoteReference w:id="44"/>
      </w:r>
      <w:r w:rsidR="00672D2B" w:rsidRPr="000844A2">
        <w:rPr>
          <w:sz w:val="20"/>
          <w:szCs w:val="20"/>
          <w:vertAlign w:val="superscript"/>
        </w:rPr>
        <w:t>/</w:t>
      </w:r>
      <w:r w:rsidR="00672D2B" w:rsidRPr="00004061">
        <w:t xml:space="preserve">   PacifiCorp alleges that ICNU and Public Counsel’s citation to </w:t>
      </w:r>
      <w:r w:rsidR="00672D2B" w:rsidRPr="00004061">
        <w:rPr>
          <w:i/>
        </w:rPr>
        <w:t xml:space="preserve">AT&amp;T I </w:t>
      </w:r>
      <w:r w:rsidR="00672D2B" w:rsidRPr="00004061">
        <w:t xml:space="preserve">was improper and that </w:t>
      </w:r>
      <w:r w:rsidR="00672D2B" w:rsidRPr="00004061">
        <w:rPr>
          <w:i/>
        </w:rPr>
        <w:t xml:space="preserve">AT&amp;T II </w:t>
      </w:r>
      <w:r w:rsidR="00672D2B" w:rsidRPr="00745CED">
        <w:t>and</w:t>
      </w:r>
      <w:r w:rsidR="00672D2B" w:rsidRPr="00004061">
        <w:rPr>
          <w:i/>
        </w:rPr>
        <w:t xml:space="preserve"> AT&amp;T III </w:t>
      </w:r>
      <w:r w:rsidR="00672D2B" w:rsidRPr="00004061">
        <w:t xml:space="preserve">support a finding that ICNU and Public Counsel’s claims accrued at various earlier dates.  Both of these allegations are wrong.   </w:t>
      </w:r>
      <w:r w:rsidR="00672D2B" w:rsidRPr="00004061">
        <w:rPr>
          <w:i/>
        </w:rPr>
        <w:t xml:space="preserve">AT&amp;T I </w:t>
      </w:r>
      <w:r w:rsidR="00672D2B" w:rsidRPr="00004061">
        <w:t>is proper precedent for showing that the Commission applies the “discovery rule” when determining whether the statute of limitations on a claim has expired</w:t>
      </w:r>
      <w:proofErr w:type="gramStart"/>
      <w:r w:rsidR="00672D2B" w:rsidRPr="00004061">
        <w:t>,</w:t>
      </w:r>
      <w:proofErr w:type="gramEnd"/>
      <w:r w:rsidR="00672D2B" w:rsidRPr="00173C79">
        <w:rPr>
          <w:rStyle w:val="FootnoteReference"/>
          <w:u w:val="single"/>
        </w:rPr>
        <w:footnoteReference w:id="45"/>
      </w:r>
      <w:r w:rsidR="00672D2B" w:rsidRPr="000844A2">
        <w:rPr>
          <w:sz w:val="20"/>
          <w:szCs w:val="20"/>
          <w:vertAlign w:val="superscript"/>
        </w:rPr>
        <w:t>/</w:t>
      </w:r>
      <w:r w:rsidR="00672D2B" w:rsidRPr="00004061">
        <w:t xml:space="preserve">  and the Commission’s ultimate determinations in </w:t>
      </w:r>
      <w:r w:rsidR="00672D2B" w:rsidRPr="00004061">
        <w:rPr>
          <w:i/>
        </w:rPr>
        <w:t xml:space="preserve">AT&amp;T II </w:t>
      </w:r>
      <w:r w:rsidR="00672D2B" w:rsidRPr="00004061">
        <w:t>and</w:t>
      </w:r>
      <w:r w:rsidR="00672D2B" w:rsidRPr="00004061">
        <w:rPr>
          <w:i/>
        </w:rPr>
        <w:t xml:space="preserve"> AT&amp;T III </w:t>
      </w:r>
      <w:r w:rsidR="00672D2B" w:rsidRPr="00004061">
        <w:t xml:space="preserve">actually support a finding that ICNU and Public Counsel’s claims could not have accrued at the earlier dates alleged by PacifiCorp.    </w:t>
      </w:r>
    </w:p>
    <w:p w:rsidR="00672D2B" w:rsidRPr="00004061" w:rsidRDefault="009771EC" w:rsidP="009771EC">
      <w:pPr>
        <w:pStyle w:val="Responsebody"/>
      </w:pPr>
      <w:r>
        <w:tab/>
        <w:t xml:space="preserve"> </w:t>
      </w:r>
      <w:r>
        <w:tab/>
      </w:r>
      <w:r w:rsidR="00672D2B" w:rsidRPr="00004061">
        <w:t xml:space="preserve">In </w:t>
      </w:r>
      <w:r w:rsidR="00672D2B" w:rsidRPr="00004061">
        <w:rPr>
          <w:i/>
        </w:rPr>
        <w:t>AT&amp;T</w:t>
      </w:r>
      <w:r w:rsidR="008F4578">
        <w:rPr>
          <w:i/>
        </w:rPr>
        <w:t xml:space="preserve"> I</w:t>
      </w:r>
      <w:r w:rsidR="00672D2B" w:rsidRPr="00004061">
        <w:rPr>
          <w:i/>
        </w:rPr>
        <w:t xml:space="preserve">, </w:t>
      </w:r>
      <w:r w:rsidR="00672D2B" w:rsidRPr="00004061">
        <w:t>Time Warner and AT&amp;T brought a refund claim against Qwest that rel</w:t>
      </w:r>
      <w:r w:rsidR="00173C79">
        <w:t xml:space="preserve">ied on Qwest’s failure to file </w:t>
      </w:r>
      <w:r w:rsidR="00672D2B" w:rsidRPr="00004061">
        <w:t xml:space="preserve">interconnection agreements in Washington.  AT&amp;T and Time Warner brought their claim in November 2005.  Based on the facts in that case, this was years after AT&amp;T and Time Warner had actual knowledge of the essential elements of their claims.  The facts in that case included the following. </w:t>
      </w:r>
      <w:r w:rsidR="00B07404">
        <w:t xml:space="preserve"> </w:t>
      </w:r>
      <w:r w:rsidR="00672D2B" w:rsidRPr="00004061">
        <w:t>First, AT&amp;T and Time Warner were parties to a similar complaint case in Minnesota initiated in early 2002, in which both submitted comments and argued on the record regarding the unfiled agreements.</w:t>
      </w:r>
      <w:r w:rsidR="00672D2B" w:rsidRPr="00173C79">
        <w:rPr>
          <w:rStyle w:val="FootnoteReference"/>
          <w:u w:val="single"/>
        </w:rPr>
        <w:footnoteReference w:id="46"/>
      </w:r>
      <w:proofErr w:type="gramStart"/>
      <w:r w:rsidR="00B07404" w:rsidRPr="000844A2">
        <w:rPr>
          <w:sz w:val="20"/>
          <w:szCs w:val="20"/>
          <w:vertAlign w:val="superscript"/>
        </w:rPr>
        <w:t>/</w:t>
      </w:r>
      <w:r w:rsidR="00672D2B" w:rsidRPr="00004061">
        <w:rPr>
          <w:vertAlign w:val="superscript"/>
        </w:rPr>
        <w:t xml:space="preserve">  </w:t>
      </w:r>
      <w:r w:rsidR="00672D2B" w:rsidRPr="00004061">
        <w:t>Second</w:t>
      </w:r>
      <w:proofErr w:type="gramEnd"/>
      <w:r w:rsidR="00672D2B" w:rsidRPr="00004061">
        <w:t>, numerous other jurisdictions had begun investigating Qwest for unfiled agreements in 2002.  AT&amp;T itself had initiated “a number” of those investigations, and was actively involved in all of them.</w:t>
      </w:r>
      <w:r w:rsidR="00672D2B" w:rsidRPr="00173C79">
        <w:rPr>
          <w:rStyle w:val="FootnoteReference"/>
          <w:u w:val="single"/>
        </w:rPr>
        <w:footnoteReference w:id="47"/>
      </w:r>
      <w:proofErr w:type="gramStart"/>
      <w:r w:rsidR="00B07404" w:rsidRPr="000844A2">
        <w:rPr>
          <w:sz w:val="20"/>
          <w:szCs w:val="20"/>
          <w:vertAlign w:val="superscript"/>
        </w:rPr>
        <w:t>/</w:t>
      </w:r>
      <w:r w:rsidR="00672D2B" w:rsidRPr="00004061">
        <w:t xml:space="preserve">  Third</w:t>
      </w:r>
      <w:proofErr w:type="gramEnd"/>
      <w:r w:rsidR="00672D2B" w:rsidRPr="00004061">
        <w:t>, AT&amp;T had also brought a</w:t>
      </w:r>
      <w:r w:rsidR="00687416">
        <w:t xml:space="preserve"> Federal Communications Commission</w:t>
      </w:r>
      <w:r w:rsidR="00672D2B" w:rsidRPr="00004061">
        <w:t xml:space="preserve"> claim regarding Qwest’s interconnection agreements that year.</w:t>
      </w:r>
      <w:r w:rsidR="00672D2B" w:rsidRPr="00173C79">
        <w:rPr>
          <w:rStyle w:val="FootnoteReference"/>
          <w:u w:val="single"/>
        </w:rPr>
        <w:footnoteReference w:id="48"/>
      </w:r>
      <w:proofErr w:type="gramStart"/>
      <w:r w:rsidR="00B07404" w:rsidRPr="000844A2">
        <w:rPr>
          <w:sz w:val="20"/>
          <w:szCs w:val="20"/>
          <w:vertAlign w:val="superscript"/>
        </w:rPr>
        <w:t>/</w:t>
      </w:r>
      <w:r w:rsidR="00672D2B" w:rsidRPr="00004061">
        <w:t xml:space="preserve">  Finally</w:t>
      </w:r>
      <w:proofErr w:type="gramEnd"/>
      <w:r w:rsidR="00672D2B" w:rsidRPr="00004061">
        <w:t xml:space="preserve">, also in 2002, AT&amp;T urged the Washington </w:t>
      </w:r>
      <w:r w:rsidR="00672D2B" w:rsidRPr="00004061">
        <w:lastRenderedPageBreak/>
        <w:t>Commission to pursue the matter of the unfiled agreements in an unrelated docket, and the Commission issued an order declining to do so in that docket.</w:t>
      </w:r>
      <w:r w:rsidR="00672D2B" w:rsidRPr="00173C79">
        <w:rPr>
          <w:rStyle w:val="FootnoteReference"/>
          <w:u w:val="single"/>
        </w:rPr>
        <w:footnoteReference w:id="49"/>
      </w:r>
      <w:proofErr w:type="gramStart"/>
      <w:r w:rsidR="00B07404" w:rsidRPr="000844A2">
        <w:rPr>
          <w:sz w:val="20"/>
          <w:szCs w:val="20"/>
          <w:vertAlign w:val="superscript"/>
        </w:rPr>
        <w:t>/</w:t>
      </w:r>
      <w:r w:rsidR="00672D2B" w:rsidRPr="00004061">
        <w:t xml:space="preserve">  At</w:t>
      </w:r>
      <w:proofErr w:type="gramEnd"/>
      <w:r w:rsidR="00672D2B" w:rsidRPr="00004061">
        <w:t xml:space="preserve"> that time, the agreements had been filed in Washington, and it was “common knowledge that possible violations had occurred [and] that the violations could have affected complainants</w:t>
      </w:r>
      <w:r w:rsidR="00687416">
        <w:t>…</w:t>
      </w:r>
      <w:r w:rsidR="00672D2B" w:rsidRPr="00004061">
        <w:t>.”</w:t>
      </w:r>
      <w:r w:rsidR="00672D2B" w:rsidRPr="00173C79">
        <w:rPr>
          <w:rStyle w:val="FootnoteReference"/>
          <w:u w:val="single"/>
        </w:rPr>
        <w:footnoteReference w:id="50"/>
      </w:r>
      <w:r w:rsidR="00B07404" w:rsidRPr="000844A2">
        <w:rPr>
          <w:sz w:val="20"/>
          <w:szCs w:val="20"/>
          <w:vertAlign w:val="superscript"/>
        </w:rPr>
        <w:t>/</w:t>
      </w:r>
      <w:r w:rsidR="00672D2B" w:rsidRPr="00004061">
        <w:t xml:space="preserve">  </w:t>
      </w:r>
    </w:p>
    <w:p w:rsidR="00672D2B" w:rsidRPr="00004061" w:rsidRDefault="009771EC" w:rsidP="009771EC">
      <w:pPr>
        <w:pStyle w:val="Responsebody"/>
      </w:pPr>
      <w:r>
        <w:tab/>
        <w:t xml:space="preserve"> </w:t>
      </w:r>
      <w:r>
        <w:tab/>
      </w:r>
      <w:r w:rsidR="00672D2B" w:rsidRPr="00004061">
        <w:t xml:space="preserve">Based on the facts in that case, the Commission ultimately found that the accrual date for the AT&amp;T and Time Warner claims </w:t>
      </w:r>
      <w:r w:rsidR="00672D2B" w:rsidRPr="00004061">
        <w:rPr>
          <w:i/>
        </w:rPr>
        <w:t>did not</w:t>
      </w:r>
      <w:r w:rsidR="00672D2B" w:rsidRPr="00004061">
        <w:t xml:space="preserve"> hinge on the Minnesota case or what was presented in any other state, but, instead, on when AT&amp;T and Time Warner knew that unfiled agreements existed</w:t>
      </w:r>
      <w:r w:rsidR="00672D2B" w:rsidRPr="00004061">
        <w:rPr>
          <w:i/>
        </w:rPr>
        <w:t xml:space="preserve"> </w:t>
      </w:r>
      <w:r w:rsidR="00672D2B" w:rsidRPr="00004061">
        <w:t>in Washington</w:t>
      </w:r>
      <w:r w:rsidR="00672D2B" w:rsidRPr="00004061">
        <w:rPr>
          <w:i/>
        </w:rPr>
        <w:t xml:space="preserve"> </w:t>
      </w:r>
      <w:r w:rsidR="00672D2B" w:rsidRPr="00004061">
        <w:t>and that both parties knew they had claims Washington that were subject to a statute of limitations.</w:t>
      </w:r>
      <w:r w:rsidR="00672D2B" w:rsidRPr="00173C79">
        <w:rPr>
          <w:rStyle w:val="FootnoteReference"/>
          <w:u w:val="single"/>
        </w:rPr>
        <w:footnoteReference w:id="51"/>
      </w:r>
      <w:r w:rsidR="00B07404" w:rsidRPr="000844A2">
        <w:rPr>
          <w:sz w:val="20"/>
          <w:szCs w:val="20"/>
          <w:vertAlign w:val="superscript"/>
        </w:rPr>
        <w:t>/</w:t>
      </w:r>
      <w:r w:rsidR="00672D2B" w:rsidRPr="00004061">
        <w:t xml:space="preserve">  </w:t>
      </w:r>
    </w:p>
    <w:p w:rsidR="00672D2B" w:rsidRPr="00004061" w:rsidRDefault="009771EC" w:rsidP="009771EC">
      <w:pPr>
        <w:pStyle w:val="Responsebody"/>
      </w:pPr>
      <w:r>
        <w:tab/>
        <w:t xml:space="preserve"> </w:t>
      </w:r>
      <w:r>
        <w:tab/>
      </w:r>
      <w:r w:rsidR="00672D2B" w:rsidRPr="00004061">
        <w:t xml:space="preserve">This case differs from </w:t>
      </w:r>
      <w:r w:rsidR="00672D2B" w:rsidRPr="00004061">
        <w:rPr>
          <w:i/>
        </w:rPr>
        <w:t xml:space="preserve">AT&amp;T </w:t>
      </w:r>
      <w:r w:rsidR="00672D2B" w:rsidRPr="00004061">
        <w:t xml:space="preserve">in several critical aspects.  Here, unlike </w:t>
      </w:r>
      <w:r w:rsidR="00672D2B" w:rsidRPr="00004061">
        <w:rPr>
          <w:i/>
        </w:rPr>
        <w:t xml:space="preserve">AT&amp;T, </w:t>
      </w:r>
      <w:r w:rsidR="00672D2B" w:rsidRPr="00004061">
        <w:t>the California Contracts have not been filed in Washington, either publicly or confidentially.  Parties have only been able to access the complete California Contracts subject to separately-negotiated highly confidential agreements</w:t>
      </w:r>
      <w:r w:rsidR="002E477B">
        <w:t xml:space="preserve"> in the </w:t>
      </w:r>
      <w:r w:rsidR="002E477B" w:rsidRPr="002E477B">
        <w:rPr>
          <w:i/>
        </w:rPr>
        <w:t>2010 GRC</w:t>
      </w:r>
      <w:r w:rsidR="00672D2B" w:rsidRPr="00004061">
        <w:t>. Furthermore, unlike AT&amp;T and Time Warner, neither Public Counsel nor ICNU ha</w:t>
      </w:r>
      <w:r w:rsidR="002E477B">
        <w:t>d</w:t>
      </w:r>
      <w:r w:rsidR="00672D2B" w:rsidRPr="00004061">
        <w:t xml:space="preserve"> brought a complaint in any other state regarding PacifiCorp’s failure to disclose the California Contracts.</w:t>
      </w:r>
      <w:r w:rsidR="00672D2B" w:rsidRPr="00173C79">
        <w:rPr>
          <w:rStyle w:val="FootnoteReference"/>
          <w:u w:val="single"/>
        </w:rPr>
        <w:footnoteReference w:id="52"/>
      </w:r>
      <w:r w:rsidR="00B07404" w:rsidRPr="000844A2">
        <w:rPr>
          <w:sz w:val="20"/>
          <w:szCs w:val="20"/>
          <w:vertAlign w:val="superscript"/>
        </w:rPr>
        <w:t>/</w:t>
      </w:r>
      <w:r w:rsidR="00672D2B" w:rsidRPr="00004061">
        <w:t xml:space="preserve">    In addition, ICNU and Public Counsel have a vastly different relationship to PacifiCorp than AT&amp;T and Time Warner had with Qwest.  AT&amp;T, Time Warner, and Qwest were all business entities that routinely engaged in negotiations essential to the ongoing operation of the CLECs in many states.  On the other hand, ICNU and Public Counsel have limited interactions with PacifiCorp as adverse parties</w:t>
      </w:r>
      <w:r w:rsidR="00964598">
        <w:t xml:space="preserve"> in regulatory proceedings in </w:t>
      </w:r>
      <w:r w:rsidR="009A4A28">
        <w:t>two states for ICNU and one state for Public Counsel</w:t>
      </w:r>
      <w:r w:rsidR="00672D2B" w:rsidRPr="00004061">
        <w:t xml:space="preserve">.  Moreover, this </w:t>
      </w:r>
      <w:r w:rsidR="00672D2B" w:rsidRPr="00004061">
        <w:lastRenderedPageBreak/>
        <w:t>Commission has never before addressed the issue of the California Contracts.</w:t>
      </w:r>
      <w:r w:rsidR="00672D2B" w:rsidRPr="00173C79">
        <w:rPr>
          <w:rStyle w:val="FootnoteReference"/>
          <w:u w:val="single"/>
        </w:rPr>
        <w:footnoteReference w:id="53"/>
      </w:r>
      <w:proofErr w:type="gramStart"/>
      <w:r w:rsidR="00B07404" w:rsidRPr="000844A2">
        <w:rPr>
          <w:sz w:val="20"/>
          <w:szCs w:val="20"/>
          <w:vertAlign w:val="superscript"/>
        </w:rPr>
        <w:t>/</w:t>
      </w:r>
      <w:r w:rsidR="00672D2B" w:rsidRPr="00004061">
        <w:t xml:space="preserve">  And</w:t>
      </w:r>
      <w:proofErr w:type="gramEnd"/>
      <w:r w:rsidR="00672D2B" w:rsidRPr="00004061">
        <w:t xml:space="preserve">, most importantly, unlike the complainants in </w:t>
      </w:r>
      <w:r w:rsidR="00672D2B" w:rsidRPr="00004061">
        <w:rPr>
          <w:i/>
        </w:rPr>
        <w:t>AT&amp;T</w:t>
      </w:r>
      <w:r w:rsidR="00672D2B" w:rsidRPr="00004061">
        <w:t>, the facts here show that ICNU and Public Counsel did</w:t>
      </w:r>
      <w:r w:rsidR="00672D2B" w:rsidRPr="00004061">
        <w:rPr>
          <w:i/>
        </w:rPr>
        <w:t xml:space="preserve"> not </w:t>
      </w:r>
      <w:r w:rsidR="00672D2B" w:rsidRPr="00004061">
        <w:t>have actual knowledge</w:t>
      </w:r>
      <w:r w:rsidR="00672D2B" w:rsidRPr="00004061">
        <w:rPr>
          <w:i/>
        </w:rPr>
        <w:t xml:space="preserve"> </w:t>
      </w:r>
      <w:r w:rsidR="00672D2B" w:rsidRPr="00004061">
        <w:t>of the elements of the claims asserted prior to the statute of limitation</w:t>
      </w:r>
      <w:r w:rsidR="00B07404">
        <w:t>s</w:t>
      </w:r>
      <w:r w:rsidR="00672D2B" w:rsidRPr="00004061">
        <w:t xml:space="preserve"> period for the Joint Complaint.  In sum, the final determination</w:t>
      </w:r>
      <w:r w:rsidR="00AA7DC8">
        <w:t>s</w:t>
      </w:r>
      <w:r w:rsidR="00672D2B" w:rsidRPr="00004061">
        <w:t xml:space="preserve"> in </w:t>
      </w:r>
      <w:r w:rsidR="00672D2B" w:rsidRPr="00004061">
        <w:rPr>
          <w:i/>
        </w:rPr>
        <w:t xml:space="preserve">AT&amp;T II </w:t>
      </w:r>
      <w:r w:rsidR="00672D2B" w:rsidRPr="00AA7DC8">
        <w:t>and</w:t>
      </w:r>
      <w:r w:rsidR="00AA7DC8" w:rsidRPr="00AA7DC8">
        <w:rPr>
          <w:i/>
        </w:rPr>
        <w:t xml:space="preserve"> </w:t>
      </w:r>
      <w:r w:rsidR="00AA7DC8" w:rsidRPr="00004061">
        <w:rPr>
          <w:i/>
        </w:rPr>
        <w:t>AT&amp;T</w:t>
      </w:r>
      <w:r w:rsidR="00672D2B" w:rsidRPr="00004061">
        <w:rPr>
          <w:i/>
        </w:rPr>
        <w:t xml:space="preserve"> III</w:t>
      </w:r>
      <w:r w:rsidR="00672D2B" w:rsidRPr="00004061">
        <w:t xml:space="preserve"> cannot support a finding here that ICNU and Public Counsel’s claims are time-barred.</w:t>
      </w:r>
    </w:p>
    <w:p w:rsidR="00672D2B" w:rsidRPr="007522EE" w:rsidRDefault="00672D2B" w:rsidP="009771EC">
      <w:pPr>
        <w:pStyle w:val="ResponseHeader4"/>
        <w:keepNext/>
        <w:numPr>
          <w:ilvl w:val="0"/>
          <w:numId w:val="0"/>
        </w:numPr>
        <w:spacing w:before="240"/>
        <w:ind w:left="2160" w:hanging="720"/>
      </w:pPr>
      <w:r>
        <w:t xml:space="preserve">a. </w:t>
      </w:r>
      <w:r>
        <w:tab/>
      </w:r>
      <w:r w:rsidRPr="00004061">
        <w:t xml:space="preserve">The Statute of Limitations Applies </w:t>
      </w:r>
      <w:r w:rsidR="00C47D8B">
        <w:t>O</w:t>
      </w:r>
      <w:r w:rsidRPr="00004061">
        <w:t xml:space="preserve">nly to Requests for Refunds and </w:t>
      </w:r>
      <w:r w:rsidR="00AD1963">
        <w:t>t</w:t>
      </w:r>
      <w:r w:rsidRPr="00004061">
        <w:t xml:space="preserve">herefore </w:t>
      </w:r>
      <w:proofErr w:type="gramStart"/>
      <w:r w:rsidR="00AD1963">
        <w:t>D</w:t>
      </w:r>
      <w:r w:rsidRPr="00004061">
        <w:t>oes</w:t>
      </w:r>
      <w:proofErr w:type="gramEnd"/>
      <w:r w:rsidRPr="00004061">
        <w:t xml:space="preserve"> Not </w:t>
      </w:r>
      <w:r w:rsidR="00AD1963">
        <w:t>A</w:t>
      </w:r>
      <w:r w:rsidRPr="00004061">
        <w:t xml:space="preserve">pply to </w:t>
      </w:r>
      <w:r w:rsidR="00AD1963">
        <w:t>R</w:t>
      </w:r>
      <w:r w:rsidRPr="00004061">
        <w:t xml:space="preserve">equests for </w:t>
      </w:r>
      <w:r w:rsidR="00AD1963">
        <w:t>A</w:t>
      </w:r>
      <w:r w:rsidRPr="00004061">
        <w:t xml:space="preserve">ny </w:t>
      </w:r>
      <w:r w:rsidR="00AD1963">
        <w:t>Other R</w:t>
      </w:r>
      <w:r w:rsidRPr="00004061">
        <w:t>emedies</w:t>
      </w:r>
    </w:p>
    <w:p w:rsidR="00672D2B" w:rsidRPr="00004061" w:rsidRDefault="009771EC" w:rsidP="009771EC">
      <w:pPr>
        <w:pStyle w:val="Responsebody"/>
      </w:pPr>
      <w:r>
        <w:tab/>
        <w:t xml:space="preserve"> </w:t>
      </w:r>
      <w:r>
        <w:tab/>
      </w:r>
      <w:r w:rsidR="00672D2B" w:rsidRPr="00004061">
        <w:t>The six-month statute of limitations applies solely to claims for refunds made under RCW 80.04.2</w:t>
      </w:r>
      <w:r w:rsidR="003333C2">
        <w:t>2</w:t>
      </w:r>
      <w:r w:rsidR="00672D2B" w:rsidRPr="00004061">
        <w:t>0.</w:t>
      </w:r>
      <w:r w:rsidR="00672D2B" w:rsidRPr="009771EC">
        <w:rPr>
          <w:rStyle w:val="FootnoteReference"/>
          <w:u w:val="single"/>
        </w:rPr>
        <w:footnoteReference w:id="54"/>
      </w:r>
      <w:proofErr w:type="gramStart"/>
      <w:r w:rsidR="00672D2B" w:rsidRPr="00A71E51">
        <w:rPr>
          <w:sz w:val="20"/>
          <w:szCs w:val="20"/>
          <w:vertAlign w:val="superscript"/>
        </w:rPr>
        <w:t>/</w:t>
      </w:r>
      <w:r w:rsidR="00672D2B" w:rsidRPr="00004061">
        <w:t xml:space="preserve">  The</w:t>
      </w:r>
      <w:proofErr w:type="gramEnd"/>
      <w:r w:rsidR="00672D2B" w:rsidRPr="00004061">
        <w:t xml:space="preserve"> statute allows a longer period fo</w:t>
      </w:r>
      <w:r w:rsidR="003333C2">
        <w:t>r claims brought under RCW 80.04</w:t>
      </w:r>
      <w:r w:rsidR="00672D2B" w:rsidRPr="00004061">
        <w:t>.2</w:t>
      </w:r>
      <w:r w:rsidR="003333C2">
        <w:t>3</w:t>
      </w:r>
      <w:r w:rsidR="00672D2B" w:rsidRPr="00004061">
        <w:t xml:space="preserve">0, alleging collection of more than lawful rates, and does not specify any time limit for other types of requested relief as may be requested in a complaint as provided for in RCW 80.04.110.  </w:t>
      </w:r>
    </w:p>
    <w:p w:rsidR="00672D2B" w:rsidRPr="00004061" w:rsidRDefault="009771EC" w:rsidP="009771EC">
      <w:pPr>
        <w:pStyle w:val="Responsebody"/>
      </w:pPr>
      <w:r>
        <w:tab/>
        <w:t xml:space="preserve"> </w:t>
      </w:r>
      <w:r>
        <w:tab/>
      </w:r>
      <w:r w:rsidR="00672D2B" w:rsidRPr="00004061">
        <w:t xml:space="preserve">Thus, any discussion of a six-month statute of limitations is solely applicable to ICNU and Public Counsel’s request for </w:t>
      </w:r>
      <w:r w:rsidR="00194B47">
        <w:t>financial relief</w:t>
      </w:r>
      <w:r w:rsidR="00672D2B" w:rsidRPr="00004061">
        <w:t>, and does not apply to the other requests for relief.  Public Counsel and ICNU’s claims under RCW 80.04.2</w:t>
      </w:r>
      <w:r w:rsidR="003333C2">
        <w:t>3</w:t>
      </w:r>
      <w:r w:rsidR="00672D2B" w:rsidRPr="00004061">
        <w:t xml:space="preserve">0 have a two-year statute of limitations, which no party argues has </w:t>
      </w:r>
      <w:proofErr w:type="spellStart"/>
      <w:r w:rsidR="00672D2B" w:rsidRPr="00004061">
        <w:t>tolled</w:t>
      </w:r>
      <w:proofErr w:type="spellEnd"/>
      <w:r w:rsidR="00672D2B" w:rsidRPr="00004061">
        <w:t xml:space="preserve">.  Moreover, there is no statute of limitations on ICNU and Public Counsel’s requests for a Commission investigation, establishment of regulatory mechanism to track REC revenues going forward, or for amendment of the </w:t>
      </w:r>
      <w:r w:rsidR="00672D2B" w:rsidRPr="00004061">
        <w:rPr>
          <w:i/>
        </w:rPr>
        <w:t xml:space="preserve">2009 GRC </w:t>
      </w:r>
      <w:r w:rsidR="00672D2B" w:rsidRPr="00004061">
        <w:t>Final Order</w:t>
      </w:r>
      <w:r w:rsidR="00194B47">
        <w:t>.</w:t>
      </w:r>
      <w:r w:rsidR="00672D2B" w:rsidRPr="00004061">
        <w:t xml:space="preserve">  </w:t>
      </w:r>
    </w:p>
    <w:p w:rsidR="00515347" w:rsidRPr="00260E99" w:rsidRDefault="0084141A" w:rsidP="009771EC">
      <w:pPr>
        <w:pStyle w:val="ListParagraph"/>
        <w:widowControl/>
        <w:numPr>
          <w:ilvl w:val="0"/>
          <w:numId w:val="8"/>
        </w:numPr>
        <w:spacing w:before="240" w:line="240" w:lineRule="auto"/>
        <w:ind w:hanging="720"/>
        <w:rPr>
          <w:b/>
        </w:rPr>
      </w:pPr>
      <w:r w:rsidRPr="00260E99">
        <w:rPr>
          <w:b/>
        </w:rPr>
        <w:lastRenderedPageBreak/>
        <w:t>The</w:t>
      </w:r>
      <w:r w:rsidR="004E1B6A" w:rsidRPr="00260E99">
        <w:rPr>
          <w:b/>
        </w:rPr>
        <w:t xml:space="preserve"> Alternative Request </w:t>
      </w:r>
      <w:r w:rsidR="00DC401F" w:rsidRPr="00260E99">
        <w:rPr>
          <w:b/>
        </w:rPr>
        <w:t>for</w:t>
      </w:r>
      <w:r w:rsidR="00B90C5C" w:rsidRPr="00260E99">
        <w:rPr>
          <w:b/>
        </w:rPr>
        <w:t xml:space="preserve"> Amend</w:t>
      </w:r>
      <w:r w:rsidR="00DC401F" w:rsidRPr="00260E99">
        <w:rPr>
          <w:b/>
        </w:rPr>
        <w:t>ment of the</w:t>
      </w:r>
      <w:r w:rsidR="00B90C5C" w:rsidRPr="00260E99">
        <w:rPr>
          <w:b/>
        </w:rPr>
        <w:t xml:space="preserve"> Final Order in</w:t>
      </w:r>
      <w:r w:rsidR="00E706C6">
        <w:rPr>
          <w:b/>
        </w:rPr>
        <w:t xml:space="preserve"> the</w:t>
      </w:r>
      <w:r w:rsidR="00B90C5C" w:rsidRPr="00260E99">
        <w:rPr>
          <w:b/>
        </w:rPr>
        <w:t xml:space="preserve"> </w:t>
      </w:r>
      <w:r w:rsidR="00B90C5C" w:rsidRPr="00260E99">
        <w:rPr>
          <w:b/>
          <w:i/>
        </w:rPr>
        <w:t>2009 GRC</w:t>
      </w:r>
      <w:r w:rsidR="00CA205E" w:rsidRPr="00260E99">
        <w:rPr>
          <w:b/>
        </w:rPr>
        <w:t xml:space="preserve"> Under RCW 80.04.210</w:t>
      </w:r>
      <w:r w:rsidR="00B90C5C" w:rsidRPr="00260E99">
        <w:rPr>
          <w:b/>
        </w:rPr>
        <w:t xml:space="preserve"> is </w:t>
      </w:r>
      <w:r w:rsidR="00CA205E" w:rsidRPr="00260E99">
        <w:rPr>
          <w:b/>
        </w:rPr>
        <w:t>Appropriate</w:t>
      </w:r>
    </w:p>
    <w:p w:rsidR="00B241B4" w:rsidRDefault="00E04EED" w:rsidP="00260E99">
      <w:pPr>
        <w:pStyle w:val="Responsebody"/>
      </w:pPr>
      <w:r>
        <w:t xml:space="preserve"> </w:t>
      </w:r>
      <w:r>
        <w:tab/>
        <w:t xml:space="preserve"> </w:t>
      </w:r>
      <w:r>
        <w:tab/>
      </w:r>
      <w:r w:rsidR="00752909">
        <w:t xml:space="preserve">In the Joint Complaint, ICNU and Public Counsel request, as an alternative form of relief, that the Commission amend the </w:t>
      </w:r>
      <w:r w:rsidR="00752909">
        <w:rPr>
          <w:i/>
        </w:rPr>
        <w:t xml:space="preserve">2009 GRC </w:t>
      </w:r>
      <w:r w:rsidR="00752909">
        <w:t>final order.</w:t>
      </w:r>
      <w:r w:rsidR="00C525D8" w:rsidRPr="0093179B">
        <w:rPr>
          <w:rStyle w:val="FootnoteReference"/>
          <w:u w:val="single"/>
        </w:rPr>
        <w:footnoteReference w:id="55"/>
      </w:r>
      <w:proofErr w:type="gramStart"/>
      <w:r w:rsidR="00C525D8" w:rsidRPr="00363B23">
        <w:rPr>
          <w:sz w:val="20"/>
          <w:szCs w:val="20"/>
          <w:vertAlign w:val="superscript"/>
        </w:rPr>
        <w:t>/</w:t>
      </w:r>
      <w:r w:rsidR="00752909">
        <w:t xml:space="preserve">  </w:t>
      </w:r>
      <w:r w:rsidR="00237DB1">
        <w:t>This</w:t>
      </w:r>
      <w:proofErr w:type="gramEnd"/>
      <w:r w:rsidR="00237DB1">
        <w:t xml:space="preserve"> request is proper given t</w:t>
      </w:r>
      <w:r>
        <w:t>he Commission</w:t>
      </w:r>
      <w:r w:rsidR="00237DB1">
        <w:t>’s</w:t>
      </w:r>
      <w:r>
        <w:t xml:space="preserve"> broad discretion to amend its prior orders</w:t>
      </w:r>
      <w:r w:rsidR="00237DB1">
        <w:t xml:space="preserve"> when doing so is necessary </w:t>
      </w:r>
      <w:r w:rsidR="0058307E">
        <w:t>to effectuate its purpose of</w:t>
      </w:r>
      <w:r w:rsidR="00030825">
        <w:t xml:space="preserve"> “</w:t>
      </w:r>
      <w:proofErr w:type="spellStart"/>
      <w:r w:rsidR="00030825">
        <w:t>secur</w:t>
      </w:r>
      <w:proofErr w:type="spellEnd"/>
      <w:r w:rsidR="00030825">
        <w:t>[</w:t>
      </w:r>
      <w:proofErr w:type="spellStart"/>
      <w:r w:rsidR="00030825">
        <w:t>ing</w:t>
      </w:r>
      <w:proofErr w:type="spellEnd"/>
      <w:r w:rsidR="00030825">
        <w:t>] safe, adequate, and sufficient utility services for the public at just, fair, reasonable, and sufficient rates</w:t>
      </w:r>
      <w:r>
        <w:t>.</w:t>
      </w:r>
      <w:r w:rsidR="00030825">
        <w:t>”</w:t>
      </w:r>
      <w:r w:rsidRPr="0093179B">
        <w:rPr>
          <w:rStyle w:val="FootnoteReference"/>
          <w:u w:val="single"/>
        </w:rPr>
        <w:footnoteReference w:id="56"/>
      </w:r>
      <w:proofErr w:type="gramStart"/>
      <w:r w:rsidRPr="00363B23">
        <w:rPr>
          <w:sz w:val="20"/>
          <w:szCs w:val="20"/>
          <w:vertAlign w:val="superscript"/>
        </w:rPr>
        <w:t>/</w:t>
      </w:r>
      <w:r>
        <w:t xml:space="preserve">  </w:t>
      </w:r>
      <w:r w:rsidR="00B241B4">
        <w:t>PacifiCorp</w:t>
      </w:r>
      <w:proofErr w:type="gramEnd"/>
      <w:r w:rsidR="00B241B4">
        <w:t xml:space="preserve"> makes three arguments </w:t>
      </w:r>
      <w:r w:rsidR="000769E3">
        <w:t xml:space="preserve">as to why ICNU and Public Counsel’s alternative request for </w:t>
      </w:r>
      <w:r w:rsidR="00B241B4">
        <w:t>amend</w:t>
      </w:r>
      <w:r w:rsidR="000769E3">
        <w:t>ment of</w:t>
      </w:r>
      <w:r w:rsidR="00B241B4">
        <w:t xml:space="preserve"> the final order in the </w:t>
      </w:r>
      <w:r w:rsidR="00B241B4">
        <w:rPr>
          <w:i/>
        </w:rPr>
        <w:t>2009 GRC</w:t>
      </w:r>
      <w:r w:rsidR="00B241B4">
        <w:t xml:space="preserve"> is </w:t>
      </w:r>
      <w:r w:rsidR="00662C2D">
        <w:t>improper</w:t>
      </w:r>
      <w:r w:rsidR="00B241B4">
        <w:t xml:space="preserve">:  (1) the motion to amend, if brought as a complaint, constitutes an impermissible collateral attack on the final </w:t>
      </w:r>
      <w:r w:rsidR="001754B3">
        <w:t xml:space="preserve">order in the </w:t>
      </w:r>
      <w:r w:rsidR="001754B3">
        <w:rPr>
          <w:i/>
        </w:rPr>
        <w:t>2009 GRC</w:t>
      </w:r>
      <w:r w:rsidR="001754B3">
        <w:t>; (2) the motion to amend results in impermissible retroactive ratemaking; and</w:t>
      </w:r>
      <w:r w:rsidR="008766E5">
        <w:t>,</w:t>
      </w:r>
      <w:r w:rsidR="001754B3">
        <w:t xml:space="preserve"> (3) the motion to amend constitutes single-issue ratemaking.</w:t>
      </w:r>
      <w:r w:rsidR="0094798E" w:rsidRPr="0094798E">
        <w:rPr>
          <w:rStyle w:val="FootnoteReference"/>
          <w:u w:val="single"/>
        </w:rPr>
        <w:footnoteReference w:id="57"/>
      </w:r>
      <w:proofErr w:type="gramStart"/>
      <w:r w:rsidR="0094798E" w:rsidRPr="008011EF">
        <w:rPr>
          <w:sz w:val="20"/>
          <w:szCs w:val="20"/>
          <w:vertAlign w:val="superscript"/>
        </w:rPr>
        <w:t>/</w:t>
      </w:r>
      <w:r w:rsidR="00515347">
        <w:t xml:space="preserve">  </w:t>
      </w:r>
      <w:r w:rsidR="00E25E31">
        <w:t>For</w:t>
      </w:r>
      <w:proofErr w:type="gramEnd"/>
      <w:r w:rsidR="00E25E31">
        <w:t xml:space="preserve"> the reasons discussed below, none of these arguments </w:t>
      </w:r>
      <w:r w:rsidR="000769E3">
        <w:t>actually bars</w:t>
      </w:r>
      <w:r w:rsidR="00E25E31">
        <w:t xml:space="preserve"> amend</w:t>
      </w:r>
      <w:r w:rsidR="000769E3">
        <w:t>ment of</w:t>
      </w:r>
      <w:r w:rsidR="00E25E31">
        <w:t xml:space="preserve"> the </w:t>
      </w:r>
      <w:r w:rsidR="00E25E31">
        <w:rPr>
          <w:i/>
        </w:rPr>
        <w:t xml:space="preserve">2009 GRC </w:t>
      </w:r>
      <w:r w:rsidR="00E25E31">
        <w:t>final order.</w:t>
      </w:r>
    </w:p>
    <w:p w:rsidR="00684F34" w:rsidRPr="00260E99" w:rsidRDefault="006D6FB6" w:rsidP="00684F34">
      <w:pPr>
        <w:pStyle w:val="ListParagraph"/>
        <w:widowControl/>
        <w:numPr>
          <w:ilvl w:val="1"/>
          <w:numId w:val="10"/>
        </w:numPr>
        <w:tabs>
          <w:tab w:val="clear" w:pos="2160"/>
        </w:tabs>
        <w:spacing w:before="240" w:line="240" w:lineRule="auto"/>
        <w:ind w:left="1440" w:hanging="720"/>
        <w:rPr>
          <w:b/>
        </w:rPr>
      </w:pPr>
      <w:r w:rsidRPr="00260E99">
        <w:rPr>
          <w:b/>
        </w:rPr>
        <w:t xml:space="preserve">The Joint Complaint is </w:t>
      </w:r>
      <w:r w:rsidR="00B90C5C" w:rsidRPr="00260E99">
        <w:rPr>
          <w:b/>
        </w:rPr>
        <w:t>Not</w:t>
      </w:r>
      <w:r w:rsidRPr="00260E99">
        <w:rPr>
          <w:b/>
        </w:rPr>
        <w:t xml:space="preserve"> a</w:t>
      </w:r>
      <w:r w:rsidR="00B90C5C" w:rsidRPr="00260E99">
        <w:rPr>
          <w:b/>
        </w:rPr>
        <w:t xml:space="preserve"> Collateral Attack</w:t>
      </w:r>
      <w:r w:rsidRPr="00260E99">
        <w:rPr>
          <w:b/>
        </w:rPr>
        <w:t xml:space="preserve"> on the </w:t>
      </w:r>
      <w:r w:rsidRPr="00260E99">
        <w:rPr>
          <w:b/>
          <w:i/>
        </w:rPr>
        <w:t xml:space="preserve">2009 GRC </w:t>
      </w:r>
      <w:r w:rsidRPr="00260E99">
        <w:rPr>
          <w:b/>
        </w:rPr>
        <w:t>Final Order</w:t>
      </w:r>
    </w:p>
    <w:p w:rsidR="00383536" w:rsidRDefault="00383536" w:rsidP="00260E99">
      <w:pPr>
        <w:pStyle w:val="Responsebody"/>
      </w:pPr>
      <w:r>
        <w:tab/>
        <w:t xml:space="preserve"> </w:t>
      </w:r>
      <w:r>
        <w:tab/>
      </w:r>
      <w:r w:rsidR="0076676F">
        <w:t>PacifiCorp makes a strained argument that the language of RCW 80.04.210 precludes a motion to amend a Commission order if bro</w:t>
      </w:r>
      <w:r w:rsidR="009C079D">
        <w:t>ught in the form of a complaint</w:t>
      </w:r>
      <w:r w:rsidR="007A065F">
        <w:t>.</w:t>
      </w:r>
      <w:r w:rsidR="0094798E" w:rsidRPr="0094798E">
        <w:rPr>
          <w:rStyle w:val="FootnoteReference"/>
          <w:u w:val="single"/>
        </w:rPr>
        <w:footnoteReference w:id="58"/>
      </w:r>
      <w:r w:rsidR="0094798E" w:rsidRPr="00662C2D">
        <w:rPr>
          <w:sz w:val="20"/>
          <w:szCs w:val="20"/>
          <w:vertAlign w:val="superscript"/>
        </w:rPr>
        <w:t>/</w:t>
      </w:r>
      <w:r w:rsidR="007A065F">
        <w:t xml:space="preserve"> </w:t>
      </w:r>
      <w:r w:rsidR="00662C2D">
        <w:t xml:space="preserve"> </w:t>
      </w:r>
      <w:r>
        <w:t xml:space="preserve">RCW 80.04.210 is silent as to the appropriate method to </w:t>
      </w:r>
      <w:r w:rsidR="00C827B3">
        <w:t>request</w:t>
      </w:r>
      <w:r>
        <w:t xml:space="preserve"> amendment to a Commission order</w:t>
      </w:r>
      <w:r w:rsidR="007E2017">
        <w:t xml:space="preserve"> and contains no language to suggest a limitation on </w:t>
      </w:r>
      <w:r w:rsidR="00615E30">
        <w:t>pursuing</w:t>
      </w:r>
      <w:r w:rsidR="00097BDD">
        <w:t xml:space="preserve"> a request to amend a Commission</w:t>
      </w:r>
      <w:r>
        <w:t xml:space="preserve"> order </w:t>
      </w:r>
      <w:r w:rsidR="002405E1">
        <w:t>in a</w:t>
      </w:r>
      <w:r>
        <w:t xml:space="preserve"> complaint rather tha</w:t>
      </w:r>
      <w:r w:rsidR="00B95E6E">
        <w:t xml:space="preserve">n </w:t>
      </w:r>
      <w:r w:rsidR="004B4EAD">
        <w:t xml:space="preserve">a different </w:t>
      </w:r>
      <w:r w:rsidR="00BD2CA1">
        <w:t xml:space="preserve">form of </w:t>
      </w:r>
      <w:r w:rsidR="004B4EAD">
        <w:t>pleading</w:t>
      </w:r>
      <w:r w:rsidR="00B95E6E">
        <w:t>.</w:t>
      </w:r>
      <w:r w:rsidR="008011EF">
        <w:t xml:space="preserve">  </w:t>
      </w:r>
      <w:r w:rsidR="00B95E6E">
        <w:t>The portion of the</w:t>
      </w:r>
      <w:r w:rsidR="000C045D">
        <w:t xml:space="preserve"> rule</w:t>
      </w:r>
      <w:r w:rsidR="00B95E6E">
        <w:t xml:space="preserve"> quoted and emphasized by PacifiCorp</w:t>
      </w:r>
      <w:r w:rsidR="008011EF" w:rsidRPr="0093179B">
        <w:rPr>
          <w:rStyle w:val="FootnoteReference"/>
          <w:u w:val="single"/>
        </w:rPr>
        <w:footnoteReference w:id="59"/>
      </w:r>
      <w:r w:rsidR="008011EF" w:rsidRPr="00662C2D">
        <w:rPr>
          <w:sz w:val="20"/>
          <w:szCs w:val="20"/>
          <w:vertAlign w:val="superscript"/>
        </w:rPr>
        <w:t>/</w:t>
      </w:r>
      <w:r w:rsidR="00B95E6E">
        <w:t xml:space="preserve"> establishes only that the public service company is entitled to an </w:t>
      </w:r>
      <w:r w:rsidR="00B95E6E">
        <w:lastRenderedPageBreak/>
        <w:t>opportunity to be heard and creates no bar to ICNU a</w:t>
      </w:r>
      <w:r w:rsidR="00E1122D">
        <w:t xml:space="preserve">nd Public Counsel’s </w:t>
      </w:r>
      <w:r w:rsidR="002405E1">
        <w:t>request in this case</w:t>
      </w:r>
      <w:r w:rsidR="00881BBE">
        <w:t>,</w:t>
      </w:r>
      <w:r w:rsidR="002405E1">
        <w:t xml:space="preserve"> as PacifiCorp will have a full opportunity to be heard</w:t>
      </w:r>
      <w:r w:rsidR="00E1122D">
        <w:t xml:space="preserve">. </w:t>
      </w:r>
      <w:r w:rsidR="00B95E6E">
        <w:t xml:space="preserve"> </w:t>
      </w:r>
      <w:r w:rsidR="008A4D91">
        <w:t xml:space="preserve">Thus, </w:t>
      </w:r>
      <w:r w:rsidR="00B95E6E">
        <w:t xml:space="preserve">PacifiCorp’s </w:t>
      </w:r>
      <w:r w:rsidR="00282C0A">
        <w:t>interpretation inserts</w:t>
      </w:r>
      <w:r w:rsidR="000E2A41">
        <w:t xml:space="preserve"> </w:t>
      </w:r>
      <w:r w:rsidR="00B95E6E">
        <w:t>an artificial distinction</w:t>
      </w:r>
      <w:r w:rsidR="00282C0A">
        <w:t xml:space="preserve"> into the rule</w:t>
      </w:r>
      <w:r w:rsidR="00B95E6E">
        <w:t xml:space="preserve">.  A reasonable interpretation of the language of RCW 80.04.210 </w:t>
      </w:r>
      <w:r w:rsidR="00CF0143">
        <w:t>includes</w:t>
      </w:r>
      <w:r w:rsidR="00B95E6E">
        <w:t xml:space="preserve"> c</w:t>
      </w:r>
      <w:r w:rsidR="004703A5">
        <w:t>omplaint proceedings</w:t>
      </w:r>
      <w:r w:rsidR="0017545F">
        <w:t>, particularly since the rule is silent on this issue</w:t>
      </w:r>
      <w:r w:rsidR="001A7E0E">
        <w:t>.</w:t>
      </w:r>
    </w:p>
    <w:p w:rsidR="00955CC4" w:rsidRDefault="00383536" w:rsidP="00260E99">
      <w:pPr>
        <w:pStyle w:val="Responsebody"/>
      </w:pPr>
      <w:r>
        <w:t xml:space="preserve"> </w:t>
      </w:r>
      <w:r>
        <w:tab/>
        <w:t xml:space="preserve"> </w:t>
      </w:r>
      <w:r>
        <w:tab/>
        <w:t xml:space="preserve">Similarly, RCW 80.04.110(1) presents no limitation </w:t>
      </w:r>
      <w:r w:rsidR="00745C82">
        <w:t>on the types of</w:t>
      </w:r>
      <w:r>
        <w:t xml:space="preserve"> relief requested in a proceeding initiated by a complaint.  In fact, RCW 80.04.110(1) explicitly </w:t>
      </w:r>
      <w:r w:rsidR="00FF6351">
        <w:t>provides</w:t>
      </w:r>
      <w:r>
        <w:t xml:space="preserve"> that the reasonableness of rates may be challenged</w:t>
      </w:r>
      <w:r w:rsidR="007F5E11">
        <w:t xml:space="preserve"> by complaint</w:t>
      </w:r>
      <w:r w:rsidR="00694EDB">
        <w:t xml:space="preserve">, and </w:t>
      </w:r>
      <w:r w:rsidR="005D5FB3">
        <w:t xml:space="preserve">a grant of </w:t>
      </w:r>
      <w:r w:rsidR="007F5E11">
        <w:t xml:space="preserve">relief under RCW 80.04.110(1) </w:t>
      </w:r>
      <w:r w:rsidR="002879D4">
        <w:t xml:space="preserve">would, in many circumstances, </w:t>
      </w:r>
      <w:r w:rsidR="00694EDB">
        <w:t>require amending Commission orders</w:t>
      </w:r>
      <w:r>
        <w:t>.</w:t>
      </w:r>
      <w:r w:rsidR="00637A52">
        <w:rPr>
          <w:u w:val="single"/>
        </w:rPr>
        <w:t xml:space="preserve"> </w:t>
      </w:r>
      <w:r>
        <w:t xml:space="preserve"> If</w:t>
      </w:r>
      <w:r w:rsidR="003B5C48">
        <w:t>, as PacifiCorp claims,</w:t>
      </w:r>
      <w:r>
        <w:t xml:space="preserve"> the Commission </w:t>
      </w:r>
      <w:r w:rsidR="0017545F">
        <w:t>is</w:t>
      </w:r>
      <w:r w:rsidR="006764F1" w:rsidRPr="006764F1">
        <w:t xml:space="preserve"> </w:t>
      </w:r>
      <w:r w:rsidR="006764F1">
        <w:t>precluded from providing relief for a complaint brought under RCW 80.04.110(1)</w:t>
      </w:r>
      <w:r w:rsidR="00CB70A6">
        <w:t>,</w:t>
      </w:r>
      <w:r w:rsidR="00F50598">
        <w:t xml:space="preserve"> </w:t>
      </w:r>
      <w:r>
        <w:t>the</w:t>
      </w:r>
      <w:r w:rsidR="00F50598">
        <w:t xml:space="preserve"> central</w:t>
      </w:r>
      <w:r>
        <w:t xml:space="preserve"> purpose of the complaint statute would be thwarted.</w:t>
      </w:r>
    </w:p>
    <w:p w:rsidR="00586E4B" w:rsidRDefault="00586E4B" w:rsidP="00260E99">
      <w:pPr>
        <w:pStyle w:val="Responsebody"/>
      </w:pPr>
      <w:r>
        <w:t xml:space="preserve"> </w:t>
      </w:r>
      <w:r>
        <w:tab/>
        <w:t xml:space="preserve"> </w:t>
      </w:r>
      <w:r>
        <w:tab/>
      </w:r>
      <w:r w:rsidR="009C2BB7">
        <w:t>Finally</w:t>
      </w:r>
      <w:r>
        <w:t xml:space="preserve">, </w:t>
      </w:r>
      <w:r w:rsidR="001B011C">
        <w:t>PacifiCorp’s</w:t>
      </w:r>
      <w:r>
        <w:t xml:space="preserve"> claim that the issues raised in the Joint Complaint constitute a collateral attack on a Commission order suffers from a basic </w:t>
      </w:r>
      <w:r w:rsidR="003C542F">
        <w:t>defect of reasoning</w:t>
      </w:r>
      <w:r>
        <w:t xml:space="preserve">.  </w:t>
      </w:r>
      <w:r w:rsidR="00BF5E05">
        <w:t>As described in the legal authority relied upon by PacifiCorp, a</w:t>
      </w:r>
      <w:r>
        <w:t xml:space="preserve"> complaint may be viewed as a collateral attack on an order if the issues </w:t>
      </w:r>
      <w:r w:rsidRPr="00F204F5">
        <w:rPr>
          <w:i/>
        </w:rPr>
        <w:t>could</w:t>
      </w:r>
      <w:r>
        <w:t xml:space="preserve"> have and should have been raised and litigated in the underlying rate case.  ICNU and Public Counsel </w:t>
      </w:r>
      <w:r w:rsidRPr="00F204F5">
        <w:rPr>
          <w:i/>
        </w:rPr>
        <w:t>could not possibly</w:t>
      </w:r>
      <w:r>
        <w:t xml:space="preserve"> have raised and litigated the issue of 2010 REC revenue in the </w:t>
      </w:r>
      <w:r>
        <w:rPr>
          <w:i/>
        </w:rPr>
        <w:t>2009 GRC</w:t>
      </w:r>
      <w:r>
        <w:t xml:space="preserve">, because PacifiCorp was withholding accurate and complete information about its REC revenues.  </w:t>
      </w:r>
      <w:r w:rsidR="005E3E25">
        <w:t>Thus, g</w:t>
      </w:r>
      <w:r>
        <w:t>ranting PacifiCorp’s Motion to Dismiss on the basis that the Joint Complaint is a collateral attack on a Commission order would only create an incentive for the Company to conceal information during its general rate cases with the knowledge that it</w:t>
      </w:r>
      <w:r w:rsidR="00C2567B">
        <w:t>s wrongful actions</w:t>
      </w:r>
      <w:r>
        <w:t xml:space="preserve"> </w:t>
      </w:r>
      <w:r w:rsidR="0017545F">
        <w:t>would</w:t>
      </w:r>
      <w:r>
        <w:t xml:space="preserve"> be insulated from further review.  </w:t>
      </w:r>
    </w:p>
    <w:p w:rsidR="00684F34" w:rsidRPr="009509C1" w:rsidRDefault="00383536" w:rsidP="00260E99">
      <w:pPr>
        <w:pStyle w:val="Responsebody"/>
      </w:pPr>
      <w:r>
        <w:lastRenderedPageBreak/>
        <w:t xml:space="preserve"> </w:t>
      </w:r>
      <w:r>
        <w:tab/>
        <w:t xml:space="preserve"> </w:t>
      </w:r>
      <w:r>
        <w:tab/>
      </w:r>
      <w:r w:rsidR="00B2651E">
        <w:t xml:space="preserve">Although the Commission rules present no bar to </w:t>
      </w:r>
      <w:r>
        <w:t xml:space="preserve">a request to amend a final order through a proceeding initiated by a complaint, </w:t>
      </w:r>
      <w:r w:rsidR="00B2651E">
        <w:t xml:space="preserve">if the </w:t>
      </w:r>
      <w:r>
        <w:t>Commission determines that a complaint is not the most appropriate method to request amend</w:t>
      </w:r>
      <w:r w:rsidR="00B2651E">
        <w:t>ment of a</w:t>
      </w:r>
      <w:r>
        <w:t xml:space="preserve"> prior order, the Commission may liberally construe pleadings “to </w:t>
      </w:r>
      <w:proofErr w:type="gramStart"/>
      <w:r>
        <w:t>effect</w:t>
      </w:r>
      <w:proofErr w:type="gramEnd"/>
      <w:r>
        <w:t xml:space="preserve"> justice among the parties.”</w:t>
      </w:r>
      <w:r w:rsidRPr="0093179B">
        <w:rPr>
          <w:rStyle w:val="FootnoteReference"/>
          <w:u w:val="single"/>
        </w:rPr>
        <w:footnoteReference w:id="60"/>
      </w:r>
      <w:proofErr w:type="gramStart"/>
      <w:r w:rsidRPr="00B241B4">
        <w:rPr>
          <w:sz w:val="20"/>
          <w:szCs w:val="20"/>
          <w:vertAlign w:val="superscript"/>
        </w:rPr>
        <w:t>/</w:t>
      </w:r>
      <w:r>
        <w:t xml:space="preserve">  </w:t>
      </w:r>
      <w:r w:rsidR="00A7560F">
        <w:t>In</w:t>
      </w:r>
      <w:proofErr w:type="gramEnd"/>
      <w:r w:rsidR="00A7560F">
        <w:t xml:space="preserve"> such a case</w:t>
      </w:r>
      <w:r>
        <w:t xml:space="preserve">, the Commission may restyle the complaint into a motion to amend the final order in the </w:t>
      </w:r>
      <w:r w:rsidRPr="00B241B4">
        <w:rPr>
          <w:i/>
        </w:rPr>
        <w:t>2009 GRC</w:t>
      </w:r>
      <w:r w:rsidR="00E46B05">
        <w:t>,</w:t>
      </w:r>
      <w:r w:rsidRPr="00B241B4">
        <w:rPr>
          <w:i/>
        </w:rPr>
        <w:t xml:space="preserve"> </w:t>
      </w:r>
      <w:r>
        <w:t>or</w:t>
      </w:r>
      <w:r w:rsidR="00E46B05">
        <w:t xml:space="preserve"> in</w:t>
      </w:r>
      <w:r>
        <w:t xml:space="preserve"> some other form that it deems appropriate.</w:t>
      </w:r>
      <w:r w:rsidRPr="0093179B">
        <w:rPr>
          <w:rStyle w:val="FootnoteReference"/>
          <w:u w:val="single"/>
        </w:rPr>
        <w:footnoteReference w:id="61"/>
      </w:r>
      <w:proofErr w:type="gramStart"/>
      <w:r w:rsidRPr="00B241B4">
        <w:rPr>
          <w:sz w:val="20"/>
          <w:szCs w:val="20"/>
          <w:vertAlign w:val="superscript"/>
        </w:rPr>
        <w:t>/</w:t>
      </w:r>
      <w:r>
        <w:t xml:space="preserve">  Such</w:t>
      </w:r>
      <w:proofErr w:type="gramEnd"/>
      <w:r>
        <w:t xml:space="preserve"> action would be consistent with the relief requested in the Joint Complaint.</w:t>
      </w:r>
      <w:r w:rsidR="00684F34">
        <w:t xml:space="preserve"> </w:t>
      </w:r>
    </w:p>
    <w:p w:rsidR="00323DFE" w:rsidRPr="003F6BD9" w:rsidRDefault="00323DFE" w:rsidP="00D6356F">
      <w:pPr>
        <w:pStyle w:val="ListParagraph"/>
        <w:keepNext/>
        <w:widowControl/>
        <w:numPr>
          <w:ilvl w:val="1"/>
          <w:numId w:val="6"/>
        </w:numPr>
        <w:tabs>
          <w:tab w:val="clear" w:pos="2160"/>
          <w:tab w:val="num" w:pos="1440"/>
        </w:tabs>
        <w:spacing w:before="240" w:line="240" w:lineRule="auto"/>
        <w:ind w:left="1440" w:hanging="720"/>
        <w:rPr>
          <w:b/>
        </w:rPr>
      </w:pPr>
      <w:r w:rsidRPr="00260E99">
        <w:rPr>
          <w:b/>
        </w:rPr>
        <w:t>The Relief Requested in the Joint Complaint Will Not Result in Retroactive Ratemaking</w:t>
      </w:r>
    </w:p>
    <w:p w:rsidR="00323DFE" w:rsidRDefault="00323DFE" w:rsidP="00323DFE">
      <w:pPr>
        <w:pStyle w:val="Responsebody"/>
      </w:pPr>
      <w:r>
        <w:rPr>
          <w:vertAlign w:val="superscript"/>
        </w:rPr>
        <w:t xml:space="preserve"> </w:t>
      </w:r>
      <w:r>
        <w:tab/>
        <w:t xml:space="preserve"> </w:t>
      </w:r>
      <w:r>
        <w:tab/>
        <w:t xml:space="preserve">PacifiCorp argues that ICNU and Public Counsel’s request for amendment of the </w:t>
      </w:r>
      <w:r>
        <w:rPr>
          <w:i/>
        </w:rPr>
        <w:t xml:space="preserve">2009 GRC </w:t>
      </w:r>
      <w:r>
        <w:t>Final Order to allow for recovery of 2010 REC revenues is prohibited by the rule against retroactive ratemaking.</w:t>
      </w:r>
      <w:r w:rsidRPr="00641C0E">
        <w:rPr>
          <w:rStyle w:val="FootnoteReference"/>
          <w:u w:val="single"/>
        </w:rPr>
        <w:footnoteReference w:id="62"/>
      </w:r>
      <w:proofErr w:type="gramStart"/>
      <w:r w:rsidRPr="00425446">
        <w:rPr>
          <w:sz w:val="20"/>
          <w:szCs w:val="20"/>
          <w:vertAlign w:val="superscript"/>
        </w:rPr>
        <w:t>/</w:t>
      </w:r>
      <w:r>
        <w:t xml:space="preserve">  ICNU</w:t>
      </w:r>
      <w:proofErr w:type="gramEnd"/>
      <w:r>
        <w:t xml:space="preserve"> and Public Counsel’s request for amendment of the </w:t>
      </w:r>
      <w:r>
        <w:rPr>
          <w:i/>
        </w:rPr>
        <w:t xml:space="preserve">2009 GRC </w:t>
      </w:r>
      <w:r>
        <w:t>Final Order does not amount to retroactive ratemaking.  In the alternative, if the Commission determines that this is not the case, it may still amend the final order under the well-established exceptions to the rule.</w:t>
      </w:r>
    </w:p>
    <w:p w:rsidR="00323DFE" w:rsidRDefault="00323DFE" w:rsidP="00323DFE">
      <w:pPr>
        <w:pStyle w:val="Responsebody"/>
      </w:pPr>
      <w:r>
        <w:tab/>
      </w:r>
      <w:r>
        <w:tab/>
        <w:t>The rule against retroactive ratemaking prohibits the current collection of costs that were only properly recoverable fully in a past period or periods.</w:t>
      </w:r>
      <w:r w:rsidRPr="008343F5">
        <w:rPr>
          <w:rStyle w:val="FootnoteReference"/>
          <w:u w:val="single"/>
        </w:rPr>
        <w:footnoteReference w:id="63"/>
      </w:r>
      <w:proofErr w:type="gramStart"/>
      <w:r w:rsidRPr="00425446">
        <w:rPr>
          <w:sz w:val="20"/>
          <w:szCs w:val="20"/>
          <w:vertAlign w:val="superscript"/>
        </w:rPr>
        <w:t>/</w:t>
      </w:r>
      <w:r>
        <w:t xml:space="preserve">  Thus</w:t>
      </w:r>
      <w:proofErr w:type="gramEnd"/>
      <w:r>
        <w:t xml:space="preserve">, retroactive ratemaking encompasses the recovery of costs or revenues that were known and thus could have, and should have, been included in rates previously.  In </w:t>
      </w:r>
      <w:r w:rsidR="00607985">
        <w:t xml:space="preserve">the </w:t>
      </w:r>
      <w:r w:rsidR="003F6A39">
        <w:t xml:space="preserve">2008 </w:t>
      </w:r>
      <w:r w:rsidR="00607985">
        <w:t xml:space="preserve">Avista general rate case, </w:t>
      </w:r>
      <w:r>
        <w:t xml:space="preserve">the Commission allowed Avista to recover </w:t>
      </w:r>
      <w:r w:rsidR="003F6A39">
        <w:t xml:space="preserve">the </w:t>
      </w:r>
      <w:r>
        <w:t>costs of a</w:t>
      </w:r>
      <w:r w:rsidR="003F6A39">
        <w:t xml:space="preserve"> settlement with the Coeur d’Alene T</w:t>
      </w:r>
      <w:r>
        <w:t xml:space="preserve">ribe for </w:t>
      </w:r>
      <w:r>
        <w:lastRenderedPageBreak/>
        <w:t>past damage.</w:t>
      </w:r>
      <w:r w:rsidR="00607985" w:rsidRPr="00607985">
        <w:rPr>
          <w:rStyle w:val="FootnoteReference"/>
          <w:u w:val="single"/>
        </w:rPr>
        <w:footnoteReference w:id="64"/>
      </w:r>
      <w:proofErr w:type="gramStart"/>
      <w:r w:rsidR="00607985" w:rsidRPr="00607985">
        <w:rPr>
          <w:sz w:val="20"/>
          <w:szCs w:val="20"/>
          <w:vertAlign w:val="superscript"/>
        </w:rPr>
        <w:t>/</w:t>
      </w:r>
      <w:r>
        <w:t xml:space="preserve">  </w:t>
      </w:r>
      <w:r w:rsidR="00607985">
        <w:t>In</w:t>
      </w:r>
      <w:proofErr w:type="gramEnd"/>
      <w:r w:rsidR="00607985">
        <w:t xml:space="preserve"> that case, </w:t>
      </w:r>
      <w:r w:rsidR="00EF2D78">
        <w:t>ICNU and Public Counsel</w:t>
      </w:r>
      <w:r>
        <w:t xml:space="preserve"> argued that recovery of these costs would amount to retroactive ratemaking since the damages were attributable to past periods.</w:t>
      </w:r>
      <w:r w:rsidR="00607985" w:rsidRPr="00607985">
        <w:rPr>
          <w:rStyle w:val="FootnoteReference"/>
          <w:u w:val="single"/>
        </w:rPr>
        <w:footnoteReference w:id="65"/>
      </w:r>
      <w:r w:rsidR="00607985" w:rsidRPr="00607985">
        <w:rPr>
          <w:sz w:val="20"/>
          <w:szCs w:val="20"/>
          <w:vertAlign w:val="superscript"/>
        </w:rPr>
        <w:t>/</w:t>
      </w:r>
      <w:r>
        <w:t xml:space="preserve"> The Commission allowed recovery, stating:</w:t>
      </w:r>
    </w:p>
    <w:p w:rsidR="00323DFE" w:rsidRDefault="00323DFE" w:rsidP="0017545F">
      <w:pPr>
        <w:pStyle w:val="Responsebody"/>
        <w:numPr>
          <w:ilvl w:val="0"/>
          <w:numId w:val="0"/>
        </w:numPr>
        <w:spacing w:before="240" w:line="240" w:lineRule="auto"/>
        <w:ind w:left="1440" w:right="1440"/>
        <w:jc w:val="both"/>
      </w:pPr>
      <w:r>
        <w:t xml:space="preserve">Until Avista reached a settlement earlier this year, it had no obligation to the Tribe.  This case presents </w:t>
      </w:r>
      <w:proofErr w:type="spellStart"/>
      <w:r>
        <w:t>Avista’s</w:t>
      </w:r>
      <w:proofErr w:type="spellEnd"/>
      <w:r>
        <w:t xml:space="preserve"> </w:t>
      </w:r>
      <w:r w:rsidRPr="00E2354A">
        <w:rPr>
          <w:i/>
        </w:rPr>
        <w:t>first opportunity</w:t>
      </w:r>
      <w:r>
        <w:t xml:space="preserve"> to recover the charges associated with that obligation.</w:t>
      </w:r>
      <w:r w:rsidRPr="008343F5">
        <w:rPr>
          <w:rStyle w:val="FootnoteReference"/>
          <w:u w:val="single"/>
        </w:rPr>
        <w:footnoteReference w:id="66"/>
      </w:r>
      <w:r w:rsidRPr="00425446">
        <w:rPr>
          <w:sz w:val="20"/>
          <w:szCs w:val="20"/>
          <w:vertAlign w:val="superscript"/>
        </w:rPr>
        <w:t>/</w:t>
      </w:r>
    </w:p>
    <w:p w:rsidR="00323DFE" w:rsidRDefault="00EF2D78" w:rsidP="00323DFE">
      <w:pPr>
        <w:pStyle w:val="Responsebody"/>
        <w:numPr>
          <w:ilvl w:val="0"/>
          <w:numId w:val="0"/>
        </w:numPr>
      </w:pPr>
      <w:r>
        <w:t>Applying this precedent here</w:t>
      </w:r>
      <w:r w:rsidR="00323DFE">
        <w:t xml:space="preserve">, ICNU and Public Counsel could not have addressed the excess 2010 REC revenues during the </w:t>
      </w:r>
      <w:r w:rsidR="00323DFE" w:rsidRPr="0064559A">
        <w:rPr>
          <w:i/>
        </w:rPr>
        <w:t>2009 GRC</w:t>
      </w:r>
      <w:r w:rsidR="00323DFE">
        <w:t xml:space="preserve">, because PacifiCorp concealed the evidence regarding these revenues. Thus, </w:t>
      </w:r>
      <w:r w:rsidR="00380EE2">
        <w:t xml:space="preserve">applying the Commission’s reasoning in the Avista case, </w:t>
      </w:r>
      <w:r w:rsidR="00323DFE">
        <w:t>retroactive ratemaking</w:t>
      </w:r>
      <w:r w:rsidR="00380EE2">
        <w:t xml:space="preserve"> is not present here</w:t>
      </w:r>
      <w:r w:rsidR="00323DFE">
        <w:t xml:space="preserve">.  </w:t>
      </w:r>
    </w:p>
    <w:p w:rsidR="00323DFE" w:rsidRDefault="00323DFE" w:rsidP="00323DFE">
      <w:pPr>
        <w:pStyle w:val="Responsebody"/>
      </w:pPr>
      <w:r>
        <w:tab/>
      </w:r>
      <w:r>
        <w:tab/>
        <w:t xml:space="preserve">If the Commission determines that amending the </w:t>
      </w:r>
      <w:r>
        <w:rPr>
          <w:i/>
        </w:rPr>
        <w:t xml:space="preserve">2009 GRC </w:t>
      </w:r>
      <w:r>
        <w:t>Final Order does technically constitute retroactive ratemaking, it may</w:t>
      </w:r>
      <w:r w:rsidR="008F3920">
        <w:t>,</w:t>
      </w:r>
      <w:r w:rsidRPr="0064559A">
        <w:t xml:space="preserve"> </w:t>
      </w:r>
      <w:r>
        <w:t>nonetheless</w:t>
      </w:r>
      <w:r w:rsidR="008F3920">
        <w:t>,</w:t>
      </w:r>
      <w:r>
        <w:t xml:space="preserve"> still amend the Order under the well-established exceptions to the rule.  The Commission has previously explained such exceptions:</w:t>
      </w:r>
    </w:p>
    <w:p w:rsidR="00323DFE" w:rsidRDefault="00323DFE" w:rsidP="00323DFE">
      <w:pPr>
        <w:pStyle w:val="ResponsetoJointComplaintBody"/>
        <w:spacing w:before="240" w:line="240" w:lineRule="auto"/>
        <w:ind w:left="1440" w:right="1440" w:firstLine="0"/>
        <w:jc w:val="both"/>
      </w:pPr>
      <w:r>
        <w:t xml:space="preserve">Although [the retroactive ratemaking concept is a] well established principle…in the context of economic regulation, [it is] not </w:t>
      </w:r>
      <w:proofErr w:type="gramStart"/>
      <w:r>
        <w:t>so</w:t>
      </w:r>
      <w:proofErr w:type="gramEnd"/>
      <w:r>
        <w:t xml:space="preserve"> rigid as sometimes viewed.  There are equally well-established exceptions.</w:t>
      </w:r>
      <w:r w:rsidRPr="00641C0E">
        <w:rPr>
          <w:rStyle w:val="FootnoteReference"/>
          <w:u w:val="single"/>
        </w:rPr>
        <w:footnoteReference w:id="67"/>
      </w:r>
      <w:r w:rsidRPr="00425446">
        <w:rPr>
          <w:sz w:val="20"/>
          <w:szCs w:val="20"/>
          <w:vertAlign w:val="superscript"/>
        </w:rPr>
        <w:t>/</w:t>
      </w:r>
      <w:r>
        <w:t xml:space="preserve">  </w:t>
      </w:r>
    </w:p>
    <w:p w:rsidR="00323DFE" w:rsidRDefault="00323DFE" w:rsidP="00323DFE">
      <w:pPr>
        <w:pStyle w:val="ResponsetoJointComplaintBody"/>
        <w:spacing w:after="0"/>
        <w:ind w:firstLine="0"/>
      </w:pPr>
      <w:r>
        <w:t xml:space="preserve">Moreover, the Commission has declared that it should “review other relevant factors than the pejorative ‘retroactive’ label” when determining whether a proposed regulatory action is </w:t>
      </w:r>
      <w:r>
        <w:lastRenderedPageBreak/>
        <w:t>lawful.</w:t>
      </w:r>
      <w:r w:rsidRPr="00641C0E">
        <w:rPr>
          <w:rStyle w:val="FootnoteReference"/>
          <w:u w:val="single"/>
        </w:rPr>
        <w:footnoteReference w:id="68"/>
      </w:r>
      <w:proofErr w:type="gramStart"/>
      <w:r w:rsidRPr="00425446">
        <w:rPr>
          <w:sz w:val="20"/>
          <w:szCs w:val="20"/>
          <w:vertAlign w:val="superscript"/>
        </w:rPr>
        <w:t>/</w:t>
      </w:r>
      <w:r>
        <w:t xml:space="preserve">  While</w:t>
      </w:r>
      <w:proofErr w:type="gramEnd"/>
      <w:r>
        <w:t xml:space="preserve"> ICNU and Public Counsel do not believe retroactive ratemaking is implicated by the Complaint, if the Commission disagrees, the exceptions to the rule and the other relevant factors must be taken into consideration here.</w:t>
      </w:r>
    </w:p>
    <w:p w:rsidR="00323DFE" w:rsidRDefault="00323DFE" w:rsidP="00323DFE">
      <w:pPr>
        <w:pStyle w:val="Responsebody"/>
      </w:pPr>
      <w:r>
        <w:tab/>
        <w:t xml:space="preserve"> </w:t>
      </w:r>
      <w:r>
        <w:tab/>
        <w:t>One well-established exception to the rule against retroactive ratemaking exists for situations where certain costs or revenues could not reasonably be anticipated by the party seeking allegedly retroactive treatment.  A central consideration in this exception is whether the party could have accepted the risk of non-recovery.  This exception was noted by the Commission in Docket No. UE-010410, which PacifiCorp cites to support its argument here:</w:t>
      </w:r>
    </w:p>
    <w:p w:rsidR="00323DFE" w:rsidRDefault="00323DFE" w:rsidP="00323DFE">
      <w:pPr>
        <w:pStyle w:val="BlockQuote"/>
        <w:spacing w:before="240"/>
      </w:pPr>
      <w:r>
        <w:t xml:space="preserve">In addition, the Commission has carefully reviewed the </w:t>
      </w:r>
      <w:r w:rsidRPr="0050655B">
        <w:rPr>
          <w:i/>
        </w:rPr>
        <w:t>substantive and policy issues raised by this filing</w:t>
      </w:r>
      <w:r>
        <w:t xml:space="preserve">.  When the Commission initially approved both the CIC and Time-of-Day rates, there was substantial discussion concerning the benefits and risks of the program, and how they might be divided between the Company and its ratepayers.  In light of that discussion, it is not credible to claim, as PSE now does, that “no one could have anticipated” the drop in wholesale market prices from extraordinarily high levels to more normal levels (but still high by historical standards).  While PSE may not have predicted the market drop, the possibility that it </w:t>
      </w:r>
      <w:r>
        <w:rPr>
          <w:i/>
          <w:iCs/>
        </w:rPr>
        <w:t>could</w:t>
      </w:r>
      <w:r>
        <w:t xml:space="preserve"> drop was expressly discussed.  </w:t>
      </w:r>
      <w:r w:rsidRPr="0050655B">
        <w:rPr>
          <w:i/>
        </w:rPr>
        <w:t>It was clear at that time that the Company accepted not only the benefits of the program but also the risk that the program would fail.</w:t>
      </w:r>
      <w:r>
        <w:t xml:space="preserve">  Had power prices remained high, under the program, the Company would have kept all benefits flowing from that program.  Once prices fell, and the anticipated benefits dwindled, the Company requested that its general body of ratepayers bear all of the losses associated with the program.  Significantly, those ratepayers were not put on notice that, under any circumstances, they would be saddled with those risks.  It is not in the public interest for the Commission now, after </w:t>
      </w:r>
      <w:r>
        <w:lastRenderedPageBreak/>
        <w:t>the fact, to burden PSE’s customers with risks the Company assumed at the outset.</w:t>
      </w:r>
      <w:r w:rsidRPr="00F43324">
        <w:rPr>
          <w:rStyle w:val="FootnoteReference"/>
          <w:u w:val="single"/>
        </w:rPr>
        <w:footnoteReference w:id="69"/>
      </w:r>
      <w:r w:rsidRPr="00425446">
        <w:rPr>
          <w:sz w:val="20"/>
          <w:szCs w:val="20"/>
          <w:vertAlign w:val="superscript"/>
        </w:rPr>
        <w:t>/</w:t>
      </w:r>
    </w:p>
    <w:p w:rsidR="00323DFE" w:rsidRDefault="00323DFE" w:rsidP="00323DFE">
      <w:pPr>
        <w:pStyle w:val="ResponsetoJointComplaintBody"/>
        <w:spacing w:after="0"/>
        <w:ind w:firstLine="0"/>
      </w:pPr>
      <w:r>
        <w:t>The Commission applied this exception in a previous case when it allowed a utility to recover unforeseen costs.</w:t>
      </w:r>
      <w:r w:rsidRPr="00641C0E">
        <w:rPr>
          <w:rStyle w:val="FootnoteReference"/>
          <w:u w:val="single"/>
        </w:rPr>
        <w:footnoteReference w:id="70"/>
      </w:r>
      <w:r w:rsidRPr="00425446">
        <w:rPr>
          <w:sz w:val="20"/>
          <w:szCs w:val="20"/>
          <w:vertAlign w:val="superscript"/>
        </w:rPr>
        <w:t>/</w:t>
      </w:r>
      <w:r>
        <w:rPr>
          <w:vertAlign w:val="superscript"/>
        </w:rPr>
        <w:t xml:space="preserve"> </w:t>
      </w:r>
    </w:p>
    <w:p w:rsidR="00323DFE" w:rsidRDefault="00323DFE" w:rsidP="00323DFE">
      <w:pPr>
        <w:pStyle w:val="Responsebody"/>
      </w:pPr>
      <w:r>
        <w:tab/>
        <w:t xml:space="preserve"> </w:t>
      </w:r>
      <w:r>
        <w:tab/>
        <w:t>This present case falls squarely into the exception for revenues that could not have been anticipated</w:t>
      </w:r>
      <w:r w:rsidR="00380EE2">
        <w:t xml:space="preserve"> based on the Company’s own representations</w:t>
      </w:r>
      <w:r>
        <w:t>.  ICNU and Public Counsel had no reason to assume and</w:t>
      </w:r>
      <w:r w:rsidRPr="000F23FF">
        <w:t xml:space="preserve"> no way of knowing </w:t>
      </w:r>
      <w:r>
        <w:t xml:space="preserve">during the </w:t>
      </w:r>
      <w:r w:rsidRPr="002C6286">
        <w:rPr>
          <w:i/>
        </w:rPr>
        <w:t>2009 GRC</w:t>
      </w:r>
      <w:r>
        <w:t xml:space="preserve"> that PacifiCorp would earn REC revenues far in excess of what the Company claimed. The result of the settlement was that PacifiCorp overcharged customers by the amount of REC revenues it knew, but did not disclose, it would receive in the 2010 rate effective period.  ICNU, Public Counsel, and the ratepayers they represent in </w:t>
      </w:r>
      <w:r w:rsidRPr="005C711D">
        <w:rPr>
          <w:i/>
        </w:rPr>
        <w:t>no way</w:t>
      </w:r>
      <w:r>
        <w:t xml:space="preserve"> accepted this risk of overcharge during the </w:t>
      </w:r>
      <w:r w:rsidRPr="005C711D">
        <w:rPr>
          <w:i/>
        </w:rPr>
        <w:t>2009 GR</w:t>
      </w:r>
      <w:r>
        <w:rPr>
          <w:i/>
        </w:rPr>
        <w:t xml:space="preserve">C, </w:t>
      </w:r>
      <w:r>
        <w:t xml:space="preserve">nor could they have, since PacifiCorp </w:t>
      </w:r>
      <w:r w:rsidRPr="002C6286">
        <w:rPr>
          <w:i/>
        </w:rPr>
        <w:t xml:space="preserve">concealed </w:t>
      </w:r>
      <w:r>
        <w:rPr>
          <w:i/>
        </w:rPr>
        <w:t>the relevant</w:t>
      </w:r>
      <w:r w:rsidRPr="002C6286">
        <w:rPr>
          <w:i/>
        </w:rPr>
        <w:t xml:space="preserve"> information</w:t>
      </w:r>
      <w:r>
        <w:t xml:space="preserve"> from the parties.  </w:t>
      </w:r>
    </w:p>
    <w:p w:rsidR="003F6BD9" w:rsidRPr="003F6BD9" w:rsidRDefault="00323DFE" w:rsidP="00323DFE">
      <w:pPr>
        <w:pStyle w:val="Responsebody"/>
      </w:pPr>
      <w:r>
        <w:tab/>
        <w:t xml:space="preserve"> </w:t>
      </w:r>
      <w:r>
        <w:tab/>
        <w:t>Moreover, there are sound policy reasons why the Commission should reject PacifiCorp’s argument that returning 2010 REC revenues to customers would violate the rule against retroactive ratemaking.  Accepting such an argument would incent companies to attempt to wrongly retain revenues by not disclosing information about those revenues until it is “too late.”</w:t>
      </w:r>
      <w:r w:rsidRPr="00641C0E">
        <w:rPr>
          <w:rStyle w:val="FootnoteReference"/>
          <w:u w:val="single"/>
        </w:rPr>
        <w:footnoteReference w:id="71"/>
      </w:r>
      <w:proofErr w:type="gramStart"/>
      <w:r w:rsidRPr="00425446">
        <w:rPr>
          <w:sz w:val="20"/>
          <w:szCs w:val="20"/>
          <w:vertAlign w:val="superscript"/>
        </w:rPr>
        <w:t>/</w:t>
      </w:r>
      <w:r>
        <w:rPr>
          <w:vertAlign w:val="superscript"/>
        </w:rPr>
        <w:t xml:space="preserve">  </w:t>
      </w:r>
      <w:r w:rsidRPr="006343B5">
        <w:t>This</w:t>
      </w:r>
      <w:proofErr w:type="gramEnd"/>
      <w:r w:rsidRPr="006343B5">
        <w:t xml:space="preserve"> result would defeat the purpose of the rule, which is to protect the rights of </w:t>
      </w:r>
      <w:r w:rsidRPr="006343B5">
        <w:lastRenderedPageBreak/>
        <w:t>customers in light of the imbalance of knowledge between companies and customers.</w:t>
      </w:r>
      <w:r w:rsidR="007B164B">
        <w:rPr>
          <w:vertAlign w:val="superscript"/>
        </w:rPr>
        <w:t xml:space="preserve">     </w:t>
      </w:r>
    </w:p>
    <w:p w:rsidR="0048389B" w:rsidRPr="00260E99" w:rsidRDefault="00710477" w:rsidP="009771EC">
      <w:pPr>
        <w:pStyle w:val="ListParagraph"/>
        <w:widowControl/>
        <w:numPr>
          <w:ilvl w:val="1"/>
          <w:numId w:val="11"/>
        </w:numPr>
        <w:tabs>
          <w:tab w:val="clear" w:pos="2160"/>
          <w:tab w:val="num" w:pos="1440"/>
        </w:tabs>
        <w:spacing w:before="240" w:line="240" w:lineRule="auto"/>
        <w:ind w:left="1440" w:hanging="720"/>
        <w:rPr>
          <w:b/>
        </w:rPr>
      </w:pPr>
      <w:r w:rsidRPr="00260E99">
        <w:rPr>
          <w:b/>
        </w:rPr>
        <w:t xml:space="preserve">The Relief Requested </w:t>
      </w:r>
      <w:r w:rsidR="00FA4853" w:rsidRPr="00260E99">
        <w:rPr>
          <w:b/>
        </w:rPr>
        <w:t>is</w:t>
      </w:r>
      <w:r w:rsidR="00A07DFE" w:rsidRPr="00260E99">
        <w:rPr>
          <w:b/>
        </w:rPr>
        <w:t xml:space="preserve"> </w:t>
      </w:r>
      <w:r w:rsidR="008F5F2E" w:rsidRPr="00260E99">
        <w:rPr>
          <w:b/>
        </w:rPr>
        <w:t>a</w:t>
      </w:r>
      <w:r w:rsidR="00FA4853" w:rsidRPr="00260E99">
        <w:rPr>
          <w:b/>
        </w:rPr>
        <w:t xml:space="preserve"> Permissible</w:t>
      </w:r>
      <w:r w:rsidR="008F5F2E" w:rsidRPr="00260E99">
        <w:rPr>
          <w:b/>
        </w:rPr>
        <w:t xml:space="preserve"> Exception to the General Rule </w:t>
      </w:r>
      <w:r w:rsidR="00C70215" w:rsidRPr="00260E99">
        <w:rPr>
          <w:b/>
        </w:rPr>
        <w:t xml:space="preserve">Disfavoring </w:t>
      </w:r>
      <w:r w:rsidR="00A07DFE" w:rsidRPr="00260E99">
        <w:rPr>
          <w:b/>
        </w:rPr>
        <w:t>Single-</w:t>
      </w:r>
      <w:r w:rsidR="0048389B" w:rsidRPr="00260E99">
        <w:rPr>
          <w:b/>
        </w:rPr>
        <w:t>Issue Ratemaking</w:t>
      </w:r>
    </w:p>
    <w:p w:rsidR="00FA4853" w:rsidRDefault="00CD7E05" w:rsidP="00260E99">
      <w:pPr>
        <w:pStyle w:val="Responsebody"/>
      </w:pPr>
      <w:r>
        <w:t xml:space="preserve"> </w:t>
      </w:r>
      <w:r>
        <w:tab/>
        <w:t xml:space="preserve"> </w:t>
      </w:r>
      <w:r>
        <w:tab/>
      </w:r>
      <w:r w:rsidR="004049A0">
        <w:t xml:space="preserve">PacifiCorp claims that the relief requested in the Joint Complaint, </w:t>
      </w:r>
      <w:r w:rsidR="001410CF">
        <w:t xml:space="preserve">a </w:t>
      </w:r>
      <w:r w:rsidR="004049A0">
        <w:t>refund and</w:t>
      </w:r>
      <w:r w:rsidR="009E1188">
        <w:t xml:space="preserve"> </w:t>
      </w:r>
      <w:r w:rsidR="001410CF">
        <w:t xml:space="preserve">the </w:t>
      </w:r>
      <w:r w:rsidR="009E1188">
        <w:t>establish</w:t>
      </w:r>
      <w:r w:rsidR="00962FFC">
        <w:t>ment of</w:t>
      </w:r>
      <w:r w:rsidR="009E1188">
        <w:t xml:space="preserve"> a</w:t>
      </w:r>
      <w:r w:rsidR="00962FFC">
        <w:t xml:space="preserve"> balancing </w:t>
      </w:r>
      <w:proofErr w:type="gramStart"/>
      <w:r w:rsidR="00962FFC">
        <w:t>account</w:t>
      </w:r>
      <w:r w:rsidR="001410CF">
        <w:t>,</w:t>
      </w:r>
      <w:proofErr w:type="gramEnd"/>
      <w:r w:rsidR="00962FFC">
        <w:t xml:space="preserve"> would</w:t>
      </w:r>
      <w:r w:rsidR="004049A0">
        <w:t xml:space="preserve"> constitute single-issue ratemaking.</w:t>
      </w:r>
      <w:r w:rsidR="00C70215" w:rsidRPr="0093179B">
        <w:rPr>
          <w:rStyle w:val="FootnoteReference"/>
          <w:u w:val="single"/>
        </w:rPr>
        <w:footnoteReference w:id="72"/>
      </w:r>
      <w:proofErr w:type="gramStart"/>
      <w:r w:rsidR="00C70215" w:rsidRPr="00363B23">
        <w:rPr>
          <w:sz w:val="20"/>
          <w:szCs w:val="20"/>
          <w:vertAlign w:val="superscript"/>
        </w:rPr>
        <w:t>/</w:t>
      </w:r>
      <w:r w:rsidR="00C70215">
        <w:t xml:space="preserve"> </w:t>
      </w:r>
      <w:r w:rsidR="00382E3D">
        <w:t xml:space="preserve"> </w:t>
      </w:r>
      <w:r w:rsidR="000A0BF3">
        <w:t>Single</w:t>
      </w:r>
      <w:proofErr w:type="gramEnd"/>
      <w:r w:rsidR="000A0BF3">
        <w:t>-issue ratemaking is disfavored because it may distort the</w:t>
      </w:r>
      <w:r w:rsidR="0051163D">
        <w:t xml:space="preserve"> “matching principle,” whereby costs and revenues are balanced at a single point in time to determine fair, just, reasonable, and sufficient rates.</w:t>
      </w:r>
      <w:r w:rsidR="0051163D" w:rsidRPr="0093179B">
        <w:rPr>
          <w:rStyle w:val="FootnoteReference"/>
          <w:u w:val="single"/>
        </w:rPr>
        <w:footnoteReference w:id="73"/>
      </w:r>
      <w:proofErr w:type="gramStart"/>
      <w:r w:rsidR="0051163D" w:rsidRPr="00363B23">
        <w:rPr>
          <w:sz w:val="20"/>
          <w:szCs w:val="20"/>
          <w:vertAlign w:val="superscript"/>
        </w:rPr>
        <w:t>/</w:t>
      </w:r>
      <w:r w:rsidR="0051163D">
        <w:t xml:space="preserve"> </w:t>
      </w:r>
      <w:r w:rsidR="000A0BF3">
        <w:t xml:space="preserve"> </w:t>
      </w:r>
      <w:r w:rsidR="006D5F29">
        <w:t>The</w:t>
      </w:r>
      <w:proofErr w:type="gramEnd"/>
      <w:r w:rsidR="006D5F29">
        <w:t xml:space="preserve"> exceptions</w:t>
      </w:r>
      <w:r w:rsidR="00380EE2">
        <w:t>, however,</w:t>
      </w:r>
      <w:r w:rsidR="006D5F29">
        <w:t xml:space="preserve"> are largely swallowing the rule</w:t>
      </w:r>
      <w:r w:rsidR="00FA52D0">
        <w:t>,</w:t>
      </w:r>
      <w:r w:rsidR="006D5F29">
        <w:t xml:space="preserve"> as utilities, including PacifiCorp, frequently file to recover costs as single issues.</w:t>
      </w:r>
    </w:p>
    <w:p w:rsidR="004D382D" w:rsidRPr="008D4572" w:rsidRDefault="00AB28BF" w:rsidP="00260E99">
      <w:pPr>
        <w:pStyle w:val="Responsebody"/>
        <w:rPr>
          <w:u w:val="single"/>
        </w:rPr>
      </w:pPr>
      <w:r>
        <w:t xml:space="preserve"> </w:t>
      </w:r>
      <w:r>
        <w:tab/>
      </w:r>
      <w:r w:rsidR="00A70EFD">
        <w:t xml:space="preserve"> </w:t>
      </w:r>
      <w:r w:rsidR="00A70EFD">
        <w:tab/>
      </w:r>
      <w:r w:rsidR="00887C68">
        <w:t>T</w:t>
      </w:r>
      <w:r w:rsidR="00816494">
        <w:t>he Washington prece</w:t>
      </w:r>
      <w:r w:rsidR="00DC3045">
        <w:t>dent</w:t>
      </w:r>
      <w:r w:rsidR="00816494">
        <w:t xml:space="preserve"> cited by PacifiCorp, as applied to the facts of this </w:t>
      </w:r>
      <w:proofErr w:type="gramStart"/>
      <w:r w:rsidR="00816494">
        <w:t>case,</w:t>
      </w:r>
      <w:proofErr w:type="gramEnd"/>
      <w:r w:rsidR="00816494">
        <w:t xml:space="preserve"> lend no support to its Motion to Dismiss</w:t>
      </w:r>
      <w:r w:rsidR="00711B0A">
        <w:t xml:space="preserve">.  </w:t>
      </w:r>
      <w:r w:rsidR="00862858">
        <w:t xml:space="preserve">As PacifiCorp </w:t>
      </w:r>
      <w:r w:rsidR="005428B2">
        <w:t>noted</w:t>
      </w:r>
      <w:r w:rsidR="00862858">
        <w:t xml:space="preserve"> in its Motion to Dismiss, the Com</w:t>
      </w:r>
      <w:r w:rsidR="00862858" w:rsidRPr="001A3BA3">
        <w:t xml:space="preserve">mission </w:t>
      </w:r>
      <w:r w:rsidR="001A3BA3" w:rsidRPr="001A3BA3">
        <w:t xml:space="preserve">held in </w:t>
      </w:r>
      <w:r w:rsidR="001A3BA3" w:rsidRPr="001A3BA3">
        <w:rPr>
          <w:i/>
        </w:rPr>
        <w:t xml:space="preserve">AT&amp;T </w:t>
      </w:r>
      <w:r w:rsidR="001A3BA3">
        <w:rPr>
          <w:i/>
        </w:rPr>
        <w:t xml:space="preserve">Comm. </w:t>
      </w:r>
      <w:r w:rsidR="001A3BA3" w:rsidRPr="001A3BA3">
        <w:rPr>
          <w:i/>
        </w:rPr>
        <w:t xml:space="preserve">v. Verizon </w:t>
      </w:r>
      <w:r w:rsidR="009D032C" w:rsidRPr="001A3BA3">
        <w:t>that</w:t>
      </w:r>
      <w:r w:rsidR="00862858">
        <w:t xml:space="preserve"> </w:t>
      </w:r>
      <w:r w:rsidR="004D411C">
        <w:t xml:space="preserve">a </w:t>
      </w:r>
      <w:r w:rsidR="0099220A">
        <w:t>general rate adjustment in that</w:t>
      </w:r>
      <w:r w:rsidR="00862858">
        <w:t xml:space="preserve"> complaint proceeding</w:t>
      </w:r>
      <w:r w:rsidR="004D411C">
        <w:t xml:space="preserve"> did not constitute single-issue ratemaking</w:t>
      </w:r>
      <w:r w:rsidR="001F089E">
        <w:t>.</w:t>
      </w:r>
      <w:r w:rsidR="00F9251E" w:rsidRPr="0093179B">
        <w:rPr>
          <w:rStyle w:val="FootnoteReference"/>
          <w:u w:val="single"/>
        </w:rPr>
        <w:footnoteReference w:id="74"/>
      </w:r>
      <w:proofErr w:type="gramStart"/>
      <w:r w:rsidR="00F9251E" w:rsidRPr="00363B23">
        <w:rPr>
          <w:sz w:val="20"/>
          <w:szCs w:val="20"/>
          <w:vertAlign w:val="superscript"/>
        </w:rPr>
        <w:t>/</w:t>
      </w:r>
      <w:r w:rsidR="00F9251E">
        <w:t xml:space="preserve">  </w:t>
      </w:r>
      <w:r w:rsidR="009D032C">
        <w:t>PacifiCorp</w:t>
      </w:r>
      <w:proofErr w:type="gramEnd"/>
      <w:r w:rsidR="009D032C">
        <w:t xml:space="preserve"> attempts to distinguish </w:t>
      </w:r>
      <w:r w:rsidR="00D11C6B">
        <w:t>that case</w:t>
      </w:r>
      <w:r w:rsidR="009D032C">
        <w:t xml:space="preserve"> from the </w:t>
      </w:r>
      <w:r w:rsidR="008D4572">
        <w:t>allegations raised in the Joint C</w:t>
      </w:r>
      <w:r w:rsidR="009D032C">
        <w:t>omplaint</w:t>
      </w:r>
      <w:r w:rsidR="008D4572">
        <w:t xml:space="preserve">, </w:t>
      </w:r>
      <w:r w:rsidR="000B5F41">
        <w:t xml:space="preserve">through reference to </w:t>
      </w:r>
      <w:proofErr w:type="spellStart"/>
      <w:r w:rsidR="000B5F41" w:rsidRPr="00DB4C17">
        <w:rPr>
          <w:i/>
        </w:rPr>
        <w:t>McLeodUSA</w:t>
      </w:r>
      <w:proofErr w:type="spellEnd"/>
      <w:r w:rsidR="000B5F41" w:rsidRPr="00DB4C17">
        <w:rPr>
          <w:i/>
        </w:rPr>
        <w:t xml:space="preserve"> v. Qwest</w:t>
      </w:r>
      <w:r w:rsidR="000B5F41">
        <w:t>.</w:t>
      </w:r>
      <w:r w:rsidR="000B5F41" w:rsidRPr="0093179B">
        <w:rPr>
          <w:rStyle w:val="FootnoteReference"/>
          <w:u w:val="single"/>
        </w:rPr>
        <w:footnoteReference w:id="75"/>
      </w:r>
      <w:proofErr w:type="gramStart"/>
      <w:r w:rsidR="000B5F41" w:rsidRPr="00363B23">
        <w:rPr>
          <w:sz w:val="20"/>
          <w:szCs w:val="20"/>
          <w:vertAlign w:val="superscript"/>
        </w:rPr>
        <w:t>/</w:t>
      </w:r>
      <w:r w:rsidR="000B5F41">
        <w:t xml:space="preserve">  In</w:t>
      </w:r>
      <w:proofErr w:type="gramEnd"/>
      <w:r w:rsidR="000B5F41">
        <w:t xml:space="preserve"> </w:t>
      </w:r>
      <w:proofErr w:type="spellStart"/>
      <w:r w:rsidR="00DB4C17" w:rsidRPr="00DB4C17">
        <w:rPr>
          <w:i/>
        </w:rPr>
        <w:t>McLeodUSA</w:t>
      </w:r>
      <w:proofErr w:type="spellEnd"/>
      <w:r w:rsidR="00DB4C17" w:rsidRPr="00DB4C17">
        <w:rPr>
          <w:i/>
        </w:rPr>
        <w:t xml:space="preserve"> v. Qwest</w:t>
      </w:r>
      <w:r w:rsidR="00DB4C17">
        <w:t>,</w:t>
      </w:r>
      <w:r w:rsidR="009D032C" w:rsidRPr="00DB4C17">
        <w:t xml:space="preserve"> </w:t>
      </w:r>
      <w:r w:rsidR="009D032C">
        <w:t xml:space="preserve">the </w:t>
      </w:r>
      <w:r w:rsidR="000B5F41">
        <w:t xml:space="preserve">Commission explained that the </w:t>
      </w:r>
      <w:r w:rsidR="009D032C">
        <w:t>departure from the usual caution against single-issue ratemaking</w:t>
      </w:r>
      <w:r w:rsidR="00314707">
        <w:t xml:space="preserve"> </w:t>
      </w:r>
      <w:r w:rsidR="002D36D7">
        <w:t xml:space="preserve">in </w:t>
      </w:r>
      <w:r w:rsidR="002D36D7" w:rsidRPr="001A3BA3">
        <w:rPr>
          <w:i/>
        </w:rPr>
        <w:t xml:space="preserve">AT&amp;T </w:t>
      </w:r>
      <w:r w:rsidR="002D36D7">
        <w:rPr>
          <w:i/>
        </w:rPr>
        <w:t xml:space="preserve">Comm. </w:t>
      </w:r>
      <w:r w:rsidR="002D36D7" w:rsidRPr="001A3BA3">
        <w:rPr>
          <w:i/>
        </w:rPr>
        <w:t xml:space="preserve">v. Verizon </w:t>
      </w:r>
      <w:r w:rsidR="00314707">
        <w:t>was predicated on the consideration of a voluminous record, and because Verizon acknowledged that its rates were too high.</w:t>
      </w:r>
      <w:r w:rsidR="00845B4F" w:rsidRPr="0093179B">
        <w:rPr>
          <w:rStyle w:val="FootnoteReference"/>
          <w:u w:val="single"/>
        </w:rPr>
        <w:footnoteReference w:id="76"/>
      </w:r>
      <w:r w:rsidR="00845B4F" w:rsidRPr="00363B23">
        <w:rPr>
          <w:sz w:val="20"/>
          <w:szCs w:val="20"/>
          <w:vertAlign w:val="superscript"/>
        </w:rPr>
        <w:t>/</w:t>
      </w:r>
      <w:r w:rsidR="008D4572" w:rsidRPr="00364C61">
        <w:t xml:space="preserve">  </w:t>
      </w:r>
    </w:p>
    <w:p w:rsidR="008175F7" w:rsidRDefault="004D382D" w:rsidP="00260E99">
      <w:pPr>
        <w:pStyle w:val="Responsebody"/>
      </w:pPr>
      <w:r w:rsidRPr="00A72C0A">
        <w:t xml:space="preserve"> </w:t>
      </w:r>
      <w:r w:rsidRPr="00A72C0A">
        <w:tab/>
        <w:t xml:space="preserve"> </w:t>
      </w:r>
      <w:r w:rsidRPr="00A72C0A">
        <w:tab/>
      </w:r>
      <w:r w:rsidR="002D36D7">
        <w:t xml:space="preserve">Contrary to PacifiCorp’s assertions, </w:t>
      </w:r>
      <w:r w:rsidR="002D36D7" w:rsidRPr="001A3BA3">
        <w:rPr>
          <w:i/>
        </w:rPr>
        <w:t xml:space="preserve">AT&amp;T </w:t>
      </w:r>
      <w:r w:rsidR="002D36D7">
        <w:rPr>
          <w:i/>
        </w:rPr>
        <w:t xml:space="preserve">Comm. </w:t>
      </w:r>
      <w:r w:rsidR="002D36D7" w:rsidRPr="001A3BA3">
        <w:rPr>
          <w:i/>
        </w:rPr>
        <w:t>v. Verizon</w:t>
      </w:r>
      <w:r w:rsidRPr="00A72C0A">
        <w:t xml:space="preserve"> </w:t>
      </w:r>
      <w:r w:rsidR="00856B85">
        <w:t>i</w:t>
      </w:r>
      <w:r w:rsidR="002D36D7">
        <w:t xml:space="preserve">s analogous to the </w:t>
      </w:r>
      <w:r w:rsidR="00342EE4">
        <w:lastRenderedPageBreak/>
        <w:t>facts alleged in the Joint Complaint</w:t>
      </w:r>
      <w:r w:rsidR="00E85EA4">
        <w:t>.</w:t>
      </w:r>
      <w:r w:rsidR="00342EE4">
        <w:t xml:space="preserve"> </w:t>
      </w:r>
      <w:r w:rsidR="00E85EA4">
        <w:t xml:space="preserve"> </w:t>
      </w:r>
      <w:r w:rsidR="007811F1">
        <w:t xml:space="preserve">PacifiCorp points out that the result in the </w:t>
      </w:r>
      <w:r w:rsidR="007811F1" w:rsidRPr="001A3BA3">
        <w:rPr>
          <w:i/>
        </w:rPr>
        <w:t xml:space="preserve">AT&amp;T </w:t>
      </w:r>
      <w:r w:rsidR="007811F1">
        <w:rPr>
          <w:i/>
        </w:rPr>
        <w:t xml:space="preserve">Comm. </w:t>
      </w:r>
      <w:r w:rsidR="007811F1" w:rsidRPr="001A3BA3">
        <w:rPr>
          <w:i/>
        </w:rPr>
        <w:t>v. Verizon</w:t>
      </w:r>
      <w:r w:rsidR="007811F1">
        <w:t xml:space="preserve"> case was achieved </w:t>
      </w:r>
      <w:r w:rsidR="00955551">
        <w:t>upon</w:t>
      </w:r>
      <w:r w:rsidR="007811F1">
        <w:t xml:space="preserve"> the consideration of voluminous evidence.  Similarly, upon conducting discovery in this case, ICNU and Public Counsel </w:t>
      </w:r>
      <w:r w:rsidR="001E5EB5">
        <w:t>intend to</w:t>
      </w:r>
      <w:r w:rsidR="007811F1">
        <w:t xml:space="preserve"> provide the Commission with a full record to support the allegations raised in the Joint Complaint</w:t>
      </w:r>
      <w:r w:rsidR="008E6BB0">
        <w:t>, and t</w:t>
      </w:r>
      <w:r w:rsidR="00A948C2">
        <w:t>hus</w:t>
      </w:r>
      <w:r w:rsidR="00380EE2">
        <w:t>,</w:t>
      </w:r>
      <w:r w:rsidR="00A948C2">
        <w:t xml:space="preserve"> the Motion to Dismiss should not be granted because </w:t>
      </w:r>
      <w:r w:rsidR="0053219E">
        <w:t>the record does not</w:t>
      </w:r>
      <w:r w:rsidR="00A948C2">
        <w:t xml:space="preserve"> yet</w:t>
      </w:r>
      <w:r w:rsidR="0053219E">
        <w:t xml:space="preserve"> contain</w:t>
      </w:r>
      <w:r w:rsidR="00A948C2">
        <w:t xml:space="preserve"> “voluminous evidence</w:t>
      </w:r>
      <w:r w:rsidR="007811F1">
        <w:t>.</w:t>
      </w:r>
      <w:r w:rsidR="00A948C2">
        <w:t>”</w:t>
      </w:r>
      <w:r w:rsidR="007811F1">
        <w:t xml:space="preserve">  Further, a</w:t>
      </w:r>
      <w:r>
        <w:t xml:space="preserve">s in </w:t>
      </w:r>
      <w:r w:rsidR="002D36D7" w:rsidRPr="00342EE4">
        <w:rPr>
          <w:i/>
        </w:rPr>
        <w:t>AT&amp;T Comm. v. Verizon</w:t>
      </w:r>
      <w:r w:rsidR="00342EE4">
        <w:t xml:space="preserve">, </w:t>
      </w:r>
      <w:r w:rsidR="00380EE2">
        <w:t xml:space="preserve">as </w:t>
      </w:r>
      <w:r w:rsidR="00A862AD">
        <w:t xml:space="preserve">Verizon acknowledged that its rates were too high, </w:t>
      </w:r>
      <w:r>
        <w:t xml:space="preserve">PacifiCorp has acknowledged that </w:t>
      </w:r>
      <w:r w:rsidR="00A862AD">
        <w:t xml:space="preserve">it </w:t>
      </w:r>
      <w:r>
        <w:t xml:space="preserve">earned REC revenues in 2010 that were far in excess of the </w:t>
      </w:r>
      <w:r w:rsidR="00856B85">
        <w:t xml:space="preserve">REC revenues accounted for in </w:t>
      </w:r>
      <w:r w:rsidR="00217B4B">
        <w:t xml:space="preserve">rates by the settlement of </w:t>
      </w:r>
      <w:r w:rsidR="00856B85">
        <w:t xml:space="preserve">the </w:t>
      </w:r>
      <w:r w:rsidRPr="00342EE4">
        <w:rPr>
          <w:i/>
        </w:rPr>
        <w:t>2009 GRC.</w:t>
      </w:r>
      <w:r w:rsidRPr="0093179B">
        <w:rPr>
          <w:rStyle w:val="FootnoteReference"/>
          <w:u w:val="single"/>
        </w:rPr>
        <w:footnoteReference w:id="77"/>
      </w:r>
      <w:proofErr w:type="gramStart"/>
      <w:r w:rsidRPr="00342EE4">
        <w:rPr>
          <w:sz w:val="20"/>
          <w:szCs w:val="20"/>
          <w:vertAlign w:val="superscript"/>
        </w:rPr>
        <w:t>/</w:t>
      </w:r>
      <w:r>
        <w:t xml:space="preserve"> </w:t>
      </w:r>
      <w:r w:rsidR="009F648E">
        <w:t xml:space="preserve"> </w:t>
      </w:r>
      <w:r w:rsidR="00476679">
        <w:t>Through</w:t>
      </w:r>
      <w:proofErr w:type="gramEnd"/>
      <w:r w:rsidR="00476679">
        <w:t xml:space="preserve"> this admission, PacifiCorp effectively </w:t>
      </w:r>
      <w:r w:rsidR="007244D6">
        <w:t>acknowledges</w:t>
      </w:r>
      <w:r w:rsidR="00476679">
        <w:t xml:space="preserve"> that the rates </w:t>
      </w:r>
      <w:r w:rsidR="00AA2184">
        <w:t>resulting from</w:t>
      </w:r>
      <w:r w:rsidR="00476679">
        <w:t xml:space="preserve"> the settlement of the </w:t>
      </w:r>
      <w:r w:rsidR="00476679" w:rsidRPr="00342EE4">
        <w:rPr>
          <w:i/>
        </w:rPr>
        <w:t xml:space="preserve">2009 GRC </w:t>
      </w:r>
      <w:r w:rsidR="00476679">
        <w:t xml:space="preserve">are excessive because they do not reflect the 2010 REC revenues PacifiCorp knew it would receive.  </w:t>
      </w:r>
    </w:p>
    <w:p w:rsidR="007B4D40" w:rsidRDefault="007B4D40" w:rsidP="00260E99">
      <w:pPr>
        <w:pStyle w:val="Responsebody"/>
      </w:pPr>
      <w:r>
        <w:t xml:space="preserve"> </w:t>
      </w:r>
      <w:r>
        <w:tab/>
        <w:t xml:space="preserve"> </w:t>
      </w:r>
      <w:r>
        <w:tab/>
        <w:t>Although disfavored, the Commission routinely makes exceptions to the general rule against single-issue ratemaking, as in the case of the Power Cost Only Rate Case Mechanism (“PCORC”).</w:t>
      </w:r>
      <w:r w:rsidRPr="0093179B">
        <w:rPr>
          <w:rStyle w:val="FootnoteReference"/>
          <w:u w:val="single"/>
        </w:rPr>
        <w:footnoteReference w:id="78"/>
      </w:r>
      <w:proofErr w:type="gramStart"/>
      <w:r w:rsidRPr="00363B23">
        <w:rPr>
          <w:sz w:val="20"/>
          <w:szCs w:val="20"/>
          <w:vertAlign w:val="superscript"/>
        </w:rPr>
        <w:t>/</w:t>
      </w:r>
      <w:r>
        <w:t xml:space="preserve">  </w:t>
      </w:r>
      <w:r w:rsidR="00942032">
        <w:t>Thus</w:t>
      </w:r>
      <w:proofErr w:type="gramEnd"/>
      <w:r w:rsidR="00942032">
        <w:t>, a</w:t>
      </w:r>
      <w:r>
        <w:t xml:space="preserve">n exception to the general caution against single-issue ratemaking is appropriate in </w:t>
      </w:r>
      <w:r w:rsidR="00380EE2">
        <w:t>certain</w:t>
      </w:r>
      <w:r>
        <w:t xml:space="preserve"> circumstances.  </w:t>
      </w:r>
      <w:r w:rsidR="00942032">
        <w:t xml:space="preserve">The Commission should consider </w:t>
      </w:r>
      <w:r w:rsidR="00C9317E">
        <w:t>PacifiCorp’s</w:t>
      </w:r>
      <w:r w:rsidR="00942032">
        <w:t xml:space="preserve"> wrongful concealment of material facts through discovery abuses to be such an unusual circumstance.  </w:t>
      </w:r>
      <w:r>
        <w:t>Of particular relevance to the Joint Complaint, the Commission has found that the establishment of a regulatory liability account for RECs was appropriate in the Puget Sound Energy, Inc. (“PSE”) REC case.</w:t>
      </w:r>
      <w:r w:rsidRPr="0093179B">
        <w:rPr>
          <w:rStyle w:val="FootnoteReference"/>
          <w:u w:val="single"/>
        </w:rPr>
        <w:footnoteReference w:id="79"/>
      </w:r>
      <w:r w:rsidRPr="00363B23">
        <w:rPr>
          <w:sz w:val="20"/>
          <w:szCs w:val="20"/>
          <w:vertAlign w:val="superscript"/>
        </w:rPr>
        <w:t>/</w:t>
      </w:r>
      <w:r>
        <w:t xml:space="preserve">  The Commission may, </w:t>
      </w:r>
      <w:r w:rsidR="009A4664">
        <w:t>consistent with the policy determination articulated in the</w:t>
      </w:r>
      <w:r>
        <w:t xml:space="preserve"> PSE REC case, establish an accounting mechanism to accurately </w:t>
      </w:r>
      <w:r>
        <w:lastRenderedPageBreak/>
        <w:t>credit the customers with the actual REC revenues PacifiCorp wrongfully retained.</w:t>
      </w:r>
      <w:r w:rsidR="009A4664" w:rsidRPr="0093179B">
        <w:rPr>
          <w:rStyle w:val="FootnoteReference"/>
          <w:u w:val="single"/>
        </w:rPr>
        <w:footnoteReference w:id="80"/>
      </w:r>
      <w:r w:rsidR="009A4664" w:rsidRPr="00363B23">
        <w:rPr>
          <w:sz w:val="20"/>
          <w:szCs w:val="20"/>
          <w:vertAlign w:val="superscript"/>
        </w:rPr>
        <w:t>/</w:t>
      </w:r>
    </w:p>
    <w:p w:rsidR="009509C1" w:rsidRPr="00260E99" w:rsidRDefault="001030DF" w:rsidP="009509C1">
      <w:pPr>
        <w:pStyle w:val="ListParagraph"/>
        <w:widowControl/>
        <w:numPr>
          <w:ilvl w:val="0"/>
          <w:numId w:val="8"/>
        </w:numPr>
        <w:spacing w:before="240" w:line="240" w:lineRule="auto"/>
        <w:ind w:left="1440" w:hanging="720"/>
        <w:rPr>
          <w:b/>
        </w:rPr>
      </w:pPr>
      <w:r w:rsidRPr="00260E99">
        <w:rPr>
          <w:b/>
        </w:rPr>
        <w:t xml:space="preserve">PacifiCorp Violated Commission Rules for Failure to Support its </w:t>
      </w:r>
      <w:r w:rsidR="00C74B0D" w:rsidRPr="00260E99">
        <w:rPr>
          <w:b/>
        </w:rPr>
        <w:t>Pro Forma Adjustment and Failure to Correct the Record</w:t>
      </w:r>
    </w:p>
    <w:p w:rsidR="009509C1" w:rsidRDefault="009509C1" w:rsidP="00260E99">
      <w:pPr>
        <w:pStyle w:val="Responsebody"/>
      </w:pPr>
      <w:r>
        <w:t xml:space="preserve"> </w:t>
      </w:r>
      <w:r>
        <w:tab/>
        <w:t xml:space="preserve"> </w:t>
      </w:r>
      <w:r>
        <w:tab/>
      </w:r>
      <w:r w:rsidR="00EB780B">
        <w:t>In the Joint Complaint, ICNU and Public Counsel allege that PacifiCorp is in violation of RCW 34.05.452(3) (testimony under oath), RCW 80.04.130</w:t>
      </w:r>
      <w:r w:rsidR="009918CC">
        <w:t>(4)</w:t>
      </w:r>
      <w:r w:rsidR="00EB780B">
        <w:t xml:space="preserve"> (burden of proof) and WAC 480-07-540 (burden of proof) with regard to the pro forma adjustment for RECs that was ultimately included in the settlement.  </w:t>
      </w:r>
      <w:r>
        <w:t xml:space="preserve">PacifiCorp </w:t>
      </w:r>
      <w:r w:rsidR="00F119B9">
        <w:t>maintains</w:t>
      </w:r>
      <w:r w:rsidR="00EB780B">
        <w:t xml:space="preserve"> that these </w:t>
      </w:r>
      <w:r w:rsidR="00F119B9">
        <w:t>allegations</w:t>
      </w:r>
      <w:r w:rsidR="00EB780B">
        <w:t xml:space="preserve"> fail</w:t>
      </w:r>
      <w:r w:rsidR="0017356A">
        <w:t xml:space="preserve"> to state a claim </w:t>
      </w:r>
      <w:r w:rsidR="00545451">
        <w:t>because</w:t>
      </w:r>
      <w:r w:rsidR="0017356A">
        <w:t xml:space="preserve">: </w:t>
      </w:r>
      <w:r w:rsidR="00545451">
        <w:t xml:space="preserve"> (1) </w:t>
      </w:r>
      <w:r w:rsidR="00F910B3">
        <w:t>the California Contracts were “contingent</w:t>
      </w:r>
      <w:r w:rsidR="001E4216">
        <w:t>;</w:t>
      </w:r>
      <w:r w:rsidR="00F910B3">
        <w:t>”</w:t>
      </w:r>
      <w:r w:rsidR="00B1640B">
        <w:t xml:space="preserve"> </w:t>
      </w:r>
      <w:r w:rsidR="00545451">
        <w:t xml:space="preserve">(2) </w:t>
      </w:r>
      <w:r w:rsidR="0017356A">
        <w:t>the claim is time-barred;</w:t>
      </w:r>
      <w:r w:rsidR="00545451">
        <w:t xml:space="preserve"> and (3)</w:t>
      </w:r>
      <w:r w:rsidR="00B1640B">
        <w:t xml:space="preserve"> the violations of law alleged constitute a “procedural deficiency.”  </w:t>
      </w:r>
      <w:r w:rsidR="00545451">
        <w:t xml:space="preserve"> </w:t>
      </w:r>
      <w:r w:rsidR="003F5AE2">
        <w:t>PacifiCorp is wrong on all accounts.</w:t>
      </w:r>
    </w:p>
    <w:p w:rsidR="00D57E46" w:rsidRDefault="00983CBD" w:rsidP="00D57E46">
      <w:pPr>
        <w:pStyle w:val="WUTCParagraph"/>
        <w:keepNext/>
        <w:keepLines/>
        <w:numPr>
          <w:ilvl w:val="0"/>
          <w:numId w:val="0"/>
        </w:numPr>
        <w:spacing w:before="240" w:line="240" w:lineRule="auto"/>
        <w:ind w:left="2160" w:hanging="720"/>
        <w:rPr>
          <w:u w:val="single"/>
        </w:rPr>
      </w:pPr>
      <w:r w:rsidRPr="00260E99">
        <w:rPr>
          <w:b/>
        </w:rPr>
        <w:t xml:space="preserve">1.  </w:t>
      </w:r>
      <w:r w:rsidRPr="00260E99">
        <w:rPr>
          <w:b/>
        </w:rPr>
        <w:tab/>
      </w:r>
      <w:r w:rsidR="00A84F78" w:rsidRPr="00260E99">
        <w:rPr>
          <w:b/>
        </w:rPr>
        <w:t>PacifiCorp’s Failure to Include “Contingent” California Contracts in Pro Forma Adjustment to REC Price Was Unreasonable</w:t>
      </w:r>
    </w:p>
    <w:p w:rsidR="00716F2A" w:rsidRDefault="00716F2A" w:rsidP="00260E99">
      <w:pPr>
        <w:pStyle w:val="Responsebody"/>
      </w:pPr>
      <w:r>
        <w:tab/>
        <w:t xml:space="preserve"> </w:t>
      </w:r>
      <w:r>
        <w:tab/>
        <w:t>PacifiCorp claims its failure to include the California Contracts in its pro forma adjustment</w:t>
      </w:r>
      <w:r w:rsidR="00A549B7">
        <w:t>,</w:t>
      </w:r>
      <w:r w:rsidR="00B13C20">
        <w:t xml:space="preserve"> or to provide the contracts in discovery when requested</w:t>
      </w:r>
      <w:r w:rsidR="00A549B7">
        <w:t>,</w:t>
      </w:r>
      <w:r w:rsidR="00B13C20">
        <w:t xml:space="preserve"> </w:t>
      </w:r>
      <w:r>
        <w:t xml:space="preserve">was justified because the contracts were “contingent,” </w:t>
      </w:r>
      <w:r w:rsidRPr="0005137E">
        <w:rPr>
          <w:i/>
        </w:rPr>
        <w:t>i.e.</w:t>
      </w:r>
      <w:r>
        <w:t>, they had not yet been approved by the California Public Utility Commission (“CPUC”) and therefore were not “known.”</w:t>
      </w:r>
      <w:r w:rsidRPr="0093179B">
        <w:rPr>
          <w:rStyle w:val="FootnoteReference"/>
          <w:u w:val="single"/>
        </w:rPr>
        <w:footnoteReference w:id="81"/>
      </w:r>
      <w:proofErr w:type="gramStart"/>
      <w:r w:rsidRPr="00363B23">
        <w:rPr>
          <w:sz w:val="20"/>
          <w:szCs w:val="20"/>
          <w:vertAlign w:val="superscript"/>
        </w:rPr>
        <w:t>/</w:t>
      </w:r>
      <w:r>
        <w:t xml:space="preserve">  </w:t>
      </w:r>
      <w:r w:rsidR="00380EE2">
        <w:t>These</w:t>
      </w:r>
      <w:proofErr w:type="gramEnd"/>
      <w:r w:rsidR="00380EE2">
        <w:t xml:space="preserve"> contracts were not contingent.  </w:t>
      </w:r>
      <w:r>
        <w:t xml:space="preserve">PacifiCorp grossly overstates the </w:t>
      </w:r>
      <w:r w:rsidR="00380EE2">
        <w:t>“</w:t>
      </w:r>
      <w:r>
        <w:t>contingent</w:t>
      </w:r>
      <w:r w:rsidR="00380EE2">
        <w:t>”</w:t>
      </w:r>
      <w:r>
        <w:t xml:space="preserve"> nature of these contracts by mischaracterizing REC contract approval data </w:t>
      </w:r>
      <w:r w:rsidR="00B13C20">
        <w:t>from</w:t>
      </w:r>
      <w:r>
        <w:t xml:space="preserve"> the CPUC.  </w:t>
      </w:r>
      <w:r w:rsidR="00F25680">
        <w:t>Indeed</w:t>
      </w:r>
      <w:r>
        <w:t>, PacifiCorp provides no reason as to why</w:t>
      </w:r>
      <w:r w:rsidR="00F25680">
        <w:t xml:space="preserve"> it could have believed that the CPUC would not approve the </w:t>
      </w:r>
      <w:r w:rsidR="00FB4606">
        <w:t>California Contracts</w:t>
      </w:r>
      <w:r w:rsidR="00F25680">
        <w:t xml:space="preserve">.  </w:t>
      </w:r>
      <w:r w:rsidR="00DA5B39">
        <w:t xml:space="preserve">Finally, PacifiCorp fails to explain why </w:t>
      </w:r>
      <w:r w:rsidR="00FB4606">
        <w:t>it did not provide the</w:t>
      </w:r>
      <w:r w:rsidR="00DA5B39">
        <w:t xml:space="preserve"> </w:t>
      </w:r>
      <w:r>
        <w:t xml:space="preserve">California Contracts </w:t>
      </w:r>
      <w:r w:rsidR="00DA5B39">
        <w:t xml:space="preserve">in discovery with the explanation that the Company considered them </w:t>
      </w:r>
      <w:r w:rsidR="00AC2329">
        <w:t>“contingent.”</w:t>
      </w:r>
      <w:r w:rsidR="00DA5B39">
        <w:t xml:space="preserve"> </w:t>
      </w:r>
      <w:r w:rsidR="00AC2329">
        <w:t xml:space="preserve"> </w:t>
      </w:r>
      <w:r w:rsidR="00E4379E">
        <w:t xml:space="preserve">This, of course, is a classic question of fact.  ICNU and Public Counsel should be given the opportunity to show how </w:t>
      </w:r>
      <w:r w:rsidR="00E4379E">
        <w:lastRenderedPageBreak/>
        <w:t>PacifiCorp treated these contracts differently than other “contingent” costs.</w:t>
      </w:r>
    </w:p>
    <w:p w:rsidR="00716F2A" w:rsidRDefault="00716F2A" w:rsidP="00260E99">
      <w:pPr>
        <w:pStyle w:val="Responsebody"/>
      </w:pPr>
      <w:r>
        <w:t xml:space="preserve"> </w:t>
      </w:r>
      <w:r>
        <w:tab/>
        <w:t xml:space="preserve"> </w:t>
      </w:r>
      <w:r>
        <w:tab/>
        <w:t>PacifiCorp exaggerates the uncertainty of CPUC approval, claiming that more than “thirty contracts filed for approval around the same time of the California Contracts are currently pending consideration and approval by the CPUC.”</w:t>
      </w:r>
      <w:r w:rsidRPr="0093179B">
        <w:rPr>
          <w:rStyle w:val="FootnoteReference"/>
          <w:u w:val="single"/>
        </w:rPr>
        <w:footnoteReference w:id="82"/>
      </w:r>
      <w:proofErr w:type="gramStart"/>
      <w:r w:rsidRPr="00363B23">
        <w:rPr>
          <w:sz w:val="20"/>
          <w:szCs w:val="20"/>
          <w:vertAlign w:val="superscript"/>
        </w:rPr>
        <w:t>/</w:t>
      </w:r>
      <w:r>
        <w:t xml:space="preserve">  Review</w:t>
      </w:r>
      <w:proofErr w:type="gramEnd"/>
      <w:r>
        <w:t xml:space="preserve"> of the spreadsheet</w:t>
      </w:r>
      <w:r w:rsidR="001E41EB">
        <w:t>s</w:t>
      </w:r>
      <w:r w:rsidR="00BF32FA">
        <w:t xml:space="preserve"> </w:t>
      </w:r>
      <w:r>
        <w:t>which PacifiCorp presumably</w:t>
      </w:r>
      <w:r w:rsidR="00BF32FA" w:rsidRPr="0093179B">
        <w:rPr>
          <w:rStyle w:val="FootnoteReference"/>
          <w:u w:val="single"/>
        </w:rPr>
        <w:footnoteReference w:id="83"/>
      </w:r>
      <w:r w:rsidR="00BF32FA" w:rsidRPr="009D3710">
        <w:rPr>
          <w:sz w:val="20"/>
          <w:szCs w:val="20"/>
          <w:vertAlign w:val="superscript"/>
        </w:rPr>
        <w:t>/</w:t>
      </w:r>
      <w:r w:rsidR="00BF32FA">
        <w:t xml:space="preserve"> </w:t>
      </w:r>
      <w:r>
        <w:t>re</w:t>
      </w:r>
      <w:r w:rsidR="00BF32FA">
        <w:t xml:space="preserve">lies upon to make this statement </w:t>
      </w:r>
      <w:r>
        <w:t xml:space="preserve">indicates that </w:t>
      </w:r>
      <w:r w:rsidR="00696A3D">
        <w:t>there were not in fact thirty contracts filed</w:t>
      </w:r>
      <w:r>
        <w:t xml:space="preserve"> “around the same time” </w:t>
      </w:r>
      <w:r w:rsidR="00696A3D">
        <w:t xml:space="preserve">that are still pending CPUC approval.  </w:t>
      </w:r>
      <w:r>
        <w:t>When viewing the data available prior to approval of the California Contracts, the CPUC spreadsheets show that</w:t>
      </w:r>
      <w:r w:rsidR="007B4FD9">
        <w:t>,</w:t>
      </w:r>
      <w:r>
        <w:t xml:space="preserve"> in fact</w:t>
      </w:r>
      <w:r w:rsidR="007B4FD9">
        <w:t>,</w:t>
      </w:r>
      <w:r>
        <w:t xml:space="preserve"> there </w:t>
      </w:r>
      <w:r w:rsidR="00B072A3">
        <w:t>were</w:t>
      </w:r>
      <w:r>
        <w:t xml:space="preserve"> only four contracts filed “around the same time” as the California Contracts that have not yet been approved by the CPUC.</w:t>
      </w:r>
      <w:r w:rsidRPr="0093179B">
        <w:rPr>
          <w:rStyle w:val="FootnoteReference"/>
          <w:u w:val="single"/>
        </w:rPr>
        <w:footnoteReference w:id="84"/>
      </w:r>
      <w:proofErr w:type="gramStart"/>
      <w:r w:rsidRPr="004B5516">
        <w:rPr>
          <w:sz w:val="20"/>
          <w:szCs w:val="20"/>
          <w:vertAlign w:val="superscript"/>
        </w:rPr>
        <w:t>/</w:t>
      </w:r>
      <w:r>
        <w:t xml:space="preserve">  </w:t>
      </w:r>
      <w:r w:rsidR="001509E5">
        <w:t>Moreover</w:t>
      </w:r>
      <w:proofErr w:type="gramEnd"/>
      <w:r w:rsidR="001509E5">
        <w:t>, not a single one of th</w:t>
      </w:r>
      <w:r>
        <w:t xml:space="preserve">ese four contracts </w:t>
      </w:r>
      <w:r w:rsidR="008E6BB6">
        <w:t>is</w:t>
      </w:r>
      <w:r>
        <w:t xml:space="preserve"> comparable to the California Contracts.</w:t>
      </w:r>
      <w:r w:rsidRPr="0093179B">
        <w:rPr>
          <w:rStyle w:val="FootnoteReference"/>
          <w:u w:val="single"/>
        </w:rPr>
        <w:footnoteReference w:id="85"/>
      </w:r>
      <w:r w:rsidRPr="004B5516">
        <w:rPr>
          <w:sz w:val="20"/>
          <w:szCs w:val="20"/>
          <w:vertAlign w:val="superscript"/>
        </w:rPr>
        <w:t>/</w:t>
      </w:r>
      <w:r>
        <w:t xml:space="preserve">  </w:t>
      </w:r>
      <w:r w:rsidR="00E16CF9">
        <w:t xml:space="preserve">Thus, it appears from the information presented by </w:t>
      </w:r>
      <w:r>
        <w:t xml:space="preserve">PacifiCorp </w:t>
      </w:r>
      <w:r w:rsidR="00E16CF9">
        <w:t xml:space="preserve">that there were in fact </w:t>
      </w:r>
      <w:r w:rsidR="00E16CF9">
        <w:rPr>
          <w:i/>
        </w:rPr>
        <w:t xml:space="preserve">no </w:t>
      </w:r>
      <w:r>
        <w:t xml:space="preserve">REC contracts </w:t>
      </w:r>
      <w:r w:rsidR="00F301D6">
        <w:t xml:space="preserve">still pending CPUC approval </w:t>
      </w:r>
      <w:r w:rsidR="00F301D6">
        <w:lastRenderedPageBreak/>
        <w:t xml:space="preserve">that are </w:t>
      </w:r>
      <w:r>
        <w:t xml:space="preserve">comparable to </w:t>
      </w:r>
      <w:r w:rsidR="00F301D6">
        <w:t xml:space="preserve">and filed around the same time as </w:t>
      </w:r>
      <w:r>
        <w:t xml:space="preserve">the California Contracts.  </w:t>
      </w:r>
    </w:p>
    <w:p w:rsidR="00716F2A" w:rsidRDefault="00716F2A" w:rsidP="00260E99">
      <w:pPr>
        <w:pStyle w:val="Responsebody"/>
      </w:pPr>
      <w:r>
        <w:t xml:space="preserve"> </w:t>
      </w:r>
      <w:r>
        <w:tab/>
        <w:t xml:space="preserve"> </w:t>
      </w:r>
      <w:r>
        <w:tab/>
        <w:t>PacifiCorp additionally maintains that “[</w:t>
      </w:r>
      <w:proofErr w:type="spellStart"/>
      <w:r>
        <w:t>i</w:t>
      </w:r>
      <w:proofErr w:type="spellEnd"/>
      <w:r>
        <w:t>]n some instances, the CPUC has delayed approval of REC-related contracts for more than two years; in at least one case, the CPUC denied approval.”</w:t>
      </w:r>
      <w:r w:rsidRPr="0093179B">
        <w:rPr>
          <w:rStyle w:val="FootnoteReference"/>
          <w:u w:val="single"/>
        </w:rPr>
        <w:footnoteReference w:id="86"/>
      </w:r>
      <w:proofErr w:type="gramStart"/>
      <w:r w:rsidRPr="00363B23">
        <w:rPr>
          <w:sz w:val="20"/>
          <w:szCs w:val="20"/>
          <w:vertAlign w:val="superscript"/>
        </w:rPr>
        <w:t>/</w:t>
      </w:r>
      <w:r>
        <w:t xml:space="preserve">  This</w:t>
      </w:r>
      <w:proofErr w:type="gramEnd"/>
      <w:r>
        <w:t xml:space="preserve"> statement is, again, </w:t>
      </w:r>
      <w:r w:rsidR="00A549B7">
        <w:t>completely</w:t>
      </w:r>
      <w:r>
        <w:t xml:space="preserve"> misleading.  At the time that PacifiCorp </w:t>
      </w:r>
      <w:r w:rsidR="002D73D3">
        <w:t xml:space="preserve">filed the </w:t>
      </w:r>
      <w:r>
        <w:t>California Contracts</w:t>
      </w:r>
      <w:r w:rsidR="00AB5025">
        <w:t xml:space="preserve"> for approval by</w:t>
      </w:r>
      <w:r w:rsidR="002D73D3">
        <w:t xml:space="preserve"> the CPUC</w:t>
      </w:r>
      <w:r>
        <w:t>, there were very few examples of delays or denials for REC contracts.  The few examples of delays or denials of CPUC approval were limited to contracts involving</w:t>
      </w:r>
      <w:r w:rsidR="00607B81">
        <w:t>:</w:t>
      </w:r>
      <w:r>
        <w:t xml:space="preserve"> </w:t>
      </w:r>
      <w:r w:rsidR="00AC2329">
        <w:t xml:space="preserve"> </w:t>
      </w:r>
      <w:r w:rsidR="0076746F">
        <w:t>(</w:t>
      </w:r>
      <w:r w:rsidR="00A272E2">
        <w:t xml:space="preserve">1) </w:t>
      </w:r>
      <w:r w:rsidR="00F478DD">
        <w:t xml:space="preserve">failure to include standard terms and conditions required by CPUC rules; </w:t>
      </w:r>
      <w:r w:rsidR="0076746F">
        <w:t>(</w:t>
      </w:r>
      <w:r w:rsidR="00A272E2">
        <w:t xml:space="preserve">2) </w:t>
      </w:r>
      <w:r>
        <w:t xml:space="preserve">new resource acquisitions that </w:t>
      </w:r>
      <w:r w:rsidR="00CA61D0">
        <w:t>would</w:t>
      </w:r>
      <w:r>
        <w:t xml:space="preserve"> not come onl</w:t>
      </w:r>
      <w:r w:rsidR="00607B81">
        <w:t>ine until well into the future;</w:t>
      </w:r>
      <w:r w:rsidR="00A272E2">
        <w:t xml:space="preserve"> </w:t>
      </w:r>
      <w:r w:rsidR="0076746F">
        <w:t>(</w:t>
      </w:r>
      <w:r w:rsidR="00A272E2">
        <w:t>3)</w:t>
      </w:r>
      <w:r w:rsidR="00607B81">
        <w:t xml:space="preserve"> </w:t>
      </w:r>
      <w:r>
        <w:t xml:space="preserve">resources that were not </w:t>
      </w:r>
      <w:r w:rsidR="00607B81">
        <w:t>yet eligible for RPS compliance;</w:t>
      </w:r>
      <w:r>
        <w:t xml:space="preserve"> or </w:t>
      </w:r>
      <w:r w:rsidR="0076746F">
        <w:t>(</w:t>
      </w:r>
      <w:r w:rsidR="00A272E2">
        <w:t xml:space="preserve">4) </w:t>
      </w:r>
      <w:r>
        <w:t>unviable projects.</w:t>
      </w:r>
      <w:r w:rsidRPr="0093179B">
        <w:rPr>
          <w:rStyle w:val="FootnoteReference"/>
          <w:u w:val="single"/>
        </w:rPr>
        <w:footnoteReference w:id="87"/>
      </w:r>
      <w:proofErr w:type="gramStart"/>
      <w:r w:rsidRPr="00363B23">
        <w:rPr>
          <w:sz w:val="20"/>
          <w:szCs w:val="20"/>
          <w:vertAlign w:val="superscript"/>
        </w:rPr>
        <w:t>/</w:t>
      </w:r>
      <w:r>
        <w:t xml:space="preserve"> </w:t>
      </w:r>
      <w:r w:rsidR="00A272E2">
        <w:t xml:space="preserve"> These</w:t>
      </w:r>
      <w:proofErr w:type="gramEnd"/>
      <w:r w:rsidR="00A272E2">
        <w:t xml:space="preserve"> concerns are not at all relevant to the California Contracts.</w:t>
      </w:r>
    </w:p>
    <w:p w:rsidR="00716F2A" w:rsidRDefault="00716F2A" w:rsidP="00260E99">
      <w:pPr>
        <w:pStyle w:val="Responsebody"/>
      </w:pPr>
      <w:r>
        <w:t xml:space="preserve"> </w:t>
      </w:r>
      <w:r>
        <w:tab/>
        <w:t xml:space="preserve"> </w:t>
      </w:r>
      <w:r>
        <w:tab/>
        <w:t xml:space="preserve">The two California Contracts at issue </w:t>
      </w:r>
      <w:r w:rsidR="00242BF9">
        <w:t>were approved within four month</w:t>
      </w:r>
      <w:r w:rsidR="00AC2329">
        <w:t>s</w:t>
      </w:r>
      <w:r w:rsidR="00242BF9">
        <w:t xml:space="preserve"> of being filed</w:t>
      </w:r>
      <w:r>
        <w:t xml:space="preserve"> with the CPUC.</w:t>
      </w:r>
      <w:r w:rsidRPr="0093179B">
        <w:rPr>
          <w:rStyle w:val="FootnoteReference"/>
          <w:u w:val="single"/>
        </w:rPr>
        <w:footnoteReference w:id="88"/>
      </w:r>
      <w:proofErr w:type="gramStart"/>
      <w:r w:rsidRPr="00363B23">
        <w:rPr>
          <w:sz w:val="20"/>
          <w:szCs w:val="20"/>
          <w:vertAlign w:val="superscript"/>
        </w:rPr>
        <w:t>/</w:t>
      </w:r>
      <w:r>
        <w:t xml:space="preserve">  This</w:t>
      </w:r>
      <w:proofErr w:type="gramEnd"/>
      <w:r>
        <w:t xml:space="preserve"> timeframe is wholly consistent with the average time for CPUC approval of REC contracts at the time</w:t>
      </w:r>
      <w:r w:rsidR="00466F4F">
        <w:t xml:space="preserve"> PacifiCorp filed</w:t>
      </w:r>
      <w:r>
        <w:t xml:space="preserve"> the California Contracts.</w:t>
      </w:r>
      <w:r w:rsidRPr="0093179B">
        <w:rPr>
          <w:rStyle w:val="FootnoteReference"/>
          <w:u w:val="single"/>
        </w:rPr>
        <w:footnoteReference w:id="89"/>
      </w:r>
      <w:proofErr w:type="gramStart"/>
      <w:r w:rsidRPr="00363B23">
        <w:rPr>
          <w:sz w:val="20"/>
          <w:szCs w:val="20"/>
          <w:vertAlign w:val="superscript"/>
        </w:rPr>
        <w:t>/</w:t>
      </w:r>
      <w:r>
        <w:t xml:space="preserve">  </w:t>
      </w:r>
      <w:r w:rsidR="00EA6914">
        <w:t>Thus</w:t>
      </w:r>
      <w:proofErr w:type="gramEnd"/>
      <w:r w:rsidR="00EA6914">
        <w:t xml:space="preserve">, </w:t>
      </w:r>
      <w:r>
        <w:t xml:space="preserve">PacifiCorp’s claim that uncertainty of CPUC approval </w:t>
      </w:r>
      <w:r w:rsidR="00C676F3">
        <w:t>justifies its</w:t>
      </w:r>
      <w:r>
        <w:t xml:space="preserve"> failure to provide revenue information from the California Contracts </w:t>
      </w:r>
      <w:r w:rsidR="00087F5C">
        <w:t xml:space="preserve">during the </w:t>
      </w:r>
      <w:r w:rsidR="00087F5C">
        <w:rPr>
          <w:i/>
        </w:rPr>
        <w:t xml:space="preserve">2009 GRC </w:t>
      </w:r>
      <w:r>
        <w:t xml:space="preserve">is unpersuasive. </w:t>
      </w:r>
      <w:r w:rsidR="001658E2">
        <w:t xml:space="preserve"> </w:t>
      </w:r>
      <w:r w:rsidR="00AC2329">
        <w:t xml:space="preserve">This appears to </w:t>
      </w:r>
      <w:r w:rsidR="00AC2329">
        <w:lastRenderedPageBreak/>
        <w:t xml:space="preserve">be nothing more than an after-the-fact justification for failure to provide accurate and complete discovery.  </w:t>
      </w:r>
      <w:r w:rsidR="00671BD6">
        <w:t>Furthermore</w:t>
      </w:r>
      <w:r>
        <w:t>, the California Contracts were structured so that performance under the c</w:t>
      </w:r>
      <w:r w:rsidR="00BA7F64">
        <w:t>ontracts would begin in October</w:t>
      </w:r>
      <w:r>
        <w:t xml:space="preserve"> 2009.  PacifiCorp cannot reasonably claim that it expected performance under th</w:t>
      </w:r>
      <w:r w:rsidR="00BA7F64">
        <w:t>e contracts to begin in October</w:t>
      </w:r>
      <w:r>
        <w:t xml:space="preserve"> 2009, prior to the </w:t>
      </w:r>
      <w:r w:rsidRPr="001658E2">
        <w:rPr>
          <w:i/>
        </w:rPr>
        <w:t xml:space="preserve">2009 GRC </w:t>
      </w:r>
      <w:r>
        <w:t xml:space="preserve">evidentiary hearing, while at the same time arguing that approval of the California Contracts was so uncertain that it would be unreasonable to include them in the forecast for 2010 REC revenues.  </w:t>
      </w:r>
    </w:p>
    <w:p w:rsidR="00716F2A" w:rsidRDefault="00716F2A" w:rsidP="00260E99">
      <w:pPr>
        <w:pStyle w:val="Responsebody"/>
      </w:pPr>
      <w:r>
        <w:tab/>
        <w:t xml:space="preserve"> </w:t>
      </w:r>
      <w:r>
        <w:tab/>
        <w:t xml:space="preserve">From the facts currently available, it appears that PacifiCorp determines whether to treat a contract pending regulatory approval as contingent or non-contingent for purposes of disclosure to parties and inclusion in rates </w:t>
      </w:r>
      <w:r w:rsidR="00A95690">
        <w:t xml:space="preserve">not </w:t>
      </w:r>
      <w:r>
        <w:t>based</w:t>
      </w:r>
      <w:r w:rsidR="00CF059B">
        <w:t xml:space="preserve"> on</w:t>
      </w:r>
      <w:r>
        <w:t xml:space="preserve"> </w:t>
      </w:r>
      <w:r w:rsidR="00A95690">
        <w:t>any object</w:t>
      </w:r>
      <w:r w:rsidR="001B0E75">
        <w:t>ive criteria, but instead</w:t>
      </w:r>
      <w:r w:rsidR="00A95690">
        <w:t xml:space="preserve"> based </w:t>
      </w:r>
      <w:r>
        <w:t xml:space="preserve">on whether doing so will benefit the Company and its shareholders.  In its Motion to Dismiss, PacifiCorp has offered </w:t>
      </w:r>
      <w:r w:rsidRPr="00043D55">
        <w:rPr>
          <w:i/>
        </w:rPr>
        <w:t xml:space="preserve">no </w:t>
      </w:r>
      <w:r>
        <w:t xml:space="preserve">evidence that the California Contracts were new to the CPUC, had unusual terms, or other elements that </w:t>
      </w:r>
      <w:r w:rsidR="00AE53DE">
        <w:t>make</w:t>
      </w:r>
      <w:r>
        <w:t xml:space="preserve"> approval</w:t>
      </w:r>
      <w:r w:rsidR="00AE53DE">
        <w:t xml:space="preserve"> uncertain</w:t>
      </w:r>
      <w:r>
        <w:t xml:space="preserve">.  </w:t>
      </w:r>
      <w:r w:rsidR="00C61043">
        <w:t>In fact, a</w:t>
      </w:r>
      <w:r>
        <w:t xml:space="preserve">ll evidence shows that </w:t>
      </w:r>
      <w:r w:rsidR="00C61043">
        <w:t xml:space="preserve">it was highly likely, if not certain, that the CPUC would approve the </w:t>
      </w:r>
      <w:r>
        <w:t xml:space="preserve">California Contracts before rates from the </w:t>
      </w:r>
      <w:r w:rsidRPr="00043D55">
        <w:rPr>
          <w:i/>
        </w:rPr>
        <w:t xml:space="preserve">2009 GRC </w:t>
      </w:r>
      <w:r>
        <w:t xml:space="preserve">would go into effect. </w:t>
      </w:r>
      <w:r w:rsidR="001658E2">
        <w:t xml:space="preserve"> In sum, the evidence presented by PacifiCorp to demonstrate that the regulatory approval of the California Contracts was uncertain is not at all credible</w:t>
      </w:r>
      <w:r w:rsidR="00130B97">
        <w:t>, and</w:t>
      </w:r>
      <w:r w:rsidR="003C6D54">
        <w:t>,</w:t>
      </w:r>
      <w:r w:rsidR="00130B97">
        <w:t xml:space="preserve"> on its face</w:t>
      </w:r>
      <w:r w:rsidR="003C6D54">
        <w:t>,</w:t>
      </w:r>
      <w:r w:rsidR="00130B97">
        <w:t xml:space="preserve"> raises questions of fact</w:t>
      </w:r>
      <w:r w:rsidR="001658E2">
        <w:t xml:space="preserve">.  </w:t>
      </w:r>
    </w:p>
    <w:p w:rsidR="00DC476A" w:rsidRPr="00BF0819" w:rsidRDefault="00DC476A" w:rsidP="00DC476A">
      <w:pPr>
        <w:pStyle w:val="Responsebody"/>
        <w:numPr>
          <w:ilvl w:val="0"/>
          <w:numId w:val="0"/>
        </w:numPr>
        <w:spacing w:line="240" w:lineRule="auto"/>
      </w:pPr>
    </w:p>
    <w:p w:rsidR="00402929" w:rsidRPr="00260B02" w:rsidRDefault="00D035A9" w:rsidP="00260B02">
      <w:pPr>
        <w:pStyle w:val="WUTCParagraph"/>
        <w:numPr>
          <w:ilvl w:val="1"/>
          <w:numId w:val="6"/>
        </w:numPr>
        <w:spacing w:line="240" w:lineRule="auto"/>
        <w:ind w:hanging="720"/>
        <w:rPr>
          <w:b/>
        </w:rPr>
      </w:pPr>
      <w:r w:rsidRPr="00260E99">
        <w:rPr>
          <w:b/>
        </w:rPr>
        <w:t>The Reparations Claim Relating to the</w:t>
      </w:r>
      <w:r w:rsidR="00983CBD" w:rsidRPr="00260E99">
        <w:rPr>
          <w:b/>
        </w:rPr>
        <w:t xml:space="preserve"> Pro Forma Adjustment is Not Time-Barred</w:t>
      </w:r>
    </w:p>
    <w:p w:rsidR="00055D2E" w:rsidRDefault="0049203E" w:rsidP="00260B02">
      <w:pPr>
        <w:pStyle w:val="Responsebody"/>
      </w:pPr>
      <w:r>
        <w:t xml:space="preserve"> </w:t>
      </w:r>
      <w:r>
        <w:tab/>
        <w:t xml:space="preserve"> </w:t>
      </w:r>
      <w:r>
        <w:tab/>
      </w:r>
      <w:r w:rsidR="00402929">
        <w:t>PacifiCorp claims that a request for reparations relating to the</w:t>
      </w:r>
      <w:r w:rsidR="008C419A">
        <w:t xml:space="preserve"> </w:t>
      </w:r>
      <w:r w:rsidR="008C419A">
        <w:rPr>
          <w:i/>
        </w:rPr>
        <w:t>2009 GRC</w:t>
      </w:r>
      <w:r w:rsidR="00402929">
        <w:t xml:space="preserve"> pro forma adjustment is necessarily time-barred, because </w:t>
      </w:r>
      <w:r w:rsidR="005E5C3E">
        <w:t xml:space="preserve">PacifiCorp disclosed in </w:t>
      </w:r>
      <w:r w:rsidR="00055D2E">
        <w:t xml:space="preserve">discovery that </w:t>
      </w:r>
      <w:r w:rsidR="005E5C3E">
        <w:t xml:space="preserve">2008 and 2009 REC prices were higher than the </w:t>
      </w:r>
      <w:r w:rsidR="00055D2E">
        <w:t xml:space="preserve">price assumed in the </w:t>
      </w:r>
      <w:r w:rsidR="005E5C3E">
        <w:t>pro forma adjustment.</w:t>
      </w:r>
      <w:r w:rsidR="005E5C3E" w:rsidRPr="0093179B">
        <w:rPr>
          <w:rStyle w:val="FootnoteReference"/>
          <w:u w:val="single"/>
        </w:rPr>
        <w:footnoteReference w:id="90"/>
      </w:r>
      <w:proofErr w:type="gramStart"/>
      <w:r w:rsidR="005E5C3E" w:rsidRPr="00363B23">
        <w:rPr>
          <w:sz w:val="20"/>
          <w:szCs w:val="20"/>
          <w:vertAlign w:val="superscript"/>
        </w:rPr>
        <w:t>/</w:t>
      </w:r>
      <w:r w:rsidR="005E5C3E">
        <w:t xml:space="preserve">  PacifiCorp’s</w:t>
      </w:r>
      <w:proofErr w:type="gramEnd"/>
      <w:r w:rsidR="005E5C3E">
        <w:t xml:space="preserve"> argument fails </w:t>
      </w:r>
      <w:r w:rsidR="001028C8">
        <w:t xml:space="preserve">because </w:t>
      </w:r>
      <w:r w:rsidR="005E5C3E">
        <w:t xml:space="preserve">the </w:t>
      </w:r>
      <w:r w:rsidR="006D4069">
        <w:t xml:space="preserve">complained-of </w:t>
      </w:r>
      <w:r w:rsidR="005E5C3E">
        <w:t>pro forma adjustment purports to reflect</w:t>
      </w:r>
      <w:r w:rsidR="00055D2E">
        <w:t xml:space="preserve"> </w:t>
      </w:r>
      <w:r w:rsidR="00055D2E">
        <w:lastRenderedPageBreak/>
        <w:t>not 2008 or 2009 revenues, but</w:t>
      </w:r>
      <w:r w:rsidR="005E5C3E">
        <w:t xml:space="preserve"> anticipated </w:t>
      </w:r>
      <w:r w:rsidR="005E5C3E">
        <w:rPr>
          <w:i/>
        </w:rPr>
        <w:t xml:space="preserve">2010 </w:t>
      </w:r>
      <w:r w:rsidR="005E5C3E">
        <w:t xml:space="preserve">revenues.  </w:t>
      </w:r>
    </w:p>
    <w:p w:rsidR="005E5C3E" w:rsidRDefault="00055D2E" w:rsidP="00260B02">
      <w:pPr>
        <w:pStyle w:val="Responsebody"/>
      </w:pPr>
      <w:r>
        <w:t xml:space="preserve"> </w:t>
      </w:r>
      <w:r>
        <w:tab/>
        <w:t xml:space="preserve"> </w:t>
      </w:r>
      <w:r>
        <w:tab/>
      </w:r>
      <w:r w:rsidR="00C70E12">
        <w:t>T</w:t>
      </w:r>
      <w:r w:rsidR="00EC6C13">
        <w:t xml:space="preserve">he allegations contained in the Joint Complaint reflect PacifiCorp’s failure to disclose the 2010 REC revenue it knew it would receive at the time the of the </w:t>
      </w:r>
      <w:r w:rsidR="00EC6C13">
        <w:rPr>
          <w:i/>
        </w:rPr>
        <w:t>2009 GRC.</w:t>
      </w:r>
      <w:r w:rsidR="005E5C3E">
        <w:t xml:space="preserve"> </w:t>
      </w:r>
      <w:r w:rsidR="001700A2">
        <w:t xml:space="preserve"> </w:t>
      </w:r>
      <w:r w:rsidR="00CF6B48">
        <w:t>Thus, t</w:t>
      </w:r>
      <w:r w:rsidR="001700A2">
        <w:t xml:space="preserve">he disclosure of 2008 and 2009 data is </w:t>
      </w:r>
      <w:r w:rsidR="008C419A">
        <w:t xml:space="preserve">largely </w:t>
      </w:r>
      <w:r w:rsidR="001700A2">
        <w:t xml:space="preserve">irrelevant to the allegations in the Joint Complaint. </w:t>
      </w:r>
      <w:r w:rsidR="00EC6C13">
        <w:t xml:space="preserve"> PacifiCorp </w:t>
      </w:r>
      <w:r w:rsidR="005E5C3E">
        <w:t>at no time disclosed that it possessed data regardi</w:t>
      </w:r>
      <w:r w:rsidR="00EC6C13">
        <w:t>ng anticipated 2010 REC prices</w:t>
      </w:r>
      <w:r w:rsidR="00320D71">
        <w:t xml:space="preserve">, and, as discussed above, </w:t>
      </w:r>
      <w:r w:rsidR="00EC6C13">
        <w:t xml:space="preserve">ICNU and Public Counsel did not </w:t>
      </w:r>
      <w:r w:rsidR="00C00610">
        <w:t xml:space="preserve">know the </w:t>
      </w:r>
      <w:r w:rsidR="00320D71">
        <w:t xml:space="preserve">actual </w:t>
      </w:r>
      <w:r w:rsidR="00C00610">
        <w:t xml:space="preserve">REC prices and their impact on Washington-allocated revenues until the </w:t>
      </w:r>
      <w:r w:rsidR="00CF6B48">
        <w:t>California Contracts</w:t>
      </w:r>
      <w:r w:rsidR="00C00610">
        <w:t xml:space="preserve"> became available in Washington </w:t>
      </w:r>
      <w:r w:rsidR="00CF6B48">
        <w:t>and</w:t>
      </w:r>
      <w:r w:rsidR="00C00610">
        <w:t xml:space="preserve"> the Company issued the 2010 </w:t>
      </w:r>
      <w:r w:rsidR="002352EF">
        <w:t xml:space="preserve">1st </w:t>
      </w:r>
      <w:r w:rsidR="00C00610">
        <w:t>Quarter REC Report</w:t>
      </w:r>
      <w:r w:rsidR="00EC6C13">
        <w:t xml:space="preserve">.  </w:t>
      </w:r>
    </w:p>
    <w:p w:rsidR="000937DD" w:rsidRDefault="000937DD" w:rsidP="00260B02">
      <w:pPr>
        <w:pStyle w:val="Responsebody"/>
      </w:pPr>
      <w:r>
        <w:t xml:space="preserve"> </w:t>
      </w:r>
      <w:r>
        <w:tab/>
        <w:t xml:space="preserve"> </w:t>
      </w:r>
      <w:r>
        <w:tab/>
      </w:r>
      <w:r w:rsidR="003E5738">
        <w:t>In addition</w:t>
      </w:r>
      <w:r>
        <w:t xml:space="preserve">, the damages sought under the </w:t>
      </w:r>
      <w:r w:rsidR="00EA34AA">
        <w:t>reparations statute reflect the difference between the amount of 2010 REC revenues PacifiCorp knew it would receive and the amount claimed by the pro forma adjustment.  The data response cited by PacifiCorp reflects 2008 and 2009 data, which does not form the basis for the request for reparations under the Joint Complaint.</w:t>
      </w:r>
    </w:p>
    <w:p w:rsidR="00A84F78" w:rsidRPr="00260B02" w:rsidRDefault="00FA4744" w:rsidP="00AC2329">
      <w:pPr>
        <w:pStyle w:val="WUTCParagraph"/>
        <w:keepNext/>
        <w:numPr>
          <w:ilvl w:val="0"/>
          <w:numId w:val="0"/>
        </w:numPr>
        <w:spacing w:line="240" w:lineRule="auto"/>
        <w:ind w:left="2160" w:hanging="720"/>
        <w:rPr>
          <w:b/>
        </w:rPr>
      </w:pPr>
      <w:r w:rsidRPr="00260B02">
        <w:rPr>
          <w:b/>
        </w:rPr>
        <w:t xml:space="preserve">3.  </w:t>
      </w:r>
      <w:r w:rsidRPr="00260B02">
        <w:rPr>
          <w:b/>
        </w:rPr>
        <w:tab/>
      </w:r>
      <w:r w:rsidR="00A84F78" w:rsidRPr="00260B02">
        <w:rPr>
          <w:b/>
        </w:rPr>
        <w:t xml:space="preserve">The Failure to Disclose a Material Fact is </w:t>
      </w:r>
      <w:proofErr w:type="gramStart"/>
      <w:r w:rsidR="00A84F78" w:rsidRPr="00260B02">
        <w:rPr>
          <w:b/>
        </w:rPr>
        <w:t>Not</w:t>
      </w:r>
      <w:proofErr w:type="gramEnd"/>
      <w:r w:rsidR="00A84F78" w:rsidRPr="00260B02">
        <w:rPr>
          <w:b/>
        </w:rPr>
        <w:t xml:space="preserve"> a “Procedural Deficiency”</w:t>
      </w:r>
    </w:p>
    <w:p w:rsidR="00A84F78" w:rsidRDefault="00A84F78" w:rsidP="00260B02">
      <w:pPr>
        <w:pStyle w:val="Responsebody"/>
      </w:pPr>
      <w:r>
        <w:tab/>
        <w:t xml:space="preserve"> </w:t>
      </w:r>
      <w:r>
        <w:tab/>
        <w:t>PacifiCorp minimizes the import</w:t>
      </w:r>
      <w:r w:rsidR="00342612">
        <w:t>ance</w:t>
      </w:r>
      <w:r>
        <w:t xml:space="preserve"> of ICNU and Public Counsel’s allegations by labeling them as a “procedural deficiency.”</w:t>
      </w:r>
      <w:r w:rsidR="005538B4" w:rsidRPr="005538B4">
        <w:rPr>
          <w:rStyle w:val="FootnoteReference"/>
          <w:u w:val="single"/>
        </w:rPr>
        <w:footnoteReference w:id="91"/>
      </w:r>
      <w:proofErr w:type="gramStart"/>
      <w:r w:rsidR="005538B4" w:rsidRPr="00F9251E">
        <w:rPr>
          <w:sz w:val="20"/>
          <w:szCs w:val="20"/>
          <w:vertAlign w:val="superscript"/>
        </w:rPr>
        <w:t>/</w:t>
      </w:r>
      <w:r>
        <w:t xml:space="preserve">  By</w:t>
      </w:r>
      <w:proofErr w:type="gramEnd"/>
      <w:r>
        <w:t xml:space="preserve"> raising the issue of whether PacifiCorp failed to carry its burden of proof and </w:t>
      </w:r>
      <w:r w:rsidR="00594A6D">
        <w:t>that</w:t>
      </w:r>
      <w:r>
        <w:t xml:space="preserve"> the testimony supporting the pro forma adjustment was filed under oath, ICNU and Public Counsel are not alleging that PacifiCorp employees committed a procedural misstep.  Rather, ICNU and Public Counsel are alleging that PacifiCorp employees have failed to disclose material facts in their sworn testimony</w:t>
      </w:r>
      <w:r w:rsidR="00342612">
        <w:t>, a serious allegation</w:t>
      </w:r>
      <w:r>
        <w:t xml:space="preserve">.  </w:t>
      </w:r>
    </w:p>
    <w:p w:rsidR="00D42189" w:rsidRDefault="00A84F78" w:rsidP="00260B02">
      <w:pPr>
        <w:pStyle w:val="Responsebody"/>
      </w:pPr>
      <w:r>
        <w:t xml:space="preserve"> </w:t>
      </w:r>
      <w:r>
        <w:tab/>
        <w:t xml:space="preserve"> </w:t>
      </w:r>
      <w:r>
        <w:tab/>
        <w:t>PacifiCorp</w:t>
      </w:r>
      <w:r w:rsidR="00E02A20">
        <w:t>’s</w:t>
      </w:r>
      <w:r>
        <w:t xml:space="preserve"> witnesses</w:t>
      </w:r>
      <w:r w:rsidR="002B486D">
        <w:t>,</w:t>
      </w:r>
      <w:r>
        <w:t xml:space="preserve"> Andrea Kelly and Cathie Allen</w:t>
      </w:r>
      <w:r w:rsidR="002B486D">
        <w:t>,</w:t>
      </w:r>
      <w:r>
        <w:t xml:space="preserve"> offered testimony in </w:t>
      </w:r>
      <w:r>
        <w:lastRenderedPageBreak/>
        <w:t xml:space="preserve">support of the settlement on September 22, 2009.  </w:t>
      </w:r>
      <w:r w:rsidR="003D2F14">
        <w:t xml:space="preserve">Performance under the </w:t>
      </w:r>
      <w:r w:rsidR="0047431D">
        <w:t>California C</w:t>
      </w:r>
      <w:r w:rsidR="003D2F14">
        <w:t>ontracts was scheduled to begin on October 1, 2009</w:t>
      </w:r>
      <w:r w:rsidR="00EF6B3E">
        <w:t xml:space="preserve">, and two of the California Contracts had been approved, and </w:t>
      </w:r>
      <w:r w:rsidR="005951CC">
        <w:t>thus,</w:t>
      </w:r>
      <w:r w:rsidR="00EF6B3E">
        <w:t xml:space="preserve"> </w:t>
      </w:r>
      <w:r w:rsidR="004F1472">
        <w:t xml:space="preserve">were </w:t>
      </w:r>
      <w:r w:rsidR="00AC2329">
        <w:t>“</w:t>
      </w:r>
      <w:r w:rsidR="00EF6B3E">
        <w:t>non-contingent</w:t>
      </w:r>
      <w:r w:rsidR="005951CC">
        <w:t>,</w:t>
      </w:r>
      <w:r w:rsidR="00AC2329">
        <w:t>”</w:t>
      </w:r>
      <w:r w:rsidR="00EF6B3E">
        <w:t xml:space="preserve"> by October 15, 2009</w:t>
      </w:r>
      <w:r w:rsidR="003D2F14">
        <w:t>.</w:t>
      </w:r>
      <w:r w:rsidR="004F6A22" w:rsidRPr="005538B4">
        <w:rPr>
          <w:rStyle w:val="FootnoteReference"/>
          <w:u w:val="single"/>
        </w:rPr>
        <w:footnoteReference w:id="92"/>
      </w:r>
      <w:r w:rsidR="004F6A22" w:rsidRPr="00F9251E">
        <w:rPr>
          <w:sz w:val="20"/>
          <w:szCs w:val="20"/>
          <w:vertAlign w:val="superscript"/>
        </w:rPr>
        <w:t>/</w:t>
      </w:r>
      <w:r w:rsidR="004F6A22">
        <w:t xml:space="preserve"> </w:t>
      </w:r>
      <w:r w:rsidR="003D2F14">
        <w:t xml:space="preserve">  </w:t>
      </w:r>
      <w:r>
        <w:t>At the evidentiary hearing, on October 29, 2009, Ms. Kelly and Ms. Allen swore an oath and adopted their written testimony in support of the settlement.</w:t>
      </w:r>
      <w:r w:rsidRPr="0093179B">
        <w:rPr>
          <w:rStyle w:val="FootnoteReference"/>
          <w:u w:val="single"/>
        </w:rPr>
        <w:footnoteReference w:id="93"/>
      </w:r>
      <w:proofErr w:type="gramStart"/>
      <w:r w:rsidRPr="00363B23">
        <w:rPr>
          <w:sz w:val="20"/>
          <w:szCs w:val="20"/>
          <w:vertAlign w:val="superscript"/>
        </w:rPr>
        <w:t>/</w:t>
      </w:r>
      <w:r>
        <w:t xml:space="preserve">  The</w:t>
      </w:r>
      <w:proofErr w:type="gramEnd"/>
      <w:r>
        <w:t xml:space="preserve"> witnesses were afforded an opportunity to correct their testimony; Ms. Kelly made one revision to her testimony to correct a typographical error.</w:t>
      </w:r>
      <w:r w:rsidRPr="0093179B">
        <w:rPr>
          <w:rStyle w:val="FootnoteReference"/>
          <w:u w:val="single"/>
        </w:rPr>
        <w:footnoteReference w:id="94"/>
      </w:r>
      <w:proofErr w:type="gramStart"/>
      <w:r w:rsidRPr="00363B23">
        <w:rPr>
          <w:sz w:val="20"/>
          <w:szCs w:val="20"/>
          <w:vertAlign w:val="superscript"/>
        </w:rPr>
        <w:t>/</w:t>
      </w:r>
      <w:r>
        <w:t xml:space="preserve">  At</w:t>
      </w:r>
      <w:proofErr w:type="gramEnd"/>
      <w:r>
        <w:t xml:space="preserve"> no time did Ms. Kelly or Ms. Allen disclose that, since the time of submitting their testimony in support of the settlement, </w:t>
      </w:r>
      <w:r w:rsidR="00755D32">
        <w:t xml:space="preserve">a fundamental change had occurred to the assumptions on which the settlement relied, because </w:t>
      </w:r>
      <w:r>
        <w:t xml:space="preserve">two of the California Contracts had been approved and </w:t>
      </w:r>
      <w:r w:rsidR="00755D32">
        <w:t>performance had</w:t>
      </w:r>
      <w:r w:rsidR="00AD1FB1">
        <w:t xml:space="preserve"> </w:t>
      </w:r>
      <w:r w:rsidR="00AD1FB1" w:rsidRPr="00AD1FB1">
        <w:rPr>
          <w:i/>
        </w:rPr>
        <w:t>actually</w:t>
      </w:r>
      <w:r w:rsidR="00755D32" w:rsidRPr="00AD1FB1">
        <w:rPr>
          <w:i/>
        </w:rPr>
        <w:t xml:space="preserve"> begun</w:t>
      </w:r>
      <w:r w:rsidR="00755D32">
        <w:t xml:space="preserve"> under </w:t>
      </w:r>
      <w:r w:rsidR="009407DA">
        <w:t>those</w:t>
      </w:r>
      <w:r w:rsidR="00755D32">
        <w:t xml:space="preserve"> contracts.</w:t>
      </w:r>
      <w:r>
        <w:t xml:space="preserve">  Ms. Kelly and Ms. Allen’s failure to correct the record based on information known at the time </w:t>
      </w:r>
      <w:r w:rsidR="0014589E">
        <w:t>of</w:t>
      </w:r>
      <w:r>
        <w:t xml:space="preserve"> the evidentiary hearing is a failure to disclose a material fact to the Commission.</w:t>
      </w:r>
    </w:p>
    <w:p w:rsidR="00A84F78" w:rsidRDefault="00D42189" w:rsidP="00260B02">
      <w:pPr>
        <w:pStyle w:val="Responsebody"/>
      </w:pPr>
      <w:r>
        <w:t xml:space="preserve"> </w:t>
      </w:r>
      <w:r>
        <w:tab/>
        <w:t xml:space="preserve"> </w:t>
      </w:r>
      <w:r>
        <w:tab/>
      </w:r>
      <w:r w:rsidR="00A84F78">
        <w:t>Additionally, ICNU and Public Counsel allege that PacifiCorp failed to carry its burden of proof to support its pro forma adjustment.</w:t>
      </w:r>
      <w:r w:rsidR="00565003">
        <w:t xml:space="preserve">  PacifiCorp provided no support for its decision to rely on 2007 data when it had data at its disposal that would </w:t>
      </w:r>
      <w:r w:rsidR="00F72B10">
        <w:t xml:space="preserve">much </w:t>
      </w:r>
      <w:r w:rsidR="00565003">
        <w:t>more accurately reflect expected 2010 REC sales prices.</w:t>
      </w:r>
      <w:r w:rsidR="00A84F78">
        <w:t xml:space="preserve">  While </w:t>
      </w:r>
      <w:r w:rsidR="004F1472">
        <w:t xml:space="preserve">PacifiCorp again tries to downplay these violations of law as </w:t>
      </w:r>
      <w:r w:rsidR="00A84F78">
        <w:t>“procedural deficiencies,” the</w:t>
      </w:r>
      <w:r w:rsidR="00B332B6">
        <w:t>y in fact</w:t>
      </w:r>
      <w:r w:rsidR="00A84F78">
        <w:t xml:space="preserve"> resulted in</w:t>
      </w:r>
      <w:r w:rsidR="00A62540">
        <w:t xml:space="preserve"> the Commission approving</w:t>
      </w:r>
      <w:r w:rsidR="00A84F78">
        <w:t xml:space="preserve"> a settlement of the </w:t>
      </w:r>
      <w:r w:rsidR="00A84F78" w:rsidRPr="00D42189">
        <w:rPr>
          <w:i/>
        </w:rPr>
        <w:t>2009 GRC</w:t>
      </w:r>
      <w:r w:rsidR="00A84F78">
        <w:t xml:space="preserve"> that did not reflect 2010 REC revenues</w:t>
      </w:r>
      <w:r w:rsidR="00862D79">
        <w:t>,</w:t>
      </w:r>
      <w:r w:rsidR="00A84F78">
        <w:t xml:space="preserve"> and thus</w:t>
      </w:r>
      <w:r w:rsidR="00594A6D">
        <w:t>,</w:t>
      </w:r>
      <w:r w:rsidR="00A84F78">
        <w:t xml:space="preserve"> </w:t>
      </w:r>
      <w:r w:rsidR="008225B9">
        <w:t xml:space="preserve">caused customers to be </w:t>
      </w:r>
      <w:r w:rsidR="00A84F78">
        <w:t xml:space="preserve">significantly overcharged.  </w:t>
      </w:r>
      <w:r w:rsidR="00594A6D">
        <w:t xml:space="preserve">The dollars at stake hardly represent a mere </w:t>
      </w:r>
      <w:r w:rsidR="00594A6D">
        <w:lastRenderedPageBreak/>
        <w:t>“procedural deficiency.”</w:t>
      </w:r>
    </w:p>
    <w:p w:rsidR="00BB5034" w:rsidRPr="00260B02" w:rsidRDefault="00F73BDB" w:rsidP="00260B02">
      <w:pPr>
        <w:pStyle w:val="WUTCParagraph"/>
        <w:numPr>
          <w:ilvl w:val="0"/>
          <w:numId w:val="8"/>
        </w:numPr>
        <w:spacing w:before="240" w:line="240" w:lineRule="auto"/>
        <w:ind w:left="1440" w:hanging="720"/>
        <w:rPr>
          <w:b/>
        </w:rPr>
      </w:pPr>
      <w:r w:rsidRPr="00260B02">
        <w:rPr>
          <w:b/>
        </w:rPr>
        <w:t xml:space="preserve">PacifiCorp’s Justifications for its Failure to Provide Complete and Accurate Responses in Discovery and its Failure to Update its Responses </w:t>
      </w:r>
      <w:r w:rsidR="00E05CCE">
        <w:rPr>
          <w:b/>
        </w:rPr>
        <w:t xml:space="preserve">Are </w:t>
      </w:r>
      <w:r w:rsidRPr="00260B02">
        <w:rPr>
          <w:b/>
        </w:rPr>
        <w:t xml:space="preserve">Based on an Unreasonably Narrow Interpretation of </w:t>
      </w:r>
      <w:r w:rsidR="00F113D1" w:rsidRPr="00260B02">
        <w:rPr>
          <w:b/>
        </w:rPr>
        <w:t>the Data Requests</w:t>
      </w:r>
    </w:p>
    <w:p w:rsidR="008F63B4" w:rsidRDefault="00476BFE" w:rsidP="00260B02">
      <w:pPr>
        <w:pStyle w:val="Responsebody"/>
      </w:pPr>
      <w:r>
        <w:tab/>
        <w:t xml:space="preserve"> </w:t>
      </w:r>
      <w:r>
        <w:tab/>
        <w:t xml:space="preserve">PacifiCorp argues that ICNU and Public Counsel’s </w:t>
      </w:r>
      <w:r w:rsidR="00C42469">
        <w:t>allegations</w:t>
      </w:r>
      <w:r w:rsidR="00F72B10">
        <w:t xml:space="preserve"> based o</w:t>
      </w:r>
      <w:r>
        <w:t>n discovery violations fail because “the information that Complainants now complain was not provided was also not requested.”</w:t>
      </w:r>
      <w:r w:rsidR="005538B4" w:rsidRPr="005538B4">
        <w:rPr>
          <w:rStyle w:val="FootnoteReference"/>
          <w:u w:val="single"/>
        </w:rPr>
        <w:footnoteReference w:id="95"/>
      </w:r>
      <w:proofErr w:type="gramStart"/>
      <w:r w:rsidR="005538B4" w:rsidRPr="00F9251E">
        <w:rPr>
          <w:sz w:val="20"/>
          <w:szCs w:val="20"/>
          <w:vertAlign w:val="superscript"/>
        </w:rPr>
        <w:t>/</w:t>
      </w:r>
      <w:r>
        <w:t xml:space="preserve">  </w:t>
      </w:r>
      <w:r w:rsidR="005E0869">
        <w:t>This</w:t>
      </w:r>
      <w:proofErr w:type="gramEnd"/>
      <w:r w:rsidR="005E0869">
        <w:t xml:space="preserve"> is simply not true, and again a question of fact for the Commission to decide.  PacifiCorp makes an</w:t>
      </w:r>
      <w:r>
        <w:t xml:space="preserve"> overly narrow </w:t>
      </w:r>
      <w:r w:rsidR="00F72B10">
        <w:t xml:space="preserve">and unreasonable </w:t>
      </w:r>
      <w:r>
        <w:t>interpretation of ICNU’s data requests</w:t>
      </w:r>
      <w:r w:rsidR="005E0869">
        <w:t xml:space="preserve"> </w:t>
      </w:r>
      <w:r>
        <w:t xml:space="preserve">in an attempt to hide its then-known </w:t>
      </w:r>
      <w:r w:rsidR="00B6257D">
        <w:t>amount</w:t>
      </w:r>
      <w:r>
        <w:t xml:space="preserve"> of </w:t>
      </w:r>
      <w:r w:rsidR="004D6D18">
        <w:t xml:space="preserve">2010 </w:t>
      </w:r>
      <w:r>
        <w:t>REC revenues p</w:t>
      </w:r>
      <w:r w:rsidR="00490B35">
        <w:t>ursuant to executed contracts.</w:t>
      </w:r>
      <w:r w:rsidR="009F5358">
        <w:t xml:space="preserve">  </w:t>
      </w:r>
      <w:r w:rsidR="008F63B4">
        <w:t>The Commission has previously articulated the importance of full compliance with discovery rules:  “</w:t>
      </w:r>
      <w:r w:rsidR="00A6571F">
        <w:t>[</w:t>
      </w:r>
      <w:r w:rsidR="008F63B4">
        <w:t>D</w:t>
      </w:r>
      <w:r w:rsidR="00A6571F">
        <w:t>]</w:t>
      </w:r>
      <w:proofErr w:type="spellStart"/>
      <w:r w:rsidR="008F63B4">
        <w:t>iscovery</w:t>
      </w:r>
      <w:proofErr w:type="spellEnd"/>
      <w:r w:rsidR="008F63B4">
        <w:t xml:space="preserve"> rules are not simply rules to be followed.  They are what enable all parties and the Commission to proceed with a fact-finding hearing in an orderly and well-prepared manner.”</w:t>
      </w:r>
      <w:r w:rsidR="008F63B4" w:rsidRPr="004911C7">
        <w:rPr>
          <w:rStyle w:val="FootnoteReference"/>
          <w:u w:val="single"/>
        </w:rPr>
        <w:footnoteReference w:id="96"/>
      </w:r>
      <w:r w:rsidR="008F63B4" w:rsidRPr="008F63B4">
        <w:rPr>
          <w:sz w:val="20"/>
          <w:szCs w:val="20"/>
          <w:vertAlign w:val="superscript"/>
        </w:rPr>
        <w:t>/</w:t>
      </w:r>
      <w:r w:rsidR="008F63B4">
        <w:t xml:space="preserve">  </w:t>
      </w:r>
    </w:p>
    <w:p w:rsidR="00D975C4" w:rsidRDefault="00490B35" w:rsidP="00260B02">
      <w:pPr>
        <w:pStyle w:val="Responsebody"/>
      </w:pPr>
      <w:r>
        <w:t xml:space="preserve"> </w:t>
      </w:r>
      <w:r>
        <w:tab/>
        <w:t xml:space="preserve"> </w:t>
      </w:r>
      <w:r>
        <w:tab/>
        <w:t xml:space="preserve">ICNU’s </w:t>
      </w:r>
      <w:r w:rsidR="00476BFE">
        <w:t>data request</w:t>
      </w:r>
      <w:r w:rsidR="00E264F7">
        <w:t xml:space="preserve"> in the </w:t>
      </w:r>
      <w:r w:rsidR="00E264F7">
        <w:rPr>
          <w:i/>
        </w:rPr>
        <w:t>2009 GRC</w:t>
      </w:r>
      <w:r w:rsidR="00476BFE">
        <w:t xml:space="preserve"> stated: “Please update this response as PacifiCorp executes additional sales through</w:t>
      </w:r>
      <w:r w:rsidR="00AA7D4E">
        <w:t>out this</w:t>
      </w:r>
      <w:r w:rsidR="00476BFE">
        <w:t xml:space="preserve"> proceeding.”</w:t>
      </w:r>
      <w:r w:rsidR="002D4B46" w:rsidRPr="004911C7">
        <w:rPr>
          <w:rStyle w:val="FootnoteReference"/>
          <w:u w:val="single"/>
        </w:rPr>
        <w:footnoteReference w:id="97"/>
      </w:r>
      <w:proofErr w:type="gramStart"/>
      <w:r w:rsidR="002D4B46" w:rsidRPr="008F63B4">
        <w:rPr>
          <w:sz w:val="20"/>
          <w:szCs w:val="20"/>
          <w:vertAlign w:val="superscript"/>
        </w:rPr>
        <w:t>/</w:t>
      </w:r>
      <w:r w:rsidR="00476BFE">
        <w:t xml:space="preserve">  </w:t>
      </w:r>
      <w:r>
        <w:t>In</w:t>
      </w:r>
      <w:proofErr w:type="gramEnd"/>
      <w:r>
        <w:t xml:space="preserve"> its response, PacifiCorp included REC sales</w:t>
      </w:r>
      <w:r w:rsidR="00476BFE">
        <w:t xml:space="preserve"> </w:t>
      </w:r>
      <w:r w:rsidR="004D6D18">
        <w:t>through the end of December</w:t>
      </w:r>
      <w:r>
        <w:t xml:space="preserve"> 2009.  </w:t>
      </w:r>
      <w:r w:rsidR="008E1CF9">
        <w:t>T</w:t>
      </w:r>
      <w:r>
        <w:t xml:space="preserve">he data request </w:t>
      </w:r>
      <w:r w:rsidR="008E1CF9">
        <w:t>sought</w:t>
      </w:r>
      <w:r>
        <w:t xml:space="preserve"> information about all</w:t>
      </w:r>
      <w:r w:rsidR="00D975C4">
        <w:t xml:space="preserve"> executed</w:t>
      </w:r>
      <w:r>
        <w:t xml:space="preserve"> sales, including updates exe</w:t>
      </w:r>
      <w:r w:rsidR="00D975C4">
        <w:t xml:space="preserve">cuted throughout the proceeding. </w:t>
      </w:r>
      <w:r>
        <w:t xml:space="preserve"> </w:t>
      </w:r>
      <w:r w:rsidR="006460C4">
        <w:t>By th</w:t>
      </w:r>
      <w:r w:rsidR="002F6D9E">
        <w:t>e inclusion of revenue forecasts through the end of 2009</w:t>
      </w:r>
      <w:r w:rsidR="006460C4">
        <w:t xml:space="preserve">, </w:t>
      </w:r>
      <w:r>
        <w:t xml:space="preserve">PacifiCorp’s response to the request </w:t>
      </w:r>
      <w:r w:rsidR="004D6D18">
        <w:t>indicates</w:t>
      </w:r>
      <w:r>
        <w:t xml:space="preserve"> that PacifiCorp had </w:t>
      </w:r>
      <w:r w:rsidR="00D975C4">
        <w:t xml:space="preserve">the same </w:t>
      </w:r>
      <w:r>
        <w:t>und</w:t>
      </w:r>
      <w:r w:rsidR="00D975C4">
        <w:t>e</w:t>
      </w:r>
      <w:r w:rsidR="008F63B4">
        <w:t xml:space="preserve">rstanding of the data request. </w:t>
      </w:r>
    </w:p>
    <w:p w:rsidR="003C2B02" w:rsidRDefault="00D975C4" w:rsidP="00260B02">
      <w:pPr>
        <w:pStyle w:val="Responsebody"/>
      </w:pPr>
      <w:r>
        <w:t xml:space="preserve"> </w:t>
      </w:r>
      <w:r>
        <w:tab/>
        <w:t xml:space="preserve"> </w:t>
      </w:r>
      <w:r>
        <w:tab/>
        <w:t xml:space="preserve">PacifiCorp claims that it was obligated through this data request to provide </w:t>
      </w:r>
      <w:r w:rsidR="00B55C13">
        <w:t xml:space="preserve">only </w:t>
      </w:r>
      <w:r>
        <w:t>information about revenues that it had actually received and justifies its failure to include the California Contracts</w:t>
      </w:r>
      <w:r w:rsidR="00AC2A27">
        <w:t>,</w:t>
      </w:r>
      <w:r>
        <w:t xml:space="preserve"> because at the time of filing the settlement, the California Contracts had not </w:t>
      </w:r>
      <w:r>
        <w:lastRenderedPageBreak/>
        <w:t>been approved by the CPUC</w:t>
      </w:r>
      <w:r w:rsidR="00AC2A27">
        <w:t>,</w:t>
      </w:r>
      <w:r>
        <w:t xml:space="preserve"> and </w:t>
      </w:r>
      <w:r w:rsidR="003C2B02">
        <w:t xml:space="preserve">PacifiCorp </w:t>
      </w:r>
      <w:r w:rsidR="00B55C13">
        <w:t>had</w:t>
      </w:r>
      <w:r w:rsidR="003C2B02">
        <w:t xml:space="preserve"> not </w:t>
      </w:r>
      <w:r w:rsidR="00B55C13">
        <w:t>received</w:t>
      </w:r>
      <w:r w:rsidR="003C2B02">
        <w:t xml:space="preserve"> revenue under the contracts.  </w:t>
      </w:r>
      <w:r w:rsidR="00F72B10">
        <w:t>This explanation is simply not credible and in no manner reflects upon the straightforward questions posed in discovery</w:t>
      </w:r>
      <w:r w:rsidR="00B541F3" w:rsidRPr="00B541F3">
        <w:t>.</w:t>
      </w:r>
      <w:r w:rsidR="00B541F3">
        <w:t xml:space="preserve">  </w:t>
      </w:r>
      <w:r w:rsidR="008531AC">
        <w:t>With regard to revenue received under the contracts, p</w:t>
      </w:r>
      <w:r w:rsidR="00E74072">
        <w:t xml:space="preserve">resumably, PacifiCorp had </w:t>
      </w:r>
      <w:r w:rsidR="00F3568D">
        <w:t xml:space="preserve">also </w:t>
      </w:r>
      <w:r w:rsidR="00E74072">
        <w:t>not yet received actual revenue from the contract</w:t>
      </w:r>
      <w:r w:rsidR="00F3568D">
        <w:t>s that were</w:t>
      </w:r>
      <w:r w:rsidR="00E74072">
        <w:t xml:space="preserve"> </w:t>
      </w:r>
      <w:r w:rsidR="007D7CB5">
        <w:t>included</w:t>
      </w:r>
      <w:r w:rsidR="00E74072">
        <w:t xml:space="preserve"> in response to ICNU 2.1, between the time of updating the response </w:t>
      </w:r>
      <w:r w:rsidR="009F77C0">
        <w:t>(</w:t>
      </w:r>
      <w:r w:rsidR="00225D1A">
        <w:t>July 2, 2009</w:t>
      </w:r>
      <w:r w:rsidR="009F77C0">
        <w:t>)</w:t>
      </w:r>
      <w:r w:rsidR="00225D1A">
        <w:t xml:space="preserve"> and the time through which cont</w:t>
      </w:r>
      <w:r w:rsidR="009F77C0">
        <w:t xml:space="preserve">ract information was provided </w:t>
      </w:r>
      <w:r w:rsidR="007940F1">
        <w:t>(December</w:t>
      </w:r>
      <w:r w:rsidR="00A3574E">
        <w:t xml:space="preserve"> 2009).  </w:t>
      </w:r>
      <w:r w:rsidR="0040225E">
        <w:t>Thus, t</w:t>
      </w:r>
      <w:r w:rsidR="00A3574E">
        <w:t>he information provided</w:t>
      </w:r>
      <w:r w:rsidR="00E676CF">
        <w:t xml:space="preserve"> for the period between July </w:t>
      </w:r>
      <w:r w:rsidR="00A3574E">
        <w:t>and December 2009 was an estimate of revenue it would receive in that time period.  If PacifiCorp had</w:t>
      </w:r>
      <w:r w:rsidR="00B64C53">
        <w:t xml:space="preserve"> in fact</w:t>
      </w:r>
      <w:r w:rsidR="00A3574E">
        <w:t xml:space="preserve"> interpreted the data request to only seek “actual revenue” received by t</w:t>
      </w:r>
      <w:r w:rsidR="00CF76F7">
        <w:t xml:space="preserve">he Company, its inclusion of revenue estimates was misleading and supports the reasonableness of ICNU’s belief that it was receiving information </w:t>
      </w:r>
      <w:r w:rsidR="00B64C53">
        <w:t xml:space="preserve">about </w:t>
      </w:r>
      <w:r w:rsidR="00B64C53" w:rsidRPr="00F72B10">
        <w:rPr>
          <w:i/>
        </w:rPr>
        <w:t>all</w:t>
      </w:r>
      <w:r w:rsidR="00B64C53">
        <w:t xml:space="preserve"> executed contracts</w:t>
      </w:r>
      <w:r w:rsidR="007940F1">
        <w:t>.</w:t>
      </w:r>
      <w:r w:rsidR="000E16D7">
        <w:t xml:space="preserve">  </w:t>
      </w:r>
    </w:p>
    <w:p w:rsidR="002D4B46" w:rsidRDefault="000E16D7" w:rsidP="00260B02">
      <w:pPr>
        <w:pStyle w:val="Responsebody"/>
      </w:pPr>
      <w:r>
        <w:tab/>
        <w:t xml:space="preserve"> </w:t>
      </w:r>
      <w:r>
        <w:tab/>
        <w:t xml:space="preserve">PacifiCorp </w:t>
      </w:r>
      <w:r w:rsidR="007D7CB5">
        <w:t xml:space="preserve">justifies the inconsistency of its inclusion of the July through December 2009 revenue estimates </w:t>
      </w:r>
      <w:r w:rsidR="00FD0948">
        <w:t xml:space="preserve">and the exclusion of the California Contracts </w:t>
      </w:r>
      <w:r w:rsidR="000B0FDA">
        <w:t>as follows</w:t>
      </w:r>
      <w:r w:rsidR="00A76107">
        <w:t xml:space="preserve">:  </w:t>
      </w:r>
      <w:r w:rsidR="00DA04B2">
        <w:t>“</w:t>
      </w:r>
      <w:r w:rsidR="00974021">
        <w:t>PacifiCorp included forecast REC revenues for 2009 for non-contingent contracts because that information was in the Company’s REC spreadsheet.”</w:t>
      </w:r>
      <w:r w:rsidR="00614916" w:rsidRPr="00614916">
        <w:rPr>
          <w:rStyle w:val="FootnoteReference"/>
          <w:u w:val="single"/>
        </w:rPr>
        <w:footnoteReference w:id="98"/>
      </w:r>
      <w:r w:rsidR="00614916" w:rsidRPr="00F9251E">
        <w:rPr>
          <w:sz w:val="20"/>
          <w:szCs w:val="20"/>
          <w:vertAlign w:val="superscript"/>
        </w:rPr>
        <w:t>/</w:t>
      </w:r>
      <w:r w:rsidR="00974021">
        <w:t xml:space="preserve">  </w:t>
      </w:r>
      <w:r w:rsidR="000B0FDA">
        <w:t xml:space="preserve">However, </w:t>
      </w:r>
      <w:r w:rsidR="00C43A21">
        <w:t xml:space="preserve">PacifiCorp’s </w:t>
      </w:r>
      <w:r w:rsidR="000E214A">
        <w:t>response</w:t>
      </w:r>
      <w:r w:rsidR="00C43A21">
        <w:t xml:space="preserve"> to ICNU 2.1</w:t>
      </w:r>
      <w:r w:rsidR="000E214A">
        <w:t xml:space="preserve"> contained no explanation that it was including revenue estimates for executed and</w:t>
      </w:r>
      <w:r w:rsidR="006A3EEA">
        <w:t xml:space="preserve"> allegedly</w:t>
      </w:r>
      <w:r w:rsidR="000E214A">
        <w:t xml:space="preserve"> </w:t>
      </w:r>
      <w:r w:rsidR="006A3EEA">
        <w:t>“</w:t>
      </w:r>
      <w:r w:rsidR="000E214A">
        <w:t>non-contingent</w:t>
      </w:r>
      <w:r w:rsidR="006A3EEA">
        <w:t>”</w:t>
      </w:r>
      <w:r w:rsidR="000E214A">
        <w:t xml:space="preserve"> contracts</w:t>
      </w:r>
      <w:r w:rsidR="000B0FDA">
        <w:t xml:space="preserve"> only</w:t>
      </w:r>
      <w:r w:rsidR="000E214A">
        <w:t xml:space="preserve">, </w:t>
      </w:r>
      <w:r w:rsidR="000B0FDA">
        <w:t xml:space="preserve">or </w:t>
      </w:r>
      <w:r w:rsidR="001A080F">
        <w:t>t</w:t>
      </w:r>
      <w:r w:rsidR="000E214A">
        <w:t xml:space="preserve">hat information from executed and </w:t>
      </w:r>
      <w:r w:rsidR="006A3EEA">
        <w:t>“</w:t>
      </w:r>
      <w:r w:rsidR="000E214A">
        <w:t>contingent</w:t>
      </w:r>
      <w:r w:rsidR="006A3EEA">
        <w:t>”</w:t>
      </w:r>
      <w:r w:rsidR="000E214A">
        <w:t xml:space="preserve"> contracts was being excluded.  </w:t>
      </w:r>
      <w:r w:rsidR="00091928">
        <w:t xml:space="preserve">The inclusion of revenue forecasts of only </w:t>
      </w:r>
      <w:r w:rsidR="00FD31E5">
        <w:t>“</w:t>
      </w:r>
      <w:r w:rsidR="00091928">
        <w:t>non-contingent</w:t>
      </w:r>
      <w:r w:rsidR="00FD31E5">
        <w:t>”</w:t>
      </w:r>
      <w:r w:rsidR="00091928">
        <w:t xml:space="preserve"> contracts </w:t>
      </w:r>
      <w:r w:rsidR="009D07C7">
        <w:t xml:space="preserve">without any explanation as to their inclusion and the exclusion of </w:t>
      </w:r>
      <w:r w:rsidR="00FD31E5">
        <w:t>“</w:t>
      </w:r>
      <w:r w:rsidR="009D07C7">
        <w:t>contingent</w:t>
      </w:r>
      <w:r w:rsidR="00FD31E5">
        <w:t>”</w:t>
      </w:r>
      <w:r w:rsidR="009D07C7">
        <w:t xml:space="preserve"> contracts </w:t>
      </w:r>
      <w:r w:rsidR="00091928">
        <w:t xml:space="preserve">is </w:t>
      </w:r>
      <w:r w:rsidR="00C766C1">
        <w:t xml:space="preserve">unreasonable and </w:t>
      </w:r>
      <w:r w:rsidR="00091928">
        <w:t xml:space="preserve">misleading.  </w:t>
      </w:r>
      <w:r w:rsidR="004D668A">
        <w:t>Moreover, t</w:t>
      </w:r>
      <w:r w:rsidR="002D4B46">
        <w:t xml:space="preserve">he instructions accompanying ICNU’s data requests clearly ask that:  </w:t>
      </w:r>
    </w:p>
    <w:p w:rsidR="002D4B46" w:rsidRDefault="002D4B46" w:rsidP="00260B02">
      <w:pPr>
        <w:pStyle w:val="WUTCParagraph"/>
        <w:numPr>
          <w:ilvl w:val="0"/>
          <w:numId w:val="0"/>
        </w:numPr>
        <w:spacing w:before="240" w:line="240" w:lineRule="auto"/>
        <w:ind w:left="1440" w:right="1440"/>
        <w:jc w:val="both"/>
      </w:pPr>
      <w:r>
        <w:t xml:space="preserve">If, in answering any of these Data Requests, you feel that any Data Request or definition or instruction applicable thereto is ambiguous, set forth the language you feel is ambiguous and the </w:t>
      </w:r>
      <w:r>
        <w:lastRenderedPageBreak/>
        <w:t>interpretation you are using in responding to the Data Request.</w:t>
      </w:r>
      <w:r w:rsidRPr="004911C7">
        <w:rPr>
          <w:rStyle w:val="FootnoteReference"/>
          <w:u w:val="single"/>
        </w:rPr>
        <w:footnoteReference w:id="99"/>
      </w:r>
      <w:r w:rsidRPr="008F63B4">
        <w:rPr>
          <w:sz w:val="20"/>
          <w:szCs w:val="20"/>
          <w:vertAlign w:val="superscript"/>
        </w:rPr>
        <w:t>/</w:t>
      </w:r>
    </w:p>
    <w:p w:rsidR="00FE4E19" w:rsidRDefault="008F63B4" w:rsidP="00260B02">
      <w:pPr>
        <w:pStyle w:val="Responsebody"/>
      </w:pPr>
      <w:r>
        <w:t>Because PacifiCorp failed to</w:t>
      </w:r>
      <w:r w:rsidR="002D4B46">
        <w:t xml:space="preserve"> comply with the instructions accompanying ICNU’s data request and failed to</w:t>
      </w:r>
      <w:r>
        <w:t xml:space="preserve"> </w:t>
      </w:r>
      <w:r w:rsidR="00C71084">
        <w:t>identify</w:t>
      </w:r>
      <w:r>
        <w:t xml:space="preserve"> what was bein</w:t>
      </w:r>
      <w:r w:rsidR="002D4B46">
        <w:t>g included and what was being ex</w:t>
      </w:r>
      <w:r>
        <w:t>cluded in the data response, ICNU had no way of knowing that it was not getting full</w:t>
      </w:r>
      <w:r w:rsidR="00C71084">
        <w:t>y</w:t>
      </w:r>
      <w:r>
        <w:t xml:space="preserve"> </w:t>
      </w:r>
      <w:r w:rsidR="00BF7AC5">
        <w:t xml:space="preserve">responsive </w:t>
      </w:r>
      <w:r>
        <w:t>information.</w:t>
      </w:r>
      <w:r w:rsidR="00FE4E19">
        <w:t xml:space="preserve"> </w:t>
      </w:r>
      <w:r w:rsidR="00F72B10">
        <w:t xml:space="preserve"> If PacifiCorp was being straightforward and compliant with the data request, it would have included </w:t>
      </w:r>
      <w:r w:rsidR="00F72B10" w:rsidRPr="00F72B10">
        <w:rPr>
          <w:i/>
        </w:rPr>
        <w:t>all</w:t>
      </w:r>
      <w:r w:rsidR="00F72B10">
        <w:t xml:space="preserve"> contracts and explained why it believed certain contracts should be excluded.  Under this approach, the information would be known, and the Commission could have resolved the matter if the parties were unable to agree.  Obviously, this did not occur because presumably PacifiCorp believed it could provide selective information in response to discovery.  At best, t</w:t>
      </w:r>
      <w:r w:rsidR="00FE4E19">
        <w:t>he reasonableness of PacifiCorp’s interpretation of the data request discovery questi</w:t>
      </w:r>
      <w:r w:rsidR="00BC5993">
        <w:t>ons is a disputed issue of fact that merits additional investigation.</w:t>
      </w:r>
    </w:p>
    <w:p w:rsidR="00476BFE" w:rsidRPr="00BB5034" w:rsidRDefault="00E6697E" w:rsidP="00260B02">
      <w:pPr>
        <w:pStyle w:val="Responsebody"/>
      </w:pPr>
      <w:r>
        <w:tab/>
        <w:t xml:space="preserve"> </w:t>
      </w:r>
      <w:r>
        <w:tab/>
      </w:r>
      <w:r w:rsidR="00FA3477">
        <w:t xml:space="preserve">Further, </w:t>
      </w:r>
      <w:r w:rsidR="00D46A20">
        <w:t>the allegations in the Joint Complaint</w:t>
      </w:r>
      <w:r w:rsidR="006755D5">
        <w:t xml:space="preserve"> are not limited</w:t>
      </w:r>
      <w:r w:rsidR="003C2B02">
        <w:t xml:space="preserve"> to</w:t>
      </w:r>
      <w:r w:rsidR="00A2019E">
        <w:t xml:space="preserve"> PacifiCorp’s</w:t>
      </w:r>
      <w:r w:rsidR="003C2B02">
        <w:t xml:space="preserve"> failure to include the California Contracts.  </w:t>
      </w:r>
      <w:r w:rsidR="00F72B10">
        <w:t>T</w:t>
      </w:r>
      <w:r w:rsidR="003C2B02">
        <w:t xml:space="preserve">here may be other contracts </w:t>
      </w:r>
      <w:r w:rsidR="00D57DE4">
        <w:t>that</w:t>
      </w:r>
      <w:r w:rsidR="003C2B02">
        <w:t xml:space="preserve"> PacifiCorp </w:t>
      </w:r>
      <w:r w:rsidR="00D91039">
        <w:t xml:space="preserve">has </w:t>
      </w:r>
      <w:r w:rsidR="003C2B02">
        <w:t xml:space="preserve">failed to include in its </w:t>
      </w:r>
      <w:r w:rsidR="006B77A6">
        <w:t xml:space="preserve">discovery </w:t>
      </w:r>
      <w:r w:rsidR="003C2B02">
        <w:t>responses</w:t>
      </w:r>
      <w:r w:rsidR="00D57DE4">
        <w:t xml:space="preserve">, </w:t>
      </w:r>
      <w:r w:rsidR="00F2620D">
        <w:t>that neither</w:t>
      </w:r>
      <w:r w:rsidR="003C2B02">
        <w:t xml:space="preserve"> ICNU </w:t>
      </w:r>
      <w:r w:rsidR="00F2620D">
        <w:t>nor</w:t>
      </w:r>
      <w:r w:rsidR="003C2B02">
        <w:t xml:space="preserve"> Public Counsel </w:t>
      </w:r>
      <w:r w:rsidR="004566E4">
        <w:t>have yet discovered</w:t>
      </w:r>
      <w:r w:rsidR="003C2B02">
        <w:t xml:space="preserve">.  </w:t>
      </w:r>
      <w:r w:rsidR="0004133F">
        <w:t xml:space="preserve">Accordingly, </w:t>
      </w:r>
      <w:r w:rsidR="009A4B33">
        <w:t xml:space="preserve">ICNU and Public Counsel should be </w:t>
      </w:r>
      <w:r w:rsidR="00FE4BA3">
        <w:t xml:space="preserve">allowed to investigate </w:t>
      </w:r>
      <w:r w:rsidR="007C4023">
        <w:t>whether</w:t>
      </w:r>
      <w:r w:rsidR="00FE4BA3">
        <w:t xml:space="preserve"> PacifiCorp failed to fully respond to data requests and failed to supplement its data responses when new information became available, and</w:t>
      </w:r>
      <w:r w:rsidR="009A4B33">
        <w:t xml:space="preserve"> whether </w:t>
      </w:r>
      <w:r w:rsidR="00FE4BA3">
        <w:t>additional</w:t>
      </w:r>
      <w:r w:rsidR="009A4B33">
        <w:t xml:space="preserve"> </w:t>
      </w:r>
      <w:r w:rsidR="00FE4BA3">
        <w:t xml:space="preserve">discovery </w:t>
      </w:r>
      <w:r w:rsidR="009A4B33">
        <w:t>abuses</w:t>
      </w:r>
      <w:r w:rsidR="00FE4BA3">
        <w:t xml:space="preserve"> occurred.  </w:t>
      </w:r>
      <w:r w:rsidR="009A4B33">
        <w:t xml:space="preserve"> </w:t>
      </w:r>
    </w:p>
    <w:p w:rsidR="007E32C7" w:rsidRPr="00D166B1" w:rsidRDefault="007E32C7" w:rsidP="00260B02">
      <w:pPr>
        <w:pStyle w:val="WUTCParagraph"/>
        <w:numPr>
          <w:ilvl w:val="0"/>
          <w:numId w:val="7"/>
        </w:numPr>
        <w:spacing w:before="240" w:line="240" w:lineRule="auto"/>
        <w:jc w:val="center"/>
        <w:rPr>
          <w:b/>
        </w:rPr>
      </w:pPr>
      <w:r w:rsidRPr="00D166B1">
        <w:rPr>
          <w:b/>
        </w:rPr>
        <w:t>CONCLUSION</w:t>
      </w:r>
    </w:p>
    <w:p w:rsidR="002E65CA" w:rsidRDefault="007E32C7" w:rsidP="00260B02">
      <w:pPr>
        <w:pStyle w:val="Responsebody"/>
      </w:pPr>
      <w:r>
        <w:t xml:space="preserve"> </w:t>
      </w:r>
      <w:r>
        <w:tab/>
        <w:t xml:space="preserve"> </w:t>
      </w:r>
      <w:r>
        <w:tab/>
      </w:r>
      <w:r w:rsidR="00697D97">
        <w:t xml:space="preserve">The Motion to Dismiss is yet another attempt by PacifiCorp to evade the consequences of concealing information from parties to the </w:t>
      </w:r>
      <w:r w:rsidR="00697D97">
        <w:rPr>
          <w:i/>
        </w:rPr>
        <w:t>2009 GRC</w:t>
      </w:r>
      <w:r w:rsidR="005317C5">
        <w:rPr>
          <w:i/>
        </w:rPr>
        <w:t xml:space="preserve"> </w:t>
      </w:r>
      <w:r w:rsidR="005317C5">
        <w:t>and</w:t>
      </w:r>
      <w:r w:rsidR="00F96C37">
        <w:t xml:space="preserve"> to</w:t>
      </w:r>
      <w:r w:rsidR="005317C5">
        <w:t xml:space="preserve"> avoid </w:t>
      </w:r>
      <w:r w:rsidR="00F72B10">
        <w:t>crediting</w:t>
      </w:r>
      <w:r w:rsidR="00B962D6">
        <w:t xml:space="preserve"> </w:t>
      </w:r>
      <w:r w:rsidR="005317C5">
        <w:t xml:space="preserve">ratepayers </w:t>
      </w:r>
      <w:r w:rsidR="00F72B10">
        <w:t xml:space="preserve">with </w:t>
      </w:r>
      <w:r w:rsidR="005317C5">
        <w:t>the amounts they were overcharged</w:t>
      </w:r>
      <w:r w:rsidR="00F96C37">
        <w:t xml:space="preserve"> in rates</w:t>
      </w:r>
      <w:r w:rsidR="00697D97">
        <w:t>.</w:t>
      </w:r>
      <w:r w:rsidR="00F96C37">
        <w:t xml:space="preserve"> </w:t>
      </w:r>
      <w:r w:rsidR="00F72B10">
        <w:t xml:space="preserve"> </w:t>
      </w:r>
      <w:r w:rsidR="00F96C37">
        <w:t xml:space="preserve">PacifiCorp has failed to carry its burden </w:t>
      </w:r>
      <w:r w:rsidR="00132AD3">
        <w:t>to demonstrate</w:t>
      </w:r>
      <w:r w:rsidR="00F96C37">
        <w:t xml:space="preserve"> that the Joint Complaint should be dismissed as a matter of law.</w:t>
      </w:r>
      <w:r w:rsidR="00697D97">
        <w:t xml:space="preserve">  </w:t>
      </w:r>
      <w:r w:rsidR="00B243CD">
        <w:t xml:space="preserve">ICNU </w:t>
      </w:r>
      <w:r w:rsidR="00B243CD">
        <w:lastRenderedPageBreak/>
        <w:t xml:space="preserve">and Public Counsel should be allowed the opportunity to pursue the allegations raised in the Joint Complaint and </w:t>
      </w:r>
      <w:r w:rsidR="003C6700">
        <w:t xml:space="preserve">to </w:t>
      </w:r>
      <w:r w:rsidR="00B243CD">
        <w:t xml:space="preserve">develop a full record.  </w:t>
      </w:r>
      <w:r>
        <w:t>For the foregoing reasons, ICNU and Public C</w:t>
      </w:r>
      <w:r w:rsidR="006919C3">
        <w:t xml:space="preserve">ounsel respectfully request that </w:t>
      </w:r>
      <w:r w:rsidR="009B0CD0">
        <w:t xml:space="preserve">the Commission deny </w:t>
      </w:r>
      <w:r w:rsidR="006919C3">
        <w:t>PacifiCorp’s Motion to Dismiss</w:t>
      </w:r>
      <w:r w:rsidR="00F72B10">
        <w:t xml:space="preserve"> or Motion for Summary Disposition</w:t>
      </w:r>
      <w:r w:rsidR="006919C3">
        <w:t xml:space="preserve">.  </w:t>
      </w:r>
    </w:p>
    <w:p w:rsidR="00B75985" w:rsidRDefault="00B75985">
      <w:pPr>
        <w:widowControl/>
        <w:spacing w:line="240" w:lineRule="auto"/>
      </w:pPr>
      <w:r>
        <w:br w:type="page"/>
      </w:r>
    </w:p>
    <w:p w:rsidR="007C2D41" w:rsidRDefault="007C2D41" w:rsidP="00E5483D">
      <w:r>
        <w:lastRenderedPageBreak/>
        <w:t>Respectfully submitted,</w:t>
      </w:r>
    </w:p>
    <w:p w:rsidR="00AE5542" w:rsidRPr="003D6F28" w:rsidRDefault="00AE5542" w:rsidP="00E5483D"/>
    <w:p w:rsidR="00C44D6F" w:rsidRDefault="007C2D41" w:rsidP="00C44D6F">
      <w:pPr>
        <w:ind w:left="720" w:firstLine="720"/>
      </w:pPr>
      <w:proofErr w:type="gramStart"/>
      <w:r w:rsidRPr="00E369F1">
        <w:t xml:space="preserve">DATED this </w:t>
      </w:r>
      <w:r w:rsidR="00BE111F">
        <w:t>28</w:t>
      </w:r>
      <w:r w:rsidR="0064383F">
        <w:t>th</w:t>
      </w:r>
      <w:r w:rsidR="00901261">
        <w:t xml:space="preserve"> </w:t>
      </w:r>
      <w:r>
        <w:t xml:space="preserve">day of </w:t>
      </w:r>
      <w:r w:rsidR="0064383F">
        <w:t>February, 2011</w:t>
      </w:r>
      <w:r>
        <w:t>.</w:t>
      </w:r>
      <w:proofErr w:type="gramEnd"/>
    </w:p>
    <w:p w:rsidR="00C44D6F" w:rsidRDefault="00C44D6F" w:rsidP="00C44D6F">
      <w:pPr>
        <w:ind w:left="720" w:firstLine="720"/>
      </w:pPr>
    </w:p>
    <w:p w:rsidR="00C44D6F" w:rsidRDefault="007C2D41" w:rsidP="00C44D6F">
      <w:pPr>
        <w:ind w:left="720" w:firstLine="720"/>
      </w:pPr>
      <w:r>
        <w:t>PUBLIC COUNSEL</w:t>
      </w:r>
      <w:r>
        <w:tab/>
      </w:r>
      <w:r>
        <w:tab/>
      </w:r>
      <w:r>
        <w:tab/>
      </w:r>
      <w:r>
        <w:tab/>
        <w:t>DAVISON VAN CLEVE, P.C.</w:t>
      </w:r>
    </w:p>
    <w:p w:rsidR="00C44D6F" w:rsidRDefault="00C44D6F" w:rsidP="00C44D6F">
      <w:pPr>
        <w:ind w:left="720" w:firstLine="720"/>
      </w:pPr>
    </w:p>
    <w:p w:rsidR="00C44D6F" w:rsidRDefault="00C44D6F" w:rsidP="00C44D6F">
      <w:pPr>
        <w:spacing w:line="240" w:lineRule="auto"/>
        <w:ind w:left="720" w:firstLine="720"/>
      </w:pPr>
      <w:r w:rsidRPr="00C44D6F">
        <w:rPr>
          <w:i/>
          <w:iCs/>
          <w:u w:val="single"/>
        </w:rPr>
        <w:t xml:space="preserve">/s/ Sarah </w:t>
      </w:r>
      <w:r w:rsidR="00B774EA">
        <w:rPr>
          <w:i/>
          <w:iCs/>
          <w:u w:val="single"/>
        </w:rPr>
        <w:t xml:space="preserve">A. </w:t>
      </w:r>
      <w:r w:rsidRPr="00C44D6F">
        <w:rPr>
          <w:i/>
          <w:iCs/>
          <w:u w:val="single"/>
        </w:rPr>
        <w:t>Shifley</w:t>
      </w:r>
      <w:r w:rsidR="007C2D41">
        <w:tab/>
      </w:r>
      <w:r w:rsidR="007C2D41">
        <w:tab/>
      </w:r>
      <w:r w:rsidR="007C2D41">
        <w:tab/>
      </w:r>
      <w:r w:rsidR="007C2D41">
        <w:tab/>
      </w:r>
      <w:r w:rsidR="007C2D41">
        <w:rPr>
          <w:i/>
          <w:iCs/>
          <w:u w:val="single"/>
        </w:rPr>
        <w:t>/s/ Melinda J. Davison</w:t>
      </w:r>
    </w:p>
    <w:p w:rsidR="001D3AE8" w:rsidRPr="001D3AE8" w:rsidRDefault="007C2D41" w:rsidP="00FB76F6">
      <w:pPr>
        <w:spacing w:line="240" w:lineRule="auto"/>
      </w:pPr>
      <w:r>
        <w:tab/>
      </w:r>
      <w:r>
        <w:tab/>
        <w:t>Sarah A. Shifley</w:t>
      </w:r>
      <w:r w:rsidRPr="00FB76F6">
        <w:t xml:space="preserve"> </w:t>
      </w:r>
      <w:r>
        <w:tab/>
      </w:r>
      <w:r>
        <w:tab/>
      </w:r>
      <w:r>
        <w:tab/>
      </w:r>
      <w:r>
        <w:tab/>
        <w:t>Melinda J. Davison</w:t>
      </w:r>
    </w:p>
    <w:p w:rsidR="00C44D6F" w:rsidRPr="003C1A78" w:rsidRDefault="007C2D41" w:rsidP="00C44D6F">
      <w:pPr>
        <w:spacing w:line="240" w:lineRule="auto"/>
        <w:rPr>
          <w:bCs/>
        </w:rPr>
      </w:pPr>
      <w:r>
        <w:tab/>
      </w:r>
      <w:r w:rsidRPr="003C1A78">
        <w:tab/>
      </w:r>
      <w:r w:rsidRPr="003C1A78">
        <w:rPr>
          <w:bCs/>
        </w:rPr>
        <w:t xml:space="preserve">Assistant Attorney General  </w:t>
      </w:r>
      <w:r w:rsidRPr="003C1A78">
        <w:t xml:space="preserve"> </w:t>
      </w:r>
      <w:r w:rsidRPr="003C1A78">
        <w:tab/>
      </w:r>
      <w:r w:rsidRPr="003C1A78">
        <w:tab/>
      </w:r>
      <w:r w:rsidR="003C1A78">
        <w:tab/>
      </w:r>
      <w:r w:rsidR="00F91C66">
        <w:t>Jocelyn C. Pease</w:t>
      </w:r>
      <w:r w:rsidRPr="003C1A78">
        <w:rPr>
          <w:bCs/>
        </w:rPr>
        <w:tab/>
      </w:r>
      <w:r w:rsidRPr="003C1A78">
        <w:rPr>
          <w:bCs/>
        </w:rPr>
        <w:tab/>
      </w:r>
    </w:p>
    <w:p w:rsidR="00C44D6F" w:rsidRDefault="007C2D41" w:rsidP="00C44D6F">
      <w:pPr>
        <w:spacing w:line="240" w:lineRule="auto"/>
      </w:pPr>
      <w:r w:rsidRPr="003C1A78">
        <w:rPr>
          <w:bCs/>
        </w:rPr>
        <w:tab/>
      </w:r>
      <w:r w:rsidRPr="003C1A78">
        <w:rPr>
          <w:bCs/>
        </w:rPr>
        <w:tab/>
        <w:t>Public Counsel Section</w:t>
      </w:r>
      <w:r w:rsidRPr="003C1A78">
        <w:rPr>
          <w:bCs/>
        </w:rPr>
        <w:tab/>
      </w:r>
      <w:r>
        <w:rPr>
          <w:b/>
          <w:bCs/>
        </w:rPr>
        <w:tab/>
      </w:r>
      <w:r>
        <w:rPr>
          <w:b/>
          <w:bCs/>
        </w:rPr>
        <w:tab/>
      </w:r>
      <w:r w:rsidR="00F91C66" w:rsidRPr="003C1A78">
        <w:t>333 S.W. Taylor, Suite 400</w:t>
      </w:r>
    </w:p>
    <w:p w:rsidR="00C44D6F" w:rsidRDefault="007C2D41" w:rsidP="00C44D6F">
      <w:pPr>
        <w:spacing w:line="240" w:lineRule="auto"/>
      </w:pPr>
      <w:r>
        <w:tab/>
      </w:r>
      <w:r>
        <w:tab/>
        <w:t>800 Fifth Avenue, Suite 2000</w:t>
      </w:r>
      <w:r>
        <w:tab/>
      </w:r>
      <w:r>
        <w:tab/>
      </w:r>
      <w:r>
        <w:tab/>
      </w:r>
      <w:r w:rsidR="00F91C66">
        <w:t>Portland, Oregon 97204</w:t>
      </w:r>
    </w:p>
    <w:p w:rsidR="00C44D6F" w:rsidRDefault="007C2D41" w:rsidP="00C44D6F">
      <w:pPr>
        <w:spacing w:line="240" w:lineRule="auto"/>
      </w:pPr>
      <w:r>
        <w:tab/>
      </w:r>
      <w:r>
        <w:tab/>
        <w:t xml:space="preserve">Washington State Attorney </w:t>
      </w:r>
      <w:r>
        <w:tab/>
      </w:r>
      <w:r>
        <w:tab/>
      </w:r>
      <w:r>
        <w:tab/>
      </w:r>
      <w:r w:rsidR="00F91C66">
        <w:t>(503) 241-7242 telephone</w:t>
      </w:r>
    </w:p>
    <w:p w:rsidR="00C44D6F" w:rsidRDefault="007C2D41" w:rsidP="00C44D6F">
      <w:pPr>
        <w:spacing w:line="240" w:lineRule="auto"/>
      </w:pPr>
      <w:r>
        <w:tab/>
      </w:r>
      <w:r>
        <w:tab/>
        <w:t>General's Office</w:t>
      </w:r>
      <w:r>
        <w:tab/>
      </w:r>
      <w:r>
        <w:tab/>
      </w:r>
      <w:r>
        <w:tab/>
      </w:r>
      <w:r>
        <w:tab/>
      </w:r>
      <w:r w:rsidR="00F91C66">
        <w:t>(503) 241-8160 facsimile</w:t>
      </w:r>
    </w:p>
    <w:p w:rsidR="00C44D6F" w:rsidRPr="00C44D6F" w:rsidRDefault="007C2D41" w:rsidP="00C44D6F">
      <w:pPr>
        <w:spacing w:line="240" w:lineRule="auto"/>
        <w:rPr>
          <w:b/>
          <w:bCs/>
        </w:rPr>
      </w:pPr>
      <w:r>
        <w:tab/>
      </w:r>
      <w:r>
        <w:tab/>
        <w:t>Seattle, WA 98104</w:t>
      </w:r>
      <w:r>
        <w:tab/>
      </w:r>
      <w:r>
        <w:tab/>
      </w:r>
      <w:r>
        <w:tab/>
      </w:r>
      <w:r>
        <w:tab/>
      </w:r>
      <w:r w:rsidR="00F91C66">
        <w:t>mjd</w:t>
      </w:r>
      <w:r w:rsidR="00F91C66" w:rsidRPr="00247CE2">
        <w:t>@dvclaw.com</w:t>
      </w:r>
    </w:p>
    <w:p w:rsidR="00C44D6F" w:rsidRDefault="007C2D41" w:rsidP="00C44D6F">
      <w:pPr>
        <w:spacing w:line="240" w:lineRule="auto"/>
      </w:pPr>
      <w:r>
        <w:tab/>
      </w:r>
      <w:r>
        <w:tab/>
        <w:t>(206) 464-6595</w:t>
      </w:r>
      <w:r>
        <w:tab/>
      </w:r>
      <w:r>
        <w:tab/>
      </w:r>
      <w:r>
        <w:tab/>
      </w:r>
      <w:r>
        <w:tab/>
      </w:r>
      <w:r w:rsidR="00F91C66">
        <w:t>jcp@dvclaw.com</w:t>
      </w:r>
    </w:p>
    <w:p w:rsidR="00F91C66" w:rsidRDefault="007C2D41" w:rsidP="00E67110">
      <w:pPr>
        <w:spacing w:line="240" w:lineRule="auto"/>
      </w:pPr>
      <w:r>
        <w:tab/>
      </w:r>
      <w:r>
        <w:tab/>
      </w:r>
      <w:r w:rsidR="00C44D6F" w:rsidRPr="00C44D6F">
        <w:t>sarah.shifley@atg.wa.gov</w:t>
      </w:r>
      <w:r>
        <w:tab/>
      </w:r>
      <w:r>
        <w:tab/>
      </w:r>
      <w:r>
        <w:tab/>
      </w:r>
      <w:r w:rsidR="00F91C66">
        <w:t>Of Attorneys for Industrial</w:t>
      </w:r>
    </w:p>
    <w:p w:rsidR="007C2D41" w:rsidRPr="00E369F1" w:rsidRDefault="00F91C66" w:rsidP="00E67110">
      <w:pPr>
        <w:spacing w:line="240" w:lineRule="auto"/>
      </w:pPr>
      <w:r>
        <w:tab/>
      </w:r>
      <w:r>
        <w:tab/>
      </w:r>
      <w:r>
        <w:tab/>
      </w:r>
      <w:r>
        <w:tab/>
      </w:r>
      <w:r>
        <w:tab/>
      </w:r>
      <w:r>
        <w:tab/>
      </w:r>
      <w:r>
        <w:tab/>
      </w:r>
      <w:r>
        <w:tab/>
        <w:t>Customers of Northwest Utilities</w:t>
      </w:r>
    </w:p>
    <w:sectPr w:rsidR="007C2D41" w:rsidRPr="00E369F1" w:rsidSect="00AF7968">
      <w:footerReference w:type="first" r:id="rId10"/>
      <w:footnotePr>
        <w:pos w:val="beneathText"/>
      </w:footnotePr>
      <w:pgSz w:w="12240" w:h="15840" w:code="1"/>
      <w:pgMar w:top="1440" w:right="1440" w:bottom="1440" w:left="1440" w:header="432" w:footer="720" w:gutter="0"/>
      <w:paperSrc w:first="15" w:other="15"/>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49E" w:rsidRDefault="005C149E">
      <w:r>
        <w:separator/>
      </w:r>
    </w:p>
  </w:endnote>
  <w:endnote w:type="continuationSeparator" w:id="0">
    <w:p w:rsidR="005C149E" w:rsidRDefault="005C14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2345"/>
      <w:docPartObj>
        <w:docPartGallery w:val="Page Numbers (Bottom of Page)"/>
        <w:docPartUnique/>
      </w:docPartObj>
    </w:sdtPr>
    <w:sdtContent>
      <w:p w:rsidR="00AF7968" w:rsidRDefault="00637978">
        <w:pPr>
          <w:pStyle w:val="Footer"/>
          <w:jc w:val="center"/>
        </w:pPr>
        <w:fldSimple w:instr=" PAGE   \* MERGEFORMAT ">
          <w:r w:rsidR="003A797D">
            <w:rPr>
              <w:noProof/>
            </w:rPr>
            <w:t>vii</w:t>
          </w:r>
        </w:fldSimple>
      </w:p>
    </w:sdtContent>
  </w:sdt>
  <w:p w:rsidR="005C149E" w:rsidRDefault="005C149E">
    <w:pPr>
      <w:pStyle w:val="Header"/>
      <w:tabs>
        <w:tab w:val="clear" w:pos="4320"/>
        <w:tab w:val="clear" w:pos="8640"/>
      </w:tabs>
      <w:spacing w:line="240"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68" w:rsidRDefault="00AF7968" w:rsidP="00AF7968">
    <w:pPr>
      <w:pStyle w:val="Header"/>
      <w:tabs>
        <w:tab w:val="clear" w:pos="4320"/>
        <w:tab w:val="clear" w:pos="8640"/>
      </w:tabs>
      <w:spacing w:line="240" w:lineRule="auto"/>
      <w:rPr>
        <w:rStyle w:val="PageNumber"/>
      </w:rPr>
    </w:pPr>
    <w:r>
      <w:t xml:space="preserve">PAGE </w:t>
    </w:r>
    <w:r w:rsidR="00637978">
      <w:rPr>
        <w:rStyle w:val="PageNumber"/>
      </w:rPr>
      <w:fldChar w:fldCharType="begin"/>
    </w:r>
    <w:r>
      <w:rPr>
        <w:rStyle w:val="PageNumber"/>
      </w:rPr>
      <w:instrText xml:space="preserve"> PAGE </w:instrText>
    </w:r>
    <w:r w:rsidR="00637978">
      <w:rPr>
        <w:rStyle w:val="PageNumber"/>
      </w:rPr>
      <w:fldChar w:fldCharType="separate"/>
    </w:r>
    <w:r w:rsidR="003A797D">
      <w:rPr>
        <w:rStyle w:val="PageNumber"/>
        <w:noProof/>
      </w:rPr>
      <w:t>1</w:t>
    </w:r>
    <w:r w:rsidR="00637978">
      <w:rPr>
        <w:rStyle w:val="PageNumber"/>
      </w:rPr>
      <w:fldChar w:fldCharType="end"/>
    </w:r>
    <w:r>
      <w:rPr>
        <w:rStyle w:val="PageNumber"/>
      </w:rPr>
      <w:t xml:space="preserve"> – ICNU AND PUBLIC COUNSEL’S RESPONSE IN OPPOSITION TO MOTION </w:t>
    </w:r>
  </w:p>
  <w:p w:rsidR="00AF7968" w:rsidRDefault="00AF7968" w:rsidP="00AF7968">
    <w:pPr>
      <w:pStyle w:val="Header"/>
      <w:tabs>
        <w:tab w:val="clear" w:pos="4320"/>
        <w:tab w:val="clear" w:pos="8640"/>
      </w:tabs>
      <w:spacing w:line="240" w:lineRule="auto"/>
      <w:rPr>
        <w:sz w:val="20"/>
        <w:szCs w:val="20"/>
      </w:rPr>
    </w:pPr>
    <w:r>
      <w:rPr>
        <w:rStyle w:val="PageNumber"/>
      </w:rPr>
      <w:tab/>
      <w:t xml:space="preserve">       TO DISMISS</w:t>
    </w:r>
  </w:p>
  <w:p w:rsidR="00AF7968" w:rsidRDefault="00AF7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49E" w:rsidRDefault="005C149E">
      <w:pPr>
        <w:pStyle w:val="BodyTextIndent3"/>
        <w:spacing w:line="240" w:lineRule="exact"/>
        <w:ind w:firstLine="0"/>
      </w:pPr>
      <w:r>
        <w:separator/>
      </w:r>
    </w:p>
  </w:footnote>
  <w:footnote w:type="continuationSeparator" w:id="0">
    <w:p w:rsidR="005C149E" w:rsidRDefault="005C149E">
      <w:r>
        <w:continuationSeparator/>
      </w:r>
    </w:p>
  </w:footnote>
  <w:footnote w:id="1">
    <w:p w:rsidR="005C149E" w:rsidRPr="007456D7" w:rsidRDefault="005C149E" w:rsidP="00173C79">
      <w:pPr>
        <w:pStyle w:val="FootnoteText"/>
      </w:pPr>
      <w:r w:rsidRPr="0093179B">
        <w:rPr>
          <w:rStyle w:val="FootnoteReference"/>
          <w:u w:val="single"/>
        </w:rPr>
        <w:footnoteRef/>
      </w:r>
      <w:r w:rsidRPr="00530ED0">
        <w:rPr>
          <w:vertAlign w:val="superscript"/>
        </w:rPr>
        <w:t>/</w:t>
      </w:r>
      <w:r w:rsidRPr="00530ED0">
        <w:tab/>
      </w:r>
      <w:r w:rsidRPr="006C0665">
        <w:rPr>
          <w:i/>
        </w:rPr>
        <w:t>WUTC v. PacifiCorp d/b/a Pacific Power &amp; Light Co.</w:t>
      </w:r>
      <w:r w:rsidRPr="001E065B">
        <w:t xml:space="preserve">, Docket No. </w:t>
      </w:r>
      <w:proofErr w:type="gramStart"/>
      <w:r w:rsidRPr="001E065B">
        <w:t>UE-090205</w:t>
      </w:r>
      <w:r>
        <w:t>.</w:t>
      </w:r>
      <w:proofErr w:type="gramEnd"/>
      <w:r>
        <w:t xml:space="preserve"> </w:t>
      </w:r>
    </w:p>
  </w:footnote>
  <w:footnote w:id="2">
    <w:p w:rsidR="00F448BE" w:rsidRPr="007456D7" w:rsidRDefault="00F448BE" w:rsidP="00F448BE">
      <w:pPr>
        <w:pStyle w:val="FootnoteText"/>
      </w:pPr>
      <w:r w:rsidRPr="0093179B">
        <w:rPr>
          <w:rStyle w:val="FootnoteReference"/>
          <w:u w:val="single"/>
        </w:rPr>
        <w:footnoteRef/>
      </w:r>
      <w:r w:rsidRPr="00530ED0">
        <w:rPr>
          <w:vertAlign w:val="superscript"/>
        </w:rPr>
        <w:t>/</w:t>
      </w:r>
      <w:r w:rsidRPr="00530ED0">
        <w:tab/>
      </w:r>
      <w:r w:rsidRPr="006C0665">
        <w:rPr>
          <w:i/>
        </w:rPr>
        <w:t>WUTC v. PacifiCorp d/b/a Pacific Power &amp; Light Co.</w:t>
      </w:r>
      <w:r w:rsidRPr="00124300">
        <w:t xml:space="preserve">, Docket No. </w:t>
      </w:r>
      <w:proofErr w:type="gramStart"/>
      <w:r>
        <w:t>UE-</w:t>
      </w:r>
      <w:r w:rsidRPr="00124300">
        <w:t>100749</w:t>
      </w:r>
      <w:r>
        <w:t>.</w:t>
      </w:r>
      <w:proofErr w:type="gramEnd"/>
    </w:p>
  </w:footnote>
  <w:footnote w:id="3">
    <w:p w:rsidR="005C149E" w:rsidRPr="007456D7" w:rsidRDefault="005C149E" w:rsidP="00173C79">
      <w:pPr>
        <w:pStyle w:val="FootnoteText"/>
      </w:pPr>
      <w:r w:rsidRPr="0093179B">
        <w:rPr>
          <w:rStyle w:val="FootnoteReference"/>
          <w:u w:val="single"/>
        </w:rPr>
        <w:footnoteRef/>
      </w:r>
      <w:r w:rsidRPr="00530ED0">
        <w:rPr>
          <w:vertAlign w:val="superscript"/>
        </w:rPr>
        <w:t>/</w:t>
      </w:r>
      <w:r w:rsidRPr="00530ED0">
        <w:tab/>
      </w:r>
      <w:r>
        <w:t>WAC 480-07-380(1</w:t>
      </w:r>
      <w:proofErr w:type="gramStart"/>
      <w:r>
        <w:t>)(</w:t>
      </w:r>
      <w:proofErr w:type="gramEnd"/>
      <w:r>
        <w:t xml:space="preserve">a).  </w:t>
      </w:r>
    </w:p>
  </w:footnote>
  <w:footnote w:id="4">
    <w:p w:rsidR="005C149E" w:rsidRPr="00530ED0" w:rsidRDefault="005C149E" w:rsidP="00F82BF4">
      <w:pPr>
        <w:spacing w:line="240" w:lineRule="auto"/>
        <w:ind w:left="720" w:hanging="720"/>
        <w:rPr>
          <w:sz w:val="20"/>
        </w:rPr>
      </w:pPr>
      <w:r w:rsidRPr="00EE0D5F">
        <w:rPr>
          <w:rStyle w:val="FootnoteReference"/>
          <w:u w:val="single"/>
        </w:rPr>
        <w:footnoteRef/>
      </w:r>
      <w:r w:rsidRPr="00DA0BB1">
        <w:rPr>
          <w:sz w:val="20"/>
          <w:vertAlign w:val="superscript"/>
        </w:rPr>
        <w:t>/</w:t>
      </w:r>
      <w:r>
        <w:tab/>
      </w:r>
      <w:r w:rsidRPr="00F82BF4">
        <w:rPr>
          <w:i/>
          <w:sz w:val="20"/>
          <w:szCs w:val="20"/>
        </w:rPr>
        <w:t xml:space="preserve">Judd v. AT&amp;T Communications of the Pacific </w:t>
      </w:r>
      <w:proofErr w:type="gramStart"/>
      <w:r w:rsidRPr="00F82BF4">
        <w:rPr>
          <w:i/>
          <w:sz w:val="20"/>
          <w:szCs w:val="20"/>
        </w:rPr>
        <w:t>Nw.,</w:t>
      </w:r>
      <w:proofErr w:type="gramEnd"/>
      <w:r w:rsidRPr="00F82BF4">
        <w:rPr>
          <w:i/>
          <w:sz w:val="20"/>
          <w:szCs w:val="20"/>
        </w:rPr>
        <w:t xml:space="preserve"> Inc. and T-</w:t>
      </w:r>
      <w:proofErr w:type="spellStart"/>
      <w:r w:rsidRPr="00F82BF4">
        <w:rPr>
          <w:i/>
          <w:sz w:val="20"/>
          <w:szCs w:val="20"/>
        </w:rPr>
        <w:t>Netix</w:t>
      </w:r>
      <w:proofErr w:type="spellEnd"/>
      <w:r w:rsidRPr="00F82BF4">
        <w:rPr>
          <w:i/>
          <w:sz w:val="20"/>
          <w:szCs w:val="20"/>
        </w:rPr>
        <w:t>, Inc.</w:t>
      </w:r>
      <w:r w:rsidRPr="00F82BF4">
        <w:rPr>
          <w:sz w:val="20"/>
          <w:szCs w:val="20"/>
        </w:rPr>
        <w:t xml:space="preserve">, Docket No. </w:t>
      </w:r>
      <w:proofErr w:type="gramStart"/>
      <w:r w:rsidRPr="00F82BF4">
        <w:rPr>
          <w:sz w:val="20"/>
          <w:szCs w:val="20"/>
        </w:rPr>
        <w:t>UT-042022, Order No. 23 ¶26 (Apr. 21, 2010).</w:t>
      </w:r>
      <w:proofErr w:type="gramEnd"/>
    </w:p>
  </w:footnote>
  <w:footnote w:id="5">
    <w:p w:rsidR="005C149E" w:rsidRPr="00530ED0" w:rsidRDefault="005C149E" w:rsidP="00F35E3D">
      <w:pPr>
        <w:keepLines/>
        <w:autoSpaceDE w:val="0"/>
        <w:autoSpaceDN w:val="0"/>
        <w:adjustRightInd w:val="0"/>
        <w:spacing w:line="240" w:lineRule="auto"/>
        <w:ind w:left="720" w:hanging="720"/>
        <w:rPr>
          <w:sz w:val="20"/>
        </w:rPr>
      </w:pPr>
      <w:r w:rsidRPr="00EE0D5F">
        <w:rPr>
          <w:rStyle w:val="FootnoteReference"/>
          <w:u w:val="single"/>
        </w:rPr>
        <w:footnoteRef/>
      </w:r>
      <w:r w:rsidRPr="00DA0BB1">
        <w:rPr>
          <w:sz w:val="20"/>
          <w:vertAlign w:val="superscript"/>
        </w:rPr>
        <w:t>/</w:t>
      </w:r>
      <w:r>
        <w:tab/>
      </w:r>
      <w:r w:rsidRPr="008A1800">
        <w:rPr>
          <w:i/>
          <w:iCs/>
          <w:sz w:val="20"/>
          <w:szCs w:val="20"/>
        </w:rPr>
        <w:t>Activate, Inc., v. State, Dept. of Revenue</w:t>
      </w:r>
      <w:r w:rsidRPr="008A1800">
        <w:rPr>
          <w:sz w:val="20"/>
          <w:szCs w:val="20"/>
        </w:rPr>
        <w:t xml:space="preserve">, </w:t>
      </w:r>
      <w:proofErr w:type="gramStart"/>
      <w:r w:rsidRPr="008A1800">
        <w:rPr>
          <w:sz w:val="20"/>
          <w:szCs w:val="20"/>
        </w:rPr>
        <w:t>150</w:t>
      </w:r>
      <w:proofErr w:type="gramEnd"/>
      <w:r w:rsidRPr="008A1800">
        <w:rPr>
          <w:sz w:val="20"/>
          <w:szCs w:val="20"/>
        </w:rPr>
        <w:t xml:space="preserve"> </w:t>
      </w:r>
      <w:proofErr w:type="spellStart"/>
      <w:r w:rsidRPr="008A1800">
        <w:rPr>
          <w:sz w:val="20"/>
          <w:szCs w:val="20"/>
        </w:rPr>
        <w:t>W</w:t>
      </w:r>
      <w:r w:rsidR="00F409FA">
        <w:rPr>
          <w:sz w:val="20"/>
          <w:szCs w:val="20"/>
        </w:rPr>
        <w:t>n</w:t>
      </w:r>
      <w:r w:rsidRPr="008A1800">
        <w:rPr>
          <w:sz w:val="20"/>
          <w:szCs w:val="20"/>
        </w:rPr>
        <w:t>.App</w:t>
      </w:r>
      <w:proofErr w:type="spellEnd"/>
      <w:r>
        <w:rPr>
          <w:sz w:val="20"/>
          <w:szCs w:val="20"/>
        </w:rPr>
        <w:t xml:space="preserve">. </w:t>
      </w:r>
      <w:proofErr w:type="gramStart"/>
      <w:r>
        <w:rPr>
          <w:sz w:val="20"/>
          <w:szCs w:val="20"/>
        </w:rPr>
        <w:t>807, 812, 209 P.3d 524 (2009).</w:t>
      </w:r>
      <w:proofErr w:type="gramEnd"/>
    </w:p>
  </w:footnote>
  <w:footnote w:id="6">
    <w:p w:rsidR="005C149E" w:rsidRPr="00530ED0" w:rsidRDefault="005C149E" w:rsidP="0010159C">
      <w:pPr>
        <w:keepLines/>
        <w:autoSpaceDE w:val="0"/>
        <w:autoSpaceDN w:val="0"/>
        <w:adjustRightInd w:val="0"/>
        <w:spacing w:line="240" w:lineRule="auto"/>
        <w:ind w:left="720" w:hanging="720"/>
        <w:rPr>
          <w:sz w:val="20"/>
        </w:rPr>
      </w:pPr>
      <w:r w:rsidRPr="00EE0D5F">
        <w:rPr>
          <w:rStyle w:val="FootnoteReference"/>
          <w:u w:val="single"/>
        </w:rPr>
        <w:footnoteRef/>
      </w:r>
      <w:r w:rsidRPr="00DA0BB1">
        <w:rPr>
          <w:sz w:val="20"/>
          <w:vertAlign w:val="superscript"/>
        </w:rPr>
        <w:t>/</w:t>
      </w:r>
      <w:r>
        <w:tab/>
      </w:r>
      <w:r>
        <w:rPr>
          <w:i/>
          <w:iCs/>
          <w:sz w:val="20"/>
          <w:szCs w:val="20"/>
        </w:rPr>
        <w:t xml:space="preserve">Id. </w:t>
      </w:r>
      <w:r w:rsidRPr="008A1800">
        <w:rPr>
          <w:sz w:val="20"/>
          <w:szCs w:val="20"/>
        </w:rPr>
        <w:t>(</w:t>
      </w:r>
      <w:r w:rsidRPr="00D910DD">
        <w:rPr>
          <w:i/>
          <w:sz w:val="20"/>
          <w:szCs w:val="20"/>
        </w:rPr>
        <w:t>citing</w:t>
      </w:r>
      <w:r w:rsidRPr="008A1800">
        <w:rPr>
          <w:sz w:val="20"/>
          <w:szCs w:val="20"/>
        </w:rPr>
        <w:t xml:space="preserve"> </w:t>
      </w:r>
      <w:proofErr w:type="spellStart"/>
      <w:r w:rsidRPr="008A1800">
        <w:rPr>
          <w:i/>
          <w:iCs/>
          <w:sz w:val="20"/>
          <w:szCs w:val="20"/>
        </w:rPr>
        <w:t>Vallandigham</w:t>
      </w:r>
      <w:proofErr w:type="spellEnd"/>
      <w:r w:rsidRPr="008A1800">
        <w:rPr>
          <w:i/>
          <w:iCs/>
          <w:sz w:val="20"/>
          <w:szCs w:val="20"/>
        </w:rPr>
        <w:t xml:space="preserve"> v. Clover Park Sch. Dist. No. 400</w:t>
      </w:r>
      <w:r w:rsidRPr="008A1800">
        <w:rPr>
          <w:sz w:val="20"/>
          <w:szCs w:val="20"/>
        </w:rPr>
        <w:t>, 154 W</w:t>
      </w:r>
      <w:r w:rsidR="00F409FA">
        <w:rPr>
          <w:sz w:val="20"/>
          <w:szCs w:val="20"/>
        </w:rPr>
        <w:t>n</w:t>
      </w:r>
      <w:r w:rsidRPr="008A1800">
        <w:rPr>
          <w:sz w:val="20"/>
          <w:szCs w:val="20"/>
        </w:rPr>
        <w:t>.2d 16, 26, 109 P.3d 805 (2005)</w:t>
      </w:r>
      <w:r>
        <w:rPr>
          <w:sz w:val="20"/>
          <w:szCs w:val="20"/>
        </w:rPr>
        <w:t>)</w:t>
      </w:r>
      <w:r w:rsidRPr="008A1800">
        <w:rPr>
          <w:sz w:val="20"/>
          <w:szCs w:val="20"/>
        </w:rPr>
        <w:t>.</w:t>
      </w:r>
    </w:p>
  </w:footnote>
  <w:footnote w:id="7">
    <w:p w:rsidR="005C149E" w:rsidRPr="00530ED0" w:rsidRDefault="005C149E" w:rsidP="008A1800">
      <w:pPr>
        <w:keepLines/>
        <w:autoSpaceDE w:val="0"/>
        <w:autoSpaceDN w:val="0"/>
        <w:adjustRightInd w:val="0"/>
        <w:spacing w:line="240" w:lineRule="auto"/>
        <w:ind w:left="720" w:hanging="720"/>
        <w:rPr>
          <w:sz w:val="20"/>
        </w:rPr>
      </w:pPr>
      <w:r w:rsidRPr="00EE0D5F">
        <w:rPr>
          <w:rStyle w:val="FootnoteReference"/>
          <w:u w:val="single"/>
        </w:rPr>
        <w:footnoteRef/>
      </w:r>
      <w:r w:rsidRPr="00DA0BB1">
        <w:rPr>
          <w:sz w:val="20"/>
          <w:vertAlign w:val="superscript"/>
        </w:rPr>
        <w:t>/</w:t>
      </w:r>
      <w:r>
        <w:tab/>
      </w:r>
      <w:r>
        <w:rPr>
          <w:i/>
          <w:iCs/>
          <w:sz w:val="20"/>
          <w:szCs w:val="20"/>
        </w:rPr>
        <w:t xml:space="preserve">Id. </w:t>
      </w:r>
    </w:p>
  </w:footnote>
  <w:footnote w:id="8">
    <w:p w:rsidR="005C149E" w:rsidRPr="007456D7" w:rsidRDefault="005C149E" w:rsidP="00173C79">
      <w:pPr>
        <w:pStyle w:val="FootnoteText"/>
      </w:pPr>
      <w:r w:rsidRPr="0093179B">
        <w:rPr>
          <w:rStyle w:val="FootnoteReference"/>
          <w:u w:val="single"/>
        </w:rPr>
        <w:footnoteRef/>
      </w:r>
      <w:r w:rsidRPr="00530ED0">
        <w:rPr>
          <w:vertAlign w:val="superscript"/>
        </w:rPr>
        <w:t>/</w:t>
      </w:r>
      <w:r w:rsidRPr="00530ED0">
        <w:tab/>
      </w:r>
      <w:r>
        <w:t>WAC 480-07-380(1</w:t>
      </w:r>
      <w:proofErr w:type="gramStart"/>
      <w:r>
        <w:t>)(</w:t>
      </w:r>
      <w:proofErr w:type="gramEnd"/>
      <w:r>
        <w:t xml:space="preserve">a).  </w:t>
      </w:r>
    </w:p>
  </w:footnote>
  <w:footnote w:id="9">
    <w:p w:rsidR="005C149E" w:rsidRPr="007456D7" w:rsidRDefault="005C149E" w:rsidP="00173C79">
      <w:pPr>
        <w:pStyle w:val="FootnoteText"/>
      </w:pPr>
      <w:r w:rsidRPr="0093179B">
        <w:rPr>
          <w:rStyle w:val="FootnoteReference"/>
          <w:u w:val="single"/>
        </w:rPr>
        <w:footnoteRef/>
      </w:r>
      <w:r w:rsidRPr="00530ED0">
        <w:rPr>
          <w:vertAlign w:val="superscript"/>
        </w:rPr>
        <w:t>/</w:t>
      </w:r>
      <w:r w:rsidRPr="00530ED0">
        <w:tab/>
      </w:r>
      <w:r w:rsidRPr="008A72DD">
        <w:rPr>
          <w:i/>
        </w:rPr>
        <w:t>Kinney v. Cook</w:t>
      </w:r>
      <w:r w:rsidRPr="008A72DD">
        <w:t>, 159 W</w:t>
      </w:r>
      <w:r w:rsidR="00F409FA">
        <w:t>n</w:t>
      </w:r>
      <w:r w:rsidRPr="008A72DD">
        <w:t>.2d 837, 842, 154 P.3d 206 (2007).</w:t>
      </w:r>
    </w:p>
  </w:footnote>
  <w:footnote w:id="10">
    <w:p w:rsidR="005C149E" w:rsidRPr="007456D7" w:rsidRDefault="005C149E" w:rsidP="00173C79">
      <w:pPr>
        <w:pStyle w:val="FootnoteText"/>
      </w:pPr>
      <w:r w:rsidRPr="0093179B">
        <w:rPr>
          <w:rStyle w:val="FootnoteReference"/>
          <w:u w:val="single"/>
        </w:rPr>
        <w:footnoteRef/>
      </w:r>
      <w:r w:rsidRPr="00530ED0">
        <w:rPr>
          <w:vertAlign w:val="superscript"/>
        </w:rPr>
        <w:t>/</w:t>
      </w:r>
      <w:r w:rsidRPr="00530ED0">
        <w:tab/>
      </w:r>
      <w:r w:rsidRPr="008A72DD">
        <w:rPr>
          <w:i/>
        </w:rPr>
        <w:t xml:space="preserve">Id. </w:t>
      </w:r>
      <w:r w:rsidRPr="008A72DD">
        <w:t>(</w:t>
      </w:r>
      <w:r w:rsidRPr="00D910DD">
        <w:rPr>
          <w:i/>
        </w:rPr>
        <w:t>citing</w:t>
      </w:r>
      <w:r w:rsidRPr="008A72DD">
        <w:rPr>
          <w:i/>
        </w:rPr>
        <w:t xml:space="preserve"> </w:t>
      </w:r>
      <w:proofErr w:type="spellStart"/>
      <w:r w:rsidRPr="008A72DD">
        <w:rPr>
          <w:i/>
          <w:iCs/>
        </w:rPr>
        <w:t>Hoffer</w:t>
      </w:r>
      <w:proofErr w:type="spellEnd"/>
      <w:r w:rsidRPr="008A72DD">
        <w:rPr>
          <w:i/>
          <w:iCs/>
        </w:rPr>
        <w:t xml:space="preserve"> v. State</w:t>
      </w:r>
      <w:r w:rsidRPr="008A72DD">
        <w:t>, 110 Wn.2d 415, 420, 755 P.2d 781 (1988)</w:t>
      </w:r>
      <w:r>
        <w:t>)</w:t>
      </w:r>
      <w:r w:rsidRPr="008A72DD">
        <w:t>.</w:t>
      </w:r>
    </w:p>
  </w:footnote>
  <w:footnote w:id="11">
    <w:p w:rsidR="005C149E" w:rsidRPr="007456D7" w:rsidRDefault="005C149E" w:rsidP="00173C79">
      <w:pPr>
        <w:pStyle w:val="FootnoteText"/>
      </w:pPr>
      <w:r w:rsidRPr="0093179B">
        <w:rPr>
          <w:rStyle w:val="FootnoteReference"/>
          <w:u w:val="single"/>
        </w:rPr>
        <w:footnoteRef/>
      </w:r>
      <w:r w:rsidRPr="00530ED0">
        <w:rPr>
          <w:vertAlign w:val="superscript"/>
        </w:rPr>
        <w:t>/</w:t>
      </w:r>
      <w:r w:rsidRPr="00530ED0">
        <w:tab/>
      </w:r>
      <w:r w:rsidRPr="00A77A4D">
        <w:rPr>
          <w:i/>
        </w:rPr>
        <w:t xml:space="preserve">Amended Petition of Puget Sound Energy, Inc. </w:t>
      </w:r>
      <w:proofErr w:type="gramStart"/>
      <w:r w:rsidRPr="00A77A4D">
        <w:rPr>
          <w:i/>
        </w:rPr>
        <w:t>For an Order Authorizing the Use of the Proceeds from the Sale of Renewable Energy Credits and Carbon Financial Instruments</w:t>
      </w:r>
      <w:r w:rsidRPr="00A77A4D">
        <w:t xml:space="preserve">, </w:t>
      </w:r>
      <w:r>
        <w:t>Docket.</w:t>
      </w:r>
      <w:proofErr w:type="gramEnd"/>
      <w:r>
        <w:t xml:space="preserve"> No. UE-070725, Final Order ¶¶41-47 (May 20, 2010) (“</w:t>
      </w:r>
      <w:r>
        <w:rPr>
          <w:i/>
        </w:rPr>
        <w:t>PSE REC Petition”</w:t>
      </w:r>
      <w:r>
        <w:t xml:space="preserve">) (recognizing that, absent unusual or extraordinary circumstances, REC revenues should be credited to ratepayers).   </w:t>
      </w:r>
    </w:p>
  </w:footnote>
  <w:footnote w:id="12">
    <w:p w:rsidR="005C149E" w:rsidRPr="007456D7" w:rsidRDefault="005C149E" w:rsidP="00173C79">
      <w:pPr>
        <w:pStyle w:val="FootnoteText"/>
      </w:pPr>
      <w:r w:rsidRPr="0093179B">
        <w:rPr>
          <w:rStyle w:val="FootnoteReference"/>
          <w:u w:val="single"/>
        </w:rPr>
        <w:footnoteRef/>
      </w:r>
      <w:r w:rsidRPr="00530ED0">
        <w:rPr>
          <w:vertAlign w:val="superscript"/>
        </w:rPr>
        <w:t>/</w:t>
      </w:r>
      <w:r w:rsidRPr="00530ED0">
        <w:tab/>
      </w:r>
      <w:r w:rsidR="003046E8">
        <w:rPr>
          <w:i/>
        </w:rPr>
        <w:t>2010 GRC</w:t>
      </w:r>
      <w:r w:rsidR="003046E8">
        <w:t xml:space="preserve">, </w:t>
      </w:r>
      <w:r>
        <w:t xml:space="preserve">Duvall, </w:t>
      </w:r>
      <w:proofErr w:type="spellStart"/>
      <w:r>
        <w:t>Exh</w:t>
      </w:r>
      <w:proofErr w:type="spellEnd"/>
      <w:r>
        <w:t>. No. GND-5T at 8:3-6.</w:t>
      </w:r>
    </w:p>
  </w:footnote>
  <w:footnote w:id="13">
    <w:p w:rsidR="005C149E" w:rsidRPr="00F9251E" w:rsidRDefault="005C149E" w:rsidP="007B7C3B">
      <w:pPr>
        <w:pStyle w:val="WUTCParagraph"/>
        <w:numPr>
          <w:ilvl w:val="0"/>
          <w:numId w:val="0"/>
        </w:numPr>
        <w:spacing w:line="240" w:lineRule="auto"/>
        <w:ind w:left="720" w:hanging="720"/>
        <w:rPr>
          <w:sz w:val="20"/>
          <w:szCs w:val="20"/>
        </w:rPr>
      </w:pPr>
      <w:r w:rsidRPr="00F9251E">
        <w:rPr>
          <w:rStyle w:val="FootnoteReference"/>
          <w:u w:val="single"/>
        </w:rPr>
        <w:footnoteRef/>
      </w:r>
      <w:r w:rsidRPr="00F9251E">
        <w:rPr>
          <w:sz w:val="20"/>
          <w:szCs w:val="20"/>
          <w:vertAlign w:val="superscript"/>
        </w:rPr>
        <w:t>/</w:t>
      </w:r>
      <w:r w:rsidRPr="00F9251E">
        <w:rPr>
          <w:sz w:val="20"/>
          <w:szCs w:val="20"/>
        </w:rPr>
        <w:tab/>
      </w:r>
      <w:r>
        <w:rPr>
          <w:i/>
          <w:sz w:val="20"/>
          <w:szCs w:val="20"/>
        </w:rPr>
        <w:t>2010 GRC</w:t>
      </w:r>
      <w:r w:rsidRPr="00F9251E">
        <w:rPr>
          <w:sz w:val="20"/>
          <w:szCs w:val="20"/>
        </w:rPr>
        <w:t>,</w:t>
      </w:r>
      <w:r>
        <w:rPr>
          <w:sz w:val="20"/>
          <w:szCs w:val="20"/>
        </w:rPr>
        <w:t xml:space="preserve"> Cross Examination Testimony of R. Bryce </w:t>
      </w:r>
      <w:proofErr w:type="spellStart"/>
      <w:r>
        <w:rPr>
          <w:sz w:val="20"/>
          <w:szCs w:val="20"/>
        </w:rPr>
        <w:t>Dalley</w:t>
      </w:r>
      <w:proofErr w:type="spellEnd"/>
      <w:r>
        <w:rPr>
          <w:sz w:val="20"/>
          <w:szCs w:val="20"/>
        </w:rPr>
        <w:t>, T</w:t>
      </w:r>
      <w:r w:rsidR="005A74B5">
        <w:rPr>
          <w:sz w:val="20"/>
          <w:szCs w:val="20"/>
        </w:rPr>
        <w:t>R</w:t>
      </w:r>
      <w:r>
        <w:rPr>
          <w:sz w:val="20"/>
          <w:szCs w:val="20"/>
        </w:rPr>
        <w:t>. 369-370 (Jan. 25, 2011)</w:t>
      </w:r>
      <w:r w:rsidRPr="00F9251E">
        <w:rPr>
          <w:sz w:val="20"/>
          <w:szCs w:val="20"/>
        </w:rPr>
        <w:t xml:space="preserve">.   </w:t>
      </w:r>
    </w:p>
  </w:footnote>
  <w:footnote w:id="14">
    <w:p w:rsidR="005C149E" w:rsidRPr="00A71BCA" w:rsidRDefault="005C149E" w:rsidP="00173C79">
      <w:pPr>
        <w:pStyle w:val="FootnoteText"/>
      </w:pPr>
      <w:r w:rsidRPr="009B2790">
        <w:rPr>
          <w:rStyle w:val="FootnoteReference"/>
          <w:u w:val="single"/>
        </w:rPr>
        <w:footnoteRef/>
      </w:r>
      <w:r w:rsidRPr="00A71BCA">
        <w:rPr>
          <w:vertAlign w:val="superscript"/>
        </w:rPr>
        <w:t>/</w:t>
      </w:r>
      <w:r w:rsidRPr="00A71BCA">
        <w:tab/>
        <w:t xml:space="preserve">Motion to </w:t>
      </w:r>
      <w:proofErr w:type="gramStart"/>
      <w:r w:rsidRPr="00A71BCA">
        <w:t>Dismiss</w:t>
      </w:r>
      <w:proofErr w:type="gramEnd"/>
      <w:r w:rsidRPr="00A71BCA">
        <w:t xml:space="preserve"> ¶¶30-41.</w:t>
      </w:r>
    </w:p>
  </w:footnote>
  <w:footnote w:id="15">
    <w:p w:rsidR="005C149E" w:rsidRPr="00A71BCA" w:rsidRDefault="005C149E" w:rsidP="00173C79">
      <w:pPr>
        <w:pStyle w:val="FootnoteText"/>
      </w:pPr>
      <w:r w:rsidRPr="009B2790">
        <w:rPr>
          <w:rStyle w:val="FootnoteReference"/>
          <w:u w:val="single"/>
        </w:rPr>
        <w:footnoteRef/>
      </w:r>
      <w:r w:rsidRPr="00A71BCA">
        <w:rPr>
          <w:vertAlign w:val="superscript"/>
        </w:rPr>
        <w:t>/</w:t>
      </w:r>
      <w:r w:rsidRPr="00A71BCA">
        <w:t xml:space="preserve"> </w:t>
      </w:r>
      <w:r w:rsidRPr="00A71BCA">
        <w:tab/>
      </w:r>
      <w:r w:rsidRPr="00A71BCA">
        <w:rPr>
          <w:i/>
          <w:iCs/>
        </w:rPr>
        <w:t xml:space="preserve">Brown v. </w:t>
      </w:r>
      <w:proofErr w:type="spellStart"/>
      <w:r w:rsidRPr="00A71BCA">
        <w:rPr>
          <w:i/>
          <w:iCs/>
        </w:rPr>
        <w:t>Prowest</w:t>
      </w:r>
      <w:proofErr w:type="spellEnd"/>
      <w:r w:rsidRPr="00A71BCA">
        <w:rPr>
          <w:i/>
          <w:iCs/>
        </w:rPr>
        <w:t xml:space="preserve"> Transp.</w:t>
      </w:r>
      <w:r>
        <w:rPr>
          <w:i/>
          <w:iCs/>
        </w:rPr>
        <w:t xml:space="preserve"> Ltd.</w:t>
      </w:r>
      <w:r>
        <w:t xml:space="preserve">, </w:t>
      </w:r>
      <w:proofErr w:type="gramStart"/>
      <w:r>
        <w:t xml:space="preserve">76 </w:t>
      </w:r>
      <w:proofErr w:type="spellStart"/>
      <w:r>
        <w:t>Wn.</w:t>
      </w:r>
      <w:r w:rsidRPr="00A71BCA">
        <w:t>App</w:t>
      </w:r>
      <w:proofErr w:type="spellEnd"/>
      <w:proofErr w:type="gramEnd"/>
      <w:r w:rsidRPr="00A71BCA">
        <w:t>. 412, 419, 886 P.2d 223</w:t>
      </w:r>
      <w:r>
        <w:t>, 228</w:t>
      </w:r>
      <w:r w:rsidRPr="00A71BCA">
        <w:t xml:space="preserve"> (1994) (</w:t>
      </w:r>
      <w:r w:rsidRPr="00D910DD">
        <w:rPr>
          <w:i/>
        </w:rPr>
        <w:t>citing</w:t>
      </w:r>
      <w:r w:rsidRPr="00A71BCA">
        <w:t xml:space="preserve"> </w:t>
      </w:r>
      <w:proofErr w:type="spellStart"/>
      <w:r w:rsidRPr="00A71BCA">
        <w:rPr>
          <w:i/>
          <w:iCs/>
        </w:rPr>
        <w:t>Haslund</w:t>
      </w:r>
      <w:proofErr w:type="spellEnd"/>
      <w:r w:rsidRPr="00A71BCA">
        <w:rPr>
          <w:i/>
          <w:iCs/>
        </w:rPr>
        <w:t xml:space="preserve"> v. Seattle</w:t>
      </w:r>
      <w:r w:rsidRPr="00A71BCA">
        <w:t>, 86 W</w:t>
      </w:r>
      <w:r>
        <w:t>ash</w:t>
      </w:r>
      <w:r w:rsidRPr="00A71BCA">
        <w:t xml:space="preserve">.2d 607, 547 P.2d 1221 (1976)).   </w:t>
      </w:r>
    </w:p>
  </w:footnote>
  <w:footnote w:id="16">
    <w:p w:rsidR="005C149E" w:rsidRPr="00A71BCA" w:rsidRDefault="005C149E" w:rsidP="00173C79">
      <w:pPr>
        <w:pStyle w:val="FootnoteText"/>
      </w:pPr>
      <w:r w:rsidRPr="009B2790">
        <w:rPr>
          <w:rStyle w:val="FootnoteReference"/>
          <w:u w:val="single"/>
        </w:rPr>
        <w:footnoteRef/>
      </w:r>
      <w:r w:rsidRPr="00A71BCA">
        <w:rPr>
          <w:vertAlign w:val="superscript"/>
        </w:rPr>
        <w:t>/</w:t>
      </w:r>
      <w:r w:rsidRPr="00A71BCA">
        <w:t xml:space="preserve"> </w:t>
      </w:r>
      <w:r w:rsidRPr="00A71BCA">
        <w:tab/>
      </w:r>
      <w:r w:rsidRPr="00A71BCA">
        <w:rPr>
          <w:i/>
        </w:rPr>
        <w:t>Green v. A.P.C.</w:t>
      </w:r>
      <w:r>
        <w:t>, 136 Wn</w:t>
      </w:r>
      <w:r w:rsidRPr="00A71BCA">
        <w:t>.2d 87, 100-01, 960 P.2d 912</w:t>
      </w:r>
      <w:r>
        <w:t>, 918</w:t>
      </w:r>
      <w:r w:rsidRPr="00A71BCA">
        <w:t xml:space="preserve"> (1998) (</w:t>
      </w:r>
      <w:r>
        <w:t>reversing the lower court’s summary judgment because the moving party</w:t>
      </w:r>
      <w:r w:rsidRPr="00A71BCA">
        <w:t xml:space="preserve"> </w:t>
      </w:r>
      <w:r>
        <w:t>did not provide</w:t>
      </w:r>
      <w:r w:rsidRPr="00A71BCA">
        <w:t xml:space="preserve"> sufficient evidence “upon which the trial</w:t>
      </w:r>
      <w:r>
        <w:t xml:space="preserve"> court could have properly reli</w:t>
      </w:r>
      <w:r w:rsidRPr="00A71BCA">
        <w:t xml:space="preserve">ed in concluding [that the non-moving party] should have known” the facts essential to </w:t>
      </w:r>
      <w:r>
        <w:t>her</w:t>
      </w:r>
      <w:r w:rsidRPr="00A71BCA">
        <w:t xml:space="preserve"> claims).</w:t>
      </w:r>
    </w:p>
  </w:footnote>
  <w:footnote w:id="17">
    <w:p w:rsidR="005C149E" w:rsidRPr="00A71BCA" w:rsidRDefault="005C149E" w:rsidP="00173C79">
      <w:pPr>
        <w:pStyle w:val="FootnoteText"/>
      </w:pPr>
      <w:r w:rsidRPr="009B2790">
        <w:rPr>
          <w:rStyle w:val="FootnoteReference"/>
          <w:u w:val="single"/>
        </w:rPr>
        <w:footnoteRef/>
      </w:r>
      <w:r w:rsidRPr="00A71BCA">
        <w:rPr>
          <w:vertAlign w:val="superscript"/>
        </w:rPr>
        <w:t>/</w:t>
      </w:r>
      <w:r w:rsidRPr="00A71BCA">
        <w:tab/>
      </w:r>
      <w:proofErr w:type="spellStart"/>
      <w:r w:rsidRPr="00A71BCA">
        <w:rPr>
          <w:i/>
        </w:rPr>
        <w:t>Janicki</w:t>
      </w:r>
      <w:proofErr w:type="spellEnd"/>
      <w:r w:rsidRPr="00A71BCA">
        <w:rPr>
          <w:i/>
        </w:rPr>
        <w:t xml:space="preserve"> Logging &amp; Construction Co</w:t>
      </w:r>
      <w:r>
        <w:rPr>
          <w:i/>
        </w:rPr>
        <w:t>.</w:t>
      </w:r>
      <w:r w:rsidRPr="00A71BCA">
        <w:rPr>
          <w:i/>
        </w:rPr>
        <w:t xml:space="preserve">, Inc. v. </w:t>
      </w:r>
      <w:proofErr w:type="spellStart"/>
      <w:r w:rsidRPr="00A71BCA">
        <w:rPr>
          <w:i/>
        </w:rPr>
        <w:t>Schwabe</w:t>
      </w:r>
      <w:proofErr w:type="spellEnd"/>
      <w:r>
        <w:rPr>
          <w:i/>
        </w:rPr>
        <w:t>,</w:t>
      </w:r>
      <w:r w:rsidRPr="00A71BCA">
        <w:rPr>
          <w:i/>
        </w:rPr>
        <w:t xml:space="preserve"> Williamson &amp; Wyatt</w:t>
      </w:r>
      <w:r>
        <w:t xml:space="preserve">, </w:t>
      </w:r>
      <w:r>
        <w:rPr>
          <w:i/>
        </w:rPr>
        <w:t>P.C.</w:t>
      </w:r>
      <w:r>
        <w:t xml:space="preserve">, </w:t>
      </w:r>
      <w:proofErr w:type="gramStart"/>
      <w:r>
        <w:t xml:space="preserve">109 </w:t>
      </w:r>
      <w:proofErr w:type="spellStart"/>
      <w:r>
        <w:t>Wn.App</w:t>
      </w:r>
      <w:proofErr w:type="spellEnd"/>
      <w:proofErr w:type="gramEnd"/>
      <w:r>
        <w:t xml:space="preserve">. </w:t>
      </w:r>
      <w:proofErr w:type="gramStart"/>
      <w:r>
        <w:t>655, 659-60</w:t>
      </w:r>
      <w:r w:rsidRPr="00A71BCA">
        <w:t>, 37 P.3d 309</w:t>
      </w:r>
      <w:r>
        <w:t>, 312</w:t>
      </w:r>
      <w:r w:rsidRPr="00A71BCA">
        <w:t xml:space="preserve"> (2001) </w:t>
      </w:r>
      <w:r>
        <w:t>(emphasis original</w:t>
      </w:r>
      <w:r w:rsidRPr="00A71BCA">
        <w:t>).</w:t>
      </w:r>
      <w:proofErr w:type="gramEnd"/>
      <w:r w:rsidRPr="00A71BCA">
        <w:t xml:space="preserve">  </w:t>
      </w:r>
    </w:p>
  </w:footnote>
  <w:footnote w:id="18">
    <w:p w:rsidR="005C149E" w:rsidRPr="00A71BCA" w:rsidRDefault="005C149E" w:rsidP="00173C79">
      <w:pPr>
        <w:pStyle w:val="FootnoteText"/>
      </w:pPr>
      <w:r w:rsidRPr="009B2790">
        <w:rPr>
          <w:rStyle w:val="FootnoteReference"/>
          <w:u w:val="single"/>
        </w:rPr>
        <w:footnoteRef/>
      </w:r>
      <w:r w:rsidRPr="00A71BCA">
        <w:rPr>
          <w:vertAlign w:val="superscript"/>
        </w:rPr>
        <w:t>/</w:t>
      </w:r>
      <w:r w:rsidRPr="00A71BCA">
        <w:t xml:space="preserve"> </w:t>
      </w:r>
      <w:r w:rsidRPr="00A71BCA">
        <w:tab/>
      </w:r>
      <w:r>
        <w:rPr>
          <w:i/>
        </w:rPr>
        <w:t xml:space="preserve">See </w:t>
      </w:r>
      <w:r w:rsidRPr="00A71BCA">
        <w:rPr>
          <w:i/>
        </w:rPr>
        <w:t>Green</w:t>
      </w:r>
      <w:r>
        <w:t>, 136 Wn</w:t>
      </w:r>
      <w:r w:rsidRPr="00A71BCA">
        <w:t xml:space="preserve">.2d </w:t>
      </w:r>
      <w:r>
        <w:t xml:space="preserve">at 100, 960 P.2d at </w:t>
      </w:r>
      <w:proofErr w:type="gramStart"/>
      <w:r>
        <w:t>918</w:t>
      </w:r>
      <w:r w:rsidRPr="00A71BCA">
        <w:t xml:space="preserve"> </w:t>
      </w:r>
      <w:r>
        <w:t xml:space="preserve"> (</w:t>
      </w:r>
      <w:proofErr w:type="gramEnd"/>
      <w:r>
        <w:t>holding that summary judgment was improper where the moving party offered only the argument of counsel which “does not constitute evidence”).</w:t>
      </w:r>
    </w:p>
  </w:footnote>
  <w:footnote w:id="19">
    <w:p w:rsidR="005C149E" w:rsidRPr="007E4AAC" w:rsidRDefault="005C149E" w:rsidP="00173C79">
      <w:pPr>
        <w:pStyle w:val="FootnoteText"/>
      </w:pPr>
      <w:r w:rsidRPr="009B2790">
        <w:rPr>
          <w:rStyle w:val="FootnoteReference"/>
          <w:u w:val="single"/>
        </w:rPr>
        <w:footnoteRef/>
      </w:r>
      <w:r w:rsidRPr="00A71BCA">
        <w:rPr>
          <w:vertAlign w:val="superscript"/>
        </w:rPr>
        <w:t>/</w:t>
      </w:r>
      <w:r>
        <w:t xml:space="preserve"> </w:t>
      </w:r>
      <w:r>
        <w:tab/>
        <w:t xml:space="preserve">Notably, PacifiCorp provides </w:t>
      </w:r>
      <w:r>
        <w:rPr>
          <w:i/>
        </w:rPr>
        <w:t xml:space="preserve">no </w:t>
      </w:r>
      <w:r>
        <w:t xml:space="preserve">evidence of where Public Counsel or ICNU could have learned of its actual 2010 REC revenues before the Company filed its </w:t>
      </w:r>
      <w:r w:rsidR="0012500E">
        <w:t xml:space="preserve">2010 1st Quarter REC Report on </w:t>
      </w:r>
      <w:r>
        <w:t>July 28, 2010.</w:t>
      </w:r>
    </w:p>
  </w:footnote>
  <w:footnote w:id="20">
    <w:p w:rsidR="005C149E" w:rsidRDefault="005C149E" w:rsidP="00173C79">
      <w:pPr>
        <w:pStyle w:val="FootnoteText"/>
      </w:pPr>
      <w:r w:rsidRPr="009B2790">
        <w:rPr>
          <w:rStyle w:val="FootnoteReference"/>
          <w:u w:val="single"/>
        </w:rPr>
        <w:footnoteRef/>
      </w:r>
      <w:r w:rsidRPr="00A71BCA">
        <w:rPr>
          <w:vertAlign w:val="superscript"/>
        </w:rPr>
        <w:t>/</w:t>
      </w:r>
      <w:r>
        <w:t xml:space="preserve"> </w:t>
      </w:r>
      <w:r>
        <w:tab/>
        <w:t xml:space="preserve">PacifiCorp gives no timeframe for this element.  </w:t>
      </w:r>
    </w:p>
  </w:footnote>
  <w:footnote w:id="21">
    <w:p w:rsidR="005C149E" w:rsidRDefault="005C149E" w:rsidP="00173C79">
      <w:pPr>
        <w:pStyle w:val="FootnoteText"/>
      </w:pPr>
      <w:r w:rsidRPr="009B2790">
        <w:rPr>
          <w:rStyle w:val="FootnoteReference"/>
          <w:u w:val="single"/>
        </w:rPr>
        <w:footnoteRef/>
      </w:r>
      <w:r w:rsidRPr="00A71BCA">
        <w:rPr>
          <w:vertAlign w:val="superscript"/>
        </w:rPr>
        <w:t>/</w:t>
      </w:r>
      <w:r>
        <w:t xml:space="preserve"> </w:t>
      </w:r>
      <w:r>
        <w:tab/>
        <w:t xml:space="preserve">Motion to </w:t>
      </w:r>
      <w:proofErr w:type="gramStart"/>
      <w:r>
        <w:t>Dismiss</w:t>
      </w:r>
      <w:proofErr w:type="gramEnd"/>
      <w:r>
        <w:t xml:space="preserve"> ¶38.</w:t>
      </w:r>
    </w:p>
  </w:footnote>
  <w:footnote w:id="22">
    <w:p w:rsidR="005C149E" w:rsidRPr="00726B91" w:rsidRDefault="005C149E" w:rsidP="00173C79">
      <w:pPr>
        <w:pStyle w:val="FootnoteText"/>
      </w:pPr>
      <w:r w:rsidRPr="009B2790">
        <w:rPr>
          <w:rStyle w:val="FootnoteReference"/>
          <w:u w:val="single"/>
        </w:rPr>
        <w:footnoteRef/>
      </w:r>
      <w:r w:rsidRPr="00A71BCA">
        <w:rPr>
          <w:vertAlign w:val="superscript"/>
        </w:rPr>
        <w:t>/</w:t>
      </w:r>
      <w:r>
        <w:t xml:space="preserve"> </w:t>
      </w:r>
      <w:r>
        <w:tab/>
      </w:r>
      <w:r w:rsidRPr="00CE7605">
        <w:rPr>
          <w:i/>
        </w:rPr>
        <w:t>See</w:t>
      </w:r>
      <w:r>
        <w:t xml:space="preserve"> Joint Complaint ¶¶20-24.</w:t>
      </w:r>
    </w:p>
  </w:footnote>
  <w:footnote w:id="23">
    <w:p w:rsidR="005C149E" w:rsidRPr="000E2419" w:rsidRDefault="005C149E" w:rsidP="00173C79">
      <w:pPr>
        <w:pStyle w:val="FootnoteText"/>
        <w:rPr>
          <w:i/>
        </w:rPr>
      </w:pPr>
      <w:r w:rsidRPr="009B2790">
        <w:rPr>
          <w:rStyle w:val="FootnoteReference"/>
          <w:u w:val="single"/>
        </w:rPr>
        <w:footnoteRef/>
      </w:r>
      <w:r w:rsidRPr="00A71BCA">
        <w:rPr>
          <w:vertAlign w:val="superscript"/>
        </w:rPr>
        <w:t>/</w:t>
      </w:r>
      <w:r>
        <w:t xml:space="preserve"> </w:t>
      </w:r>
      <w:r>
        <w:tab/>
      </w:r>
      <w:r w:rsidRPr="000E2419">
        <w:rPr>
          <w:i/>
        </w:rPr>
        <w:t>See id.</w:t>
      </w:r>
    </w:p>
  </w:footnote>
  <w:footnote w:id="24">
    <w:p w:rsidR="005C149E" w:rsidRPr="00CE7605" w:rsidRDefault="005C149E" w:rsidP="00173C79">
      <w:pPr>
        <w:pStyle w:val="FootnoteText"/>
      </w:pPr>
      <w:r w:rsidRPr="009B2790">
        <w:rPr>
          <w:rStyle w:val="FootnoteReference"/>
          <w:u w:val="single"/>
        </w:rPr>
        <w:footnoteRef/>
      </w:r>
      <w:r w:rsidRPr="00A71BCA">
        <w:rPr>
          <w:vertAlign w:val="superscript"/>
        </w:rPr>
        <w:t>/</w:t>
      </w:r>
      <w:r w:rsidRPr="00A71BCA">
        <w:t xml:space="preserve"> </w:t>
      </w:r>
      <w:r w:rsidRPr="00A71BCA">
        <w:tab/>
        <w:t>The earliest possible dates upon which the claims could have accrued are therefore July 28, 2010</w:t>
      </w:r>
      <w:r>
        <w:t>,</w:t>
      </w:r>
      <w:r w:rsidRPr="00A71BCA">
        <w:t xml:space="preserve"> for ICNU and September 9, 2010</w:t>
      </w:r>
      <w:r>
        <w:t>,</w:t>
      </w:r>
      <w:r w:rsidRPr="00A71BCA">
        <w:t xml:space="preserve"> for Public Counsel</w:t>
      </w:r>
      <w:r w:rsidR="00D231E5">
        <w:t>, both of which are well within the most stringent application of the statute of limitations</w:t>
      </w:r>
      <w:r w:rsidRPr="00A71BCA">
        <w:t>.</w:t>
      </w:r>
      <w:r>
        <w:t xml:space="preserve"> </w:t>
      </w:r>
      <w:r>
        <w:rPr>
          <w:i/>
        </w:rPr>
        <w:t xml:space="preserve">See </w:t>
      </w:r>
      <w:r>
        <w:t xml:space="preserve">Joint Complaint at n. </w:t>
      </w:r>
      <w:r w:rsidR="002C3334">
        <w:t>5</w:t>
      </w:r>
      <w:r>
        <w:t>.</w:t>
      </w:r>
    </w:p>
  </w:footnote>
  <w:footnote w:id="25">
    <w:p w:rsidR="005C149E" w:rsidRDefault="005C149E" w:rsidP="00173C79">
      <w:pPr>
        <w:pStyle w:val="FootnoteText"/>
      </w:pPr>
      <w:r w:rsidRPr="009B2790">
        <w:rPr>
          <w:rStyle w:val="FootnoteReference"/>
          <w:u w:val="single"/>
        </w:rPr>
        <w:footnoteRef/>
      </w:r>
      <w:r w:rsidRPr="00A71BCA">
        <w:rPr>
          <w:vertAlign w:val="superscript"/>
        </w:rPr>
        <w:t>/</w:t>
      </w:r>
      <w:r>
        <w:t xml:space="preserve"> </w:t>
      </w:r>
      <w:r>
        <w:tab/>
      </w:r>
      <w:r>
        <w:rPr>
          <w:i/>
        </w:rPr>
        <w:t xml:space="preserve">See </w:t>
      </w:r>
      <w:proofErr w:type="spellStart"/>
      <w:r w:rsidRPr="00A71BCA">
        <w:rPr>
          <w:i/>
        </w:rPr>
        <w:t>Janicki</w:t>
      </w:r>
      <w:proofErr w:type="spellEnd"/>
      <w:r w:rsidRPr="00A71BCA">
        <w:rPr>
          <w:i/>
        </w:rPr>
        <w:t xml:space="preserve"> Logging</w:t>
      </w:r>
      <w:r w:rsidRPr="00A71BCA">
        <w:t xml:space="preserve">, </w:t>
      </w:r>
      <w:proofErr w:type="gramStart"/>
      <w:r w:rsidRPr="00A71BCA">
        <w:t xml:space="preserve">109 </w:t>
      </w:r>
      <w:proofErr w:type="spellStart"/>
      <w:r w:rsidRPr="00A71BCA">
        <w:t>W</w:t>
      </w:r>
      <w:r>
        <w:t>n</w:t>
      </w:r>
      <w:r w:rsidRPr="00A71BCA">
        <w:t>.App</w:t>
      </w:r>
      <w:proofErr w:type="spellEnd"/>
      <w:proofErr w:type="gramEnd"/>
      <w:r w:rsidRPr="00A71BCA">
        <w:t xml:space="preserve">. </w:t>
      </w:r>
      <w:proofErr w:type="gramStart"/>
      <w:r>
        <w:t>at</w:t>
      </w:r>
      <w:proofErr w:type="gramEnd"/>
      <w:r>
        <w:t xml:space="preserve"> </w:t>
      </w:r>
      <w:r w:rsidRPr="00A71BCA">
        <w:t>6</w:t>
      </w:r>
      <w:r>
        <w:t>59-60</w:t>
      </w:r>
      <w:r w:rsidRPr="00A71BCA">
        <w:t xml:space="preserve">, 37 P.3d </w:t>
      </w:r>
      <w:r>
        <w:t>at 312-13.</w:t>
      </w:r>
      <w:r w:rsidRPr="00A71BCA">
        <w:t xml:space="preserve"> </w:t>
      </w:r>
    </w:p>
  </w:footnote>
  <w:footnote w:id="26">
    <w:p w:rsidR="00382CF9" w:rsidRDefault="00382CF9" w:rsidP="00382CF9">
      <w:pPr>
        <w:pStyle w:val="FootnoteText"/>
      </w:pPr>
      <w:r w:rsidRPr="009B2790">
        <w:rPr>
          <w:rStyle w:val="FootnoteReference"/>
          <w:u w:val="single"/>
        </w:rPr>
        <w:footnoteRef/>
      </w:r>
      <w:r w:rsidRPr="00A71BCA">
        <w:rPr>
          <w:vertAlign w:val="superscript"/>
        </w:rPr>
        <w:t>/</w:t>
      </w:r>
      <w:r>
        <w:t xml:space="preserve"> </w:t>
      </w:r>
      <w:r>
        <w:tab/>
        <w:t xml:space="preserve">Motion to </w:t>
      </w:r>
      <w:proofErr w:type="gramStart"/>
      <w:r>
        <w:t>Dismiss</w:t>
      </w:r>
      <w:proofErr w:type="gramEnd"/>
      <w:r>
        <w:t xml:space="preserve"> ¶</w:t>
      </w:r>
      <w:r w:rsidRPr="00A71BCA">
        <w:t>¶</w:t>
      </w:r>
      <w:r>
        <w:t>26-28, 38.</w:t>
      </w:r>
    </w:p>
  </w:footnote>
  <w:footnote w:id="27">
    <w:p w:rsidR="005C149E" w:rsidRDefault="005C149E" w:rsidP="00173C79">
      <w:pPr>
        <w:pStyle w:val="FootnoteText"/>
      </w:pPr>
      <w:r w:rsidRPr="009B2790">
        <w:rPr>
          <w:rStyle w:val="FootnoteReference"/>
          <w:u w:val="single"/>
        </w:rPr>
        <w:footnoteRef/>
      </w:r>
      <w:r w:rsidRPr="00A71BCA">
        <w:rPr>
          <w:vertAlign w:val="superscript"/>
        </w:rPr>
        <w:t>/</w:t>
      </w:r>
      <w:r>
        <w:t xml:space="preserve"> </w:t>
      </w:r>
      <w:r>
        <w:tab/>
      </w:r>
      <w:r>
        <w:rPr>
          <w:i/>
        </w:rPr>
        <w:t>Id.</w:t>
      </w:r>
      <w:r w:rsidR="00382CF9">
        <w:rPr>
          <w:i/>
        </w:rPr>
        <w:t xml:space="preserve"> </w:t>
      </w:r>
      <w:r w:rsidR="00382CF9">
        <w:t xml:space="preserve">at </w:t>
      </w:r>
      <w:r w:rsidR="00382CF9" w:rsidRPr="00A71BCA">
        <w:t>¶</w:t>
      </w:r>
      <w:r w:rsidR="00382CF9">
        <w:t>26</w:t>
      </w:r>
      <w:r>
        <w:t xml:space="preserve"> (stating that the 10-K “indicated that the Company received $44 million in REC revenues in 2009”).</w:t>
      </w:r>
    </w:p>
  </w:footnote>
  <w:footnote w:id="28">
    <w:p w:rsidR="005C149E" w:rsidRPr="009B2790" w:rsidRDefault="005C149E" w:rsidP="00173C79">
      <w:pPr>
        <w:pStyle w:val="FootnoteText"/>
      </w:pPr>
      <w:r w:rsidRPr="009B2790">
        <w:rPr>
          <w:rStyle w:val="FootnoteReference"/>
          <w:u w:val="single"/>
        </w:rPr>
        <w:footnoteRef/>
      </w:r>
      <w:r w:rsidRPr="00A71BCA">
        <w:rPr>
          <w:vertAlign w:val="superscript"/>
        </w:rPr>
        <w:t>/</w:t>
      </w:r>
      <w:r w:rsidRPr="00A71BCA">
        <w:t xml:space="preserve"> </w:t>
      </w:r>
      <w:r w:rsidRPr="00A71BCA">
        <w:tab/>
      </w:r>
      <w:r w:rsidRPr="009B2790">
        <w:rPr>
          <w:i/>
        </w:rPr>
        <w:t xml:space="preserve">Id. </w:t>
      </w:r>
      <w:r w:rsidRPr="009B2790">
        <w:t xml:space="preserve">at ¶¶23-25.  </w:t>
      </w:r>
      <w:r w:rsidR="00382CF9">
        <w:t xml:space="preserve">In Exhibit A to the Affidavit of Greg N. Duvall, accompanying the Motion to Dismiss, </w:t>
      </w:r>
      <w:r w:rsidRPr="009B2790">
        <w:t xml:space="preserve">PacifiCorp suggests that ICNU’s Data Request No. 1.48 somehow incorporated information in Utah case (Docket No. 09-035-23) and Oregon proceedings (UE 207 and UM 1465) discussed directly above.  This is false and misleading.  Data Request 1.48 does not ask to use any information from the Utah or Oregon Cases.  Moreover, the data request was issued </w:t>
      </w:r>
      <w:r w:rsidRPr="009B2790">
        <w:rPr>
          <w:i/>
        </w:rPr>
        <w:t xml:space="preserve">before </w:t>
      </w:r>
      <w:r w:rsidRPr="009B2790">
        <w:t xml:space="preserve">the Oregon proceedings even began, and therefore could </w:t>
      </w:r>
      <w:r w:rsidRPr="009B2790">
        <w:rPr>
          <w:i/>
        </w:rPr>
        <w:t xml:space="preserve">not possibly </w:t>
      </w:r>
      <w:r w:rsidRPr="009B2790">
        <w:t xml:space="preserve">have incorporated any information from those cases.  Moreover, ICNU Data Request No. 10.2, included in Mr. Duvall’s affidavit, which </w:t>
      </w:r>
      <w:r w:rsidRPr="009B2790">
        <w:rPr>
          <w:i/>
        </w:rPr>
        <w:t xml:space="preserve">does </w:t>
      </w:r>
      <w:r w:rsidRPr="009B2790">
        <w:t xml:space="preserve">request permission to use information from Utah Docket No. 09-035-23 </w:t>
      </w:r>
      <w:r w:rsidRPr="009B2790">
        <w:rPr>
          <w:i/>
        </w:rPr>
        <w:t>was never answered as discovery was suspended before the due date.</w:t>
      </w:r>
    </w:p>
  </w:footnote>
  <w:footnote w:id="29">
    <w:p w:rsidR="005C149E" w:rsidRPr="009B2790" w:rsidRDefault="005C149E" w:rsidP="00173C79">
      <w:pPr>
        <w:pStyle w:val="FootnoteText"/>
      </w:pPr>
      <w:r w:rsidRPr="009B2790">
        <w:rPr>
          <w:rStyle w:val="FootnoteReference"/>
          <w:u w:val="single"/>
        </w:rPr>
        <w:footnoteRef/>
      </w:r>
      <w:r w:rsidRPr="009B2790">
        <w:rPr>
          <w:vertAlign w:val="superscript"/>
        </w:rPr>
        <w:t>/</w:t>
      </w:r>
      <w:r w:rsidRPr="009B2790">
        <w:t xml:space="preserve"> </w:t>
      </w:r>
      <w:r w:rsidRPr="009B2790">
        <w:tab/>
      </w:r>
      <w:r w:rsidRPr="009B2790">
        <w:rPr>
          <w:rStyle w:val="groupheading6"/>
          <w:rFonts w:ascii="Times New Roman" w:hAnsi="Times New Roman"/>
          <w:b w:val="0"/>
          <w:i/>
          <w:sz w:val="20"/>
          <w:szCs w:val="20"/>
        </w:rPr>
        <w:t>Rho Co., Inc. v. Dep’t of Revenue,</w:t>
      </w:r>
      <w:r w:rsidRPr="009B2790">
        <w:rPr>
          <w:rStyle w:val="groupheading6"/>
          <w:rFonts w:ascii="Times New Roman" w:hAnsi="Times New Roman"/>
          <w:b w:val="0"/>
          <w:sz w:val="20"/>
          <w:szCs w:val="20"/>
        </w:rPr>
        <w:t xml:space="preserve"> </w:t>
      </w:r>
      <w:r w:rsidRPr="009B2790">
        <w:rPr>
          <w:rStyle w:val="informationalsmall4"/>
          <w:rFonts w:ascii="Times New Roman" w:hAnsi="Times New Roman"/>
          <w:bCs/>
          <w:sz w:val="20"/>
          <w:szCs w:val="20"/>
        </w:rPr>
        <w:t>113 Wn.2d 561, 570, 782 P.2d 986, 991 (1989).</w:t>
      </w:r>
    </w:p>
  </w:footnote>
  <w:footnote w:id="30">
    <w:p w:rsidR="005C149E" w:rsidRPr="009B2790" w:rsidRDefault="005C149E" w:rsidP="00173C79">
      <w:pPr>
        <w:pStyle w:val="FootnoteText"/>
      </w:pPr>
      <w:r w:rsidRPr="009B2790">
        <w:rPr>
          <w:rStyle w:val="FootnoteReference"/>
          <w:u w:val="single"/>
        </w:rPr>
        <w:footnoteRef/>
      </w:r>
      <w:r w:rsidRPr="009B2790">
        <w:rPr>
          <w:vertAlign w:val="superscript"/>
        </w:rPr>
        <w:t>/</w:t>
      </w:r>
      <w:r w:rsidRPr="009B2790">
        <w:t xml:space="preserve"> </w:t>
      </w:r>
      <w:r w:rsidRPr="009B2790">
        <w:tab/>
      </w:r>
      <w:hyperlink r:id="rId1" w:tgtFrame="_top" w:history="1">
        <w:proofErr w:type="spellStart"/>
        <w:r w:rsidRPr="009B2790">
          <w:rPr>
            <w:i/>
            <w:iCs/>
          </w:rPr>
          <w:t>Hewson</w:t>
        </w:r>
        <w:proofErr w:type="spellEnd"/>
        <w:r w:rsidRPr="009B2790">
          <w:rPr>
            <w:i/>
            <w:iCs/>
          </w:rPr>
          <w:t xml:space="preserve"> Constr., Inc. v. </w:t>
        </w:r>
        <w:proofErr w:type="spellStart"/>
        <w:r w:rsidRPr="009B2790">
          <w:rPr>
            <w:i/>
            <w:iCs/>
          </w:rPr>
          <w:t>Reintree</w:t>
        </w:r>
        <w:proofErr w:type="spellEnd"/>
        <w:r w:rsidRPr="009B2790">
          <w:rPr>
            <w:i/>
            <w:iCs/>
          </w:rPr>
          <w:t xml:space="preserve"> Corp.,</w:t>
        </w:r>
        <w:r w:rsidRPr="009B2790">
          <w:t xml:space="preserve"> 101 Wn.2d 819, 823, 685 P.2d 1062 (1984)</w:t>
        </w:r>
      </w:hyperlink>
      <w:r w:rsidRPr="009B2790">
        <w:t>.</w:t>
      </w:r>
    </w:p>
  </w:footnote>
  <w:footnote w:id="31">
    <w:p w:rsidR="005C149E" w:rsidRPr="009B2790" w:rsidRDefault="005C149E" w:rsidP="00173C79">
      <w:pPr>
        <w:pStyle w:val="FootnoteText"/>
      </w:pPr>
      <w:r w:rsidRPr="009B2790">
        <w:rPr>
          <w:rStyle w:val="FootnoteReference"/>
          <w:u w:val="single"/>
        </w:rPr>
        <w:footnoteRef/>
      </w:r>
      <w:r w:rsidRPr="009B2790">
        <w:rPr>
          <w:vertAlign w:val="superscript"/>
        </w:rPr>
        <w:t>/</w:t>
      </w:r>
      <w:r w:rsidRPr="009B2790">
        <w:t xml:space="preserve"> </w:t>
      </w:r>
      <w:r w:rsidRPr="009B2790">
        <w:tab/>
      </w:r>
      <w:r w:rsidRPr="009B2790">
        <w:rPr>
          <w:i/>
        </w:rPr>
        <w:t xml:space="preserve">See State v. Garcia, </w:t>
      </w:r>
      <w:r w:rsidRPr="009B2790">
        <w:rPr>
          <w:rStyle w:val="informationalsmall4"/>
          <w:rFonts w:ascii="Times New Roman" w:hAnsi="Times New Roman"/>
          <w:bCs/>
          <w:color w:val="000000"/>
          <w:sz w:val="20"/>
          <w:szCs w:val="20"/>
        </w:rPr>
        <w:t xml:space="preserve">146 </w:t>
      </w:r>
      <w:proofErr w:type="spellStart"/>
      <w:r w:rsidRPr="009B2790">
        <w:rPr>
          <w:rStyle w:val="informationalsmall4"/>
          <w:rFonts w:ascii="Times New Roman" w:hAnsi="Times New Roman"/>
          <w:bCs/>
          <w:color w:val="000000"/>
          <w:sz w:val="20"/>
          <w:szCs w:val="20"/>
        </w:rPr>
        <w:t>Wn.App</w:t>
      </w:r>
      <w:proofErr w:type="spellEnd"/>
      <w:r w:rsidRPr="009B2790">
        <w:rPr>
          <w:rStyle w:val="informationalsmall4"/>
          <w:rFonts w:ascii="Times New Roman" w:hAnsi="Times New Roman"/>
          <w:bCs/>
          <w:color w:val="000000"/>
          <w:sz w:val="20"/>
          <w:szCs w:val="20"/>
        </w:rPr>
        <w:t xml:space="preserve">. </w:t>
      </w:r>
      <w:proofErr w:type="gramStart"/>
      <w:r w:rsidRPr="009B2790">
        <w:rPr>
          <w:rStyle w:val="informationalsmall4"/>
          <w:rFonts w:ascii="Times New Roman" w:hAnsi="Times New Roman"/>
          <w:bCs/>
          <w:color w:val="000000"/>
          <w:sz w:val="20"/>
          <w:szCs w:val="20"/>
        </w:rPr>
        <w:t>821, 827-28, 193 P.3d 181, 184 (2008).</w:t>
      </w:r>
      <w:proofErr w:type="gramEnd"/>
    </w:p>
  </w:footnote>
  <w:footnote w:id="32">
    <w:p w:rsidR="005C149E" w:rsidRPr="00A71BCA" w:rsidRDefault="005C149E" w:rsidP="00173C79">
      <w:pPr>
        <w:pStyle w:val="FootnoteText"/>
      </w:pPr>
      <w:r w:rsidRPr="009B2790">
        <w:rPr>
          <w:rStyle w:val="FootnoteReference"/>
          <w:u w:val="single"/>
        </w:rPr>
        <w:footnoteRef/>
      </w:r>
      <w:r w:rsidRPr="009B2790">
        <w:rPr>
          <w:vertAlign w:val="superscript"/>
        </w:rPr>
        <w:t>/</w:t>
      </w:r>
      <w:r w:rsidRPr="009B2790">
        <w:t xml:space="preserve"> </w:t>
      </w:r>
      <w:r w:rsidRPr="009B2790">
        <w:tab/>
      </w:r>
      <w:r w:rsidRPr="007A3997">
        <w:rPr>
          <w:i/>
        </w:rPr>
        <w:t>See id.</w:t>
      </w:r>
    </w:p>
  </w:footnote>
  <w:footnote w:id="33">
    <w:p w:rsidR="005C149E" w:rsidRPr="006B33C7" w:rsidRDefault="005C149E" w:rsidP="00173C79">
      <w:pPr>
        <w:pStyle w:val="FootnoteText"/>
      </w:pPr>
      <w:r w:rsidRPr="009B2790">
        <w:rPr>
          <w:rStyle w:val="FootnoteReference"/>
          <w:u w:val="single"/>
        </w:rPr>
        <w:footnoteRef/>
      </w:r>
      <w:r w:rsidRPr="00A71BCA">
        <w:rPr>
          <w:vertAlign w:val="superscript"/>
        </w:rPr>
        <w:t>/</w:t>
      </w:r>
      <w:r w:rsidRPr="00A71BCA">
        <w:t xml:space="preserve"> </w:t>
      </w:r>
      <w:r w:rsidRPr="00A71BCA">
        <w:tab/>
      </w:r>
      <w:r w:rsidRPr="006B33C7">
        <w:rPr>
          <w:i/>
        </w:rPr>
        <w:t xml:space="preserve">Taylor v. </w:t>
      </w:r>
      <w:proofErr w:type="spellStart"/>
      <w:r w:rsidRPr="006B33C7">
        <w:rPr>
          <w:i/>
        </w:rPr>
        <w:t>Kohli</w:t>
      </w:r>
      <w:proofErr w:type="spellEnd"/>
      <w:r w:rsidRPr="006B33C7">
        <w:t xml:space="preserve">¸ 162 Ill.2d 91, 96, 642 N.E.2d 467, 469 (1994) (ruling as a matter of law that an expert witness is not </w:t>
      </w:r>
      <w:r w:rsidRPr="006B33C7">
        <w:rPr>
          <w:i/>
        </w:rPr>
        <w:t xml:space="preserve">per se </w:t>
      </w:r>
      <w:r w:rsidRPr="006B33C7">
        <w:t>an agent of the party calling him, and stating that “an expert witness is more accurately described as an independent contractor”).</w:t>
      </w:r>
    </w:p>
  </w:footnote>
  <w:footnote w:id="34">
    <w:p w:rsidR="005C149E" w:rsidRPr="006B33C7" w:rsidRDefault="005C149E" w:rsidP="00173C79">
      <w:pPr>
        <w:pStyle w:val="FootnoteText"/>
      </w:pPr>
      <w:r w:rsidRPr="006B33C7">
        <w:rPr>
          <w:rStyle w:val="FootnoteReference"/>
          <w:u w:val="single"/>
        </w:rPr>
        <w:footnoteRef/>
      </w:r>
      <w:r w:rsidRPr="006B33C7">
        <w:rPr>
          <w:vertAlign w:val="superscript"/>
        </w:rPr>
        <w:t>/</w:t>
      </w:r>
      <w:r w:rsidRPr="006B33C7">
        <w:t xml:space="preserve"> </w:t>
      </w:r>
      <w:r w:rsidRPr="006B33C7">
        <w:tab/>
      </w:r>
      <w:r w:rsidRPr="006B33C7">
        <w:rPr>
          <w:i/>
        </w:rPr>
        <w:t xml:space="preserve">Kirk v. </w:t>
      </w:r>
      <w:proofErr w:type="spellStart"/>
      <w:r w:rsidRPr="006B33C7">
        <w:rPr>
          <w:i/>
        </w:rPr>
        <w:t>Raymark</w:t>
      </w:r>
      <w:proofErr w:type="spellEnd"/>
      <w:r w:rsidRPr="006B33C7">
        <w:rPr>
          <w:i/>
        </w:rPr>
        <w:t xml:space="preserve"> Indus.</w:t>
      </w:r>
      <w:r w:rsidRPr="006B33C7">
        <w:t xml:space="preserve">, </w:t>
      </w:r>
      <w:r w:rsidRPr="006B33C7">
        <w:rPr>
          <w:i/>
        </w:rPr>
        <w:t>Inc.</w:t>
      </w:r>
      <w:r w:rsidRPr="006B33C7">
        <w:t xml:space="preserve">, 61 F.3d 147, 164 (3rd </w:t>
      </w:r>
      <w:proofErr w:type="gramStart"/>
      <w:r w:rsidRPr="006B33C7">
        <w:t>Cir.,</w:t>
      </w:r>
      <w:proofErr w:type="gramEnd"/>
      <w:r w:rsidRPr="006B33C7">
        <w:t xml:space="preserve"> 1995) (holding that a statement of an expert witness hired by a party cannot be used against that party as an admission by a party opponent).  </w:t>
      </w:r>
      <w:r w:rsidRPr="006B33C7">
        <w:rPr>
          <w:i/>
        </w:rPr>
        <w:t>See also Condus v. Howard Savings Bank</w:t>
      </w:r>
      <w:r w:rsidRPr="006B33C7">
        <w:t xml:space="preserve">, 986 </w:t>
      </w:r>
      <w:proofErr w:type="spellStart"/>
      <w:r w:rsidRPr="006B33C7">
        <w:t>F.</w:t>
      </w:r>
      <w:r w:rsidR="00D910DD">
        <w:t>Supp</w:t>
      </w:r>
      <w:proofErr w:type="spellEnd"/>
      <w:r w:rsidRPr="006B33C7">
        <w:t>. 914, 916-17</w:t>
      </w:r>
      <w:r w:rsidR="00D8795F">
        <w:t xml:space="preserve"> (D.</w:t>
      </w:r>
      <w:r w:rsidRPr="006B33C7">
        <w:t>N.J., 1997) (holding that an outside consultant hired to provide hired by a bank to provide an independent assessment was not an “agent independent contractor” of the bank).</w:t>
      </w:r>
    </w:p>
  </w:footnote>
  <w:footnote w:id="35">
    <w:p w:rsidR="00A54140" w:rsidRPr="006B33C7" w:rsidRDefault="00A54140" w:rsidP="00A54140">
      <w:pPr>
        <w:pStyle w:val="FootnoteText"/>
      </w:pPr>
      <w:r w:rsidRPr="006B33C7">
        <w:rPr>
          <w:rStyle w:val="FootnoteReference"/>
          <w:u w:val="single"/>
        </w:rPr>
        <w:footnoteRef/>
      </w:r>
      <w:r w:rsidRPr="006B33C7">
        <w:rPr>
          <w:vertAlign w:val="superscript"/>
        </w:rPr>
        <w:t>/</w:t>
      </w:r>
      <w:r w:rsidRPr="006B33C7">
        <w:t xml:space="preserve"> </w:t>
      </w:r>
      <w:r w:rsidRPr="006B33C7">
        <w:tab/>
      </w:r>
      <w:r w:rsidRPr="006B33C7">
        <w:rPr>
          <w:i/>
        </w:rPr>
        <w:t>Pfizer, Inc. v. Ranbaxy Lab., Ltd.</w:t>
      </w:r>
      <w:r w:rsidRPr="006B33C7">
        <w:t xml:space="preserve">, </w:t>
      </w:r>
      <w:r w:rsidR="006E1A86">
        <w:t xml:space="preserve">68 Fed. E. </w:t>
      </w:r>
      <w:proofErr w:type="spellStart"/>
      <w:r w:rsidR="006E1A86">
        <w:t>Evid</w:t>
      </w:r>
      <w:proofErr w:type="spellEnd"/>
      <w:r w:rsidR="006E1A86">
        <w:t xml:space="preserve">. </w:t>
      </w:r>
      <w:proofErr w:type="gramStart"/>
      <w:r w:rsidR="006E1A86">
        <w:t>Serv. 361</w:t>
      </w:r>
      <w:r w:rsidR="00D8795F">
        <w:t xml:space="preserve"> (</w:t>
      </w:r>
      <w:proofErr w:type="spellStart"/>
      <w:r w:rsidR="00D8795F">
        <w:t>D.</w:t>
      </w:r>
      <w:r w:rsidRPr="006B33C7">
        <w:t>Del</w:t>
      </w:r>
      <w:proofErr w:type="spellEnd"/>
      <w:r w:rsidRPr="006B33C7">
        <w:t>.</w:t>
      </w:r>
      <w:proofErr w:type="gramEnd"/>
      <w:r w:rsidRPr="006B33C7">
        <w:t xml:space="preserve"> Sept. 20, 2005)</w:t>
      </w:r>
      <w:r>
        <w:t xml:space="preserve">; </w:t>
      </w:r>
      <w:r w:rsidR="0095256A">
        <w:rPr>
          <w:i/>
        </w:rPr>
        <w:t>Cross v. Cutter Biological</w:t>
      </w:r>
      <w:r w:rsidRPr="0095256A">
        <w:t>¸</w:t>
      </w:r>
      <w:r w:rsidR="00D8795F">
        <w:t xml:space="preserve"> 676 So.2d 131, 147-48 (La.Ct.App.</w:t>
      </w:r>
      <w:r w:rsidRPr="006B33C7">
        <w:t>4th Cir., 1996) (finding no evidence of an agency relationship where an expert witness was paid an hourly rate for his work, the alleged principals did not have the right to control the expert’s conduct, and the expert lacked “the right or authority to represent” the alleged principals)</w:t>
      </w:r>
      <w:r>
        <w:t xml:space="preserve">; </w:t>
      </w:r>
      <w:proofErr w:type="spellStart"/>
      <w:r w:rsidRPr="006B33C7">
        <w:rPr>
          <w:i/>
        </w:rPr>
        <w:t>Sabel</w:t>
      </w:r>
      <w:proofErr w:type="spellEnd"/>
      <w:r w:rsidRPr="006B33C7">
        <w:rPr>
          <w:i/>
        </w:rPr>
        <w:t xml:space="preserve"> v. Mead Johnson &amp; Co.</w:t>
      </w:r>
      <w:r w:rsidRPr="006B33C7">
        <w:t xml:space="preserve">, 737 </w:t>
      </w:r>
      <w:proofErr w:type="spellStart"/>
      <w:r w:rsidRPr="006B33C7">
        <w:t>F.</w:t>
      </w:r>
      <w:r w:rsidR="00D910DD">
        <w:t>Supp</w:t>
      </w:r>
      <w:proofErr w:type="spellEnd"/>
      <w:r>
        <w:t>.</w:t>
      </w:r>
      <w:r w:rsidRPr="006B33C7">
        <w:t xml:space="preserve"> 135, 138-39 (D. Mass, 1990) (holding that outside experts/consultants were not agents of the party for whom they had performed research, noting the lack of authority granted to the consultants t</w:t>
      </w:r>
      <w:r>
        <w:t xml:space="preserve">o speak on the party’s </w:t>
      </w:r>
      <w:proofErr w:type="gramStart"/>
      <w:r>
        <w:t>behalf )</w:t>
      </w:r>
      <w:proofErr w:type="gramEnd"/>
      <w:r>
        <w:t>;</w:t>
      </w:r>
      <w:r w:rsidRPr="006B33C7">
        <w:t xml:space="preserve"> </w:t>
      </w:r>
      <w:r>
        <w:t xml:space="preserve">and </w:t>
      </w:r>
      <w:r w:rsidRPr="006B33C7">
        <w:rPr>
          <w:i/>
        </w:rPr>
        <w:t xml:space="preserve">Sutherlin v. White, </w:t>
      </w:r>
      <w:r w:rsidR="006E1A86">
        <w:t>71 Va. Cir. 184</w:t>
      </w:r>
      <w:r w:rsidRPr="006B33C7">
        <w:t xml:space="preserve"> (</w:t>
      </w:r>
      <w:proofErr w:type="spellStart"/>
      <w:r>
        <w:t>Va.Cir.</w:t>
      </w:r>
      <w:r w:rsidRPr="006B33C7">
        <w:t>Ct</w:t>
      </w:r>
      <w:proofErr w:type="spellEnd"/>
      <w:r w:rsidRPr="006B33C7">
        <w:t>., June 29, 2006) (</w:t>
      </w:r>
      <w:r w:rsidRPr="006B33C7">
        <w:rPr>
          <w:i/>
        </w:rPr>
        <w:t>“</w:t>
      </w:r>
      <w:r w:rsidRPr="006B33C7">
        <w:t>[N]o party to litigation can exercise the level of control over an expert witness that an employer may exercise over an employee”).</w:t>
      </w:r>
    </w:p>
  </w:footnote>
  <w:footnote w:id="36">
    <w:p w:rsidR="005C149E" w:rsidRPr="006B33C7" w:rsidRDefault="005C149E" w:rsidP="00173C79">
      <w:pPr>
        <w:pStyle w:val="FootnoteText"/>
      </w:pPr>
      <w:r w:rsidRPr="009B2790">
        <w:rPr>
          <w:rStyle w:val="FootnoteReference"/>
          <w:u w:val="single"/>
        </w:rPr>
        <w:footnoteRef/>
      </w:r>
      <w:r w:rsidRPr="00A71BCA">
        <w:rPr>
          <w:vertAlign w:val="superscript"/>
        </w:rPr>
        <w:t>/</w:t>
      </w:r>
      <w:r>
        <w:t xml:space="preserve"> </w:t>
      </w:r>
      <w:r>
        <w:tab/>
      </w:r>
      <w:r w:rsidRPr="006B33C7">
        <w:rPr>
          <w:i/>
        </w:rPr>
        <w:t xml:space="preserve">See </w:t>
      </w:r>
      <w:r w:rsidRPr="006B33C7">
        <w:t xml:space="preserve">Testimony of Donna </w:t>
      </w:r>
      <w:proofErr w:type="spellStart"/>
      <w:r w:rsidRPr="006B33C7">
        <w:t>Ramas</w:t>
      </w:r>
      <w:proofErr w:type="spellEnd"/>
      <w:r w:rsidRPr="006B33C7">
        <w:t xml:space="preserve"> in Support of Settlement on Behalf of Public Counsel, </w:t>
      </w:r>
      <w:proofErr w:type="spellStart"/>
      <w:r w:rsidRPr="006B33C7">
        <w:t>Exh</w:t>
      </w:r>
      <w:proofErr w:type="spellEnd"/>
      <w:r w:rsidRPr="006B33C7">
        <w:t xml:space="preserve">. No. </w:t>
      </w:r>
      <w:proofErr w:type="gramStart"/>
      <w:r w:rsidRPr="006B33C7">
        <w:t>DR-1T, Docket No.</w:t>
      </w:r>
      <w:proofErr w:type="gramEnd"/>
      <w:r w:rsidRPr="006B33C7">
        <w:t xml:space="preserve"> UE-090205 at 1:17-2:4. (Sept. 22, 2009) (</w:t>
      </w:r>
      <w:proofErr w:type="gramStart"/>
      <w:r w:rsidRPr="006B33C7">
        <w:t>explaining</w:t>
      </w:r>
      <w:proofErr w:type="gramEnd"/>
      <w:r w:rsidRPr="006B33C7">
        <w:t xml:space="preserve"> that her testimony was limited in scope to review of the </w:t>
      </w:r>
      <w:r w:rsidRPr="006B33C7">
        <w:rPr>
          <w:i/>
        </w:rPr>
        <w:t xml:space="preserve">2009 GRC </w:t>
      </w:r>
      <w:r w:rsidRPr="006B33C7">
        <w:t xml:space="preserve">filing and settlement stipulation).  </w:t>
      </w:r>
    </w:p>
  </w:footnote>
  <w:footnote w:id="37">
    <w:p w:rsidR="005C149E" w:rsidRPr="006B33C7" w:rsidRDefault="005C149E" w:rsidP="00173C79">
      <w:pPr>
        <w:pStyle w:val="FootnoteText"/>
        <w:rPr>
          <w:i/>
        </w:rPr>
      </w:pPr>
      <w:r w:rsidRPr="006B33C7">
        <w:rPr>
          <w:rStyle w:val="FootnoteReference"/>
          <w:u w:val="single"/>
        </w:rPr>
        <w:footnoteRef/>
      </w:r>
      <w:r w:rsidRPr="006B33C7">
        <w:rPr>
          <w:vertAlign w:val="superscript"/>
        </w:rPr>
        <w:t>/</w:t>
      </w:r>
      <w:r w:rsidRPr="006B33C7">
        <w:t xml:space="preserve"> </w:t>
      </w:r>
      <w:r w:rsidRPr="006B33C7">
        <w:tab/>
      </w:r>
      <w:r w:rsidRPr="006B33C7">
        <w:rPr>
          <w:i/>
        </w:rPr>
        <w:t xml:space="preserve">See id.  </w:t>
      </w:r>
      <w:r w:rsidRPr="006B33C7">
        <w:t xml:space="preserve">PacifiCorp misconstrues the cases that it cites regarding agency law.  Specifically, PacifiCorp cites to </w:t>
      </w:r>
      <w:r w:rsidRPr="006B33C7">
        <w:rPr>
          <w:i/>
        </w:rPr>
        <w:t xml:space="preserve">Feature Realty, Inc. v. City of Spokane </w:t>
      </w:r>
      <w:r w:rsidRPr="006B33C7">
        <w:t xml:space="preserve">for the proposition that knowledge can be imputed to a party from its former lawyer, seeming to suggest that knowledge gained by Ms. </w:t>
      </w:r>
      <w:proofErr w:type="spellStart"/>
      <w:r w:rsidRPr="006B33C7">
        <w:t>Ramas</w:t>
      </w:r>
      <w:proofErr w:type="spellEnd"/>
      <w:r w:rsidRPr="006B33C7">
        <w:t xml:space="preserve"> or Mr. Falkenberg after they had completed their service as expert witnesses could be imputed to Public Counsel or ICNU.  </w:t>
      </w:r>
      <w:r w:rsidRPr="006B33C7">
        <w:rPr>
          <w:i/>
        </w:rPr>
        <w:t xml:space="preserve">See </w:t>
      </w:r>
      <w:r w:rsidRPr="006B33C7">
        <w:t xml:space="preserve">Motion to </w:t>
      </w:r>
      <w:proofErr w:type="gramStart"/>
      <w:r w:rsidRPr="006B33C7">
        <w:t>Dismiss</w:t>
      </w:r>
      <w:proofErr w:type="gramEnd"/>
      <w:r w:rsidRPr="006B33C7">
        <w:t xml:space="preserve"> ¶40.  What PacifiCorp fails to explain is that, in </w:t>
      </w:r>
      <w:r w:rsidRPr="006B33C7">
        <w:rPr>
          <w:i/>
        </w:rPr>
        <w:t>Feature Realty</w:t>
      </w:r>
      <w:r w:rsidRPr="006B33C7">
        <w:t xml:space="preserve">, the knowledge at issue was obtained by the lawyer during and in the course of his service on behalf of the client.  </w:t>
      </w:r>
      <w:r w:rsidRPr="006B33C7">
        <w:rPr>
          <w:i/>
        </w:rPr>
        <w:t xml:space="preserve">See </w:t>
      </w:r>
      <w:r w:rsidRPr="006B33C7">
        <w:t xml:space="preserve">331 F.3d 1082, 1093 (9th </w:t>
      </w:r>
      <w:proofErr w:type="gramStart"/>
      <w:r w:rsidRPr="006B33C7">
        <w:t>Cir.,</w:t>
      </w:r>
      <w:proofErr w:type="gramEnd"/>
      <w:r w:rsidRPr="006B33C7">
        <w:t xml:space="preserve"> 2003).  Thus, </w:t>
      </w:r>
      <w:r w:rsidRPr="006B33C7">
        <w:rPr>
          <w:i/>
        </w:rPr>
        <w:t xml:space="preserve">Feature Realty </w:t>
      </w:r>
      <w:r w:rsidRPr="006B33C7">
        <w:t xml:space="preserve">does not stand for the proposition that knowledge obtained by a lawyer </w:t>
      </w:r>
      <w:r w:rsidRPr="006B33C7">
        <w:rPr>
          <w:i/>
        </w:rPr>
        <w:t xml:space="preserve">after </w:t>
      </w:r>
      <w:r w:rsidRPr="006B33C7">
        <w:t xml:space="preserve">his or her service for a client can be imputed to the former client.  </w:t>
      </w:r>
    </w:p>
  </w:footnote>
  <w:footnote w:id="38">
    <w:p w:rsidR="005C149E" w:rsidRPr="006B33C7" w:rsidRDefault="005C149E" w:rsidP="00173C79">
      <w:pPr>
        <w:pStyle w:val="FootnoteText"/>
      </w:pPr>
      <w:r w:rsidRPr="006B33C7">
        <w:rPr>
          <w:rStyle w:val="FootnoteReference"/>
          <w:u w:val="single"/>
        </w:rPr>
        <w:footnoteRef/>
      </w:r>
      <w:r w:rsidRPr="006B33C7">
        <w:rPr>
          <w:vertAlign w:val="superscript"/>
        </w:rPr>
        <w:t>/</w:t>
      </w:r>
      <w:r w:rsidRPr="006B33C7">
        <w:t xml:space="preserve"> </w:t>
      </w:r>
      <w:r w:rsidRPr="006B33C7">
        <w:tab/>
      </w:r>
      <w:r w:rsidRPr="006B33C7">
        <w:rPr>
          <w:i/>
        </w:rPr>
        <w:t xml:space="preserve">See </w:t>
      </w:r>
      <w:r w:rsidRPr="006B33C7">
        <w:t xml:space="preserve">Testimony of Robert M. Meek in Support of Settlement Stipulation on Behalf of ICNU, </w:t>
      </w:r>
      <w:proofErr w:type="spellStart"/>
      <w:r w:rsidRPr="006B33C7">
        <w:t>Exh</w:t>
      </w:r>
      <w:proofErr w:type="spellEnd"/>
      <w:r w:rsidRPr="006B33C7">
        <w:t xml:space="preserve">. No. </w:t>
      </w:r>
      <w:proofErr w:type="gramStart"/>
      <w:r w:rsidRPr="006B33C7">
        <w:t>RMM-1T, Docket No.</w:t>
      </w:r>
      <w:proofErr w:type="gramEnd"/>
      <w:r w:rsidRPr="006B33C7">
        <w:t xml:space="preserve"> </w:t>
      </w:r>
      <w:proofErr w:type="gramStart"/>
      <w:r w:rsidRPr="006B33C7">
        <w:t xml:space="preserve">UE-090205 at 2:12 (Sept. 22, 2009) (describing Mr. Falkenberg’s role in the </w:t>
      </w:r>
      <w:r w:rsidRPr="006B33C7">
        <w:rPr>
          <w:i/>
        </w:rPr>
        <w:t xml:space="preserve">2009 GRC </w:t>
      </w:r>
      <w:r w:rsidRPr="006B33C7">
        <w:t>as limited to “review[</w:t>
      </w:r>
      <w:proofErr w:type="spellStart"/>
      <w:r w:rsidRPr="006B33C7">
        <w:t>ing</w:t>
      </w:r>
      <w:proofErr w:type="spellEnd"/>
      <w:r w:rsidRPr="006B33C7">
        <w:t>] power cost and resource prudency issues”).</w:t>
      </w:r>
      <w:proofErr w:type="gramEnd"/>
      <w:r w:rsidRPr="006B33C7">
        <w:t xml:space="preserve">  </w:t>
      </w:r>
    </w:p>
  </w:footnote>
  <w:footnote w:id="39">
    <w:p w:rsidR="005C149E" w:rsidRPr="00A30509" w:rsidRDefault="005C149E" w:rsidP="00173C79">
      <w:pPr>
        <w:pStyle w:val="FootnoteText"/>
        <w:rPr>
          <w:highlight w:val="yellow"/>
        </w:rPr>
      </w:pPr>
      <w:r w:rsidRPr="006B33C7">
        <w:rPr>
          <w:rStyle w:val="FootnoteReference"/>
          <w:u w:val="single"/>
        </w:rPr>
        <w:footnoteRef/>
      </w:r>
      <w:r w:rsidRPr="006B33C7">
        <w:rPr>
          <w:vertAlign w:val="superscript"/>
        </w:rPr>
        <w:t>/</w:t>
      </w:r>
      <w:r w:rsidRPr="006B33C7">
        <w:t xml:space="preserve"> </w:t>
      </w:r>
      <w:r w:rsidRPr="006B33C7">
        <w:tab/>
        <w:t xml:space="preserve">Motion to </w:t>
      </w:r>
      <w:proofErr w:type="gramStart"/>
      <w:r w:rsidRPr="006B33C7">
        <w:t>Dismiss</w:t>
      </w:r>
      <w:proofErr w:type="gramEnd"/>
      <w:r w:rsidRPr="006B33C7">
        <w:t xml:space="preserve"> ¶¶23-24.</w:t>
      </w:r>
    </w:p>
  </w:footnote>
  <w:footnote w:id="40">
    <w:p w:rsidR="005C149E" w:rsidRDefault="005C149E" w:rsidP="00173C79">
      <w:pPr>
        <w:pStyle w:val="FootnoteText"/>
      </w:pPr>
      <w:r w:rsidRPr="009B2790">
        <w:rPr>
          <w:rStyle w:val="FootnoteReference"/>
          <w:u w:val="single"/>
        </w:rPr>
        <w:footnoteRef/>
      </w:r>
      <w:r w:rsidRPr="00A71BCA">
        <w:rPr>
          <w:vertAlign w:val="superscript"/>
        </w:rPr>
        <w:t>/</w:t>
      </w:r>
      <w:r w:rsidR="00B477AB">
        <w:t xml:space="preserve"> </w:t>
      </w:r>
      <w:r w:rsidR="00B477AB">
        <w:tab/>
        <w:t xml:space="preserve">Motion to </w:t>
      </w:r>
      <w:proofErr w:type="gramStart"/>
      <w:r w:rsidR="00B477AB">
        <w:t>Dismiss</w:t>
      </w:r>
      <w:proofErr w:type="gramEnd"/>
      <w:r w:rsidR="00B477AB">
        <w:t xml:space="preserve"> ¶¶25, </w:t>
      </w:r>
      <w:r>
        <w:t>40.</w:t>
      </w:r>
    </w:p>
  </w:footnote>
  <w:footnote w:id="41">
    <w:p w:rsidR="005C149E" w:rsidRPr="00721A38" w:rsidRDefault="005C149E" w:rsidP="00173C79">
      <w:pPr>
        <w:pStyle w:val="FootnoteText"/>
      </w:pPr>
      <w:r w:rsidRPr="009B2790">
        <w:rPr>
          <w:rStyle w:val="FootnoteReference"/>
          <w:u w:val="single"/>
        </w:rPr>
        <w:footnoteRef/>
      </w:r>
      <w:r w:rsidRPr="00A71BCA">
        <w:rPr>
          <w:vertAlign w:val="superscript"/>
        </w:rPr>
        <w:t>/</w:t>
      </w:r>
      <w:r w:rsidRPr="00721A38">
        <w:t xml:space="preserve"> </w:t>
      </w:r>
      <w:r w:rsidRPr="00721A38">
        <w:tab/>
      </w:r>
      <w:r w:rsidRPr="00B477AB">
        <w:rPr>
          <w:i/>
        </w:rPr>
        <w:t>See</w:t>
      </w:r>
      <w:r w:rsidRPr="00721A38">
        <w:t xml:space="preserve"> </w:t>
      </w:r>
      <w:r w:rsidRPr="008F4578">
        <w:rPr>
          <w:i/>
        </w:rPr>
        <w:t xml:space="preserve">Oregon Pub. </w:t>
      </w:r>
      <w:proofErr w:type="gramStart"/>
      <w:r w:rsidRPr="008F4578">
        <w:rPr>
          <w:i/>
        </w:rPr>
        <w:t xml:space="preserve">Utility </w:t>
      </w:r>
      <w:proofErr w:type="spellStart"/>
      <w:r w:rsidRPr="008F4578">
        <w:rPr>
          <w:i/>
        </w:rPr>
        <w:t>Comm’n</w:t>
      </w:r>
      <w:proofErr w:type="spellEnd"/>
      <w:r w:rsidRPr="008F4578">
        <w:rPr>
          <w:i/>
        </w:rPr>
        <w:t xml:space="preserve"> Net Power Cost Update for PacifiCorp’s 201</w:t>
      </w:r>
      <w:r w:rsidR="008F3920">
        <w:rPr>
          <w:i/>
        </w:rPr>
        <w:t>0</w:t>
      </w:r>
      <w:r w:rsidRPr="008F4578">
        <w:rPr>
          <w:i/>
        </w:rPr>
        <w:t xml:space="preserve"> TAM</w:t>
      </w:r>
      <w:r w:rsidRPr="00721A38">
        <w:t xml:space="preserve">, </w:t>
      </w:r>
      <w:r>
        <w:t xml:space="preserve">OPUC Docket </w:t>
      </w:r>
      <w:r w:rsidR="00745CED">
        <w:t>No.</w:t>
      </w:r>
      <w:proofErr w:type="gramEnd"/>
      <w:r w:rsidR="00745CED">
        <w:t xml:space="preserve"> </w:t>
      </w:r>
      <w:r>
        <w:t>UE</w:t>
      </w:r>
      <w:r w:rsidR="00B477AB">
        <w:t xml:space="preserve"> </w:t>
      </w:r>
      <w:r w:rsidRPr="00721A38">
        <w:t>207</w:t>
      </w:r>
      <w:r>
        <w:t xml:space="preserve"> (</w:t>
      </w:r>
      <w:r w:rsidR="002509A1">
        <w:t>f</w:t>
      </w:r>
      <w:r>
        <w:t>iled Nov. 9, 2009)</w:t>
      </w:r>
      <w:r w:rsidRPr="00721A38">
        <w:t>.</w:t>
      </w:r>
    </w:p>
  </w:footnote>
  <w:footnote w:id="42">
    <w:p w:rsidR="005C149E" w:rsidRDefault="005C149E" w:rsidP="00173C79">
      <w:pPr>
        <w:pStyle w:val="FootnoteText"/>
      </w:pPr>
      <w:r w:rsidRPr="009B2790">
        <w:rPr>
          <w:rStyle w:val="FootnoteReference"/>
          <w:u w:val="single"/>
        </w:rPr>
        <w:footnoteRef/>
      </w:r>
      <w:r w:rsidRPr="00A71BCA">
        <w:rPr>
          <w:vertAlign w:val="superscript"/>
        </w:rPr>
        <w:t>/</w:t>
      </w:r>
      <w:r w:rsidRPr="00721A38">
        <w:t xml:space="preserve"> </w:t>
      </w:r>
      <w:r w:rsidRPr="00721A38">
        <w:tab/>
      </w:r>
      <w:r w:rsidRPr="00721A38">
        <w:rPr>
          <w:i/>
        </w:rPr>
        <w:t>Id.</w:t>
      </w:r>
      <w:r>
        <w:t xml:space="preserve"> at</w:t>
      </w:r>
      <w:r w:rsidRPr="00721A38">
        <w:t xml:space="preserve"> Attachment B</w:t>
      </w:r>
      <w:r>
        <w:t xml:space="preserve"> at</w:t>
      </w:r>
      <w:r w:rsidRPr="00721A38">
        <w:t xml:space="preserve"> 2-3.</w:t>
      </w:r>
    </w:p>
  </w:footnote>
  <w:footnote w:id="43">
    <w:p w:rsidR="005C149E" w:rsidRPr="00A71BCA" w:rsidRDefault="005C149E" w:rsidP="00173C79">
      <w:pPr>
        <w:pStyle w:val="FootnoteText"/>
      </w:pPr>
      <w:r w:rsidRPr="00173C79">
        <w:rPr>
          <w:rStyle w:val="FootnoteReference"/>
          <w:u w:val="single"/>
        </w:rPr>
        <w:footnoteRef/>
      </w:r>
      <w:r w:rsidRPr="00A71BCA">
        <w:rPr>
          <w:vertAlign w:val="superscript"/>
        </w:rPr>
        <w:t>/</w:t>
      </w:r>
      <w:r w:rsidRPr="00A71BCA">
        <w:t xml:space="preserve"> </w:t>
      </w:r>
      <w:r w:rsidRPr="00A71BCA">
        <w:tab/>
        <w:t xml:space="preserve">Joint Complaint at </w:t>
      </w:r>
      <w:r>
        <w:t xml:space="preserve">n. </w:t>
      </w:r>
      <w:r w:rsidR="000673E2">
        <w:t>5</w:t>
      </w:r>
      <w:r w:rsidRPr="00A71BCA">
        <w:t>.</w:t>
      </w:r>
    </w:p>
  </w:footnote>
  <w:footnote w:id="44">
    <w:p w:rsidR="005C149E" w:rsidRPr="00A71BCA" w:rsidRDefault="005C149E" w:rsidP="00173C79">
      <w:pPr>
        <w:pStyle w:val="FootnoteText"/>
      </w:pPr>
      <w:r w:rsidRPr="00173C79">
        <w:rPr>
          <w:rStyle w:val="FootnoteReference"/>
          <w:u w:val="single"/>
        </w:rPr>
        <w:footnoteRef/>
      </w:r>
      <w:r w:rsidRPr="00A71BCA">
        <w:rPr>
          <w:vertAlign w:val="superscript"/>
        </w:rPr>
        <w:t>/</w:t>
      </w:r>
      <w:r w:rsidRPr="00A71BCA">
        <w:t xml:space="preserve"> </w:t>
      </w:r>
      <w:r w:rsidRPr="00A71BCA">
        <w:tab/>
      </w:r>
      <w:r w:rsidRPr="00A71BCA">
        <w:rPr>
          <w:i/>
        </w:rPr>
        <w:t xml:space="preserve">See </w:t>
      </w:r>
      <w:r w:rsidRPr="00A71BCA">
        <w:t xml:space="preserve">Motion to </w:t>
      </w:r>
      <w:proofErr w:type="gramStart"/>
      <w:r w:rsidRPr="00A71BCA">
        <w:t>Dismiss</w:t>
      </w:r>
      <w:proofErr w:type="gramEnd"/>
      <w:r>
        <w:t xml:space="preserve"> </w:t>
      </w:r>
      <w:r w:rsidRPr="00A71BCA">
        <w:t>¶¶</w:t>
      </w:r>
      <w:r>
        <w:t>35-37</w:t>
      </w:r>
      <w:r w:rsidRPr="00A71BCA">
        <w:t>.</w:t>
      </w:r>
    </w:p>
  </w:footnote>
  <w:footnote w:id="45">
    <w:p w:rsidR="005C149E" w:rsidRPr="00A71BCA" w:rsidRDefault="005C149E" w:rsidP="00173C79">
      <w:pPr>
        <w:pStyle w:val="FootnoteText"/>
      </w:pPr>
      <w:r w:rsidRPr="00173C79">
        <w:rPr>
          <w:rStyle w:val="FootnoteReference"/>
          <w:u w:val="single"/>
        </w:rPr>
        <w:footnoteRef/>
      </w:r>
      <w:r w:rsidRPr="00A71BCA">
        <w:rPr>
          <w:vertAlign w:val="superscript"/>
        </w:rPr>
        <w:t>/</w:t>
      </w:r>
      <w:r w:rsidRPr="00A71BCA">
        <w:t xml:space="preserve"> </w:t>
      </w:r>
      <w:r w:rsidRPr="00A71BCA">
        <w:tab/>
      </w:r>
      <w:r w:rsidRPr="00A71BCA">
        <w:rPr>
          <w:i/>
        </w:rPr>
        <w:t xml:space="preserve">AT&amp;T </w:t>
      </w:r>
      <w:proofErr w:type="spellStart"/>
      <w:r w:rsidRPr="00A71BCA">
        <w:rPr>
          <w:i/>
        </w:rPr>
        <w:t>Comm</w:t>
      </w:r>
      <w:r>
        <w:rPr>
          <w:i/>
        </w:rPr>
        <w:t>c’</w:t>
      </w:r>
      <w:r w:rsidRPr="00A71BCA">
        <w:rPr>
          <w:i/>
        </w:rPr>
        <w:t>n</w:t>
      </w:r>
      <w:proofErr w:type="spellEnd"/>
      <w:r w:rsidRPr="00A71BCA">
        <w:rPr>
          <w:i/>
        </w:rPr>
        <w:t xml:space="preserve">. </w:t>
      </w:r>
      <w:proofErr w:type="gramStart"/>
      <w:r w:rsidRPr="00A71BCA">
        <w:rPr>
          <w:i/>
        </w:rPr>
        <w:t>et</w:t>
      </w:r>
      <w:proofErr w:type="gramEnd"/>
      <w:r w:rsidRPr="00A71BCA">
        <w:rPr>
          <w:i/>
        </w:rPr>
        <w:t xml:space="preserve"> al. v. Qwest Corp.</w:t>
      </w:r>
      <w:r w:rsidRPr="00A71BCA">
        <w:t xml:space="preserve">, Docket No. </w:t>
      </w:r>
      <w:proofErr w:type="gramStart"/>
      <w:r w:rsidRPr="00A71BCA">
        <w:t>UT-051682, Initial Order (Order</w:t>
      </w:r>
      <w:r w:rsidR="00B23F73">
        <w:t xml:space="preserve"> No.</w:t>
      </w:r>
      <w:r w:rsidRPr="00A71BCA">
        <w:t xml:space="preserve"> 03) ¶</w:t>
      </w:r>
      <w:r>
        <w:t>18</w:t>
      </w:r>
      <w:r w:rsidRPr="00A71BCA">
        <w:t xml:space="preserve"> (quoting </w:t>
      </w:r>
      <w:proofErr w:type="spellStart"/>
      <w:r w:rsidRPr="00A71BCA">
        <w:rPr>
          <w:i/>
        </w:rPr>
        <w:t>Janicki</w:t>
      </w:r>
      <w:proofErr w:type="spellEnd"/>
      <w:r>
        <w:rPr>
          <w:i/>
        </w:rPr>
        <w:t xml:space="preserve"> Logging</w:t>
      </w:r>
      <w:r>
        <w:t xml:space="preserve">, 109 </w:t>
      </w:r>
      <w:proofErr w:type="spellStart"/>
      <w:r>
        <w:t>Wn.App</w:t>
      </w:r>
      <w:proofErr w:type="spellEnd"/>
      <w:r>
        <w:t xml:space="preserve">. </w:t>
      </w:r>
      <w:r w:rsidRPr="00A71BCA">
        <w:t>at 659-60).</w:t>
      </w:r>
      <w:proofErr w:type="gramEnd"/>
      <w:r w:rsidRPr="00A71BCA">
        <w:t xml:space="preserve">  </w:t>
      </w:r>
    </w:p>
  </w:footnote>
  <w:footnote w:id="46">
    <w:p w:rsidR="005C149E" w:rsidRPr="00A71BCA" w:rsidRDefault="005C149E" w:rsidP="00173C79">
      <w:pPr>
        <w:pStyle w:val="FootnoteText"/>
      </w:pPr>
      <w:r w:rsidRPr="00173C79">
        <w:rPr>
          <w:rStyle w:val="FootnoteReference"/>
          <w:u w:val="single"/>
        </w:rPr>
        <w:footnoteRef/>
      </w:r>
      <w:r w:rsidRPr="00A71BCA">
        <w:rPr>
          <w:vertAlign w:val="superscript"/>
        </w:rPr>
        <w:t>/</w:t>
      </w:r>
      <w:r w:rsidRPr="00A71BCA">
        <w:t xml:space="preserve"> </w:t>
      </w:r>
      <w:r w:rsidRPr="00A71BCA">
        <w:tab/>
      </w:r>
      <w:r>
        <w:t xml:space="preserve">Docket No. UT-051682, </w:t>
      </w:r>
      <w:r w:rsidRPr="00A71BCA">
        <w:t>Qwest</w:t>
      </w:r>
      <w:r>
        <w:t xml:space="preserve"> Corp.</w:t>
      </w:r>
      <w:r w:rsidRPr="00A71BCA">
        <w:t>’s Motion for Sum</w:t>
      </w:r>
      <w:r>
        <w:t>mary Determination and Dismissal ¶</w:t>
      </w:r>
      <w:r w:rsidRPr="00A71BCA">
        <w:t>7 (</w:t>
      </w:r>
      <w:r>
        <w:t>dated Nov. 28, 2005</w:t>
      </w:r>
      <w:r w:rsidRPr="00A71BCA">
        <w:t>).</w:t>
      </w:r>
    </w:p>
  </w:footnote>
  <w:footnote w:id="47">
    <w:p w:rsidR="005C149E" w:rsidRPr="00A71BCA" w:rsidRDefault="005C149E" w:rsidP="00173C79">
      <w:pPr>
        <w:pStyle w:val="FootnoteText"/>
      </w:pPr>
      <w:r w:rsidRPr="00173C79">
        <w:rPr>
          <w:rStyle w:val="FootnoteReference"/>
          <w:u w:val="single"/>
        </w:rPr>
        <w:footnoteRef/>
      </w:r>
      <w:r w:rsidRPr="00A71BCA">
        <w:rPr>
          <w:vertAlign w:val="superscript"/>
        </w:rPr>
        <w:t>/</w:t>
      </w:r>
      <w:r w:rsidRPr="00A71BCA">
        <w:t xml:space="preserve"> </w:t>
      </w:r>
      <w:r w:rsidRPr="00A71BCA">
        <w:tab/>
      </w:r>
      <w:r>
        <w:t xml:space="preserve">Docket No. UT-051682, </w:t>
      </w:r>
      <w:r w:rsidRPr="00A71BCA">
        <w:t xml:space="preserve">Qwest Motion for Summary Determination </w:t>
      </w:r>
      <w:r>
        <w:t xml:space="preserve">or to </w:t>
      </w:r>
      <w:proofErr w:type="gramStart"/>
      <w:r>
        <w:t>Dismiss</w:t>
      </w:r>
      <w:proofErr w:type="gramEnd"/>
      <w:r>
        <w:t xml:space="preserve"> ¶</w:t>
      </w:r>
      <w:r w:rsidRPr="00A71BCA">
        <w:t>9</w:t>
      </w:r>
      <w:r>
        <w:t xml:space="preserve"> (dated Oct. 22, 2007)</w:t>
      </w:r>
      <w:r w:rsidRPr="00A71BCA">
        <w:t>.</w:t>
      </w:r>
    </w:p>
  </w:footnote>
  <w:footnote w:id="48">
    <w:p w:rsidR="005C149E" w:rsidRPr="00A71BCA" w:rsidRDefault="005C149E" w:rsidP="00173C79">
      <w:pPr>
        <w:pStyle w:val="FootnoteText"/>
      </w:pPr>
      <w:r w:rsidRPr="00173C79">
        <w:rPr>
          <w:rStyle w:val="FootnoteReference"/>
          <w:u w:val="single"/>
        </w:rPr>
        <w:footnoteRef/>
      </w:r>
      <w:r w:rsidRPr="00A71BCA">
        <w:rPr>
          <w:vertAlign w:val="superscript"/>
        </w:rPr>
        <w:t>/</w:t>
      </w:r>
      <w:r w:rsidRPr="00A71BCA">
        <w:t xml:space="preserve"> </w:t>
      </w:r>
      <w:r w:rsidRPr="00A71BCA">
        <w:tab/>
      </w:r>
      <w:r>
        <w:rPr>
          <w:i/>
        </w:rPr>
        <w:t xml:space="preserve">Id. </w:t>
      </w:r>
      <w:r>
        <w:t>at ¶</w:t>
      </w:r>
      <w:r w:rsidRPr="00A71BCA">
        <w:t>10.</w:t>
      </w:r>
    </w:p>
  </w:footnote>
  <w:footnote w:id="49">
    <w:p w:rsidR="005C149E" w:rsidRPr="00531453" w:rsidRDefault="005C149E" w:rsidP="00173C79">
      <w:pPr>
        <w:pStyle w:val="FootnoteText"/>
      </w:pPr>
      <w:r w:rsidRPr="00173C79">
        <w:rPr>
          <w:rStyle w:val="FootnoteReference"/>
          <w:u w:val="single"/>
        </w:rPr>
        <w:footnoteRef/>
      </w:r>
      <w:proofErr w:type="gramStart"/>
      <w:r w:rsidRPr="00A71BCA">
        <w:rPr>
          <w:vertAlign w:val="superscript"/>
        </w:rPr>
        <w:t>/</w:t>
      </w:r>
      <w:r>
        <w:t xml:space="preserve"> </w:t>
      </w:r>
      <w:r>
        <w:tab/>
      </w:r>
      <w:r>
        <w:rPr>
          <w:i/>
        </w:rPr>
        <w:t xml:space="preserve">AT&amp;T II </w:t>
      </w:r>
      <w:r>
        <w:t>at ¶11.</w:t>
      </w:r>
      <w:proofErr w:type="gramEnd"/>
    </w:p>
  </w:footnote>
  <w:footnote w:id="50">
    <w:p w:rsidR="005C149E" w:rsidRPr="00A71BCA" w:rsidRDefault="005C149E" w:rsidP="00173C79">
      <w:pPr>
        <w:pStyle w:val="FootnoteText"/>
      </w:pPr>
      <w:r w:rsidRPr="00173C79">
        <w:rPr>
          <w:rStyle w:val="FootnoteReference"/>
          <w:u w:val="single"/>
        </w:rPr>
        <w:footnoteRef/>
      </w:r>
      <w:r w:rsidRPr="00A71BCA">
        <w:rPr>
          <w:vertAlign w:val="superscript"/>
        </w:rPr>
        <w:t>/</w:t>
      </w:r>
      <w:r w:rsidRPr="00A71BCA">
        <w:t xml:space="preserve"> </w:t>
      </w:r>
      <w:r w:rsidRPr="00A71BCA">
        <w:tab/>
      </w:r>
      <w:r>
        <w:rPr>
          <w:i/>
        </w:rPr>
        <w:t xml:space="preserve">Id. </w:t>
      </w:r>
      <w:r>
        <w:t>at ¶</w:t>
      </w:r>
      <w:r w:rsidRPr="00A71BCA">
        <w:t>20.</w:t>
      </w:r>
    </w:p>
  </w:footnote>
  <w:footnote w:id="51">
    <w:p w:rsidR="005C149E" w:rsidRPr="00A71BCA" w:rsidRDefault="005C149E" w:rsidP="00173C79">
      <w:pPr>
        <w:pStyle w:val="FootnoteText"/>
      </w:pPr>
      <w:r w:rsidRPr="00173C79">
        <w:rPr>
          <w:rStyle w:val="FootnoteReference"/>
          <w:u w:val="single"/>
        </w:rPr>
        <w:footnoteRef/>
      </w:r>
      <w:proofErr w:type="gramStart"/>
      <w:r w:rsidRPr="00A71BCA">
        <w:rPr>
          <w:vertAlign w:val="superscript"/>
        </w:rPr>
        <w:t>/</w:t>
      </w:r>
      <w:r w:rsidRPr="00A71BCA">
        <w:t xml:space="preserve"> </w:t>
      </w:r>
      <w:r w:rsidRPr="00A71BCA">
        <w:tab/>
      </w:r>
      <w:r w:rsidRPr="00A71BCA">
        <w:rPr>
          <w:i/>
        </w:rPr>
        <w:t>AT&amp;T III</w:t>
      </w:r>
      <w:r>
        <w:rPr>
          <w:i/>
        </w:rPr>
        <w:t xml:space="preserve"> </w:t>
      </w:r>
      <w:r>
        <w:t>at</w:t>
      </w:r>
      <w:r w:rsidRPr="00A71BCA">
        <w:rPr>
          <w:i/>
        </w:rPr>
        <w:t xml:space="preserve"> </w:t>
      </w:r>
      <w:r w:rsidRPr="00A71BCA">
        <w:t>¶</w:t>
      </w:r>
      <w:r>
        <w:t>¶</w:t>
      </w:r>
      <w:r w:rsidRPr="00A71BCA">
        <w:t>38</w:t>
      </w:r>
      <w:r>
        <w:t>-39</w:t>
      </w:r>
      <w:r w:rsidRPr="00A71BCA">
        <w:t>.</w:t>
      </w:r>
      <w:proofErr w:type="gramEnd"/>
    </w:p>
  </w:footnote>
  <w:footnote w:id="52">
    <w:p w:rsidR="005C149E" w:rsidRPr="00173C79" w:rsidRDefault="005C149E" w:rsidP="00173C79">
      <w:pPr>
        <w:pStyle w:val="FootnoteText"/>
      </w:pPr>
      <w:r w:rsidRPr="00173C79">
        <w:rPr>
          <w:rStyle w:val="FootnoteReference"/>
          <w:u w:val="single"/>
        </w:rPr>
        <w:footnoteRef/>
      </w:r>
      <w:r w:rsidRPr="00A71BCA">
        <w:rPr>
          <w:vertAlign w:val="superscript"/>
        </w:rPr>
        <w:t>/</w:t>
      </w:r>
      <w:r>
        <w:t xml:space="preserve"> </w:t>
      </w:r>
      <w:r>
        <w:tab/>
      </w:r>
      <w:r w:rsidRPr="00173C79">
        <w:t>Indeed, Public Counsel has never been party to a PacifiCorp case in any other state, much less a case involving REC revenues.</w:t>
      </w:r>
    </w:p>
  </w:footnote>
  <w:footnote w:id="53">
    <w:p w:rsidR="005C149E" w:rsidRPr="00173C79" w:rsidRDefault="005C149E" w:rsidP="00173C79">
      <w:pPr>
        <w:pStyle w:val="FootnoteText"/>
      </w:pPr>
      <w:r w:rsidRPr="00173C79">
        <w:rPr>
          <w:rStyle w:val="FootnoteReference"/>
          <w:u w:val="single"/>
        </w:rPr>
        <w:footnoteRef/>
      </w:r>
      <w:r w:rsidRPr="00173C79">
        <w:rPr>
          <w:vertAlign w:val="superscript"/>
        </w:rPr>
        <w:t>/</w:t>
      </w:r>
      <w:r w:rsidRPr="00173C79">
        <w:t xml:space="preserve"> </w:t>
      </w:r>
      <w:r w:rsidRPr="00173C79">
        <w:tab/>
        <w:t xml:space="preserve">The issue of the California Contracts was first raised in the </w:t>
      </w:r>
      <w:r w:rsidRPr="00173C79">
        <w:rPr>
          <w:i/>
        </w:rPr>
        <w:t xml:space="preserve">2010 GRC, </w:t>
      </w:r>
      <w:r w:rsidRPr="00173C79">
        <w:t xml:space="preserve">in which the Commission has yet to issue a final order.  </w:t>
      </w:r>
      <w:proofErr w:type="gramStart"/>
      <w:r w:rsidRPr="00173C79">
        <w:rPr>
          <w:i/>
        </w:rPr>
        <w:t>See</w:t>
      </w:r>
      <w:r w:rsidR="00155E4C">
        <w:rPr>
          <w:i/>
        </w:rPr>
        <w:t xml:space="preserve"> 2010 GRC</w:t>
      </w:r>
      <w:r w:rsidRPr="00173C79">
        <w:t xml:space="preserve">, </w:t>
      </w:r>
      <w:proofErr w:type="spellStart"/>
      <w:r w:rsidRPr="00173C79">
        <w:t>Exh</w:t>
      </w:r>
      <w:proofErr w:type="spellEnd"/>
      <w:r w:rsidRPr="00173C79">
        <w:t>.</w:t>
      </w:r>
      <w:proofErr w:type="gramEnd"/>
      <w:r w:rsidRPr="00173C79">
        <w:t xml:space="preserve"> No</w:t>
      </w:r>
      <w:r w:rsidR="007C1B14">
        <w:t>s</w:t>
      </w:r>
      <w:r w:rsidRPr="00173C79">
        <w:t xml:space="preserve">. </w:t>
      </w:r>
      <w:r w:rsidRPr="00173C79">
        <w:rPr>
          <w:i/>
        </w:rPr>
        <w:t xml:space="preserve"> </w:t>
      </w:r>
      <w:proofErr w:type="gramStart"/>
      <w:r w:rsidR="007C1B14">
        <w:t>MDF-1CT at 14:10-15:7,</w:t>
      </w:r>
      <w:r w:rsidRPr="00173C79">
        <w:t xml:space="preserve"> MDF-4 and MDF-5.</w:t>
      </w:r>
      <w:proofErr w:type="gramEnd"/>
    </w:p>
  </w:footnote>
  <w:footnote w:id="54">
    <w:p w:rsidR="005C149E" w:rsidRPr="00A71BCA" w:rsidRDefault="005C149E" w:rsidP="00173C79">
      <w:pPr>
        <w:pStyle w:val="FootnoteText"/>
      </w:pPr>
      <w:r w:rsidRPr="00173C79">
        <w:rPr>
          <w:rStyle w:val="FootnoteReference"/>
          <w:u w:val="single"/>
        </w:rPr>
        <w:footnoteRef/>
      </w:r>
      <w:r w:rsidRPr="00173C79">
        <w:rPr>
          <w:vertAlign w:val="superscript"/>
        </w:rPr>
        <w:t>/</w:t>
      </w:r>
      <w:r w:rsidRPr="00173C79">
        <w:t xml:space="preserve"> </w:t>
      </w:r>
      <w:r w:rsidRPr="00173C79">
        <w:tab/>
        <w:t xml:space="preserve">RCW 80.04.240 provides in part: </w:t>
      </w:r>
      <w:r w:rsidRPr="00173C79">
        <w:rPr>
          <w:rStyle w:val="BlockQuoteChar"/>
          <w:sz w:val="20"/>
          <w:szCs w:val="20"/>
        </w:rPr>
        <w:t xml:space="preserve">All complaints concerning overcharges resulting from collecting unreasonable rates and charges or from collecting amounts in excess of lawful rates shall be filed with the commission within </w:t>
      </w:r>
      <w:r w:rsidRPr="00173C79">
        <w:rPr>
          <w:rStyle w:val="BlockQuoteChar"/>
          <w:i/>
          <w:sz w:val="20"/>
          <w:szCs w:val="20"/>
        </w:rPr>
        <w:t>six months in cases involving the collection of unreasonable rates</w:t>
      </w:r>
      <w:r w:rsidRPr="00173C79">
        <w:rPr>
          <w:rStyle w:val="BlockQuoteChar"/>
          <w:sz w:val="20"/>
          <w:szCs w:val="20"/>
        </w:rPr>
        <w:t xml:space="preserve"> and two years in cases involving the collection of more than lawful rates from the time the cause of action accrues, and the suit to recover the overcharge shall be filed in the superior court within one year from the date of the order of the commission. (Emphasis added.)</w:t>
      </w:r>
    </w:p>
  </w:footnote>
  <w:footnote w:id="55">
    <w:p w:rsidR="005C149E" w:rsidRPr="007456D7" w:rsidRDefault="005C149E" w:rsidP="00173C79">
      <w:pPr>
        <w:pStyle w:val="FootnoteText"/>
      </w:pPr>
      <w:r w:rsidRPr="0093179B">
        <w:rPr>
          <w:rStyle w:val="FootnoteReference"/>
          <w:u w:val="single"/>
        </w:rPr>
        <w:footnoteRef/>
      </w:r>
      <w:r w:rsidRPr="00530ED0">
        <w:rPr>
          <w:vertAlign w:val="superscript"/>
        </w:rPr>
        <w:t>/</w:t>
      </w:r>
      <w:r w:rsidRPr="00530ED0">
        <w:tab/>
      </w:r>
      <w:r w:rsidR="00E706C6" w:rsidRPr="00E706C6">
        <w:rPr>
          <w:i/>
        </w:rPr>
        <w:t>Id.</w:t>
      </w:r>
      <w:r w:rsidR="00E706C6">
        <w:t xml:space="preserve"> at</w:t>
      </w:r>
      <w:r>
        <w:t xml:space="preserve"> ¶25.  </w:t>
      </w:r>
    </w:p>
  </w:footnote>
  <w:footnote w:id="56">
    <w:p w:rsidR="005C149E" w:rsidRPr="007456D7" w:rsidRDefault="005C149E" w:rsidP="00173C79">
      <w:pPr>
        <w:pStyle w:val="FootnoteText"/>
      </w:pPr>
      <w:r w:rsidRPr="0093179B">
        <w:rPr>
          <w:rStyle w:val="FootnoteReference"/>
          <w:u w:val="single"/>
        </w:rPr>
        <w:footnoteRef/>
      </w:r>
      <w:r w:rsidRPr="00530ED0">
        <w:rPr>
          <w:vertAlign w:val="superscript"/>
        </w:rPr>
        <w:t>/</w:t>
      </w:r>
      <w:r w:rsidRPr="00530ED0">
        <w:tab/>
      </w:r>
      <w:r w:rsidRPr="00BF25F9">
        <w:rPr>
          <w:i/>
        </w:rPr>
        <w:t>U.S. W. Communications, Inc. v. WUTC</w:t>
      </w:r>
      <w:r>
        <w:t xml:space="preserve">, 134 Wn.2d 74, 121, 949 P.2d 1337 (1997); </w:t>
      </w:r>
      <w:r w:rsidRPr="00E04EED">
        <w:rPr>
          <w:i/>
        </w:rPr>
        <w:t>Washington State Attorney General’s Office v. WUTC</w:t>
      </w:r>
      <w:r>
        <w:t xml:space="preserve">, 128 </w:t>
      </w:r>
      <w:proofErr w:type="spellStart"/>
      <w:r>
        <w:t>Wn.App</w:t>
      </w:r>
      <w:proofErr w:type="spellEnd"/>
      <w:r>
        <w:t xml:space="preserve"> 818, 826, 116 P.3d 1064 (2005).  </w:t>
      </w:r>
    </w:p>
  </w:footnote>
  <w:footnote w:id="57">
    <w:p w:rsidR="005C149E" w:rsidRDefault="005C149E" w:rsidP="00173C79">
      <w:pPr>
        <w:pStyle w:val="FootnoteText"/>
      </w:pPr>
      <w:r w:rsidRPr="0094798E">
        <w:rPr>
          <w:rStyle w:val="FootnoteReference"/>
          <w:u w:val="single"/>
        </w:rPr>
        <w:footnoteRef/>
      </w:r>
      <w:r w:rsidRPr="008011EF">
        <w:rPr>
          <w:vertAlign w:val="superscript"/>
        </w:rPr>
        <w:t>/</w:t>
      </w:r>
      <w:r>
        <w:t xml:space="preserve"> </w:t>
      </w:r>
      <w:r>
        <w:tab/>
        <w:t xml:space="preserve">Motion to </w:t>
      </w:r>
      <w:proofErr w:type="gramStart"/>
      <w:r>
        <w:t>Dismiss</w:t>
      </w:r>
      <w:proofErr w:type="gramEnd"/>
      <w:r>
        <w:t xml:space="preserve"> </w:t>
      </w:r>
      <w:r w:rsidRPr="008F077E">
        <w:t>¶¶45-49.</w:t>
      </w:r>
      <w:r>
        <w:t xml:space="preserve">  </w:t>
      </w:r>
    </w:p>
  </w:footnote>
  <w:footnote w:id="58">
    <w:p w:rsidR="005C149E" w:rsidRPr="0094798E" w:rsidRDefault="005C149E" w:rsidP="00173C79">
      <w:pPr>
        <w:pStyle w:val="FootnoteText"/>
        <w:rPr>
          <w:u w:val="single"/>
        </w:rPr>
      </w:pPr>
      <w:r w:rsidRPr="0094798E">
        <w:rPr>
          <w:rStyle w:val="FootnoteReference"/>
          <w:u w:val="single"/>
        </w:rPr>
        <w:footnoteRef/>
      </w:r>
      <w:r w:rsidRPr="008011EF">
        <w:rPr>
          <w:vertAlign w:val="superscript"/>
        </w:rPr>
        <w:t>/</w:t>
      </w:r>
      <w:r w:rsidRPr="0094798E">
        <w:t xml:space="preserve"> </w:t>
      </w:r>
      <w:r w:rsidRPr="0094798E">
        <w:tab/>
      </w:r>
      <w:r>
        <w:rPr>
          <w:i/>
        </w:rPr>
        <w:t>Id.</w:t>
      </w:r>
      <w:r w:rsidRPr="008011EF">
        <w:t xml:space="preserve"> </w:t>
      </w:r>
      <w:r w:rsidR="009C079D">
        <w:t xml:space="preserve">at </w:t>
      </w:r>
      <w:r>
        <w:t xml:space="preserve">¶45.  </w:t>
      </w:r>
    </w:p>
  </w:footnote>
  <w:footnote w:id="59">
    <w:p w:rsidR="005C149E" w:rsidRPr="00264936" w:rsidRDefault="005C149E" w:rsidP="008011EF">
      <w:pPr>
        <w:pStyle w:val="WUTCParagraph"/>
        <w:numPr>
          <w:ilvl w:val="0"/>
          <w:numId w:val="0"/>
        </w:numPr>
        <w:spacing w:line="240" w:lineRule="auto"/>
        <w:ind w:left="720" w:hanging="720"/>
        <w:rPr>
          <w:sz w:val="20"/>
          <w:szCs w:val="20"/>
        </w:rPr>
      </w:pPr>
      <w:r w:rsidRPr="001E2A92">
        <w:rPr>
          <w:rStyle w:val="FootnoteReference"/>
          <w:u w:val="single"/>
        </w:rPr>
        <w:footnoteRef/>
      </w:r>
      <w:r w:rsidRPr="001E2A92">
        <w:rPr>
          <w:sz w:val="20"/>
          <w:szCs w:val="20"/>
          <w:vertAlign w:val="superscript"/>
        </w:rPr>
        <w:t>/</w:t>
      </w:r>
      <w:r w:rsidRPr="00530ED0">
        <w:tab/>
      </w:r>
      <w:r>
        <w:rPr>
          <w:i/>
          <w:sz w:val="20"/>
          <w:szCs w:val="20"/>
        </w:rPr>
        <w:t>Id.</w:t>
      </w:r>
      <w:r>
        <w:rPr>
          <w:sz w:val="20"/>
          <w:szCs w:val="20"/>
        </w:rPr>
        <w:t xml:space="preserve"> </w:t>
      </w:r>
      <w:r w:rsidRPr="008011EF">
        <w:rPr>
          <w:sz w:val="20"/>
          <w:szCs w:val="20"/>
        </w:rPr>
        <w:t xml:space="preserve"> </w:t>
      </w:r>
      <w:r>
        <w:rPr>
          <w:sz w:val="20"/>
          <w:szCs w:val="20"/>
        </w:rPr>
        <w:t>(“</w:t>
      </w:r>
      <w:r w:rsidRPr="008011EF">
        <w:rPr>
          <w:sz w:val="20"/>
          <w:szCs w:val="20"/>
        </w:rPr>
        <w:t>Indeed the clear language of RCW 80.04.210 contemplates that proceedings to amend Commission orders are distinct from complaint proceedings.  RCW 80.04.210 states that the Commission may amend</w:t>
      </w:r>
      <w:r>
        <w:rPr>
          <w:sz w:val="20"/>
          <w:szCs w:val="20"/>
        </w:rPr>
        <w:t xml:space="preserve"> an order only after providing ‘…</w:t>
      </w:r>
      <w:r w:rsidRPr="008011EF">
        <w:rPr>
          <w:sz w:val="20"/>
          <w:szCs w:val="20"/>
        </w:rPr>
        <w:t xml:space="preserve">notice to the public service company </w:t>
      </w:r>
      <w:proofErr w:type="gramStart"/>
      <w:r w:rsidRPr="008011EF">
        <w:rPr>
          <w:sz w:val="20"/>
          <w:szCs w:val="20"/>
        </w:rPr>
        <w:t>affected,</w:t>
      </w:r>
      <w:proofErr w:type="gramEnd"/>
      <w:r w:rsidRPr="008011EF">
        <w:rPr>
          <w:sz w:val="20"/>
          <w:szCs w:val="20"/>
        </w:rPr>
        <w:t xml:space="preserve"> and after opportunity to be heard </w:t>
      </w:r>
      <w:r w:rsidRPr="008011EF">
        <w:rPr>
          <w:i/>
          <w:sz w:val="20"/>
          <w:szCs w:val="20"/>
        </w:rPr>
        <w:t>as provided in the case of complaints</w:t>
      </w:r>
      <w:r>
        <w:rPr>
          <w:sz w:val="20"/>
          <w:szCs w:val="20"/>
        </w:rPr>
        <w:t>…’</w:t>
      </w:r>
      <w:r w:rsidRPr="008011EF">
        <w:rPr>
          <w:sz w:val="20"/>
          <w:szCs w:val="20"/>
        </w:rPr>
        <w:t xml:space="preserve"> (</w:t>
      </w:r>
      <w:proofErr w:type="gramStart"/>
      <w:r w:rsidRPr="008011EF">
        <w:rPr>
          <w:sz w:val="20"/>
          <w:szCs w:val="20"/>
        </w:rPr>
        <w:t>emphasis</w:t>
      </w:r>
      <w:proofErr w:type="gramEnd"/>
      <w:r w:rsidRPr="008011EF">
        <w:rPr>
          <w:sz w:val="20"/>
          <w:szCs w:val="20"/>
        </w:rPr>
        <w:t xml:space="preserve"> added).</w:t>
      </w:r>
      <w:r>
        <w:rPr>
          <w:sz w:val="20"/>
          <w:szCs w:val="20"/>
        </w:rPr>
        <w:t>”)</w:t>
      </w:r>
      <w:r w:rsidRPr="008011EF">
        <w:rPr>
          <w:sz w:val="20"/>
          <w:szCs w:val="20"/>
        </w:rPr>
        <w:t xml:space="preserve">  </w:t>
      </w:r>
    </w:p>
  </w:footnote>
  <w:footnote w:id="60">
    <w:p w:rsidR="005C149E" w:rsidRPr="003072FD" w:rsidRDefault="005C149E" w:rsidP="00EF3F5A">
      <w:pPr>
        <w:pStyle w:val="WUTCParagraph"/>
        <w:numPr>
          <w:ilvl w:val="0"/>
          <w:numId w:val="0"/>
        </w:numPr>
        <w:spacing w:line="240" w:lineRule="auto"/>
        <w:rPr>
          <w:sz w:val="20"/>
          <w:szCs w:val="20"/>
        </w:rPr>
      </w:pPr>
      <w:r w:rsidRPr="001E2A92">
        <w:rPr>
          <w:rStyle w:val="FootnoteReference"/>
          <w:u w:val="single"/>
        </w:rPr>
        <w:footnoteRef/>
      </w:r>
      <w:r w:rsidRPr="001E2A92">
        <w:rPr>
          <w:sz w:val="20"/>
          <w:szCs w:val="20"/>
          <w:vertAlign w:val="superscript"/>
        </w:rPr>
        <w:t>/</w:t>
      </w:r>
      <w:r w:rsidRPr="00530ED0">
        <w:tab/>
      </w:r>
      <w:r>
        <w:rPr>
          <w:sz w:val="20"/>
          <w:szCs w:val="20"/>
        </w:rPr>
        <w:t>WAC 480-07-395(4).</w:t>
      </w:r>
      <w:r w:rsidRPr="00363B23">
        <w:rPr>
          <w:sz w:val="20"/>
          <w:szCs w:val="20"/>
        </w:rPr>
        <w:t xml:space="preserve"> </w:t>
      </w:r>
    </w:p>
  </w:footnote>
  <w:footnote w:id="61">
    <w:p w:rsidR="005C149E" w:rsidRPr="007456D7" w:rsidRDefault="005C149E" w:rsidP="00173C79">
      <w:pPr>
        <w:pStyle w:val="FootnoteText"/>
      </w:pPr>
      <w:r w:rsidRPr="0093179B">
        <w:rPr>
          <w:rStyle w:val="FootnoteReference"/>
          <w:u w:val="single"/>
        </w:rPr>
        <w:footnoteRef/>
      </w:r>
      <w:r w:rsidRPr="00530ED0">
        <w:rPr>
          <w:vertAlign w:val="superscript"/>
        </w:rPr>
        <w:t>/</w:t>
      </w:r>
      <w:r w:rsidRPr="00530ED0">
        <w:tab/>
      </w:r>
      <w:r>
        <w:rPr>
          <w:i/>
        </w:rPr>
        <w:t>WUTC v. Northwest Natural Gas Co.</w:t>
      </w:r>
      <w:r>
        <w:t xml:space="preserve">, Docket. No. </w:t>
      </w:r>
      <w:proofErr w:type="gramStart"/>
      <w:r>
        <w:t>UE-080546, Order No. 5 ¶¶13-16 (Mar. 19, 2010) (restyling petition for declaratory ruling as a motion to amend final order).</w:t>
      </w:r>
      <w:proofErr w:type="gramEnd"/>
      <w:r>
        <w:t xml:space="preserve">   </w:t>
      </w:r>
    </w:p>
  </w:footnote>
  <w:footnote w:id="62">
    <w:p w:rsidR="00323DFE" w:rsidRPr="006343B5" w:rsidRDefault="00323DFE" w:rsidP="00323DFE">
      <w:pPr>
        <w:pStyle w:val="FootnoteText"/>
      </w:pPr>
      <w:r w:rsidRPr="006343B5">
        <w:rPr>
          <w:rStyle w:val="FootnoteReference"/>
          <w:u w:val="single"/>
        </w:rPr>
        <w:footnoteRef/>
      </w:r>
      <w:r w:rsidRPr="006343B5">
        <w:rPr>
          <w:vertAlign w:val="superscript"/>
        </w:rPr>
        <w:t>/</w:t>
      </w:r>
      <w:r w:rsidRPr="006343B5">
        <w:t xml:space="preserve"> </w:t>
      </w:r>
      <w:r w:rsidRPr="006343B5">
        <w:tab/>
        <w:t xml:space="preserve">Motion to </w:t>
      </w:r>
      <w:proofErr w:type="gramStart"/>
      <w:r w:rsidRPr="006343B5">
        <w:t>Dismiss</w:t>
      </w:r>
      <w:proofErr w:type="gramEnd"/>
      <w:r>
        <w:t xml:space="preserve"> ¶</w:t>
      </w:r>
      <w:r w:rsidRPr="006343B5">
        <w:t xml:space="preserve">46. </w:t>
      </w:r>
    </w:p>
  </w:footnote>
  <w:footnote w:id="63">
    <w:p w:rsidR="00323DFE" w:rsidRDefault="00323DFE" w:rsidP="00323DFE">
      <w:pPr>
        <w:pStyle w:val="FootnoteText"/>
      </w:pPr>
      <w:r w:rsidRPr="008343F5">
        <w:rPr>
          <w:rStyle w:val="FootnoteReference"/>
          <w:u w:val="single"/>
        </w:rPr>
        <w:footnoteRef/>
      </w:r>
      <w:r w:rsidRPr="006343B5">
        <w:rPr>
          <w:vertAlign w:val="superscript"/>
        </w:rPr>
        <w:t>/</w:t>
      </w:r>
      <w:r>
        <w:t xml:space="preserve"> </w:t>
      </w:r>
      <w:r>
        <w:tab/>
        <w:t>Leonard S. Goodman</w:t>
      </w:r>
      <w:r>
        <w:rPr>
          <w:i/>
        </w:rPr>
        <w:t>, The Process of Ratemaking</w:t>
      </w:r>
      <w:r>
        <w:t>, Public Utility Reports, Inc., 1998</w:t>
      </w:r>
      <w:r w:rsidR="00637978">
        <w:fldChar w:fldCharType="begin"/>
      </w:r>
      <w:r>
        <w:instrText xml:space="preserve"> TA \l "</w:instrText>
      </w:r>
      <w:r w:rsidRPr="00F6178D">
        <w:instrText>Leonard S. Goodman</w:instrText>
      </w:r>
      <w:r w:rsidRPr="00F6178D">
        <w:rPr>
          <w:i/>
        </w:rPr>
        <w:instrText>, The Process of Ratemaking</w:instrText>
      </w:r>
      <w:r w:rsidRPr="00F6178D">
        <w:instrText>, Public Utility Reports, Inc., 1998</w:instrText>
      </w:r>
      <w:r>
        <w:instrText xml:space="preserve">" \s "Leonard S. Goodman, The Process of Ratemaking, Public Utility Reports, Inc., 1998" \c 5 </w:instrText>
      </w:r>
      <w:r w:rsidR="00637978">
        <w:fldChar w:fldCharType="end"/>
      </w:r>
      <w:proofErr w:type="gramStart"/>
      <w:r>
        <w:t xml:space="preserve">, </w:t>
      </w:r>
      <w:r w:rsidR="001379D1">
        <w:t xml:space="preserve"> </w:t>
      </w:r>
      <w:r>
        <w:t>p</w:t>
      </w:r>
      <w:proofErr w:type="gramEnd"/>
      <w:r>
        <w:t xml:space="preserve">. 165.  </w:t>
      </w:r>
    </w:p>
  </w:footnote>
  <w:footnote w:id="64">
    <w:p w:rsidR="00607985" w:rsidRDefault="00607985">
      <w:pPr>
        <w:pStyle w:val="FootnoteText"/>
      </w:pPr>
      <w:r w:rsidRPr="00607985">
        <w:rPr>
          <w:rStyle w:val="FootnoteReference"/>
          <w:u w:val="single"/>
        </w:rPr>
        <w:footnoteRef/>
      </w:r>
      <w:r w:rsidRPr="006343B5">
        <w:rPr>
          <w:vertAlign w:val="superscript"/>
        </w:rPr>
        <w:t>/</w:t>
      </w:r>
      <w:r>
        <w:t xml:space="preserve"> </w:t>
      </w:r>
      <w:r>
        <w:tab/>
      </w:r>
      <w:r>
        <w:rPr>
          <w:i/>
        </w:rPr>
        <w:t xml:space="preserve">WUTC v. Avista Corp, d/b/a Avista Utilities, </w:t>
      </w:r>
      <w:r>
        <w:t>Docket No. UE-08</w:t>
      </w:r>
      <w:r w:rsidR="00061D44">
        <w:t xml:space="preserve">0416/UG-0804167 (consolidated) </w:t>
      </w:r>
      <w:r>
        <w:t>Order 08 ¶78 (emphasis added).</w:t>
      </w:r>
    </w:p>
  </w:footnote>
  <w:footnote w:id="65">
    <w:p w:rsidR="00607985" w:rsidRDefault="00607985">
      <w:pPr>
        <w:pStyle w:val="FootnoteText"/>
      </w:pPr>
      <w:r w:rsidRPr="00607985">
        <w:rPr>
          <w:rStyle w:val="FootnoteReference"/>
          <w:u w:val="single"/>
        </w:rPr>
        <w:footnoteRef/>
      </w:r>
      <w:r w:rsidRPr="006343B5">
        <w:rPr>
          <w:vertAlign w:val="superscript"/>
        </w:rPr>
        <w:t>/</w:t>
      </w:r>
      <w:r>
        <w:t xml:space="preserve"> </w:t>
      </w:r>
      <w:r>
        <w:tab/>
      </w:r>
      <w:r w:rsidRPr="00607985">
        <w:rPr>
          <w:i/>
        </w:rPr>
        <w:t>Id</w:t>
      </w:r>
      <w:r>
        <w:t>. at ¶72.</w:t>
      </w:r>
    </w:p>
  </w:footnote>
  <w:footnote w:id="66">
    <w:p w:rsidR="00323DFE" w:rsidRDefault="00323DFE" w:rsidP="00323DFE">
      <w:pPr>
        <w:pStyle w:val="FootnoteText"/>
      </w:pPr>
      <w:r w:rsidRPr="008343F5">
        <w:rPr>
          <w:rStyle w:val="FootnoteReference"/>
          <w:u w:val="single"/>
        </w:rPr>
        <w:footnoteRef/>
      </w:r>
      <w:r w:rsidRPr="006343B5">
        <w:rPr>
          <w:vertAlign w:val="superscript"/>
        </w:rPr>
        <w:t>/</w:t>
      </w:r>
      <w:r>
        <w:t xml:space="preserve"> </w:t>
      </w:r>
      <w:r>
        <w:tab/>
      </w:r>
      <w:r w:rsidR="00607985" w:rsidRPr="00607985">
        <w:rPr>
          <w:i/>
        </w:rPr>
        <w:t>Id</w:t>
      </w:r>
      <w:r>
        <w:t xml:space="preserve">. </w:t>
      </w:r>
      <w:r w:rsidR="00607985">
        <w:t>at ¶78.</w:t>
      </w:r>
    </w:p>
  </w:footnote>
  <w:footnote w:id="67">
    <w:p w:rsidR="00323DFE" w:rsidRPr="006343B5" w:rsidRDefault="00323DFE" w:rsidP="00323DFE">
      <w:pPr>
        <w:pStyle w:val="FootnoteText"/>
      </w:pPr>
      <w:r w:rsidRPr="006343B5">
        <w:rPr>
          <w:rStyle w:val="FootnoteReference"/>
          <w:u w:val="single"/>
        </w:rPr>
        <w:footnoteRef/>
      </w:r>
      <w:r w:rsidRPr="006343B5">
        <w:rPr>
          <w:vertAlign w:val="superscript"/>
        </w:rPr>
        <w:t>/</w:t>
      </w:r>
      <w:r w:rsidRPr="006343B5">
        <w:t xml:space="preserve"> </w:t>
      </w:r>
      <w:r w:rsidRPr="006343B5">
        <w:tab/>
      </w:r>
      <w:r w:rsidRPr="00DC5167">
        <w:rPr>
          <w:i/>
        </w:rPr>
        <w:t>In re the Petition of PacifiCorp d/b/a Pacific Power &amp; Light Co. For an Accounting Order Authorizing Deferral of Excess Net Power Costs</w:t>
      </w:r>
      <w:r w:rsidRPr="006343B5">
        <w:t xml:space="preserve">, Docket No. </w:t>
      </w:r>
      <w:proofErr w:type="gramStart"/>
      <w:r w:rsidRPr="006343B5">
        <w:t xml:space="preserve">UE-020417, Third </w:t>
      </w:r>
      <w:r w:rsidR="00D910DD">
        <w:t>Supp</w:t>
      </w:r>
      <w:r w:rsidRPr="006343B5">
        <w:t>. Order ¶</w:t>
      </w:r>
      <w:r>
        <w:t>¶</w:t>
      </w:r>
      <w:r w:rsidRPr="006343B5">
        <w:t>23-24 (allowing PacifiCorp to file a request to establish and maintain a deferred account for asserted extraordinary power costs for future recovery).</w:t>
      </w:r>
      <w:proofErr w:type="gramEnd"/>
    </w:p>
  </w:footnote>
  <w:footnote w:id="68">
    <w:p w:rsidR="00323DFE" w:rsidRPr="006343B5" w:rsidRDefault="00323DFE" w:rsidP="00323DFE">
      <w:pPr>
        <w:pStyle w:val="FootnoteText"/>
      </w:pPr>
      <w:r w:rsidRPr="006343B5">
        <w:rPr>
          <w:rStyle w:val="FootnoteReference"/>
          <w:u w:val="single"/>
        </w:rPr>
        <w:footnoteRef/>
      </w:r>
      <w:r w:rsidRPr="006343B5">
        <w:rPr>
          <w:vertAlign w:val="superscript"/>
        </w:rPr>
        <w:t>/</w:t>
      </w:r>
      <w:r w:rsidRPr="006343B5">
        <w:t xml:space="preserve"> </w:t>
      </w:r>
      <w:r w:rsidRPr="006343B5">
        <w:tab/>
      </w:r>
      <w:r w:rsidRPr="006343B5">
        <w:rPr>
          <w:i/>
        </w:rPr>
        <w:t>WUTC v. Puget Sound Power &amp; Light Co.</w:t>
      </w:r>
      <w:r w:rsidRPr="006343B5">
        <w:t xml:space="preserve">, Docket No. U-81-41, Sixth </w:t>
      </w:r>
      <w:r w:rsidR="00D910DD">
        <w:t>Supp</w:t>
      </w:r>
      <w:r w:rsidRPr="006343B5">
        <w:t xml:space="preserve">. Order at 18-19 </w:t>
      </w:r>
      <w:r w:rsidR="00061D44">
        <w:t xml:space="preserve">(Dec. 19, 1988) </w:t>
      </w:r>
      <w:r w:rsidRPr="006343B5">
        <w:t>(allowing the utility to maintain an energy cost adjustment clause despite arguments by Commission Staff that it in</w:t>
      </w:r>
      <w:r w:rsidR="00380EE2">
        <w:t>volved retroactive ratemaking);</w:t>
      </w:r>
      <w:r w:rsidRPr="006343B5">
        <w:t xml:space="preserve"> </w:t>
      </w:r>
      <w:r w:rsidRPr="006343B5">
        <w:rPr>
          <w:i/>
        </w:rPr>
        <w:t xml:space="preserve">WUTC v. U.S. West </w:t>
      </w:r>
      <w:proofErr w:type="spellStart"/>
      <w:r w:rsidRPr="006343B5">
        <w:rPr>
          <w:i/>
        </w:rPr>
        <w:t>Co</w:t>
      </w:r>
      <w:r>
        <w:rPr>
          <w:i/>
        </w:rPr>
        <w:t>mmc’</w:t>
      </w:r>
      <w:r w:rsidRPr="006343B5">
        <w:rPr>
          <w:i/>
        </w:rPr>
        <w:t>n</w:t>
      </w:r>
      <w:proofErr w:type="spellEnd"/>
      <w:r w:rsidRPr="006343B5">
        <w:rPr>
          <w:i/>
        </w:rPr>
        <w:t xml:space="preserve">., Inc., </w:t>
      </w:r>
      <w:r w:rsidRPr="006343B5">
        <w:t xml:space="preserve">Docket No. UT-970010, Second </w:t>
      </w:r>
      <w:r w:rsidR="00D910DD">
        <w:t>Supp</w:t>
      </w:r>
      <w:r w:rsidRPr="006343B5">
        <w:t>. Order at 10-11</w:t>
      </w:r>
      <w:r w:rsidR="00F026D6">
        <w:t xml:space="preserve"> (Nov. 1997)</w:t>
      </w:r>
      <w:r w:rsidRPr="006343B5">
        <w:t xml:space="preserve"> (determining whether the recovery of past expenses was barred by the rule required an evidentiary hearing because the Commission had to consider the “policy and evidentiary reasons for exercising [its] judgment” to allow such recovery).</w:t>
      </w:r>
    </w:p>
  </w:footnote>
  <w:footnote w:id="69">
    <w:p w:rsidR="00323DFE" w:rsidRPr="006343B5" w:rsidRDefault="00323DFE" w:rsidP="00323DFE">
      <w:pPr>
        <w:pStyle w:val="FootnoteText"/>
      </w:pPr>
      <w:r w:rsidRPr="00F43324">
        <w:rPr>
          <w:rStyle w:val="FootnoteReference"/>
          <w:u w:val="single"/>
        </w:rPr>
        <w:footnoteRef/>
      </w:r>
      <w:r w:rsidRPr="00641C0E">
        <w:rPr>
          <w:vertAlign w:val="superscript"/>
        </w:rPr>
        <w:t>/</w:t>
      </w:r>
      <w:r w:rsidRPr="006343B5">
        <w:t xml:space="preserve"> </w:t>
      </w:r>
      <w:r w:rsidRPr="006343B5">
        <w:tab/>
      </w:r>
      <w:r w:rsidRPr="003B7031">
        <w:rPr>
          <w:i/>
        </w:rPr>
        <w:t>In the Matter of the Application of Puget Sound Energy For Authorization Regarding the Deferral of the Net Impact of the Conservation Incentive Program</w:t>
      </w:r>
      <w:r w:rsidRPr="006343B5">
        <w:t>, Docket No. UE-010410, Order Denying Petition to Amend Accounting Order ¶9</w:t>
      </w:r>
      <w:r w:rsidR="00225FDD">
        <w:t xml:space="preserve"> (emphasis added)</w:t>
      </w:r>
      <w:r w:rsidRPr="006343B5">
        <w:t>.  In that case, Commission Staff discussed PSE’s assumption of risks in its Open Meeting Memo dated November 7, 2001</w:t>
      </w:r>
      <w:r>
        <w:t xml:space="preserve"> at </w:t>
      </w:r>
      <w:r w:rsidRPr="006343B5">
        <w:t>2.</w:t>
      </w:r>
    </w:p>
  </w:footnote>
  <w:footnote w:id="70">
    <w:p w:rsidR="00323DFE" w:rsidRPr="006343B5" w:rsidRDefault="00323DFE" w:rsidP="00323DFE">
      <w:pPr>
        <w:pStyle w:val="FootnoteText"/>
      </w:pPr>
      <w:r w:rsidRPr="006343B5">
        <w:rPr>
          <w:rStyle w:val="FootnoteReference"/>
          <w:u w:val="single"/>
        </w:rPr>
        <w:footnoteRef/>
      </w:r>
      <w:r w:rsidRPr="006343B5">
        <w:rPr>
          <w:vertAlign w:val="superscript"/>
        </w:rPr>
        <w:t>/</w:t>
      </w:r>
      <w:r w:rsidRPr="006343B5">
        <w:t xml:space="preserve"> </w:t>
      </w:r>
      <w:r w:rsidRPr="006343B5">
        <w:tab/>
      </w:r>
      <w:r w:rsidRPr="006343B5">
        <w:rPr>
          <w:i/>
        </w:rPr>
        <w:t>WUTC v. Puget Sound Power &amp; Light Co.</w:t>
      </w:r>
      <w:r w:rsidRPr="006343B5">
        <w:t xml:space="preserve">, Docket No. U-81-41, Sixth </w:t>
      </w:r>
      <w:r w:rsidR="00D910DD">
        <w:t>Supp</w:t>
      </w:r>
      <w:r w:rsidRPr="006343B5">
        <w:t>. Order at 19 (noting that the Commission had previously “authorized the recovery of past expenses in the instances w</w:t>
      </w:r>
      <w:r>
        <w:t>h</w:t>
      </w:r>
      <w:r w:rsidRPr="006343B5">
        <w:t xml:space="preserve">ere doing so is consistent with the public interest and sound regulatory theory” including “recovery of extraordinary weather-related expenses.”  The Commission went on to state, “[t]he test for such treatment is not whether it constitutes retroactive ratemaking–it does not–but whether there are sound policy and evidentiary reasons for exercising the Commission’s judgment to do so”). </w:t>
      </w:r>
    </w:p>
  </w:footnote>
  <w:footnote w:id="71">
    <w:p w:rsidR="00323DFE" w:rsidRPr="006343B5" w:rsidRDefault="00323DFE" w:rsidP="00323DFE">
      <w:pPr>
        <w:pStyle w:val="FootnoteText"/>
      </w:pPr>
      <w:r w:rsidRPr="006343B5">
        <w:rPr>
          <w:rStyle w:val="FootnoteReference"/>
          <w:u w:val="single"/>
        </w:rPr>
        <w:footnoteRef/>
      </w:r>
      <w:r w:rsidRPr="006343B5">
        <w:rPr>
          <w:vertAlign w:val="superscript"/>
        </w:rPr>
        <w:t>/</w:t>
      </w:r>
      <w:r w:rsidRPr="006343B5">
        <w:t xml:space="preserve"> </w:t>
      </w:r>
      <w:r w:rsidRPr="006343B5">
        <w:tab/>
        <w:t>Docket No. U-81-41 at 17-18</w:t>
      </w:r>
      <w:r>
        <w:t>,</w:t>
      </w:r>
      <w:r w:rsidRPr="006343B5">
        <w:t xml:space="preserve"> (stating in part, “[t]he evil in retroactive ratemaking as thus understood is that the consumer has no opportunity prior to receiving or consuming the service to learn what the rate is or to participate in a proceeding by which the rate is set.  The Commission agrees that retroactive ratemaking, as thus understood, is extremely poor public policy</w:t>
      </w:r>
      <w:r w:rsidR="00380EE2">
        <w:t>.”)</w:t>
      </w:r>
      <w:r w:rsidRPr="006343B5">
        <w:t xml:space="preserve">    </w:t>
      </w:r>
    </w:p>
  </w:footnote>
  <w:footnote w:id="72">
    <w:p w:rsidR="005C149E" w:rsidRPr="00BF5E05" w:rsidRDefault="005C149E" w:rsidP="00C70215">
      <w:pPr>
        <w:spacing w:line="240" w:lineRule="auto"/>
        <w:ind w:left="720" w:hanging="720"/>
        <w:rPr>
          <w:sz w:val="20"/>
          <w:szCs w:val="20"/>
        </w:rPr>
      </w:pPr>
      <w:r w:rsidRPr="001E2A92">
        <w:rPr>
          <w:rStyle w:val="FootnoteReference"/>
          <w:u w:val="single"/>
        </w:rPr>
        <w:footnoteRef/>
      </w:r>
      <w:r w:rsidRPr="001E2A92">
        <w:rPr>
          <w:sz w:val="20"/>
          <w:szCs w:val="20"/>
          <w:vertAlign w:val="superscript"/>
        </w:rPr>
        <w:t>/</w:t>
      </w:r>
      <w:r w:rsidRPr="00530ED0">
        <w:tab/>
      </w:r>
      <w:r>
        <w:rPr>
          <w:sz w:val="20"/>
          <w:szCs w:val="20"/>
        </w:rPr>
        <w:t xml:space="preserve">Motion to </w:t>
      </w:r>
      <w:proofErr w:type="gramStart"/>
      <w:r>
        <w:rPr>
          <w:sz w:val="20"/>
          <w:szCs w:val="20"/>
        </w:rPr>
        <w:t>Dismiss</w:t>
      </w:r>
      <w:proofErr w:type="gramEnd"/>
      <w:r>
        <w:rPr>
          <w:sz w:val="20"/>
          <w:szCs w:val="20"/>
        </w:rPr>
        <w:t xml:space="preserve"> ¶48.</w:t>
      </w:r>
    </w:p>
  </w:footnote>
  <w:footnote w:id="73">
    <w:p w:rsidR="005C149E" w:rsidRPr="00264936" w:rsidRDefault="005C149E" w:rsidP="00B10A6D">
      <w:pPr>
        <w:pStyle w:val="WUTCParagraph"/>
        <w:numPr>
          <w:ilvl w:val="0"/>
          <w:numId w:val="0"/>
        </w:numPr>
        <w:spacing w:line="240" w:lineRule="auto"/>
        <w:ind w:left="720" w:hanging="720"/>
        <w:rPr>
          <w:sz w:val="20"/>
          <w:szCs w:val="20"/>
        </w:rPr>
      </w:pPr>
      <w:r w:rsidRPr="0093179B">
        <w:rPr>
          <w:rStyle w:val="FootnoteReference"/>
          <w:u w:val="single"/>
        </w:rPr>
        <w:footnoteRef/>
      </w:r>
      <w:r w:rsidRPr="001E2A92">
        <w:rPr>
          <w:sz w:val="20"/>
          <w:szCs w:val="20"/>
          <w:vertAlign w:val="superscript"/>
        </w:rPr>
        <w:t>/</w:t>
      </w:r>
      <w:r w:rsidRPr="00530ED0">
        <w:tab/>
      </w:r>
      <w:r>
        <w:rPr>
          <w:i/>
          <w:sz w:val="20"/>
          <w:szCs w:val="20"/>
        </w:rPr>
        <w:t xml:space="preserve">Petition of Avista Corp. d/b/a Avista </w:t>
      </w:r>
      <w:proofErr w:type="spellStart"/>
      <w:r>
        <w:rPr>
          <w:i/>
          <w:sz w:val="20"/>
          <w:szCs w:val="20"/>
        </w:rPr>
        <w:t>Utils</w:t>
      </w:r>
      <w:proofErr w:type="spellEnd"/>
      <w:r>
        <w:rPr>
          <w:i/>
          <w:sz w:val="20"/>
          <w:szCs w:val="20"/>
        </w:rPr>
        <w:t xml:space="preserve">., for an Order Authorizing Implementation of a Natural Gas Decoupling Mechanism, </w:t>
      </w:r>
      <w:r>
        <w:rPr>
          <w:sz w:val="20"/>
          <w:szCs w:val="20"/>
        </w:rPr>
        <w:t>Doc</w:t>
      </w:r>
      <w:r w:rsidR="001379D1">
        <w:rPr>
          <w:sz w:val="20"/>
          <w:szCs w:val="20"/>
        </w:rPr>
        <w:t xml:space="preserve">ket No. </w:t>
      </w:r>
      <w:proofErr w:type="gramStart"/>
      <w:r w:rsidR="001379D1">
        <w:rPr>
          <w:sz w:val="20"/>
          <w:szCs w:val="20"/>
        </w:rPr>
        <w:t>UG-060618, Order No. 4</w:t>
      </w:r>
      <w:r>
        <w:rPr>
          <w:sz w:val="20"/>
          <w:szCs w:val="20"/>
        </w:rPr>
        <w:t xml:space="preserve"> ¶19 (Feb. 1, 2007).</w:t>
      </w:r>
      <w:proofErr w:type="gramEnd"/>
    </w:p>
  </w:footnote>
  <w:footnote w:id="74">
    <w:p w:rsidR="005C149E" w:rsidRPr="00F9251E" w:rsidRDefault="005C149E" w:rsidP="00193147">
      <w:pPr>
        <w:pStyle w:val="WUTCParagraph"/>
        <w:numPr>
          <w:ilvl w:val="0"/>
          <w:numId w:val="0"/>
        </w:numPr>
        <w:spacing w:line="240" w:lineRule="auto"/>
        <w:ind w:left="720" w:hanging="720"/>
        <w:rPr>
          <w:sz w:val="20"/>
          <w:szCs w:val="20"/>
        </w:rPr>
      </w:pPr>
      <w:r w:rsidRPr="00F9251E">
        <w:rPr>
          <w:rStyle w:val="FootnoteReference"/>
          <w:u w:val="single"/>
        </w:rPr>
        <w:footnoteRef/>
      </w:r>
      <w:r w:rsidRPr="00F9251E">
        <w:rPr>
          <w:sz w:val="20"/>
          <w:szCs w:val="20"/>
          <w:vertAlign w:val="superscript"/>
        </w:rPr>
        <w:t>/</w:t>
      </w:r>
      <w:r w:rsidRPr="00F9251E">
        <w:rPr>
          <w:sz w:val="20"/>
          <w:szCs w:val="20"/>
        </w:rPr>
        <w:tab/>
      </w:r>
      <w:r>
        <w:rPr>
          <w:sz w:val="20"/>
          <w:szCs w:val="20"/>
        </w:rPr>
        <w:t xml:space="preserve">Motion to Dismiss </w:t>
      </w:r>
      <w:proofErr w:type="gramStart"/>
      <w:r>
        <w:rPr>
          <w:sz w:val="20"/>
          <w:szCs w:val="20"/>
        </w:rPr>
        <w:t>at  n</w:t>
      </w:r>
      <w:proofErr w:type="gramEnd"/>
      <w:r>
        <w:rPr>
          <w:sz w:val="20"/>
          <w:szCs w:val="20"/>
        </w:rPr>
        <w:t>.</w:t>
      </w:r>
      <w:r w:rsidR="001379D1">
        <w:rPr>
          <w:sz w:val="20"/>
          <w:szCs w:val="20"/>
        </w:rPr>
        <w:t xml:space="preserve"> </w:t>
      </w:r>
      <w:r>
        <w:rPr>
          <w:sz w:val="20"/>
          <w:szCs w:val="20"/>
        </w:rPr>
        <w:t>21 (</w:t>
      </w:r>
      <w:r w:rsidRPr="00D910DD">
        <w:rPr>
          <w:i/>
          <w:sz w:val="20"/>
          <w:szCs w:val="20"/>
        </w:rPr>
        <w:t>citing</w:t>
      </w:r>
      <w:r>
        <w:rPr>
          <w:sz w:val="20"/>
          <w:szCs w:val="20"/>
        </w:rPr>
        <w:t xml:space="preserve"> </w:t>
      </w:r>
      <w:r w:rsidRPr="00F9251E">
        <w:rPr>
          <w:i/>
          <w:sz w:val="20"/>
          <w:szCs w:val="20"/>
        </w:rPr>
        <w:t>AT&amp;T Comm. of the Pacific Northwest Inc. v. Verizon Northwest Inc.</w:t>
      </w:r>
      <w:r w:rsidRPr="00F9251E">
        <w:rPr>
          <w:sz w:val="20"/>
          <w:szCs w:val="20"/>
        </w:rPr>
        <w:t xml:space="preserve">, Docket </w:t>
      </w:r>
      <w:r>
        <w:rPr>
          <w:sz w:val="20"/>
          <w:szCs w:val="20"/>
        </w:rPr>
        <w:t xml:space="preserve">No. </w:t>
      </w:r>
      <w:r w:rsidRPr="00F9251E">
        <w:rPr>
          <w:sz w:val="20"/>
          <w:szCs w:val="20"/>
        </w:rPr>
        <w:t>UT-020406 Eleventh Supp</w:t>
      </w:r>
      <w:r>
        <w:rPr>
          <w:sz w:val="20"/>
          <w:szCs w:val="20"/>
        </w:rPr>
        <w:t>. Order at 5 (Aug. 12, 2003)).</w:t>
      </w:r>
    </w:p>
  </w:footnote>
  <w:footnote w:id="75">
    <w:p w:rsidR="005C149E" w:rsidRDefault="005C149E" w:rsidP="000B5F41">
      <w:pPr>
        <w:pStyle w:val="WUTCParagraph"/>
        <w:numPr>
          <w:ilvl w:val="0"/>
          <w:numId w:val="0"/>
        </w:numPr>
        <w:spacing w:line="240" w:lineRule="auto"/>
        <w:ind w:left="720" w:hanging="720"/>
        <w:rPr>
          <w:sz w:val="20"/>
          <w:szCs w:val="20"/>
        </w:rPr>
      </w:pPr>
      <w:r w:rsidRPr="00F9251E">
        <w:rPr>
          <w:rStyle w:val="FootnoteReference"/>
          <w:u w:val="single"/>
        </w:rPr>
        <w:footnoteRef/>
      </w:r>
      <w:r w:rsidRPr="00F9251E">
        <w:rPr>
          <w:sz w:val="20"/>
          <w:szCs w:val="20"/>
          <w:vertAlign w:val="superscript"/>
        </w:rPr>
        <w:t>/</w:t>
      </w:r>
      <w:r w:rsidRPr="00F9251E">
        <w:rPr>
          <w:sz w:val="20"/>
          <w:szCs w:val="20"/>
        </w:rPr>
        <w:tab/>
      </w:r>
      <w:r w:rsidRPr="002F69F8">
        <w:rPr>
          <w:i/>
          <w:sz w:val="20"/>
          <w:szCs w:val="20"/>
        </w:rPr>
        <w:t>Id.</w:t>
      </w:r>
      <w:r w:rsidRPr="006130C8">
        <w:rPr>
          <w:sz w:val="20"/>
          <w:szCs w:val="20"/>
        </w:rPr>
        <w:t xml:space="preserve"> (</w:t>
      </w:r>
      <w:r w:rsidRPr="00D910DD">
        <w:rPr>
          <w:i/>
          <w:sz w:val="20"/>
          <w:szCs w:val="20"/>
        </w:rPr>
        <w:t>citing</w:t>
      </w:r>
      <w:r>
        <w:rPr>
          <w:sz w:val="20"/>
          <w:szCs w:val="20"/>
        </w:rPr>
        <w:t xml:space="preserve"> </w:t>
      </w:r>
      <w:proofErr w:type="spellStart"/>
      <w:r w:rsidRPr="00845B4F">
        <w:rPr>
          <w:i/>
          <w:sz w:val="20"/>
          <w:szCs w:val="20"/>
        </w:rPr>
        <w:t>McLeodUSA</w:t>
      </w:r>
      <w:proofErr w:type="spellEnd"/>
      <w:r w:rsidRPr="00845B4F">
        <w:rPr>
          <w:i/>
          <w:sz w:val="20"/>
          <w:szCs w:val="20"/>
        </w:rPr>
        <w:t xml:space="preserve"> Telecom. Services, Inc. v. Qwest Corp.</w:t>
      </w:r>
      <w:r w:rsidRPr="00845B4F">
        <w:rPr>
          <w:sz w:val="20"/>
          <w:szCs w:val="20"/>
        </w:rPr>
        <w:t>, Docket UT-063013, Order 04 (Feb. 16, 2007</w:t>
      </w:r>
      <w:r>
        <w:rPr>
          <w:sz w:val="20"/>
          <w:szCs w:val="20"/>
        </w:rPr>
        <w:t>)).</w:t>
      </w:r>
    </w:p>
  </w:footnote>
  <w:footnote w:id="76">
    <w:p w:rsidR="005C149E" w:rsidRDefault="005C149E" w:rsidP="00193147">
      <w:pPr>
        <w:pStyle w:val="WUTCParagraph"/>
        <w:numPr>
          <w:ilvl w:val="0"/>
          <w:numId w:val="0"/>
        </w:numPr>
        <w:spacing w:line="240" w:lineRule="auto"/>
        <w:ind w:left="720" w:hanging="720"/>
        <w:rPr>
          <w:sz w:val="20"/>
          <w:szCs w:val="20"/>
        </w:rPr>
      </w:pPr>
      <w:r w:rsidRPr="00F9251E">
        <w:rPr>
          <w:rStyle w:val="FootnoteReference"/>
          <w:u w:val="single"/>
        </w:rPr>
        <w:footnoteRef/>
      </w:r>
      <w:r w:rsidRPr="00F9251E">
        <w:rPr>
          <w:sz w:val="20"/>
          <w:szCs w:val="20"/>
          <w:vertAlign w:val="superscript"/>
        </w:rPr>
        <w:t>/</w:t>
      </w:r>
      <w:r w:rsidRPr="00F9251E">
        <w:rPr>
          <w:sz w:val="20"/>
          <w:szCs w:val="20"/>
        </w:rPr>
        <w:tab/>
      </w:r>
      <w:r>
        <w:rPr>
          <w:i/>
          <w:sz w:val="20"/>
          <w:szCs w:val="20"/>
        </w:rPr>
        <w:t>Id.</w:t>
      </w:r>
    </w:p>
  </w:footnote>
  <w:footnote w:id="77">
    <w:p w:rsidR="005C149E" w:rsidRPr="00F9251E" w:rsidRDefault="005C149E" w:rsidP="004D382D">
      <w:pPr>
        <w:pStyle w:val="WUTCParagraph"/>
        <w:numPr>
          <w:ilvl w:val="0"/>
          <w:numId w:val="0"/>
        </w:numPr>
        <w:spacing w:line="240" w:lineRule="auto"/>
        <w:ind w:left="720" w:hanging="720"/>
        <w:rPr>
          <w:sz w:val="20"/>
          <w:szCs w:val="20"/>
        </w:rPr>
      </w:pPr>
      <w:r w:rsidRPr="00F9251E">
        <w:rPr>
          <w:rStyle w:val="FootnoteReference"/>
          <w:u w:val="single"/>
        </w:rPr>
        <w:footnoteRef/>
      </w:r>
      <w:r w:rsidRPr="00F9251E">
        <w:rPr>
          <w:sz w:val="20"/>
          <w:szCs w:val="20"/>
          <w:vertAlign w:val="superscript"/>
        </w:rPr>
        <w:t>/</w:t>
      </w:r>
      <w:r w:rsidRPr="00F9251E">
        <w:rPr>
          <w:sz w:val="20"/>
          <w:szCs w:val="20"/>
        </w:rPr>
        <w:tab/>
      </w:r>
      <w:r>
        <w:rPr>
          <w:i/>
          <w:sz w:val="20"/>
          <w:szCs w:val="20"/>
        </w:rPr>
        <w:t>2010 GRC</w:t>
      </w:r>
      <w:r w:rsidRPr="00F9251E">
        <w:rPr>
          <w:sz w:val="20"/>
          <w:szCs w:val="20"/>
        </w:rPr>
        <w:t>,</w:t>
      </w:r>
      <w:r>
        <w:rPr>
          <w:sz w:val="20"/>
          <w:szCs w:val="20"/>
        </w:rPr>
        <w:t xml:space="preserve"> Cross Examination Testimony of R. Bryce </w:t>
      </w:r>
      <w:proofErr w:type="spellStart"/>
      <w:r>
        <w:rPr>
          <w:sz w:val="20"/>
          <w:szCs w:val="20"/>
        </w:rPr>
        <w:t>Dalley</w:t>
      </w:r>
      <w:proofErr w:type="spellEnd"/>
      <w:r>
        <w:rPr>
          <w:sz w:val="20"/>
          <w:szCs w:val="20"/>
        </w:rPr>
        <w:t>, Tr. 369-370 (Jan. 25, 2011)</w:t>
      </w:r>
      <w:r w:rsidRPr="00F9251E">
        <w:rPr>
          <w:sz w:val="20"/>
          <w:szCs w:val="20"/>
        </w:rPr>
        <w:t xml:space="preserve">.   </w:t>
      </w:r>
    </w:p>
  </w:footnote>
  <w:footnote w:id="78">
    <w:p w:rsidR="005C149E" w:rsidRDefault="005C149E" w:rsidP="007B4D40">
      <w:pPr>
        <w:pStyle w:val="WUTCParagraph"/>
        <w:numPr>
          <w:ilvl w:val="0"/>
          <w:numId w:val="0"/>
        </w:numPr>
        <w:spacing w:line="240" w:lineRule="auto"/>
        <w:rPr>
          <w:sz w:val="20"/>
          <w:szCs w:val="20"/>
        </w:rPr>
      </w:pPr>
      <w:r w:rsidRPr="001E2A92">
        <w:rPr>
          <w:rStyle w:val="FootnoteReference"/>
          <w:u w:val="single"/>
        </w:rPr>
        <w:footnoteRef/>
      </w:r>
      <w:r w:rsidRPr="001E2A92">
        <w:rPr>
          <w:sz w:val="20"/>
          <w:szCs w:val="20"/>
          <w:vertAlign w:val="superscript"/>
        </w:rPr>
        <w:t>/</w:t>
      </w:r>
      <w:r w:rsidRPr="00530ED0">
        <w:tab/>
      </w:r>
      <w:r>
        <w:rPr>
          <w:i/>
          <w:sz w:val="20"/>
          <w:szCs w:val="20"/>
        </w:rPr>
        <w:t>WUTC v. Puget Sound Energy, Inc.</w:t>
      </w:r>
      <w:r>
        <w:rPr>
          <w:sz w:val="20"/>
          <w:szCs w:val="20"/>
        </w:rPr>
        <w:t xml:space="preserve"> Docket Nos. UE-072300 and UG-072301, Order No. 13 ¶26 (Jan. 1, </w:t>
      </w:r>
    </w:p>
    <w:p w:rsidR="005C149E" w:rsidRPr="00264936" w:rsidRDefault="005C149E" w:rsidP="007B4D40">
      <w:pPr>
        <w:pStyle w:val="WUTCParagraph"/>
        <w:numPr>
          <w:ilvl w:val="0"/>
          <w:numId w:val="0"/>
        </w:numPr>
        <w:spacing w:line="240" w:lineRule="auto"/>
        <w:ind w:firstLine="720"/>
        <w:rPr>
          <w:sz w:val="20"/>
          <w:szCs w:val="20"/>
        </w:rPr>
      </w:pPr>
      <w:r>
        <w:rPr>
          <w:sz w:val="20"/>
          <w:szCs w:val="20"/>
        </w:rPr>
        <w:t>2009).</w:t>
      </w:r>
    </w:p>
  </w:footnote>
  <w:footnote w:id="79">
    <w:p w:rsidR="005C149E" w:rsidRPr="00264936" w:rsidRDefault="005C149E" w:rsidP="007B4D40">
      <w:pPr>
        <w:pStyle w:val="WUTCParagraph"/>
        <w:numPr>
          <w:ilvl w:val="0"/>
          <w:numId w:val="0"/>
        </w:numPr>
        <w:spacing w:line="240" w:lineRule="auto"/>
        <w:ind w:left="720" w:hanging="720"/>
        <w:rPr>
          <w:sz w:val="20"/>
          <w:szCs w:val="20"/>
        </w:rPr>
      </w:pPr>
      <w:r w:rsidRPr="001E2A92">
        <w:rPr>
          <w:rStyle w:val="FootnoteReference"/>
          <w:u w:val="single"/>
        </w:rPr>
        <w:footnoteRef/>
      </w:r>
      <w:r w:rsidRPr="001E2A92">
        <w:rPr>
          <w:sz w:val="20"/>
          <w:szCs w:val="20"/>
          <w:vertAlign w:val="superscript"/>
        </w:rPr>
        <w:t>/</w:t>
      </w:r>
      <w:r w:rsidRPr="00530ED0">
        <w:tab/>
      </w:r>
      <w:r>
        <w:rPr>
          <w:i/>
          <w:sz w:val="20"/>
          <w:szCs w:val="20"/>
        </w:rPr>
        <w:t xml:space="preserve">PSE RECs </w:t>
      </w:r>
      <w:r w:rsidRPr="00987A2E">
        <w:rPr>
          <w:i/>
          <w:sz w:val="20"/>
          <w:szCs w:val="20"/>
        </w:rPr>
        <w:t>Petition</w:t>
      </w:r>
      <w:r>
        <w:rPr>
          <w:sz w:val="20"/>
          <w:szCs w:val="20"/>
        </w:rPr>
        <w:t xml:space="preserve">, </w:t>
      </w:r>
      <w:r w:rsidRPr="00987A2E">
        <w:rPr>
          <w:sz w:val="20"/>
          <w:szCs w:val="20"/>
        </w:rPr>
        <w:t>Docket</w:t>
      </w:r>
      <w:r w:rsidRPr="00A1231A">
        <w:rPr>
          <w:sz w:val="20"/>
          <w:szCs w:val="20"/>
        </w:rPr>
        <w:t xml:space="preserve">. No. </w:t>
      </w:r>
      <w:proofErr w:type="gramStart"/>
      <w:r w:rsidRPr="00A1231A">
        <w:rPr>
          <w:sz w:val="20"/>
          <w:szCs w:val="20"/>
        </w:rPr>
        <w:t xml:space="preserve">UE-070725, Final Order </w:t>
      </w:r>
      <w:r>
        <w:rPr>
          <w:sz w:val="20"/>
          <w:szCs w:val="20"/>
        </w:rPr>
        <w:t>¶¶41-47.</w:t>
      </w:r>
      <w:proofErr w:type="gramEnd"/>
    </w:p>
  </w:footnote>
  <w:footnote w:id="80">
    <w:p w:rsidR="005C149E" w:rsidRPr="00264936" w:rsidRDefault="005C149E" w:rsidP="009A4664">
      <w:pPr>
        <w:pStyle w:val="WUTCParagraph"/>
        <w:numPr>
          <w:ilvl w:val="0"/>
          <w:numId w:val="0"/>
        </w:numPr>
        <w:spacing w:line="240" w:lineRule="auto"/>
        <w:ind w:left="720" w:hanging="720"/>
        <w:rPr>
          <w:sz w:val="20"/>
          <w:szCs w:val="20"/>
        </w:rPr>
      </w:pPr>
      <w:r w:rsidRPr="001E2A92">
        <w:rPr>
          <w:rStyle w:val="FootnoteReference"/>
          <w:u w:val="single"/>
        </w:rPr>
        <w:footnoteRef/>
      </w:r>
      <w:r w:rsidRPr="001E2A92">
        <w:rPr>
          <w:sz w:val="20"/>
          <w:szCs w:val="20"/>
          <w:vertAlign w:val="superscript"/>
        </w:rPr>
        <w:t>/</w:t>
      </w:r>
      <w:r w:rsidRPr="00530ED0">
        <w:tab/>
      </w:r>
      <w:r>
        <w:rPr>
          <w:i/>
          <w:sz w:val="20"/>
          <w:szCs w:val="20"/>
        </w:rPr>
        <w:t>Id.</w:t>
      </w:r>
    </w:p>
  </w:footnote>
  <w:footnote w:id="81">
    <w:p w:rsidR="005C149E" w:rsidRPr="00F9251E" w:rsidRDefault="005C149E" w:rsidP="00716F2A">
      <w:pPr>
        <w:pStyle w:val="WUTCParagraph"/>
        <w:numPr>
          <w:ilvl w:val="0"/>
          <w:numId w:val="0"/>
        </w:numPr>
        <w:spacing w:line="240" w:lineRule="auto"/>
        <w:ind w:left="720" w:hanging="720"/>
        <w:rPr>
          <w:sz w:val="20"/>
          <w:szCs w:val="20"/>
        </w:rPr>
      </w:pPr>
      <w:r w:rsidRPr="00F9251E">
        <w:rPr>
          <w:rStyle w:val="FootnoteReference"/>
          <w:u w:val="single"/>
        </w:rPr>
        <w:footnoteRef/>
      </w:r>
      <w:r w:rsidRPr="00F9251E">
        <w:rPr>
          <w:sz w:val="20"/>
          <w:szCs w:val="20"/>
          <w:vertAlign w:val="superscript"/>
        </w:rPr>
        <w:t>/</w:t>
      </w:r>
      <w:r w:rsidRPr="00F9251E">
        <w:rPr>
          <w:sz w:val="20"/>
          <w:szCs w:val="20"/>
        </w:rPr>
        <w:tab/>
      </w:r>
      <w:r>
        <w:rPr>
          <w:sz w:val="20"/>
          <w:szCs w:val="20"/>
        </w:rPr>
        <w:t xml:space="preserve">Motion to </w:t>
      </w:r>
      <w:proofErr w:type="gramStart"/>
      <w:r>
        <w:rPr>
          <w:sz w:val="20"/>
          <w:szCs w:val="20"/>
        </w:rPr>
        <w:t>Dismiss</w:t>
      </w:r>
      <w:proofErr w:type="gramEnd"/>
      <w:r>
        <w:rPr>
          <w:sz w:val="20"/>
          <w:szCs w:val="20"/>
        </w:rPr>
        <w:t xml:space="preserve"> ¶53</w:t>
      </w:r>
      <w:r w:rsidRPr="00917D68">
        <w:rPr>
          <w:sz w:val="20"/>
          <w:szCs w:val="20"/>
        </w:rPr>
        <w:t xml:space="preserve">.  </w:t>
      </w:r>
    </w:p>
  </w:footnote>
  <w:footnote w:id="82">
    <w:p w:rsidR="005C149E" w:rsidRPr="00F9251E" w:rsidRDefault="005C149E" w:rsidP="00716F2A">
      <w:pPr>
        <w:pStyle w:val="WUTCParagraph"/>
        <w:numPr>
          <w:ilvl w:val="0"/>
          <w:numId w:val="0"/>
        </w:numPr>
        <w:spacing w:line="240" w:lineRule="auto"/>
        <w:ind w:left="720" w:hanging="720"/>
        <w:rPr>
          <w:sz w:val="20"/>
          <w:szCs w:val="20"/>
        </w:rPr>
      </w:pPr>
      <w:r w:rsidRPr="00F9251E">
        <w:rPr>
          <w:rStyle w:val="FootnoteReference"/>
          <w:u w:val="single"/>
        </w:rPr>
        <w:footnoteRef/>
      </w:r>
      <w:r w:rsidRPr="00F9251E">
        <w:rPr>
          <w:sz w:val="20"/>
          <w:szCs w:val="20"/>
          <w:vertAlign w:val="superscript"/>
        </w:rPr>
        <w:t>/</w:t>
      </w:r>
      <w:r w:rsidRPr="00F9251E">
        <w:rPr>
          <w:sz w:val="20"/>
          <w:szCs w:val="20"/>
        </w:rPr>
        <w:tab/>
      </w:r>
      <w:r>
        <w:rPr>
          <w:i/>
          <w:sz w:val="20"/>
          <w:szCs w:val="20"/>
        </w:rPr>
        <w:t>Id.</w:t>
      </w:r>
      <w:r w:rsidRPr="00AB2C6D">
        <w:rPr>
          <w:sz w:val="20"/>
          <w:szCs w:val="20"/>
        </w:rPr>
        <w:t xml:space="preserve"> </w:t>
      </w:r>
      <w:r>
        <w:rPr>
          <w:sz w:val="20"/>
          <w:szCs w:val="20"/>
        </w:rPr>
        <w:t xml:space="preserve">at </w:t>
      </w:r>
      <w:r w:rsidRPr="00AB2C6D">
        <w:rPr>
          <w:sz w:val="20"/>
          <w:szCs w:val="20"/>
        </w:rPr>
        <w:t>¶14</w:t>
      </w:r>
      <w:r w:rsidRPr="00917D68">
        <w:rPr>
          <w:sz w:val="20"/>
          <w:szCs w:val="20"/>
        </w:rPr>
        <w:t xml:space="preserve">.  </w:t>
      </w:r>
    </w:p>
  </w:footnote>
  <w:footnote w:id="83">
    <w:p w:rsidR="005C149E" w:rsidRPr="00F9251E" w:rsidRDefault="005C149E" w:rsidP="00BF32FA">
      <w:pPr>
        <w:pStyle w:val="WUTCParagraph"/>
        <w:numPr>
          <w:ilvl w:val="0"/>
          <w:numId w:val="0"/>
        </w:numPr>
        <w:spacing w:line="240" w:lineRule="auto"/>
        <w:ind w:left="720" w:hanging="720"/>
        <w:rPr>
          <w:sz w:val="20"/>
          <w:szCs w:val="20"/>
        </w:rPr>
      </w:pPr>
      <w:r w:rsidRPr="00F9251E">
        <w:rPr>
          <w:rStyle w:val="FootnoteReference"/>
          <w:u w:val="single"/>
        </w:rPr>
        <w:footnoteRef/>
      </w:r>
      <w:r w:rsidRPr="00F9251E">
        <w:rPr>
          <w:sz w:val="20"/>
          <w:szCs w:val="20"/>
          <w:vertAlign w:val="superscript"/>
        </w:rPr>
        <w:t>/</w:t>
      </w:r>
      <w:r w:rsidRPr="00F9251E">
        <w:rPr>
          <w:sz w:val="20"/>
          <w:szCs w:val="20"/>
        </w:rPr>
        <w:tab/>
      </w:r>
      <w:r>
        <w:rPr>
          <w:sz w:val="20"/>
          <w:szCs w:val="20"/>
        </w:rPr>
        <w:t xml:space="preserve">PacifiCorp cites generally to the CPUC Renewables page and does not include a specific reference for the name and date of the spreadsheet it used.  </w:t>
      </w:r>
      <w:proofErr w:type="gramStart"/>
      <w:r>
        <w:rPr>
          <w:i/>
          <w:sz w:val="20"/>
          <w:szCs w:val="20"/>
        </w:rPr>
        <w:t>Id.</w:t>
      </w:r>
      <w:r w:rsidRPr="00AB2C6D">
        <w:rPr>
          <w:sz w:val="20"/>
          <w:szCs w:val="20"/>
        </w:rPr>
        <w:t xml:space="preserve"> </w:t>
      </w:r>
      <w:r>
        <w:rPr>
          <w:sz w:val="20"/>
          <w:szCs w:val="20"/>
        </w:rPr>
        <w:t>at n</w:t>
      </w:r>
      <w:r w:rsidR="001379D1">
        <w:rPr>
          <w:sz w:val="20"/>
          <w:szCs w:val="20"/>
        </w:rPr>
        <w:t xml:space="preserve">. </w:t>
      </w:r>
      <w:r>
        <w:rPr>
          <w:sz w:val="20"/>
          <w:szCs w:val="20"/>
        </w:rPr>
        <w:t>4.</w:t>
      </w:r>
      <w:proofErr w:type="gramEnd"/>
      <w:r>
        <w:rPr>
          <w:sz w:val="20"/>
          <w:szCs w:val="20"/>
        </w:rPr>
        <w:t xml:space="preserve">  Presumably, PacifiCorp is referring to the spreadsheet labeled “</w:t>
      </w:r>
      <w:r w:rsidRPr="00FE4273">
        <w:rPr>
          <w:sz w:val="20"/>
          <w:szCs w:val="20"/>
        </w:rPr>
        <w:t>RPS_Project_Status_Table_2011_February</w:t>
      </w:r>
      <w:r>
        <w:rPr>
          <w:sz w:val="20"/>
          <w:szCs w:val="20"/>
        </w:rPr>
        <w:t xml:space="preserve">,” available under the link “Download a List of RPS Projects” at the site referenced by PacifiCorp: </w:t>
      </w:r>
      <w:r w:rsidRPr="00AF1FD7">
        <w:rPr>
          <w:sz w:val="20"/>
          <w:szCs w:val="20"/>
        </w:rPr>
        <w:t>http://www.cpuc.ca.gov/PUC/energy/Renewables/index.htm</w:t>
      </w:r>
      <w:r>
        <w:rPr>
          <w:sz w:val="20"/>
          <w:szCs w:val="20"/>
        </w:rPr>
        <w:t>.</w:t>
      </w:r>
    </w:p>
  </w:footnote>
  <w:footnote w:id="84">
    <w:p w:rsidR="005C149E" w:rsidRDefault="005C149E" w:rsidP="00D57E46">
      <w:pPr>
        <w:pStyle w:val="WUTCParagraph"/>
        <w:keepLines/>
        <w:numPr>
          <w:ilvl w:val="0"/>
          <w:numId w:val="0"/>
        </w:numPr>
        <w:spacing w:line="240" w:lineRule="auto"/>
        <w:ind w:left="720" w:hanging="720"/>
        <w:rPr>
          <w:sz w:val="20"/>
          <w:szCs w:val="20"/>
        </w:rPr>
      </w:pPr>
      <w:r w:rsidRPr="00F9251E">
        <w:rPr>
          <w:rStyle w:val="FootnoteReference"/>
          <w:u w:val="single"/>
        </w:rPr>
        <w:footnoteRef/>
      </w:r>
      <w:r w:rsidRPr="00F9251E">
        <w:rPr>
          <w:sz w:val="20"/>
          <w:szCs w:val="20"/>
          <w:vertAlign w:val="superscript"/>
        </w:rPr>
        <w:t>/</w:t>
      </w:r>
      <w:r w:rsidRPr="00F9251E">
        <w:rPr>
          <w:sz w:val="20"/>
          <w:szCs w:val="20"/>
        </w:rPr>
        <w:tab/>
      </w:r>
      <w:r w:rsidRPr="00300610">
        <w:rPr>
          <w:sz w:val="20"/>
          <w:szCs w:val="20"/>
        </w:rPr>
        <w:t xml:space="preserve">According to the spreadsheet on the CPUC website, there are currently fifty-three contracts pending </w:t>
      </w:r>
      <w:r>
        <w:rPr>
          <w:sz w:val="20"/>
          <w:szCs w:val="20"/>
        </w:rPr>
        <w:t>approval by</w:t>
      </w:r>
      <w:r w:rsidRPr="00300610">
        <w:rPr>
          <w:sz w:val="20"/>
          <w:szCs w:val="20"/>
        </w:rPr>
        <w:t xml:space="preserve"> the CPUC, twenty-one of which were filed in January of 2011 alone.  Thirty-two were filed prior to 2011.</w:t>
      </w:r>
      <w:r>
        <w:rPr>
          <w:sz w:val="20"/>
          <w:szCs w:val="20"/>
          <w:vertAlign w:val="superscript"/>
        </w:rPr>
        <w:t xml:space="preserve"> </w:t>
      </w:r>
      <w:r>
        <w:rPr>
          <w:sz w:val="20"/>
          <w:szCs w:val="20"/>
        </w:rPr>
        <w:t xml:space="preserve"> </w:t>
      </w:r>
      <w:r w:rsidRPr="00300610">
        <w:rPr>
          <w:sz w:val="20"/>
          <w:szCs w:val="20"/>
        </w:rPr>
        <w:t>The remaining pending contracts are presumably the “more than thirty contracts filed for approval at the same time of the California Contracts” (although, this is an assumption, as the Company does not provide a direct citation to which are included).  However, of the</w:t>
      </w:r>
      <w:r>
        <w:rPr>
          <w:sz w:val="20"/>
          <w:szCs w:val="20"/>
        </w:rPr>
        <w:t>se</w:t>
      </w:r>
      <w:r w:rsidRPr="00300610">
        <w:rPr>
          <w:sz w:val="20"/>
          <w:szCs w:val="20"/>
        </w:rPr>
        <w:t xml:space="preserve"> thirty-two </w:t>
      </w:r>
      <w:r>
        <w:rPr>
          <w:sz w:val="20"/>
          <w:szCs w:val="20"/>
        </w:rPr>
        <w:t>contracts</w:t>
      </w:r>
      <w:r w:rsidRPr="00300610">
        <w:rPr>
          <w:sz w:val="20"/>
          <w:szCs w:val="20"/>
        </w:rPr>
        <w:t xml:space="preserve">, </w:t>
      </w:r>
      <w:r w:rsidRPr="00300610">
        <w:rPr>
          <w:i/>
          <w:sz w:val="20"/>
          <w:szCs w:val="20"/>
        </w:rPr>
        <w:t>twenty-eight were filed after the CPUC approved the California Contracts</w:t>
      </w:r>
      <w:r w:rsidRPr="00300610">
        <w:rPr>
          <w:sz w:val="20"/>
          <w:szCs w:val="20"/>
        </w:rPr>
        <w:t xml:space="preserve">.  In making representations about </w:t>
      </w:r>
      <w:r>
        <w:rPr>
          <w:sz w:val="20"/>
          <w:szCs w:val="20"/>
        </w:rPr>
        <w:t xml:space="preserve">its assumptions regarding potential </w:t>
      </w:r>
      <w:r w:rsidRPr="00300610">
        <w:rPr>
          <w:sz w:val="20"/>
          <w:szCs w:val="20"/>
        </w:rPr>
        <w:t xml:space="preserve">delay of CPUC approval, PacifiCorp cannot rely </w:t>
      </w:r>
      <w:r>
        <w:rPr>
          <w:sz w:val="20"/>
          <w:szCs w:val="20"/>
        </w:rPr>
        <w:t xml:space="preserve">on </w:t>
      </w:r>
      <w:r w:rsidRPr="00300610">
        <w:rPr>
          <w:sz w:val="20"/>
          <w:szCs w:val="20"/>
        </w:rPr>
        <w:t xml:space="preserve">contracts that were filed </w:t>
      </w:r>
      <w:r w:rsidRPr="00EB2A85">
        <w:rPr>
          <w:i/>
          <w:sz w:val="20"/>
          <w:szCs w:val="20"/>
        </w:rPr>
        <w:t>after</w:t>
      </w:r>
      <w:r w:rsidRPr="00300610">
        <w:rPr>
          <w:sz w:val="20"/>
          <w:szCs w:val="20"/>
        </w:rPr>
        <w:t xml:space="preserve"> approval of the California Contracts.</w:t>
      </w:r>
      <w:r>
        <w:rPr>
          <w:sz w:val="20"/>
          <w:szCs w:val="20"/>
        </w:rPr>
        <w:t xml:space="preserve">  </w:t>
      </w:r>
      <w:r>
        <w:rPr>
          <w:i/>
          <w:sz w:val="20"/>
          <w:szCs w:val="20"/>
        </w:rPr>
        <w:t>Id.</w:t>
      </w:r>
    </w:p>
  </w:footnote>
  <w:footnote w:id="85">
    <w:p w:rsidR="005C149E" w:rsidRDefault="005C149E" w:rsidP="00D57E46">
      <w:pPr>
        <w:keepLines/>
        <w:autoSpaceDE w:val="0"/>
        <w:autoSpaceDN w:val="0"/>
        <w:adjustRightInd w:val="0"/>
        <w:spacing w:line="240" w:lineRule="auto"/>
        <w:ind w:left="720" w:hanging="720"/>
        <w:rPr>
          <w:rFonts w:eastAsiaTheme="minorHAnsi"/>
          <w:sz w:val="20"/>
          <w:szCs w:val="20"/>
        </w:rPr>
      </w:pPr>
      <w:r w:rsidRPr="00F9251E">
        <w:rPr>
          <w:rStyle w:val="FootnoteReference"/>
          <w:u w:val="single"/>
        </w:rPr>
        <w:footnoteRef/>
      </w:r>
      <w:r w:rsidRPr="00F9251E">
        <w:rPr>
          <w:sz w:val="20"/>
          <w:szCs w:val="20"/>
          <w:vertAlign w:val="superscript"/>
        </w:rPr>
        <w:t>/</w:t>
      </w:r>
      <w:r w:rsidRPr="00F9251E">
        <w:rPr>
          <w:sz w:val="20"/>
          <w:szCs w:val="20"/>
        </w:rPr>
        <w:tab/>
      </w:r>
      <w:r w:rsidRPr="006D6BAA">
        <w:rPr>
          <w:sz w:val="20"/>
          <w:szCs w:val="20"/>
        </w:rPr>
        <w:t xml:space="preserve">Of the four contracts, three have an online date after January 1, 2012, and the fourth contract related to tradable RECs, which were not allowed for RPS compliance in California until after the CPUC issued a decision and order on the matter, on January 14, 2011.  </w:t>
      </w:r>
      <w:r>
        <w:rPr>
          <w:sz w:val="20"/>
          <w:szCs w:val="20"/>
        </w:rPr>
        <w:t>“</w:t>
      </w:r>
      <w:r w:rsidRPr="00FE4273">
        <w:rPr>
          <w:sz w:val="20"/>
          <w:szCs w:val="20"/>
        </w:rPr>
        <w:t>RPS_Project_Status_Table_2011_February</w:t>
      </w:r>
      <w:r>
        <w:rPr>
          <w:sz w:val="20"/>
          <w:szCs w:val="20"/>
        </w:rPr>
        <w:t xml:space="preserve">, available under the link “Download a List of RPS Projects” at </w:t>
      </w:r>
      <w:r w:rsidRPr="0083177A">
        <w:rPr>
          <w:sz w:val="20"/>
          <w:szCs w:val="20"/>
        </w:rPr>
        <w:t>http://www.cpuc.ca.gov/PUC/energy/Renewables/index.htm</w:t>
      </w:r>
      <w:r>
        <w:rPr>
          <w:sz w:val="20"/>
          <w:szCs w:val="20"/>
        </w:rPr>
        <w:t xml:space="preserve">; </w:t>
      </w:r>
      <w:r w:rsidRPr="00206808">
        <w:rPr>
          <w:rFonts w:eastAsiaTheme="minorHAnsi"/>
          <w:i/>
          <w:sz w:val="20"/>
          <w:szCs w:val="20"/>
        </w:rPr>
        <w:t>Submission of Contracts For Procurement of</w:t>
      </w:r>
      <w:r>
        <w:rPr>
          <w:rFonts w:eastAsiaTheme="minorHAnsi"/>
          <w:i/>
          <w:sz w:val="20"/>
          <w:szCs w:val="20"/>
        </w:rPr>
        <w:t xml:space="preserve"> </w:t>
      </w:r>
      <w:r w:rsidRPr="00206808">
        <w:rPr>
          <w:rFonts w:eastAsiaTheme="minorHAnsi"/>
          <w:i/>
          <w:sz w:val="20"/>
          <w:szCs w:val="20"/>
        </w:rPr>
        <w:t>Renewable Energy From SCE’</w:t>
      </w:r>
      <w:r>
        <w:rPr>
          <w:rFonts w:eastAsiaTheme="minorHAnsi"/>
          <w:i/>
          <w:sz w:val="20"/>
          <w:szCs w:val="20"/>
        </w:rPr>
        <w:t xml:space="preserve">s 2008 </w:t>
      </w:r>
      <w:r w:rsidRPr="00206808">
        <w:rPr>
          <w:rFonts w:eastAsiaTheme="minorHAnsi"/>
          <w:i/>
          <w:sz w:val="20"/>
          <w:szCs w:val="20"/>
        </w:rPr>
        <w:t>Renewables Portfolio Standard Solicitation</w:t>
      </w:r>
      <w:r>
        <w:rPr>
          <w:rFonts w:eastAsiaTheme="minorHAnsi"/>
          <w:sz w:val="20"/>
          <w:szCs w:val="20"/>
        </w:rPr>
        <w:t xml:space="preserve">, CPUC AL 2339-E (Apr. 6, 2009) (generation resource online date 2013);  </w:t>
      </w:r>
      <w:r w:rsidRPr="00FD216B">
        <w:rPr>
          <w:rFonts w:eastAsiaTheme="minorHAnsi"/>
          <w:i/>
          <w:sz w:val="20"/>
          <w:szCs w:val="20"/>
        </w:rPr>
        <w:t>Submission of Bilateral Agreement for Procurement of Renewable Energy</w:t>
      </w:r>
      <w:r>
        <w:rPr>
          <w:rFonts w:eastAsiaTheme="minorHAnsi"/>
          <w:sz w:val="20"/>
          <w:szCs w:val="20"/>
        </w:rPr>
        <w:t xml:space="preserve"> CPUC AL 2358-E</w:t>
      </w:r>
      <w:r>
        <w:rPr>
          <w:rFonts w:eastAsiaTheme="minorHAnsi"/>
          <w:i/>
          <w:sz w:val="20"/>
          <w:szCs w:val="20"/>
        </w:rPr>
        <w:t xml:space="preserve"> </w:t>
      </w:r>
      <w:r>
        <w:rPr>
          <w:rFonts w:eastAsiaTheme="minorHAnsi"/>
          <w:sz w:val="20"/>
          <w:szCs w:val="20"/>
        </w:rPr>
        <w:t xml:space="preserve">(July 13, 2009) (delivery under contract beginning in 2012);  </w:t>
      </w:r>
      <w:r w:rsidRPr="00862733">
        <w:rPr>
          <w:rFonts w:eastAsiaTheme="minorHAnsi"/>
          <w:i/>
          <w:sz w:val="20"/>
          <w:szCs w:val="20"/>
        </w:rPr>
        <w:t>Submission of Contracts for Procurement of Renewable Energy from SCE’s 2008 Renewables Portfolio Standard Solicitation</w:t>
      </w:r>
      <w:r>
        <w:rPr>
          <w:rFonts w:eastAsiaTheme="minorHAnsi"/>
          <w:sz w:val="20"/>
          <w:szCs w:val="20"/>
        </w:rPr>
        <w:t xml:space="preserve">, CPUC AL 2374-E, (Aug. 21, 2009) (generation resource online date 2014);  </w:t>
      </w:r>
      <w:r w:rsidRPr="00206808">
        <w:rPr>
          <w:rFonts w:eastAsiaTheme="minorHAnsi"/>
          <w:i/>
          <w:sz w:val="20"/>
          <w:szCs w:val="20"/>
        </w:rPr>
        <w:t>Submission of Bilateral Agreement for Procurement of Renewable Energy</w:t>
      </w:r>
      <w:r w:rsidRPr="00206808">
        <w:rPr>
          <w:rFonts w:eastAsiaTheme="minorHAnsi"/>
          <w:sz w:val="20"/>
          <w:szCs w:val="20"/>
        </w:rPr>
        <w:t>, CPUC</w:t>
      </w:r>
      <w:r>
        <w:rPr>
          <w:rFonts w:eastAsiaTheme="minorHAnsi"/>
          <w:sz w:val="20"/>
          <w:szCs w:val="20"/>
        </w:rPr>
        <w:t xml:space="preserve"> Docket No. U-338-E, Ruling (Jan. 24, 2011) (tradable RECs); </w:t>
      </w:r>
      <w:r w:rsidRPr="00D23132">
        <w:rPr>
          <w:bCs/>
          <w:i/>
          <w:sz w:val="20"/>
          <w:szCs w:val="20"/>
        </w:rPr>
        <w:t>Decision</w:t>
      </w:r>
      <w:r w:rsidRPr="006D6BAA">
        <w:rPr>
          <w:bCs/>
          <w:i/>
          <w:sz w:val="20"/>
          <w:szCs w:val="20"/>
        </w:rPr>
        <w:t xml:space="preserve"> Resolving Petitions for Modification of Decision 10-03-021 Authorizing Use of Renewable Energy Credits for Compliance with the California Renewables Portfolio Standard and Lifting Stay and Moratorium Imposed by Decision 10-05-018</w:t>
      </w:r>
      <w:r w:rsidRPr="006D6BAA">
        <w:rPr>
          <w:bCs/>
          <w:sz w:val="20"/>
          <w:szCs w:val="20"/>
        </w:rPr>
        <w:t>, CPUC</w:t>
      </w:r>
      <w:r w:rsidRPr="006D6BAA">
        <w:rPr>
          <w:bCs/>
          <w:i/>
          <w:sz w:val="20"/>
          <w:szCs w:val="20"/>
        </w:rPr>
        <w:t xml:space="preserve"> </w:t>
      </w:r>
      <w:r w:rsidRPr="006D6BAA">
        <w:rPr>
          <w:bCs/>
          <w:sz w:val="20"/>
          <w:szCs w:val="20"/>
        </w:rPr>
        <w:t xml:space="preserve">Docket No. </w:t>
      </w:r>
      <w:r w:rsidRPr="006D6BAA">
        <w:rPr>
          <w:sz w:val="20"/>
          <w:szCs w:val="20"/>
        </w:rPr>
        <w:t>R.06-02-012 (Jan. 14, 2011).</w:t>
      </w:r>
    </w:p>
  </w:footnote>
  <w:footnote w:id="86">
    <w:p w:rsidR="005C149E" w:rsidRPr="00F9251E" w:rsidRDefault="005C149E" w:rsidP="00716F2A">
      <w:pPr>
        <w:pStyle w:val="WUTCParagraph"/>
        <w:numPr>
          <w:ilvl w:val="0"/>
          <w:numId w:val="0"/>
        </w:numPr>
        <w:spacing w:line="240" w:lineRule="auto"/>
        <w:ind w:left="720" w:hanging="720"/>
        <w:rPr>
          <w:sz w:val="20"/>
          <w:szCs w:val="20"/>
        </w:rPr>
      </w:pPr>
      <w:r w:rsidRPr="00F9251E">
        <w:rPr>
          <w:rStyle w:val="FootnoteReference"/>
          <w:u w:val="single"/>
        </w:rPr>
        <w:footnoteRef/>
      </w:r>
      <w:r w:rsidRPr="00F9251E">
        <w:rPr>
          <w:sz w:val="20"/>
          <w:szCs w:val="20"/>
          <w:vertAlign w:val="superscript"/>
        </w:rPr>
        <w:t>/</w:t>
      </w:r>
      <w:r w:rsidRPr="00F9251E">
        <w:rPr>
          <w:sz w:val="20"/>
          <w:szCs w:val="20"/>
        </w:rPr>
        <w:tab/>
      </w:r>
      <w:r w:rsidRPr="00AB2C6D">
        <w:rPr>
          <w:sz w:val="20"/>
          <w:szCs w:val="20"/>
        </w:rPr>
        <w:t>Motion to Dismiss at ¶14</w:t>
      </w:r>
      <w:r w:rsidRPr="00917D68">
        <w:rPr>
          <w:sz w:val="20"/>
          <w:szCs w:val="20"/>
        </w:rPr>
        <w:t xml:space="preserve">.  </w:t>
      </w:r>
    </w:p>
  </w:footnote>
  <w:footnote w:id="87">
    <w:p w:rsidR="005C149E" w:rsidRPr="00125D18" w:rsidRDefault="005C149E" w:rsidP="003409C7">
      <w:pPr>
        <w:spacing w:line="240" w:lineRule="auto"/>
        <w:ind w:left="720" w:hanging="720"/>
        <w:rPr>
          <w:rFonts w:eastAsiaTheme="minorHAnsi"/>
          <w:sz w:val="20"/>
          <w:szCs w:val="20"/>
        </w:rPr>
      </w:pPr>
      <w:r w:rsidRPr="00F9251E">
        <w:rPr>
          <w:rStyle w:val="FootnoteReference"/>
          <w:u w:val="single"/>
        </w:rPr>
        <w:footnoteRef/>
      </w:r>
      <w:r w:rsidRPr="00F9251E">
        <w:rPr>
          <w:sz w:val="20"/>
          <w:szCs w:val="20"/>
          <w:vertAlign w:val="superscript"/>
        </w:rPr>
        <w:t>/</w:t>
      </w:r>
      <w:r w:rsidRPr="00F9251E">
        <w:rPr>
          <w:sz w:val="20"/>
          <w:szCs w:val="20"/>
        </w:rPr>
        <w:tab/>
      </w:r>
      <w:r>
        <w:rPr>
          <w:i/>
          <w:sz w:val="20"/>
          <w:szCs w:val="20"/>
        </w:rPr>
        <w:t xml:space="preserve">See </w:t>
      </w:r>
      <w:r w:rsidRPr="009F2723">
        <w:rPr>
          <w:rFonts w:ascii="BookAntiqua" w:eastAsiaTheme="minorHAnsi" w:hAnsi="BookAntiqua" w:cs="BookAntiqua"/>
          <w:i/>
          <w:sz w:val="20"/>
          <w:szCs w:val="20"/>
        </w:rPr>
        <w:t>Re PG&amp;E Request for Approval</w:t>
      </w:r>
      <w:r w:rsidRPr="009F2723">
        <w:rPr>
          <w:rFonts w:ascii="BookAntiqua" w:eastAsiaTheme="minorHAnsi" w:hAnsi="BookAntiqua" w:cs="BookAntiqua"/>
          <w:sz w:val="20"/>
          <w:szCs w:val="20"/>
        </w:rPr>
        <w:t xml:space="preserve">, </w:t>
      </w:r>
      <w:r>
        <w:rPr>
          <w:rFonts w:ascii="BookAntiqua" w:eastAsiaTheme="minorHAnsi" w:hAnsi="BookAntiqua" w:cs="BookAntiqua"/>
          <w:sz w:val="20"/>
          <w:szCs w:val="20"/>
        </w:rPr>
        <w:t xml:space="preserve">CPUC Resolution E-4170, </w:t>
      </w:r>
      <w:r w:rsidRPr="009F2723">
        <w:rPr>
          <w:rFonts w:ascii="BookAntiqua" w:eastAsiaTheme="minorHAnsi" w:hAnsi="BookAntiqua" w:cs="BookAntiqua"/>
          <w:sz w:val="20"/>
          <w:szCs w:val="20"/>
        </w:rPr>
        <w:t xml:space="preserve">PG&amp;E AL 3183-E/SVN </w:t>
      </w:r>
      <w:r>
        <w:rPr>
          <w:rFonts w:ascii="BookAntiqua" w:eastAsiaTheme="minorHAnsi" w:hAnsi="BookAntiqua" w:cs="BookAntiqua"/>
          <w:sz w:val="20"/>
          <w:szCs w:val="20"/>
        </w:rPr>
        <w:t xml:space="preserve">at 23 </w:t>
      </w:r>
      <w:r w:rsidRPr="009F2723">
        <w:rPr>
          <w:rFonts w:ascii="BookAntiqua" w:eastAsiaTheme="minorHAnsi" w:hAnsi="BookAntiqua" w:cs="BookAntiqua"/>
          <w:sz w:val="20"/>
          <w:szCs w:val="20"/>
        </w:rPr>
        <w:t>(</w:t>
      </w:r>
      <w:r w:rsidRPr="009F2723">
        <w:rPr>
          <w:rFonts w:ascii="BookAntiqua,Bold" w:eastAsiaTheme="minorHAnsi" w:hAnsi="BookAntiqua,Bold" w:cs="BookAntiqua,Bold"/>
          <w:bCs/>
          <w:sz w:val="20"/>
          <w:szCs w:val="20"/>
        </w:rPr>
        <w:t>May 15, 2008)</w:t>
      </w:r>
      <w:r>
        <w:rPr>
          <w:rFonts w:ascii="BookAntiqua,Bold" w:eastAsiaTheme="minorHAnsi" w:hAnsi="BookAntiqua,Bold" w:cs="BookAntiqua,Bold"/>
          <w:bCs/>
          <w:sz w:val="20"/>
          <w:szCs w:val="20"/>
        </w:rPr>
        <w:t xml:space="preserve"> (rejected contract for failure to include standard terms and conditions); </w:t>
      </w:r>
      <w:r w:rsidRPr="00521D50">
        <w:rPr>
          <w:rFonts w:eastAsiaTheme="minorHAnsi"/>
          <w:i/>
          <w:sz w:val="20"/>
          <w:szCs w:val="20"/>
        </w:rPr>
        <w:t>Re PG&amp;E Request for Approval</w:t>
      </w:r>
      <w:r w:rsidRPr="00521D50">
        <w:rPr>
          <w:rFonts w:eastAsiaTheme="minorHAnsi"/>
          <w:sz w:val="20"/>
          <w:szCs w:val="20"/>
        </w:rPr>
        <w:t>, CPUC Resolution E-4168, AL</w:t>
      </w:r>
      <w:r>
        <w:rPr>
          <w:rFonts w:eastAsiaTheme="minorHAnsi"/>
          <w:sz w:val="20"/>
          <w:szCs w:val="20"/>
        </w:rPr>
        <w:t xml:space="preserve"> 3181</w:t>
      </w:r>
      <w:r w:rsidRPr="00521D50">
        <w:rPr>
          <w:rFonts w:eastAsiaTheme="minorHAnsi"/>
          <w:sz w:val="20"/>
          <w:szCs w:val="20"/>
        </w:rPr>
        <w:t xml:space="preserve"> at 9-10 (</w:t>
      </w:r>
      <w:r>
        <w:rPr>
          <w:rFonts w:eastAsiaTheme="minorHAnsi"/>
          <w:sz w:val="20"/>
          <w:szCs w:val="20"/>
        </w:rPr>
        <w:t>Oct. 16</w:t>
      </w:r>
      <w:r w:rsidRPr="00521D50">
        <w:rPr>
          <w:rFonts w:eastAsiaTheme="minorHAnsi"/>
          <w:sz w:val="20"/>
          <w:szCs w:val="20"/>
        </w:rPr>
        <w:t>, 2008) (rejected contra</w:t>
      </w:r>
      <w:r>
        <w:rPr>
          <w:rFonts w:eastAsiaTheme="minorHAnsi"/>
          <w:sz w:val="20"/>
          <w:szCs w:val="20"/>
        </w:rPr>
        <w:t xml:space="preserve">ct because project not viable); </w:t>
      </w:r>
      <w:r w:rsidRPr="00521D50">
        <w:rPr>
          <w:rFonts w:eastAsiaTheme="minorHAnsi"/>
          <w:i/>
          <w:sz w:val="20"/>
          <w:szCs w:val="20"/>
        </w:rPr>
        <w:t>Re Southern California Edison Company Request for Approval</w:t>
      </w:r>
      <w:r w:rsidRPr="00521D50">
        <w:rPr>
          <w:rFonts w:eastAsiaTheme="minorHAnsi"/>
          <w:sz w:val="20"/>
          <w:szCs w:val="20"/>
        </w:rPr>
        <w:t xml:space="preserve">, CPUC Resolution E-4168, ALs 2143-E/E-A/E-B/SMK </w:t>
      </w:r>
      <w:r>
        <w:rPr>
          <w:rFonts w:eastAsiaTheme="minorHAnsi"/>
          <w:sz w:val="20"/>
          <w:szCs w:val="20"/>
        </w:rPr>
        <w:t xml:space="preserve">at 16 </w:t>
      </w:r>
      <w:r w:rsidRPr="00521D50">
        <w:rPr>
          <w:rFonts w:eastAsiaTheme="minorHAnsi"/>
          <w:sz w:val="20"/>
          <w:szCs w:val="20"/>
        </w:rPr>
        <w:t xml:space="preserve">(July 10, 2008) (contract approval </w:t>
      </w:r>
      <w:r>
        <w:rPr>
          <w:rFonts w:eastAsiaTheme="minorHAnsi"/>
          <w:sz w:val="20"/>
          <w:szCs w:val="20"/>
        </w:rPr>
        <w:t>delayed because generation resources not online</w:t>
      </w:r>
      <w:r w:rsidRPr="00521D50">
        <w:rPr>
          <w:rFonts w:eastAsiaTheme="minorHAnsi"/>
          <w:sz w:val="20"/>
          <w:szCs w:val="20"/>
        </w:rPr>
        <w:t>)</w:t>
      </w:r>
      <w:r>
        <w:rPr>
          <w:rFonts w:eastAsiaTheme="minorHAnsi"/>
          <w:sz w:val="20"/>
          <w:szCs w:val="20"/>
        </w:rPr>
        <w:t>.</w:t>
      </w:r>
    </w:p>
  </w:footnote>
  <w:footnote w:id="88">
    <w:p w:rsidR="005C149E" w:rsidRPr="00F9251E" w:rsidRDefault="005C149E" w:rsidP="00716F2A">
      <w:pPr>
        <w:pStyle w:val="WUTCParagraph"/>
        <w:numPr>
          <w:ilvl w:val="0"/>
          <w:numId w:val="0"/>
        </w:numPr>
        <w:spacing w:line="240" w:lineRule="auto"/>
        <w:ind w:left="720" w:hanging="720"/>
        <w:rPr>
          <w:sz w:val="20"/>
          <w:szCs w:val="20"/>
        </w:rPr>
      </w:pPr>
      <w:r w:rsidRPr="00F9251E">
        <w:rPr>
          <w:rStyle w:val="FootnoteReference"/>
          <w:u w:val="single"/>
        </w:rPr>
        <w:footnoteRef/>
      </w:r>
      <w:r w:rsidRPr="00F9251E">
        <w:rPr>
          <w:sz w:val="20"/>
          <w:szCs w:val="20"/>
          <w:vertAlign w:val="superscript"/>
        </w:rPr>
        <w:t>/</w:t>
      </w:r>
      <w:r w:rsidRPr="00F9251E">
        <w:rPr>
          <w:sz w:val="20"/>
          <w:szCs w:val="20"/>
        </w:rPr>
        <w:tab/>
      </w:r>
      <w:r w:rsidRPr="00917D68">
        <w:rPr>
          <w:sz w:val="20"/>
          <w:szCs w:val="20"/>
        </w:rPr>
        <w:t xml:space="preserve">Motion to Dismiss at </w:t>
      </w:r>
      <w:r>
        <w:rPr>
          <w:sz w:val="20"/>
          <w:szCs w:val="20"/>
        </w:rPr>
        <w:t>¶¶14, 22</w:t>
      </w:r>
      <w:r w:rsidRPr="00917D68">
        <w:rPr>
          <w:sz w:val="20"/>
          <w:szCs w:val="20"/>
        </w:rPr>
        <w:t xml:space="preserve">.  </w:t>
      </w:r>
    </w:p>
  </w:footnote>
  <w:footnote w:id="89">
    <w:p w:rsidR="005C149E" w:rsidRPr="00767B9F" w:rsidRDefault="005C149E" w:rsidP="00767B9F">
      <w:pPr>
        <w:spacing w:line="240" w:lineRule="auto"/>
        <w:ind w:left="720" w:hanging="720"/>
      </w:pPr>
      <w:r w:rsidRPr="00F9251E">
        <w:rPr>
          <w:rStyle w:val="FootnoteReference"/>
          <w:u w:val="single"/>
        </w:rPr>
        <w:footnoteRef/>
      </w:r>
      <w:r w:rsidRPr="00F9251E">
        <w:rPr>
          <w:sz w:val="20"/>
          <w:szCs w:val="20"/>
          <w:vertAlign w:val="superscript"/>
        </w:rPr>
        <w:t>/</w:t>
      </w:r>
      <w:r w:rsidRPr="00F9251E">
        <w:rPr>
          <w:sz w:val="20"/>
          <w:szCs w:val="20"/>
        </w:rPr>
        <w:tab/>
      </w:r>
      <w:r w:rsidRPr="00B36B80">
        <w:rPr>
          <w:sz w:val="20"/>
          <w:szCs w:val="20"/>
        </w:rPr>
        <w:t xml:space="preserve">To determine the average length of time of CPUC approval of REC contracts, ICNU and Public Counsel </w:t>
      </w:r>
      <w:r>
        <w:rPr>
          <w:sz w:val="20"/>
          <w:szCs w:val="20"/>
        </w:rPr>
        <w:t>researched</w:t>
      </w:r>
      <w:r w:rsidRPr="00B36B80">
        <w:rPr>
          <w:sz w:val="20"/>
          <w:szCs w:val="20"/>
        </w:rPr>
        <w:t xml:space="preserve"> the filing date of every approved contract listed on the spreadsheet titled, </w:t>
      </w:r>
      <w:r>
        <w:rPr>
          <w:sz w:val="20"/>
          <w:szCs w:val="20"/>
        </w:rPr>
        <w:t>“</w:t>
      </w:r>
      <w:r w:rsidRPr="00FE4273">
        <w:rPr>
          <w:sz w:val="20"/>
          <w:szCs w:val="20"/>
        </w:rPr>
        <w:t>RPS_Project_Status_Table_2011_February</w:t>
      </w:r>
      <w:r>
        <w:rPr>
          <w:sz w:val="20"/>
          <w:szCs w:val="20"/>
        </w:rPr>
        <w:t xml:space="preserve">,” available under the link “Download a List of RPS Projects” at </w:t>
      </w:r>
      <w:r w:rsidRPr="00B36B80">
        <w:rPr>
          <w:sz w:val="20"/>
          <w:szCs w:val="20"/>
        </w:rPr>
        <w:t>http://www.cpuc.ca.gov/PUC/energy/Renewables/index.htm</w:t>
      </w:r>
      <w:r>
        <w:rPr>
          <w:sz w:val="20"/>
          <w:szCs w:val="20"/>
        </w:rPr>
        <w:t xml:space="preserve">. </w:t>
      </w:r>
      <w:r w:rsidRPr="00B36B80">
        <w:rPr>
          <w:sz w:val="20"/>
          <w:szCs w:val="20"/>
        </w:rPr>
        <w:t xml:space="preserve"> ICNU and Public Counsel then calculated the number of days between the filing and approval of each contract. For purposes of comparison, the California Contracts are similar to those listed under the “Projects Approved and Online” as the </w:t>
      </w:r>
      <w:r>
        <w:rPr>
          <w:sz w:val="20"/>
          <w:szCs w:val="20"/>
        </w:rPr>
        <w:t>resources were</w:t>
      </w:r>
      <w:r w:rsidRPr="00B36B80">
        <w:rPr>
          <w:sz w:val="20"/>
          <w:szCs w:val="20"/>
        </w:rPr>
        <w:t xml:space="preserve"> operational at the tim</w:t>
      </w:r>
      <w:r>
        <w:rPr>
          <w:sz w:val="20"/>
          <w:szCs w:val="20"/>
        </w:rPr>
        <w:t xml:space="preserve">e the contracts were signed. The </w:t>
      </w:r>
      <w:r w:rsidRPr="00B36B80">
        <w:rPr>
          <w:sz w:val="20"/>
          <w:szCs w:val="20"/>
        </w:rPr>
        <w:t xml:space="preserve">contracts filed in this category </w:t>
      </w:r>
      <w:r>
        <w:rPr>
          <w:sz w:val="20"/>
          <w:szCs w:val="20"/>
        </w:rPr>
        <w:t xml:space="preserve">between 2008 and the time PacifiCorp filed the California Contracts </w:t>
      </w:r>
      <w:r w:rsidRPr="00B36B80">
        <w:rPr>
          <w:sz w:val="20"/>
          <w:szCs w:val="20"/>
        </w:rPr>
        <w:t>we</w:t>
      </w:r>
      <w:r>
        <w:rPr>
          <w:sz w:val="20"/>
          <w:szCs w:val="20"/>
        </w:rPr>
        <w:t>re, on average, approved within 117</w:t>
      </w:r>
      <w:r w:rsidRPr="00B36B80">
        <w:rPr>
          <w:sz w:val="20"/>
          <w:szCs w:val="20"/>
        </w:rPr>
        <w:t xml:space="preserve"> days.</w:t>
      </w:r>
    </w:p>
  </w:footnote>
  <w:footnote w:id="90">
    <w:p w:rsidR="005C149E" w:rsidRPr="00F9251E" w:rsidRDefault="005C149E" w:rsidP="005E5C3E">
      <w:pPr>
        <w:pStyle w:val="WUTCParagraph"/>
        <w:numPr>
          <w:ilvl w:val="0"/>
          <w:numId w:val="0"/>
        </w:numPr>
        <w:spacing w:line="240" w:lineRule="auto"/>
        <w:ind w:left="720" w:hanging="720"/>
        <w:rPr>
          <w:sz w:val="20"/>
          <w:szCs w:val="20"/>
        </w:rPr>
      </w:pPr>
      <w:r w:rsidRPr="00F9251E">
        <w:rPr>
          <w:rStyle w:val="FootnoteReference"/>
          <w:u w:val="single"/>
        </w:rPr>
        <w:footnoteRef/>
      </w:r>
      <w:r w:rsidRPr="00F9251E">
        <w:rPr>
          <w:sz w:val="20"/>
          <w:szCs w:val="20"/>
          <w:vertAlign w:val="superscript"/>
        </w:rPr>
        <w:t>/</w:t>
      </w:r>
      <w:r w:rsidRPr="00F9251E">
        <w:rPr>
          <w:sz w:val="20"/>
          <w:szCs w:val="20"/>
        </w:rPr>
        <w:tab/>
      </w:r>
      <w:r w:rsidRPr="00917D68">
        <w:rPr>
          <w:sz w:val="20"/>
          <w:szCs w:val="20"/>
        </w:rPr>
        <w:t xml:space="preserve">Motion to </w:t>
      </w:r>
      <w:proofErr w:type="gramStart"/>
      <w:r w:rsidRPr="00917D68">
        <w:rPr>
          <w:sz w:val="20"/>
          <w:szCs w:val="20"/>
        </w:rPr>
        <w:t>Dismiss</w:t>
      </w:r>
      <w:proofErr w:type="gramEnd"/>
      <w:r w:rsidRPr="00917D68">
        <w:rPr>
          <w:sz w:val="20"/>
          <w:szCs w:val="20"/>
        </w:rPr>
        <w:t xml:space="preserve"> </w:t>
      </w:r>
      <w:r>
        <w:rPr>
          <w:sz w:val="20"/>
          <w:szCs w:val="20"/>
        </w:rPr>
        <w:t>¶52</w:t>
      </w:r>
      <w:r w:rsidRPr="00917D68">
        <w:rPr>
          <w:sz w:val="20"/>
          <w:szCs w:val="20"/>
        </w:rPr>
        <w:t xml:space="preserve">.  </w:t>
      </w:r>
    </w:p>
  </w:footnote>
  <w:footnote w:id="91">
    <w:p w:rsidR="005C149E" w:rsidRDefault="005C149E" w:rsidP="00173C79">
      <w:pPr>
        <w:pStyle w:val="FootnoteText"/>
      </w:pPr>
      <w:r w:rsidRPr="005538B4">
        <w:rPr>
          <w:rStyle w:val="FootnoteReference"/>
          <w:u w:val="single"/>
        </w:rPr>
        <w:footnoteRef/>
      </w:r>
      <w:r w:rsidRPr="00F9251E">
        <w:rPr>
          <w:vertAlign w:val="superscript"/>
        </w:rPr>
        <w:t>/</w:t>
      </w:r>
      <w:r>
        <w:t xml:space="preserve"> </w:t>
      </w:r>
      <w:r>
        <w:tab/>
      </w:r>
      <w:r w:rsidRPr="006B001C">
        <w:rPr>
          <w:i/>
        </w:rPr>
        <w:t xml:space="preserve">Id. </w:t>
      </w:r>
      <w:r>
        <w:t xml:space="preserve">at ¶51.  </w:t>
      </w:r>
    </w:p>
  </w:footnote>
  <w:footnote w:id="92">
    <w:p w:rsidR="005C149E" w:rsidRDefault="005C149E" w:rsidP="00173C79">
      <w:pPr>
        <w:pStyle w:val="FootnoteText"/>
      </w:pPr>
      <w:r w:rsidRPr="005538B4">
        <w:rPr>
          <w:rStyle w:val="FootnoteReference"/>
          <w:u w:val="single"/>
        </w:rPr>
        <w:footnoteRef/>
      </w:r>
      <w:r w:rsidRPr="00F9251E">
        <w:rPr>
          <w:vertAlign w:val="superscript"/>
        </w:rPr>
        <w:t>/</w:t>
      </w:r>
      <w:r>
        <w:t xml:space="preserve"> </w:t>
      </w:r>
      <w:r>
        <w:tab/>
        <w:t xml:space="preserve">ICNU and Public Counsel maintain that the contracts were non-contingent as of the time of their execution.  However, to highlight the unreasonableness of PacifiCorp’s failure to disclose its known 2010 REC revenues, ICNU and Public Counsel note that, even by PacifiCorp’s arbitrary standards, the contracts </w:t>
      </w:r>
      <w:r>
        <w:rPr>
          <w:i/>
        </w:rPr>
        <w:t xml:space="preserve">were not </w:t>
      </w:r>
      <w:r>
        <w:t xml:space="preserve">contingent at the time of the evidentiary hearing.  </w:t>
      </w:r>
    </w:p>
  </w:footnote>
  <w:footnote w:id="93">
    <w:p w:rsidR="005C149E" w:rsidRPr="000B4F80" w:rsidRDefault="005C149E" w:rsidP="00A84F78">
      <w:pPr>
        <w:pStyle w:val="WUTCParagraph"/>
        <w:numPr>
          <w:ilvl w:val="0"/>
          <w:numId w:val="0"/>
        </w:numPr>
        <w:spacing w:line="240" w:lineRule="auto"/>
        <w:ind w:left="720" w:hanging="720"/>
        <w:rPr>
          <w:sz w:val="20"/>
          <w:szCs w:val="20"/>
        </w:rPr>
      </w:pPr>
      <w:r w:rsidRPr="000B4F80">
        <w:rPr>
          <w:rStyle w:val="FootnoteReference"/>
          <w:u w:val="single"/>
        </w:rPr>
        <w:footnoteRef/>
      </w:r>
      <w:r w:rsidRPr="000B4F80">
        <w:rPr>
          <w:sz w:val="20"/>
          <w:szCs w:val="20"/>
          <w:vertAlign w:val="superscript"/>
        </w:rPr>
        <w:t>/</w:t>
      </w:r>
      <w:r w:rsidRPr="000B4F80">
        <w:rPr>
          <w:sz w:val="20"/>
          <w:szCs w:val="20"/>
        </w:rPr>
        <w:tab/>
      </w:r>
      <w:r w:rsidRPr="000B4F80">
        <w:rPr>
          <w:i/>
          <w:sz w:val="20"/>
          <w:szCs w:val="20"/>
        </w:rPr>
        <w:t>2009 GRC</w:t>
      </w:r>
      <w:r w:rsidRPr="000B4F80">
        <w:rPr>
          <w:sz w:val="20"/>
          <w:szCs w:val="20"/>
        </w:rPr>
        <w:t>, Evi</w:t>
      </w:r>
      <w:r>
        <w:rPr>
          <w:sz w:val="20"/>
          <w:szCs w:val="20"/>
        </w:rPr>
        <w:t>dentiary Hearing T</w:t>
      </w:r>
      <w:r w:rsidR="003440CA">
        <w:rPr>
          <w:sz w:val="20"/>
          <w:szCs w:val="20"/>
        </w:rPr>
        <w:t>R</w:t>
      </w:r>
      <w:r>
        <w:rPr>
          <w:sz w:val="20"/>
          <w:szCs w:val="20"/>
        </w:rPr>
        <w:t>. at 104:</w:t>
      </w:r>
      <w:r w:rsidRPr="000B4F80">
        <w:rPr>
          <w:sz w:val="20"/>
          <w:szCs w:val="20"/>
        </w:rPr>
        <w:t xml:space="preserve">5-13 (Oct. 29, 2009).   </w:t>
      </w:r>
    </w:p>
  </w:footnote>
  <w:footnote w:id="94">
    <w:p w:rsidR="005C149E" w:rsidRPr="007533B0" w:rsidRDefault="005C149E" w:rsidP="00A84F78">
      <w:pPr>
        <w:pStyle w:val="WUTCParagraph"/>
        <w:numPr>
          <w:ilvl w:val="0"/>
          <w:numId w:val="0"/>
        </w:numPr>
        <w:spacing w:line="240" w:lineRule="auto"/>
        <w:ind w:left="720" w:hanging="720"/>
        <w:rPr>
          <w:sz w:val="20"/>
          <w:szCs w:val="20"/>
        </w:rPr>
      </w:pPr>
      <w:r w:rsidRPr="007533B0">
        <w:rPr>
          <w:rStyle w:val="FootnoteReference"/>
          <w:u w:val="single"/>
        </w:rPr>
        <w:footnoteRef/>
      </w:r>
      <w:r w:rsidRPr="007533B0">
        <w:rPr>
          <w:sz w:val="20"/>
          <w:szCs w:val="20"/>
          <w:vertAlign w:val="superscript"/>
        </w:rPr>
        <w:t>/</w:t>
      </w:r>
      <w:r w:rsidRPr="007533B0">
        <w:rPr>
          <w:sz w:val="20"/>
          <w:szCs w:val="20"/>
        </w:rPr>
        <w:tab/>
      </w:r>
      <w:r w:rsidRPr="007533B0">
        <w:rPr>
          <w:i/>
          <w:sz w:val="20"/>
          <w:szCs w:val="20"/>
        </w:rPr>
        <w:t>Id.</w:t>
      </w:r>
      <w:r>
        <w:rPr>
          <w:sz w:val="20"/>
          <w:szCs w:val="20"/>
        </w:rPr>
        <w:t xml:space="preserve"> at 104:16-25, 105:</w:t>
      </w:r>
      <w:r w:rsidRPr="007533B0">
        <w:rPr>
          <w:sz w:val="20"/>
          <w:szCs w:val="20"/>
        </w:rPr>
        <w:t xml:space="preserve">1-5.  </w:t>
      </w:r>
    </w:p>
  </w:footnote>
  <w:footnote w:id="95">
    <w:p w:rsidR="005C149E" w:rsidRDefault="005C149E" w:rsidP="00173C79">
      <w:pPr>
        <w:pStyle w:val="FootnoteText"/>
      </w:pPr>
      <w:r w:rsidRPr="005538B4">
        <w:rPr>
          <w:rStyle w:val="FootnoteReference"/>
          <w:u w:val="single"/>
        </w:rPr>
        <w:footnoteRef/>
      </w:r>
      <w:r w:rsidRPr="00F9251E">
        <w:rPr>
          <w:vertAlign w:val="superscript"/>
        </w:rPr>
        <w:t>/</w:t>
      </w:r>
      <w:r>
        <w:t xml:space="preserve"> </w:t>
      </w:r>
      <w:r>
        <w:tab/>
        <w:t xml:space="preserve">Motion to </w:t>
      </w:r>
      <w:proofErr w:type="gramStart"/>
      <w:r>
        <w:t>Dismiss</w:t>
      </w:r>
      <w:proofErr w:type="gramEnd"/>
      <w:r>
        <w:t xml:space="preserve"> ¶59.  </w:t>
      </w:r>
    </w:p>
  </w:footnote>
  <w:footnote w:id="96">
    <w:p w:rsidR="005C149E" w:rsidRPr="00530ED0" w:rsidRDefault="005C149E" w:rsidP="008F63B4">
      <w:pPr>
        <w:keepLines/>
        <w:autoSpaceDE w:val="0"/>
        <w:autoSpaceDN w:val="0"/>
        <w:adjustRightInd w:val="0"/>
        <w:spacing w:line="240" w:lineRule="auto"/>
        <w:ind w:left="720" w:hanging="720"/>
        <w:rPr>
          <w:sz w:val="20"/>
        </w:rPr>
      </w:pPr>
      <w:r w:rsidRPr="00EE0D5F">
        <w:rPr>
          <w:rStyle w:val="FootnoteReference"/>
          <w:u w:val="single"/>
        </w:rPr>
        <w:footnoteRef/>
      </w:r>
      <w:r w:rsidRPr="00DA0BB1">
        <w:rPr>
          <w:sz w:val="20"/>
          <w:vertAlign w:val="superscript"/>
        </w:rPr>
        <w:t>/</w:t>
      </w:r>
      <w:r>
        <w:tab/>
      </w:r>
      <w:r w:rsidRPr="007F150C">
        <w:rPr>
          <w:i/>
          <w:sz w:val="20"/>
          <w:szCs w:val="20"/>
        </w:rPr>
        <w:t>WUTC v. Olympic Pipe Line Company</w:t>
      </w:r>
      <w:r w:rsidRPr="007F150C">
        <w:rPr>
          <w:sz w:val="20"/>
          <w:szCs w:val="20"/>
        </w:rPr>
        <w:t xml:space="preserve">, Docket No. </w:t>
      </w:r>
      <w:proofErr w:type="gramStart"/>
      <w:r w:rsidRPr="007F150C">
        <w:rPr>
          <w:sz w:val="20"/>
          <w:szCs w:val="20"/>
        </w:rPr>
        <w:t>TO-011472 ¶30 (July 23, 2002).</w:t>
      </w:r>
      <w:proofErr w:type="gramEnd"/>
      <w:r w:rsidRPr="007F150C">
        <w:rPr>
          <w:sz w:val="20"/>
          <w:szCs w:val="20"/>
        </w:rPr>
        <w:t xml:space="preserve">  </w:t>
      </w:r>
    </w:p>
  </w:footnote>
  <w:footnote w:id="97">
    <w:p w:rsidR="005C149E" w:rsidRPr="002D4B46" w:rsidRDefault="005C149E" w:rsidP="002D4B46">
      <w:pPr>
        <w:keepLines/>
        <w:autoSpaceDE w:val="0"/>
        <w:autoSpaceDN w:val="0"/>
        <w:adjustRightInd w:val="0"/>
        <w:spacing w:line="240" w:lineRule="auto"/>
        <w:ind w:left="720" w:hanging="720"/>
        <w:rPr>
          <w:sz w:val="20"/>
          <w:szCs w:val="20"/>
        </w:rPr>
      </w:pPr>
      <w:r w:rsidRPr="002D4B46">
        <w:rPr>
          <w:rStyle w:val="FootnoteReference"/>
          <w:u w:val="single"/>
        </w:rPr>
        <w:footnoteRef/>
      </w:r>
      <w:r w:rsidRPr="002D4B46">
        <w:rPr>
          <w:sz w:val="20"/>
          <w:szCs w:val="20"/>
          <w:vertAlign w:val="superscript"/>
        </w:rPr>
        <w:t>/</w:t>
      </w:r>
      <w:r w:rsidRPr="002D4B46">
        <w:rPr>
          <w:sz w:val="20"/>
          <w:szCs w:val="20"/>
        </w:rPr>
        <w:tab/>
        <w:t>Joint Complaint, Exhibit C at 7 (</w:t>
      </w:r>
      <w:r w:rsidRPr="002D4B46">
        <w:rPr>
          <w:i/>
          <w:sz w:val="20"/>
          <w:szCs w:val="20"/>
        </w:rPr>
        <w:t>2009 GRC</w:t>
      </w:r>
      <w:r w:rsidRPr="002D4B46">
        <w:rPr>
          <w:sz w:val="20"/>
          <w:szCs w:val="20"/>
        </w:rPr>
        <w:t xml:space="preserve">, ICNU Data Request 2.1 (“ICNU 2.1”)).  </w:t>
      </w:r>
    </w:p>
  </w:footnote>
  <w:footnote w:id="98">
    <w:p w:rsidR="005C149E" w:rsidRDefault="005C149E" w:rsidP="00173C79">
      <w:pPr>
        <w:pStyle w:val="FootnoteText"/>
      </w:pPr>
      <w:r w:rsidRPr="00614916">
        <w:rPr>
          <w:rStyle w:val="FootnoteReference"/>
          <w:u w:val="single"/>
        </w:rPr>
        <w:footnoteRef/>
      </w:r>
      <w:r w:rsidRPr="00F9251E">
        <w:rPr>
          <w:vertAlign w:val="superscript"/>
        </w:rPr>
        <w:t>/</w:t>
      </w:r>
      <w:r>
        <w:t xml:space="preserve"> </w:t>
      </w:r>
      <w:r>
        <w:tab/>
        <w:t xml:space="preserve">Motion to </w:t>
      </w:r>
      <w:proofErr w:type="gramStart"/>
      <w:r>
        <w:t>Dismiss</w:t>
      </w:r>
      <w:proofErr w:type="gramEnd"/>
      <w:r>
        <w:t xml:space="preserve"> ¶56.  </w:t>
      </w:r>
    </w:p>
  </w:footnote>
  <w:footnote w:id="99">
    <w:p w:rsidR="005C149E" w:rsidRPr="002D4B46" w:rsidRDefault="005C149E" w:rsidP="002D4B46">
      <w:pPr>
        <w:keepLines/>
        <w:autoSpaceDE w:val="0"/>
        <w:autoSpaceDN w:val="0"/>
        <w:adjustRightInd w:val="0"/>
        <w:spacing w:line="240" w:lineRule="auto"/>
        <w:ind w:left="720" w:hanging="720"/>
        <w:rPr>
          <w:sz w:val="20"/>
          <w:szCs w:val="20"/>
        </w:rPr>
      </w:pPr>
      <w:r w:rsidRPr="002D4B46">
        <w:rPr>
          <w:rStyle w:val="FootnoteReference"/>
          <w:u w:val="single"/>
        </w:rPr>
        <w:footnoteRef/>
      </w:r>
      <w:r w:rsidRPr="002D4B46">
        <w:rPr>
          <w:sz w:val="20"/>
          <w:szCs w:val="20"/>
          <w:vertAlign w:val="superscript"/>
        </w:rPr>
        <w:t>/</w:t>
      </w:r>
      <w:r w:rsidRPr="002D4B46">
        <w:rPr>
          <w:sz w:val="20"/>
          <w:szCs w:val="20"/>
        </w:rPr>
        <w:tab/>
        <w:t xml:space="preserve">Joint Complaint, Exhibit C at </w:t>
      </w:r>
      <w:r>
        <w:rPr>
          <w:sz w:val="20"/>
          <w:szCs w:val="20"/>
        </w:rPr>
        <w:t>4</w:t>
      </w:r>
      <w:r w:rsidRPr="002D4B46">
        <w:rPr>
          <w:sz w:val="20"/>
          <w:szCs w:val="20"/>
        </w:rPr>
        <w:t xml:space="preserve"> (</w:t>
      </w:r>
      <w:r w:rsidRPr="002D4B46">
        <w:rPr>
          <w:i/>
          <w:sz w:val="20"/>
          <w:szCs w:val="20"/>
        </w:rPr>
        <w:t>2009 GRC</w:t>
      </w:r>
      <w:r w:rsidRPr="002D4B46">
        <w:rPr>
          <w:sz w:val="20"/>
          <w:szCs w:val="20"/>
        </w:rPr>
        <w:t xml:space="preserve">, ICNU Data Request </w:t>
      </w:r>
      <w:r>
        <w:rPr>
          <w:sz w:val="20"/>
          <w:szCs w:val="20"/>
        </w:rPr>
        <w:t>Instructions</w:t>
      </w:r>
      <w:r w:rsidRPr="002D4B46">
        <w:rPr>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49E" w:rsidRDefault="005C149E" w:rsidP="00E0771F">
    <w:pPr>
      <w:pStyle w:val="Header"/>
      <w:spacing w:line="24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2234AC"/>
    <w:lvl w:ilvl="0">
      <w:start w:val="1"/>
      <w:numFmt w:val="decimal"/>
      <w:lvlText w:val="%1."/>
      <w:lvlJc w:val="left"/>
      <w:pPr>
        <w:tabs>
          <w:tab w:val="num" w:pos="1800"/>
        </w:tabs>
        <w:ind w:left="1800" w:hanging="360"/>
      </w:pPr>
    </w:lvl>
  </w:abstractNum>
  <w:abstractNum w:abstractNumId="1">
    <w:nsid w:val="FFFFFF7D"/>
    <w:multiLevelType w:val="singleLevel"/>
    <w:tmpl w:val="E78A2CB8"/>
    <w:lvl w:ilvl="0">
      <w:start w:val="1"/>
      <w:numFmt w:val="decimal"/>
      <w:lvlText w:val="%1."/>
      <w:lvlJc w:val="left"/>
      <w:pPr>
        <w:tabs>
          <w:tab w:val="num" w:pos="1440"/>
        </w:tabs>
        <w:ind w:left="1440" w:hanging="360"/>
      </w:pPr>
    </w:lvl>
  </w:abstractNum>
  <w:abstractNum w:abstractNumId="2">
    <w:nsid w:val="FFFFFF7E"/>
    <w:multiLevelType w:val="singleLevel"/>
    <w:tmpl w:val="5C883DAA"/>
    <w:lvl w:ilvl="0">
      <w:start w:val="1"/>
      <w:numFmt w:val="decimal"/>
      <w:lvlText w:val="%1."/>
      <w:lvlJc w:val="left"/>
      <w:pPr>
        <w:tabs>
          <w:tab w:val="num" w:pos="1080"/>
        </w:tabs>
        <w:ind w:left="1080" w:hanging="360"/>
      </w:pPr>
    </w:lvl>
  </w:abstractNum>
  <w:abstractNum w:abstractNumId="3">
    <w:nsid w:val="FFFFFF7F"/>
    <w:multiLevelType w:val="singleLevel"/>
    <w:tmpl w:val="16701E6C"/>
    <w:lvl w:ilvl="0">
      <w:start w:val="1"/>
      <w:numFmt w:val="decimal"/>
      <w:lvlText w:val="%1."/>
      <w:lvlJc w:val="left"/>
      <w:pPr>
        <w:tabs>
          <w:tab w:val="num" w:pos="720"/>
        </w:tabs>
        <w:ind w:left="720" w:hanging="360"/>
      </w:pPr>
    </w:lvl>
  </w:abstractNum>
  <w:abstractNum w:abstractNumId="4">
    <w:nsid w:val="FFFFFF80"/>
    <w:multiLevelType w:val="singleLevel"/>
    <w:tmpl w:val="6CE895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DBAE9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0185A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95675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8DE627C"/>
    <w:lvl w:ilvl="0">
      <w:start w:val="1"/>
      <w:numFmt w:val="decimal"/>
      <w:lvlText w:val="%1."/>
      <w:lvlJc w:val="left"/>
      <w:pPr>
        <w:tabs>
          <w:tab w:val="num" w:pos="360"/>
        </w:tabs>
        <w:ind w:left="360" w:hanging="360"/>
      </w:pPr>
    </w:lvl>
  </w:abstractNum>
  <w:abstractNum w:abstractNumId="9">
    <w:nsid w:val="FFFFFF89"/>
    <w:multiLevelType w:val="singleLevel"/>
    <w:tmpl w:val="1A9C3CD4"/>
    <w:lvl w:ilvl="0">
      <w:start w:val="1"/>
      <w:numFmt w:val="bullet"/>
      <w:lvlText w:val=""/>
      <w:lvlJc w:val="left"/>
      <w:pPr>
        <w:tabs>
          <w:tab w:val="num" w:pos="360"/>
        </w:tabs>
        <w:ind w:left="360" w:hanging="360"/>
      </w:pPr>
      <w:rPr>
        <w:rFonts w:ascii="Symbol" w:hAnsi="Symbol" w:hint="default"/>
      </w:rPr>
    </w:lvl>
  </w:abstractNum>
  <w:abstractNum w:abstractNumId="10">
    <w:nsid w:val="0227487E"/>
    <w:multiLevelType w:val="hybridMultilevel"/>
    <w:tmpl w:val="F91EBBB4"/>
    <w:lvl w:ilvl="0" w:tplc="724C5D1A">
      <w:start w:val="1"/>
      <w:numFmt w:val="decimal"/>
      <w:pStyle w:val="ResponseHeader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8F376C7"/>
    <w:multiLevelType w:val="hybridMultilevel"/>
    <w:tmpl w:val="B30A1F20"/>
    <w:lvl w:ilvl="0" w:tplc="4F6C7C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0B0526"/>
    <w:multiLevelType w:val="hybridMultilevel"/>
    <w:tmpl w:val="EA707720"/>
    <w:lvl w:ilvl="0" w:tplc="6B308CE0">
      <w:start w:val="1"/>
      <w:numFmt w:val="decimal"/>
      <w:pStyle w:val="WUTCParagraph"/>
      <w:lvlText w:val="%1"/>
      <w:lvlJc w:val="left"/>
      <w:pPr>
        <w:ind w:left="360" w:hanging="360"/>
      </w:pPr>
      <w:rPr>
        <w:rFonts w:hint="default"/>
        <w:b w:val="0"/>
        <w:i/>
        <w:sz w:val="18"/>
        <w:vertAlign w:val="baseline"/>
      </w:rPr>
    </w:lvl>
    <w:lvl w:ilvl="1" w:tplc="63EE1410">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32526EE"/>
    <w:multiLevelType w:val="hybridMultilevel"/>
    <w:tmpl w:val="84286D9A"/>
    <w:lvl w:ilvl="0" w:tplc="05DE77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3B7D8E"/>
    <w:multiLevelType w:val="multilevel"/>
    <w:tmpl w:val="0409001D"/>
    <w:styleLink w:val="Style2"/>
    <w:lvl w:ilvl="0">
      <w:start w:val="1"/>
      <w:numFmt w:val="decimal"/>
      <w:lvlText w:val="%1)"/>
      <w:lvlJc w:val="left"/>
      <w:pPr>
        <w:ind w:left="360" w:hanging="360"/>
      </w:pPr>
      <w:rPr>
        <w:rFonts w:ascii="Times New Roman" w:hAnsi="Times New Roman"/>
        <w: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EFD0C77"/>
    <w:multiLevelType w:val="hybridMultilevel"/>
    <w:tmpl w:val="D4320A08"/>
    <w:lvl w:ilvl="0" w:tplc="1FECF3A0">
      <w:start w:val="1"/>
      <w:numFmt w:val="upperLetter"/>
      <w:lvlText w:val="%1."/>
      <w:lvlJc w:val="left"/>
      <w:pPr>
        <w:ind w:left="72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3461B0"/>
    <w:multiLevelType w:val="multilevel"/>
    <w:tmpl w:val="F35C989A"/>
    <w:lvl w:ilvl="0">
      <w:start w:val="1"/>
      <w:numFmt w:val="upperRoman"/>
      <w:pStyle w:val="Heading1"/>
      <w:lvlText w:val="%1."/>
      <w:lvlJc w:val="left"/>
      <w:pPr>
        <w:tabs>
          <w:tab w:val="num" w:pos="0"/>
        </w:tabs>
        <w:ind w:left="720" w:hanging="720"/>
      </w:pPr>
      <w:rPr>
        <w:rFonts w:ascii="Times New Roman" w:eastAsia="Times New Roman" w:hAnsi="Times New Roman" w:hint="default"/>
        <w:b/>
        <w:bCs/>
        <w:i w:val="0"/>
        <w:iCs w:val="0"/>
        <w:sz w:val="24"/>
        <w:szCs w:val="24"/>
      </w:rPr>
    </w:lvl>
    <w:lvl w:ilvl="1">
      <w:start w:val="1"/>
      <w:numFmt w:val="upperLetter"/>
      <w:pStyle w:val="Heading2"/>
      <w:lvlText w:val="%2."/>
      <w:lvlJc w:val="left"/>
      <w:pPr>
        <w:tabs>
          <w:tab w:val="num" w:pos="1440"/>
        </w:tabs>
        <w:ind w:left="1440" w:hanging="720"/>
      </w:pPr>
      <w:rPr>
        <w:rFonts w:ascii="Times New Roman" w:hAnsi="Times New Roman" w:cs="Times New Roman" w:hint="default"/>
        <w:b/>
        <w:bCs/>
        <w:i w:val="0"/>
        <w:iCs w:val="0"/>
        <w:sz w:val="24"/>
        <w:szCs w:val="24"/>
        <w:u w:val="none"/>
      </w:rPr>
    </w:lvl>
    <w:lvl w:ilvl="2">
      <w:start w:val="1"/>
      <w:numFmt w:val="decimal"/>
      <w:pStyle w:val="Heading3"/>
      <w:lvlText w:val="%3."/>
      <w:lvlJc w:val="left"/>
      <w:pPr>
        <w:tabs>
          <w:tab w:val="num" w:pos="2160"/>
        </w:tabs>
        <w:ind w:left="2160" w:hanging="720"/>
      </w:pPr>
      <w:rPr>
        <w:rFonts w:ascii="Times New Roman" w:hAnsi="Times New Roman" w:cs="Times New Roman" w:hint="default"/>
        <w:b/>
        <w:bCs/>
        <w:i w:val="0"/>
        <w:iCs w:val="0"/>
        <w:sz w:val="24"/>
        <w:szCs w:val="24"/>
      </w:rPr>
    </w:lvl>
    <w:lvl w:ilvl="3">
      <w:start w:val="1"/>
      <w:numFmt w:val="lowerLetter"/>
      <w:pStyle w:val="Heading4"/>
      <w:lvlText w:val="%4)"/>
      <w:lvlJc w:val="left"/>
      <w:pPr>
        <w:tabs>
          <w:tab w:val="num" w:pos="2880"/>
        </w:tabs>
        <w:ind w:left="2160"/>
      </w:pPr>
      <w:rPr>
        <w:rFonts w:ascii="Times New Roman Bold" w:hAnsi="Times New Roman Bold" w:cs="Times New Roman Bold" w:hint="default"/>
        <w:b/>
        <w:bCs/>
        <w:i w:val="0"/>
        <w:iCs w:val="0"/>
        <w:sz w:val="24"/>
        <w:szCs w:val="24"/>
        <w:u w:val="none"/>
      </w:rPr>
    </w:lvl>
    <w:lvl w:ilvl="4">
      <w:start w:val="1"/>
      <w:numFmt w:val="decimal"/>
      <w:pStyle w:val="Heading5"/>
      <w:lvlText w:val="(%5)"/>
      <w:lvlJc w:val="left"/>
      <w:pPr>
        <w:tabs>
          <w:tab w:val="num" w:pos="3240"/>
        </w:tabs>
        <w:ind w:left="2880"/>
      </w:pPr>
      <w:rPr>
        <w:rFonts w:hint="default"/>
      </w:rPr>
    </w:lvl>
    <w:lvl w:ilvl="5">
      <w:start w:val="1"/>
      <w:numFmt w:val="lowerLetter"/>
      <w:pStyle w:val="Heading6"/>
      <w:lvlText w:val="(%6)"/>
      <w:lvlJc w:val="left"/>
      <w:pPr>
        <w:tabs>
          <w:tab w:val="num" w:pos="3960"/>
        </w:tabs>
        <w:ind w:left="3600"/>
      </w:pPr>
      <w:rPr>
        <w:rFonts w:hint="default"/>
      </w:rPr>
    </w:lvl>
    <w:lvl w:ilvl="6">
      <w:start w:val="1"/>
      <w:numFmt w:val="lowerRoman"/>
      <w:pStyle w:val="Heading7"/>
      <w:lvlText w:val="(%7)"/>
      <w:lvlJc w:val="left"/>
      <w:pPr>
        <w:tabs>
          <w:tab w:val="num" w:pos="4680"/>
        </w:tabs>
        <w:ind w:left="432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pStyle w:val="Heading9"/>
      <w:lvlText w:val="(%9)"/>
      <w:lvlJc w:val="left"/>
      <w:pPr>
        <w:tabs>
          <w:tab w:val="num" w:pos="6120"/>
        </w:tabs>
        <w:ind w:left="5760"/>
      </w:pPr>
      <w:rPr>
        <w:rFonts w:hint="default"/>
      </w:rPr>
    </w:lvl>
  </w:abstractNum>
  <w:abstractNum w:abstractNumId="17">
    <w:nsid w:val="5FD81CFF"/>
    <w:multiLevelType w:val="hybridMultilevel"/>
    <w:tmpl w:val="3DB487A4"/>
    <w:lvl w:ilvl="0" w:tplc="01160416">
      <w:start w:val="1"/>
      <w:numFmt w:val="decimal"/>
      <w:pStyle w:val="AutoNumBodyCharCharCharChar"/>
      <w:lvlText w:val="%1"/>
      <w:lvlJc w:val="left"/>
      <w:pPr>
        <w:tabs>
          <w:tab w:val="num" w:pos="720"/>
        </w:tabs>
        <w:ind w:left="720" w:hanging="720"/>
      </w:pPr>
      <w:rPr>
        <w:rFonts w:ascii="Times New Roman" w:hAnsi="Times New Roman" w:cs="Times New Roman" w:hint="default"/>
        <w:b w:val="0"/>
        <w:bCs w:val="0"/>
        <w:i/>
        <w:iCs/>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2A9289A"/>
    <w:multiLevelType w:val="singleLevel"/>
    <w:tmpl w:val="DE04EA5E"/>
    <w:lvl w:ilvl="0">
      <w:start w:val="1"/>
      <w:numFmt w:val="none"/>
      <w:pStyle w:val="Answer"/>
      <w:lvlText w:val="%1A."/>
      <w:lvlJc w:val="left"/>
      <w:pPr>
        <w:tabs>
          <w:tab w:val="num" w:pos="720"/>
        </w:tabs>
        <w:ind w:left="720" w:hanging="720"/>
      </w:pPr>
      <w:rPr>
        <w:rFonts w:ascii="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abstractNum>
  <w:abstractNum w:abstractNumId="19">
    <w:nsid w:val="6A57593B"/>
    <w:multiLevelType w:val="multilevel"/>
    <w:tmpl w:val="804EADA2"/>
    <w:lvl w:ilvl="0">
      <w:start w:val="1"/>
      <w:numFmt w:val="none"/>
      <w:pStyle w:val="ANSWER0"/>
      <w:lvlText w:val="A."/>
      <w:lvlJc w:val="left"/>
      <w:pPr>
        <w:tabs>
          <w:tab w:val="num" w:pos="720"/>
        </w:tabs>
        <w:ind w:left="720" w:hanging="720"/>
      </w:pPr>
      <w:rPr>
        <w:rFonts w:ascii="Times New Roman" w:hAnsi="Times New Roman" w:cs="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8DE2A37"/>
    <w:multiLevelType w:val="hybridMultilevel"/>
    <w:tmpl w:val="3D9ACED4"/>
    <w:lvl w:ilvl="0" w:tplc="E000E394">
      <w:start w:val="1"/>
      <w:numFmt w:val="decimal"/>
      <w:pStyle w:val="ResponseHeader2"/>
      <w:lvlText w:val="%1."/>
      <w:lvlJc w:val="left"/>
      <w:pPr>
        <w:ind w:left="720" w:hanging="360"/>
      </w:pPr>
      <w:rPr>
        <w:rFonts w:hint="default"/>
      </w:rPr>
    </w:lvl>
    <w:lvl w:ilvl="1" w:tplc="012C6796">
      <w:start w:val="1"/>
      <w:numFmt w:val="lowerLetter"/>
      <w:pStyle w:val="ResponseHeader4"/>
      <w:lvlText w:val="%2."/>
      <w:lvlJc w:val="left"/>
      <w:pPr>
        <w:ind w:left="1710" w:hanging="360"/>
      </w:pPr>
    </w:lvl>
    <w:lvl w:ilvl="2" w:tplc="84C623FC">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9F0E67"/>
    <w:multiLevelType w:val="hybridMultilevel"/>
    <w:tmpl w:val="02D2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807F3D"/>
    <w:multiLevelType w:val="hybridMultilevel"/>
    <w:tmpl w:val="9A26277C"/>
    <w:lvl w:ilvl="0" w:tplc="7972A4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18"/>
  </w:num>
  <w:num w:numId="4">
    <w:abstractNumId w:val="19"/>
  </w:num>
  <w:num w:numId="5">
    <w:abstractNumId w:val="14"/>
  </w:num>
  <w:num w:numId="6">
    <w:abstractNumId w:val="12"/>
  </w:num>
  <w:num w:numId="7">
    <w:abstractNumId w:val="11"/>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num>
  <w:num w:numId="11">
    <w:abstractNumId w:val="12"/>
    <w:lvlOverride w:ilvl="0">
      <w:startOverride w:val="1"/>
    </w:lvlOverride>
    <w:lvlOverride w:ilvl="1">
      <w:startOverride w:val="3"/>
    </w:lvlOverride>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0"/>
  </w:num>
  <w:num w:numId="25">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224"/>
  <w:stylePaneSortMethod w:val="0000"/>
  <w:defaultTabStop w:val="720"/>
  <w:consecutiveHyphenLimit w:val="2"/>
  <w:doNotHyphenateCaps/>
  <w:drawingGridHorizontalSpacing w:val="12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rsids>
    <w:rsidRoot w:val="00CB32A3"/>
    <w:rsid w:val="00000ED0"/>
    <w:rsid w:val="000011D8"/>
    <w:rsid w:val="000013BA"/>
    <w:rsid w:val="0000187C"/>
    <w:rsid w:val="0000209B"/>
    <w:rsid w:val="00004DAA"/>
    <w:rsid w:val="00006829"/>
    <w:rsid w:val="00007342"/>
    <w:rsid w:val="000104C7"/>
    <w:rsid w:val="0001104A"/>
    <w:rsid w:val="000110D6"/>
    <w:rsid w:val="0001147C"/>
    <w:rsid w:val="00011A75"/>
    <w:rsid w:val="00012399"/>
    <w:rsid w:val="000131F3"/>
    <w:rsid w:val="00014A9A"/>
    <w:rsid w:val="00016B1D"/>
    <w:rsid w:val="00017510"/>
    <w:rsid w:val="00017DE5"/>
    <w:rsid w:val="0002221F"/>
    <w:rsid w:val="00023B5D"/>
    <w:rsid w:val="00024156"/>
    <w:rsid w:val="000246A7"/>
    <w:rsid w:val="00024F60"/>
    <w:rsid w:val="0002577A"/>
    <w:rsid w:val="000268F0"/>
    <w:rsid w:val="00026A97"/>
    <w:rsid w:val="00026E9D"/>
    <w:rsid w:val="00026F2A"/>
    <w:rsid w:val="00027A85"/>
    <w:rsid w:val="00030532"/>
    <w:rsid w:val="00030825"/>
    <w:rsid w:val="000312B4"/>
    <w:rsid w:val="00033BC3"/>
    <w:rsid w:val="00033EDD"/>
    <w:rsid w:val="00033FEE"/>
    <w:rsid w:val="00034C9B"/>
    <w:rsid w:val="0003543D"/>
    <w:rsid w:val="00035A2B"/>
    <w:rsid w:val="00036E63"/>
    <w:rsid w:val="000400ED"/>
    <w:rsid w:val="00040E26"/>
    <w:rsid w:val="0004101C"/>
    <w:rsid w:val="0004133F"/>
    <w:rsid w:val="00042EF7"/>
    <w:rsid w:val="0004351F"/>
    <w:rsid w:val="00043D55"/>
    <w:rsid w:val="00044E2B"/>
    <w:rsid w:val="000459BB"/>
    <w:rsid w:val="00046E39"/>
    <w:rsid w:val="000470EF"/>
    <w:rsid w:val="00050DD2"/>
    <w:rsid w:val="0005137E"/>
    <w:rsid w:val="000521A2"/>
    <w:rsid w:val="00052BB0"/>
    <w:rsid w:val="00053A82"/>
    <w:rsid w:val="00055D2E"/>
    <w:rsid w:val="0005634F"/>
    <w:rsid w:val="0005678A"/>
    <w:rsid w:val="00056827"/>
    <w:rsid w:val="00056C74"/>
    <w:rsid w:val="00057D09"/>
    <w:rsid w:val="000604B1"/>
    <w:rsid w:val="000606C4"/>
    <w:rsid w:val="00061D44"/>
    <w:rsid w:val="00061F8E"/>
    <w:rsid w:val="00062046"/>
    <w:rsid w:val="00063711"/>
    <w:rsid w:val="000638EA"/>
    <w:rsid w:val="00064D33"/>
    <w:rsid w:val="00065582"/>
    <w:rsid w:val="000664CA"/>
    <w:rsid w:val="00066C8A"/>
    <w:rsid w:val="00066CA3"/>
    <w:rsid w:val="00067251"/>
    <w:rsid w:val="000673E2"/>
    <w:rsid w:val="000678ED"/>
    <w:rsid w:val="000709AF"/>
    <w:rsid w:val="00070AAD"/>
    <w:rsid w:val="00071782"/>
    <w:rsid w:val="0007179E"/>
    <w:rsid w:val="00071836"/>
    <w:rsid w:val="00071DF3"/>
    <w:rsid w:val="00072306"/>
    <w:rsid w:val="00072B5D"/>
    <w:rsid w:val="0007361D"/>
    <w:rsid w:val="00073A7A"/>
    <w:rsid w:val="00074647"/>
    <w:rsid w:val="000749A5"/>
    <w:rsid w:val="00074D7A"/>
    <w:rsid w:val="00075133"/>
    <w:rsid w:val="000756E4"/>
    <w:rsid w:val="00075EC8"/>
    <w:rsid w:val="00076367"/>
    <w:rsid w:val="00076611"/>
    <w:rsid w:val="000769E3"/>
    <w:rsid w:val="00080B42"/>
    <w:rsid w:val="00081B2D"/>
    <w:rsid w:val="00082BC2"/>
    <w:rsid w:val="00082E5E"/>
    <w:rsid w:val="000837C8"/>
    <w:rsid w:val="000840D2"/>
    <w:rsid w:val="000844A2"/>
    <w:rsid w:val="00085587"/>
    <w:rsid w:val="000863E7"/>
    <w:rsid w:val="00086E18"/>
    <w:rsid w:val="00087F5C"/>
    <w:rsid w:val="00091928"/>
    <w:rsid w:val="00093242"/>
    <w:rsid w:val="000937DD"/>
    <w:rsid w:val="00093970"/>
    <w:rsid w:val="00093A2C"/>
    <w:rsid w:val="00094878"/>
    <w:rsid w:val="00096086"/>
    <w:rsid w:val="000970A0"/>
    <w:rsid w:val="000976D8"/>
    <w:rsid w:val="000977FC"/>
    <w:rsid w:val="00097BDD"/>
    <w:rsid w:val="000A0BF3"/>
    <w:rsid w:val="000A583C"/>
    <w:rsid w:val="000A5DA8"/>
    <w:rsid w:val="000A6323"/>
    <w:rsid w:val="000A70AF"/>
    <w:rsid w:val="000A7AFF"/>
    <w:rsid w:val="000B0FDA"/>
    <w:rsid w:val="000B16B2"/>
    <w:rsid w:val="000B2D87"/>
    <w:rsid w:val="000B4090"/>
    <w:rsid w:val="000B4611"/>
    <w:rsid w:val="000B4A56"/>
    <w:rsid w:val="000B4F80"/>
    <w:rsid w:val="000B5F41"/>
    <w:rsid w:val="000B6E14"/>
    <w:rsid w:val="000B7369"/>
    <w:rsid w:val="000C045D"/>
    <w:rsid w:val="000C08EA"/>
    <w:rsid w:val="000C0902"/>
    <w:rsid w:val="000C0D68"/>
    <w:rsid w:val="000C29A5"/>
    <w:rsid w:val="000C2B99"/>
    <w:rsid w:val="000C2E23"/>
    <w:rsid w:val="000C3224"/>
    <w:rsid w:val="000C3473"/>
    <w:rsid w:val="000C3E49"/>
    <w:rsid w:val="000C48AF"/>
    <w:rsid w:val="000C5534"/>
    <w:rsid w:val="000C556B"/>
    <w:rsid w:val="000D071F"/>
    <w:rsid w:val="000D0962"/>
    <w:rsid w:val="000D0E8F"/>
    <w:rsid w:val="000D137D"/>
    <w:rsid w:val="000D249D"/>
    <w:rsid w:val="000D2A98"/>
    <w:rsid w:val="000D36E5"/>
    <w:rsid w:val="000D3BDE"/>
    <w:rsid w:val="000D442F"/>
    <w:rsid w:val="000D46CC"/>
    <w:rsid w:val="000D4B9C"/>
    <w:rsid w:val="000D5256"/>
    <w:rsid w:val="000D6235"/>
    <w:rsid w:val="000D72CA"/>
    <w:rsid w:val="000D761E"/>
    <w:rsid w:val="000D7642"/>
    <w:rsid w:val="000D7B25"/>
    <w:rsid w:val="000E07AA"/>
    <w:rsid w:val="000E1052"/>
    <w:rsid w:val="000E16D7"/>
    <w:rsid w:val="000E214A"/>
    <w:rsid w:val="000E2419"/>
    <w:rsid w:val="000E2694"/>
    <w:rsid w:val="000E2A41"/>
    <w:rsid w:val="000E5F93"/>
    <w:rsid w:val="000E7919"/>
    <w:rsid w:val="000E7F44"/>
    <w:rsid w:val="000F0600"/>
    <w:rsid w:val="000F0B15"/>
    <w:rsid w:val="000F18FF"/>
    <w:rsid w:val="000F2426"/>
    <w:rsid w:val="000F2525"/>
    <w:rsid w:val="000F4866"/>
    <w:rsid w:val="000F5D68"/>
    <w:rsid w:val="000F7D2F"/>
    <w:rsid w:val="0010123C"/>
    <w:rsid w:val="0010159C"/>
    <w:rsid w:val="001028C8"/>
    <w:rsid w:val="00102951"/>
    <w:rsid w:val="00102E70"/>
    <w:rsid w:val="001030DF"/>
    <w:rsid w:val="00103A5E"/>
    <w:rsid w:val="00103CEA"/>
    <w:rsid w:val="001047F8"/>
    <w:rsid w:val="00106A44"/>
    <w:rsid w:val="0011049D"/>
    <w:rsid w:val="0011132C"/>
    <w:rsid w:val="00111774"/>
    <w:rsid w:val="00111E53"/>
    <w:rsid w:val="00112C04"/>
    <w:rsid w:val="0011317A"/>
    <w:rsid w:val="001138F5"/>
    <w:rsid w:val="00114064"/>
    <w:rsid w:val="00114C5A"/>
    <w:rsid w:val="00117FF6"/>
    <w:rsid w:val="0012249C"/>
    <w:rsid w:val="00122A37"/>
    <w:rsid w:val="00123032"/>
    <w:rsid w:val="001231AC"/>
    <w:rsid w:val="001231EE"/>
    <w:rsid w:val="00124300"/>
    <w:rsid w:val="001248CF"/>
    <w:rsid w:val="00124F2F"/>
    <w:rsid w:val="0012500E"/>
    <w:rsid w:val="00125D18"/>
    <w:rsid w:val="0012783B"/>
    <w:rsid w:val="00130B97"/>
    <w:rsid w:val="001319E0"/>
    <w:rsid w:val="001328C9"/>
    <w:rsid w:val="00132AD3"/>
    <w:rsid w:val="00132D64"/>
    <w:rsid w:val="0013354C"/>
    <w:rsid w:val="001344DE"/>
    <w:rsid w:val="001349E0"/>
    <w:rsid w:val="00137361"/>
    <w:rsid w:val="001379D1"/>
    <w:rsid w:val="0014053C"/>
    <w:rsid w:val="001410CF"/>
    <w:rsid w:val="00142199"/>
    <w:rsid w:val="00142FE7"/>
    <w:rsid w:val="001438B4"/>
    <w:rsid w:val="00144F5B"/>
    <w:rsid w:val="00144FBD"/>
    <w:rsid w:val="0014589E"/>
    <w:rsid w:val="001459DC"/>
    <w:rsid w:val="0014635F"/>
    <w:rsid w:val="00147F3E"/>
    <w:rsid w:val="001509E5"/>
    <w:rsid w:val="00150DF7"/>
    <w:rsid w:val="001519C2"/>
    <w:rsid w:val="00152B3B"/>
    <w:rsid w:val="00153DF5"/>
    <w:rsid w:val="001541E0"/>
    <w:rsid w:val="001546CF"/>
    <w:rsid w:val="00155E4C"/>
    <w:rsid w:val="00155EE0"/>
    <w:rsid w:val="00156567"/>
    <w:rsid w:val="00156644"/>
    <w:rsid w:val="00157E8C"/>
    <w:rsid w:val="00160263"/>
    <w:rsid w:val="001607FC"/>
    <w:rsid w:val="001630AE"/>
    <w:rsid w:val="0016315D"/>
    <w:rsid w:val="00164550"/>
    <w:rsid w:val="001658E2"/>
    <w:rsid w:val="00165EC7"/>
    <w:rsid w:val="00166D53"/>
    <w:rsid w:val="001700A2"/>
    <w:rsid w:val="00170639"/>
    <w:rsid w:val="00170E3B"/>
    <w:rsid w:val="00171694"/>
    <w:rsid w:val="001717CC"/>
    <w:rsid w:val="00171E6C"/>
    <w:rsid w:val="00172C65"/>
    <w:rsid w:val="001734D5"/>
    <w:rsid w:val="0017356A"/>
    <w:rsid w:val="00173C79"/>
    <w:rsid w:val="00174282"/>
    <w:rsid w:val="001750A1"/>
    <w:rsid w:val="0017545F"/>
    <w:rsid w:val="001754B3"/>
    <w:rsid w:val="0017607B"/>
    <w:rsid w:val="001761AE"/>
    <w:rsid w:val="00176941"/>
    <w:rsid w:val="00177C75"/>
    <w:rsid w:val="00180ED3"/>
    <w:rsid w:val="00181426"/>
    <w:rsid w:val="00181C28"/>
    <w:rsid w:val="00184E00"/>
    <w:rsid w:val="00184E8F"/>
    <w:rsid w:val="0018590F"/>
    <w:rsid w:val="001869A2"/>
    <w:rsid w:val="0018700B"/>
    <w:rsid w:val="00187B9E"/>
    <w:rsid w:val="001904CE"/>
    <w:rsid w:val="00190C09"/>
    <w:rsid w:val="00190DD0"/>
    <w:rsid w:val="001920CA"/>
    <w:rsid w:val="00192AA1"/>
    <w:rsid w:val="00192F87"/>
    <w:rsid w:val="00193017"/>
    <w:rsid w:val="00193147"/>
    <w:rsid w:val="00193D51"/>
    <w:rsid w:val="00194B47"/>
    <w:rsid w:val="00194B88"/>
    <w:rsid w:val="00195131"/>
    <w:rsid w:val="00195962"/>
    <w:rsid w:val="0019688C"/>
    <w:rsid w:val="00196AEA"/>
    <w:rsid w:val="001A00B0"/>
    <w:rsid w:val="001A080F"/>
    <w:rsid w:val="001A0E3A"/>
    <w:rsid w:val="001A2AB0"/>
    <w:rsid w:val="001A315E"/>
    <w:rsid w:val="001A3BA3"/>
    <w:rsid w:val="001A3D83"/>
    <w:rsid w:val="001A3DE8"/>
    <w:rsid w:val="001A770F"/>
    <w:rsid w:val="001A7CA5"/>
    <w:rsid w:val="001A7D29"/>
    <w:rsid w:val="001A7E0E"/>
    <w:rsid w:val="001B011C"/>
    <w:rsid w:val="001B0E75"/>
    <w:rsid w:val="001B17C1"/>
    <w:rsid w:val="001B19E5"/>
    <w:rsid w:val="001B1EF2"/>
    <w:rsid w:val="001B39B5"/>
    <w:rsid w:val="001B40B3"/>
    <w:rsid w:val="001B54AA"/>
    <w:rsid w:val="001B5721"/>
    <w:rsid w:val="001B5B86"/>
    <w:rsid w:val="001B6709"/>
    <w:rsid w:val="001B7878"/>
    <w:rsid w:val="001C05D8"/>
    <w:rsid w:val="001C1564"/>
    <w:rsid w:val="001C1E11"/>
    <w:rsid w:val="001C3C30"/>
    <w:rsid w:val="001C4251"/>
    <w:rsid w:val="001C4289"/>
    <w:rsid w:val="001C4617"/>
    <w:rsid w:val="001C50F8"/>
    <w:rsid w:val="001C55BA"/>
    <w:rsid w:val="001C786F"/>
    <w:rsid w:val="001D19F8"/>
    <w:rsid w:val="001D1AE7"/>
    <w:rsid w:val="001D383F"/>
    <w:rsid w:val="001D3AE8"/>
    <w:rsid w:val="001D3E36"/>
    <w:rsid w:val="001D471E"/>
    <w:rsid w:val="001D5E8F"/>
    <w:rsid w:val="001D642C"/>
    <w:rsid w:val="001D6722"/>
    <w:rsid w:val="001D6753"/>
    <w:rsid w:val="001E065B"/>
    <w:rsid w:val="001E1406"/>
    <w:rsid w:val="001E1692"/>
    <w:rsid w:val="001E1D8F"/>
    <w:rsid w:val="001E2A92"/>
    <w:rsid w:val="001E2C45"/>
    <w:rsid w:val="001E2E23"/>
    <w:rsid w:val="001E32F3"/>
    <w:rsid w:val="001E382C"/>
    <w:rsid w:val="001E41EB"/>
    <w:rsid w:val="001E4216"/>
    <w:rsid w:val="001E48DC"/>
    <w:rsid w:val="001E59A2"/>
    <w:rsid w:val="001E5EB5"/>
    <w:rsid w:val="001E6656"/>
    <w:rsid w:val="001E781E"/>
    <w:rsid w:val="001E7C0D"/>
    <w:rsid w:val="001F0658"/>
    <w:rsid w:val="001F089E"/>
    <w:rsid w:val="001F12D8"/>
    <w:rsid w:val="001F1B3A"/>
    <w:rsid w:val="001F26B4"/>
    <w:rsid w:val="001F37D1"/>
    <w:rsid w:val="001F4219"/>
    <w:rsid w:val="001F445E"/>
    <w:rsid w:val="001F48CE"/>
    <w:rsid w:val="001F7AF1"/>
    <w:rsid w:val="001F7EDF"/>
    <w:rsid w:val="00202252"/>
    <w:rsid w:val="00202492"/>
    <w:rsid w:val="00202D3E"/>
    <w:rsid w:val="002034D7"/>
    <w:rsid w:val="00204F25"/>
    <w:rsid w:val="002056F1"/>
    <w:rsid w:val="00205C79"/>
    <w:rsid w:val="0020604E"/>
    <w:rsid w:val="00206BA8"/>
    <w:rsid w:val="00206E29"/>
    <w:rsid w:val="00207911"/>
    <w:rsid w:val="0021042C"/>
    <w:rsid w:val="00210449"/>
    <w:rsid w:val="00210D91"/>
    <w:rsid w:val="00211CBB"/>
    <w:rsid w:val="00212EE9"/>
    <w:rsid w:val="0021305A"/>
    <w:rsid w:val="002142A7"/>
    <w:rsid w:val="002154BD"/>
    <w:rsid w:val="002155DA"/>
    <w:rsid w:val="00216027"/>
    <w:rsid w:val="0021685E"/>
    <w:rsid w:val="00217A41"/>
    <w:rsid w:val="00217B4B"/>
    <w:rsid w:val="00217D5D"/>
    <w:rsid w:val="0022140B"/>
    <w:rsid w:val="00221906"/>
    <w:rsid w:val="00222628"/>
    <w:rsid w:val="00222B19"/>
    <w:rsid w:val="00224AB7"/>
    <w:rsid w:val="00225D1A"/>
    <w:rsid w:val="00225FDD"/>
    <w:rsid w:val="00226E32"/>
    <w:rsid w:val="00227944"/>
    <w:rsid w:val="002279F2"/>
    <w:rsid w:val="00227EE6"/>
    <w:rsid w:val="0023162E"/>
    <w:rsid w:val="00232613"/>
    <w:rsid w:val="00232A45"/>
    <w:rsid w:val="002352EF"/>
    <w:rsid w:val="002358E2"/>
    <w:rsid w:val="00237DB1"/>
    <w:rsid w:val="00240313"/>
    <w:rsid w:val="002405E1"/>
    <w:rsid w:val="00240E87"/>
    <w:rsid w:val="00242724"/>
    <w:rsid w:val="00242BF9"/>
    <w:rsid w:val="00242EA6"/>
    <w:rsid w:val="002438D9"/>
    <w:rsid w:val="00245C0D"/>
    <w:rsid w:val="00247CE2"/>
    <w:rsid w:val="002509A1"/>
    <w:rsid w:val="00251AD5"/>
    <w:rsid w:val="0025232D"/>
    <w:rsid w:val="00252F10"/>
    <w:rsid w:val="00252F45"/>
    <w:rsid w:val="00253C00"/>
    <w:rsid w:val="00254657"/>
    <w:rsid w:val="0025540F"/>
    <w:rsid w:val="002573FE"/>
    <w:rsid w:val="00260780"/>
    <w:rsid w:val="00260B02"/>
    <w:rsid w:val="00260E99"/>
    <w:rsid w:val="00260FDF"/>
    <w:rsid w:val="002614CA"/>
    <w:rsid w:val="00261D29"/>
    <w:rsid w:val="002647C3"/>
    <w:rsid w:val="00264936"/>
    <w:rsid w:val="00265478"/>
    <w:rsid w:val="002654A0"/>
    <w:rsid w:val="00266929"/>
    <w:rsid w:val="00267592"/>
    <w:rsid w:val="00267754"/>
    <w:rsid w:val="002703EB"/>
    <w:rsid w:val="00270402"/>
    <w:rsid w:val="0027075C"/>
    <w:rsid w:val="002711D0"/>
    <w:rsid w:val="00273646"/>
    <w:rsid w:val="00275530"/>
    <w:rsid w:val="00276CB6"/>
    <w:rsid w:val="002819BD"/>
    <w:rsid w:val="00281B8E"/>
    <w:rsid w:val="00282C0A"/>
    <w:rsid w:val="0028348E"/>
    <w:rsid w:val="00283DA8"/>
    <w:rsid w:val="002848EE"/>
    <w:rsid w:val="002850F8"/>
    <w:rsid w:val="00285BB1"/>
    <w:rsid w:val="00286218"/>
    <w:rsid w:val="0028670E"/>
    <w:rsid w:val="002869D7"/>
    <w:rsid w:val="0028731B"/>
    <w:rsid w:val="002879D4"/>
    <w:rsid w:val="002905CD"/>
    <w:rsid w:val="002905F4"/>
    <w:rsid w:val="00290835"/>
    <w:rsid w:val="00291A86"/>
    <w:rsid w:val="00292649"/>
    <w:rsid w:val="00292A16"/>
    <w:rsid w:val="002930CF"/>
    <w:rsid w:val="002939A2"/>
    <w:rsid w:val="00294D48"/>
    <w:rsid w:val="00296855"/>
    <w:rsid w:val="00296A62"/>
    <w:rsid w:val="002A0F8F"/>
    <w:rsid w:val="002A2DB0"/>
    <w:rsid w:val="002A48D4"/>
    <w:rsid w:val="002A4D2A"/>
    <w:rsid w:val="002A5381"/>
    <w:rsid w:val="002A5393"/>
    <w:rsid w:val="002A6084"/>
    <w:rsid w:val="002A6CB6"/>
    <w:rsid w:val="002A6D69"/>
    <w:rsid w:val="002B0839"/>
    <w:rsid w:val="002B095C"/>
    <w:rsid w:val="002B3635"/>
    <w:rsid w:val="002B408A"/>
    <w:rsid w:val="002B486D"/>
    <w:rsid w:val="002B50FB"/>
    <w:rsid w:val="002B5BDB"/>
    <w:rsid w:val="002B6C11"/>
    <w:rsid w:val="002B7C1B"/>
    <w:rsid w:val="002B7DD1"/>
    <w:rsid w:val="002C14DC"/>
    <w:rsid w:val="002C1938"/>
    <w:rsid w:val="002C1C95"/>
    <w:rsid w:val="002C2381"/>
    <w:rsid w:val="002C26CD"/>
    <w:rsid w:val="002C294D"/>
    <w:rsid w:val="002C2B79"/>
    <w:rsid w:val="002C3334"/>
    <w:rsid w:val="002C4587"/>
    <w:rsid w:val="002C5429"/>
    <w:rsid w:val="002C58B1"/>
    <w:rsid w:val="002C5A96"/>
    <w:rsid w:val="002C5E5F"/>
    <w:rsid w:val="002C666F"/>
    <w:rsid w:val="002C6A32"/>
    <w:rsid w:val="002C7066"/>
    <w:rsid w:val="002C7B85"/>
    <w:rsid w:val="002D0194"/>
    <w:rsid w:val="002D0FC3"/>
    <w:rsid w:val="002D36D7"/>
    <w:rsid w:val="002D38FF"/>
    <w:rsid w:val="002D3E36"/>
    <w:rsid w:val="002D4821"/>
    <w:rsid w:val="002D48F3"/>
    <w:rsid w:val="002D4B46"/>
    <w:rsid w:val="002D5FB9"/>
    <w:rsid w:val="002D6045"/>
    <w:rsid w:val="002D6C15"/>
    <w:rsid w:val="002D73D3"/>
    <w:rsid w:val="002E004B"/>
    <w:rsid w:val="002E028A"/>
    <w:rsid w:val="002E0AAF"/>
    <w:rsid w:val="002E1012"/>
    <w:rsid w:val="002E1A1B"/>
    <w:rsid w:val="002E2AA6"/>
    <w:rsid w:val="002E3D7D"/>
    <w:rsid w:val="002E4132"/>
    <w:rsid w:val="002E477B"/>
    <w:rsid w:val="002E64BD"/>
    <w:rsid w:val="002E65CA"/>
    <w:rsid w:val="002E7E8E"/>
    <w:rsid w:val="002E7F2F"/>
    <w:rsid w:val="002F0212"/>
    <w:rsid w:val="002F1563"/>
    <w:rsid w:val="002F26AF"/>
    <w:rsid w:val="002F385A"/>
    <w:rsid w:val="002F3B75"/>
    <w:rsid w:val="002F56E5"/>
    <w:rsid w:val="002F69F8"/>
    <w:rsid w:val="002F6D9E"/>
    <w:rsid w:val="002F6E41"/>
    <w:rsid w:val="002F7049"/>
    <w:rsid w:val="002F74FF"/>
    <w:rsid w:val="002F7CBA"/>
    <w:rsid w:val="00300BE4"/>
    <w:rsid w:val="0030292B"/>
    <w:rsid w:val="00303EBE"/>
    <w:rsid w:val="003046E8"/>
    <w:rsid w:val="00305247"/>
    <w:rsid w:val="00306F94"/>
    <w:rsid w:val="003072FD"/>
    <w:rsid w:val="00310703"/>
    <w:rsid w:val="0031156E"/>
    <w:rsid w:val="00312AA0"/>
    <w:rsid w:val="00312BAB"/>
    <w:rsid w:val="00313910"/>
    <w:rsid w:val="00314369"/>
    <w:rsid w:val="00314707"/>
    <w:rsid w:val="00315587"/>
    <w:rsid w:val="00315BBE"/>
    <w:rsid w:val="00316148"/>
    <w:rsid w:val="00316D05"/>
    <w:rsid w:val="00316D37"/>
    <w:rsid w:val="0031789E"/>
    <w:rsid w:val="00317B71"/>
    <w:rsid w:val="0032048C"/>
    <w:rsid w:val="003209C5"/>
    <w:rsid w:val="00320D71"/>
    <w:rsid w:val="00321076"/>
    <w:rsid w:val="00321447"/>
    <w:rsid w:val="0032264B"/>
    <w:rsid w:val="00322827"/>
    <w:rsid w:val="00322D47"/>
    <w:rsid w:val="00323507"/>
    <w:rsid w:val="00323971"/>
    <w:rsid w:val="00323DFE"/>
    <w:rsid w:val="0032469F"/>
    <w:rsid w:val="003248C4"/>
    <w:rsid w:val="003249B3"/>
    <w:rsid w:val="003259F5"/>
    <w:rsid w:val="00326496"/>
    <w:rsid w:val="00327404"/>
    <w:rsid w:val="00327F82"/>
    <w:rsid w:val="00330D92"/>
    <w:rsid w:val="00332BCD"/>
    <w:rsid w:val="003333C2"/>
    <w:rsid w:val="00333CF0"/>
    <w:rsid w:val="00333DD9"/>
    <w:rsid w:val="00334D8D"/>
    <w:rsid w:val="00336163"/>
    <w:rsid w:val="00336BF8"/>
    <w:rsid w:val="00337250"/>
    <w:rsid w:val="0033774D"/>
    <w:rsid w:val="00337829"/>
    <w:rsid w:val="00337D3D"/>
    <w:rsid w:val="003409C7"/>
    <w:rsid w:val="00340F59"/>
    <w:rsid w:val="00341501"/>
    <w:rsid w:val="00342237"/>
    <w:rsid w:val="00342612"/>
    <w:rsid w:val="00342EE4"/>
    <w:rsid w:val="0034303F"/>
    <w:rsid w:val="00343454"/>
    <w:rsid w:val="0034384F"/>
    <w:rsid w:val="00343A81"/>
    <w:rsid w:val="003440CA"/>
    <w:rsid w:val="00344DBD"/>
    <w:rsid w:val="00345B5E"/>
    <w:rsid w:val="003469E7"/>
    <w:rsid w:val="00350A93"/>
    <w:rsid w:val="00351131"/>
    <w:rsid w:val="0035149C"/>
    <w:rsid w:val="003522C7"/>
    <w:rsid w:val="003526A0"/>
    <w:rsid w:val="0035294E"/>
    <w:rsid w:val="00352B7F"/>
    <w:rsid w:val="00353D62"/>
    <w:rsid w:val="00354B69"/>
    <w:rsid w:val="00354C29"/>
    <w:rsid w:val="00355340"/>
    <w:rsid w:val="0035556B"/>
    <w:rsid w:val="00355FBA"/>
    <w:rsid w:val="003562AA"/>
    <w:rsid w:val="00356E70"/>
    <w:rsid w:val="00357902"/>
    <w:rsid w:val="00357F05"/>
    <w:rsid w:val="00360994"/>
    <w:rsid w:val="00360DBD"/>
    <w:rsid w:val="003634FF"/>
    <w:rsid w:val="00363B23"/>
    <w:rsid w:val="00364AF3"/>
    <w:rsid w:val="003655F8"/>
    <w:rsid w:val="00370359"/>
    <w:rsid w:val="00371535"/>
    <w:rsid w:val="00371B68"/>
    <w:rsid w:val="00373F6B"/>
    <w:rsid w:val="00374104"/>
    <w:rsid w:val="0037498E"/>
    <w:rsid w:val="00376F33"/>
    <w:rsid w:val="00377860"/>
    <w:rsid w:val="00380EE2"/>
    <w:rsid w:val="00381044"/>
    <w:rsid w:val="00381E15"/>
    <w:rsid w:val="00382340"/>
    <w:rsid w:val="0038284D"/>
    <w:rsid w:val="00382CF9"/>
    <w:rsid w:val="00382E3D"/>
    <w:rsid w:val="003834DB"/>
    <w:rsid w:val="00383536"/>
    <w:rsid w:val="003842DD"/>
    <w:rsid w:val="003851B5"/>
    <w:rsid w:val="00386199"/>
    <w:rsid w:val="00387194"/>
    <w:rsid w:val="003876F6"/>
    <w:rsid w:val="0038797D"/>
    <w:rsid w:val="003879D6"/>
    <w:rsid w:val="00387B47"/>
    <w:rsid w:val="00387DF4"/>
    <w:rsid w:val="00387ED2"/>
    <w:rsid w:val="00390846"/>
    <w:rsid w:val="00392159"/>
    <w:rsid w:val="003921A9"/>
    <w:rsid w:val="00393220"/>
    <w:rsid w:val="00393317"/>
    <w:rsid w:val="00396413"/>
    <w:rsid w:val="00396ED3"/>
    <w:rsid w:val="00397095"/>
    <w:rsid w:val="003974E2"/>
    <w:rsid w:val="003A28A0"/>
    <w:rsid w:val="003A315E"/>
    <w:rsid w:val="003A341E"/>
    <w:rsid w:val="003A39E6"/>
    <w:rsid w:val="003A460D"/>
    <w:rsid w:val="003A4B81"/>
    <w:rsid w:val="003A64BD"/>
    <w:rsid w:val="003A6E78"/>
    <w:rsid w:val="003A797D"/>
    <w:rsid w:val="003B04B6"/>
    <w:rsid w:val="003B1404"/>
    <w:rsid w:val="003B1AAF"/>
    <w:rsid w:val="003B39E9"/>
    <w:rsid w:val="003B3A9B"/>
    <w:rsid w:val="003B3C80"/>
    <w:rsid w:val="003B409E"/>
    <w:rsid w:val="003B4ACD"/>
    <w:rsid w:val="003B4F76"/>
    <w:rsid w:val="003B5C48"/>
    <w:rsid w:val="003B6442"/>
    <w:rsid w:val="003B665D"/>
    <w:rsid w:val="003B7031"/>
    <w:rsid w:val="003C061A"/>
    <w:rsid w:val="003C0F3C"/>
    <w:rsid w:val="003C15A6"/>
    <w:rsid w:val="003C1A78"/>
    <w:rsid w:val="003C1EBE"/>
    <w:rsid w:val="003C276F"/>
    <w:rsid w:val="003C2B02"/>
    <w:rsid w:val="003C3345"/>
    <w:rsid w:val="003C367F"/>
    <w:rsid w:val="003C3FF2"/>
    <w:rsid w:val="003C43A1"/>
    <w:rsid w:val="003C542F"/>
    <w:rsid w:val="003C64D0"/>
    <w:rsid w:val="003C6700"/>
    <w:rsid w:val="003C69A6"/>
    <w:rsid w:val="003C6D54"/>
    <w:rsid w:val="003C720B"/>
    <w:rsid w:val="003C72A6"/>
    <w:rsid w:val="003C73B0"/>
    <w:rsid w:val="003D015B"/>
    <w:rsid w:val="003D0D05"/>
    <w:rsid w:val="003D0F8F"/>
    <w:rsid w:val="003D1574"/>
    <w:rsid w:val="003D2F14"/>
    <w:rsid w:val="003D2F84"/>
    <w:rsid w:val="003D2FFD"/>
    <w:rsid w:val="003D3D11"/>
    <w:rsid w:val="003D42CD"/>
    <w:rsid w:val="003D5CAF"/>
    <w:rsid w:val="003D61C2"/>
    <w:rsid w:val="003D6243"/>
    <w:rsid w:val="003D67F4"/>
    <w:rsid w:val="003D6EFE"/>
    <w:rsid w:val="003D6F28"/>
    <w:rsid w:val="003E0AD8"/>
    <w:rsid w:val="003E0E95"/>
    <w:rsid w:val="003E2288"/>
    <w:rsid w:val="003E3412"/>
    <w:rsid w:val="003E4842"/>
    <w:rsid w:val="003E5738"/>
    <w:rsid w:val="003E5BC4"/>
    <w:rsid w:val="003E7075"/>
    <w:rsid w:val="003E7DA6"/>
    <w:rsid w:val="003F09EB"/>
    <w:rsid w:val="003F0A7F"/>
    <w:rsid w:val="003F0D30"/>
    <w:rsid w:val="003F0F92"/>
    <w:rsid w:val="003F17D6"/>
    <w:rsid w:val="003F1878"/>
    <w:rsid w:val="003F1F5A"/>
    <w:rsid w:val="003F3DF4"/>
    <w:rsid w:val="003F4F9C"/>
    <w:rsid w:val="003F5AE2"/>
    <w:rsid w:val="003F6A39"/>
    <w:rsid w:val="003F6BD9"/>
    <w:rsid w:val="003F73F7"/>
    <w:rsid w:val="003F7AAC"/>
    <w:rsid w:val="003F7ACD"/>
    <w:rsid w:val="00400F91"/>
    <w:rsid w:val="004018DA"/>
    <w:rsid w:val="0040225E"/>
    <w:rsid w:val="00402929"/>
    <w:rsid w:val="0040487D"/>
    <w:rsid w:val="004049A0"/>
    <w:rsid w:val="004052D9"/>
    <w:rsid w:val="00406815"/>
    <w:rsid w:val="004070D6"/>
    <w:rsid w:val="004103A7"/>
    <w:rsid w:val="00411B94"/>
    <w:rsid w:val="004123FC"/>
    <w:rsid w:val="00412942"/>
    <w:rsid w:val="00413E06"/>
    <w:rsid w:val="00417412"/>
    <w:rsid w:val="00421473"/>
    <w:rsid w:val="00422358"/>
    <w:rsid w:val="00422F2E"/>
    <w:rsid w:val="004232BE"/>
    <w:rsid w:val="00423317"/>
    <w:rsid w:val="00423513"/>
    <w:rsid w:val="00423954"/>
    <w:rsid w:val="0042477F"/>
    <w:rsid w:val="00425AF9"/>
    <w:rsid w:val="00426B6D"/>
    <w:rsid w:val="00431C14"/>
    <w:rsid w:val="00432288"/>
    <w:rsid w:val="004339AF"/>
    <w:rsid w:val="00434205"/>
    <w:rsid w:val="004348C8"/>
    <w:rsid w:val="00435A4F"/>
    <w:rsid w:val="00436740"/>
    <w:rsid w:val="00436AB6"/>
    <w:rsid w:val="00436FFF"/>
    <w:rsid w:val="00437449"/>
    <w:rsid w:val="0043781C"/>
    <w:rsid w:val="00442512"/>
    <w:rsid w:val="0044303C"/>
    <w:rsid w:val="00443163"/>
    <w:rsid w:val="00443BE9"/>
    <w:rsid w:val="00445809"/>
    <w:rsid w:val="004465A5"/>
    <w:rsid w:val="004501DA"/>
    <w:rsid w:val="00450E0B"/>
    <w:rsid w:val="00451722"/>
    <w:rsid w:val="00451B3A"/>
    <w:rsid w:val="0045214F"/>
    <w:rsid w:val="0045324F"/>
    <w:rsid w:val="00453CDA"/>
    <w:rsid w:val="00454D69"/>
    <w:rsid w:val="004553DA"/>
    <w:rsid w:val="00455670"/>
    <w:rsid w:val="00455CF7"/>
    <w:rsid w:val="004566C1"/>
    <w:rsid w:val="004566E4"/>
    <w:rsid w:val="00457197"/>
    <w:rsid w:val="00460F04"/>
    <w:rsid w:val="00465DE4"/>
    <w:rsid w:val="00465ED5"/>
    <w:rsid w:val="00466007"/>
    <w:rsid w:val="00466F4F"/>
    <w:rsid w:val="00467372"/>
    <w:rsid w:val="004703A5"/>
    <w:rsid w:val="0047062B"/>
    <w:rsid w:val="004714F6"/>
    <w:rsid w:val="004715D7"/>
    <w:rsid w:val="0047213B"/>
    <w:rsid w:val="004721C6"/>
    <w:rsid w:val="00472419"/>
    <w:rsid w:val="004737B9"/>
    <w:rsid w:val="004737CE"/>
    <w:rsid w:val="00473D04"/>
    <w:rsid w:val="0047431D"/>
    <w:rsid w:val="00475257"/>
    <w:rsid w:val="00476679"/>
    <w:rsid w:val="00476BFE"/>
    <w:rsid w:val="004772B1"/>
    <w:rsid w:val="00477A76"/>
    <w:rsid w:val="00481717"/>
    <w:rsid w:val="00481A86"/>
    <w:rsid w:val="00481ABE"/>
    <w:rsid w:val="00482C89"/>
    <w:rsid w:val="0048389B"/>
    <w:rsid w:val="00483D0D"/>
    <w:rsid w:val="004854E1"/>
    <w:rsid w:val="004864D9"/>
    <w:rsid w:val="00486583"/>
    <w:rsid w:val="004879BC"/>
    <w:rsid w:val="00487D8B"/>
    <w:rsid w:val="0049062F"/>
    <w:rsid w:val="00490B35"/>
    <w:rsid w:val="00491180"/>
    <w:rsid w:val="004911C7"/>
    <w:rsid w:val="0049203E"/>
    <w:rsid w:val="004925D6"/>
    <w:rsid w:val="00492E5F"/>
    <w:rsid w:val="0049338E"/>
    <w:rsid w:val="00494B09"/>
    <w:rsid w:val="00495188"/>
    <w:rsid w:val="0049559A"/>
    <w:rsid w:val="004955B3"/>
    <w:rsid w:val="00495CAB"/>
    <w:rsid w:val="00497555"/>
    <w:rsid w:val="0049792F"/>
    <w:rsid w:val="00497A1A"/>
    <w:rsid w:val="00497AC8"/>
    <w:rsid w:val="00497D1F"/>
    <w:rsid w:val="00497E06"/>
    <w:rsid w:val="00497F07"/>
    <w:rsid w:val="004A1DA2"/>
    <w:rsid w:val="004A243F"/>
    <w:rsid w:val="004A4D13"/>
    <w:rsid w:val="004A5C4A"/>
    <w:rsid w:val="004A6967"/>
    <w:rsid w:val="004A69B0"/>
    <w:rsid w:val="004A717B"/>
    <w:rsid w:val="004A775F"/>
    <w:rsid w:val="004B0661"/>
    <w:rsid w:val="004B1DAE"/>
    <w:rsid w:val="004B2827"/>
    <w:rsid w:val="004B3468"/>
    <w:rsid w:val="004B4A73"/>
    <w:rsid w:val="004B4EAD"/>
    <w:rsid w:val="004B5089"/>
    <w:rsid w:val="004B5516"/>
    <w:rsid w:val="004B6413"/>
    <w:rsid w:val="004B69CC"/>
    <w:rsid w:val="004B6BAD"/>
    <w:rsid w:val="004B7236"/>
    <w:rsid w:val="004B76A5"/>
    <w:rsid w:val="004B7AE0"/>
    <w:rsid w:val="004C1EF2"/>
    <w:rsid w:val="004C1F0D"/>
    <w:rsid w:val="004C23C6"/>
    <w:rsid w:val="004C2959"/>
    <w:rsid w:val="004C2BD2"/>
    <w:rsid w:val="004C2E64"/>
    <w:rsid w:val="004C305B"/>
    <w:rsid w:val="004C488B"/>
    <w:rsid w:val="004C502C"/>
    <w:rsid w:val="004C5060"/>
    <w:rsid w:val="004C5C98"/>
    <w:rsid w:val="004C70FD"/>
    <w:rsid w:val="004C7A22"/>
    <w:rsid w:val="004D1FB4"/>
    <w:rsid w:val="004D2BC3"/>
    <w:rsid w:val="004D382D"/>
    <w:rsid w:val="004D3907"/>
    <w:rsid w:val="004D411C"/>
    <w:rsid w:val="004D435C"/>
    <w:rsid w:val="004D5E65"/>
    <w:rsid w:val="004D668A"/>
    <w:rsid w:val="004D6D18"/>
    <w:rsid w:val="004E016F"/>
    <w:rsid w:val="004E0CBD"/>
    <w:rsid w:val="004E1B25"/>
    <w:rsid w:val="004E1B6A"/>
    <w:rsid w:val="004E2B80"/>
    <w:rsid w:val="004E3CA7"/>
    <w:rsid w:val="004E44D1"/>
    <w:rsid w:val="004E4B7E"/>
    <w:rsid w:val="004E53A0"/>
    <w:rsid w:val="004F0435"/>
    <w:rsid w:val="004F0639"/>
    <w:rsid w:val="004F1472"/>
    <w:rsid w:val="004F25DB"/>
    <w:rsid w:val="004F2EC9"/>
    <w:rsid w:val="004F3B88"/>
    <w:rsid w:val="004F46DA"/>
    <w:rsid w:val="004F4852"/>
    <w:rsid w:val="004F5128"/>
    <w:rsid w:val="004F6061"/>
    <w:rsid w:val="004F65C7"/>
    <w:rsid w:val="004F6A22"/>
    <w:rsid w:val="005017B2"/>
    <w:rsid w:val="00501D1F"/>
    <w:rsid w:val="00502BD0"/>
    <w:rsid w:val="00505188"/>
    <w:rsid w:val="00505461"/>
    <w:rsid w:val="00510477"/>
    <w:rsid w:val="0051163D"/>
    <w:rsid w:val="00514386"/>
    <w:rsid w:val="00515347"/>
    <w:rsid w:val="00515F8B"/>
    <w:rsid w:val="005203AB"/>
    <w:rsid w:val="0052140A"/>
    <w:rsid w:val="00522549"/>
    <w:rsid w:val="005229E8"/>
    <w:rsid w:val="00522D6B"/>
    <w:rsid w:val="00522EE2"/>
    <w:rsid w:val="005234B4"/>
    <w:rsid w:val="00525204"/>
    <w:rsid w:val="005268EA"/>
    <w:rsid w:val="00530A99"/>
    <w:rsid w:val="005317C5"/>
    <w:rsid w:val="0053219E"/>
    <w:rsid w:val="005328D1"/>
    <w:rsid w:val="00532C43"/>
    <w:rsid w:val="005336C7"/>
    <w:rsid w:val="00533FAB"/>
    <w:rsid w:val="005353D5"/>
    <w:rsid w:val="005358E8"/>
    <w:rsid w:val="00535BF3"/>
    <w:rsid w:val="0053622F"/>
    <w:rsid w:val="00537034"/>
    <w:rsid w:val="00537768"/>
    <w:rsid w:val="00537FD4"/>
    <w:rsid w:val="00540E1C"/>
    <w:rsid w:val="00540E71"/>
    <w:rsid w:val="005428B2"/>
    <w:rsid w:val="00543010"/>
    <w:rsid w:val="005431AC"/>
    <w:rsid w:val="00543AED"/>
    <w:rsid w:val="00544031"/>
    <w:rsid w:val="00545451"/>
    <w:rsid w:val="00546452"/>
    <w:rsid w:val="00546978"/>
    <w:rsid w:val="005503C8"/>
    <w:rsid w:val="00551395"/>
    <w:rsid w:val="005532F5"/>
    <w:rsid w:val="005538B4"/>
    <w:rsid w:val="00553DCD"/>
    <w:rsid w:val="00555069"/>
    <w:rsid w:val="005560B7"/>
    <w:rsid w:val="00557D61"/>
    <w:rsid w:val="00560C7F"/>
    <w:rsid w:val="00561133"/>
    <w:rsid w:val="00561289"/>
    <w:rsid w:val="00564C3D"/>
    <w:rsid w:val="00565003"/>
    <w:rsid w:val="0056577A"/>
    <w:rsid w:val="00565836"/>
    <w:rsid w:val="005673E2"/>
    <w:rsid w:val="00567FA0"/>
    <w:rsid w:val="005704C9"/>
    <w:rsid w:val="00571CF4"/>
    <w:rsid w:val="00572ED1"/>
    <w:rsid w:val="0057398D"/>
    <w:rsid w:val="00573F65"/>
    <w:rsid w:val="005745FA"/>
    <w:rsid w:val="00574AC7"/>
    <w:rsid w:val="00575469"/>
    <w:rsid w:val="005756DF"/>
    <w:rsid w:val="00575C01"/>
    <w:rsid w:val="00575FBB"/>
    <w:rsid w:val="00576652"/>
    <w:rsid w:val="00582BC8"/>
    <w:rsid w:val="0058307E"/>
    <w:rsid w:val="0058321B"/>
    <w:rsid w:val="00583339"/>
    <w:rsid w:val="0058364B"/>
    <w:rsid w:val="00584354"/>
    <w:rsid w:val="005843E4"/>
    <w:rsid w:val="00584A84"/>
    <w:rsid w:val="00584E46"/>
    <w:rsid w:val="00586775"/>
    <w:rsid w:val="00586E4B"/>
    <w:rsid w:val="00587984"/>
    <w:rsid w:val="0059050F"/>
    <w:rsid w:val="00590766"/>
    <w:rsid w:val="00590A60"/>
    <w:rsid w:val="00591E6C"/>
    <w:rsid w:val="005927F2"/>
    <w:rsid w:val="00592FC6"/>
    <w:rsid w:val="00594A6D"/>
    <w:rsid w:val="005951CC"/>
    <w:rsid w:val="00596303"/>
    <w:rsid w:val="00596633"/>
    <w:rsid w:val="00596735"/>
    <w:rsid w:val="00597EBF"/>
    <w:rsid w:val="005A0828"/>
    <w:rsid w:val="005A1847"/>
    <w:rsid w:val="005A1D8D"/>
    <w:rsid w:val="005A25E3"/>
    <w:rsid w:val="005A2915"/>
    <w:rsid w:val="005A2C3B"/>
    <w:rsid w:val="005A3567"/>
    <w:rsid w:val="005A3C9F"/>
    <w:rsid w:val="005A3CE2"/>
    <w:rsid w:val="005A3CEB"/>
    <w:rsid w:val="005A4855"/>
    <w:rsid w:val="005A6D81"/>
    <w:rsid w:val="005A74B5"/>
    <w:rsid w:val="005B799A"/>
    <w:rsid w:val="005B7F35"/>
    <w:rsid w:val="005C149E"/>
    <w:rsid w:val="005C3BFC"/>
    <w:rsid w:val="005C4494"/>
    <w:rsid w:val="005C48DB"/>
    <w:rsid w:val="005C6108"/>
    <w:rsid w:val="005C6BE0"/>
    <w:rsid w:val="005C790F"/>
    <w:rsid w:val="005C7F3F"/>
    <w:rsid w:val="005D0031"/>
    <w:rsid w:val="005D1613"/>
    <w:rsid w:val="005D23ED"/>
    <w:rsid w:val="005D2810"/>
    <w:rsid w:val="005D3445"/>
    <w:rsid w:val="005D4675"/>
    <w:rsid w:val="005D5FB3"/>
    <w:rsid w:val="005D684B"/>
    <w:rsid w:val="005D7985"/>
    <w:rsid w:val="005E0869"/>
    <w:rsid w:val="005E0DB2"/>
    <w:rsid w:val="005E1E6F"/>
    <w:rsid w:val="005E2A11"/>
    <w:rsid w:val="005E3C16"/>
    <w:rsid w:val="005E3E25"/>
    <w:rsid w:val="005E4357"/>
    <w:rsid w:val="005E54B8"/>
    <w:rsid w:val="005E5C3E"/>
    <w:rsid w:val="005E6333"/>
    <w:rsid w:val="005E68D9"/>
    <w:rsid w:val="005E7E08"/>
    <w:rsid w:val="005F22B1"/>
    <w:rsid w:val="005F2534"/>
    <w:rsid w:val="005F2AA7"/>
    <w:rsid w:val="005F2E54"/>
    <w:rsid w:val="005F3E26"/>
    <w:rsid w:val="005F41DB"/>
    <w:rsid w:val="005F571D"/>
    <w:rsid w:val="0060113F"/>
    <w:rsid w:val="006027F0"/>
    <w:rsid w:val="00603C4A"/>
    <w:rsid w:val="00604C1D"/>
    <w:rsid w:val="00605421"/>
    <w:rsid w:val="00606F7F"/>
    <w:rsid w:val="00607985"/>
    <w:rsid w:val="00607B81"/>
    <w:rsid w:val="00607BA1"/>
    <w:rsid w:val="006102E9"/>
    <w:rsid w:val="00610465"/>
    <w:rsid w:val="006106E9"/>
    <w:rsid w:val="0061190F"/>
    <w:rsid w:val="0061225A"/>
    <w:rsid w:val="0061238F"/>
    <w:rsid w:val="006130C8"/>
    <w:rsid w:val="00613455"/>
    <w:rsid w:val="00613917"/>
    <w:rsid w:val="006148BF"/>
    <w:rsid w:val="006148DD"/>
    <w:rsid w:val="00614916"/>
    <w:rsid w:val="00614A37"/>
    <w:rsid w:val="006153A7"/>
    <w:rsid w:val="00615E30"/>
    <w:rsid w:val="00615F4D"/>
    <w:rsid w:val="0061646F"/>
    <w:rsid w:val="00616E75"/>
    <w:rsid w:val="00617635"/>
    <w:rsid w:val="00617B9B"/>
    <w:rsid w:val="00617D58"/>
    <w:rsid w:val="0062060B"/>
    <w:rsid w:val="00622488"/>
    <w:rsid w:val="006228F9"/>
    <w:rsid w:val="00622FCB"/>
    <w:rsid w:val="00623540"/>
    <w:rsid w:val="00623BB6"/>
    <w:rsid w:val="00625377"/>
    <w:rsid w:val="00625F09"/>
    <w:rsid w:val="00626866"/>
    <w:rsid w:val="00627293"/>
    <w:rsid w:val="00627335"/>
    <w:rsid w:val="006277D0"/>
    <w:rsid w:val="00627862"/>
    <w:rsid w:val="00627F82"/>
    <w:rsid w:val="006316B9"/>
    <w:rsid w:val="00631DE7"/>
    <w:rsid w:val="0063299B"/>
    <w:rsid w:val="00633806"/>
    <w:rsid w:val="00634CE0"/>
    <w:rsid w:val="00635D9A"/>
    <w:rsid w:val="00637978"/>
    <w:rsid w:val="00637A52"/>
    <w:rsid w:val="006408C6"/>
    <w:rsid w:val="00643409"/>
    <w:rsid w:val="006435BC"/>
    <w:rsid w:val="0064383F"/>
    <w:rsid w:val="0064398A"/>
    <w:rsid w:val="006439D5"/>
    <w:rsid w:val="006444EA"/>
    <w:rsid w:val="006460C4"/>
    <w:rsid w:val="00653397"/>
    <w:rsid w:val="00653865"/>
    <w:rsid w:val="00655617"/>
    <w:rsid w:val="00655DF7"/>
    <w:rsid w:val="00656975"/>
    <w:rsid w:val="00657F28"/>
    <w:rsid w:val="00660A09"/>
    <w:rsid w:val="00662B8C"/>
    <w:rsid w:val="00662C2D"/>
    <w:rsid w:val="00664B10"/>
    <w:rsid w:val="00665B78"/>
    <w:rsid w:val="00667647"/>
    <w:rsid w:val="006715F0"/>
    <w:rsid w:val="00671BD6"/>
    <w:rsid w:val="00672342"/>
    <w:rsid w:val="00672D2B"/>
    <w:rsid w:val="00673450"/>
    <w:rsid w:val="0067362A"/>
    <w:rsid w:val="006738E0"/>
    <w:rsid w:val="006741C1"/>
    <w:rsid w:val="006755D5"/>
    <w:rsid w:val="006764F1"/>
    <w:rsid w:val="006768FB"/>
    <w:rsid w:val="00677374"/>
    <w:rsid w:val="006773ED"/>
    <w:rsid w:val="00677E35"/>
    <w:rsid w:val="00682372"/>
    <w:rsid w:val="00683AE8"/>
    <w:rsid w:val="0068400E"/>
    <w:rsid w:val="006840E7"/>
    <w:rsid w:val="00684E83"/>
    <w:rsid w:val="00684F34"/>
    <w:rsid w:val="006852AA"/>
    <w:rsid w:val="00685538"/>
    <w:rsid w:val="00687416"/>
    <w:rsid w:val="006919C3"/>
    <w:rsid w:val="00693103"/>
    <w:rsid w:val="00693925"/>
    <w:rsid w:val="006939EC"/>
    <w:rsid w:val="00693C79"/>
    <w:rsid w:val="006940F9"/>
    <w:rsid w:val="00694EDB"/>
    <w:rsid w:val="00696A3D"/>
    <w:rsid w:val="006976D3"/>
    <w:rsid w:val="00697A12"/>
    <w:rsid w:val="00697D00"/>
    <w:rsid w:val="00697D97"/>
    <w:rsid w:val="006A204C"/>
    <w:rsid w:val="006A2451"/>
    <w:rsid w:val="006A252D"/>
    <w:rsid w:val="006A2F4D"/>
    <w:rsid w:val="006A3789"/>
    <w:rsid w:val="006A3CFC"/>
    <w:rsid w:val="006A3EEA"/>
    <w:rsid w:val="006A4F45"/>
    <w:rsid w:val="006A54DC"/>
    <w:rsid w:val="006A54F2"/>
    <w:rsid w:val="006A5A0B"/>
    <w:rsid w:val="006A5EE4"/>
    <w:rsid w:val="006A6E7D"/>
    <w:rsid w:val="006B001C"/>
    <w:rsid w:val="006B01F2"/>
    <w:rsid w:val="006B127E"/>
    <w:rsid w:val="006B33C7"/>
    <w:rsid w:val="006B3716"/>
    <w:rsid w:val="006B395F"/>
    <w:rsid w:val="006B4040"/>
    <w:rsid w:val="006B41D3"/>
    <w:rsid w:val="006B4CAD"/>
    <w:rsid w:val="006B52F0"/>
    <w:rsid w:val="006B5921"/>
    <w:rsid w:val="006B6E8D"/>
    <w:rsid w:val="006B7696"/>
    <w:rsid w:val="006B77A6"/>
    <w:rsid w:val="006B7E28"/>
    <w:rsid w:val="006C0665"/>
    <w:rsid w:val="006C28EE"/>
    <w:rsid w:val="006C28F8"/>
    <w:rsid w:val="006C2F78"/>
    <w:rsid w:val="006C3109"/>
    <w:rsid w:val="006C3120"/>
    <w:rsid w:val="006C505E"/>
    <w:rsid w:val="006C6380"/>
    <w:rsid w:val="006C6AF3"/>
    <w:rsid w:val="006C7118"/>
    <w:rsid w:val="006C77A4"/>
    <w:rsid w:val="006D17A5"/>
    <w:rsid w:val="006D4069"/>
    <w:rsid w:val="006D49C2"/>
    <w:rsid w:val="006D5C1A"/>
    <w:rsid w:val="006D5F29"/>
    <w:rsid w:val="006D6FB6"/>
    <w:rsid w:val="006D7880"/>
    <w:rsid w:val="006D7FA9"/>
    <w:rsid w:val="006E0219"/>
    <w:rsid w:val="006E11F9"/>
    <w:rsid w:val="006E1580"/>
    <w:rsid w:val="006E1A86"/>
    <w:rsid w:val="006E1FD6"/>
    <w:rsid w:val="006E27D3"/>
    <w:rsid w:val="006E4C8B"/>
    <w:rsid w:val="006E5A21"/>
    <w:rsid w:val="006E6013"/>
    <w:rsid w:val="006E60BA"/>
    <w:rsid w:val="006E60FA"/>
    <w:rsid w:val="006E628D"/>
    <w:rsid w:val="006E679E"/>
    <w:rsid w:val="006F15E8"/>
    <w:rsid w:val="006F393E"/>
    <w:rsid w:val="006F56DF"/>
    <w:rsid w:val="006F771B"/>
    <w:rsid w:val="0070003F"/>
    <w:rsid w:val="00700CA8"/>
    <w:rsid w:val="00701835"/>
    <w:rsid w:val="00701916"/>
    <w:rsid w:val="00701ABB"/>
    <w:rsid w:val="00701B57"/>
    <w:rsid w:val="00702F38"/>
    <w:rsid w:val="00703FFB"/>
    <w:rsid w:val="00704781"/>
    <w:rsid w:val="00704836"/>
    <w:rsid w:val="00705091"/>
    <w:rsid w:val="007052CF"/>
    <w:rsid w:val="007061F1"/>
    <w:rsid w:val="00707E14"/>
    <w:rsid w:val="00710477"/>
    <w:rsid w:val="0071126D"/>
    <w:rsid w:val="00711B0A"/>
    <w:rsid w:val="00712016"/>
    <w:rsid w:val="0071213D"/>
    <w:rsid w:val="00712A65"/>
    <w:rsid w:val="00712E6C"/>
    <w:rsid w:val="00713A5F"/>
    <w:rsid w:val="007159BC"/>
    <w:rsid w:val="00715EA1"/>
    <w:rsid w:val="00716283"/>
    <w:rsid w:val="0071649D"/>
    <w:rsid w:val="00716F2A"/>
    <w:rsid w:val="00721BCD"/>
    <w:rsid w:val="00722180"/>
    <w:rsid w:val="007222A1"/>
    <w:rsid w:val="007230E1"/>
    <w:rsid w:val="007244D6"/>
    <w:rsid w:val="00724718"/>
    <w:rsid w:val="00725206"/>
    <w:rsid w:val="00725660"/>
    <w:rsid w:val="0072596E"/>
    <w:rsid w:val="007268C5"/>
    <w:rsid w:val="007269A6"/>
    <w:rsid w:val="0073006B"/>
    <w:rsid w:val="00731E8E"/>
    <w:rsid w:val="00731EB8"/>
    <w:rsid w:val="007342CA"/>
    <w:rsid w:val="00734563"/>
    <w:rsid w:val="00734F63"/>
    <w:rsid w:val="007362BB"/>
    <w:rsid w:val="0073696B"/>
    <w:rsid w:val="007376D1"/>
    <w:rsid w:val="00737B6E"/>
    <w:rsid w:val="0074106A"/>
    <w:rsid w:val="00741214"/>
    <w:rsid w:val="0074124D"/>
    <w:rsid w:val="00741AEF"/>
    <w:rsid w:val="00745C82"/>
    <w:rsid w:val="00745CED"/>
    <w:rsid w:val="0074692E"/>
    <w:rsid w:val="00746D77"/>
    <w:rsid w:val="00747D23"/>
    <w:rsid w:val="00750872"/>
    <w:rsid w:val="00751A97"/>
    <w:rsid w:val="00752909"/>
    <w:rsid w:val="00752EF9"/>
    <w:rsid w:val="00753085"/>
    <w:rsid w:val="007533B0"/>
    <w:rsid w:val="00755A70"/>
    <w:rsid w:val="00755D32"/>
    <w:rsid w:val="00756E2F"/>
    <w:rsid w:val="007570B6"/>
    <w:rsid w:val="00760ECA"/>
    <w:rsid w:val="00761E1C"/>
    <w:rsid w:val="00761FF5"/>
    <w:rsid w:val="007635F3"/>
    <w:rsid w:val="00764E75"/>
    <w:rsid w:val="00765298"/>
    <w:rsid w:val="00766333"/>
    <w:rsid w:val="0076676F"/>
    <w:rsid w:val="00766C9C"/>
    <w:rsid w:val="0076746F"/>
    <w:rsid w:val="00767B9F"/>
    <w:rsid w:val="00767FFA"/>
    <w:rsid w:val="00770A14"/>
    <w:rsid w:val="0077181C"/>
    <w:rsid w:val="00771A93"/>
    <w:rsid w:val="00771E33"/>
    <w:rsid w:val="00772D5C"/>
    <w:rsid w:val="00774E78"/>
    <w:rsid w:val="00775DE5"/>
    <w:rsid w:val="00775F28"/>
    <w:rsid w:val="007765D7"/>
    <w:rsid w:val="00777CE5"/>
    <w:rsid w:val="0078063E"/>
    <w:rsid w:val="007811F1"/>
    <w:rsid w:val="00782858"/>
    <w:rsid w:val="00782C05"/>
    <w:rsid w:val="00782ECE"/>
    <w:rsid w:val="0078332C"/>
    <w:rsid w:val="00783ABA"/>
    <w:rsid w:val="0078429E"/>
    <w:rsid w:val="00784309"/>
    <w:rsid w:val="007845E3"/>
    <w:rsid w:val="0078495E"/>
    <w:rsid w:val="00785F4D"/>
    <w:rsid w:val="00786A78"/>
    <w:rsid w:val="00787D96"/>
    <w:rsid w:val="0079178B"/>
    <w:rsid w:val="007918DB"/>
    <w:rsid w:val="00792857"/>
    <w:rsid w:val="007940F1"/>
    <w:rsid w:val="00795254"/>
    <w:rsid w:val="00795565"/>
    <w:rsid w:val="00796D51"/>
    <w:rsid w:val="00796F5F"/>
    <w:rsid w:val="007970DA"/>
    <w:rsid w:val="00797A68"/>
    <w:rsid w:val="00797FA2"/>
    <w:rsid w:val="007A065F"/>
    <w:rsid w:val="007A1CE9"/>
    <w:rsid w:val="007A3997"/>
    <w:rsid w:val="007A3CDC"/>
    <w:rsid w:val="007A42C1"/>
    <w:rsid w:val="007A6015"/>
    <w:rsid w:val="007A61B5"/>
    <w:rsid w:val="007A68F1"/>
    <w:rsid w:val="007A7400"/>
    <w:rsid w:val="007B0C4F"/>
    <w:rsid w:val="007B164B"/>
    <w:rsid w:val="007B1A6A"/>
    <w:rsid w:val="007B295F"/>
    <w:rsid w:val="007B2B5B"/>
    <w:rsid w:val="007B40D2"/>
    <w:rsid w:val="007B4D40"/>
    <w:rsid w:val="007B4FD9"/>
    <w:rsid w:val="007B5344"/>
    <w:rsid w:val="007B5771"/>
    <w:rsid w:val="007B63E6"/>
    <w:rsid w:val="007B6570"/>
    <w:rsid w:val="007B772B"/>
    <w:rsid w:val="007B79AE"/>
    <w:rsid w:val="007B7C3B"/>
    <w:rsid w:val="007C08AD"/>
    <w:rsid w:val="007C1B14"/>
    <w:rsid w:val="007C1BFA"/>
    <w:rsid w:val="007C2352"/>
    <w:rsid w:val="007C281A"/>
    <w:rsid w:val="007C2D41"/>
    <w:rsid w:val="007C3C05"/>
    <w:rsid w:val="007C4023"/>
    <w:rsid w:val="007C46A7"/>
    <w:rsid w:val="007C5441"/>
    <w:rsid w:val="007C59A3"/>
    <w:rsid w:val="007C6E7F"/>
    <w:rsid w:val="007D06BA"/>
    <w:rsid w:val="007D07DD"/>
    <w:rsid w:val="007D2205"/>
    <w:rsid w:val="007D25DF"/>
    <w:rsid w:val="007D3442"/>
    <w:rsid w:val="007D38CB"/>
    <w:rsid w:val="007D3BAF"/>
    <w:rsid w:val="007D4B83"/>
    <w:rsid w:val="007D4D21"/>
    <w:rsid w:val="007D4E42"/>
    <w:rsid w:val="007D651D"/>
    <w:rsid w:val="007D692E"/>
    <w:rsid w:val="007D7342"/>
    <w:rsid w:val="007D7CB5"/>
    <w:rsid w:val="007E03A7"/>
    <w:rsid w:val="007E0E28"/>
    <w:rsid w:val="007E2017"/>
    <w:rsid w:val="007E32C7"/>
    <w:rsid w:val="007E36C6"/>
    <w:rsid w:val="007E5579"/>
    <w:rsid w:val="007E6135"/>
    <w:rsid w:val="007E7492"/>
    <w:rsid w:val="007F00CA"/>
    <w:rsid w:val="007F032C"/>
    <w:rsid w:val="007F0361"/>
    <w:rsid w:val="007F0F0C"/>
    <w:rsid w:val="007F150C"/>
    <w:rsid w:val="007F1A0A"/>
    <w:rsid w:val="007F1DA8"/>
    <w:rsid w:val="007F341B"/>
    <w:rsid w:val="007F3ECC"/>
    <w:rsid w:val="007F4BE7"/>
    <w:rsid w:val="007F4FF8"/>
    <w:rsid w:val="007F5CA0"/>
    <w:rsid w:val="007F5E11"/>
    <w:rsid w:val="007F5F47"/>
    <w:rsid w:val="007F6E2E"/>
    <w:rsid w:val="007F7FDA"/>
    <w:rsid w:val="0080001F"/>
    <w:rsid w:val="00800EC1"/>
    <w:rsid w:val="008011EF"/>
    <w:rsid w:val="0080129F"/>
    <w:rsid w:val="00801AEB"/>
    <w:rsid w:val="00803A8F"/>
    <w:rsid w:val="00804981"/>
    <w:rsid w:val="00804C38"/>
    <w:rsid w:val="00804D38"/>
    <w:rsid w:val="00805594"/>
    <w:rsid w:val="00807721"/>
    <w:rsid w:val="00810B82"/>
    <w:rsid w:val="00811102"/>
    <w:rsid w:val="0081316D"/>
    <w:rsid w:val="00813A2D"/>
    <w:rsid w:val="00813B7D"/>
    <w:rsid w:val="00813CEE"/>
    <w:rsid w:val="00815383"/>
    <w:rsid w:val="00815F3B"/>
    <w:rsid w:val="00816494"/>
    <w:rsid w:val="00816874"/>
    <w:rsid w:val="008175F7"/>
    <w:rsid w:val="008202C5"/>
    <w:rsid w:val="00820519"/>
    <w:rsid w:val="00820631"/>
    <w:rsid w:val="00820C43"/>
    <w:rsid w:val="00822031"/>
    <w:rsid w:val="008225B9"/>
    <w:rsid w:val="00822C7C"/>
    <w:rsid w:val="00822D2A"/>
    <w:rsid w:val="00823061"/>
    <w:rsid w:val="00824C70"/>
    <w:rsid w:val="00825179"/>
    <w:rsid w:val="00825241"/>
    <w:rsid w:val="00825931"/>
    <w:rsid w:val="00825B3A"/>
    <w:rsid w:val="00825D19"/>
    <w:rsid w:val="00827FCA"/>
    <w:rsid w:val="008301F7"/>
    <w:rsid w:val="00830ABB"/>
    <w:rsid w:val="008310D8"/>
    <w:rsid w:val="00831219"/>
    <w:rsid w:val="00831627"/>
    <w:rsid w:val="0083177A"/>
    <w:rsid w:val="008317B0"/>
    <w:rsid w:val="00832F66"/>
    <w:rsid w:val="00833858"/>
    <w:rsid w:val="00833893"/>
    <w:rsid w:val="008342FA"/>
    <w:rsid w:val="008350D4"/>
    <w:rsid w:val="00835384"/>
    <w:rsid w:val="00835596"/>
    <w:rsid w:val="00835FD3"/>
    <w:rsid w:val="008367C9"/>
    <w:rsid w:val="00837FA7"/>
    <w:rsid w:val="0084141A"/>
    <w:rsid w:val="0084183D"/>
    <w:rsid w:val="00841BF3"/>
    <w:rsid w:val="00842399"/>
    <w:rsid w:val="00843428"/>
    <w:rsid w:val="0084394D"/>
    <w:rsid w:val="00843A3D"/>
    <w:rsid w:val="00844FC1"/>
    <w:rsid w:val="00845B4F"/>
    <w:rsid w:val="008469FE"/>
    <w:rsid w:val="00847928"/>
    <w:rsid w:val="008518EA"/>
    <w:rsid w:val="00852D19"/>
    <w:rsid w:val="00853029"/>
    <w:rsid w:val="008531AC"/>
    <w:rsid w:val="008549CE"/>
    <w:rsid w:val="00854F56"/>
    <w:rsid w:val="008550BC"/>
    <w:rsid w:val="00856B85"/>
    <w:rsid w:val="008610AB"/>
    <w:rsid w:val="00861482"/>
    <w:rsid w:val="00861990"/>
    <w:rsid w:val="00862858"/>
    <w:rsid w:val="00862D79"/>
    <w:rsid w:val="008631A8"/>
    <w:rsid w:val="00863326"/>
    <w:rsid w:val="0086346A"/>
    <w:rsid w:val="00864402"/>
    <w:rsid w:val="00864BF1"/>
    <w:rsid w:val="00865362"/>
    <w:rsid w:val="008664CD"/>
    <w:rsid w:val="00866DBB"/>
    <w:rsid w:val="00867B27"/>
    <w:rsid w:val="00871DAE"/>
    <w:rsid w:val="0087275C"/>
    <w:rsid w:val="00872F4B"/>
    <w:rsid w:val="00875F7C"/>
    <w:rsid w:val="008766E5"/>
    <w:rsid w:val="00876A1E"/>
    <w:rsid w:val="00876C85"/>
    <w:rsid w:val="00876CD1"/>
    <w:rsid w:val="00876D7F"/>
    <w:rsid w:val="008777F1"/>
    <w:rsid w:val="008779A9"/>
    <w:rsid w:val="0088090B"/>
    <w:rsid w:val="00880E5C"/>
    <w:rsid w:val="00881BBE"/>
    <w:rsid w:val="00881C0E"/>
    <w:rsid w:val="00881CE9"/>
    <w:rsid w:val="00883A22"/>
    <w:rsid w:val="0088696C"/>
    <w:rsid w:val="008878F1"/>
    <w:rsid w:val="00887BF2"/>
    <w:rsid w:val="00887C68"/>
    <w:rsid w:val="00890C46"/>
    <w:rsid w:val="00892C02"/>
    <w:rsid w:val="00893260"/>
    <w:rsid w:val="00893707"/>
    <w:rsid w:val="0089390F"/>
    <w:rsid w:val="0089471D"/>
    <w:rsid w:val="008950E4"/>
    <w:rsid w:val="00895175"/>
    <w:rsid w:val="0089587D"/>
    <w:rsid w:val="008A1711"/>
    <w:rsid w:val="008A1800"/>
    <w:rsid w:val="008A1F06"/>
    <w:rsid w:val="008A38FD"/>
    <w:rsid w:val="008A4D91"/>
    <w:rsid w:val="008A5C81"/>
    <w:rsid w:val="008A6074"/>
    <w:rsid w:val="008A665E"/>
    <w:rsid w:val="008A72DD"/>
    <w:rsid w:val="008A78B7"/>
    <w:rsid w:val="008B0D8E"/>
    <w:rsid w:val="008B1A5B"/>
    <w:rsid w:val="008B29EA"/>
    <w:rsid w:val="008B3101"/>
    <w:rsid w:val="008B351A"/>
    <w:rsid w:val="008B39A6"/>
    <w:rsid w:val="008B4438"/>
    <w:rsid w:val="008B4475"/>
    <w:rsid w:val="008B458F"/>
    <w:rsid w:val="008B6AD0"/>
    <w:rsid w:val="008C0CBA"/>
    <w:rsid w:val="008C419A"/>
    <w:rsid w:val="008C435C"/>
    <w:rsid w:val="008C630F"/>
    <w:rsid w:val="008C6B70"/>
    <w:rsid w:val="008C6E1E"/>
    <w:rsid w:val="008D09DB"/>
    <w:rsid w:val="008D0C0F"/>
    <w:rsid w:val="008D2C33"/>
    <w:rsid w:val="008D3733"/>
    <w:rsid w:val="008D3B3A"/>
    <w:rsid w:val="008D4572"/>
    <w:rsid w:val="008D5C63"/>
    <w:rsid w:val="008D7508"/>
    <w:rsid w:val="008D7BDC"/>
    <w:rsid w:val="008E12D4"/>
    <w:rsid w:val="008E173C"/>
    <w:rsid w:val="008E1CF9"/>
    <w:rsid w:val="008E290E"/>
    <w:rsid w:val="008E2F01"/>
    <w:rsid w:val="008E34B9"/>
    <w:rsid w:val="008E47B3"/>
    <w:rsid w:val="008E5C0C"/>
    <w:rsid w:val="008E5EB5"/>
    <w:rsid w:val="008E6817"/>
    <w:rsid w:val="008E6BB0"/>
    <w:rsid w:val="008E6BB6"/>
    <w:rsid w:val="008E6D41"/>
    <w:rsid w:val="008E6ED3"/>
    <w:rsid w:val="008F0052"/>
    <w:rsid w:val="008F077E"/>
    <w:rsid w:val="008F145A"/>
    <w:rsid w:val="008F22AD"/>
    <w:rsid w:val="008F359B"/>
    <w:rsid w:val="008F3920"/>
    <w:rsid w:val="008F4574"/>
    <w:rsid w:val="008F4576"/>
    <w:rsid w:val="008F4578"/>
    <w:rsid w:val="008F51DA"/>
    <w:rsid w:val="008F5F2E"/>
    <w:rsid w:val="008F61D1"/>
    <w:rsid w:val="008F63B4"/>
    <w:rsid w:val="008F6BC2"/>
    <w:rsid w:val="008F73B2"/>
    <w:rsid w:val="008F7457"/>
    <w:rsid w:val="008F7A0C"/>
    <w:rsid w:val="008F7B0C"/>
    <w:rsid w:val="00901261"/>
    <w:rsid w:val="00902021"/>
    <w:rsid w:val="009026F3"/>
    <w:rsid w:val="0090274E"/>
    <w:rsid w:val="00902F81"/>
    <w:rsid w:val="009030A6"/>
    <w:rsid w:val="009040DC"/>
    <w:rsid w:val="00906CE3"/>
    <w:rsid w:val="00906FCB"/>
    <w:rsid w:val="00907B4A"/>
    <w:rsid w:val="00910620"/>
    <w:rsid w:val="009123DB"/>
    <w:rsid w:val="00912A29"/>
    <w:rsid w:val="00913471"/>
    <w:rsid w:val="009141D7"/>
    <w:rsid w:val="00915A4F"/>
    <w:rsid w:val="009171D1"/>
    <w:rsid w:val="00917724"/>
    <w:rsid w:val="0091772B"/>
    <w:rsid w:val="00917E6F"/>
    <w:rsid w:val="009205D5"/>
    <w:rsid w:val="00920F4A"/>
    <w:rsid w:val="00921749"/>
    <w:rsid w:val="0092176F"/>
    <w:rsid w:val="00921953"/>
    <w:rsid w:val="00922AF0"/>
    <w:rsid w:val="00922E66"/>
    <w:rsid w:val="00924817"/>
    <w:rsid w:val="00925A4A"/>
    <w:rsid w:val="00925C19"/>
    <w:rsid w:val="0092614B"/>
    <w:rsid w:val="009267E3"/>
    <w:rsid w:val="00926BAA"/>
    <w:rsid w:val="009306E5"/>
    <w:rsid w:val="009312C3"/>
    <w:rsid w:val="0093179B"/>
    <w:rsid w:val="00931AA4"/>
    <w:rsid w:val="0093425B"/>
    <w:rsid w:val="00935735"/>
    <w:rsid w:val="00935B52"/>
    <w:rsid w:val="0093662C"/>
    <w:rsid w:val="00936C32"/>
    <w:rsid w:val="00936C60"/>
    <w:rsid w:val="00937875"/>
    <w:rsid w:val="009407DA"/>
    <w:rsid w:val="00942032"/>
    <w:rsid w:val="00942731"/>
    <w:rsid w:val="009427D6"/>
    <w:rsid w:val="00944007"/>
    <w:rsid w:val="009451EC"/>
    <w:rsid w:val="00946F93"/>
    <w:rsid w:val="0094798E"/>
    <w:rsid w:val="00947E57"/>
    <w:rsid w:val="009509C1"/>
    <w:rsid w:val="0095256A"/>
    <w:rsid w:val="009554EE"/>
    <w:rsid w:val="00955551"/>
    <w:rsid w:val="00955A56"/>
    <w:rsid w:val="00955CC4"/>
    <w:rsid w:val="00955F4B"/>
    <w:rsid w:val="0095642E"/>
    <w:rsid w:val="00956DB9"/>
    <w:rsid w:val="00961433"/>
    <w:rsid w:val="00962524"/>
    <w:rsid w:val="00962576"/>
    <w:rsid w:val="009628C8"/>
    <w:rsid w:val="00962FB4"/>
    <w:rsid w:val="00962FFC"/>
    <w:rsid w:val="0096329B"/>
    <w:rsid w:val="00963A2B"/>
    <w:rsid w:val="0096400D"/>
    <w:rsid w:val="00964598"/>
    <w:rsid w:val="00964D3F"/>
    <w:rsid w:val="00965322"/>
    <w:rsid w:val="009659E3"/>
    <w:rsid w:val="0096753D"/>
    <w:rsid w:val="00967728"/>
    <w:rsid w:val="00972259"/>
    <w:rsid w:val="009723A9"/>
    <w:rsid w:val="00974021"/>
    <w:rsid w:val="00974375"/>
    <w:rsid w:val="00976185"/>
    <w:rsid w:val="009771EC"/>
    <w:rsid w:val="00977A55"/>
    <w:rsid w:val="00977D7A"/>
    <w:rsid w:val="00980E79"/>
    <w:rsid w:val="0098154D"/>
    <w:rsid w:val="009815FD"/>
    <w:rsid w:val="00982AAE"/>
    <w:rsid w:val="00983A78"/>
    <w:rsid w:val="00983CBD"/>
    <w:rsid w:val="00984C54"/>
    <w:rsid w:val="00984E52"/>
    <w:rsid w:val="0098526E"/>
    <w:rsid w:val="00985DA7"/>
    <w:rsid w:val="00987A2E"/>
    <w:rsid w:val="009918CC"/>
    <w:rsid w:val="0099220A"/>
    <w:rsid w:val="00994837"/>
    <w:rsid w:val="00994EE2"/>
    <w:rsid w:val="00995219"/>
    <w:rsid w:val="0099598D"/>
    <w:rsid w:val="0099659F"/>
    <w:rsid w:val="00996B2B"/>
    <w:rsid w:val="00997341"/>
    <w:rsid w:val="009A0AED"/>
    <w:rsid w:val="009A0D52"/>
    <w:rsid w:val="009A1BF7"/>
    <w:rsid w:val="009A22B7"/>
    <w:rsid w:val="009A23D1"/>
    <w:rsid w:val="009A29FC"/>
    <w:rsid w:val="009A4664"/>
    <w:rsid w:val="009A4A28"/>
    <w:rsid w:val="009A4B33"/>
    <w:rsid w:val="009A4EF4"/>
    <w:rsid w:val="009A5271"/>
    <w:rsid w:val="009A5675"/>
    <w:rsid w:val="009A6E60"/>
    <w:rsid w:val="009A75D3"/>
    <w:rsid w:val="009A7D84"/>
    <w:rsid w:val="009B051A"/>
    <w:rsid w:val="009B0CD0"/>
    <w:rsid w:val="009B1A8E"/>
    <w:rsid w:val="009B2790"/>
    <w:rsid w:val="009B3D41"/>
    <w:rsid w:val="009B3F6F"/>
    <w:rsid w:val="009B3F71"/>
    <w:rsid w:val="009B4DA7"/>
    <w:rsid w:val="009B628A"/>
    <w:rsid w:val="009B631F"/>
    <w:rsid w:val="009C0210"/>
    <w:rsid w:val="009C0410"/>
    <w:rsid w:val="009C079D"/>
    <w:rsid w:val="009C213B"/>
    <w:rsid w:val="009C2880"/>
    <w:rsid w:val="009C2BB7"/>
    <w:rsid w:val="009C3611"/>
    <w:rsid w:val="009C3991"/>
    <w:rsid w:val="009C4A8B"/>
    <w:rsid w:val="009C5DDA"/>
    <w:rsid w:val="009C79CC"/>
    <w:rsid w:val="009D032C"/>
    <w:rsid w:val="009D07C7"/>
    <w:rsid w:val="009D17C5"/>
    <w:rsid w:val="009D182E"/>
    <w:rsid w:val="009D193B"/>
    <w:rsid w:val="009D3AB1"/>
    <w:rsid w:val="009D3F9F"/>
    <w:rsid w:val="009D488F"/>
    <w:rsid w:val="009D53A0"/>
    <w:rsid w:val="009D6087"/>
    <w:rsid w:val="009D724E"/>
    <w:rsid w:val="009D756E"/>
    <w:rsid w:val="009D7DD8"/>
    <w:rsid w:val="009E0B25"/>
    <w:rsid w:val="009E1188"/>
    <w:rsid w:val="009E262B"/>
    <w:rsid w:val="009E30C0"/>
    <w:rsid w:val="009E53CB"/>
    <w:rsid w:val="009E563E"/>
    <w:rsid w:val="009E5AA5"/>
    <w:rsid w:val="009E64BD"/>
    <w:rsid w:val="009E72E6"/>
    <w:rsid w:val="009E77A4"/>
    <w:rsid w:val="009E7DD1"/>
    <w:rsid w:val="009F2877"/>
    <w:rsid w:val="009F37F1"/>
    <w:rsid w:val="009F45E3"/>
    <w:rsid w:val="009F4DA4"/>
    <w:rsid w:val="009F5358"/>
    <w:rsid w:val="009F55C3"/>
    <w:rsid w:val="009F578E"/>
    <w:rsid w:val="009F58D6"/>
    <w:rsid w:val="009F648E"/>
    <w:rsid w:val="009F6E87"/>
    <w:rsid w:val="009F77C0"/>
    <w:rsid w:val="00A00F86"/>
    <w:rsid w:val="00A01376"/>
    <w:rsid w:val="00A017C3"/>
    <w:rsid w:val="00A0202E"/>
    <w:rsid w:val="00A0217F"/>
    <w:rsid w:val="00A02935"/>
    <w:rsid w:val="00A04F0B"/>
    <w:rsid w:val="00A051DE"/>
    <w:rsid w:val="00A05663"/>
    <w:rsid w:val="00A0600E"/>
    <w:rsid w:val="00A0655E"/>
    <w:rsid w:val="00A06E38"/>
    <w:rsid w:val="00A07B22"/>
    <w:rsid w:val="00A07DFE"/>
    <w:rsid w:val="00A10A22"/>
    <w:rsid w:val="00A10FEC"/>
    <w:rsid w:val="00A11CB1"/>
    <w:rsid w:val="00A1231A"/>
    <w:rsid w:val="00A12757"/>
    <w:rsid w:val="00A17122"/>
    <w:rsid w:val="00A2019E"/>
    <w:rsid w:val="00A202DB"/>
    <w:rsid w:val="00A20579"/>
    <w:rsid w:val="00A20BD5"/>
    <w:rsid w:val="00A20C23"/>
    <w:rsid w:val="00A212DB"/>
    <w:rsid w:val="00A21996"/>
    <w:rsid w:val="00A227FD"/>
    <w:rsid w:val="00A22AE7"/>
    <w:rsid w:val="00A22B0A"/>
    <w:rsid w:val="00A23385"/>
    <w:rsid w:val="00A2359B"/>
    <w:rsid w:val="00A23763"/>
    <w:rsid w:val="00A23B6B"/>
    <w:rsid w:val="00A23BBA"/>
    <w:rsid w:val="00A24082"/>
    <w:rsid w:val="00A24265"/>
    <w:rsid w:val="00A2489D"/>
    <w:rsid w:val="00A26F66"/>
    <w:rsid w:val="00A272E2"/>
    <w:rsid w:val="00A27722"/>
    <w:rsid w:val="00A2778D"/>
    <w:rsid w:val="00A3027F"/>
    <w:rsid w:val="00A3051C"/>
    <w:rsid w:val="00A30633"/>
    <w:rsid w:val="00A31420"/>
    <w:rsid w:val="00A329A9"/>
    <w:rsid w:val="00A3574E"/>
    <w:rsid w:val="00A361A1"/>
    <w:rsid w:val="00A36E32"/>
    <w:rsid w:val="00A373D2"/>
    <w:rsid w:val="00A409AC"/>
    <w:rsid w:val="00A41205"/>
    <w:rsid w:val="00A41EB8"/>
    <w:rsid w:val="00A430D9"/>
    <w:rsid w:val="00A430E8"/>
    <w:rsid w:val="00A44887"/>
    <w:rsid w:val="00A44BAE"/>
    <w:rsid w:val="00A47ACC"/>
    <w:rsid w:val="00A47EA9"/>
    <w:rsid w:val="00A5075C"/>
    <w:rsid w:val="00A50AD1"/>
    <w:rsid w:val="00A5110E"/>
    <w:rsid w:val="00A51776"/>
    <w:rsid w:val="00A5183A"/>
    <w:rsid w:val="00A52056"/>
    <w:rsid w:val="00A52E53"/>
    <w:rsid w:val="00A5395A"/>
    <w:rsid w:val="00A54000"/>
    <w:rsid w:val="00A54140"/>
    <w:rsid w:val="00A549B7"/>
    <w:rsid w:val="00A55BAE"/>
    <w:rsid w:val="00A56AFA"/>
    <w:rsid w:val="00A57CEE"/>
    <w:rsid w:val="00A60649"/>
    <w:rsid w:val="00A61896"/>
    <w:rsid w:val="00A62540"/>
    <w:rsid w:val="00A63618"/>
    <w:rsid w:val="00A64233"/>
    <w:rsid w:val="00A647DE"/>
    <w:rsid w:val="00A6571F"/>
    <w:rsid w:val="00A65F5E"/>
    <w:rsid w:val="00A67365"/>
    <w:rsid w:val="00A67D78"/>
    <w:rsid w:val="00A70EFD"/>
    <w:rsid w:val="00A71C2F"/>
    <w:rsid w:val="00A71E51"/>
    <w:rsid w:val="00A724B0"/>
    <w:rsid w:val="00A7294D"/>
    <w:rsid w:val="00A72C0A"/>
    <w:rsid w:val="00A72D6C"/>
    <w:rsid w:val="00A73694"/>
    <w:rsid w:val="00A751AE"/>
    <w:rsid w:val="00A7560F"/>
    <w:rsid w:val="00A76107"/>
    <w:rsid w:val="00A7651F"/>
    <w:rsid w:val="00A77A4D"/>
    <w:rsid w:val="00A80079"/>
    <w:rsid w:val="00A80E58"/>
    <w:rsid w:val="00A82953"/>
    <w:rsid w:val="00A83D38"/>
    <w:rsid w:val="00A8406B"/>
    <w:rsid w:val="00A846B1"/>
    <w:rsid w:val="00A84F78"/>
    <w:rsid w:val="00A857C1"/>
    <w:rsid w:val="00A85EA4"/>
    <w:rsid w:val="00A862AD"/>
    <w:rsid w:val="00A86C04"/>
    <w:rsid w:val="00A87502"/>
    <w:rsid w:val="00A92C07"/>
    <w:rsid w:val="00A9410B"/>
    <w:rsid w:val="00A948C2"/>
    <w:rsid w:val="00A948F1"/>
    <w:rsid w:val="00A95371"/>
    <w:rsid w:val="00A95690"/>
    <w:rsid w:val="00A9617B"/>
    <w:rsid w:val="00AA06E6"/>
    <w:rsid w:val="00AA0AA1"/>
    <w:rsid w:val="00AA0DBA"/>
    <w:rsid w:val="00AA2184"/>
    <w:rsid w:val="00AA3872"/>
    <w:rsid w:val="00AA3902"/>
    <w:rsid w:val="00AA40A5"/>
    <w:rsid w:val="00AA5441"/>
    <w:rsid w:val="00AA572D"/>
    <w:rsid w:val="00AA6138"/>
    <w:rsid w:val="00AA6F8F"/>
    <w:rsid w:val="00AA7D4E"/>
    <w:rsid w:val="00AA7DC8"/>
    <w:rsid w:val="00AB109C"/>
    <w:rsid w:val="00AB28BF"/>
    <w:rsid w:val="00AB2C6D"/>
    <w:rsid w:val="00AB2E10"/>
    <w:rsid w:val="00AB32F1"/>
    <w:rsid w:val="00AB35CB"/>
    <w:rsid w:val="00AB5025"/>
    <w:rsid w:val="00AB57E9"/>
    <w:rsid w:val="00AB5873"/>
    <w:rsid w:val="00AB70A3"/>
    <w:rsid w:val="00AB7F96"/>
    <w:rsid w:val="00AC20B2"/>
    <w:rsid w:val="00AC2329"/>
    <w:rsid w:val="00AC2353"/>
    <w:rsid w:val="00AC23BD"/>
    <w:rsid w:val="00AC2A27"/>
    <w:rsid w:val="00AC3C33"/>
    <w:rsid w:val="00AC3F88"/>
    <w:rsid w:val="00AC5068"/>
    <w:rsid w:val="00AC516B"/>
    <w:rsid w:val="00AC517C"/>
    <w:rsid w:val="00AC5862"/>
    <w:rsid w:val="00AC5D3F"/>
    <w:rsid w:val="00AC6204"/>
    <w:rsid w:val="00AC6F63"/>
    <w:rsid w:val="00AD1338"/>
    <w:rsid w:val="00AD191A"/>
    <w:rsid w:val="00AD1938"/>
    <w:rsid w:val="00AD1963"/>
    <w:rsid w:val="00AD1A74"/>
    <w:rsid w:val="00AD1FB1"/>
    <w:rsid w:val="00AD425C"/>
    <w:rsid w:val="00AD4E12"/>
    <w:rsid w:val="00AD60E7"/>
    <w:rsid w:val="00AD785F"/>
    <w:rsid w:val="00AE0168"/>
    <w:rsid w:val="00AE18D7"/>
    <w:rsid w:val="00AE18F5"/>
    <w:rsid w:val="00AE2C98"/>
    <w:rsid w:val="00AE2E30"/>
    <w:rsid w:val="00AE3FFA"/>
    <w:rsid w:val="00AE467B"/>
    <w:rsid w:val="00AE4DCE"/>
    <w:rsid w:val="00AE53DE"/>
    <w:rsid w:val="00AE5542"/>
    <w:rsid w:val="00AE7873"/>
    <w:rsid w:val="00AF0996"/>
    <w:rsid w:val="00AF1643"/>
    <w:rsid w:val="00AF1679"/>
    <w:rsid w:val="00AF1AB4"/>
    <w:rsid w:val="00AF1FD7"/>
    <w:rsid w:val="00AF4FFE"/>
    <w:rsid w:val="00AF59C7"/>
    <w:rsid w:val="00AF6EEE"/>
    <w:rsid w:val="00AF7968"/>
    <w:rsid w:val="00AF7EAE"/>
    <w:rsid w:val="00B00154"/>
    <w:rsid w:val="00B00617"/>
    <w:rsid w:val="00B0109D"/>
    <w:rsid w:val="00B03BFA"/>
    <w:rsid w:val="00B05864"/>
    <w:rsid w:val="00B065DF"/>
    <w:rsid w:val="00B06EAA"/>
    <w:rsid w:val="00B06F27"/>
    <w:rsid w:val="00B072A3"/>
    <w:rsid w:val="00B07404"/>
    <w:rsid w:val="00B0784D"/>
    <w:rsid w:val="00B101DE"/>
    <w:rsid w:val="00B1095C"/>
    <w:rsid w:val="00B10A6D"/>
    <w:rsid w:val="00B10AC1"/>
    <w:rsid w:val="00B110E3"/>
    <w:rsid w:val="00B1143F"/>
    <w:rsid w:val="00B117F5"/>
    <w:rsid w:val="00B121D6"/>
    <w:rsid w:val="00B13C20"/>
    <w:rsid w:val="00B13C5C"/>
    <w:rsid w:val="00B15CF5"/>
    <w:rsid w:val="00B1640B"/>
    <w:rsid w:val="00B2001B"/>
    <w:rsid w:val="00B20334"/>
    <w:rsid w:val="00B203D1"/>
    <w:rsid w:val="00B2063B"/>
    <w:rsid w:val="00B21218"/>
    <w:rsid w:val="00B2146F"/>
    <w:rsid w:val="00B21E78"/>
    <w:rsid w:val="00B22775"/>
    <w:rsid w:val="00B23F73"/>
    <w:rsid w:val="00B241B4"/>
    <w:rsid w:val="00B243CD"/>
    <w:rsid w:val="00B245B3"/>
    <w:rsid w:val="00B24FB9"/>
    <w:rsid w:val="00B251B1"/>
    <w:rsid w:val="00B25B85"/>
    <w:rsid w:val="00B25C4B"/>
    <w:rsid w:val="00B2651E"/>
    <w:rsid w:val="00B2787B"/>
    <w:rsid w:val="00B301C5"/>
    <w:rsid w:val="00B3080C"/>
    <w:rsid w:val="00B31C33"/>
    <w:rsid w:val="00B321A7"/>
    <w:rsid w:val="00B332B6"/>
    <w:rsid w:val="00B347FE"/>
    <w:rsid w:val="00B34C43"/>
    <w:rsid w:val="00B36030"/>
    <w:rsid w:val="00B36B80"/>
    <w:rsid w:val="00B40600"/>
    <w:rsid w:val="00B41491"/>
    <w:rsid w:val="00B425DA"/>
    <w:rsid w:val="00B4341E"/>
    <w:rsid w:val="00B437D6"/>
    <w:rsid w:val="00B43FD7"/>
    <w:rsid w:val="00B4419D"/>
    <w:rsid w:val="00B477AB"/>
    <w:rsid w:val="00B503F6"/>
    <w:rsid w:val="00B521AF"/>
    <w:rsid w:val="00B5412D"/>
    <w:rsid w:val="00B541F3"/>
    <w:rsid w:val="00B54957"/>
    <w:rsid w:val="00B54EEB"/>
    <w:rsid w:val="00B555AD"/>
    <w:rsid w:val="00B55C13"/>
    <w:rsid w:val="00B56648"/>
    <w:rsid w:val="00B56BB7"/>
    <w:rsid w:val="00B6257D"/>
    <w:rsid w:val="00B63342"/>
    <w:rsid w:val="00B63C62"/>
    <w:rsid w:val="00B6459B"/>
    <w:rsid w:val="00B647E3"/>
    <w:rsid w:val="00B64C53"/>
    <w:rsid w:val="00B65145"/>
    <w:rsid w:val="00B659FB"/>
    <w:rsid w:val="00B67840"/>
    <w:rsid w:val="00B67C6F"/>
    <w:rsid w:val="00B71747"/>
    <w:rsid w:val="00B72715"/>
    <w:rsid w:val="00B72B8F"/>
    <w:rsid w:val="00B72FCF"/>
    <w:rsid w:val="00B73F7E"/>
    <w:rsid w:val="00B748C6"/>
    <w:rsid w:val="00B74B2D"/>
    <w:rsid w:val="00B74D8B"/>
    <w:rsid w:val="00B75985"/>
    <w:rsid w:val="00B76C56"/>
    <w:rsid w:val="00B774EA"/>
    <w:rsid w:val="00B80BEE"/>
    <w:rsid w:val="00B83232"/>
    <w:rsid w:val="00B83F2F"/>
    <w:rsid w:val="00B840F7"/>
    <w:rsid w:val="00B842D7"/>
    <w:rsid w:val="00B84639"/>
    <w:rsid w:val="00B84876"/>
    <w:rsid w:val="00B861CF"/>
    <w:rsid w:val="00B8645B"/>
    <w:rsid w:val="00B86461"/>
    <w:rsid w:val="00B864BF"/>
    <w:rsid w:val="00B909E0"/>
    <w:rsid w:val="00B90C5C"/>
    <w:rsid w:val="00B91199"/>
    <w:rsid w:val="00B9221E"/>
    <w:rsid w:val="00B924B7"/>
    <w:rsid w:val="00B92CE1"/>
    <w:rsid w:val="00B93424"/>
    <w:rsid w:val="00B935B7"/>
    <w:rsid w:val="00B93714"/>
    <w:rsid w:val="00B9382D"/>
    <w:rsid w:val="00B941D0"/>
    <w:rsid w:val="00B9431B"/>
    <w:rsid w:val="00B949AF"/>
    <w:rsid w:val="00B95043"/>
    <w:rsid w:val="00B9536D"/>
    <w:rsid w:val="00B956C9"/>
    <w:rsid w:val="00B95E6E"/>
    <w:rsid w:val="00B962D6"/>
    <w:rsid w:val="00BA054D"/>
    <w:rsid w:val="00BA0B5C"/>
    <w:rsid w:val="00BA0D24"/>
    <w:rsid w:val="00BA0E85"/>
    <w:rsid w:val="00BA14B4"/>
    <w:rsid w:val="00BA2D3F"/>
    <w:rsid w:val="00BA3770"/>
    <w:rsid w:val="00BA3EF0"/>
    <w:rsid w:val="00BA4987"/>
    <w:rsid w:val="00BA56AF"/>
    <w:rsid w:val="00BA5853"/>
    <w:rsid w:val="00BA76E1"/>
    <w:rsid w:val="00BA7F64"/>
    <w:rsid w:val="00BB0631"/>
    <w:rsid w:val="00BB0A2D"/>
    <w:rsid w:val="00BB2D9C"/>
    <w:rsid w:val="00BB3B2C"/>
    <w:rsid w:val="00BB4A8A"/>
    <w:rsid w:val="00BB4DE7"/>
    <w:rsid w:val="00BB4FC4"/>
    <w:rsid w:val="00BB5034"/>
    <w:rsid w:val="00BB55DE"/>
    <w:rsid w:val="00BB5C0D"/>
    <w:rsid w:val="00BB6187"/>
    <w:rsid w:val="00BC08C2"/>
    <w:rsid w:val="00BC0C58"/>
    <w:rsid w:val="00BC271F"/>
    <w:rsid w:val="00BC2B2B"/>
    <w:rsid w:val="00BC3039"/>
    <w:rsid w:val="00BC37E5"/>
    <w:rsid w:val="00BC4EE4"/>
    <w:rsid w:val="00BC55AD"/>
    <w:rsid w:val="00BC5993"/>
    <w:rsid w:val="00BC60E2"/>
    <w:rsid w:val="00BC7C20"/>
    <w:rsid w:val="00BD118D"/>
    <w:rsid w:val="00BD2CA1"/>
    <w:rsid w:val="00BD30D4"/>
    <w:rsid w:val="00BD3736"/>
    <w:rsid w:val="00BD4132"/>
    <w:rsid w:val="00BD500D"/>
    <w:rsid w:val="00BD50DC"/>
    <w:rsid w:val="00BD5417"/>
    <w:rsid w:val="00BD5BD8"/>
    <w:rsid w:val="00BD66AB"/>
    <w:rsid w:val="00BD6DD1"/>
    <w:rsid w:val="00BD738C"/>
    <w:rsid w:val="00BE0008"/>
    <w:rsid w:val="00BE0FF6"/>
    <w:rsid w:val="00BE111F"/>
    <w:rsid w:val="00BE1D3B"/>
    <w:rsid w:val="00BE2578"/>
    <w:rsid w:val="00BE2FB1"/>
    <w:rsid w:val="00BE320D"/>
    <w:rsid w:val="00BE3340"/>
    <w:rsid w:val="00BE3F42"/>
    <w:rsid w:val="00BE4B29"/>
    <w:rsid w:val="00BE5C55"/>
    <w:rsid w:val="00BE64EB"/>
    <w:rsid w:val="00BE6984"/>
    <w:rsid w:val="00BE6C4F"/>
    <w:rsid w:val="00BE7559"/>
    <w:rsid w:val="00BE7AAC"/>
    <w:rsid w:val="00BE7C46"/>
    <w:rsid w:val="00BF2028"/>
    <w:rsid w:val="00BF2558"/>
    <w:rsid w:val="00BF25F9"/>
    <w:rsid w:val="00BF2B31"/>
    <w:rsid w:val="00BF32FA"/>
    <w:rsid w:val="00BF37E1"/>
    <w:rsid w:val="00BF45AA"/>
    <w:rsid w:val="00BF45C1"/>
    <w:rsid w:val="00BF4809"/>
    <w:rsid w:val="00BF5E05"/>
    <w:rsid w:val="00BF64AF"/>
    <w:rsid w:val="00BF65BD"/>
    <w:rsid w:val="00BF7AC5"/>
    <w:rsid w:val="00C00610"/>
    <w:rsid w:val="00C02524"/>
    <w:rsid w:val="00C035BB"/>
    <w:rsid w:val="00C037A2"/>
    <w:rsid w:val="00C040AD"/>
    <w:rsid w:val="00C043B8"/>
    <w:rsid w:val="00C04FF7"/>
    <w:rsid w:val="00C05830"/>
    <w:rsid w:val="00C06FC7"/>
    <w:rsid w:val="00C07A57"/>
    <w:rsid w:val="00C07CE0"/>
    <w:rsid w:val="00C11D84"/>
    <w:rsid w:val="00C1206E"/>
    <w:rsid w:val="00C12423"/>
    <w:rsid w:val="00C131E1"/>
    <w:rsid w:val="00C14A5C"/>
    <w:rsid w:val="00C14E0F"/>
    <w:rsid w:val="00C15AC4"/>
    <w:rsid w:val="00C17FC1"/>
    <w:rsid w:val="00C20E4C"/>
    <w:rsid w:val="00C211C5"/>
    <w:rsid w:val="00C21BD1"/>
    <w:rsid w:val="00C22C74"/>
    <w:rsid w:val="00C24E2A"/>
    <w:rsid w:val="00C2567B"/>
    <w:rsid w:val="00C2571C"/>
    <w:rsid w:val="00C26B3A"/>
    <w:rsid w:val="00C27EDC"/>
    <w:rsid w:val="00C27FFB"/>
    <w:rsid w:val="00C32D9D"/>
    <w:rsid w:val="00C3300A"/>
    <w:rsid w:val="00C33A63"/>
    <w:rsid w:val="00C33A6A"/>
    <w:rsid w:val="00C34C32"/>
    <w:rsid w:val="00C35A5B"/>
    <w:rsid w:val="00C37384"/>
    <w:rsid w:val="00C37662"/>
    <w:rsid w:val="00C3777C"/>
    <w:rsid w:val="00C37BBC"/>
    <w:rsid w:val="00C404C2"/>
    <w:rsid w:val="00C41BA3"/>
    <w:rsid w:val="00C42061"/>
    <w:rsid w:val="00C4234E"/>
    <w:rsid w:val="00C42469"/>
    <w:rsid w:val="00C42C89"/>
    <w:rsid w:val="00C42F07"/>
    <w:rsid w:val="00C43782"/>
    <w:rsid w:val="00C43A21"/>
    <w:rsid w:val="00C447B9"/>
    <w:rsid w:val="00C44BF3"/>
    <w:rsid w:val="00C44D6F"/>
    <w:rsid w:val="00C45179"/>
    <w:rsid w:val="00C474BD"/>
    <w:rsid w:val="00C47D8B"/>
    <w:rsid w:val="00C51334"/>
    <w:rsid w:val="00C525D8"/>
    <w:rsid w:val="00C526E4"/>
    <w:rsid w:val="00C5523B"/>
    <w:rsid w:val="00C56281"/>
    <w:rsid w:val="00C56D75"/>
    <w:rsid w:val="00C57A78"/>
    <w:rsid w:val="00C60A11"/>
    <w:rsid w:val="00C61043"/>
    <w:rsid w:val="00C62060"/>
    <w:rsid w:val="00C624BB"/>
    <w:rsid w:val="00C62D97"/>
    <w:rsid w:val="00C63802"/>
    <w:rsid w:val="00C64928"/>
    <w:rsid w:val="00C66EA3"/>
    <w:rsid w:val="00C676F3"/>
    <w:rsid w:val="00C6770F"/>
    <w:rsid w:val="00C678AE"/>
    <w:rsid w:val="00C70215"/>
    <w:rsid w:val="00C70443"/>
    <w:rsid w:val="00C70E12"/>
    <w:rsid w:val="00C71084"/>
    <w:rsid w:val="00C71A82"/>
    <w:rsid w:val="00C72039"/>
    <w:rsid w:val="00C72DEF"/>
    <w:rsid w:val="00C7315F"/>
    <w:rsid w:val="00C73EF4"/>
    <w:rsid w:val="00C74B0D"/>
    <w:rsid w:val="00C755EE"/>
    <w:rsid w:val="00C75864"/>
    <w:rsid w:val="00C766C1"/>
    <w:rsid w:val="00C770A5"/>
    <w:rsid w:val="00C800BC"/>
    <w:rsid w:val="00C827B3"/>
    <w:rsid w:val="00C829E2"/>
    <w:rsid w:val="00C82BF5"/>
    <w:rsid w:val="00C855D6"/>
    <w:rsid w:val="00C86B28"/>
    <w:rsid w:val="00C8749F"/>
    <w:rsid w:val="00C87E60"/>
    <w:rsid w:val="00C90D86"/>
    <w:rsid w:val="00C92EAE"/>
    <w:rsid w:val="00C9317E"/>
    <w:rsid w:val="00C93E72"/>
    <w:rsid w:val="00C95306"/>
    <w:rsid w:val="00C955B0"/>
    <w:rsid w:val="00C956F4"/>
    <w:rsid w:val="00C97F4E"/>
    <w:rsid w:val="00CA014D"/>
    <w:rsid w:val="00CA01E7"/>
    <w:rsid w:val="00CA10A0"/>
    <w:rsid w:val="00CA205E"/>
    <w:rsid w:val="00CA3FAE"/>
    <w:rsid w:val="00CA4AC9"/>
    <w:rsid w:val="00CA60AD"/>
    <w:rsid w:val="00CA61D0"/>
    <w:rsid w:val="00CA6758"/>
    <w:rsid w:val="00CA7C4E"/>
    <w:rsid w:val="00CA7F3F"/>
    <w:rsid w:val="00CB0121"/>
    <w:rsid w:val="00CB095F"/>
    <w:rsid w:val="00CB1202"/>
    <w:rsid w:val="00CB1DBB"/>
    <w:rsid w:val="00CB1E1A"/>
    <w:rsid w:val="00CB2BC6"/>
    <w:rsid w:val="00CB2CD2"/>
    <w:rsid w:val="00CB32A3"/>
    <w:rsid w:val="00CB5C5E"/>
    <w:rsid w:val="00CB5CA5"/>
    <w:rsid w:val="00CB66B0"/>
    <w:rsid w:val="00CB6742"/>
    <w:rsid w:val="00CB693A"/>
    <w:rsid w:val="00CB6A0C"/>
    <w:rsid w:val="00CB6E08"/>
    <w:rsid w:val="00CB70A6"/>
    <w:rsid w:val="00CC037D"/>
    <w:rsid w:val="00CC1351"/>
    <w:rsid w:val="00CC2D2B"/>
    <w:rsid w:val="00CC3C8D"/>
    <w:rsid w:val="00CC4890"/>
    <w:rsid w:val="00CC4A33"/>
    <w:rsid w:val="00CC4E1F"/>
    <w:rsid w:val="00CC5B99"/>
    <w:rsid w:val="00CC5D85"/>
    <w:rsid w:val="00CC6CB0"/>
    <w:rsid w:val="00CC6EF7"/>
    <w:rsid w:val="00CC7206"/>
    <w:rsid w:val="00CD033D"/>
    <w:rsid w:val="00CD1118"/>
    <w:rsid w:val="00CD232B"/>
    <w:rsid w:val="00CD2347"/>
    <w:rsid w:val="00CD3595"/>
    <w:rsid w:val="00CD3A18"/>
    <w:rsid w:val="00CD3A22"/>
    <w:rsid w:val="00CD54D7"/>
    <w:rsid w:val="00CD59E9"/>
    <w:rsid w:val="00CD6CA7"/>
    <w:rsid w:val="00CD7E05"/>
    <w:rsid w:val="00CE1235"/>
    <w:rsid w:val="00CE1852"/>
    <w:rsid w:val="00CE2783"/>
    <w:rsid w:val="00CE2CEA"/>
    <w:rsid w:val="00CE2D68"/>
    <w:rsid w:val="00CE3255"/>
    <w:rsid w:val="00CE36CA"/>
    <w:rsid w:val="00CE3ABE"/>
    <w:rsid w:val="00CE3CA8"/>
    <w:rsid w:val="00CE445B"/>
    <w:rsid w:val="00CE578F"/>
    <w:rsid w:val="00CE6FD6"/>
    <w:rsid w:val="00CE73D3"/>
    <w:rsid w:val="00CE7DAF"/>
    <w:rsid w:val="00CF0143"/>
    <w:rsid w:val="00CF059B"/>
    <w:rsid w:val="00CF1036"/>
    <w:rsid w:val="00CF1807"/>
    <w:rsid w:val="00CF2A3C"/>
    <w:rsid w:val="00CF2FA2"/>
    <w:rsid w:val="00CF43F2"/>
    <w:rsid w:val="00CF4620"/>
    <w:rsid w:val="00CF53AF"/>
    <w:rsid w:val="00CF5E82"/>
    <w:rsid w:val="00CF6B48"/>
    <w:rsid w:val="00CF76F7"/>
    <w:rsid w:val="00D024D7"/>
    <w:rsid w:val="00D02D4B"/>
    <w:rsid w:val="00D0303B"/>
    <w:rsid w:val="00D035A9"/>
    <w:rsid w:val="00D038E9"/>
    <w:rsid w:val="00D03C08"/>
    <w:rsid w:val="00D04275"/>
    <w:rsid w:val="00D0519E"/>
    <w:rsid w:val="00D059AC"/>
    <w:rsid w:val="00D10AF0"/>
    <w:rsid w:val="00D1131A"/>
    <w:rsid w:val="00D11C6B"/>
    <w:rsid w:val="00D11DA5"/>
    <w:rsid w:val="00D12111"/>
    <w:rsid w:val="00D13A54"/>
    <w:rsid w:val="00D15F92"/>
    <w:rsid w:val="00D16181"/>
    <w:rsid w:val="00D1645A"/>
    <w:rsid w:val="00D166B1"/>
    <w:rsid w:val="00D17B18"/>
    <w:rsid w:val="00D17FBC"/>
    <w:rsid w:val="00D203D4"/>
    <w:rsid w:val="00D20579"/>
    <w:rsid w:val="00D2085E"/>
    <w:rsid w:val="00D20A62"/>
    <w:rsid w:val="00D214DF"/>
    <w:rsid w:val="00D22B95"/>
    <w:rsid w:val="00D22E6A"/>
    <w:rsid w:val="00D22F27"/>
    <w:rsid w:val="00D23188"/>
    <w:rsid w:val="00D231E5"/>
    <w:rsid w:val="00D245C7"/>
    <w:rsid w:val="00D25AA1"/>
    <w:rsid w:val="00D26599"/>
    <w:rsid w:val="00D27B1E"/>
    <w:rsid w:val="00D308B5"/>
    <w:rsid w:val="00D312AE"/>
    <w:rsid w:val="00D322CE"/>
    <w:rsid w:val="00D32335"/>
    <w:rsid w:val="00D34FD0"/>
    <w:rsid w:val="00D4050A"/>
    <w:rsid w:val="00D40D42"/>
    <w:rsid w:val="00D40F35"/>
    <w:rsid w:val="00D42145"/>
    <w:rsid w:val="00D42189"/>
    <w:rsid w:val="00D4315B"/>
    <w:rsid w:val="00D44A3B"/>
    <w:rsid w:val="00D45FA7"/>
    <w:rsid w:val="00D46277"/>
    <w:rsid w:val="00D46A20"/>
    <w:rsid w:val="00D46EA2"/>
    <w:rsid w:val="00D473EF"/>
    <w:rsid w:val="00D4750C"/>
    <w:rsid w:val="00D47609"/>
    <w:rsid w:val="00D476C0"/>
    <w:rsid w:val="00D501BA"/>
    <w:rsid w:val="00D52F1D"/>
    <w:rsid w:val="00D53B48"/>
    <w:rsid w:val="00D53EDC"/>
    <w:rsid w:val="00D54DB7"/>
    <w:rsid w:val="00D55526"/>
    <w:rsid w:val="00D563A3"/>
    <w:rsid w:val="00D56E9F"/>
    <w:rsid w:val="00D5712E"/>
    <w:rsid w:val="00D57DE4"/>
    <w:rsid w:val="00D57E46"/>
    <w:rsid w:val="00D600DD"/>
    <w:rsid w:val="00D60186"/>
    <w:rsid w:val="00D604C1"/>
    <w:rsid w:val="00D6070D"/>
    <w:rsid w:val="00D61A55"/>
    <w:rsid w:val="00D61E87"/>
    <w:rsid w:val="00D62012"/>
    <w:rsid w:val="00D62993"/>
    <w:rsid w:val="00D63328"/>
    <w:rsid w:val="00D6356F"/>
    <w:rsid w:val="00D6466D"/>
    <w:rsid w:val="00D64E2F"/>
    <w:rsid w:val="00D64EB1"/>
    <w:rsid w:val="00D65063"/>
    <w:rsid w:val="00D65B25"/>
    <w:rsid w:val="00D65F6E"/>
    <w:rsid w:val="00D66CC3"/>
    <w:rsid w:val="00D67653"/>
    <w:rsid w:val="00D703AC"/>
    <w:rsid w:val="00D71289"/>
    <w:rsid w:val="00D71409"/>
    <w:rsid w:val="00D71526"/>
    <w:rsid w:val="00D720D9"/>
    <w:rsid w:val="00D72A0E"/>
    <w:rsid w:val="00D72D6A"/>
    <w:rsid w:val="00D74D91"/>
    <w:rsid w:val="00D76E88"/>
    <w:rsid w:val="00D77B70"/>
    <w:rsid w:val="00D80206"/>
    <w:rsid w:val="00D81A73"/>
    <w:rsid w:val="00D82319"/>
    <w:rsid w:val="00D8285A"/>
    <w:rsid w:val="00D835D3"/>
    <w:rsid w:val="00D84F6D"/>
    <w:rsid w:val="00D863A1"/>
    <w:rsid w:val="00D86647"/>
    <w:rsid w:val="00D868CA"/>
    <w:rsid w:val="00D86B69"/>
    <w:rsid w:val="00D8762E"/>
    <w:rsid w:val="00D8795F"/>
    <w:rsid w:val="00D87CAE"/>
    <w:rsid w:val="00D87FE7"/>
    <w:rsid w:val="00D9047F"/>
    <w:rsid w:val="00D91039"/>
    <w:rsid w:val="00D910DD"/>
    <w:rsid w:val="00D91781"/>
    <w:rsid w:val="00D93EC2"/>
    <w:rsid w:val="00D967A6"/>
    <w:rsid w:val="00D9683E"/>
    <w:rsid w:val="00D96877"/>
    <w:rsid w:val="00D97413"/>
    <w:rsid w:val="00D975C4"/>
    <w:rsid w:val="00DA04B2"/>
    <w:rsid w:val="00DA0B14"/>
    <w:rsid w:val="00DA3957"/>
    <w:rsid w:val="00DA496D"/>
    <w:rsid w:val="00DA4EAE"/>
    <w:rsid w:val="00DA5231"/>
    <w:rsid w:val="00DA5B39"/>
    <w:rsid w:val="00DA672F"/>
    <w:rsid w:val="00DA6A00"/>
    <w:rsid w:val="00DA7834"/>
    <w:rsid w:val="00DA7F94"/>
    <w:rsid w:val="00DB21EF"/>
    <w:rsid w:val="00DB2242"/>
    <w:rsid w:val="00DB37AE"/>
    <w:rsid w:val="00DB39EB"/>
    <w:rsid w:val="00DB4C17"/>
    <w:rsid w:val="00DB6C6B"/>
    <w:rsid w:val="00DB6DA0"/>
    <w:rsid w:val="00DB6F80"/>
    <w:rsid w:val="00DB769A"/>
    <w:rsid w:val="00DB795F"/>
    <w:rsid w:val="00DB7DF5"/>
    <w:rsid w:val="00DC05B4"/>
    <w:rsid w:val="00DC17C9"/>
    <w:rsid w:val="00DC18B4"/>
    <w:rsid w:val="00DC1964"/>
    <w:rsid w:val="00DC1CEE"/>
    <w:rsid w:val="00DC1F1F"/>
    <w:rsid w:val="00DC2936"/>
    <w:rsid w:val="00DC3045"/>
    <w:rsid w:val="00DC3204"/>
    <w:rsid w:val="00DC401F"/>
    <w:rsid w:val="00DC4655"/>
    <w:rsid w:val="00DC476A"/>
    <w:rsid w:val="00DC4D91"/>
    <w:rsid w:val="00DC591A"/>
    <w:rsid w:val="00DC6624"/>
    <w:rsid w:val="00DD0B96"/>
    <w:rsid w:val="00DD2782"/>
    <w:rsid w:val="00DD389D"/>
    <w:rsid w:val="00DD52FF"/>
    <w:rsid w:val="00DD5866"/>
    <w:rsid w:val="00DD5EBB"/>
    <w:rsid w:val="00DD63AB"/>
    <w:rsid w:val="00DD6958"/>
    <w:rsid w:val="00DD7D5B"/>
    <w:rsid w:val="00DD7EB7"/>
    <w:rsid w:val="00DD7F5B"/>
    <w:rsid w:val="00DE0B29"/>
    <w:rsid w:val="00DE1471"/>
    <w:rsid w:val="00DE15D1"/>
    <w:rsid w:val="00DE1AB7"/>
    <w:rsid w:val="00DE27EA"/>
    <w:rsid w:val="00DE302B"/>
    <w:rsid w:val="00DE33AD"/>
    <w:rsid w:val="00DE3916"/>
    <w:rsid w:val="00DE3A20"/>
    <w:rsid w:val="00DE5B59"/>
    <w:rsid w:val="00DE5D08"/>
    <w:rsid w:val="00DE6840"/>
    <w:rsid w:val="00DE7E1D"/>
    <w:rsid w:val="00DF1973"/>
    <w:rsid w:val="00DF1C6F"/>
    <w:rsid w:val="00DF2B68"/>
    <w:rsid w:val="00DF31D9"/>
    <w:rsid w:val="00DF375F"/>
    <w:rsid w:val="00DF3FB2"/>
    <w:rsid w:val="00DF476C"/>
    <w:rsid w:val="00DF4DA9"/>
    <w:rsid w:val="00DF50AC"/>
    <w:rsid w:val="00DF6CD1"/>
    <w:rsid w:val="00DF6D65"/>
    <w:rsid w:val="00DF716E"/>
    <w:rsid w:val="00DF737D"/>
    <w:rsid w:val="00DF77D5"/>
    <w:rsid w:val="00DF7CE6"/>
    <w:rsid w:val="00E00847"/>
    <w:rsid w:val="00E01432"/>
    <w:rsid w:val="00E023E8"/>
    <w:rsid w:val="00E02563"/>
    <w:rsid w:val="00E02A20"/>
    <w:rsid w:val="00E02EFC"/>
    <w:rsid w:val="00E0445A"/>
    <w:rsid w:val="00E04EED"/>
    <w:rsid w:val="00E05CCE"/>
    <w:rsid w:val="00E06A73"/>
    <w:rsid w:val="00E07409"/>
    <w:rsid w:val="00E0771F"/>
    <w:rsid w:val="00E078D0"/>
    <w:rsid w:val="00E079D5"/>
    <w:rsid w:val="00E07BF7"/>
    <w:rsid w:val="00E1024A"/>
    <w:rsid w:val="00E1122D"/>
    <w:rsid w:val="00E11CFA"/>
    <w:rsid w:val="00E126AA"/>
    <w:rsid w:val="00E152BF"/>
    <w:rsid w:val="00E1556F"/>
    <w:rsid w:val="00E16CF9"/>
    <w:rsid w:val="00E16F1E"/>
    <w:rsid w:val="00E17AB7"/>
    <w:rsid w:val="00E205A1"/>
    <w:rsid w:val="00E23733"/>
    <w:rsid w:val="00E23F3F"/>
    <w:rsid w:val="00E24125"/>
    <w:rsid w:val="00E247B3"/>
    <w:rsid w:val="00E24E2B"/>
    <w:rsid w:val="00E25337"/>
    <w:rsid w:val="00E25A51"/>
    <w:rsid w:val="00E25E31"/>
    <w:rsid w:val="00E264F7"/>
    <w:rsid w:val="00E26F1E"/>
    <w:rsid w:val="00E2751E"/>
    <w:rsid w:val="00E30AF6"/>
    <w:rsid w:val="00E31129"/>
    <w:rsid w:val="00E31618"/>
    <w:rsid w:val="00E3180A"/>
    <w:rsid w:val="00E32B51"/>
    <w:rsid w:val="00E33EDB"/>
    <w:rsid w:val="00E347D1"/>
    <w:rsid w:val="00E357E9"/>
    <w:rsid w:val="00E35BDC"/>
    <w:rsid w:val="00E3671F"/>
    <w:rsid w:val="00E368BD"/>
    <w:rsid w:val="00E369F1"/>
    <w:rsid w:val="00E36DA2"/>
    <w:rsid w:val="00E37715"/>
    <w:rsid w:val="00E37A80"/>
    <w:rsid w:val="00E40182"/>
    <w:rsid w:val="00E41BCA"/>
    <w:rsid w:val="00E4379E"/>
    <w:rsid w:val="00E44E5E"/>
    <w:rsid w:val="00E4695E"/>
    <w:rsid w:val="00E46B05"/>
    <w:rsid w:val="00E46BE9"/>
    <w:rsid w:val="00E471E4"/>
    <w:rsid w:val="00E47AAF"/>
    <w:rsid w:val="00E50346"/>
    <w:rsid w:val="00E5229F"/>
    <w:rsid w:val="00E52EFA"/>
    <w:rsid w:val="00E5303F"/>
    <w:rsid w:val="00E53208"/>
    <w:rsid w:val="00E5455C"/>
    <w:rsid w:val="00E5483D"/>
    <w:rsid w:val="00E54E5F"/>
    <w:rsid w:val="00E54EB1"/>
    <w:rsid w:val="00E55031"/>
    <w:rsid w:val="00E57091"/>
    <w:rsid w:val="00E615C5"/>
    <w:rsid w:val="00E61AE0"/>
    <w:rsid w:val="00E6429E"/>
    <w:rsid w:val="00E64A9D"/>
    <w:rsid w:val="00E6632F"/>
    <w:rsid w:val="00E66548"/>
    <w:rsid w:val="00E6697E"/>
    <w:rsid w:val="00E67110"/>
    <w:rsid w:val="00E676CF"/>
    <w:rsid w:val="00E67D19"/>
    <w:rsid w:val="00E706C6"/>
    <w:rsid w:val="00E7096F"/>
    <w:rsid w:val="00E72484"/>
    <w:rsid w:val="00E728A1"/>
    <w:rsid w:val="00E73EC9"/>
    <w:rsid w:val="00E73F0B"/>
    <w:rsid w:val="00E74072"/>
    <w:rsid w:val="00E74235"/>
    <w:rsid w:val="00E7475A"/>
    <w:rsid w:val="00E74A96"/>
    <w:rsid w:val="00E755B1"/>
    <w:rsid w:val="00E75C20"/>
    <w:rsid w:val="00E7640F"/>
    <w:rsid w:val="00E769E3"/>
    <w:rsid w:val="00E76D4B"/>
    <w:rsid w:val="00E80510"/>
    <w:rsid w:val="00E809D6"/>
    <w:rsid w:val="00E81729"/>
    <w:rsid w:val="00E82C66"/>
    <w:rsid w:val="00E8330A"/>
    <w:rsid w:val="00E834D4"/>
    <w:rsid w:val="00E8354D"/>
    <w:rsid w:val="00E8458F"/>
    <w:rsid w:val="00E84828"/>
    <w:rsid w:val="00E84895"/>
    <w:rsid w:val="00E851BF"/>
    <w:rsid w:val="00E85EA4"/>
    <w:rsid w:val="00E86451"/>
    <w:rsid w:val="00E9007A"/>
    <w:rsid w:val="00E906A1"/>
    <w:rsid w:val="00E911E2"/>
    <w:rsid w:val="00E9122E"/>
    <w:rsid w:val="00E91758"/>
    <w:rsid w:val="00E920E8"/>
    <w:rsid w:val="00E93C3F"/>
    <w:rsid w:val="00E94403"/>
    <w:rsid w:val="00E95EEE"/>
    <w:rsid w:val="00E96EDF"/>
    <w:rsid w:val="00E97357"/>
    <w:rsid w:val="00EA0A20"/>
    <w:rsid w:val="00EA1853"/>
    <w:rsid w:val="00EA34AA"/>
    <w:rsid w:val="00EA3FBD"/>
    <w:rsid w:val="00EA4AFB"/>
    <w:rsid w:val="00EA5DAB"/>
    <w:rsid w:val="00EA5F39"/>
    <w:rsid w:val="00EA6914"/>
    <w:rsid w:val="00EA6938"/>
    <w:rsid w:val="00EA72F7"/>
    <w:rsid w:val="00EA754D"/>
    <w:rsid w:val="00EA7A81"/>
    <w:rsid w:val="00EB118B"/>
    <w:rsid w:val="00EB1418"/>
    <w:rsid w:val="00EB1591"/>
    <w:rsid w:val="00EB24D8"/>
    <w:rsid w:val="00EB27FE"/>
    <w:rsid w:val="00EB330F"/>
    <w:rsid w:val="00EB3FE4"/>
    <w:rsid w:val="00EB4B6A"/>
    <w:rsid w:val="00EB55CE"/>
    <w:rsid w:val="00EB59E5"/>
    <w:rsid w:val="00EB5B88"/>
    <w:rsid w:val="00EB6D21"/>
    <w:rsid w:val="00EB7593"/>
    <w:rsid w:val="00EB76B3"/>
    <w:rsid w:val="00EB780B"/>
    <w:rsid w:val="00EB793C"/>
    <w:rsid w:val="00EC0CAE"/>
    <w:rsid w:val="00EC0EBB"/>
    <w:rsid w:val="00EC3DE3"/>
    <w:rsid w:val="00EC575F"/>
    <w:rsid w:val="00EC6406"/>
    <w:rsid w:val="00EC6C13"/>
    <w:rsid w:val="00EC7971"/>
    <w:rsid w:val="00EC7AFC"/>
    <w:rsid w:val="00ED07EE"/>
    <w:rsid w:val="00ED0847"/>
    <w:rsid w:val="00ED26BD"/>
    <w:rsid w:val="00ED2A15"/>
    <w:rsid w:val="00ED2BC5"/>
    <w:rsid w:val="00ED3C70"/>
    <w:rsid w:val="00ED46B0"/>
    <w:rsid w:val="00ED503F"/>
    <w:rsid w:val="00ED6690"/>
    <w:rsid w:val="00EE005C"/>
    <w:rsid w:val="00EE021E"/>
    <w:rsid w:val="00EE07C6"/>
    <w:rsid w:val="00EE0D5F"/>
    <w:rsid w:val="00EE0F72"/>
    <w:rsid w:val="00EE1922"/>
    <w:rsid w:val="00EE24A7"/>
    <w:rsid w:val="00EE50A0"/>
    <w:rsid w:val="00EE5248"/>
    <w:rsid w:val="00EE5F04"/>
    <w:rsid w:val="00EE5F2B"/>
    <w:rsid w:val="00EE63D5"/>
    <w:rsid w:val="00EE6640"/>
    <w:rsid w:val="00EE7390"/>
    <w:rsid w:val="00EE76B8"/>
    <w:rsid w:val="00EF2D78"/>
    <w:rsid w:val="00EF3F5A"/>
    <w:rsid w:val="00EF669B"/>
    <w:rsid w:val="00EF6B3E"/>
    <w:rsid w:val="00EF6C5F"/>
    <w:rsid w:val="00F00DAE"/>
    <w:rsid w:val="00F02433"/>
    <w:rsid w:val="00F026D6"/>
    <w:rsid w:val="00F02EA1"/>
    <w:rsid w:val="00F03CF6"/>
    <w:rsid w:val="00F03D01"/>
    <w:rsid w:val="00F03EA3"/>
    <w:rsid w:val="00F044BB"/>
    <w:rsid w:val="00F058A8"/>
    <w:rsid w:val="00F06EE7"/>
    <w:rsid w:val="00F113D1"/>
    <w:rsid w:val="00F119B9"/>
    <w:rsid w:val="00F124FA"/>
    <w:rsid w:val="00F132D3"/>
    <w:rsid w:val="00F145D7"/>
    <w:rsid w:val="00F14DE0"/>
    <w:rsid w:val="00F15917"/>
    <w:rsid w:val="00F15B18"/>
    <w:rsid w:val="00F15BF2"/>
    <w:rsid w:val="00F16343"/>
    <w:rsid w:val="00F168EB"/>
    <w:rsid w:val="00F202EE"/>
    <w:rsid w:val="00F204F5"/>
    <w:rsid w:val="00F20CCC"/>
    <w:rsid w:val="00F21D7E"/>
    <w:rsid w:val="00F21EB3"/>
    <w:rsid w:val="00F230F6"/>
    <w:rsid w:val="00F23B9A"/>
    <w:rsid w:val="00F242B0"/>
    <w:rsid w:val="00F25370"/>
    <w:rsid w:val="00F25680"/>
    <w:rsid w:val="00F259B6"/>
    <w:rsid w:val="00F2620D"/>
    <w:rsid w:val="00F271BA"/>
    <w:rsid w:val="00F27D4E"/>
    <w:rsid w:val="00F301D6"/>
    <w:rsid w:val="00F3034E"/>
    <w:rsid w:val="00F3049F"/>
    <w:rsid w:val="00F30CC2"/>
    <w:rsid w:val="00F31259"/>
    <w:rsid w:val="00F31A9E"/>
    <w:rsid w:val="00F327B7"/>
    <w:rsid w:val="00F34844"/>
    <w:rsid w:val="00F3568D"/>
    <w:rsid w:val="00F3593A"/>
    <w:rsid w:val="00F35E3D"/>
    <w:rsid w:val="00F35F8A"/>
    <w:rsid w:val="00F36B3F"/>
    <w:rsid w:val="00F36FC1"/>
    <w:rsid w:val="00F378AA"/>
    <w:rsid w:val="00F403AF"/>
    <w:rsid w:val="00F409FA"/>
    <w:rsid w:val="00F41353"/>
    <w:rsid w:val="00F4210F"/>
    <w:rsid w:val="00F42A62"/>
    <w:rsid w:val="00F42F04"/>
    <w:rsid w:val="00F432F5"/>
    <w:rsid w:val="00F43F5F"/>
    <w:rsid w:val="00F441CD"/>
    <w:rsid w:val="00F4471D"/>
    <w:rsid w:val="00F448BE"/>
    <w:rsid w:val="00F44E97"/>
    <w:rsid w:val="00F453B4"/>
    <w:rsid w:val="00F45F05"/>
    <w:rsid w:val="00F46627"/>
    <w:rsid w:val="00F46A72"/>
    <w:rsid w:val="00F470A0"/>
    <w:rsid w:val="00F478DD"/>
    <w:rsid w:val="00F50598"/>
    <w:rsid w:val="00F511D6"/>
    <w:rsid w:val="00F52AEA"/>
    <w:rsid w:val="00F52B73"/>
    <w:rsid w:val="00F54D5C"/>
    <w:rsid w:val="00F5556A"/>
    <w:rsid w:val="00F55953"/>
    <w:rsid w:val="00F55E19"/>
    <w:rsid w:val="00F560BE"/>
    <w:rsid w:val="00F56501"/>
    <w:rsid w:val="00F577A5"/>
    <w:rsid w:val="00F6229D"/>
    <w:rsid w:val="00F629EE"/>
    <w:rsid w:val="00F6337F"/>
    <w:rsid w:val="00F652B4"/>
    <w:rsid w:val="00F66BEB"/>
    <w:rsid w:val="00F704CE"/>
    <w:rsid w:val="00F708CA"/>
    <w:rsid w:val="00F712E8"/>
    <w:rsid w:val="00F71A58"/>
    <w:rsid w:val="00F71AB2"/>
    <w:rsid w:val="00F71E7A"/>
    <w:rsid w:val="00F72B10"/>
    <w:rsid w:val="00F72C6F"/>
    <w:rsid w:val="00F73AC1"/>
    <w:rsid w:val="00F73BDB"/>
    <w:rsid w:val="00F74611"/>
    <w:rsid w:val="00F74E64"/>
    <w:rsid w:val="00F74E85"/>
    <w:rsid w:val="00F767BA"/>
    <w:rsid w:val="00F77FE7"/>
    <w:rsid w:val="00F812F4"/>
    <w:rsid w:val="00F81B2C"/>
    <w:rsid w:val="00F824AF"/>
    <w:rsid w:val="00F827FC"/>
    <w:rsid w:val="00F82BF4"/>
    <w:rsid w:val="00F84004"/>
    <w:rsid w:val="00F842D4"/>
    <w:rsid w:val="00F857B3"/>
    <w:rsid w:val="00F85A6D"/>
    <w:rsid w:val="00F85E24"/>
    <w:rsid w:val="00F872C6"/>
    <w:rsid w:val="00F90043"/>
    <w:rsid w:val="00F90793"/>
    <w:rsid w:val="00F90FFA"/>
    <w:rsid w:val="00F910B3"/>
    <w:rsid w:val="00F91C66"/>
    <w:rsid w:val="00F9251E"/>
    <w:rsid w:val="00F936E6"/>
    <w:rsid w:val="00F949CA"/>
    <w:rsid w:val="00F94E4A"/>
    <w:rsid w:val="00F95081"/>
    <w:rsid w:val="00F9525E"/>
    <w:rsid w:val="00F95406"/>
    <w:rsid w:val="00F968E2"/>
    <w:rsid w:val="00F96C37"/>
    <w:rsid w:val="00F9792A"/>
    <w:rsid w:val="00F97959"/>
    <w:rsid w:val="00F97993"/>
    <w:rsid w:val="00FA066F"/>
    <w:rsid w:val="00FA1FB7"/>
    <w:rsid w:val="00FA210F"/>
    <w:rsid w:val="00FA2E51"/>
    <w:rsid w:val="00FA3101"/>
    <w:rsid w:val="00FA3477"/>
    <w:rsid w:val="00FA4744"/>
    <w:rsid w:val="00FA4853"/>
    <w:rsid w:val="00FA4896"/>
    <w:rsid w:val="00FA52D0"/>
    <w:rsid w:val="00FA5BAA"/>
    <w:rsid w:val="00FA5C52"/>
    <w:rsid w:val="00FA6538"/>
    <w:rsid w:val="00FA6720"/>
    <w:rsid w:val="00FA7FF9"/>
    <w:rsid w:val="00FB0F62"/>
    <w:rsid w:val="00FB3A32"/>
    <w:rsid w:val="00FB3C59"/>
    <w:rsid w:val="00FB45C6"/>
    <w:rsid w:val="00FB4606"/>
    <w:rsid w:val="00FB4955"/>
    <w:rsid w:val="00FB5999"/>
    <w:rsid w:val="00FB5DC7"/>
    <w:rsid w:val="00FB6C02"/>
    <w:rsid w:val="00FB6EC6"/>
    <w:rsid w:val="00FB76F6"/>
    <w:rsid w:val="00FB7982"/>
    <w:rsid w:val="00FB7C31"/>
    <w:rsid w:val="00FC0880"/>
    <w:rsid w:val="00FC0B31"/>
    <w:rsid w:val="00FC39D7"/>
    <w:rsid w:val="00FC3ABB"/>
    <w:rsid w:val="00FC46F6"/>
    <w:rsid w:val="00FC4EBF"/>
    <w:rsid w:val="00FC52B2"/>
    <w:rsid w:val="00FC5EFC"/>
    <w:rsid w:val="00FC6251"/>
    <w:rsid w:val="00FC774D"/>
    <w:rsid w:val="00FD0948"/>
    <w:rsid w:val="00FD1084"/>
    <w:rsid w:val="00FD1492"/>
    <w:rsid w:val="00FD14AF"/>
    <w:rsid w:val="00FD31E5"/>
    <w:rsid w:val="00FD3400"/>
    <w:rsid w:val="00FD39A1"/>
    <w:rsid w:val="00FD42D6"/>
    <w:rsid w:val="00FD45CD"/>
    <w:rsid w:val="00FD48BD"/>
    <w:rsid w:val="00FD4E54"/>
    <w:rsid w:val="00FD527D"/>
    <w:rsid w:val="00FD7240"/>
    <w:rsid w:val="00FE0624"/>
    <w:rsid w:val="00FE3FC6"/>
    <w:rsid w:val="00FE4273"/>
    <w:rsid w:val="00FE4BA3"/>
    <w:rsid w:val="00FE4E19"/>
    <w:rsid w:val="00FE7C0C"/>
    <w:rsid w:val="00FF0606"/>
    <w:rsid w:val="00FF1C79"/>
    <w:rsid w:val="00FF1F98"/>
    <w:rsid w:val="00FF2124"/>
    <w:rsid w:val="00FF2255"/>
    <w:rsid w:val="00FF44AD"/>
    <w:rsid w:val="00FF4B15"/>
    <w:rsid w:val="00FF4D78"/>
    <w:rsid w:val="00FF6351"/>
    <w:rsid w:val="00FF6447"/>
    <w:rsid w:val="00FF7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60E99"/>
    <w:pPr>
      <w:widowControl w:val="0"/>
      <w:spacing w:line="480" w:lineRule="exact"/>
    </w:pPr>
    <w:rPr>
      <w:sz w:val="24"/>
      <w:szCs w:val="24"/>
    </w:rPr>
  </w:style>
  <w:style w:type="paragraph" w:styleId="Heading1">
    <w:name w:val="heading 1"/>
    <w:basedOn w:val="Normal"/>
    <w:next w:val="Normal"/>
    <w:link w:val="Heading1Char"/>
    <w:uiPriority w:val="99"/>
    <w:qFormat/>
    <w:rsid w:val="002F3B75"/>
    <w:pPr>
      <w:keepNext/>
      <w:keepLines/>
      <w:numPr>
        <w:numId w:val="1"/>
      </w:numPr>
      <w:spacing w:before="480" w:line="240" w:lineRule="exact"/>
      <w:jc w:val="center"/>
      <w:outlineLvl w:val="0"/>
    </w:pPr>
    <w:rPr>
      <w:b/>
      <w:bCs/>
    </w:rPr>
  </w:style>
  <w:style w:type="paragraph" w:styleId="Heading2">
    <w:name w:val="heading 2"/>
    <w:basedOn w:val="Normal"/>
    <w:next w:val="Normal"/>
    <w:link w:val="Heading2Char"/>
    <w:uiPriority w:val="99"/>
    <w:qFormat/>
    <w:rsid w:val="002F3B75"/>
    <w:pPr>
      <w:keepNext/>
      <w:keepLines/>
      <w:numPr>
        <w:ilvl w:val="1"/>
        <w:numId w:val="1"/>
      </w:numPr>
      <w:spacing w:before="360" w:line="240" w:lineRule="exact"/>
      <w:outlineLvl w:val="1"/>
    </w:pPr>
    <w:rPr>
      <w:rFonts w:ascii="Times New Roman Bold" w:hAnsi="Times New Roman Bold" w:cs="Times New Roman Bold"/>
      <w:b/>
      <w:bCs/>
      <w:u w:val="single"/>
    </w:rPr>
  </w:style>
  <w:style w:type="paragraph" w:styleId="Heading3">
    <w:name w:val="heading 3"/>
    <w:basedOn w:val="Normal"/>
    <w:next w:val="Normal"/>
    <w:link w:val="Heading3Char"/>
    <w:uiPriority w:val="99"/>
    <w:qFormat/>
    <w:rsid w:val="002F3B75"/>
    <w:pPr>
      <w:keepNext/>
      <w:numPr>
        <w:ilvl w:val="2"/>
        <w:numId w:val="1"/>
      </w:numPr>
      <w:spacing w:before="280" w:line="240" w:lineRule="exact"/>
      <w:outlineLvl w:val="2"/>
    </w:pPr>
    <w:rPr>
      <w:b/>
      <w:bCs/>
    </w:rPr>
  </w:style>
  <w:style w:type="paragraph" w:styleId="Heading4">
    <w:name w:val="heading 4"/>
    <w:basedOn w:val="Normal"/>
    <w:next w:val="Normal"/>
    <w:link w:val="Heading4Char"/>
    <w:uiPriority w:val="99"/>
    <w:qFormat/>
    <w:rsid w:val="002F3B75"/>
    <w:pPr>
      <w:keepNext/>
      <w:numPr>
        <w:ilvl w:val="3"/>
        <w:numId w:val="1"/>
      </w:numPr>
      <w:tabs>
        <w:tab w:val="left" w:pos="2160"/>
      </w:tabs>
      <w:spacing w:before="240" w:line="240" w:lineRule="exact"/>
      <w:outlineLvl w:val="3"/>
    </w:pPr>
    <w:rPr>
      <w:rFonts w:ascii="Times New Roman Bold" w:hAnsi="Times New Roman Bold" w:cs="Times New Roman Bold"/>
      <w:b/>
      <w:bCs/>
      <w:u w:val="single"/>
    </w:rPr>
  </w:style>
  <w:style w:type="paragraph" w:styleId="Heading5">
    <w:name w:val="heading 5"/>
    <w:basedOn w:val="Normal"/>
    <w:next w:val="Normal"/>
    <w:link w:val="Heading5Char"/>
    <w:uiPriority w:val="99"/>
    <w:qFormat/>
    <w:rsid w:val="002F3B75"/>
    <w:pPr>
      <w:keepNext/>
      <w:numPr>
        <w:ilvl w:val="4"/>
        <w:numId w:val="1"/>
      </w:numPr>
      <w:outlineLvl w:val="4"/>
    </w:pPr>
    <w:rPr>
      <w:b/>
      <w:bCs/>
    </w:rPr>
  </w:style>
  <w:style w:type="paragraph" w:styleId="Heading6">
    <w:name w:val="heading 6"/>
    <w:basedOn w:val="Normal"/>
    <w:next w:val="Normal"/>
    <w:link w:val="Heading6Char"/>
    <w:uiPriority w:val="99"/>
    <w:qFormat/>
    <w:rsid w:val="002F3B75"/>
    <w:pPr>
      <w:widowControl/>
      <w:numPr>
        <w:ilvl w:val="5"/>
        <w:numId w:val="1"/>
      </w:numPr>
      <w:spacing w:before="240" w:after="60" w:line="240" w:lineRule="auto"/>
      <w:outlineLvl w:val="5"/>
    </w:pPr>
    <w:rPr>
      <w:i/>
      <w:iCs/>
      <w:sz w:val="22"/>
      <w:szCs w:val="22"/>
    </w:rPr>
  </w:style>
  <w:style w:type="paragraph" w:styleId="Heading7">
    <w:name w:val="heading 7"/>
    <w:basedOn w:val="Normal"/>
    <w:next w:val="Normal"/>
    <w:link w:val="Heading7Char"/>
    <w:uiPriority w:val="99"/>
    <w:qFormat/>
    <w:rsid w:val="002F3B75"/>
    <w:pPr>
      <w:widowControl/>
      <w:numPr>
        <w:ilvl w:val="6"/>
        <w:numId w:val="1"/>
      </w:numPr>
      <w:spacing w:before="240" w:after="60" w:line="240" w:lineRule="auto"/>
      <w:outlineLvl w:val="6"/>
    </w:pPr>
    <w:rPr>
      <w:rFonts w:ascii="Arial" w:hAnsi="Arial" w:cs="Arial"/>
    </w:rPr>
  </w:style>
  <w:style w:type="paragraph" w:styleId="Heading8">
    <w:name w:val="heading 8"/>
    <w:basedOn w:val="Normal"/>
    <w:next w:val="Normal"/>
    <w:link w:val="Heading8Char"/>
    <w:uiPriority w:val="99"/>
    <w:qFormat/>
    <w:rsid w:val="002F3B75"/>
    <w:pPr>
      <w:widowControl/>
      <w:numPr>
        <w:ilvl w:val="7"/>
        <w:numId w:val="1"/>
      </w:numPr>
      <w:spacing w:before="240" w:after="60" w:line="240" w:lineRule="auto"/>
      <w:outlineLvl w:val="7"/>
    </w:pPr>
    <w:rPr>
      <w:rFonts w:ascii="Arial" w:hAnsi="Arial" w:cs="Arial"/>
      <w:i/>
      <w:iCs/>
    </w:rPr>
  </w:style>
  <w:style w:type="paragraph" w:styleId="Heading9">
    <w:name w:val="heading 9"/>
    <w:basedOn w:val="Normal"/>
    <w:next w:val="Normal"/>
    <w:link w:val="Heading9Char"/>
    <w:uiPriority w:val="99"/>
    <w:qFormat/>
    <w:rsid w:val="002F3B75"/>
    <w:pPr>
      <w:widowControl/>
      <w:numPr>
        <w:ilvl w:val="8"/>
        <w:numId w:val="1"/>
      </w:numPr>
      <w:spacing w:before="240" w:after="60" w:line="240" w:lineRule="auto"/>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3B75"/>
    <w:rPr>
      <w:b/>
      <w:bCs/>
      <w:sz w:val="24"/>
      <w:szCs w:val="24"/>
    </w:rPr>
  </w:style>
  <w:style w:type="character" w:customStyle="1" w:styleId="Heading2Char">
    <w:name w:val="Heading 2 Char"/>
    <w:basedOn w:val="DefaultParagraphFont"/>
    <w:link w:val="Heading2"/>
    <w:uiPriority w:val="99"/>
    <w:locked/>
    <w:rsid w:val="002F3B75"/>
    <w:rPr>
      <w:rFonts w:ascii="Times New Roman Bold" w:hAnsi="Times New Roman Bold" w:cs="Times New Roman Bold"/>
      <w:b/>
      <w:bCs/>
      <w:sz w:val="24"/>
      <w:szCs w:val="24"/>
      <w:u w:val="single"/>
    </w:rPr>
  </w:style>
  <w:style w:type="character" w:customStyle="1" w:styleId="Heading3Char">
    <w:name w:val="Heading 3 Char"/>
    <w:basedOn w:val="DefaultParagraphFont"/>
    <w:link w:val="Heading3"/>
    <w:uiPriority w:val="99"/>
    <w:rsid w:val="001C738D"/>
    <w:rPr>
      <w:b/>
      <w:bCs/>
      <w:sz w:val="24"/>
      <w:szCs w:val="24"/>
    </w:rPr>
  </w:style>
  <w:style w:type="character" w:customStyle="1" w:styleId="Heading4Char">
    <w:name w:val="Heading 4 Char"/>
    <w:basedOn w:val="DefaultParagraphFont"/>
    <w:link w:val="Heading4"/>
    <w:uiPriority w:val="99"/>
    <w:rsid w:val="001C738D"/>
    <w:rPr>
      <w:rFonts w:ascii="Times New Roman Bold" w:hAnsi="Times New Roman Bold" w:cs="Times New Roman Bold"/>
      <w:b/>
      <w:bCs/>
      <w:sz w:val="24"/>
      <w:szCs w:val="24"/>
      <w:u w:val="single"/>
    </w:rPr>
  </w:style>
  <w:style w:type="character" w:customStyle="1" w:styleId="Heading5Char">
    <w:name w:val="Heading 5 Char"/>
    <w:basedOn w:val="DefaultParagraphFont"/>
    <w:link w:val="Heading5"/>
    <w:uiPriority w:val="99"/>
    <w:rsid w:val="001C738D"/>
    <w:rPr>
      <w:b/>
      <w:bCs/>
      <w:sz w:val="24"/>
      <w:szCs w:val="24"/>
    </w:rPr>
  </w:style>
  <w:style w:type="character" w:customStyle="1" w:styleId="Heading6Char">
    <w:name w:val="Heading 6 Char"/>
    <w:basedOn w:val="DefaultParagraphFont"/>
    <w:link w:val="Heading6"/>
    <w:uiPriority w:val="99"/>
    <w:rsid w:val="001C738D"/>
    <w:rPr>
      <w:i/>
      <w:iCs/>
      <w:sz w:val="22"/>
      <w:szCs w:val="22"/>
    </w:rPr>
  </w:style>
  <w:style w:type="character" w:customStyle="1" w:styleId="Heading7Char">
    <w:name w:val="Heading 7 Char"/>
    <w:basedOn w:val="DefaultParagraphFont"/>
    <w:link w:val="Heading7"/>
    <w:uiPriority w:val="99"/>
    <w:rsid w:val="001C738D"/>
    <w:rPr>
      <w:rFonts w:ascii="Arial" w:hAnsi="Arial" w:cs="Arial"/>
      <w:sz w:val="24"/>
      <w:szCs w:val="24"/>
    </w:rPr>
  </w:style>
  <w:style w:type="character" w:customStyle="1" w:styleId="Heading8Char">
    <w:name w:val="Heading 8 Char"/>
    <w:basedOn w:val="DefaultParagraphFont"/>
    <w:link w:val="Heading8"/>
    <w:uiPriority w:val="99"/>
    <w:rsid w:val="001C738D"/>
    <w:rPr>
      <w:rFonts w:ascii="Arial" w:hAnsi="Arial" w:cs="Arial"/>
      <w:i/>
      <w:iCs/>
      <w:sz w:val="24"/>
      <w:szCs w:val="24"/>
    </w:rPr>
  </w:style>
  <w:style w:type="character" w:customStyle="1" w:styleId="Heading9Char">
    <w:name w:val="Heading 9 Char"/>
    <w:basedOn w:val="DefaultParagraphFont"/>
    <w:link w:val="Heading9"/>
    <w:uiPriority w:val="99"/>
    <w:rsid w:val="001C738D"/>
    <w:rPr>
      <w:rFonts w:ascii="Arial" w:hAnsi="Arial" w:cs="Arial"/>
      <w:b/>
      <w:bCs/>
      <w:i/>
      <w:iCs/>
      <w:sz w:val="18"/>
      <w:szCs w:val="18"/>
    </w:rPr>
  </w:style>
  <w:style w:type="paragraph" w:styleId="Header">
    <w:name w:val="header"/>
    <w:basedOn w:val="Normal"/>
    <w:link w:val="HeaderChar"/>
    <w:uiPriority w:val="99"/>
    <w:rsid w:val="002F3B75"/>
    <w:pPr>
      <w:tabs>
        <w:tab w:val="center" w:pos="4320"/>
        <w:tab w:val="right" w:pos="8640"/>
      </w:tabs>
    </w:pPr>
  </w:style>
  <w:style w:type="character" w:customStyle="1" w:styleId="HeaderChar">
    <w:name w:val="Header Char"/>
    <w:basedOn w:val="DefaultParagraphFont"/>
    <w:link w:val="Header"/>
    <w:uiPriority w:val="99"/>
    <w:rsid w:val="001C738D"/>
    <w:rPr>
      <w:sz w:val="24"/>
      <w:szCs w:val="24"/>
    </w:rPr>
  </w:style>
  <w:style w:type="paragraph" w:styleId="Footer">
    <w:name w:val="footer"/>
    <w:basedOn w:val="Normal"/>
    <w:link w:val="FooterChar"/>
    <w:uiPriority w:val="99"/>
    <w:rsid w:val="002F3B75"/>
    <w:pPr>
      <w:tabs>
        <w:tab w:val="center" w:pos="5040"/>
        <w:tab w:val="right" w:pos="8640"/>
      </w:tabs>
    </w:pPr>
  </w:style>
  <w:style w:type="character" w:customStyle="1" w:styleId="FooterChar">
    <w:name w:val="Footer Char"/>
    <w:basedOn w:val="DefaultParagraphFont"/>
    <w:link w:val="Footer"/>
    <w:uiPriority w:val="99"/>
    <w:rsid w:val="001C738D"/>
    <w:rPr>
      <w:sz w:val="24"/>
      <w:szCs w:val="24"/>
    </w:rPr>
  </w:style>
  <w:style w:type="paragraph" w:customStyle="1" w:styleId="LineNumbers">
    <w:name w:val="LineNumbers"/>
    <w:basedOn w:val="Normal"/>
    <w:uiPriority w:val="99"/>
    <w:rsid w:val="002F3B75"/>
    <w:pPr>
      <w:spacing w:line="480" w:lineRule="auto"/>
      <w:jc w:val="right"/>
    </w:pPr>
  </w:style>
  <w:style w:type="paragraph" w:styleId="NormalIndent">
    <w:name w:val="Normal Indent"/>
    <w:basedOn w:val="Normal"/>
    <w:uiPriority w:val="99"/>
    <w:rsid w:val="002F3B75"/>
    <w:pPr>
      <w:spacing w:line="240" w:lineRule="exact"/>
      <w:ind w:left="1440" w:right="1440"/>
    </w:pPr>
  </w:style>
  <w:style w:type="paragraph" w:customStyle="1" w:styleId="Address">
    <w:name w:val="Address"/>
    <w:basedOn w:val="SingleSpacing"/>
    <w:uiPriority w:val="99"/>
    <w:rsid w:val="002F3B75"/>
  </w:style>
  <w:style w:type="paragraph" w:customStyle="1" w:styleId="SingleSpacing">
    <w:name w:val="Single Spacing"/>
    <w:basedOn w:val="Normal"/>
    <w:uiPriority w:val="99"/>
    <w:rsid w:val="002F3B75"/>
    <w:pPr>
      <w:spacing w:line="240" w:lineRule="exact"/>
    </w:pPr>
  </w:style>
  <w:style w:type="paragraph" w:customStyle="1" w:styleId="15Spacing">
    <w:name w:val="1.5 Spacing"/>
    <w:basedOn w:val="Normal"/>
    <w:uiPriority w:val="99"/>
    <w:rsid w:val="002F3B75"/>
    <w:pPr>
      <w:spacing w:line="360" w:lineRule="auto"/>
    </w:pPr>
  </w:style>
  <w:style w:type="paragraph" w:customStyle="1" w:styleId="DoubleSpacing">
    <w:name w:val="Double Spacing"/>
    <w:basedOn w:val="Normal"/>
    <w:uiPriority w:val="99"/>
    <w:rsid w:val="002F3B75"/>
  </w:style>
  <w:style w:type="character" w:styleId="PageNumber">
    <w:name w:val="page number"/>
    <w:basedOn w:val="DefaultParagraphFont"/>
    <w:rsid w:val="002F3B75"/>
  </w:style>
  <w:style w:type="paragraph" w:customStyle="1" w:styleId="CourtName">
    <w:name w:val="CourtName"/>
    <w:basedOn w:val="Normal"/>
    <w:uiPriority w:val="99"/>
    <w:rsid w:val="002F3B75"/>
    <w:pPr>
      <w:jc w:val="center"/>
    </w:pPr>
  </w:style>
  <w:style w:type="paragraph" w:styleId="FootnoteText">
    <w:name w:val="footnote text"/>
    <w:aliases w:val="Footnote Text Char1,ALTS FOOTNOTE Char,ALTS FOOTNOTE,fn,Footnote Text 2,Footnote Text Char Char Char,Footnote Text Char1 Char Char Char,Footnote Text Char Char Char Char Char,Footnote Text Char Char1 Char,Footnote Text Char1 Char1 Char"/>
    <w:basedOn w:val="Normal"/>
    <w:link w:val="FootnoteTextChar2"/>
    <w:autoRedefine/>
    <w:uiPriority w:val="99"/>
    <w:rsid w:val="00173C79"/>
    <w:pPr>
      <w:keepLines/>
      <w:spacing w:line="240" w:lineRule="auto"/>
      <w:ind w:left="720" w:hanging="720"/>
      <w:contextualSpacing/>
    </w:pPr>
    <w:rPr>
      <w:sz w:val="20"/>
      <w:szCs w:val="20"/>
    </w:rPr>
  </w:style>
  <w:style w:type="character" w:customStyle="1" w:styleId="FootnoteTextChar">
    <w:name w:val="Footnote Text Char"/>
    <w:aliases w:val="Footnote Text Char1 Char,ALTS FOOTNOTE Char Char,ALTS FOOTNOTE Char1,fn Char,Footnote Text 2 Char,Footnote Text Char1 Char1 Char Char,Footnote Text Char Char Char Char1,Footnote Text Char1 Char Char Char Char1"/>
    <w:basedOn w:val="DefaultParagraphFont"/>
    <w:link w:val="FootnoteText"/>
    <w:uiPriority w:val="99"/>
    <w:rsid w:val="002F3B75"/>
    <w:rPr>
      <w:lang w:val="en-US" w:eastAsia="en-US"/>
    </w:rPr>
  </w:style>
  <w:style w:type="paragraph" w:styleId="Caption">
    <w:name w:val="caption"/>
    <w:basedOn w:val="Normal"/>
    <w:next w:val="Normal"/>
    <w:uiPriority w:val="99"/>
    <w:qFormat/>
    <w:rsid w:val="002F3B75"/>
    <w:pPr>
      <w:spacing w:line="240" w:lineRule="auto"/>
    </w:pPr>
    <w:rPr>
      <w:b/>
      <w:bCs/>
    </w:rPr>
  </w:style>
  <w:style w:type="paragraph" w:styleId="BodyText">
    <w:name w:val="Body Text"/>
    <w:basedOn w:val="Normal"/>
    <w:link w:val="BodyTextChar"/>
    <w:uiPriority w:val="99"/>
    <w:rsid w:val="002F3B75"/>
  </w:style>
  <w:style w:type="character" w:customStyle="1" w:styleId="BodyTextChar">
    <w:name w:val="Body Text Char"/>
    <w:basedOn w:val="DefaultParagraphFont"/>
    <w:link w:val="BodyText"/>
    <w:uiPriority w:val="99"/>
    <w:semiHidden/>
    <w:rsid w:val="001C738D"/>
    <w:rPr>
      <w:sz w:val="24"/>
      <w:szCs w:val="24"/>
    </w:rPr>
  </w:style>
  <w:style w:type="character" w:styleId="FootnoteReference">
    <w:name w:val="footnote reference"/>
    <w:basedOn w:val="DefaultParagraphFont"/>
    <w:uiPriority w:val="99"/>
    <w:rsid w:val="002F3B75"/>
    <w:rPr>
      <w:rFonts w:ascii="Times New Roman" w:hAnsi="Times New Roman" w:cs="Times New Roman"/>
      <w:sz w:val="20"/>
      <w:szCs w:val="20"/>
      <w:vertAlign w:val="superscript"/>
    </w:rPr>
  </w:style>
  <w:style w:type="paragraph" w:styleId="BodyTextIndent">
    <w:name w:val="Body Text Indent"/>
    <w:basedOn w:val="Normal"/>
    <w:link w:val="BodyTextIndentChar"/>
    <w:uiPriority w:val="99"/>
    <w:rsid w:val="002F3B75"/>
    <w:pPr>
      <w:ind w:firstLine="720"/>
    </w:pPr>
    <w:rPr>
      <w:b/>
      <w:bCs/>
    </w:rPr>
  </w:style>
  <w:style w:type="character" w:customStyle="1" w:styleId="BodyTextIndentChar">
    <w:name w:val="Body Text Indent Char"/>
    <w:basedOn w:val="DefaultParagraphFont"/>
    <w:link w:val="BodyTextIndent"/>
    <w:uiPriority w:val="99"/>
    <w:semiHidden/>
    <w:rsid w:val="001C738D"/>
    <w:rPr>
      <w:sz w:val="24"/>
      <w:szCs w:val="24"/>
    </w:rPr>
  </w:style>
  <w:style w:type="paragraph" w:styleId="BodyTextIndent2">
    <w:name w:val="Body Text Indent 2"/>
    <w:basedOn w:val="Normal"/>
    <w:link w:val="BodyTextIndent2Char"/>
    <w:uiPriority w:val="99"/>
    <w:rsid w:val="002F3B75"/>
    <w:pPr>
      <w:ind w:left="1440"/>
    </w:pPr>
    <w:rPr>
      <w:b/>
      <w:bCs/>
    </w:rPr>
  </w:style>
  <w:style w:type="character" w:customStyle="1" w:styleId="BodyTextIndent2Char">
    <w:name w:val="Body Text Indent 2 Char"/>
    <w:basedOn w:val="DefaultParagraphFont"/>
    <w:link w:val="BodyTextIndent2"/>
    <w:uiPriority w:val="99"/>
    <w:semiHidden/>
    <w:rsid w:val="001C738D"/>
    <w:rPr>
      <w:sz w:val="24"/>
      <w:szCs w:val="24"/>
    </w:rPr>
  </w:style>
  <w:style w:type="paragraph" w:styleId="BodyTextIndent3">
    <w:name w:val="Body Text Indent 3"/>
    <w:basedOn w:val="Normal"/>
    <w:link w:val="BodyTextIndent3Char"/>
    <w:uiPriority w:val="99"/>
    <w:rsid w:val="002F3B75"/>
    <w:pPr>
      <w:spacing w:line="480" w:lineRule="auto"/>
      <w:ind w:firstLine="720"/>
    </w:pPr>
  </w:style>
  <w:style w:type="character" w:customStyle="1" w:styleId="BodyTextIndent3Char">
    <w:name w:val="Body Text Indent 3 Char"/>
    <w:basedOn w:val="DefaultParagraphFont"/>
    <w:link w:val="BodyTextIndent3"/>
    <w:uiPriority w:val="99"/>
    <w:semiHidden/>
    <w:rsid w:val="001C738D"/>
    <w:rPr>
      <w:sz w:val="16"/>
      <w:szCs w:val="16"/>
    </w:rPr>
  </w:style>
  <w:style w:type="paragraph" w:styleId="BodyText2">
    <w:name w:val="Body Text 2"/>
    <w:basedOn w:val="Normal"/>
    <w:link w:val="BodyText2Char"/>
    <w:uiPriority w:val="99"/>
    <w:rsid w:val="002F3B75"/>
    <w:pPr>
      <w:ind w:firstLine="720"/>
    </w:pPr>
  </w:style>
  <w:style w:type="character" w:customStyle="1" w:styleId="BodyText2Char">
    <w:name w:val="Body Text 2 Char"/>
    <w:basedOn w:val="DefaultParagraphFont"/>
    <w:link w:val="BodyText2"/>
    <w:uiPriority w:val="99"/>
    <w:semiHidden/>
    <w:rsid w:val="001C738D"/>
    <w:rPr>
      <w:sz w:val="24"/>
      <w:szCs w:val="24"/>
    </w:rPr>
  </w:style>
  <w:style w:type="paragraph" w:customStyle="1" w:styleId="CenteredHeading">
    <w:name w:val="Centered Heading"/>
    <w:basedOn w:val="Normal"/>
    <w:next w:val="BodyText"/>
    <w:uiPriority w:val="99"/>
    <w:rsid w:val="002F3B75"/>
    <w:pPr>
      <w:spacing w:after="240"/>
      <w:jc w:val="center"/>
    </w:pPr>
    <w:rPr>
      <w:u w:val="single"/>
    </w:rPr>
  </w:style>
  <w:style w:type="paragraph" w:customStyle="1" w:styleId="IndentedQuote">
    <w:name w:val="Indented Quote"/>
    <w:basedOn w:val="Normal"/>
    <w:uiPriority w:val="99"/>
    <w:rsid w:val="002F3B75"/>
    <w:pPr>
      <w:widowControl/>
      <w:spacing w:before="240" w:line="240" w:lineRule="exact"/>
      <w:ind w:left="1440" w:right="1440"/>
    </w:pPr>
  </w:style>
  <w:style w:type="paragraph" w:customStyle="1" w:styleId="normalblock">
    <w:name w:val="normal block"/>
    <w:basedOn w:val="Normal"/>
    <w:uiPriority w:val="99"/>
    <w:rsid w:val="002F3B75"/>
    <w:pPr>
      <w:spacing w:line="240" w:lineRule="exact"/>
    </w:pPr>
  </w:style>
  <w:style w:type="paragraph" w:customStyle="1" w:styleId="center">
    <w:name w:val="center"/>
    <w:basedOn w:val="Normal"/>
    <w:uiPriority w:val="99"/>
    <w:rsid w:val="002F3B75"/>
    <w:pPr>
      <w:keepLines/>
      <w:widowControl/>
      <w:spacing w:line="240" w:lineRule="exact"/>
      <w:jc w:val="center"/>
    </w:pPr>
  </w:style>
  <w:style w:type="paragraph" w:customStyle="1" w:styleId="righthalf">
    <w:name w:val="right half"/>
    <w:basedOn w:val="Normal"/>
    <w:uiPriority w:val="99"/>
    <w:rsid w:val="002F3B75"/>
    <w:pPr>
      <w:keepLines/>
      <w:widowControl/>
      <w:tabs>
        <w:tab w:val="right" w:pos="8640"/>
      </w:tabs>
      <w:spacing w:line="240" w:lineRule="exact"/>
      <w:ind w:left="4320"/>
    </w:pPr>
  </w:style>
  <w:style w:type="paragraph" w:customStyle="1" w:styleId="single">
    <w:name w:val="single"/>
    <w:basedOn w:val="Normal"/>
    <w:link w:val="singleChar"/>
    <w:uiPriority w:val="99"/>
    <w:rsid w:val="002F3B75"/>
    <w:pPr>
      <w:widowControl/>
      <w:spacing w:before="240" w:line="240" w:lineRule="atLeast"/>
      <w:ind w:firstLine="720"/>
    </w:pPr>
  </w:style>
  <w:style w:type="paragraph" w:customStyle="1" w:styleId="AutoNumBodyCharCharCharChar">
    <w:name w:val="AutoNum Body Char Char Char Char"/>
    <w:basedOn w:val="Normal"/>
    <w:link w:val="AutoNumBodyCharCharCharCharChar"/>
    <w:autoRedefine/>
    <w:uiPriority w:val="99"/>
    <w:rsid w:val="002F3B75"/>
    <w:pPr>
      <w:widowControl/>
      <w:numPr>
        <w:numId w:val="2"/>
      </w:numPr>
      <w:spacing w:before="240"/>
    </w:pPr>
  </w:style>
  <w:style w:type="paragraph" w:customStyle="1" w:styleId="Answer">
    <w:name w:val="Answer"/>
    <w:basedOn w:val="Normal"/>
    <w:next w:val="BodyTextIndent3"/>
    <w:uiPriority w:val="99"/>
    <w:rsid w:val="002F3B75"/>
    <w:pPr>
      <w:widowControl/>
      <w:numPr>
        <w:numId w:val="3"/>
      </w:numPr>
    </w:pPr>
  </w:style>
  <w:style w:type="character" w:styleId="LineNumber">
    <w:name w:val="line number"/>
    <w:basedOn w:val="DefaultParagraphFont"/>
    <w:uiPriority w:val="99"/>
    <w:rsid w:val="002F3B75"/>
    <w:rPr>
      <w:rFonts w:ascii="Times New Roman" w:hAnsi="Times New Roman" w:cs="Times New Roman"/>
      <w:sz w:val="24"/>
      <w:szCs w:val="24"/>
    </w:rPr>
  </w:style>
  <w:style w:type="paragraph" w:customStyle="1" w:styleId="ANSWER0">
    <w:name w:val="ANSWER"/>
    <w:basedOn w:val="Normal"/>
    <w:uiPriority w:val="99"/>
    <w:rsid w:val="002F3B75"/>
    <w:pPr>
      <w:numPr>
        <w:numId w:val="4"/>
      </w:numPr>
      <w:tabs>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right="187"/>
      <w:jc w:val="both"/>
    </w:pPr>
    <w:rPr>
      <w:rFonts w:ascii="Arial" w:hAnsi="Arial" w:cs="Arial"/>
    </w:rPr>
  </w:style>
  <w:style w:type="character" w:customStyle="1" w:styleId="AutoNumBodyCharCharCharCharChar">
    <w:name w:val="AutoNum Body Char Char Char Char Char"/>
    <w:basedOn w:val="DefaultParagraphFont"/>
    <w:link w:val="AutoNumBodyCharCharCharChar"/>
    <w:uiPriority w:val="99"/>
    <w:locked/>
    <w:rsid w:val="002F3B75"/>
    <w:rPr>
      <w:sz w:val="24"/>
      <w:szCs w:val="24"/>
    </w:rPr>
  </w:style>
  <w:style w:type="character" w:styleId="HTMLCite">
    <w:name w:val="HTML Cite"/>
    <w:basedOn w:val="DefaultParagraphFont"/>
    <w:uiPriority w:val="99"/>
    <w:rsid w:val="002F3B75"/>
    <w:rPr>
      <w:i/>
      <w:iCs/>
    </w:rPr>
  </w:style>
  <w:style w:type="paragraph" w:customStyle="1" w:styleId="Style1">
    <w:name w:val="Style1"/>
    <w:basedOn w:val="FootnoteText"/>
    <w:uiPriority w:val="99"/>
    <w:rsid w:val="002F3B75"/>
  </w:style>
  <w:style w:type="paragraph" w:styleId="PlainText">
    <w:name w:val="Plain Text"/>
    <w:basedOn w:val="Normal"/>
    <w:link w:val="PlainTextChar"/>
    <w:uiPriority w:val="99"/>
    <w:rsid w:val="002F3B75"/>
    <w:pPr>
      <w:widowControl/>
      <w:spacing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B13C5C"/>
    <w:rPr>
      <w:rFonts w:ascii="Courier New" w:hAnsi="Courier New" w:cs="Courier New"/>
    </w:rPr>
  </w:style>
  <w:style w:type="paragraph" w:styleId="TOC1">
    <w:name w:val="toc 1"/>
    <w:basedOn w:val="Normal"/>
    <w:next w:val="Normal"/>
    <w:autoRedefine/>
    <w:uiPriority w:val="99"/>
    <w:semiHidden/>
    <w:rsid w:val="002F3B75"/>
    <w:pPr>
      <w:spacing w:line="240" w:lineRule="exact"/>
      <w:ind w:left="720" w:hanging="720"/>
    </w:pPr>
  </w:style>
  <w:style w:type="paragraph" w:styleId="TOC2">
    <w:name w:val="toc 2"/>
    <w:basedOn w:val="Normal"/>
    <w:next w:val="Normal"/>
    <w:autoRedefine/>
    <w:uiPriority w:val="99"/>
    <w:semiHidden/>
    <w:rsid w:val="002F3B75"/>
    <w:pPr>
      <w:keepNext/>
      <w:keepLines/>
      <w:tabs>
        <w:tab w:val="left" w:pos="1440"/>
        <w:tab w:val="right" w:leader="dot" w:pos="9810"/>
      </w:tabs>
      <w:spacing w:line="240" w:lineRule="exact"/>
      <w:ind w:left="1440" w:hanging="720"/>
    </w:pPr>
  </w:style>
  <w:style w:type="paragraph" w:styleId="TOC3">
    <w:name w:val="toc 3"/>
    <w:basedOn w:val="Normal"/>
    <w:next w:val="Normal"/>
    <w:autoRedefine/>
    <w:uiPriority w:val="99"/>
    <w:semiHidden/>
    <w:rsid w:val="002F3B75"/>
    <w:pPr>
      <w:spacing w:line="240" w:lineRule="exact"/>
      <w:ind w:left="2160" w:hanging="720"/>
    </w:pPr>
  </w:style>
  <w:style w:type="paragraph" w:styleId="TOC4">
    <w:name w:val="toc 4"/>
    <w:basedOn w:val="Normal"/>
    <w:next w:val="Normal"/>
    <w:autoRedefine/>
    <w:uiPriority w:val="99"/>
    <w:semiHidden/>
    <w:rsid w:val="002F3B75"/>
    <w:pPr>
      <w:spacing w:line="240" w:lineRule="exact"/>
      <w:ind w:left="2880" w:hanging="720"/>
    </w:pPr>
  </w:style>
  <w:style w:type="character" w:styleId="Hyperlink">
    <w:name w:val="Hyperlink"/>
    <w:basedOn w:val="DefaultParagraphFont"/>
    <w:uiPriority w:val="99"/>
    <w:rsid w:val="002F3B75"/>
    <w:rPr>
      <w:color w:val="0000FF"/>
      <w:u w:val="single"/>
    </w:rPr>
  </w:style>
  <w:style w:type="paragraph" w:styleId="BalloonText">
    <w:name w:val="Balloon Text"/>
    <w:basedOn w:val="Normal"/>
    <w:link w:val="BalloonTextChar"/>
    <w:uiPriority w:val="99"/>
    <w:semiHidden/>
    <w:rsid w:val="002F3B75"/>
    <w:rPr>
      <w:rFonts w:ascii="Tahoma" w:hAnsi="Tahoma" w:cs="Tahoma"/>
      <w:sz w:val="16"/>
      <w:szCs w:val="16"/>
    </w:rPr>
  </w:style>
  <w:style w:type="character" w:customStyle="1" w:styleId="BalloonTextChar">
    <w:name w:val="Balloon Text Char"/>
    <w:basedOn w:val="DefaultParagraphFont"/>
    <w:link w:val="BalloonText"/>
    <w:uiPriority w:val="99"/>
    <w:semiHidden/>
    <w:rsid w:val="001C738D"/>
    <w:rPr>
      <w:sz w:val="0"/>
      <w:szCs w:val="0"/>
    </w:rPr>
  </w:style>
  <w:style w:type="paragraph" w:customStyle="1" w:styleId="AutoNumBodyCharCharChar">
    <w:name w:val="AutoNum Body Char Char Char"/>
    <w:basedOn w:val="Normal"/>
    <w:uiPriority w:val="99"/>
    <w:rsid w:val="002F3B75"/>
    <w:pPr>
      <w:tabs>
        <w:tab w:val="num" w:pos="720"/>
      </w:tabs>
      <w:spacing w:after="240"/>
      <w:ind w:left="720" w:hanging="720"/>
    </w:pPr>
  </w:style>
  <w:style w:type="paragraph" w:styleId="BlockText">
    <w:name w:val="Block Text"/>
    <w:basedOn w:val="Normal"/>
    <w:link w:val="BlockTextChar"/>
    <w:uiPriority w:val="99"/>
    <w:rsid w:val="002F3B75"/>
    <w:pPr>
      <w:spacing w:line="240" w:lineRule="exact"/>
      <w:ind w:left="1440" w:right="1440"/>
    </w:pPr>
  </w:style>
  <w:style w:type="character" w:customStyle="1" w:styleId="BlockTextChar">
    <w:name w:val="Block Text Char"/>
    <w:basedOn w:val="DefaultParagraphFont"/>
    <w:link w:val="BlockText"/>
    <w:uiPriority w:val="99"/>
    <w:locked/>
    <w:rsid w:val="002F3B75"/>
    <w:rPr>
      <w:sz w:val="24"/>
      <w:szCs w:val="24"/>
      <w:lang w:val="en-US" w:eastAsia="en-US"/>
    </w:rPr>
  </w:style>
  <w:style w:type="character" w:customStyle="1" w:styleId="StyleFootnoteReference12pt">
    <w:name w:val="Style Footnote Reference + 12 pt"/>
    <w:basedOn w:val="FootnoteReference"/>
    <w:uiPriority w:val="99"/>
    <w:rsid w:val="002F3B75"/>
  </w:style>
  <w:style w:type="paragraph" w:customStyle="1" w:styleId="A">
    <w:name w:val="A"/>
    <w:basedOn w:val="Normal"/>
    <w:uiPriority w:val="99"/>
    <w:rsid w:val="002F3B75"/>
    <w:pPr>
      <w:widowControl/>
      <w:tabs>
        <w:tab w:val="left" w:pos="720"/>
        <w:tab w:val="left" w:pos="1440"/>
        <w:tab w:val="left" w:pos="2160"/>
        <w:tab w:val="left" w:pos="2880"/>
        <w:tab w:val="left" w:pos="3600"/>
      </w:tabs>
      <w:spacing w:line="480" w:lineRule="atLeast"/>
      <w:ind w:left="720" w:hanging="720"/>
    </w:pPr>
    <w:rPr>
      <w:rFonts w:ascii="New York" w:hAnsi="New York" w:cs="New York"/>
    </w:rPr>
  </w:style>
  <w:style w:type="paragraph" w:customStyle="1" w:styleId="QQUESTION">
    <w:name w:val="Q.  QUESTION"/>
    <w:basedOn w:val="Normal"/>
    <w:uiPriority w:val="99"/>
    <w:rsid w:val="002F3B75"/>
    <w:pPr>
      <w:widowControl/>
      <w:ind w:left="720" w:hanging="720"/>
    </w:pPr>
    <w:rPr>
      <w:b/>
      <w:bCs/>
      <w:caps/>
    </w:rPr>
  </w:style>
  <w:style w:type="paragraph" w:styleId="TOC7">
    <w:name w:val="toc 7"/>
    <w:basedOn w:val="Normal"/>
    <w:next w:val="Normal"/>
    <w:autoRedefine/>
    <w:uiPriority w:val="99"/>
    <w:semiHidden/>
    <w:rsid w:val="002F3B75"/>
    <w:pPr>
      <w:widowControl/>
      <w:spacing w:line="240" w:lineRule="auto"/>
      <w:ind w:left="1440"/>
    </w:pPr>
  </w:style>
  <w:style w:type="paragraph" w:customStyle="1" w:styleId="NMTest">
    <w:name w:val="NM Test"/>
    <w:basedOn w:val="Normal"/>
    <w:uiPriority w:val="99"/>
    <w:rsid w:val="002F3B75"/>
    <w:pPr>
      <w:widowControl/>
      <w:tabs>
        <w:tab w:val="left" w:pos="720"/>
        <w:tab w:val="left" w:pos="4680"/>
        <w:tab w:val="left" w:pos="5040"/>
        <w:tab w:val="left" w:pos="6840"/>
      </w:tabs>
      <w:spacing w:line="360" w:lineRule="auto"/>
      <w:ind w:left="540" w:hanging="540"/>
      <w:jc w:val="both"/>
    </w:pPr>
    <w:rPr>
      <w:b/>
      <w:bCs/>
      <w:sz w:val="26"/>
      <w:szCs w:val="26"/>
    </w:rPr>
  </w:style>
  <w:style w:type="paragraph" w:styleId="ListContinue4">
    <w:name w:val="List Continue 4"/>
    <w:basedOn w:val="Normal"/>
    <w:uiPriority w:val="99"/>
    <w:rsid w:val="002F3B75"/>
    <w:pPr>
      <w:spacing w:after="120"/>
      <w:ind w:left="1440"/>
    </w:pPr>
  </w:style>
  <w:style w:type="paragraph" w:styleId="DocumentMap">
    <w:name w:val="Document Map"/>
    <w:basedOn w:val="Normal"/>
    <w:link w:val="DocumentMapChar"/>
    <w:uiPriority w:val="99"/>
    <w:semiHidden/>
    <w:rsid w:val="002F3B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C738D"/>
    <w:rPr>
      <w:sz w:val="0"/>
      <w:szCs w:val="0"/>
    </w:rPr>
  </w:style>
  <w:style w:type="character" w:customStyle="1" w:styleId="FootnoteTextChar2">
    <w:name w:val="Footnote Text Char2"/>
    <w:aliases w:val="Footnote Text Char1 Char1,ALTS FOOTNOTE Char Char1,ALTS FOOTNOTE Char2,fn Char1,Footnote Text 2 Char1,Footnote Text Char Char Char Char,Footnote Text Char1 Char Char Char Char,Footnote Text Char Char Char Char Char Char"/>
    <w:basedOn w:val="DefaultParagraphFont"/>
    <w:link w:val="FootnoteText"/>
    <w:uiPriority w:val="99"/>
    <w:locked/>
    <w:rsid w:val="00173C79"/>
  </w:style>
  <w:style w:type="character" w:customStyle="1" w:styleId="singleChar">
    <w:name w:val="single Char"/>
    <w:basedOn w:val="DefaultParagraphFont"/>
    <w:link w:val="single"/>
    <w:uiPriority w:val="99"/>
    <w:locked/>
    <w:rsid w:val="002F3B75"/>
    <w:rPr>
      <w:sz w:val="24"/>
      <w:szCs w:val="24"/>
      <w:lang w:val="en-US" w:eastAsia="en-US"/>
    </w:rPr>
  </w:style>
  <w:style w:type="paragraph" w:styleId="NormalWeb">
    <w:name w:val="Normal (Web)"/>
    <w:basedOn w:val="Normal"/>
    <w:uiPriority w:val="99"/>
    <w:rsid w:val="002F3B75"/>
    <w:pPr>
      <w:widowControl/>
      <w:spacing w:before="100" w:beforeAutospacing="1" w:after="100" w:afterAutospacing="1" w:line="240" w:lineRule="auto"/>
    </w:pPr>
  </w:style>
  <w:style w:type="table" w:styleId="TableGrid">
    <w:name w:val="Table Grid"/>
    <w:basedOn w:val="TableNormal"/>
    <w:uiPriority w:val="99"/>
    <w:rsid w:val="002F3B75"/>
    <w:pPr>
      <w:widowControl w:val="0"/>
      <w:spacing w:line="4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6">
    <w:name w:val="Hyperlink6"/>
    <w:basedOn w:val="DefaultParagraphFont"/>
    <w:uiPriority w:val="99"/>
    <w:rsid w:val="002F3B75"/>
    <w:rPr>
      <w:color w:val="auto"/>
      <w:u w:val="single"/>
    </w:rPr>
  </w:style>
  <w:style w:type="paragraph" w:styleId="Quote">
    <w:name w:val="Quote"/>
    <w:basedOn w:val="Normal"/>
    <w:next w:val="Normal"/>
    <w:link w:val="QuoteChar"/>
    <w:uiPriority w:val="99"/>
    <w:qFormat/>
    <w:rsid w:val="002F3B75"/>
    <w:pPr>
      <w:widowControl/>
      <w:spacing w:line="240" w:lineRule="auto"/>
      <w:ind w:left="1440" w:right="1440"/>
    </w:pPr>
  </w:style>
  <w:style w:type="character" w:customStyle="1" w:styleId="QuoteChar">
    <w:name w:val="Quote Char"/>
    <w:basedOn w:val="DefaultParagraphFont"/>
    <w:link w:val="Quote"/>
    <w:uiPriority w:val="99"/>
    <w:locked/>
    <w:rsid w:val="002F3B75"/>
    <w:rPr>
      <w:sz w:val="24"/>
      <w:szCs w:val="24"/>
      <w:lang w:val="en-US" w:eastAsia="en-US"/>
    </w:rPr>
  </w:style>
  <w:style w:type="character" w:styleId="CommentReference">
    <w:name w:val="annotation reference"/>
    <w:basedOn w:val="DefaultParagraphFont"/>
    <w:uiPriority w:val="99"/>
    <w:semiHidden/>
    <w:rsid w:val="002F3B75"/>
    <w:rPr>
      <w:sz w:val="16"/>
      <w:szCs w:val="16"/>
    </w:rPr>
  </w:style>
  <w:style w:type="paragraph" w:styleId="CommentText">
    <w:name w:val="annotation text"/>
    <w:basedOn w:val="Normal"/>
    <w:link w:val="CommentTextChar"/>
    <w:uiPriority w:val="99"/>
    <w:semiHidden/>
    <w:rsid w:val="002F3B75"/>
    <w:rPr>
      <w:sz w:val="20"/>
      <w:szCs w:val="20"/>
    </w:rPr>
  </w:style>
  <w:style w:type="character" w:customStyle="1" w:styleId="CommentTextChar">
    <w:name w:val="Comment Text Char"/>
    <w:basedOn w:val="DefaultParagraphFont"/>
    <w:link w:val="CommentText"/>
    <w:uiPriority w:val="99"/>
    <w:semiHidden/>
    <w:rsid w:val="001C738D"/>
    <w:rPr>
      <w:sz w:val="20"/>
      <w:szCs w:val="20"/>
    </w:rPr>
  </w:style>
  <w:style w:type="paragraph" w:styleId="CommentSubject">
    <w:name w:val="annotation subject"/>
    <w:basedOn w:val="CommentText"/>
    <w:next w:val="CommentText"/>
    <w:link w:val="CommentSubjectChar"/>
    <w:uiPriority w:val="99"/>
    <w:semiHidden/>
    <w:rsid w:val="002F3B75"/>
    <w:rPr>
      <w:b/>
      <w:bCs/>
    </w:rPr>
  </w:style>
  <w:style w:type="character" w:customStyle="1" w:styleId="CommentSubjectChar">
    <w:name w:val="Comment Subject Char"/>
    <w:basedOn w:val="CommentTextChar"/>
    <w:link w:val="CommentSubject"/>
    <w:uiPriority w:val="99"/>
    <w:semiHidden/>
    <w:rsid w:val="001C738D"/>
    <w:rPr>
      <w:b/>
      <w:bCs/>
    </w:rPr>
  </w:style>
  <w:style w:type="paragraph" w:customStyle="1" w:styleId="CharChar">
    <w:name w:val="Char Char"/>
    <w:basedOn w:val="Normal"/>
    <w:uiPriority w:val="99"/>
    <w:rsid w:val="00A63618"/>
    <w:pPr>
      <w:widowControl/>
      <w:spacing w:after="160" w:line="240" w:lineRule="exact"/>
    </w:pPr>
    <w:rPr>
      <w:rFonts w:ascii="Verdana" w:hAnsi="Verdana" w:cs="Verdana"/>
      <w:sz w:val="20"/>
      <w:szCs w:val="20"/>
    </w:rPr>
  </w:style>
  <w:style w:type="paragraph" w:customStyle="1" w:styleId="CharChar1">
    <w:name w:val="Char Char1"/>
    <w:basedOn w:val="Normal"/>
    <w:uiPriority w:val="99"/>
    <w:rsid w:val="00093970"/>
    <w:pPr>
      <w:widowControl/>
      <w:spacing w:after="160" w:line="240" w:lineRule="exact"/>
    </w:pPr>
    <w:rPr>
      <w:rFonts w:ascii="Verdana" w:hAnsi="Verdana" w:cs="Verdana"/>
      <w:sz w:val="20"/>
      <w:szCs w:val="20"/>
    </w:rPr>
  </w:style>
  <w:style w:type="character" w:customStyle="1" w:styleId="EmailStyle97">
    <w:name w:val="EmailStyle971"/>
    <w:aliases w:val="EmailStyle971"/>
    <w:basedOn w:val="DefaultParagraphFont"/>
    <w:uiPriority w:val="99"/>
    <w:semiHidden/>
    <w:personal/>
    <w:rsid w:val="00A7651F"/>
    <w:rPr>
      <w:rFonts w:ascii="Arial" w:hAnsi="Arial" w:cs="Arial"/>
      <w:color w:val="auto"/>
      <w:sz w:val="20"/>
      <w:szCs w:val="20"/>
    </w:rPr>
  </w:style>
  <w:style w:type="numbering" w:customStyle="1" w:styleId="Style2">
    <w:name w:val="Style2"/>
    <w:uiPriority w:val="99"/>
    <w:rsid w:val="004A6967"/>
    <w:pPr>
      <w:numPr>
        <w:numId w:val="5"/>
      </w:numPr>
    </w:pPr>
  </w:style>
  <w:style w:type="paragraph" w:customStyle="1" w:styleId="WUTCParagraph">
    <w:name w:val="WUTC Paragraph"/>
    <w:basedOn w:val="Normal"/>
    <w:link w:val="WUTCParagraphChar"/>
    <w:qFormat/>
    <w:rsid w:val="005927F2"/>
    <w:pPr>
      <w:numPr>
        <w:numId w:val="6"/>
      </w:numPr>
      <w:spacing w:line="480" w:lineRule="auto"/>
      <w:ind w:left="0" w:hanging="720"/>
    </w:pPr>
  </w:style>
  <w:style w:type="character" w:customStyle="1" w:styleId="WUTCParagraphChar">
    <w:name w:val="WUTC Paragraph Char"/>
    <w:basedOn w:val="DefaultParagraphFont"/>
    <w:link w:val="WUTCParagraph"/>
    <w:rsid w:val="005927F2"/>
    <w:rPr>
      <w:sz w:val="24"/>
      <w:szCs w:val="24"/>
    </w:rPr>
  </w:style>
  <w:style w:type="paragraph" w:styleId="Revision">
    <w:name w:val="Revision"/>
    <w:hidden/>
    <w:uiPriority w:val="99"/>
    <w:semiHidden/>
    <w:rsid w:val="00CD54D7"/>
    <w:rPr>
      <w:sz w:val="24"/>
      <w:szCs w:val="24"/>
    </w:rPr>
  </w:style>
  <w:style w:type="paragraph" w:styleId="ListParagraph">
    <w:name w:val="List Paragraph"/>
    <w:basedOn w:val="Normal"/>
    <w:uiPriority w:val="34"/>
    <w:qFormat/>
    <w:rsid w:val="002850F8"/>
    <w:pPr>
      <w:ind w:left="720"/>
      <w:contextualSpacing/>
    </w:pPr>
  </w:style>
  <w:style w:type="paragraph" w:customStyle="1" w:styleId="Responsebody">
    <w:name w:val="Response body"/>
    <w:basedOn w:val="WUTCParagraph"/>
    <w:link w:val="ResponsebodyChar"/>
    <w:qFormat/>
    <w:rsid w:val="00260E99"/>
    <w:pPr>
      <w:spacing w:line="570" w:lineRule="exact"/>
    </w:pPr>
  </w:style>
  <w:style w:type="character" w:customStyle="1" w:styleId="ResponsebodyChar">
    <w:name w:val="Response body Char"/>
    <w:basedOn w:val="WUTCParagraphChar"/>
    <w:link w:val="Responsebody"/>
    <w:rsid w:val="00260E99"/>
  </w:style>
  <w:style w:type="character" w:customStyle="1" w:styleId="informationalsmall4">
    <w:name w:val="informationalsmall4"/>
    <w:basedOn w:val="DefaultParagraphFont"/>
    <w:rsid w:val="00672D2B"/>
    <w:rPr>
      <w:rFonts w:ascii="Verdana" w:hAnsi="Verdana" w:hint="default"/>
      <w:sz w:val="14"/>
      <w:szCs w:val="14"/>
    </w:rPr>
  </w:style>
  <w:style w:type="paragraph" w:customStyle="1" w:styleId="ResponsetoJointComplaintBody">
    <w:name w:val="Response to Joint Complaint Body"/>
    <w:basedOn w:val="ListParagraph"/>
    <w:link w:val="ResponsetoJointComplaintBodyChar"/>
    <w:qFormat/>
    <w:rsid w:val="00672D2B"/>
    <w:pPr>
      <w:widowControl/>
      <w:spacing w:after="240" w:line="570" w:lineRule="exact"/>
      <w:ind w:left="0" w:firstLine="1440"/>
    </w:pPr>
    <w:rPr>
      <w:rFonts w:eastAsia="Calibri"/>
    </w:rPr>
  </w:style>
  <w:style w:type="paragraph" w:customStyle="1" w:styleId="BlockQuote">
    <w:name w:val="Block Quote"/>
    <w:basedOn w:val="ListParagraph"/>
    <w:link w:val="BlockQuoteChar"/>
    <w:qFormat/>
    <w:rsid w:val="00672D2B"/>
    <w:pPr>
      <w:widowControl/>
      <w:spacing w:line="240" w:lineRule="auto"/>
      <w:ind w:left="1440" w:right="1440"/>
      <w:jc w:val="both"/>
    </w:pPr>
    <w:rPr>
      <w:rFonts w:eastAsia="Calibri"/>
    </w:rPr>
  </w:style>
  <w:style w:type="character" w:customStyle="1" w:styleId="ResponsetoJointComplaintBodyChar">
    <w:name w:val="Response to Joint Complaint Body Char"/>
    <w:basedOn w:val="DefaultParagraphFont"/>
    <w:link w:val="ResponsetoJointComplaintBody"/>
    <w:rsid w:val="00672D2B"/>
    <w:rPr>
      <w:rFonts w:eastAsia="Calibri"/>
      <w:sz w:val="24"/>
      <w:szCs w:val="24"/>
    </w:rPr>
  </w:style>
  <w:style w:type="paragraph" w:customStyle="1" w:styleId="ResponseHeader2">
    <w:name w:val="Response Header 2"/>
    <w:basedOn w:val="ListParagraph"/>
    <w:link w:val="ResponseHeader2Char"/>
    <w:qFormat/>
    <w:rsid w:val="00672D2B"/>
    <w:pPr>
      <w:widowControl/>
      <w:numPr>
        <w:numId w:val="23"/>
      </w:numPr>
      <w:spacing w:line="240" w:lineRule="auto"/>
    </w:pPr>
    <w:rPr>
      <w:rFonts w:eastAsia="Calibri"/>
      <w:b/>
      <w:szCs w:val="22"/>
    </w:rPr>
  </w:style>
  <w:style w:type="character" w:customStyle="1" w:styleId="BlockQuoteChar">
    <w:name w:val="Block Quote Char"/>
    <w:basedOn w:val="DefaultParagraphFont"/>
    <w:link w:val="BlockQuote"/>
    <w:rsid w:val="00672D2B"/>
    <w:rPr>
      <w:rFonts w:eastAsia="Calibri"/>
      <w:sz w:val="24"/>
      <w:szCs w:val="24"/>
    </w:rPr>
  </w:style>
  <w:style w:type="paragraph" w:customStyle="1" w:styleId="ResponseHeader3">
    <w:name w:val="Response Header 3"/>
    <w:basedOn w:val="ListParagraph"/>
    <w:link w:val="ResponseHeader3Char"/>
    <w:qFormat/>
    <w:rsid w:val="00672D2B"/>
    <w:pPr>
      <w:widowControl/>
      <w:numPr>
        <w:numId w:val="24"/>
      </w:numPr>
      <w:spacing w:line="240" w:lineRule="auto"/>
      <w:ind w:left="1440" w:hanging="720"/>
    </w:pPr>
    <w:rPr>
      <w:rFonts w:eastAsia="Calibri"/>
      <w:b/>
      <w:szCs w:val="22"/>
    </w:rPr>
  </w:style>
  <w:style w:type="character" w:customStyle="1" w:styleId="ResponseHeader2Char">
    <w:name w:val="Response Header 2 Char"/>
    <w:basedOn w:val="DefaultParagraphFont"/>
    <w:link w:val="ResponseHeader2"/>
    <w:rsid w:val="00672D2B"/>
    <w:rPr>
      <w:rFonts w:eastAsia="Calibri"/>
      <w:b/>
      <w:sz w:val="24"/>
      <w:szCs w:val="22"/>
    </w:rPr>
  </w:style>
  <w:style w:type="paragraph" w:customStyle="1" w:styleId="ResponseHeader4">
    <w:name w:val="Response Header 4"/>
    <w:basedOn w:val="ListParagraph"/>
    <w:link w:val="ResponseHeader4Char"/>
    <w:qFormat/>
    <w:rsid w:val="00672D2B"/>
    <w:pPr>
      <w:widowControl/>
      <w:numPr>
        <w:ilvl w:val="1"/>
        <w:numId w:val="23"/>
      </w:numPr>
      <w:spacing w:line="240" w:lineRule="auto"/>
      <w:ind w:left="2160" w:hanging="720"/>
    </w:pPr>
    <w:rPr>
      <w:rFonts w:eastAsia="Calibri"/>
      <w:b/>
      <w:szCs w:val="22"/>
    </w:rPr>
  </w:style>
  <w:style w:type="character" w:customStyle="1" w:styleId="ResponseHeader3Char">
    <w:name w:val="Response Header 3 Char"/>
    <w:basedOn w:val="DefaultParagraphFont"/>
    <w:link w:val="ResponseHeader3"/>
    <w:rsid w:val="00672D2B"/>
    <w:rPr>
      <w:rFonts w:eastAsia="Calibri"/>
      <w:b/>
      <w:sz w:val="24"/>
      <w:szCs w:val="22"/>
    </w:rPr>
  </w:style>
  <w:style w:type="character" w:customStyle="1" w:styleId="ResponseHeader4Char">
    <w:name w:val="Response Header 4 Char"/>
    <w:basedOn w:val="DefaultParagraphFont"/>
    <w:link w:val="ResponseHeader4"/>
    <w:rsid w:val="00672D2B"/>
    <w:rPr>
      <w:rFonts w:eastAsia="Calibri"/>
      <w:b/>
      <w:sz w:val="24"/>
      <w:szCs w:val="22"/>
    </w:rPr>
  </w:style>
  <w:style w:type="character" w:customStyle="1" w:styleId="groupheading6">
    <w:name w:val="groupheading6"/>
    <w:basedOn w:val="DefaultParagraphFont"/>
    <w:rsid w:val="00672D2B"/>
    <w:rPr>
      <w:rFonts w:ascii="Verdana" w:hAnsi="Verdana" w:hint="default"/>
      <w:b/>
      <w:bCs/>
      <w:sz w:val="19"/>
      <w:szCs w:val="19"/>
    </w:rPr>
  </w:style>
  <w:style w:type="paragraph" w:customStyle="1" w:styleId="paragraphnumbers">
    <w:name w:val="paragraph numbers"/>
    <w:basedOn w:val="Responsebody"/>
    <w:link w:val="paragraphnumbersChar"/>
    <w:qFormat/>
    <w:rsid w:val="009771EC"/>
  </w:style>
  <w:style w:type="paragraph" w:customStyle="1" w:styleId="please">
    <w:name w:val="please"/>
    <w:basedOn w:val="WUTCParagraph"/>
    <w:link w:val="pleaseChar"/>
    <w:qFormat/>
    <w:rsid w:val="009771EC"/>
  </w:style>
  <w:style w:type="character" w:customStyle="1" w:styleId="paragraphnumbersChar">
    <w:name w:val="paragraph numbers Char"/>
    <w:basedOn w:val="ResponsebodyChar"/>
    <w:link w:val="paragraphnumbers"/>
    <w:rsid w:val="009771EC"/>
  </w:style>
  <w:style w:type="character" w:customStyle="1" w:styleId="pleaseChar">
    <w:name w:val="please Char"/>
    <w:basedOn w:val="WUTCParagraphChar"/>
    <w:link w:val="please"/>
    <w:rsid w:val="009771EC"/>
  </w:style>
</w:styles>
</file>

<file path=word/webSettings.xml><?xml version="1.0" encoding="utf-8"?>
<w:webSettings xmlns:r="http://schemas.openxmlformats.org/officeDocument/2006/relationships" xmlns:w="http://schemas.openxmlformats.org/wordprocessingml/2006/main">
  <w:divs>
    <w:div w:id="226113089">
      <w:bodyDiv w:val="1"/>
      <w:marLeft w:val="0"/>
      <w:marRight w:val="0"/>
      <w:marTop w:val="0"/>
      <w:marBottom w:val="0"/>
      <w:divBdr>
        <w:top w:val="none" w:sz="0" w:space="0" w:color="auto"/>
        <w:left w:val="none" w:sz="0" w:space="0" w:color="auto"/>
        <w:bottom w:val="none" w:sz="0" w:space="0" w:color="auto"/>
        <w:right w:val="none" w:sz="0" w:space="0" w:color="auto"/>
      </w:divBdr>
    </w:div>
    <w:div w:id="772477512">
      <w:bodyDiv w:val="1"/>
      <w:marLeft w:val="0"/>
      <w:marRight w:val="0"/>
      <w:marTop w:val="0"/>
      <w:marBottom w:val="0"/>
      <w:divBdr>
        <w:top w:val="none" w:sz="0" w:space="0" w:color="auto"/>
        <w:left w:val="none" w:sz="0" w:space="0" w:color="auto"/>
        <w:bottom w:val="none" w:sz="0" w:space="0" w:color="auto"/>
        <w:right w:val="none" w:sz="0" w:space="0" w:color="auto"/>
      </w:divBdr>
    </w:div>
    <w:div w:id="1082489415">
      <w:marLeft w:val="0"/>
      <w:marRight w:val="0"/>
      <w:marTop w:val="0"/>
      <w:marBottom w:val="0"/>
      <w:divBdr>
        <w:top w:val="none" w:sz="0" w:space="0" w:color="auto"/>
        <w:left w:val="none" w:sz="0" w:space="0" w:color="auto"/>
        <w:bottom w:val="none" w:sz="0" w:space="0" w:color="auto"/>
        <w:right w:val="none" w:sz="0" w:space="0" w:color="auto"/>
      </w:divBdr>
    </w:div>
    <w:div w:id="1082489417">
      <w:marLeft w:val="0"/>
      <w:marRight w:val="0"/>
      <w:marTop w:val="0"/>
      <w:marBottom w:val="0"/>
      <w:divBdr>
        <w:top w:val="none" w:sz="0" w:space="0" w:color="auto"/>
        <w:left w:val="none" w:sz="0" w:space="0" w:color="auto"/>
        <w:bottom w:val="none" w:sz="0" w:space="0" w:color="auto"/>
        <w:right w:val="none" w:sz="0" w:space="0" w:color="auto"/>
      </w:divBdr>
      <w:divsChild>
        <w:div w:id="1082489419">
          <w:marLeft w:val="0"/>
          <w:marRight w:val="0"/>
          <w:marTop w:val="0"/>
          <w:marBottom w:val="0"/>
          <w:divBdr>
            <w:top w:val="none" w:sz="0" w:space="0" w:color="auto"/>
            <w:left w:val="none" w:sz="0" w:space="0" w:color="auto"/>
            <w:bottom w:val="none" w:sz="0" w:space="0" w:color="auto"/>
            <w:right w:val="none" w:sz="0" w:space="0" w:color="auto"/>
          </w:divBdr>
        </w:div>
      </w:divsChild>
    </w:div>
    <w:div w:id="1082489418">
      <w:marLeft w:val="0"/>
      <w:marRight w:val="0"/>
      <w:marTop w:val="0"/>
      <w:marBottom w:val="0"/>
      <w:divBdr>
        <w:top w:val="none" w:sz="0" w:space="0" w:color="auto"/>
        <w:left w:val="none" w:sz="0" w:space="0" w:color="auto"/>
        <w:bottom w:val="none" w:sz="0" w:space="0" w:color="auto"/>
        <w:right w:val="none" w:sz="0" w:space="0" w:color="auto"/>
      </w:divBdr>
    </w:div>
    <w:div w:id="1082489420">
      <w:marLeft w:val="0"/>
      <w:marRight w:val="0"/>
      <w:marTop w:val="0"/>
      <w:marBottom w:val="0"/>
      <w:divBdr>
        <w:top w:val="none" w:sz="0" w:space="0" w:color="auto"/>
        <w:left w:val="none" w:sz="0" w:space="0" w:color="auto"/>
        <w:bottom w:val="none" w:sz="0" w:space="0" w:color="auto"/>
        <w:right w:val="none" w:sz="0" w:space="0" w:color="auto"/>
      </w:divBdr>
      <w:divsChild>
        <w:div w:id="1082489416">
          <w:marLeft w:val="0"/>
          <w:marRight w:val="0"/>
          <w:marTop w:val="0"/>
          <w:marBottom w:val="0"/>
          <w:divBdr>
            <w:top w:val="none" w:sz="0" w:space="0" w:color="auto"/>
            <w:left w:val="none" w:sz="0" w:space="0" w:color="auto"/>
            <w:bottom w:val="none" w:sz="0" w:space="0" w:color="auto"/>
            <w:right w:val="none" w:sz="0" w:space="0" w:color="auto"/>
          </w:divBdr>
        </w:div>
      </w:divsChild>
    </w:div>
    <w:div w:id="1082489421">
      <w:marLeft w:val="0"/>
      <w:marRight w:val="0"/>
      <w:marTop w:val="0"/>
      <w:marBottom w:val="0"/>
      <w:divBdr>
        <w:top w:val="none" w:sz="0" w:space="0" w:color="auto"/>
        <w:left w:val="none" w:sz="0" w:space="0" w:color="auto"/>
        <w:bottom w:val="none" w:sz="0" w:space="0" w:color="auto"/>
        <w:right w:val="none" w:sz="0" w:space="0" w:color="auto"/>
      </w:divBdr>
    </w:div>
    <w:div w:id="1535999079">
      <w:bodyDiv w:val="1"/>
      <w:marLeft w:val="0"/>
      <w:marRight w:val="0"/>
      <w:marTop w:val="0"/>
      <w:marBottom w:val="0"/>
      <w:divBdr>
        <w:top w:val="none" w:sz="0" w:space="0" w:color="auto"/>
        <w:left w:val="none" w:sz="0" w:space="0" w:color="auto"/>
        <w:bottom w:val="none" w:sz="0" w:space="0" w:color="auto"/>
        <w:right w:val="none" w:sz="0" w:space="0" w:color="auto"/>
      </w:divBdr>
    </w:div>
    <w:div w:id="1579293284">
      <w:bodyDiv w:val="1"/>
      <w:marLeft w:val="0"/>
      <w:marRight w:val="0"/>
      <w:marTop w:val="0"/>
      <w:marBottom w:val="0"/>
      <w:divBdr>
        <w:top w:val="none" w:sz="0" w:space="0" w:color="auto"/>
        <w:left w:val="none" w:sz="0" w:space="0" w:color="auto"/>
        <w:bottom w:val="none" w:sz="0" w:space="0" w:color="auto"/>
        <w:right w:val="none" w:sz="0" w:space="0" w:color="auto"/>
      </w:divBdr>
    </w:div>
    <w:div w:id="1634366280">
      <w:bodyDiv w:val="1"/>
      <w:marLeft w:val="0"/>
      <w:marRight w:val="0"/>
      <w:marTop w:val="0"/>
      <w:marBottom w:val="0"/>
      <w:divBdr>
        <w:top w:val="none" w:sz="0" w:space="0" w:color="auto"/>
        <w:left w:val="none" w:sz="0" w:space="0" w:color="auto"/>
        <w:bottom w:val="none" w:sz="0" w:space="0" w:color="auto"/>
        <w:right w:val="none" w:sz="0" w:space="0" w:color="auto"/>
      </w:divBdr>
    </w:div>
    <w:div w:id="2120368137">
      <w:bodyDiv w:val="1"/>
      <w:marLeft w:val="0"/>
      <w:marRight w:val="0"/>
      <w:marTop w:val="0"/>
      <w:marBottom w:val="0"/>
      <w:divBdr>
        <w:top w:val="none" w:sz="0" w:space="0" w:color="auto"/>
        <w:left w:val="none" w:sz="0" w:space="0" w:color="auto"/>
        <w:bottom w:val="none" w:sz="0" w:space="0" w:color="auto"/>
        <w:right w:val="none" w:sz="0" w:space="0" w:color="auto"/>
      </w:divBdr>
      <w:divsChild>
        <w:div w:id="43228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eb2.westlaw.com/find/default.wl?tf=-1&amp;rs=WLW11.01&amp;serialnum=1984129447&amp;fn=_top&amp;sv=Split&amp;tc=-1&amp;pbc=99055750&amp;ordoc=2019793766&amp;findtype=Y&amp;db=661&amp;utid=2&amp;vr=2.0&amp;rp=%2ffind%2fdefault.wl&amp;mt=Wash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9C0E9C7957A1B4CA7AB95FA2B0867F3" ma:contentTypeVersion="135" ma:contentTypeDescription="" ma:contentTypeScope="" ma:versionID="3ca44260d6ca1782315e90ecdd7dea5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2011-01-07T08:00:00+00:00</OpenedDate>
    <Date1 xmlns="dc463f71-b30c-4ab2-9473-d307f9d35888">2011-02-28T08:00:00+00:00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110070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0837803-CC10-4959-A563-3145EEDE88D1}"/>
</file>

<file path=customXml/itemProps2.xml><?xml version="1.0" encoding="utf-8"?>
<ds:datastoreItem xmlns:ds="http://schemas.openxmlformats.org/officeDocument/2006/customXml" ds:itemID="{1299E5F9-FEDB-4074-8C7D-93FB3711D77B}"/>
</file>

<file path=customXml/itemProps3.xml><?xml version="1.0" encoding="utf-8"?>
<ds:datastoreItem xmlns:ds="http://schemas.openxmlformats.org/officeDocument/2006/customXml" ds:itemID="{CAE0D4A6-E56C-4EAC-A65B-947631CED82C}"/>
</file>

<file path=customXml/itemProps4.xml><?xml version="1.0" encoding="utf-8"?>
<ds:datastoreItem xmlns:ds="http://schemas.openxmlformats.org/officeDocument/2006/customXml" ds:itemID="{E9F95CCB-F200-4E14-A223-764A0816FE3F}"/>
</file>

<file path=customXml/itemProps5.xml><?xml version="1.0" encoding="utf-8"?>
<ds:datastoreItem xmlns:ds="http://schemas.openxmlformats.org/officeDocument/2006/customXml" ds:itemID="{F8228334-7A8A-47A9-B052-C727D476B2CE}"/>
</file>

<file path=docProps/app.xml><?xml version="1.0" encoding="utf-8"?>
<Properties xmlns="http://schemas.openxmlformats.org/officeDocument/2006/extended-properties" xmlns:vt="http://schemas.openxmlformats.org/officeDocument/2006/docPropsVTypes">
  <Template>Normal</Template>
  <TotalTime>2</TotalTime>
  <Pages>44</Pages>
  <Words>10233</Words>
  <Characters>54421</Characters>
  <Application>Microsoft Office Word</Application>
  <DocSecurity>0</DocSecurity>
  <Lines>989</Lines>
  <Paragraphs>295</Paragraphs>
  <ScaleCrop>false</ScaleCrop>
  <HeadingPairs>
    <vt:vector size="2" baseType="variant">
      <vt:variant>
        <vt:lpstr>Title</vt:lpstr>
      </vt:variant>
      <vt:variant>
        <vt:i4>1</vt:i4>
      </vt:variant>
    </vt:vector>
  </HeadingPairs>
  <TitlesOfParts>
    <vt:vector size="1" baseType="lpstr">
      <vt:lpstr>BEFORE THE PUBLIC UTILITY COMMISSION OF OREGON</vt:lpstr>
    </vt:vector>
  </TitlesOfParts>
  <Company>Davison Van Cleve</Company>
  <LinksUpToDate>false</LinksUpToDate>
  <CharactersWithSpaces>64359</CharactersWithSpaces>
  <SharedDoc>false</SharedDoc>
  <HLinks>
    <vt:vector size="6" baseType="variant">
      <vt:variant>
        <vt:i4>524401</vt:i4>
      </vt:variant>
      <vt:variant>
        <vt:i4>0</vt:i4>
      </vt:variant>
      <vt:variant>
        <vt:i4>0</vt:i4>
      </vt:variant>
      <vt:variant>
        <vt:i4>5</vt:i4>
      </vt:variant>
      <vt:variant>
        <vt:lpwstr>mailto:katherine@mcd-law.com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UTILITY COMMISSION OF OREGON</dc:title>
  <dc:creator>Unknown</dc:creator>
  <cp:lastModifiedBy>Jacqueline E. Smith</cp:lastModifiedBy>
  <cp:revision>3</cp:revision>
  <cp:lastPrinted>2011-02-28T19:45:00Z</cp:lastPrinted>
  <dcterms:created xsi:type="dcterms:W3CDTF">2011-02-28T21:47:00Z</dcterms:created>
  <dcterms:modified xsi:type="dcterms:W3CDTF">2011-02-28T21:48:00Z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0x0101006E56B4D1795A2E4DB2F0B01679ED314A00C9C0E9C7957A1B4CA7AB95FA2B0867F3</vt:lpwstr>
  </property>
  <property fmtid="{D5CDD505-2E9C-101B-9397-08002B2CF9AE}" pid="4" name="_docset_NoMedatataSyncRequired">
    <vt:lpwstr>False</vt:lpwstr>
  </property>
</Properties>
</file>