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9B4" w:rsidRDefault="00A854D5">
      <w:pPr>
        <w:rPr>
          <w:b/>
          <w:sz w:val="2"/>
        </w:rPr>
      </w:pPr>
      <w:r>
        <w:rPr>
          <w:noProof/>
        </w:rPr>
        <w:drawing>
          <wp:anchor distT="0" distB="0" distL="114300" distR="114300" simplePos="0" relativeHeight="251657728" behindDoc="0" locked="0" layoutInCell="1" allowOverlap="1">
            <wp:simplePos x="0" y="0"/>
            <wp:positionH relativeFrom="column">
              <wp:posOffset>-520065</wp:posOffset>
            </wp:positionH>
            <wp:positionV relativeFrom="paragraph">
              <wp:posOffset>-287655</wp:posOffset>
            </wp:positionV>
            <wp:extent cx="1540510" cy="1089025"/>
            <wp:effectExtent l="0" t="0" r="2540" b="0"/>
            <wp:wrapNone/>
            <wp:docPr id="4" name="Picture 6" descr="wash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sh811.pn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0510" cy="1089025"/>
                    </a:xfrm>
                    <a:prstGeom prst="rect">
                      <a:avLst/>
                    </a:prstGeom>
                    <a:gradFill rotWithShape="1">
                      <a:gsLst>
                        <a:gs pos="0">
                          <a:srgbClr val="C6D9F1"/>
                        </a:gs>
                        <a:gs pos="36000">
                          <a:srgbClr val="D2EAE8"/>
                        </a:gs>
                        <a:gs pos="100000">
                          <a:srgbClr val="DEFBDF"/>
                        </a:gs>
                      </a:gsLst>
                      <a:lin ang="0" scaled="1"/>
                    </a:gradFill>
                  </pic:spPr>
                </pic:pic>
              </a:graphicData>
            </a:graphic>
            <wp14:sizeRelH relativeFrom="page">
              <wp14:pctWidth>0</wp14:pctWidth>
            </wp14:sizeRelH>
            <wp14:sizeRelV relativeFrom="page">
              <wp14:pctHeight>0</wp14:pctHeight>
            </wp14:sizeRelV>
          </wp:anchor>
        </w:drawing>
      </w:r>
      <w:r w:rsidR="00E8373E">
        <w:rPr>
          <w:noProof/>
        </w:rPr>
        <mc:AlternateContent>
          <mc:Choice Requires="wps">
            <w:drawing>
              <wp:anchor distT="0" distB="0" distL="114300" distR="114300" simplePos="0" relativeHeight="251659776" behindDoc="1" locked="0" layoutInCell="1" allowOverlap="1">
                <wp:simplePos x="0" y="0"/>
                <wp:positionH relativeFrom="page">
                  <wp:posOffset>2571750</wp:posOffset>
                </wp:positionH>
                <wp:positionV relativeFrom="page">
                  <wp:posOffset>457201</wp:posOffset>
                </wp:positionV>
                <wp:extent cx="4180205" cy="57150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9B4" w:rsidRPr="005715AF" w:rsidRDefault="00A729B4" w:rsidP="0042345A">
                            <w:pPr>
                              <w:spacing w:after="0" w:line="240" w:lineRule="auto"/>
                              <w:ind w:left="-35" w:right="-55"/>
                              <w:jc w:val="center"/>
                              <w:rPr>
                                <w:rFonts w:ascii="Arial" w:hAnsi="Arial" w:cs="Arial"/>
                                <w:b/>
                                <w:bCs/>
                                <w:w w:val="82"/>
                                <w:sz w:val="36"/>
                                <w:szCs w:val="36"/>
                              </w:rPr>
                            </w:pPr>
                            <w:smartTag w:uri="urn:schemas-microsoft-com:office:smarttags" w:element="PlaceName">
                              <w:smartTag w:uri="urn:schemas-microsoft-com:office:smarttags" w:element="place">
                                <w:r w:rsidRPr="005715AF">
                                  <w:rPr>
                                    <w:rFonts w:ascii="Arial" w:hAnsi="Arial" w:cs="Arial"/>
                                    <w:b/>
                                    <w:bCs/>
                                    <w:w w:val="82"/>
                                    <w:sz w:val="36"/>
                                    <w:szCs w:val="36"/>
                                  </w:rPr>
                                  <w:t>Washington</w:t>
                                </w:r>
                              </w:smartTag>
                              <w:r w:rsidRPr="005715AF">
                                <w:rPr>
                                  <w:rFonts w:ascii="Arial" w:hAnsi="Arial" w:cs="Arial"/>
                                  <w:b/>
                                  <w:bCs/>
                                  <w:w w:val="82"/>
                                  <w:sz w:val="36"/>
                                  <w:szCs w:val="36"/>
                                </w:rPr>
                                <w:t xml:space="preserve"> </w:t>
                              </w:r>
                              <w:smartTag w:uri="urn:schemas-microsoft-com:office:smarttags" w:element="PostalCode">
                                <w:smartTag w:uri="urn:schemas-microsoft-com:office:smarttags" w:element="PlaceType">
                                  <w:r w:rsidRPr="005715AF">
                                    <w:rPr>
                                      <w:rFonts w:ascii="Arial" w:hAnsi="Arial" w:cs="Arial"/>
                                      <w:b/>
                                      <w:bCs/>
                                      <w:w w:val="82"/>
                                      <w:sz w:val="36"/>
                                      <w:szCs w:val="36"/>
                                    </w:rPr>
                                    <w:t>State</w:t>
                                  </w:r>
                                </w:smartTag>
                              </w:smartTag>
                            </w:smartTag>
                            <w:r w:rsidRPr="005715AF">
                              <w:rPr>
                                <w:rFonts w:ascii="Arial" w:hAnsi="Arial" w:cs="Arial"/>
                                <w:b/>
                                <w:bCs/>
                                <w:w w:val="82"/>
                                <w:sz w:val="36"/>
                                <w:szCs w:val="36"/>
                              </w:rPr>
                              <w:t xml:space="preserve"> Dig Law Safety Committee</w:t>
                            </w:r>
                          </w:p>
                          <w:p w:rsidR="00A729B4" w:rsidRPr="005715AF" w:rsidRDefault="00336727" w:rsidP="0042345A">
                            <w:pPr>
                              <w:spacing w:after="0" w:line="240" w:lineRule="auto"/>
                              <w:ind w:left="-18" w:right="-38"/>
                              <w:jc w:val="center"/>
                              <w:rPr>
                                <w:rFonts w:ascii="Arial" w:hAnsi="Arial" w:cs="Arial"/>
                                <w:sz w:val="20"/>
                                <w:szCs w:val="20"/>
                              </w:rPr>
                            </w:pPr>
                            <w:r>
                              <w:rPr>
                                <w:rFonts w:ascii="Arial" w:hAnsi="Arial" w:cs="Arial"/>
                                <w:position w:val="-1"/>
                                <w:sz w:val="20"/>
                                <w:szCs w:val="20"/>
                              </w:rPr>
                              <w:t>P.O. Box 734 • Poulsbo, WA 98370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5pt;margin-top:36pt;width:329.15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UR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" filled="f" stroked="f">
                <v:textbox inset="0,0,0,0">
                  <w:txbxContent>
                    <w:p w:rsidR="00A729B4" w:rsidRPr="005715AF" w:rsidRDefault="00A729B4" w:rsidP="0042345A">
                      <w:pPr>
                        <w:spacing w:after="0" w:line="240" w:lineRule="auto"/>
                        <w:ind w:left="-35" w:right="-55"/>
                        <w:jc w:val="center"/>
                        <w:rPr>
                          <w:rFonts w:ascii="Arial" w:hAnsi="Arial" w:cs="Arial"/>
                          <w:b/>
                          <w:bCs/>
                          <w:w w:val="82"/>
                          <w:sz w:val="36"/>
                          <w:szCs w:val="36"/>
                        </w:rPr>
                      </w:pPr>
                      <w:smartTag w:uri="urn:schemas-microsoft-com:office:smarttags" w:element="PlaceName">
                        <w:smartTag w:uri="urn:schemas-microsoft-com:office:smarttags" w:element="place">
                          <w:r w:rsidRPr="005715AF">
                            <w:rPr>
                              <w:rFonts w:ascii="Arial" w:hAnsi="Arial" w:cs="Arial"/>
                              <w:b/>
                              <w:bCs/>
                              <w:w w:val="82"/>
                              <w:sz w:val="36"/>
                              <w:szCs w:val="36"/>
                            </w:rPr>
                            <w:t>Washington</w:t>
                          </w:r>
                        </w:smartTag>
                        <w:r w:rsidRPr="005715AF">
                          <w:rPr>
                            <w:rFonts w:ascii="Arial" w:hAnsi="Arial" w:cs="Arial"/>
                            <w:b/>
                            <w:bCs/>
                            <w:w w:val="82"/>
                            <w:sz w:val="36"/>
                            <w:szCs w:val="36"/>
                          </w:rPr>
                          <w:t xml:space="preserve"> </w:t>
                        </w:r>
                        <w:smartTag w:uri="urn:schemas-microsoft-com:office:smarttags" w:element="PostalCode">
                          <w:smartTag w:uri="urn:schemas-microsoft-com:office:smarttags" w:element="PlaceType">
                            <w:r w:rsidRPr="005715AF">
                              <w:rPr>
                                <w:rFonts w:ascii="Arial" w:hAnsi="Arial" w:cs="Arial"/>
                                <w:b/>
                                <w:bCs/>
                                <w:w w:val="82"/>
                                <w:sz w:val="36"/>
                                <w:szCs w:val="36"/>
                              </w:rPr>
                              <w:t>State</w:t>
                            </w:r>
                          </w:smartTag>
                        </w:smartTag>
                      </w:smartTag>
                      <w:r w:rsidRPr="005715AF">
                        <w:rPr>
                          <w:rFonts w:ascii="Arial" w:hAnsi="Arial" w:cs="Arial"/>
                          <w:b/>
                          <w:bCs/>
                          <w:w w:val="82"/>
                          <w:sz w:val="36"/>
                          <w:szCs w:val="36"/>
                        </w:rPr>
                        <w:t xml:space="preserve"> Dig Law Safety Committee</w:t>
                      </w:r>
                    </w:p>
                    <w:p w:rsidR="00A729B4" w:rsidRPr="005715AF" w:rsidRDefault="00336727" w:rsidP="0042345A">
                      <w:pPr>
                        <w:spacing w:after="0" w:line="240" w:lineRule="auto"/>
                        <w:ind w:left="-18" w:right="-38"/>
                        <w:jc w:val="center"/>
                        <w:rPr>
                          <w:rFonts w:ascii="Arial" w:hAnsi="Arial" w:cs="Arial"/>
                          <w:sz w:val="20"/>
                          <w:szCs w:val="20"/>
                        </w:rPr>
                      </w:pPr>
                      <w:r>
                        <w:rPr>
                          <w:rFonts w:ascii="Arial" w:hAnsi="Arial" w:cs="Arial"/>
                          <w:position w:val="-1"/>
                          <w:sz w:val="20"/>
                          <w:szCs w:val="20"/>
                        </w:rPr>
                        <w:t>P.O. Box 734 • Poulsbo, WA 98370</w:t>
                      </w:r>
                    </w:p>
                  </w:txbxContent>
                </v:textbox>
                <w10:wrap anchorx="page" anchory="page"/>
              </v:shape>
            </w:pict>
          </mc:Fallback>
        </mc:AlternateContent>
      </w:r>
      <w:r w:rsidR="00BA22A4">
        <w:rPr>
          <w:noProof/>
        </w:rPr>
        <mc:AlternateContent>
          <mc:Choice Requires="wps">
            <w:drawing>
              <wp:anchor distT="91440" distB="91440" distL="114300" distR="114300" simplePos="0" relativeHeight="251655680" behindDoc="0" locked="0" layoutInCell="0" allowOverlap="1">
                <wp:simplePos x="0" y="0"/>
                <wp:positionH relativeFrom="page">
                  <wp:posOffset>427990</wp:posOffset>
                </wp:positionH>
                <wp:positionV relativeFrom="margin">
                  <wp:posOffset>-535305</wp:posOffset>
                </wp:positionV>
                <wp:extent cx="1908175" cy="8896350"/>
                <wp:effectExtent l="0" t="0" r="0" b="1905"/>
                <wp:wrapSquare wrapText="bothSides"/>
                <wp:docPr id="2"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08175" cy="8896350"/>
                        </a:xfrm>
                        <a:prstGeom prst="rect">
                          <a:avLst/>
                        </a:prstGeom>
                        <a:gradFill rotWithShape="1">
                          <a:gsLst>
                            <a:gs pos="0">
                              <a:srgbClr val="C6D9F1"/>
                            </a:gs>
                            <a:gs pos="36000">
                              <a:srgbClr val="D2EAE8"/>
                            </a:gs>
                            <a:gs pos="100000">
                              <a:srgbClr val="DEFBDF"/>
                            </a:gs>
                          </a:gsLst>
                          <a:lin ang="108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Pr="005715AF" w:rsidRDefault="00A729B4" w:rsidP="00010697">
                            <w:pPr>
                              <w:ind w:left="-360"/>
                              <w:rPr>
                                <w:rFonts w:ascii="Arial" w:hAnsi="Arial" w:cs="Arial"/>
                                <w:b/>
                                <w:sz w:val="18"/>
                                <w:szCs w:val="18"/>
                              </w:rPr>
                            </w:pPr>
                          </w:p>
                          <w:p w:rsidR="00A729B4" w:rsidRPr="005715AF" w:rsidRDefault="00A729B4" w:rsidP="00010697">
                            <w:pPr>
                              <w:ind w:left="-360"/>
                              <w:rPr>
                                <w:rFonts w:ascii="Arial" w:hAnsi="Arial" w:cs="Arial"/>
                                <w:b/>
                                <w:sz w:val="18"/>
                                <w:szCs w:val="18"/>
                              </w:rPr>
                            </w:pPr>
                            <w:r w:rsidRPr="005715AF">
                              <w:rPr>
                                <w:rFonts w:ascii="Arial" w:hAnsi="Arial" w:cs="Arial"/>
                                <w:b/>
                                <w:sz w:val="18"/>
                                <w:szCs w:val="18"/>
                              </w:rPr>
                              <w:t>Committee Members Represent: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Local Government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Natural Gas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Contractors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Excavators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Electric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Consumer – Owned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Pipeline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Insurance Industry</w:t>
                            </w:r>
                          </w:p>
                          <w:p w:rsidR="00A729B4" w:rsidRPr="005715AF" w:rsidRDefault="00A729B4" w:rsidP="00010697">
                            <w:pPr>
                              <w:tabs>
                                <w:tab w:val="left" w:pos="180"/>
                              </w:tabs>
                              <w:ind w:left="-360"/>
                              <w:rPr>
                                <w:rFonts w:ascii="Arial" w:hAnsi="Arial" w:cs="Arial"/>
                                <w:b/>
                                <w:sz w:val="18"/>
                                <w:szCs w:val="18"/>
                              </w:rPr>
                            </w:pPr>
                            <w:r w:rsidRPr="005715AF">
                              <w:rPr>
                                <w:rFonts w:ascii="Arial" w:hAnsi="Arial" w:cs="Arial"/>
                                <w:b/>
                                <w:sz w:val="18"/>
                                <w:szCs w:val="18"/>
                              </w:rPr>
                              <w:t>Utilities and Transportation Commission</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Telecommunications Company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Three At – Large Positions</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027" style="position:absolute;margin-left:33.7pt;margin-top:-42.15pt;width:150.25pt;height:700.5pt;flip:x;z-index:25165568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" o:allowincell="f" fillcolor="#c6d9f1" stroked="f">
                <v:fill color2="#defbdf" rotate="t" angle="270" colors="0 #c6d9f1;23593f #d2eae8;1 #defbdf" focus="100%" type="gradient"/>
                <v:textbox inset="21.6pt,21.6pt,21.6pt,21.6pt">
                  <w:txbxContent>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Default="00A729B4" w:rsidP="00010697">
                      <w:pPr>
                        <w:ind w:left="-360"/>
                        <w:rPr>
                          <w:b/>
                          <w:sz w:val="18"/>
                          <w:szCs w:val="18"/>
                        </w:rPr>
                      </w:pPr>
                    </w:p>
                    <w:p w:rsidR="00A729B4" w:rsidRPr="005715AF" w:rsidRDefault="00A729B4" w:rsidP="00010697">
                      <w:pPr>
                        <w:ind w:left="-360"/>
                        <w:rPr>
                          <w:rFonts w:ascii="Arial" w:hAnsi="Arial" w:cs="Arial"/>
                          <w:b/>
                          <w:sz w:val="18"/>
                          <w:szCs w:val="18"/>
                        </w:rPr>
                      </w:pPr>
                    </w:p>
                    <w:p w:rsidR="00A729B4" w:rsidRPr="005715AF" w:rsidRDefault="00A729B4" w:rsidP="00010697">
                      <w:pPr>
                        <w:ind w:left="-360"/>
                        <w:rPr>
                          <w:rFonts w:ascii="Arial" w:hAnsi="Arial" w:cs="Arial"/>
                          <w:b/>
                          <w:sz w:val="18"/>
                          <w:szCs w:val="18"/>
                        </w:rPr>
                      </w:pPr>
                      <w:r w:rsidRPr="005715AF">
                        <w:rPr>
                          <w:rFonts w:ascii="Arial" w:hAnsi="Arial" w:cs="Arial"/>
                          <w:b/>
                          <w:sz w:val="18"/>
                          <w:szCs w:val="18"/>
                        </w:rPr>
                        <w:t>Committee Members Represent: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Local Government</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Natural Gas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Contractors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Excavators</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Electric Utility</w:t>
                      </w:r>
                    </w:p>
                    <w:p w:rsidR="00A729B4" w:rsidRPr="005715AF" w:rsidRDefault="00A729B4" w:rsidP="00010697">
                      <w:pPr>
                        <w:ind w:left="-360"/>
                        <w:jc w:val="both"/>
                        <w:rPr>
                          <w:rFonts w:ascii="Arial" w:hAnsi="Arial" w:cs="Arial"/>
                          <w:b/>
                          <w:sz w:val="18"/>
                          <w:szCs w:val="18"/>
                        </w:rPr>
                      </w:pPr>
                      <w:r w:rsidRPr="005715AF">
                        <w:rPr>
                          <w:rFonts w:ascii="Arial" w:hAnsi="Arial" w:cs="Arial"/>
                          <w:b/>
                          <w:sz w:val="18"/>
                          <w:szCs w:val="18"/>
                        </w:rPr>
                        <w:t>Consumer – Owned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Pipeline Utility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Insurance Industry</w:t>
                      </w:r>
                    </w:p>
                    <w:p w:rsidR="00A729B4" w:rsidRPr="005715AF" w:rsidRDefault="00A729B4" w:rsidP="00010697">
                      <w:pPr>
                        <w:tabs>
                          <w:tab w:val="left" w:pos="180"/>
                        </w:tabs>
                        <w:ind w:left="-360"/>
                        <w:rPr>
                          <w:rFonts w:ascii="Arial" w:hAnsi="Arial" w:cs="Arial"/>
                          <w:b/>
                          <w:sz w:val="18"/>
                          <w:szCs w:val="18"/>
                        </w:rPr>
                      </w:pPr>
                      <w:r w:rsidRPr="005715AF">
                        <w:rPr>
                          <w:rFonts w:ascii="Arial" w:hAnsi="Arial" w:cs="Arial"/>
                          <w:b/>
                          <w:sz w:val="18"/>
                          <w:szCs w:val="18"/>
                        </w:rPr>
                        <w:t>Utilities and Transportation Commission</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Telecommunications Company</w:t>
                      </w:r>
                    </w:p>
                    <w:p w:rsidR="00A729B4" w:rsidRPr="005715AF" w:rsidRDefault="00A729B4" w:rsidP="00010697">
                      <w:pPr>
                        <w:tabs>
                          <w:tab w:val="left" w:pos="180"/>
                        </w:tabs>
                        <w:ind w:left="-360"/>
                        <w:jc w:val="both"/>
                        <w:rPr>
                          <w:rFonts w:ascii="Arial" w:hAnsi="Arial" w:cs="Arial"/>
                          <w:b/>
                          <w:sz w:val="18"/>
                          <w:szCs w:val="18"/>
                        </w:rPr>
                      </w:pPr>
                      <w:r w:rsidRPr="005715AF">
                        <w:rPr>
                          <w:rFonts w:ascii="Arial" w:hAnsi="Arial" w:cs="Arial"/>
                          <w:b/>
                          <w:sz w:val="18"/>
                          <w:szCs w:val="18"/>
                        </w:rPr>
                        <w:t>Three At – Large Positions</w:t>
                      </w:r>
                    </w:p>
                  </w:txbxContent>
                </v:textbox>
                <w10:wrap type="square" anchorx="page" anchory="margin"/>
              </v:rect>
            </w:pict>
          </mc:Fallback>
        </mc:AlternateContent>
      </w:r>
    </w:p>
    <w:p w:rsidR="00A729B4" w:rsidRDefault="00A729B4">
      <w:pPr>
        <w:rPr>
          <w:b/>
          <w:sz w:val="2"/>
        </w:rPr>
      </w:pPr>
    </w:p>
    <w:p w:rsidR="00A729B4" w:rsidRDefault="00A729B4" w:rsidP="00447386">
      <w:pPr>
        <w:rPr>
          <w:b/>
          <w:sz w:val="2"/>
        </w:rPr>
      </w:pPr>
    </w:p>
    <w:p w:rsidR="006501E0" w:rsidRDefault="006501E0" w:rsidP="00447386">
      <w:pPr>
        <w:rPr>
          <w:b/>
        </w:rPr>
      </w:pPr>
    </w:p>
    <w:p w:rsidR="009D5063" w:rsidRPr="00A854D5" w:rsidRDefault="009D5063" w:rsidP="00447386">
      <w:pPr>
        <w:rPr>
          <w:b/>
        </w:rPr>
      </w:pPr>
      <w:r>
        <w:rPr>
          <w:b/>
        </w:rPr>
        <w:t>September 25, 2017</w:t>
      </w:r>
    </w:p>
    <w:p w:rsidR="006501E0" w:rsidRPr="00A854D5" w:rsidRDefault="006501E0" w:rsidP="006501E0">
      <w:pPr>
        <w:spacing w:after="0" w:line="240" w:lineRule="auto"/>
        <w:rPr>
          <w:rFonts w:ascii="Arial" w:hAnsi="Arial" w:cs="Arial"/>
        </w:rPr>
      </w:pPr>
      <w:r w:rsidRPr="00A854D5">
        <w:rPr>
          <w:rFonts w:ascii="Arial" w:hAnsi="Arial" w:cs="Arial"/>
        </w:rPr>
        <w:t>Steve King, Executive Director and Secretary</w:t>
      </w:r>
    </w:p>
    <w:p w:rsidR="006501E0" w:rsidRPr="00A854D5" w:rsidRDefault="006501E0" w:rsidP="006501E0">
      <w:pPr>
        <w:spacing w:after="0" w:line="240" w:lineRule="auto"/>
        <w:rPr>
          <w:rFonts w:ascii="Arial" w:hAnsi="Arial" w:cs="Arial"/>
        </w:rPr>
      </w:pPr>
      <w:r w:rsidRPr="00A854D5">
        <w:rPr>
          <w:rFonts w:ascii="Arial" w:hAnsi="Arial" w:cs="Arial"/>
        </w:rPr>
        <w:t>Members of the Commission</w:t>
      </w:r>
    </w:p>
    <w:p w:rsidR="006501E0" w:rsidRPr="00A854D5" w:rsidRDefault="006501E0" w:rsidP="006501E0">
      <w:pPr>
        <w:spacing w:after="0" w:line="240" w:lineRule="auto"/>
        <w:rPr>
          <w:rFonts w:ascii="Arial" w:hAnsi="Arial" w:cs="Arial"/>
        </w:rPr>
      </w:pPr>
      <w:r w:rsidRPr="00A854D5">
        <w:rPr>
          <w:rFonts w:ascii="Arial" w:hAnsi="Arial" w:cs="Arial"/>
        </w:rPr>
        <w:t>Utilities and Transportation Commission</w:t>
      </w:r>
    </w:p>
    <w:p w:rsidR="006501E0" w:rsidRPr="00A854D5" w:rsidRDefault="006501E0" w:rsidP="006501E0">
      <w:pPr>
        <w:spacing w:after="0" w:line="240" w:lineRule="auto"/>
        <w:rPr>
          <w:rFonts w:ascii="Arial" w:hAnsi="Arial" w:cs="Arial"/>
        </w:rPr>
      </w:pPr>
      <w:r w:rsidRPr="00A854D5">
        <w:rPr>
          <w:rFonts w:ascii="Arial" w:hAnsi="Arial" w:cs="Arial"/>
        </w:rPr>
        <w:t>1300 Evergreen Park Drive SW</w:t>
      </w:r>
    </w:p>
    <w:p w:rsidR="00A729B4" w:rsidRPr="00A854D5" w:rsidRDefault="006501E0" w:rsidP="00447386">
      <w:pPr>
        <w:spacing w:after="0" w:line="240" w:lineRule="auto"/>
        <w:rPr>
          <w:rFonts w:ascii="Arial" w:hAnsi="Arial" w:cs="Arial"/>
        </w:rPr>
      </w:pPr>
      <w:r w:rsidRPr="00A854D5">
        <w:rPr>
          <w:rFonts w:ascii="Arial" w:hAnsi="Arial" w:cs="Arial"/>
        </w:rPr>
        <w:t>Olympia, WA 98504-7250</w:t>
      </w:r>
    </w:p>
    <w:p w:rsidR="006501E0" w:rsidRPr="00A854D5" w:rsidRDefault="006501E0" w:rsidP="00447386">
      <w:pPr>
        <w:spacing w:after="0" w:line="240" w:lineRule="auto"/>
        <w:rPr>
          <w:rFonts w:ascii="Arial" w:hAnsi="Arial" w:cs="Arial"/>
        </w:rPr>
      </w:pPr>
    </w:p>
    <w:p w:rsidR="00A729B4" w:rsidRPr="00A854D5" w:rsidRDefault="00A729B4" w:rsidP="00447386">
      <w:pPr>
        <w:spacing w:after="0" w:line="240" w:lineRule="auto"/>
        <w:rPr>
          <w:rFonts w:ascii="Arial" w:hAnsi="Arial" w:cs="Arial"/>
        </w:rPr>
      </w:pPr>
    </w:p>
    <w:p w:rsidR="00E11F60" w:rsidRPr="00A854D5" w:rsidRDefault="00A729B4" w:rsidP="00793F79">
      <w:pPr>
        <w:spacing w:after="0" w:line="240" w:lineRule="auto"/>
      </w:pPr>
      <w:r w:rsidRPr="00A854D5">
        <w:rPr>
          <w:rFonts w:ascii="Arial" w:hAnsi="Arial" w:cs="Arial"/>
          <w:b/>
        </w:rPr>
        <w:t>Re:</w:t>
      </w:r>
      <w:r w:rsidR="006501E0" w:rsidRPr="00A854D5">
        <w:rPr>
          <w:rFonts w:ascii="Arial" w:hAnsi="Arial" w:cs="Arial"/>
        </w:rPr>
        <w:t xml:space="preserve"> Review Committee Decision - </w:t>
      </w:r>
      <w:r w:rsidR="00E11F60" w:rsidRPr="00A854D5">
        <w:rPr>
          <w:rFonts w:ascii="Arial" w:hAnsi="Arial" w:cs="Arial"/>
        </w:rPr>
        <w:t>Case Number</w:t>
      </w:r>
      <w:r w:rsidR="00B61D47" w:rsidRPr="00A854D5">
        <w:rPr>
          <w:rFonts w:ascii="Arial" w:hAnsi="Arial" w:cs="Arial"/>
        </w:rPr>
        <w:t xml:space="preserve">s </w:t>
      </w:r>
      <w:r w:rsidR="00B61D47" w:rsidRPr="00A854D5">
        <w:rPr>
          <w:rFonts w:ascii="Arial" w:hAnsi="Arial" w:cs="Arial"/>
          <w:b/>
        </w:rPr>
        <w:t>17-014</w:t>
      </w:r>
      <w:r w:rsidR="005549E9" w:rsidRPr="00A854D5">
        <w:rPr>
          <w:rFonts w:ascii="Arial" w:hAnsi="Arial" w:cs="Arial"/>
          <w:b/>
        </w:rPr>
        <w:t xml:space="preserve"> &amp; 17-028 M&amp;L Construction, Inc. vs Frontier Communication NW, Inc.</w:t>
      </w:r>
    </w:p>
    <w:p w:rsidR="006501E0" w:rsidRPr="00A854D5" w:rsidRDefault="006501E0" w:rsidP="00447386">
      <w:pPr>
        <w:spacing w:after="0" w:line="240" w:lineRule="auto"/>
        <w:rPr>
          <w:rFonts w:ascii="Arial" w:hAnsi="Arial" w:cs="Arial"/>
          <w:b/>
        </w:rPr>
      </w:pPr>
    </w:p>
    <w:p w:rsidR="006501E0" w:rsidRPr="00A854D5" w:rsidRDefault="006501E0" w:rsidP="006501E0">
      <w:pPr>
        <w:spacing w:after="0" w:line="240" w:lineRule="auto"/>
        <w:rPr>
          <w:rFonts w:ascii="Arial" w:hAnsi="Arial" w:cs="Arial"/>
        </w:rPr>
      </w:pPr>
      <w:r w:rsidRPr="00A854D5">
        <w:rPr>
          <w:rFonts w:ascii="Arial" w:hAnsi="Arial" w:cs="Arial"/>
        </w:rPr>
        <w:t>Dear Mr. King:</w:t>
      </w:r>
    </w:p>
    <w:p w:rsidR="00E11F60" w:rsidRPr="00A854D5" w:rsidRDefault="00E11F60" w:rsidP="006501E0">
      <w:pPr>
        <w:spacing w:after="0" w:line="240" w:lineRule="auto"/>
        <w:rPr>
          <w:rFonts w:ascii="Arial" w:hAnsi="Arial" w:cs="Arial"/>
        </w:rPr>
      </w:pPr>
    </w:p>
    <w:p w:rsidR="00757C1E" w:rsidRPr="00A854D5" w:rsidRDefault="00E11F60" w:rsidP="00793F79">
      <w:pPr>
        <w:pStyle w:val="Default"/>
        <w:rPr>
          <w:sz w:val="22"/>
          <w:szCs w:val="22"/>
        </w:rPr>
      </w:pPr>
      <w:r w:rsidRPr="00A854D5">
        <w:rPr>
          <w:sz w:val="22"/>
          <w:szCs w:val="22"/>
        </w:rPr>
        <w:t>The Washington State Dig Law Safety Committee received complaint</w:t>
      </w:r>
      <w:r w:rsidR="008C7289">
        <w:rPr>
          <w:sz w:val="22"/>
          <w:szCs w:val="22"/>
        </w:rPr>
        <w:t>s</w:t>
      </w:r>
      <w:r w:rsidRPr="00A854D5">
        <w:rPr>
          <w:sz w:val="22"/>
          <w:szCs w:val="22"/>
        </w:rPr>
        <w:t xml:space="preserve"> regarding a potential violation of the Washington State Dig Law RCW </w:t>
      </w:r>
      <w:r w:rsidR="007F07F1" w:rsidRPr="00A854D5">
        <w:rPr>
          <w:sz w:val="22"/>
          <w:szCs w:val="22"/>
        </w:rPr>
        <w:t>19.122.030</w:t>
      </w:r>
      <w:r w:rsidR="00A1656E" w:rsidRPr="00A854D5">
        <w:rPr>
          <w:sz w:val="22"/>
          <w:szCs w:val="22"/>
        </w:rPr>
        <w:t>(4)</w:t>
      </w:r>
      <w:r w:rsidR="007F07F1" w:rsidRPr="00A854D5">
        <w:rPr>
          <w:sz w:val="22"/>
          <w:szCs w:val="22"/>
        </w:rPr>
        <w:t xml:space="preserve"> for</w:t>
      </w:r>
      <w:r w:rsidRPr="00A854D5">
        <w:rPr>
          <w:sz w:val="22"/>
          <w:szCs w:val="22"/>
        </w:rPr>
        <w:t xml:space="preserve"> work performed</w:t>
      </w:r>
      <w:r w:rsidR="00757C1E" w:rsidRPr="00A854D5">
        <w:rPr>
          <w:sz w:val="22"/>
          <w:szCs w:val="22"/>
        </w:rPr>
        <w:t xml:space="preserve"> on </w:t>
      </w:r>
      <w:r w:rsidR="00A1656E" w:rsidRPr="00A854D5">
        <w:rPr>
          <w:sz w:val="22"/>
          <w:szCs w:val="22"/>
        </w:rPr>
        <w:t>April 11, 2017</w:t>
      </w:r>
      <w:r w:rsidR="00DF3F2C">
        <w:rPr>
          <w:sz w:val="22"/>
          <w:szCs w:val="22"/>
        </w:rPr>
        <w:t xml:space="preserve"> and on June 26, 2017</w:t>
      </w:r>
      <w:bookmarkStart w:id="0" w:name="_GoBack"/>
      <w:bookmarkEnd w:id="0"/>
      <w:r w:rsidR="00A1656E" w:rsidRPr="00A854D5">
        <w:rPr>
          <w:sz w:val="22"/>
          <w:szCs w:val="22"/>
        </w:rPr>
        <w:t>.</w:t>
      </w:r>
    </w:p>
    <w:p w:rsidR="00757C1E" w:rsidRPr="00A854D5" w:rsidRDefault="00757C1E" w:rsidP="00793F79">
      <w:pPr>
        <w:pStyle w:val="Default"/>
        <w:rPr>
          <w:sz w:val="22"/>
          <w:szCs w:val="22"/>
        </w:rPr>
      </w:pPr>
    </w:p>
    <w:p w:rsidR="00757C1E" w:rsidRPr="00A854D5" w:rsidRDefault="00757C1E" w:rsidP="00793F79">
      <w:pPr>
        <w:pStyle w:val="Default"/>
        <w:rPr>
          <w:sz w:val="22"/>
          <w:szCs w:val="22"/>
        </w:rPr>
      </w:pPr>
      <w:r w:rsidRPr="00A854D5">
        <w:rPr>
          <w:sz w:val="22"/>
          <w:szCs w:val="22"/>
        </w:rPr>
        <w:t xml:space="preserve">On </w:t>
      </w:r>
      <w:r w:rsidR="005549E9" w:rsidRPr="00A854D5">
        <w:rPr>
          <w:sz w:val="22"/>
          <w:szCs w:val="22"/>
        </w:rPr>
        <w:t>September 14, 2017</w:t>
      </w:r>
      <w:r w:rsidRPr="00A854D5">
        <w:rPr>
          <w:sz w:val="22"/>
          <w:szCs w:val="22"/>
        </w:rPr>
        <w:t>, the Washington State Dig Law Safety Committee Review Board heard complaint Case</w:t>
      </w:r>
      <w:r w:rsidR="005549E9" w:rsidRPr="00A854D5">
        <w:rPr>
          <w:sz w:val="22"/>
          <w:szCs w:val="22"/>
        </w:rPr>
        <w:t>s 17-014 and 17-</w:t>
      </w:r>
      <w:r w:rsidR="008C7289">
        <w:rPr>
          <w:sz w:val="22"/>
          <w:szCs w:val="22"/>
        </w:rPr>
        <w:t>0</w:t>
      </w:r>
      <w:r w:rsidR="005549E9" w:rsidRPr="00A854D5">
        <w:rPr>
          <w:sz w:val="22"/>
          <w:szCs w:val="22"/>
        </w:rPr>
        <w:t>28 M&amp;L Construction, Inc. vs Frontier Communication NW, Inc.</w:t>
      </w:r>
      <w:r w:rsidRPr="00A854D5">
        <w:rPr>
          <w:sz w:val="22"/>
          <w:szCs w:val="22"/>
        </w:rPr>
        <w:t xml:space="preserve"> </w:t>
      </w:r>
      <w:r w:rsidR="007F07F1" w:rsidRPr="00A854D5">
        <w:rPr>
          <w:sz w:val="22"/>
          <w:szCs w:val="22"/>
        </w:rPr>
        <w:t xml:space="preserve"> </w:t>
      </w:r>
    </w:p>
    <w:p w:rsidR="00757C1E" w:rsidRPr="00A854D5" w:rsidRDefault="00757C1E" w:rsidP="00793F79">
      <w:pPr>
        <w:pStyle w:val="Default"/>
        <w:rPr>
          <w:sz w:val="22"/>
          <w:szCs w:val="22"/>
        </w:rPr>
      </w:pPr>
    </w:p>
    <w:p w:rsidR="00E11F60" w:rsidRPr="00A854D5" w:rsidRDefault="00757C1E" w:rsidP="00793F79">
      <w:pPr>
        <w:pStyle w:val="Default"/>
        <w:rPr>
          <w:sz w:val="22"/>
          <w:szCs w:val="22"/>
        </w:rPr>
      </w:pPr>
      <w:r w:rsidRPr="00A854D5">
        <w:rPr>
          <w:sz w:val="22"/>
          <w:szCs w:val="22"/>
        </w:rPr>
        <w:t>The Review Committee determined that the respondent</w:t>
      </w:r>
      <w:r w:rsidR="007F07F1" w:rsidRPr="00A854D5">
        <w:rPr>
          <w:sz w:val="22"/>
          <w:szCs w:val="22"/>
        </w:rPr>
        <w:t xml:space="preserve"> </w:t>
      </w:r>
      <w:r w:rsidR="005549E9" w:rsidRPr="00A854D5">
        <w:rPr>
          <w:sz w:val="22"/>
          <w:szCs w:val="22"/>
        </w:rPr>
        <w:t xml:space="preserve">Frontier Communications NW, Inc. </w:t>
      </w:r>
      <w:r w:rsidR="00A1656E" w:rsidRPr="00A854D5">
        <w:rPr>
          <w:sz w:val="22"/>
          <w:szCs w:val="22"/>
        </w:rPr>
        <w:t>did violate RCW 19</w:t>
      </w:r>
      <w:r w:rsidR="00AA4489" w:rsidRPr="00A854D5">
        <w:rPr>
          <w:sz w:val="22"/>
          <w:szCs w:val="22"/>
        </w:rPr>
        <w:t>.122.030(4)</w:t>
      </w:r>
      <w:r w:rsidR="00DF3F2C">
        <w:rPr>
          <w:sz w:val="22"/>
          <w:szCs w:val="22"/>
        </w:rPr>
        <w:t>(a)</w:t>
      </w:r>
      <w:r w:rsidR="00AA4489" w:rsidRPr="00A854D5">
        <w:rPr>
          <w:sz w:val="22"/>
          <w:szCs w:val="22"/>
        </w:rPr>
        <w:t xml:space="preserve"> on case 17-014 by failing to reasonably locate facilities in advance of the excavator’s project but did not violate the dig law on case 17-028. </w:t>
      </w:r>
    </w:p>
    <w:p w:rsidR="00E11F60" w:rsidRPr="00A854D5" w:rsidRDefault="00E11F60" w:rsidP="00E11F60">
      <w:pPr>
        <w:pStyle w:val="Default"/>
        <w:rPr>
          <w:sz w:val="22"/>
          <w:szCs w:val="22"/>
        </w:rPr>
      </w:pPr>
    </w:p>
    <w:p w:rsidR="00E11F60" w:rsidRPr="00A854D5" w:rsidRDefault="00E11F60" w:rsidP="00E11F60">
      <w:pPr>
        <w:pStyle w:val="Default"/>
        <w:rPr>
          <w:sz w:val="22"/>
          <w:szCs w:val="22"/>
        </w:rPr>
      </w:pPr>
      <w:r w:rsidRPr="00A854D5">
        <w:rPr>
          <w:sz w:val="22"/>
          <w:szCs w:val="22"/>
        </w:rPr>
        <w:t>The Review Committee recommends the following penalty be assessed to the respondent:</w:t>
      </w:r>
    </w:p>
    <w:p w:rsidR="00A854D5" w:rsidRPr="00A854D5" w:rsidRDefault="00A854D5" w:rsidP="00A854D5">
      <w:pPr>
        <w:pStyle w:val="Default"/>
        <w:numPr>
          <w:ilvl w:val="0"/>
          <w:numId w:val="2"/>
        </w:numPr>
        <w:rPr>
          <w:sz w:val="22"/>
          <w:szCs w:val="22"/>
        </w:rPr>
      </w:pPr>
      <w:r w:rsidRPr="00A854D5">
        <w:rPr>
          <w:sz w:val="22"/>
          <w:szCs w:val="22"/>
        </w:rPr>
        <w:t>Case 17-014 $1000.00 for violating RCW 19.122.030(4)</w:t>
      </w:r>
    </w:p>
    <w:p w:rsidR="00A854D5" w:rsidRPr="00A854D5" w:rsidRDefault="00A854D5" w:rsidP="00A854D5">
      <w:pPr>
        <w:pStyle w:val="Default"/>
        <w:numPr>
          <w:ilvl w:val="0"/>
          <w:numId w:val="2"/>
        </w:numPr>
        <w:rPr>
          <w:sz w:val="22"/>
          <w:szCs w:val="22"/>
        </w:rPr>
      </w:pPr>
      <w:r w:rsidRPr="00A854D5">
        <w:rPr>
          <w:sz w:val="22"/>
          <w:szCs w:val="22"/>
        </w:rPr>
        <w:t>Case 17-028 no penalty assessed</w:t>
      </w:r>
    </w:p>
    <w:p w:rsidR="00A854D5" w:rsidRPr="00A854D5" w:rsidRDefault="00A854D5" w:rsidP="00A854D5">
      <w:pPr>
        <w:pStyle w:val="Default"/>
        <w:ind w:left="720"/>
        <w:rPr>
          <w:sz w:val="22"/>
          <w:szCs w:val="22"/>
        </w:rPr>
      </w:pPr>
    </w:p>
    <w:p w:rsidR="00A854D5" w:rsidRPr="00A854D5" w:rsidRDefault="00A854D5" w:rsidP="00A854D5">
      <w:pPr>
        <w:pStyle w:val="Default"/>
        <w:ind w:left="720"/>
        <w:rPr>
          <w:sz w:val="22"/>
          <w:szCs w:val="22"/>
        </w:rPr>
      </w:pPr>
      <w:r w:rsidRPr="00A854D5">
        <w:rPr>
          <w:sz w:val="22"/>
          <w:szCs w:val="22"/>
        </w:rPr>
        <w:t>The Safety Committee recommends that $1000.00 be deferred for one year, if Frontier incurs no additional violations of RCW 19.122.030(4) and that Frontier provides the Safety Committee and One Call Concepts accurate contact information that is kept up to date</w:t>
      </w:r>
      <w:r w:rsidR="008C7289">
        <w:rPr>
          <w:sz w:val="22"/>
          <w:szCs w:val="22"/>
        </w:rPr>
        <w:t xml:space="preserve"> for use on all future locate tickets</w:t>
      </w:r>
      <w:r w:rsidRPr="00A854D5">
        <w:rPr>
          <w:sz w:val="22"/>
          <w:szCs w:val="22"/>
        </w:rPr>
        <w:t>.</w:t>
      </w:r>
    </w:p>
    <w:p w:rsidR="00E11F60" w:rsidRPr="00A854D5" w:rsidRDefault="007F07F1" w:rsidP="00E11F60">
      <w:pPr>
        <w:pStyle w:val="Default"/>
        <w:rPr>
          <w:sz w:val="22"/>
          <w:szCs w:val="22"/>
        </w:rPr>
      </w:pPr>
      <w:r w:rsidRPr="00A854D5">
        <w:rPr>
          <w:sz w:val="22"/>
          <w:szCs w:val="22"/>
        </w:rPr>
        <w:t xml:space="preserve"> </w:t>
      </w:r>
    </w:p>
    <w:p w:rsidR="00E11F60" w:rsidRPr="00A854D5" w:rsidRDefault="00E11F60" w:rsidP="00E11F60">
      <w:pPr>
        <w:pStyle w:val="Default"/>
        <w:rPr>
          <w:sz w:val="22"/>
          <w:szCs w:val="22"/>
        </w:rPr>
      </w:pPr>
      <w:r w:rsidRPr="00A854D5">
        <w:rPr>
          <w:sz w:val="22"/>
          <w:szCs w:val="22"/>
        </w:rPr>
        <w:t>Please let me know if you have any questions regarding th</w:t>
      </w:r>
      <w:r w:rsidR="008C7289">
        <w:rPr>
          <w:sz w:val="22"/>
          <w:szCs w:val="22"/>
        </w:rPr>
        <w:t>ese</w:t>
      </w:r>
      <w:r w:rsidRPr="00A854D5">
        <w:rPr>
          <w:sz w:val="22"/>
          <w:szCs w:val="22"/>
        </w:rPr>
        <w:t xml:space="preserve"> case</w:t>
      </w:r>
      <w:r w:rsidR="008C7289">
        <w:rPr>
          <w:sz w:val="22"/>
          <w:szCs w:val="22"/>
        </w:rPr>
        <w:t>s</w:t>
      </w:r>
      <w:r w:rsidRPr="00A854D5">
        <w:rPr>
          <w:sz w:val="22"/>
          <w:szCs w:val="22"/>
        </w:rPr>
        <w:t xml:space="preserve">. I can be contacted at 425.430.7212. </w:t>
      </w:r>
    </w:p>
    <w:p w:rsidR="006501E0" w:rsidRPr="00A854D5" w:rsidRDefault="006501E0" w:rsidP="006501E0">
      <w:pPr>
        <w:spacing w:after="0" w:line="240" w:lineRule="auto"/>
        <w:ind w:left="2160"/>
        <w:rPr>
          <w:rFonts w:ascii="Arial" w:hAnsi="Arial" w:cs="Arial"/>
        </w:rPr>
      </w:pPr>
    </w:p>
    <w:p w:rsidR="006501E0" w:rsidRPr="00A854D5" w:rsidRDefault="006501E0" w:rsidP="006501E0">
      <w:pPr>
        <w:spacing w:after="0" w:line="240" w:lineRule="auto"/>
        <w:ind w:left="2160"/>
        <w:rPr>
          <w:rFonts w:ascii="Arial" w:hAnsi="Arial" w:cs="Arial"/>
        </w:rPr>
      </w:pPr>
      <w:r w:rsidRPr="00A854D5">
        <w:rPr>
          <w:rFonts w:ascii="Arial" w:hAnsi="Arial" w:cs="Arial"/>
        </w:rPr>
        <w:t>Sincerely,</w:t>
      </w:r>
    </w:p>
    <w:p w:rsidR="006501E0" w:rsidRPr="00A854D5" w:rsidRDefault="006501E0" w:rsidP="006501E0">
      <w:pPr>
        <w:spacing w:after="0" w:line="240" w:lineRule="auto"/>
        <w:rPr>
          <w:rFonts w:ascii="Arial" w:hAnsi="Arial" w:cs="Arial"/>
        </w:rPr>
      </w:pPr>
    </w:p>
    <w:p w:rsidR="006501E0" w:rsidRPr="00A854D5" w:rsidRDefault="003E14C4" w:rsidP="006501E0">
      <w:pPr>
        <w:spacing w:after="0" w:line="240" w:lineRule="auto"/>
        <w:rPr>
          <w:rFonts w:ascii="Arial" w:hAnsi="Arial" w:cs="Arial"/>
        </w:rPr>
      </w:pPr>
      <w:r w:rsidRPr="00A854D5">
        <w:rPr>
          <w:rFonts w:ascii="Arial" w:hAnsi="Arial" w:cs="Arial"/>
        </w:rPr>
        <w:t xml:space="preserve"> </w:t>
      </w:r>
    </w:p>
    <w:p w:rsidR="00E11F60" w:rsidRPr="00A854D5" w:rsidRDefault="00E11F60" w:rsidP="00E11F60">
      <w:pPr>
        <w:pStyle w:val="Default"/>
        <w:rPr>
          <w:sz w:val="22"/>
          <w:szCs w:val="22"/>
        </w:rPr>
      </w:pPr>
      <w:r w:rsidRPr="00A854D5">
        <w:rPr>
          <w:sz w:val="22"/>
          <w:szCs w:val="22"/>
        </w:rPr>
        <w:t>Dave Christensen, Chair</w:t>
      </w:r>
    </w:p>
    <w:p w:rsidR="00A854D5" w:rsidRDefault="00362F5F" w:rsidP="00163AA7">
      <w:pPr>
        <w:spacing w:after="0" w:line="240" w:lineRule="auto"/>
        <w:rPr>
          <w:rFonts w:ascii="Arial" w:hAnsi="Arial" w:cs="Arial"/>
        </w:rPr>
      </w:pPr>
      <w:r w:rsidRPr="00A854D5">
        <w:rPr>
          <w:rFonts w:ascii="Arial" w:hAnsi="Arial" w:cs="Arial"/>
        </w:rPr>
        <w:t>Cc: Lynda Holloway, UTC</w:t>
      </w:r>
    </w:p>
    <w:p w:rsidR="00362F5F" w:rsidRPr="00362F5F" w:rsidRDefault="00A854D5" w:rsidP="00163AA7">
      <w:pPr>
        <w:spacing w:after="0" w:line="240" w:lineRule="auto"/>
        <w:rPr>
          <w:rFonts w:ascii="Arial" w:hAnsi="Arial" w:cs="Arial"/>
        </w:rPr>
      </w:pPr>
      <w:r>
        <w:rPr>
          <w:rFonts w:ascii="Arial" w:hAnsi="Arial" w:cs="Arial"/>
        </w:rPr>
        <w:t xml:space="preserve">     </w:t>
      </w:r>
      <w:r w:rsidR="00362F5F" w:rsidRPr="00A854D5">
        <w:rPr>
          <w:rFonts w:ascii="Arial" w:hAnsi="Arial" w:cs="Arial"/>
        </w:rPr>
        <w:t xml:space="preserve"> </w:t>
      </w:r>
      <w:r>
        <w:rPr>
          <w:rFonts w:ascii="Arial" w:hAnsi="Arial" w:cs="Arial"/>
        </w:rPr>
        <w:t>Frontier Communications NW, Inc.</w:t>
      </w:r>
    </w:p>
    <w:sectPr w:rsidR="00362F5F" w:rsidRPr="00362F5F" w:rsidSect="001B0A59">
      <w:type w:val="continuous"/>
      <w:pgSz w:w="12240" w:h="15840"/>
      <w:pgMar w:top="1483" w:right="1440" w:bottom="274"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CE7"/>
    <w:multiLevelType w:val="hybridMultilevel"/>
    <w:tmpl w:val="AD4E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86E0E"/>
    <w:multiLevelType w:val="hybridMultilevel"/>
    <w:tmpl w:val="BDC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B1"/>
    <w:rsid w:val="00010697"/>
    <w:rsid w:val="00012D46"/>
    <w:rsid w:val="00031DC6"/>
    <w:rsid w:val="000C1435"/>
    <w:rsid w:val="000C46B7"/>
    <w:rsid w:val="000E7A0E"/>
    <w:rsid w:val="000F08DB"/>
    <w:rsid w:val="00122D03"/>
    <w:rsid w:val="00163AA7"/>
    <w:rsid w:val="001813A0"/>
    <w:rsid w:val="00192545"/>
    <w:rsid w:val="001B0A59"/>
    <w:rsid w:val="001B7626"/>
    <w:rsid w:val="001D337D"/>
    <w:rsid w:val="0022736E"/>
    <w:rsid w:val="002574AE"/>
    <w:rsid w:val="002C1864"/>
    <w:rsid w:val="00301222"/>
    <w:rsid w:val="00335DDD"/>
    <w:rsid w:val="00336727"/>
    <w:rsid w:val="0034261F"/>
    <w:rsid w:val="00357FA4"/>
    <w:rsid w:val="00362F5F"/>
    <w:rsid w:val="003E14C4"/>
    <w:rsid w:val="0040261F"/>
    <w:rsid w:val="0042345A"/>
    <w:rsid w:val="00447386"/>
    <w:rsid w:val="00486012"/>
    <w:rsid w:val="0049057E"/>
    <w:rsid w:val="004A3BE1"/>
    <w:rsid w:val="004F48D3"/>
    <w:rsid w:val="005517E9"/>
    <w:rsid w:val="005549E9"/>
    <w:rsid w:val="005708A5"/>
    <w:rsid w:val="005715AF"/>
    <w:rsid w:val="005E2ECC"/>
    <w:rsid w:val="00600F2F"/>
    <w:rsid w:val="00604E4B"/>
    <w:rsid w:val="00616DB8"/>
    <w:rsid w:val="006211DD"/>
    <w:rsid w:val="0063678F"/>
    <w:rsid w:val="006471D9"/>
    <w:rsid w:val="006501E0"/>
    <w:rsid w:val="00657669"/>
    <w:rsid w:val="00665391"/>
    <w:rsid w:val="0066611D"/>
    <w:rsid w:val="00670270"/>
    <w:rsid w:val="006A00BC"/>
    <w:rsid w:val="006A1BD4"/>
    <w:rsid w:val="006C25C7"/>
    <w:rsid w:val="006C5ABB"/>
    <w:rsid w:val="006F3C41"/>
    <w:rsid w:val="007001A5"/>
    <w:rsid w:val="00703167"/>
    <w:rsid w:val="007119F3"/>
    <w:rsid w:val="00717368"/>
    <w:rsid w:val="00757C1E"/>
    <w:rsid w:val="0076113E"/>
    <w:rsid w:val="00773117"/>
    <w:rsid w:val="007865FD"/>
    <w:rsid w:val="00793F79"/>
    <w:rsid w:val="007A75C7"/>
    <w:rsid w:val="007B39EE"/>
    <w:rsid w:val="007B64C9"/>
    <w:rsid w:val="007F07F1"/>
    <w:rsid w:val="0082036D"/>
    <w:rsid w:val="00822EE1"/>
    <w:rsid w:val="0082652C"/>
    <w:rsid w:val="0083641F"/>
    <w:rsid w:val="0086047F"/>
    <w:rsid w:val="00866A08"/>
    <w:rsid w:val="008A1470"/>
    <w:rsid w:val="008A1B80"/>
    <w:rsid w:val="008C7289"/>
    <w:rsid w:val="008D1159"/>
    <w:rsid w:val="008F1FA7"/>
    <w:rsid w:val="0095627C"/>
    <w:rsid w:val="00957F9A"/>
    <w:rsid w:val="00970940"/>
    <w:rsid w:val="009745C9"/>
    <w:rsid w:val="009D5063"/>
    <w:rsid w:val="00A019F0"/>
    <w:rsid w:val="00A1656E"/>
    <w:rsid w:val="00A3645A"/>
    <w:rsid w:val="00A729B4"/>
    <w:rsid w:val="00A854D5"/>
    <w:rsid w:val="00AA4489"/>
    <w:rsid w:val="00AB3BD6"/>
    <w:rsid w:val="00AC3448"/>
    <w:rsid w:val="00AC3CC5"/>
    <w:rsid w:val="00AD2473"/>
    <w:rsid w:val="00AE2F7A"/>
    <w:rsid w:val="00B146B8"/>
    <w:rsid w:val="00B36FD9"/>
    <w:rsid w:val="00B5473C"/>
    <w:rsid w:val="00B60096"/>
    <w:rsid w:val="00B61D47"/>
    <w:rsid w:val="00B74929"/>
    <w:rsid w:val="00B84934"/>
    <w:rsid w:val="00B90ADD"/>
    <w:rsid w:val="00BA22A4"/>
    <w:rsid w:val="00BD4D20"/>
    <w:rsid w:val="00BD57E0"/>
    <w:rsid w:val="00C4433F"/>
    <w:rsid w:val="00C96283"/>
    <w:rsid w:val="00CB00DD"/>
    <w:rsid w:val="00CC6F0A"/>
    <w:rsid w:val="00D017EB"/>
    <w:rsid w:val="00D077B2"/>
    <w:rsid w:val="00D11475"/>
    <w:rsid w:val="00DC33FD"/>
    <w:rsid w:val="00DD2C34"/>
    <w:rsid w:val="00DD4145"/>
    <w:rsid w:val="00DE373D"/>
    <w:rsid w:val="00DF3F2C"/>
    <w:rsid w:val="00E11F60"/>
    <w:rsid w:val="00E22FB1"/>
    <w:rsid w:val="00E30F6D"/>
    <w:rsid w:val="00E37F73"/>
    <w:rsid w:val="00E445DA"/>
    <w:rsid w:val="00E57FC7"/>
    <w:rsid w:val="00E8373E"/>
    <w:rsid w:val="00E8569C"/>
    <w:rsid w:val="00E9213C"/>
    <w:rsid w:val="00EA154A"/>
    <w:rsid w:val="00EB54E7"/>
    <w:rsid w:val="00EC656F"/>
    <w:rsid w:val="00ED24BB"/>
    <w:rsid w:val="00F26484"/>
    <w:rsid w:val="00F57B8A"/>
    <w:rsid w:val="00F91410"/>
    <w:rsid w:val="00F95377"/>
    <w:rsid w:val="00F97BD8"/>
    <w:rsid w:val="00FD7E91"/>
    <w:rsid w:val="00FE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ostalCod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EF523D"/>
  <w15:docId w15:val="{FC9FF44C-8BBE-4B4D-A8A4-8AA53C63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7E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849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84934"/>
    <w:rPr>
      <w:rFonts w:ascii="Tahoma" w:hAnsi="Tahoma" w:cs="Tahoma"/>
      <w:sz w:val="16"/>
      <w:szCs w:val="16"/>
    </w:rPr>
  </w:style>
  <w:style w:type="character" w:styleId="Hyperlink">
    <w:name w:val="Hyperlink"/>
    <w:uiPriority w:val="99"/>
    <w:rsid w:val="006F3C41"/>
    <w:rPr>
      <w:rFonts w:cs="Times New Roman"/>
      <w:color w:val="0000FF"/>
      <w:u w:val="single"/>
    </w:rPr>
  </w:style>
  <w:style w:type="paragraph" w:customStyle="1" w:styleId="Default">
    <w:name w:val="Default"/>
    <w:rsid w:val="00E11F60"/>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7173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6FBBDFDB9D6040A9A7011BE0BF6BDD" ma:contentTypeVersion="104" ma:contentTypeDescription="" ma:contentTypeScope="" ma:versionID="c36e9a2c80a26dfda23b570eec305de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D</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Staff Investigation</CaseType>
    <IndustryCode xmlns="dc463f71-b30c-4ab2-9473-d307f9d35888">811</IndustryCode>
    <CaseStatus xmlns="dc463f71-b30c-4ab2-9473-d307f9d35888">Closed</CaseStatus>
    <OpenedDate xmlns="dc463f71-b30c-4ab2-9473-d307f9d35888">2017-09-26T07:00:00+00:00</OpenedDate>
    <Date1 xmlns="dc463f71-b30c-4ab2-9473-d307f9d35888">2017-09-26T07:00:00+00:00</Date1>
    <IsDocumentOrder xmlns="dc463f71-b30c-4ab2-9473-d307f9d35888" xsi:nil="true"/>
    <IsHighlyConfidential xmlns="dc463f71-b30c-4ab2-9473-d307f9d35888">false</IsHighlyConfidential>
    <CaseCompanyNames xmlns="dc463f71-b30c-4ab2-9473-d307f9d35888" xsi:nil="true"/>
    <Nickname xmlns="http://schemas.microsoft.com/sharepoint/v3" xsi:nil="true"/>
    <DocketNumber xmlns="dc463f71-b30c-4ab2-9473-d307f9d35888">170995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74F448-BA0F-4386-8C11-3C436F1D40F4}"/>
</file>

<file path=customXml/itemProps2.xml><?xml version="1.0" encoding="utf-8"?>
<ds:datastoreItem xmlns:ds="http://schemas.openxmlformats.org/officeDocument/2006/customXml" ds:itemID="{D3C69A76-762A-4A5D-8BE5-8511BF9E5987}"/>
</file>

<file path=customXml/itemProps3.xml><?xml version="1.0" encoding="utf-8"?>
<ds:datastoreItem xmlns:ds="http://schemas.openxmlformats.org/officeDocument/2006/customXml" ds:itemID="{0FD9F11F-80BE-4E8A-9804-97F5890C5550}"/>
</file>

<file path=customXml/itemProps4.xml><?xml version="1.0" encoding="utf-8"?>
<ds:datastoreItem xmlns:ds="http://schemas.openxmlformats.org/officeDocument/2006/customXml" ds:itemID="{C31E2647-7A72-46B7-AF3A-67E351F25AD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 call concepts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Renton</dc:creator>
  <cp:lastModifiedBy>Shelley Cornelius</cp:lastModifiedBy>
  <cp:revision>5</cp:revision>
  <cp:lastPrinted>2013-09-26T16:06:00Z</cp:lastPrinted>
  <dcterms:created xsi:type="dcterms:W3CDTF">2017-09-25T16:22:00Z</dcterms:created>
  <dcterms:modified xsi:type="dcterms:W3CDTF">2017-09-26T00:30:00Z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0x0101006E56B4D1795A2E4DB2F0B01679ED314A009E6FBBDFDB9D6040A9A7011BE0BF6BDD</vt:lpwstr>
  </property>
  <property fmtid="{D5CDD505-2E9C-101B-9397-08002B2CF9AE}" pid="3" name="_docset_NoMedatataSyncRequired">
    <vt:lpwstr>False</vt:lpwstr>
  </property>
  <property fmtid="{D5CDD505-2E9C-101B-9397-08002B2CF9AE}" pid="4" name="IsEFSEC">
    <vt:bool>false</vt:bool>
  </property>
</Properties>
</file>