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15F52E" w14:textId="77777777" w:rsidR="00987864" w:rsidRPr="0029054D" w:rsidRDefault="00987864" w:rsidP="00987864">
      <w:pPr>
        <w:pStyle w:val="Header"/>
        <w:rPr>
          <w:rFonts w:ascii="Times New Roman" w:hAnsi="Times New Roman" w:cs="Times New Roman"/>
          <w:b/>
          <w:bCs/>
          <w:szCs w:val="18"/>
        </w:rPr>
      </w:pPr>
      <w:bookmarkStart w:id="0" w:name="_GoBack"/>
      <w:bookmarkEnd w:id="0"/>
      <w:r w:rsidRPr="0029054D">
        <w:rPr>
          <w:rFonts w:ascii="Times New Roman" w:hAnsi="Times New Roman" w:cs="Times New Roman"/>
          <w:b/>
          <w:bCs/>
          <w:szCs w:val="18"/>
        </w:rPr>
        <w:t>Avista Corp.</w:t>
      </w:r>
    </w:p>
    <w:p w14:paraId="4B15F52F"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1411 East Mission   P.O. Box 3727</w:t>
      </w:r>
    </w:p>
    <w:p w14:paraId="4B15F530"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Spokane. Washington  99220-0500</w:t>
      </w:r>
    </w:p>
    <w:p w14:paraId="4B15F531"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Telephone 509-489-0500</w:t>
      </w:r>
    </w:p>
    <w:p w14:paraId="4B15F532" w14:textId="77777777" w:rsidR="00987864" w:rsidRPr="0029054D" w:rsidRDefault="00987864" w:rsidP="00987864">
      <w:pPr>
        <w:pStyle w:val="Header"/>
        <w:rPr>
          <w:rFonts w:ascii="Times New Roman" w:hAnsi="Times New Roman" w:cs="Times New Roman"/>
          <w:szCs w:val="18"/>
        </w:rPr>
      </w:pPr>
      <w:r w:rsidRPr="0029054D">
        <w:rPr>
          <w:rFonts w:ascii="Times New Roman" w:hAnsi="Times New Roman" w:cs="Times New Roman"/>
          <w:szCs w:val="18"/>
        </w:rPr>
        <w:t>Toll Free   800-727-9170</w:t>
      </w:r>
    </w:p>
    <w:p w14:paraId="4B15F533" w14:textId="77777777" w:rsidR="00987864" w:rsidRPr="0029054D" w:rsidRDefault="00987864" w:rsidP="00987864">
      <w:pPr>
        <w:pStyle w:val="Footer"/>
        <w:tabs>
          <w:tab w:val="clear" w:pos="4320"/>
          <w:tab w:val="clear" w:pos="8640"/>
        </w:tabs>
        <w:rPr>
          <w:rFonts w:ascii="Times New Roman" w:hAnsi="Times New Roman" w:cs="Times New Roman"/>
          <w:bCs/>
        </w:rPr>
      </w:pPr>
    </w:p>
    <w:p w14:paraId="4B15F534" w14:textId="77777777" w:rsidR="009E68C6" w:rsidRPr="00D17991" w:rsidRDefault="00324BB3" w:rsidP="009E68C6">
      <w:pPr>
        <w:rPr>
          <w:szCs w:val="22"/>
        </w:rPr>
      </w:pPr>
      <w:r>
        <w:rPr>
          <w:szCs w:val="22"/>
        </w:rPr>
        <w:t>July 25</w:t>
      </w:r>
      <w:r w:rsidR="009E68C6">
        <w:rPr>
          <w:szCs w:val="22"/>
        </w:rPr>
        <w:t>, 2017</w:t>
      </w:r>
    </w:p>
    <w:p w14:paraId="4B15F535" w14:textId="77777777" w:rsidR="009E68C6" w:rsidRPr="00D17991" w:rsidRDefault="009E68C6" w:rsidP="009E68C6">
      <w:pPr>
        <w:rPr>
          <w:szCs w:val="22"/>
        </w:rPr>
      </w:pPr>
    </w:p>
    <w:p w14:paraId="4B15F536" w14:textId="77777777" w:rsidR="009E68C6" w:rsidRPr="00D17991" w:rsidRDefault="009E68C6" w:rsidP="009E68C6">
      <w:pPr>
        <w:rPr>
          <w:szCs w:val="22"/>
        </w:rPr>
      </w:pPr>
      <w:r w:rsidRPr="00D17991">
        <w:rPr>
          <w:szCs w:val="22"/>
        </w:rPr>
        <w:t>Steven King, Executive Director and Secretary</w:t>
      </w:r>
    </w:p>
    <w:p w14:paraId="4B15F537" w14:textId="77777777" w:rsidR="009E68C6" w:rsidRPr="00D17991" w:rsidRDefault="009E68C6" w:rsidP="009E68C6">
      <w:pPr>
        <w:rPr>
          <w:szCs w:val="22"/>
        </w:rPr>
      </w:pPr>
      <w:r w:rsidRPr="00D17991">
        <w:rPr>
          <w:szCs w:val="22"/>
        </w:rPr>
        <w:t>Washington Utilities &amp; Transportation Commission</w:t>
      </w:r>
    </w:p>
    <w:p w14:paraId="4B15F538" w14:textId="77777777" w:rsidR="009E68C6" w:rsidRPr="00D17991" w:rsidRDefault="00C25D8B" w:rsidP="009E68C6">
      <w:pPr>
        <w:rPr>
          <w:szCs w:val="22"/>
        </w:rPr>
      </w:pPr>
      <w:r>
        <w:rPr>
          <w:szCs w:val="22"/>
        </w:rPr>
        <w:t>1300 S. Evergreen Park Drive S.</w:t>
      </w:r>
      <w:r w:rsidR="009E68C6" w:rsidRPr="00D17991">
        <w:rPr>
          <w:szCs w:val="22"/>
        </w:rPr>
        <w:t>W.</w:t>
      </w:r>
    </w:p>
    <w:p w14:paraId="4B15F539" w14:textId="77777777" w:rsidR="009E68C6" w:rsidRPr="00D17991" w:rsidRDefault="009E68C6" w:rsidP="009E68C6">
      <w:pPr>
        <w:rPr>
          <w:szCs w:val="22"/>
        </w:rPr>
      </w:pPr>
      <w:r w:rsidRPr="00D17991">
        <w:rPr>
          <w:szCs w:val="22"/>
        </w:rPr>
        <w:t>P.O. Box 47250</w:t>
      </w:r>
    </w:p>
    <w:p w14:paraId="4B15F53A" w14:textId="77777777" w:rsidR="009E68C6" w:rsidRPr="00D17991" w:rsidRDefault="009E68C6" w:rsidP="009E68C6">
      <w:pPr>
        <w:rPr>
          <w:szCs w:val="22"/>
        </w:rPr>
      </w:pPr>
      <w:r w:rsidRPr="00D17991">
        <w:rPr>
          <w:szCs w:val="22"/>
        </w:rPr>
        <w:t>Olympia, Washington 98504-7250</w:t>
      </w:r>
    </w:p>
    <w:p w14:paraId="4B15F53B" w14:textId="77777777" w:rsidR="009E68C6" w:rsidRPr="00D17991" w:rsidRDefault="009E68C6" w:rsidP="009E68C6">
      <w:pPr>
        <w:rPr>
          <w:szCs w:val="22"/>
        </w:rPr>
      </w:pPr>
    </w:p>
    <w:p w14:paraId="4B15F53C" w14:textId="77777777" w:rsidR="009E68C6" w:rsidRPr="00C9350A" w:rsidRDefault="009E68C6" w:rsidP="009E68C6">
      <w:pPr>
        <w:pStyle w:val="Heading2"/>
        <w:jc w:val="both"/>
        <w:rPr>
          <w:rFonts w:ascii="Times New Roman" w:hAnsi="Times New Roman" w:cs="Times New Roman"/>
          <w:color w:val="auto"/>
          <w:sz w:val="24"/>
        </w:rPr>
      </w:pPr>
      <w:r w:rsidRPr="00C9350A">
        <w:rPr>
          <w:rFonts w:ascii="Times New Roman" w:hAnsi="Times New Roman" w:cs="Times New Roman"/>
          <w:color w:val="auto"/>
          <w:sz w:val="24"/>
        </w:rPr>
        <w:t>RE:</w:t>
      </w:r>
      <w:r w:rsidRPr="00C9350A">
        <w:rPr>
          <w:rFonts w:ascii="Times New Roman" w:hAnsi="Times New Roman" w:cs="Times New Roman"/>
          <w:color w:val="auto"/>
          <w:sz w:val="24"/>
        </w:rPr>
        <w:tab/>
        <w:t>Updated Washington Avoided Cost Schedule</w:t>
      </w:r>
      <w:r w:rsidR="00324BB3">
        <w:rPr>
          <w:rFonts w:ascii="Times New Roman" w:hAnsi="Times New Roman" w:cs="Times New Roman"/>
          <w:color w:val="auto"/>
          <w:sz w:val="24"/>
        </w:rPr>
        <w:t xml:space="preserve"> 62,</w:t>
      </w:r>
      <w:r w:rsidRPr="00C9350A">
        <w:rPr>
          <w:rFonts w:ascii="Times New Roman" w:hAnsi="Times New Roman" w:cs="Times New Roman"/>
          <w:color w:val="auto"/>
          <w:sz w:val="24"/>
        </w:rPr>
        <w:t xml:space="preserve"> Tariff WN U-28, Electric Service</w:t>
      </w:r>
    </w:p>
    <w:p w14:paraId="4B15F53D" w14:textId="77777777" w:rsidR="009E68C6" w:rsidRPr="00D17991" w:rsidRDefault="009E68C6" w:rsidP="009E68C6">
      <w:pPr>
        <w:jc w:val="both"/>
        <w:rPr>
          <w:szCs w:val="22"/>
        </w:rPr>
      </w:pPr>
    </w:p>
    <w:p w14:paraId="4B15F53E" w14:textId="77777777" w:rsidR="009E68C6" w:rsidRDefault="009E68C6" w:rsidP="009E68C6">
      <w:pPr>
        <w:jc w:val="both"/>
        <w:rPr>
          <w:szCs w:val="22"/>
        </w:rPr>
      </w:pPr>
      <w:r>
        <w:rPr>
          <w:szCs w:val="22"/>
        </w:rPr>
        <w:t>Dear Mr. King:</w:t>
      </w:r>
    </w:p>
    <w:p w14:paraId="4B15F53F" w14:textId="77777777" w:rsidR="009E68C6" w:rsidRDefault="009E68C6" w:rsidP="009E68C6">
      <w:pPr>
        <w:jc w:val="both"/>
        <w:rPr>
          <w:szCs w:val="22"/>
        </w:rPr>
      </w:pPr>
    </w:p>
    <w:p w14:paraId="4B15F540" w14:textId="77777777" w:rsidR="009E68C6" w:rsidRPr="00D17991" w:rsidRDefault="009E68C6" w:rsidP="009E68C6">
      <w:pPr>
        <w:jc w:val="both"/>
        <w:rPr>
          <w:szCs w:val="22"/>
        </w:rPr>
      </w:pPr>
      <w:r w:rsidRPr="00D17991">
        <w:rPr>
          <w:szCs w:val="22"/>
        </w:rPr>
        <w:t>Attached for filing with the Commission is the Company’s proposed tariff revision:</w:t>
      </w:r>
    </w:p>
    <w:p w14:paraId="4B15F541" w14:textId="77777777" w:rsidR="009E68C6" w:rsidRPr="00D17991" w:rsidRDefault="009E68C6" w:rsidP="009E68C6">
      <w:pPr>
        <w:jc w:val="both"/>
        <w:rPr>
          <w:szCs w:val="22"/>
        </w:rPr>
      </w:pPr>
    </w:p>
    <w:p w14:paraId="4B15F542" w14:textId="77777777" w:rsidR="009E68C6" w:rsidRPr="00D17991" w:rsidRDefault="009E68C6" w:rsidP="009E68C6">
      <w:pPr>
        <w:ind w:left="720"/>
        <w:jc w:val="both"/>
        <w:rPr>
          <w:b/>
          <w:szCs w:val="22"/>
        </w:rPr>
      </w:pPr>
      <w:r>
        <w:rPr>
          <w:b/>
          <w:szCs w:val="22"/>
        </w:rPr>
        <w:t xml:space="preserve">Eleventh </w:t>
      </w:r>
      <w:r w:rsidRPr="00D17991">
        <w:rPr>
          <w:b/>
          <w:szCs w:val="22"/>
        </w:rPr>
        <w:t>Revision Sheet 62</w:t>
      </w:r>
      <w:r w:rsidRPr="00D17991">
        <w:rPr>
          <w:b/>
          <w:szCs w:val="22"/>
        </w:rPr>
        <w:tab/>
      </w:r>
      <w:r>
        <w:rPr>
          <w:b/>
          <w:szCs w:val="22"/>
        </w:rPr>
        <w:tab/>
      </w:r>
      <w:r w:rsidRPr="00D17991">
        <w:rPr>
          <w:b/>
          <w:szCs w:val="22"/>
        </w:rPr>
        <w:t>Canceling</w:t>
      </w:r>
      <w:r w:rsidRPr="00D17991">
        <w:rPr>
          <w:b/>
          <w:szCs w:val="22"/>
        </w:rPr>
        <w:tab/>
      </w:r>
      <w:r w:rsidR="00596D36">
        <w:rPr>
          <w:b/>
          <w:szCs w:val="22"/>
        </w:rPr>
        <w:tab/>
      </w:r>
      <w:r>
        <w:rPr>
          <w:b/>
          <w:szCs w:val="22"/>
        </w:rPr>
        <w:t xml:space="preserve">Tenth </w:t>
      </w:r>
      <w:r w:rsidRPr="00D17991">
        <w:rPr>
          <w:b/>
          <w:szCs w:val="22"/>
        </w:rPr>
        <w:t>Revision Sheet 62</w:t>
      </w:r>
    </w:p>
    <w:p w14:paraId="4B15F543" w14:textId="77777777" w:rsidR="009E68C6" w:rsidRPr="00D17991" w:rsidRDefault="009E68C6" w:rsidP="009E68C6">
      <w:pPr>
        <w:ind w:left="1440"/>
        <w:rPr>
          <w:szCs w:val="22"/>
        </w:rPr>
      </w:pPr>
      <w:r w:rsidRPr="00D17991">
        <w:rPr>
          <w:szCs w:val="22"/>
        </w:rPr>
        <w:tab/>
      </w:r>
      <w:r w:rsidRPr="00D17991">
        <w:rPr>
          <w:szCs w:val="22"/>
        </w:rPr>
        <w:tab/>
      </w:r>
      <w:r w:rsidRPr="00D17991">
        <w:rPr>
          <w:szCs w:val="22"/>
        </w:rPr>
        <w:tab/>
      </w:r>
      <w:r w:rsidRPr="00D17991">
        <w:rPr>
          <w:szCs w:val="22"/>
        </w:rPr>
        <w:tab/>
      </w:r>
    </w:p>
    <w:p w14:paraId="4B15F544" w14:textId="77777777" w:rsidR="009E68C6" w:rsidRPr="00D17991" w:rsidRDefault="009E68C6" w:rsidP="009E68C6">
      <w:pPr>
        <w:jc w:val="both"/>
        <w:rPr>
          <w:szCs w:val="22"/>
        </w:rPr>
      </w:pPr>
      <w:r w:rsidRPr="00D17991">
        <w:rPr>
          <w:szCs w:val="22"/>
        </w:rPr>
        <w:t xml:space="preserve">The purpose of this annual filing is to update the Standard Power Rates offered in Avista’s Schedule 62, “Small Power Production and Cogeneration Schedule”.  This schedule is applicable to any entity that:  </w:t>
      </w:r>
    </w:p>
    <w:p w14:paraId="4B15F545" w14:textId="77777777" w:rsidR="009E68C6" w:rsidRPr="00D17991" w:rsidRDefault="009E68C6" w:rsidP="009E68C6">
      <w:pPr>
        <w:jc w:val="both"/>
        <w:rPr>
          <w:szCs w:val="22"/>
        </w:rPr>
      </w:pPr>
    </w:p>
    <w:p w14:paraId="4B15F546" w14:textId="77777777" w:rsidR="009E68C6" w:rsidRPr="00D17991" w:rsidRDefault="009E68C6" w:rsidP="009E68C6">
      <w:pPr>
        <w:pStyle w:val="ListParagraph"/>
        <w:numPr>
          <w:ilvl w:val="0"/>
          <w:numId w:val="6"/>
        </w:numPr>
        <w:jc w:val="both"/>
        <w:rPr>
          <w:szCs w:val="22"/>
        </w:rPr>
      </w:pPr>
      <w:r w:rsidRPr="00D17991">
        <w:rPr>
          <w:szCs w:val="22"/>
        </w:rPr>
        <w:t xml:space="preserve">installs and owns a facility that generates electricity and is directly interconnected with Avista's system in the State of Washington; </w:t>
      </w:r>
    </w:p>
    <w:p w14:paraId="4B15F547" w14:textId="77777777" w:rsidR="009E68C6" w:rsidRPr="00D17991" w:rsidRDefault="009E68C6" w:rsidP="009E68C6">
      <w:pPr>
        <w:pStyle w:val="ListParagraph"/>
        <w:ind w:left="1080"/>
        <w:jc w:val="both"/>
        <w:rPr>
          <w:szCs w:val="22"/>
        </w:rPr>
      </w:pPr>
    </w:p>
    <w:p w14:paraId="4B15F548" w14:textId="77777777" w:rsidR="009E68C6" w:rsidRPr="00D17991" w:rsidRDefault="009E68C6" w:rsidP="009E68C6">
      <w:pPr>
        <w:pStyle w:val="ListParagraph"/>
        <w:numPr>
          <w:ilvl w:val="0"/>
          <w:numId w:val="6"/>
        </w:numPr>
        <w:jc w:val="both"/>
        <w:rPr>
          <w:szCs w:val="22"/>
        </w:rPr>
      </w:pPr>
      <w:r w:rsidRPr="00D17991">
        <w:rPr>
          <w:szCs w:val="22"/>
        </w:rPr>
        <w:t>such facility is a Qualifying Facility</w:t>
      </w:r>
      <w:r w:rsidR="004C7DE3">
        <w:rPr>
          <w:szCs w:val="22"/>
        </w:rPr>
        <w:t xml:space="preserve"> (QF)</w:t>
      </w:r>
      <w:r w:rsidRPr="00D17991">
        <w:rPr>
          <w:szCs w:val="22"/>
        </w:rPr>
        <w:t>, meaning either a cogeneration facility or a small power production facility, pursuant to Section 201 of the Public Utility Regulatory Policies Act</w:t>
      </w:r>
      <w:r w:rsidR="004C7DE3">
        <w:rPr>
          <w:szCs w:val="22"/>
        </w:rPr>
        <w:t xml:space="preserve"> </w:t>
      </w:r>
      <w:r w:rsidRPr="00D17991">
        <w:rPr>
          <w:szCs w:val="22"/>
        </w:rPr>
        <w:t>of 1978</w:t>
      </w:r>
      <w:r w:rsidR="004C7DE3">
        <w:rPr>
          <w:szCs w:val="22"/>
        </w:rPr>
        <w:t xml:space="preserve"> (PURPA)</w:t>
      </w:r>
      <w:r w:rsidR="004C7DE3" w:rsidRPr="00D17991">
        <w:rPr>
          <w:szCs w:val="22"/>
        </w:rPr>
        <w:t xml:space="preserve"> </w:t>
      </w:r>
      <w:r w:rsidRPr="00D17991">
        <w:rPr>
          <w:szCs w:val="22"/>
        </w:rPr>
        <w:t xml:space="preserve">and defined in WAC 480-107-007; </w:t>
      </w:r>
    </w:p>
    <w:p w14:paraId="4B15F549" w14:textId="77777777" w:rsidR="009E68C6" w:rsidRPr="00D17991" w:rsidRDefault="009E68C6" w:rsidP="009E68C6">
      <w:pPr>
        <w:pStyle w:val="ListParagraph"/>
        <w:rPr>
          <w:szCs w:val="22"/>
        </w:rPr>
      </w:pPr>
    </w:p>
    <w:p w14:paraId="4B15F54A" w14:textId="77777777" w:rsidR="009E68C6" w:rsidRPr="00D17991" w:rsidRDefault="009E68C6" w:rsidP="009E68C6">
      <w:pPr>
        <w:ind w:left="1080" w:hanging="360"/>
        <w:jc w:val="both"/>
        <w:rPr>
          <w:szCs w:val="22"/>
        </w:rPr>
      </w:pPr>
      <w:r w:rsidRPr="00D17991">
        <w:rPr>
          <w:szCs w:val="22"/>
        </w:rPr>
        <w:t xml:space="preserve">c) </w:t>
      </w:r>
      <w:r w:rsidRPr="00D17991">
        <w:rPr>
          <w:szCs w:val="22"/>
        </w:rPr>
        <w:tab/>
        <w:t xml:space="preserve">offers all of its output for sale to Avista pursuant to WAC 480-107-095(2); and </w:t>
      </w:r>
    </w:p>
    <w:p w14:paraId="4B15F54B" w14:textId="77777777" w:rsidR="009E68C6" w:rsidRPr="00D17991" w:rsidRDefault="009E68C6" w:rsidP="009E68C6">
      <w:pPr>
        <w:ind w:left="720"/>
        <w:jc w:val="both"/>
        <w:rPr>
          <w:szCs w:val="22"/>
        </w:rPr>
      </w:pPr>
    </w:p>
    <w:p w14:paraId="4B15F54C" w14:textId="77777777" w:rsidR="009E68C6" w:rsidRPr="00D17991" w:rsidRDefault="009E68C6" w:rsidP="009E68C6">
      <w:pPr>
        <w:ind w:left="1080" w:hanging="360"/>
        <w:jc w:val="both"/>
        <w:rPr>
          <w:szCs w:val="22"/>
        </w:rPr>
      </w:pPr>
      <w:r w:rsidRPr="00D17991">
        <w:rPr>
          <w:szCs w:val="22"/>
        </w:rPr>
        <w:t xml:space="preserve">d) </w:t>
      </w:r>
      <w:r w:rsidRPr="00D17991">
        <w:rPr>
          <w:szCs w:val="22"/>
        </w:rPr>
        <w:tab/>
        <w:t>enters into written agreements with Avista for both the production from the facility and interconnection to Avista’s system that will be subject to regulatory approvals.</w:t>
      </w:r>
    </w:p>
    <w:p w14:paraId="4B15F54D" w14:textId="77777777" w:rsidR="009E68C6" w:rsidRPr="00D17991" w:rsidRDefault="009E68C6" w:rsidP="009E68C6">
      <w:pPr>
        <w:jc w:val="both"/>
        <w:rPr>
          <w:szCs w:val="22"/>
        </w:rPr>
      </w:pPr>
    </w:p>
    <w:p w14:paraId="4B15F54E" w14:textId="77777777" w:rsidR="00617627" w:rsidRDefault="00617627" w:rsidP="009E68C6">
      <w:pPr>
        <w:jc w:val="both"/>
        <w:rPr>
          <w:szCs w:val="22"/>
        </w:rPr>
      </w:pPr>
      <w:r>
        <w:rPr>
          <w:szCs w:val="22"/>
        </w:rPr>
        <w:t xml:space="preserve">Avista files </w:t>
      </w:r>
      <w:r w:rsidR="004C7DE3">
        <w:rPr>
          <w:szCs w:val="22"/>
        </w:rPr>
        <w:t xml:space="preserve">annual </w:t>
      </w:r>
      <w:r>
        <w:rPr>
          <w:szCs w:val="22"/>
        </w:rPr>
        <w:t>update</w:t>
      </w:r>
      <w:r w:rsidR="004C7DE3">
        <w:rPr>
          <w:szCs w:val="22"/>
        </w:rPr>
        <w:t>s to</w:t>
      </w:r>
      <w:r>
        <w:rPr>
          <w:szCs w:val="22"/>
        </w:rPr>
        <w:t xml:space="preserve"> </w:t>
      </w:r>
      <w:r w:rsidR="0020583D">
        <w:rPr>
          <w:szCs w:val="22"/>
        </w:rPr>
        <w:t>S</w:t>
      </w:r>
      <w:r>
        <w:rPr>
          <w:szCs w:val="22"/>
        </w:rPr>
        <w:t>chedule 62 toward the end of each year with a tariff effective date of January 1</w:t>
      </w:r>
      <w:r w:rsidRPr="00617627">
        <w:rPr>
          <w:szCs w:val="22"/>
          <w:vertAlign w:val="superscript"/>
        </w:rPr>
        <w:t>st</w:t>
      </w:r>
      <w:r w:rsidR="007A6C2D">
        <w:rPr>
          <w:szCs w:val="22"/>
        </w:rPr>
        <w:t xml:space="preserve"> the following year.  </w:t>
      </w:r>
      <w:r>
        <w:rPr>
          <w:szCs w:val="22"/>
        </w:rPr>
        <w:t>The Company</w:t>
      </w:r>
      <w:r w:rsidR="004C7DE3">
        <w:rPr>
          <w:szCs w:val="22"/>
        </w:rPr>
        <w:t>, in this filing,</w:t>
      </w:r>
      <w:r>
        <w:rPr>
          <w:szCs w:val="22"/>
        </w:rPr>
        <w:t xml:space="preserve"> is proposing to modify the Standard Power Rates earlier </w:t>
      </w:r>
      <w:r w:rsidR="004C7DE3">
        <w:rPr>
          <w:szCs w:val="22"/>
        </w:rPr>
        <w:t xml:space="preserve">than January 1, 2018 </w:t>
      </w:r>
      <w:r>
        <w:rPr>
          <w:szCs w:val="22"/>
        </w:rPr>
        <w:t xml:space="preserve">due to the decline in avoided costs.  Based on the avoided </w:t>
      </w:r>
      <w:r>
        <w:rPr>
          <w:szCs w:val="22"/>
        </w:rPr>
        <w:lastRenderedPageBreak/>
        <w:t xml:space="preserve">costs included in the Company’s draft </w:t>
      </w:r>
      <w:r w:rsidR="000200C7">
        <w:rPr>
          <w:szCs w:val="22"/>
        </w:rPr>
        <w:t xml:space="preserve">2017 </w:t>
      </w:r>
      <w:r>
        <w:rPr>
          <w:szCs w:val="22"/>
        </w:rPr>
        <w:t>electric</w:t>
      </w:r>
      <w:r w:rsidR="004C7DE3">
        <w:rPr>
          <w:szCs w:val="22"/>
        </w:rPr>
        <w:t xml:space="preserve"> Integrated Resource Plan (IRP), which will </w:t>
      </w:r>
      <w:r>
        <w:rPr>
          <w:szCs w:val="22"/>
        </w:rPr>
        <w:t xml:space="preserve">be filed </w:t>
      </w:r>
      <w:r w:rsidR="00A41346">
        <w:rPr>
          <w:szCs w:val="22"/>
        </w:rPr>
        <w:t xml:space="preserve">with the Commission </w:t>
      </w:r>
      <w:r>
        <w:rPr>
          <w:szCs w:val="22"/>
        </w:rPr>
        <w:t xml:space="preserve">on August 31, 2017, the </w:t>
      </w:r>
      <w:r w:rsidR="00D61129">
        <w:rPr>
          <w:szCs w:val="22"/>
        </w:rPr>
        <w:t xml:space="preserve">Standard Power Rates </w:t>
      </w:r>
      <w:r w:rsidR="004C7DE3">
        <w:rPr>
          <w:szCs w:val="22"/>
        </w:rPr>
        <w:t>have dropped</w:t>
      </w:r>
      <w:r w:rsidR="00D61129">
        <w:rPr>
          <w:szCs w:val="22"/>
        </w:rPr>
        <w:t xml:space="preserve"> by over </w:t>
      </w:r>
      <w:r>
        <w:rPr>
          <w:szCs w:val="22"/>
        </w:rPr>
        <w:t>$20/MWh.</w:t>
      </w:r>
      <w:r w:rsidR="005D2271">
        <w:rPr>
          <w:rStyle w:val="FootnoteReference"/>
          <w:szCs w:val="22"/>
        </w:rPr>
        <w:footnoteReference w:id="1"/>
      </w:r>
      <w:r>
        <w:rPr>
          <w:szCs w:val="22"/>
        </w:rPr>
        <w:t xml:space="preserve">  The Company recognizes that it generally files to update the Standard Power Rates based on the avoided costs of its most recently acknowledged IRP.  Due to recent requests the Company has rece</w:t>
      </w:r>
      <w:r w:rsidR="0020583D">
        <w:rPr>
          <w:szCs w:val="22"/>
        </w:rPr>
        <w:t>ived for contract rates from QF</w:t>
      </w:r>
      <w:r>
        <w:rPr>
          <w:szCs w:val="22"/>
        </w:rPr>
        <w:t xml:space="preserve">s, the Company believes it is in </w:t>
      </w:r>
      <w:r w:rsidR="004C7DE3">
        <w:rPr>
          <w:szCs w:val="22"/>
        </w:rPr>
        <w:t>our</w:t>
      </w:r>
      <w:r>
        <w:rPr>
          <w:szCs w:val="22"/>
        </w:rPr>
        <w:t xml:space="preserve"> customers’</w:t>
      </w:r>
      <w:r w:rsidR="000200C7">
        <w:rPr>
          <w:szCs w:val="22"/>
        </w:rPr>
        <w:t xml:space="preserve"> best interest</w:t>
      </w:r>
      <w:r w:rsidR="004C7DE3">
        <w:rPr>
          <w:szCs w:val="22"/>
        </w:rPr>
        <w:t>s</w:t>
      </w:r>
      <w:r>
        <w:rPr>
          <w:szCs w:val="22"/>
        </w:rPr>
        <w:t xml:space="preserve"> to update the Standard Power Rates as soon as possible.  If the rates are not updated immediately</w:t>
      </w:r>
      <w:r w:rsidR="004C7DE3">
        <w:rPr>
          <w:szCs w:val="22"/>
        </w:rPr>
        <w:t>,</w:t>
      </w:r>
      <w:r>
        <w:rPr>
          <w:szCs w:val="22"/>
        </w:rPr>
        <w:t xml:space="preserve"> and instead </w:t>
      </w:r>
      <w:r w:rsidR="00A41346">
        <w:rPr>
          <w:szCs w:val="22"/>
        </w:rPr>
        <w:t xml:space="preserve">are </w:t>
      </w:r>
      <w:r>
        <w:rPr>
          <w:szCs w:val="22"/>
        </w:rPr>
        <w:t>updated after the Company files its IRP</w:t>
      </w:r>
      <w:r w:rsidR="0020583D">
        <w:rPr>
          <w:szCs w:val="22"/>
        </w:rPr>
        <w:t>,</w:t>
      </w:r>
      <w:r>
        <w:rPr>
          <w:szCs w:val="22"/>
        </w:rPr>
        <w:t xml:space="preserve"> customers could potentially pay </w:t>
      </w:r>
      <w:r w:rsidR="00D61129">
        <w:rPr>
          <w:szCs w:val="22"/>
        </w:rPr>
        <w:t>over</w:t>
      </w:r>
      <w:r>
        <w:rPr>
          <w:szCs w:val="22"/>
        </w:rPr>
        <w:t xml:space="preserve"> $20/MWh more for a QF that qualifies for Standard Power Rates.</w:t>
      </w:r>
    </w:p>
    <w:p w14:paraId="4B15F54F" w14:textId="77777777" w:rsidR="00967E74" w:rsidRDefault="00967E74" w:rsidP="009E68C6">
      <w:pPr>
        <w:jc w:val="both"/>
        <w:rPr>
          <w:szCs w:val="22"/>
        </w:rPr>
      </w:pPr>
    </w:p>
    <w:p w14:paraId="4B15F550" w14:textId="77777777" w:rsidR="00B61892" w:rsidRDefault="00967E74" w:rsidP="009E68C6">
      <w:pPr>
        <w:jc w:val="both"/>
        <w:rPr>
          <w:szCs w:val="22"/>
        </w:rPr>
      </w:pPr>
      <w:r>
        <w:rPr>
          <w:szCs w:val="22"/>
        </w:rPr>
        <w:t>The Company has included a new provision in Schedule 62 in which it will offer separate Standard Power Rates to QFs that ha</w:t>
      </w:r>
      <w:r w:rsidR="00BE5660">
        <w:rPr>
          <w:szCs w:val="22"/>
        </w:rPr>
        <w:t>ve</w:t>
      </w:r>
      <w:r>
        <w:rPr>
          <w:szCs w:val="22"/>
        </w:rPr>
        <w:t xml:space="preserve"> a contract in place prior to September 1, 2017.  </w:t>
      </w:r>
      <w:r w:rsidR="00B61892">
        <w:rPr>
          <w:szCs w:val="22"/>
        </w:rPr>
        <w:t>The Company currently has three QFs with</w:t>
      </w:r>
      <w:r w:rsidR="0020583D">
        <w:rPr>
          <w:szCs w:val="22"/>
        </w:rPr>
        <w:t xml:space="preserve"> PURPA</w:t>
      </w:r>
      <w:r w:rsidR="00B61892">
        <w:rPr>
          <w:szCs w:val="22"/>
        </w:rPr>
        <w:t xml:space="preserve"> contracts in place</w:t>
      </w:r>
      <w:r>
        <w:rPr>
          <w:szCs w:val="22"/>
        </w:rPr>
        <w:t xml:space="preserve"> in Washington</w:t>
      </w:r>
      <w:r w:rsidR="0020583D">
        <w:rPr>
          <w:szCs w:val="22"/>
        </w:rPr>
        <w:t xml:space="preserve">, two of which receive </w:t>
      </w:r>
      <w:r w:rsidR="00B61892">
        <w:rPr>
          <w:szCs w:val="22"/>
        </w:rPr>
        <w:t xml:space="preserve">Standard Power Rates.  </w:t>
      </w:r>
      <w:r w:rsidR="0020583D">
        <w:rPr>
          <w:szCs w:val="22"/>
        </w:rPr>
        <w:t xml:space="preserve">Both of the QFs receiving Standard Power Rates have </w:t>
      </w:r>
      <w:r w:rsidR="00B61892">
        <w:rPr>
          <w:szCs w:val="22"/>
        </w:rPr>
        <w:t>been providing capacity and energy to the Company for many years</w:t>
      </w:r>
      <w:r w:rsidR="00351DA3">
        <w:rPr>
          <w:szCs w:val="22"/>
        </w:rPr>
        <w:t>, which the Company includes in its resource planning</w:t>
      </w:r>
      <w:r w:rsidR="00B61892">
        <w:rPr>
          <w:szCs w:val="22"/>
        </w:rPr>
        <w:t>.</w:t>
      </w:r>
      <w:r>
        <w:rPr>
          <w:szCs w:val="22"/>
        </w:rPr>
        <w:t xml:space="preserve">  </w:t>
      </w:r>
      <w:r w:rsidR="00351DA3">
        <w:rPr>
          <w:szCs w:val="22"/>
        </w:rPr>
        <w:t>Because of this</w:t>
      </w:r>
      <w:r w:rsidR="0020583D">
        <w:rPr>
          <w:szCs w:val="22"/>
        </w:rPr>
        <w:t xml:space="preserve">, </w:t>
      </w:r>
      <w:r w:rsidR="00351DA3">
        <w:rPr>
          <w:szCs w:val="22"/>
        </w:rPr>
        <w:t>the Company proposes to</w:t>
      </w:r>
      <w:r w:rsidR="0020583D">
        <w:rPr>
          <w:szCs w:val="22"/>
        </w:rPr>
        <w:t xml:space="preserve"> continue to </w:t>
      </w:r>
      <w:r w:rsidR="00351DA3">
        <w:rPr>
          <w:szCs w:val="22"/>
        </w:rPr>
        <w:t xml:space="preserve">provide </w:t>
      </w:r>
      <w:r w:rsidR="0020583D">
        <w:rPr>
          <w:szCs w:val="22"/>
        </w:rPr>
        <w:t>a capacity payment for the capacity they have been providing</w:t>
      </w:r>
      <w:r w:rsidR="0024791F">
        <w:rPr>
          <w:szCs w:val="22"/>
        </w:rPr>
        <w:t>, if or when they renew their contracts</w:t>
      </w:r>
      <w:r w:rsidR="0020583D">
        <w:rPr>
          <w:szCs w:val="22"/>
        </w:rPr>
        <w:t>.</w:t>
      </w:r>
      <w:r w:rsidR="00A2150B">
        <w:rPr>
          <w:szCs w:val="22"/>
        </w:rPr>
        <w:t xml:space="preserve"> </w:t>
      </w:r>
      <w:r>
        <w:rPr>
          <w:szCs w:val="22"/>
        </w:rPr>
        <w:t xml:space="preserve">To determine the value of the capacity payment the Company used the annual capacity value of </w:t>
      </w:r>
      <w:r w:rsidR="00BE5660">
        <w:rPr>
          <w:szCs w:val="22"/>
        </w:rPr>
        <w:t xml:space="preserve">a </w:t>
      </w:r>
      <w:r>
        <w:rPr>
          <w:szCs w:val="22"/>
        </w:rPr>
        <w:t>large natural gas fired resource from its 2017 IRP</w:t>
      </w:r>
      <w:r w:rsidR="00351DA3">
        <w:rPr>
          <w:szCs w:val="22"/>
        </w:rPr>
        <w:t xml:space="preserve">, based on if Avista were to be short on capacity beginning in 2018 instead of </w:t>
      </w:r>
      <w:r w:rsidR="006D1814">
        <w:rPr>
          <w:szCs w:val="22"/>
        </w:rPr>
        <w:t>the end of 2026</w:t>
      </w:r>
      <w:r>
        <w:rPr>
          <w:szCs w:val="22"/>
        </w:rPr>
        <w:t>.</w:t>
      </w:r>
      <w:r w:rsidR="0020583D">
        <w:rPr>
          <w:szCs w:val="22"/>
        </w:rPr>
        <w:t xml:space="preserve">  </w:t>
      </w:r>
    </w:p>
    <w:p w14:paraId="4B15F551" w14:textId="77777777" w:rsidR="00BE5660" w:rsidRDefault="00BE5660" w:rsidP="009E68C6">
      <w:pPr>
        <w:jc w:val="both"/>
        <w:rPr>
          <w:szCs w:val="22"/>
        </w:rPr>
      </w:pPr>
    </w:p>
    <w:p w14:paraId="4B15F552" w14:textId="77777777" w:rsidR="00BE5660" w:rsidRDefault="00BE5660" w:rsidP="009E68C6">
      <w:pPr>
        <w:jc w:val="both"/>
        <w:rPr>
          <w:szCs w:val="22"/>
        </w:rPr>
      </w:pPr>
      <w:r>
        <w:rPr>
          <w:szCs w:val="22"/>
        </w:rPr>
        <w:t xml:space="preserve">Because the Company is long on capacity until the end of 2026, the Standard Power Rates from 2018 – 2022 for </w:t>
      </w:r>
      <w:r w:rsidRPr="00BE5660">
        <w:rPr>
          <w:szCs w:val="22"/>
          <w:u w:val="single"/>
        </w:rPr>
        <w:t>new</w:t>
      </w:r>
      <w:r>
        <w:rPr>
          <w:szCs w:val="22"/>
        </w:rPr>
        <w:t xml:space="preserve"> QFs will receive a capacity payment of $0/kW-year.  Based on current conditions, QFs that sign a PURPA contract for Standard Power Rates will not receive a capacity payment greater than $0/kW-year until 2027.</w:t>
      </w:r>
    </w:p>
    <w:p w14:paraId="4B15F553" w14:textId="77777777" w:rsidR="00A2176B" w:rsidRDefault="00A2176B" w:rsidP="009E68C6">
      <w:pPr>
        <w:jc w:val="both"/>
        <w:rPr>
          <w:szCs w:val="22"/>
        </w:rPr>
      </w:pPr>
    </w:p>
    <w:p w14:paraId="4B15F554" w14:textId="77777777" w:rsidR="00A2176B" w:rsidRDefault="00C9350A" w:rsidP="009E68C6">
      <w:pPr>
        <w:jc w:val="both"/>
        <w:rPr>
          <w:szCs w:val="22"/>
        </w:rPr>
      </w:pPr>
      <w:r>
        <w:rPr>
          <w:szCs w:val="22"/>
        </w:rPr>
        <w:t xml:space="preserve">The Standard Power Rates included within the proposed Schedule 62 are for years 2018 through 2022.  If the Company’s proposed tariff modifications are approved with an effective date of September 1, 2017 as requested, it is highly unlikely that a QF will request a contract for Standard Power Rates with a delivery date in 2017.  </w:t>
      </w:r>
    </w:p>
    <w:p w14:paraId="4B15F555" w14:textId="77777777" w:rsidR="00617627" w:rsidRDefault="00617627" w:rsidP="009E68C6">
      <w:pPr>
        <w:jc w:val="both"/>
        <w:rPr>
          <w:szCs w:val="22"/>
        </w:rPr>
      </w:pPr>
    </w:p>
    <w:p w14:paraId="4B15F556" w14:textId="77777777" w:rsidR="009E68C6" w:rsidRPr="00D17991" w:rsidRDefault="009E68C6" w:rsidP="009E68C6">
      <w:pPr>
        <w:jc w:val="both"/>
        <w:rPr>
          <w:szCs w:val="22"/>
        </w:rPr>
      </w:pPr>
      <w:r w:rsidRPr="00D17991">
        <w:rPr>
          <w:szCs w:val="22"/>
        </w:rPr>
        <w:t xml:space="preserve">A copy of the workpapers supporting the Company’s request is enclosed with this filing.  </w:t>
      </w:r>
      <w:r w:rsidR="0024791F">
        <w:rPr>
          <w:szCs w:val="22"/>
        </w:rPr>
        <w:t xml:space="preserve">As mentioned, </w:t>
      </w:r>
      <w:r w:rsidRPr="00D17991">
        <w:rPr>
          <w:szCs w:val="22"/>
        </w:rPr>
        <w:t xml:space="preserve">Avista requests the tariff revision to become effective </w:t>
      </w:r>
      <w:r w:rsidR="00291040">
        <w:rPr>
          <w:szCs w:val="22"/>
        </w:rPr>
        <w:t>September</w:t>
      </w:r>
      <w:r w:rsidRPr="00D17991">
        <w:rPr>
          <w:szCs w:val="22"/>
        </w:rPr>
        <w:t xml:space="preserve"> 1, 201</w:t>
      </w:r>
      <w:r>
        <w:rPr>
          <w:szCs w:val="22"/>
        </w:rPr>
        <w:t>7</w:t>
      </w:r>
      <w:r w:rsidRPr="00D17991">
        <w:rPr>
          <w:szCs w:val="22"/>
        </w:rPr>
        <w:t>.  If you have any questions regarding this filing, please contact</w:t>
      </w:r>
      <w:r w:rsidR="00DA2B8C">
        <w:rPr>
          <w:szCs w:val="22"/>
        </w:rPr>
        <w:t xml:space="preserve"> Shawn Bonfield</w:t>
      </w:r>
      <w:r w:rsidRPr="00D17991">
        <w:rPr>
          <w:szCs w:val="22"/>
        </w:rPr>
        <w:t xml:space="preserve"> at 509-495-</w:t>
      </w:r>
      <w:r w:rsidR="00DA2B8C">
        <w:rPr>
          <w:szCs w:val="22"/>
        </w:rPr>
        <w:t xml:space="preserve">2782 or </w:t>
      </w:r>
      <w:hyperlink r:id="rId11" w:history="1">
        <w:r w:rsidR="00DA2B8C" w:rsidRPr="00350D61">
          <w:rPr>
            <w:rStyle w:val="Hyperlink"/>
            <w:szCs w:val="22"/>
          </w:rPr>
          <w:t>shawn.bonfield@avistacorp.com</w:t>
        </w:r>
      </w:hyperlink>
      <w:r w:rsidR="00DA2B8C">
        <w:rPr>
          <w:szCs w:val="22"/>
        </w:rPr>
        <w:t xml:space="preserve"> or myself at 509-495-8620 or </w:t>
      </w:r>
      <w:hyperlink r:id="rId12" w:history="1">
        <w:r w:rsidR="00DA2B8C" w:rsidRPr="00350D61">
          <w:rPr>
            <w:rStyle w:val="Hyperlink"/>
            <w:szCs w:val="22"/>
          </w:rPr>
          <w:t>pat.ehrbar@avistacorp.com</w:t>
        </w:r>
      </w:hyperlink>
      <w:r w:rsidRPr="00D17991">
        <w:rPr>
          <w:szCs w:val="22"/>
        </w:rPr>
        <w:t>.</w:t>
      </w:r>
    </w:p>
    <w:p w14:paraId="4B15F557" w14:textId="77777777" w:rsidR="009E68C6" w:rsidRPr="00D17991" w:rsidRDefault="009E68C6" w:rsidP="009E68C6">
      <w:pPr>
        <w:jc w:val="both"/>
        <w:rPr>
          <w:szCs w:val="22"/>
        </w:rPr>
      </w:pPr>
      <w:r w:rsidRPr="00D17991">
        <w:rPr>
          <w:szCs w:val="22"/>
        </w:rPr>
        <w:tab/>
      </w:r>
    </w:p>
    <w:p w14:paraId="4B15F558" w14:textId="77777777" w:rsidR="009E68C6" w:rsidRPr="00D17991" w:rsidRDefault="009E68C6" w:rsidP="009E68C6">
      <w:pPr>
        <w:rPr>
          <w:szCs w:val="22"/>
        </w:rPr>
      </w:pPr>
      <w:r w:rsidRPr="00D17991">
        <w:rPr>
          <w:szCs w:val="22"/>
        </w:rPr>
        <w:t>Sincerely,</w:t>
      </w:r>
    </w:p>
    <w:p w14:paraId="4B15F559" w14:textId="77777777" w:rsidR="009E68C6" w:rsidRPr="00D17991" w:rsidRDefault="009E68C6" w:rsidP="009E68C6">
      <w:pPr>
        <w:rPr>
          <w:noProof/>
          <w:szCs w:val="22"/>
        </w:rPr>
      </w:pPr>
    </w:p>
    <w:p w14:paraId="4B15F55A" w14:textId="77777777" w:rsidR="009E68C6" w:rsidRPr="00D17991" w:rsidRDefault="009E68C6" w:rsidP="009E68C6">
      <w:pPr>
        <w:rPr>
          <w:noProof/>
          <w:sz w:val="28"/>
        </w:rPr>
      </w:pPr>
    </w:p>
    <w:p w14:paraId="4B15F55B" w14:textId="77777777" w:rsidR="009E68C6" w:rsidRPr="00D17991" w:rsidRDefault="009E68C6" w:rsidP="009E68C6">
      <w:pPr>
        <w:rPr>
          <w:szCs w:val="22"/>
        </w:rPr>
      </w:pPr>
      <w:r w:rsidRPr="00D17991">
        <w:rPr>
          <w:szCs w:val="22"/>
        </w:rPr>
        <w:t>Patrick Ehrbar</w:t>
      </w:r>
    </w:p>
    <w:p w14:paraId="4B15F55C" w14:textId="77777777" w:rsidR="009E68C6" w:rsidRPr="00D17991" w:rsidRDefault="009E68C6" w:rsidP="009E68C6">
      <w:pPr>
        <w:rPr>
          <w:szCs w:val="22"/>
        </w:rPr>
      </w:pPr>
      <w:r>
        <w:rPr>
          <w:szCs w:val="22"/>
        </w:rPr>
        <w:t xml:space="preserve">Senior </w:t>
      </w:r>
      <w:r w:rsidRPr="00D17991">
        <w:rPr>
          <w:szCs w:val="22"/>
        </w:rPr>
        <w:t>Manager, Rates &amp; Tariffs</w:t>
      </w:r>
    </w:p>
    <w:p w14:paraId="4B15F55D" w14:textId="77777777" w:rsidR="003D0502" w:rsidRPr="0029054D" w:rsidRDefault="003D0502" w:rsidP="009E68C6">
      <w:pPr>
        <w:pStyle w:val="Footer"/>
        <w:tabs>
          <w:tab w:val="clear" w:pos="4320"/>
          <w:tab w:val="clear" w:pos="8640"/>
        </w:tabs>
        <w:rPr>
          <w:bCs/>
          <w:lang w:val="fr-FR"/>
        </w:rPr>
      </w:pPr>
    </w:p>
    <w:sectPr w:rsidR="003D0502" w:rsidRPr="0029054D" w:rsidSect="00816FF9">
      <w:headerReference w:type="default" r:id="rId13"/>
      <w:footerReference w:type="default" r:id="rId14"/>
      <w:headerReference w:type="first" r:id="rId15"/>
      <w:footerReference w:type="first" r:id="rId16"/>
      <w:pgSz w:w="12240" w:h="15840"/>
      <w:pgMar w:top="1440" w:right="1440" w:bottom="1440" w:left="144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15F560" w14:textId="77777777" w:rsidR="00AF004B" w:rsidRDefault="00AF004B" w:rsidP="00EA43E7">
      <w:r>
        <w:separator/>
      </w:r>
    </w:p>
  </w:endnote>
  <w:endnote w:type="continuationSeparator" w:id="0">
    <w:p w14:paraId="4B15F561" w14:textId="77777777" w:rsidR="00AF004B" w:rsidRDefault="00AF004B" w:rsidP="00EA4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9786951"/>
      <w:docPartObj>
        <w:docPartGallery w:val="Page Numbers (Bottom of Page)"/>
        <w:docPartUnique/>
      </w:docPartObj>
    </w:sdtPr>
    <w:sdtEndPr/>
    <w:sdtContent>
      <w:sdt>
        <w:sdtPr>
          <w:id w:val="-1705238520"/>
          <w:docPartObj>
            <w:docPartGallery w:val="Page Numbers (Top of Page)"/>
            <w:docPartUnique/>
          </w:docPartObj>
        </w:sdtPr>
        <w:sdtEndPr/>
        <w:sdtContent>
          <w:p w14:paraId="4B15F563"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p>
        </w:sdtContent>
      </w:sdt>
    </w:sdtContent>
  </w:sdt>
  <w:p w14:paraId="4B15F564" w14:textId="77777777" w:rsidR="005754AA" w:rsidRDefault="005754AA" w:rsidP="003D0502">
    <w:pPr>
      <w:pStyle w:val="Footer"/>
      <w:ind w:right="-14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9462694"/>
      <w:docPartObj>
        <w:docPartGallery w:val="Page Numbers (Bottom of Page)"/>
        <w:docPartUnique/>
      </w:docPartObj>
    </w:sdtPr>
    <w:sdtEndPr/>
    <w:sdtContent>
      <w:sdt>
        <w:sdtPr>
          <w:id w:val="14349487"/>
          <w:docPartObj>
            <w:docPartGallery w:val="Page Numbers (Top of Page)"/>
            <w:docPartUnique/>
          </w:docPartObj>
        </w:sdtPr>
        <w:sdtEndPr/>
        <w:sdtContent>
          <w:p w14:paraId="4B15F566" w14:textId="77777777" w:rsidR="000433A2" w:rsidRDefault="000433A2" w:rsidP="000433A2">
            <w:pPr>
              <w:pStyle w:val="Footer"/>
              <w:jc w:val="center"/>
            </w:pPr>
            <w:r w:rsidRPr="00A41346">
              <w:rPr>
                <w:rFonts w:ascii="Times New Roman" w:hAnsi="Times New Roman" w:cs="Times New Roman"/>
                <w:sz w:val="22"/>
              </w:rPr>
              <w:t xml:space="preserve">Page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PAGE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1</w:t>
            </w:r>
            <w:r w:rsidRPr="00A41346">
              <w:rPr>
                <w:rFonts w:ascii="Times New Roman" w:hAnsi="Times New Roman" w:cs="Times New Roman"/>
                <w:bCs/>
                <w:sz w:val="22"/>
              </w:rPr>
              <w:fldChar w:fldCharType="end"/>
            </w:r>
            <w:r w:rsidRPr="00A41346">
              <w:rPr>
                <w:rFonts w:ascii="Times New Roman" w:hAnsi="Times New Roman" w:cs="Times New Roman"/>
                <w:sz w:val="22"/>
              </w:rPr>
              <w:t xml:space="preserve"> of </w:t>
            </w:r>
            <w:r w:rsidRPr="00A41346">
              <w:rPr>
                <w:rFonts w:ascii="Times New Roman" w:hAnsi="Times New Roman" w:cs="Times New Roman"/>
                <w:bCs/>
                <w:sz w:val="22"/>
              </w:rPr>
              <w:fldChar w:fldCharType="begin"/>
            </w:r>
            <w:r w:rsidRPr="00A41346">
              <w:rPr>
                <w:rFonts w:ascii="Times New Roman" w:hAnsi="Times New Roman" w:cs="Times New Roman"/>
                <w:bCs/>
                <w:sz w:val="22"/>
              </w:rPr>
              <w:instrText xml:space="preserve"> NUMPAGES  </w:instrText>
            </w:r>
            <w:r w:rsidRPr="00A41346">
              <w:rPr>
                <w:rFonts w:ascii="Times New Roman" w:hAnsi="Times New Roman" w:cs="Times New Roman"/>
                <w:bCs/>
                <w:sz w:val="22"/>
              </w:rPr>
              <w:fldChar w:fldCharType="separate"/>
            </w:r>
            <w:r w:rsidR="009D213D">
              <w:rPr>
                <w:rFonts w:ascii="Times New Roman" w:hAnsi="Times New Roman" w:cs="Times New Roman"/>
                <w:bCs/>
                <w:noProof/>
                <w:sz w:val="22"/>
              </w:rPr>
              <w:t>2</w:t>
            </w:r>
            <w:r w:rsidRPr="00A41346">
              <w:rPr>
                <w:rFonts w:ascii="Times New Roman" w:hAnsi="Times New Roman" w:cs="Times New Roman"/>
                <w:bCs/>
                <w:sz w:val="22"/>
              </w:rPr>
              <w:fldChar w:fldCharType="end"/>
            </w:r>
          </w:p>
        </w:sdtContent>
      </w:sdt>
    </w:sdtContent>
  </w:sdt>
  <w:p w14:paraId="4B15F567" w14:textId="77777777" w:rsidR="000433A2" w:rsidRDefault="000433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5F55E" w14:textId="77777777" w:rsidR="00AF004B" w:rsidRDefault="00AF004B" w:rsidP="00EA43E7">
      <w:r>
        <w:separator/>
      </w:r>
    </w:p>
  </w:footnote>
  <w:footnote w:type="continuationSeparator" w:id="0">
    <w:p w14:paraId="4B15F55F" w14:textId="77777777" w:rsidR="00AF004B" w:rsidRDefault="00AF004B" w:rsidP="00EA43E7">
      <w:r>
        <w:continuationSeparator/>
      </w:r>
    </w:p>
  </w:footnote>
  <w:footnote w:id="1">
    <w:p w14:paraId="4B15F56A" w14:textId="77777777" w:rsidR="005D2271" w:rsidRDefault="005D2271" w:rsidP="005D2271">
      <w:pPr>
        <w:pStyle w:val="FootnoteText"/>
        <w:jc w:val="both"/>
      </w:pPr>
      <w:r>
        <w:rPr>
          <w:rStyle w:val="FootnoteReference"/>
        </w:rPr>
        <w:footnoteRef/>
      </w:r>
      <w:r>
        <w:t xml:space="preserve"> It should be noted that in the past the avoided costs have not changed from the time the Company submitted its draft IRP to its Technical Advisory Group (TAC)</w:t>
      </w:r>
      <w:r w:rsidR="00BE5660">
        <w:t>,</w:t>
      </w:r>
      <w:r>
        <w:t xml:space="preserve"> to the time the</w:t>
      </w:r>
      <w:r w:rsidR="00A41346">
        <w:t xml:space="preserve"> final</w:t>
      </w:r>
      <w:r>
        <w:t xml:space="preserve"> IRP is filed </w:t>
      </w:r>
      <w:r w:rsidR="00A41346">
        <w:t xml:space="preserve">with the Commission </w:t>
      </w:r>
      <w:r>
        <w:t>and later acknowledged.  The Company’s 2017 IRP was submitted to its TAC on June 30, 2017.  In addition</w:t>
      </w:r>
      <w:r w:rsidR="00BE5660">
        <w:t>,</w:t>
      </w:r>
      <w:r>
        <w:t xml:space="preserve"> the Commission does not approve the avoided costs included in the IRP, </w:t>
      </w:r>
      <w:r w:rsidR="00BE5660">
        <w:t>however</w:t>
      </w:r>
      <w:r>
        <w:t xml:space="preserve"> acknowledges that the IRP met all requirements from previous orders and WAC 480-100-238.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F562" w14:textId="77777777" w:rsidR="005754AA" w:rsidRDefault="005754AA" w:rsidP="003D0502">
    <w:pPr>
      <w:pStyle w:val="Header"/>
      <w:ind w:left="-117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5F565" w14:textId="77777777" w:rsidR="005754AA" w:rsidRDefault="005754AA" w:rsidP="003D0502">
    <w:pPr>
      <w:pStyle w:val="Header"/>
      <w:spacing w:after="480"/>
      <w:ind w:left="-1166" w:right="-1166"/>
    </w:pPr>
    <w:r w:rsidRPr="0071027A">
      <w:rPr>
        <w:noProof/>
      </w:rPr>
      <w:drawing>
        <wp:inline distT="0" distB="0" distL="0" distR="0" wp14:anchorId="4B15F568" wp14:editId="4B15F569">
          <wp:extent cx="7397115" cy="1158881"/>
          <wp:effectExtent l="25400" t="0" r="0" b="0"/>
          <wp:docPr id="3" name="Picture 3" descr="Macintosh HD:Users:renee:Projects:0746_Avista:Avista_APPs_041513:Avista_WordTemplate_041613-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enee:Projects:0746_Avista:Avista_APPs_041513:Avista_WordTemplate_041613-03.jpg"/>
                  <pic:cNvPicPr>
                    <a:picLocks noChangeAspect="1" noChangeArrowheads="1"/>
                  </pic:cNvPicPr>
                </pic:nvPicPr>
                <pic:blipFill>
                  <a:blip r:embed="rId1"/>
                  <a:srcRect/>
                  <a:stretch>
                    <a:fillRect/>
                  </a:stretch>
                </pic:blipFill>
                <pic:spPr bwMode="auto">
                  <a:xfrm>
                    <a:off x="0" y="0"/>
                    <a:ext cx="7391982" cy="115807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3F94"/>
    <w:multiLevelType w:val="hybridMultilevel"/>
    <w:tmpl w:val="AB7EA4E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21D637C"/>
    <w:multiLevelType w:val="hybridMultilevel"/>
    <w:tmpl w:val="16C045C0"/>
    <w:lvl w:ilvl="0" w:tplc="3B0CA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585062"/>
    <w:multiLevelType w:val="hybridMultilevel"/>
    <w:tmpl w:val="4B08F1C4"/>
    <w:lvl w:ilvl="0" w:tplc="5C105D98">
      <w:start w:val="1"/>
      <w:numFmt w:val="decimal"/>
      <w:lvlText w:val="%1."/>
      <w:lvlJc w:val="left"/>
      <w:pPr>
        <w:ind w:left="1080" w:hanging="360"/>
      </w:pPr>
      <w:rPr>
        <w:rFonts w:hint="default"/>
      </w:rPr>
    </w:lvl>
    <w:lvl w:ilvl="1" w:tplc="6C102AE8">
      <w:start w:val="1"/>
      <w:numFmt w:val="upp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E132361"/>
    <w:multiLevelType w:val="hybridMultilevel"/>
    <w:tmpl w:val="9F760BDA"/>
    <w:lvl w:ilvl="0" w:tplc="04090015">
      <w:start w:val="1"/>
      <w:numFmt w:val="upperLetter"/>
      <w:lvlText w:val="%1."/>
      <w:lvlJc w:val="left"/>
      <w:pPr>
        <w:ind w:left="1440" w:hanging="360"/>
      </w:pPr>
    </w:lvl>
    <w:lvl w:ilvl="1" w:tplc="04090019">
      <w:start w:val="1"/>
      <w:numFmt w:val="lowerLetter"/>
      <w:lvlText w:val="%2."/>
      <w:lvlJc w:val="left"/>
      <w:pPr>
        <w:ind w:left="2160" w:hanging="360"/>
      </w:pPr>
    </w:lvl>
    <w:lvl w:ilvl="2" w:tplc="E660A3B4">
      <w:start w:val="1"/>
      <w:numFmt w:val="decimal"/>
      <w:lvlText w:val="%3."/>
      <w:lvlJc w:val="left"/>
      <w:pPr>
        <w:ind w:left="3060" w:hanging="360"/>
      </w:pPr>
      <w:rPr>
        <w:rFonts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6075207D"/>
    <w:multiLevelType w:val="hybridMultilevel"/>
    <w:tmpl w:val="4AE0D3D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7A9E4CC6"/>
    <w:multiLevelType w:val="hybridMultilevel"/>
    <w:tmpl w:val="BCDE1628"/>
    <w:lvl w:ilvl="0" w:tplc="5A30361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ttachedTemplate r:id="rId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48F"/>
    <w:rsid w:val="00001FCC"/>
    <w:rsid w:val="00013D50"/>
    <w:rsid w:val="000200C7"/>
    <w:rsid w:val="000335F4"/>
    <w:rsid w:val="000355DC"/>
    <w:rsid w:val="000410D5"/>
    <w:rsid w:val="000433A2"/>
    <w:rsid w:val="000A36BE"/>
    <w:rsid w:val="000C5086"/>
    <w:rsid w:val="000C6D8F"/>
    <w:rsid w:val="000D399B"/>
    <w:rsid w:val="000E2906"/>
    <w:rsid w:val="000E6323"/>
    <w:rsid w:val="0011573E"/>
    <w:rsid w:val="0012377A"/>
    <w:rsid w:val="00164958"/>
    <w:rsid w:val="00165B1E"/>
    <w:rsid w:val="001711EF"/>
    <w:rsid w:val="00173A21"/>
    <w:rsid w:val="00190DF7"/>
    <w:rsid w:val="00192949"/>
    <w:rsid w:val="001A2081"/>
    <w:rsid w:val="001E4522"/>
    <w:rsid w:val="0020583D"/>
    <w:rsid w:val="00215BA1"/>
    <w:rsid w:val="00217C82"/>
    <w:rsid w:val="00226336"/>
    <w:rsid w:val="00240F12"/>
    <w:rsid w:val="0024791F"/>
    <w:rsid w:val="0024793E"/>
    <w:rsid w:val="00263C39"/>
    <w:rsid w:val="00266EF7"/>
    <w:rsid w:val="00275AA1"/>
    <w:rsid w:val="0028133C"/>
    <w:rsid w:val="0029054D"/>
    <w:rsid w:val="00291040"/>
    <w:rsid w:val="002973F5"/>
    <w:rsid w:val="002C4C6C"/>
    <w:rsid w:val="0030730C"/>
    <w:rsid w:val="00324BB3"/>
    <w:rsid w:val="00351DA3"/>
    <w:rsid w:val="0036248F"/>
    <w:rsid w:val="00365C96"/>
    <w:rsid w:val="003C3A14"/>
    <w:rsid w:val="003D0502"/>
    <w:rsid w:val="003F0C26"/>
    <w:rsid w:val="0040089E"/>
    <w:rsid w:val="00417DE8"/>
    <w:rsid w:val="00445AC3"/>
    <w:rsid w:val="00450A58"/>
    <w:rsid w:val="00456899"/>
    <w:rsid w:val="004842CC"/>
    <w:rsid w:val="00490DE0"/>
    <w:rsid w:val="004B2F50"/>
    <w:rsid w:val="004B3B15"/>
    <w:rsid w:val="004C493E"/>
    <w:rsid w:val="004C4EF3"/>
    <w:rsid w:val="004C7DE3"/>
    <w:rsid w:val="0050059D"/>
    <w:rsid w:val="00535DA3"/>
    <w:rsid w:val="00556C48"/>
    <w:rsid w:val="005754AA"/>
    <w:rsid w:val="00583C28"/>
    <w:rsid w:val="00596D36"/>
    <w:rsid w:val="005A3A83"/>
    <w:rsid w:val="005C382C"/>
    <w:rsid w:val="005D2271"/>
    <w:rsid w:val="00610348"/>
    <w:rsid w:val="00614CFE"/>
    <w:rsid w:val="00617627"/>
    <w:rsid w:val="00654191"/>
    <w:rsid w:val="006902D0"/>
    <w:rsid w:val="006D1814"/>
    <w:rsid w:val="006E05A4"/>
    <w:rsid w:val="006E1CFA"/>
    <w:rsid w:val="00700F7F"/>
    <w:rsid w:val="00730A6C"/>
    <w:rsid w:val="0074593E"/>
    <w:rsid w:val="00751172"/>
    <w:rsid w:val="00754511"/>
    <w:rsid w:val="007667CC"/>
    <w:rsid w:val="00793BC3"/>
    <w:rsid w:val="007A289A"/>
    <w:rsid w:val="007A424D"/>
    <w:rsid w:val="007A6C2D"/>
    <w:rsid w:val="007B1C08"/>
    <w:rsid w:val="007B5D91"/>
    <w:rsid w:val="007D1AEB"/>
    <w:rsid w:val="007F1450"/>
    <w:rsid w:val="00803A3F"/>
    <w:rsid w:val="00816FF9"/>
    <w:rsid w:val="008431F5"/>
    <w:rsid w:val="00854575"/>
    <w:rsid w:val="00870290"/>
    <w:rsid w:val="00875C7A"/>
    <w:rsid w:val="008766C5"/>
    <w:rsid w:val="00893924"/>
    <w:rsid w:val="008947FD"/>
    <w:rsid w:val="008B6ACF"/>
    <w:rsid w:val="008E5300"/>
    <w:rsid w:val="008F1769"/>
    <w:rsid w:val="008F6483"/>
    <w:rsid w:val="008F691A"/>
    <w:rsid w:val="009516E3"/>
    <w:rsid w:val="00956D8E"/>
    <w:rsid w:val="00967E74"/>
    <w:rsid w:val="00987864"/>
    <w:rsid w:val="009B1D08"/>
    <w:rsid w:val="009C7A0B"/>
    <w:rsid w:val="009D213D"/>
    <w:rsid w:val="009D49CA"/>
    <w:rsid w:val="009E68C6"/>
    <w:rsid w:val="009E7EC7"/>
    <w:rsid w:val="00A1136B"/>
    <w:rsid w:val="00A2150B"/>
    <w:rsid w:val="00A2176B"/>
    <w:rsid w:val="00A228B4"/>
    <w:rsid w:val="00A23709"/>
    <w:rsid w:val="00A41346"/>
    <w:rsid w:val="00A7379F"/>
    <w:rsid w:val="00A814DD"/>
    <w:rsid w:val="00AC68FB"/>
    <w:rsid w:val="00AE3578"/>
    <w:rsid w:val="00AE38FC"/>
    <w:rsid w:val="00AF004B"/>
    <w:rsid w:val="00AF7A55"/>
    <w:rsid w:val="00B065C0"/>
    <w:rsid w:val="00B23D71"/>
    <w:rsid w:val="00B30D0A"/>
    <w:rsid w:val="00B35176"/>
    <w:rsid w:val="00B3771B"/>
    <w:rsid w:val="00B61892"/>
    <w:rsid w:val="00BB028A"/>
    <w:rsid w:val="00BB32CF"/>
    <w:rsid w:val="00BC3C5F"/>
    <w:rsid w:val="00BE5660"/>
    <w:rsid w:val="00C222DF"/>
    <w:rsid w:val="00C25D8B"/>
    <w:rsid w:val="00C3386F"/>
    <w:rsid w:val="00C52768"/>
    <w:rsid w:val="00C64420"/>
    <w:rsid w:val="00C66EFA"/>
    <w:rsid w:val="00C72192"/>
    <w:rsid w:val="00C753A6"/>
    <w:rsid w:val="00C80E4A"/>
    <w:rsid w:val="00C9350A"/>
    <w:rsid w:val="00CD7C1E"/>
    <w:rsid w:val="00D02637"/>
    <w:rsid w:val="00D172DA"/>
    <w:rsid w:val="00D2002B"/>
    <w:rsid w:val="00D42BB5"/>
    <w:rsid w:val="00D61129"/>
    <w:rsid w:val="00D85D20"/>
    <w:rsid w:val="00D92025"/>
    <w:rsid w:val="00DA2B8C"/>
    <w:rsid w:val="00DB574D"/>
    <w:rsid w:val="00DB6FCF"/>
    <w:rsid w:val="00DC4706"/>
    <w:rsid w:val="00DD21FD"/>
    <w:rsid w:val="00DD2683"/>
    <w:rsid w:val="00DD6068"/>
    <w:rsid w:val="00DE0859"/>
    <w:rsid w:val="00DF0D9B"/>
    <w:rsid w:val="00E20901"/>
    <w:rsid w:val="00E37647"/>
    <w:rsid w:val="00E87D27"/>
    <w:rsid w:val="00EA43E7"/>
    <w:rsid w:val="00F15391"/>
    <w:rsid w:val="00F1703C"/>
    <w:rsid w:val="00F221DB"/>
    <w:rsid w:val="00F27F1F"/>
    <w:rsid w:val="00F600B5"/>
    <w:rsid w:val="00F701D7"/>
    <w:rsid w:val="00F87AAF"/>
    <w:rsid w:val="00FC6145"/>
    <w:rsid w:val="00FE21C8"/>
    <w:rsid w:val="00FE533E"/>
    <w:rsid w:val="00FF413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4B15F52E"/>
  <w15:docId w15:val="{C832B43F-387D-4989-AE5C-72652D13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7864"/>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3771B"/>
    <w:pPr>
      <w:keepNext/>
      <w:keepLines/>
      <w:spacing w:before="480"/>
      <w:outlineLvl w:val="0"/>
    </w:pPr>
    <w:rPr>
      <w:rFonts w:ascii="Arial" w:eastAsiaTheme="majorEastAsia" w:hAnsi="Arial" w:cstheme="majorBidi"/>
      <w:b/>
      <w:bCs/>
      <w:color w:val="00213F"/>
      <w:sz w:val="40"/>
      <w:szCs w:val="32"/>
    </w:rPr>
  </w:style>
  <w:style w:type="paragraph" w:styleId="Heading2">
    <w:name w:val="heading 2"/>
    <w:basedOn w:val="Normal"/>
    <w:next w:val="Normal"/>
    <w:link w:val="Heading2Char"/>
    <w:unhideWhenUsed/>
    <w:qFormat/>
    <w:rsid w:val="00B3771B"/>
    <w:pPr>
      <w:keepNext/>
      <w:keepLines/>
      <w:spacing w:before="200"/>
      <w:outlineLvl w:val="1"/>
    </w:pPr>
    <w:rPr>
      <w:rFonts w:ascii="Arial" w:eastAsiaTheme="majorEastAsia" w:hAnsi="Arial" w:cstheme="majorBidi"/>
      <w:b/>
      <w:bCs/>
      <w:color w:val="1869A6"/>
      <w:sz w:val="28"/>
      <w:szCs w:val="26"/>
    </w:rPr>
  </w:style>
  <w:style w:type="paragraph" w:styleId="Heading3">
    <w:name w:val="heading 3"/>
    <w:basedOn w:val="Normal"/>
    <w:next w:val="Normal"/>
    <w:link w:val="Heading3Char"/>
    <w:uiPriority w:val="9"/>
    <w:unhideWhenUsed/>
    <w:qFormat/>
    <w:rsid w:val="00B3771B"/>
    <w:pPr>
      <w:keepNext/>
      <w:keepLines/>
      <w:spacing w:before="200"/>
      <w:outlineLvl w:val="2"/>
    </w:pPr>
    <w:rPr>
      <w:rFonts w:ascii="Arial" w:eastAsiaTheme="majorEastAsia" w:hAnsi="Arial" w:cstheme="majorBidi"/>
      <w:b/>
      <w:bCs/>
      <w:color w:val="009CD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6BDE"/>
    <w:pPr>
      <w:tabs>
        <w:tab w:val="center" w:pos="4320"/>
        <w:tab w:val="right" w:pos="8640"/>
      </w:tabs>
    </w:pPr>
    <w:rPr>
      <w:rFonts w:ascii="Arial" w:eastAsiaTheme="minorHAnsi" w:hAnsi="Arial" w:cstheme="minorBidi"/>
    </w:rPr>
  </w:style>
  <w:style w:type="character" w:customStyle="1" w:styleId="HeaderChar">
    <w:name w:val="Header Char"/>
    <w:basedOn w:val="DefaultParagraphFont"/>
    <w:link w:val="Header"/>
    <w:uiPriority w:val="99"/>
    <w:rsid w:val="000C6BDE"/>
    <w:rPr>
      <w:sz w:val="24"/>
      <w:szCs w:val="24"/>
    </w:rPr>
  </w:style>
  <w:style w:type="paragraph" w:styleId="Footer">
    <w:name w:val="footer"/>
    <w:basedOn w:val="Normal"/>
    <w:link w:val="FooterChar"/>
    <w:uiPriority w:val="99"/>
    <w:unhideWhenUsed/>
    <w:rsid w:val="000C6BDE"/>
    <w:pPr>
      <w:tabs>
        <w:tab w:val="center" w:pos="4320"/>
        <w:tab w:val="right" w:pos="8640"/>
      </w:tabs>
    </w:pPr>
    <w:rPr>
      <w:rFonts w:ascii="Arial" w:eastAsiaTheme="minorHAnsi" w:hAnsi="Arial" w:cstheme="minorBidi"/>
    </w:rPr>
  </w:style>
  <w:style w:type="character" w:customStyle="1" w:styleId="FooterChar">
    <w:name w:val="Footer Char"/>
    <w:basedOn w:val="DefaultParagraphFont"/>
    <w:link w:val="Footer"/>
    <w:uiPriority w:val="99"/>
    <w:rsid w:val="000C6BDE"/>
    <w:rPr>
      <w:sz w:val="24"/>
      <w:szCs w:val="24"/>
    </w:rPr>
  </w:style>
  <w:style w:type="character" w:customStyle="1" w:styleId="Heading3Char">
    <w:name w:val="Heading 3 Char"/>
    <w:basedOn w:val="DefaultParagraphFont"/>
    <w:link w:val="Heading3"/>
    <w:uiPriority w:val="9"/>
    <w:rsid w:val="00B3771B"/>
    <w:rPr>
      <w:rFonts w:ascii="Arial" w:eastAsiaTheme="majorEastAsia" w:hAnsi="Arial" w:cstheme="majorBidi"/>
      <w:b/>
      <w:bCs/>
      <w:color w:val="009CD4"/>
      <w:sz w:val="24"/>
      <w:szCs w:val="24"/>
    </w:rPr>
  </w:style>
  <w:style w:type="character" w:customStyle="1" w:styleId="Heading2Char">
    <w:name w:val="Heading 2 Char"/>
    <w:basedOn w:val="DefaultParagraphFont"/>
    <w:link w:val="Heading2"/>
    <w:uiPriority w:val="9"/>
    <w:semiHidden/>
    <w:rsid w:val="00B3771B"/>
    <w:rPr>
      <w:rFonts w:ascii="Arial" w:eastAsiaTheme="majorEastAsia" w:hAnsi="Arial" w:cstheme="majorBidi"/>
      <w:b/>
      <w:bCs/>
      <w:color w:val="1869A6"/>
      <w:sz w:val="28"/>
      <w:szCs w:val="26"/>
    </w:rPr>
  </w:style>
  <w:style w:type="character" w:customStyle="1" w:styleId="Heading1Char">
    <w:name w:val="Heading 1 Char"/>
    <w:basedOn w:val="DefaultParagraphFont"/>
    <w:link w:val="Heading1"/>
    <w:uiPriority w:val="9"/>
    <w:rsid w:val="00B3771B"/>
    <w:rPr>
      <w:rFonts w:ascii="Arial" w:eastAsiaTheme="majorEastAsia" w:hAnsi="Arial" w:cstheme="majorBidi"/>
      <w:b/>
      <w:bCs/>
      <w:color w:val="00213F"/>
      <w:sz w:val="40"/>
      <w:szCs w:val="32"/>
    </w:rPr>
  </w:style>
  <w:style w:type="paragraph" w:styleId="BalloonText">
    <w:name w:val="Balloon Text"/>
    <w:basedOn w:val="Normal"/>
    <w:link w:val="BalloonTextChar"/>
    <w:uiPriority w:val="99"/>
    <w:semiHidden/>
    <w:unhideWhenUsed/>
    <w:rsid w:val="0098786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87864"/>
    <w:rPr>
      <w:rFonts w:ascii="Tahoma" w:hAnsi="Tahoma" w:cs="Tahoma"/>
      <w:sz w:val="16"/>
      <w:szCs w:val="16"/>
    </w:rPr>
  </w:style>
  <w:style w:type="paragraph" w:styleId="NormalWeb">
    <w:name w:val="Normal (Web)"/>
    <w:basedOn w:val="Normal"/>
    <w:uiPriority w:val="99"/>
    <w:semiHidden/>
    <w:unhideWhenUsed/>
    <w:rsid w:val="00DD6068"/>
    <w:pPr>
      <w:spacing w:before="100" w:beforeAutospacing="1" w:after="100" w:afterAutospacing="1"/>
    </w:pPr>
    <w:rPr>
      <w:rFonts w:eastAsiaTheme="minorHAnsi"/>
    </w:rPr>
  </w:style>
  <w:style w:type="character" w:styleId="Hyperlink">
    <w:name w:val="Hyperlink"/>
    <w:basedOn w:val="DefaultParagraphFont"/>
    <w:uiPriority w:val="99"/>
    <w:unhideWhenUsed/>
    <w:rsid w:val="00AC68FB"/>
    <w:rPr>
      <w:color w:val="0000FF" w:themeColor="hyperlink"/>
      <w:u w:val="single"/>
    </w:rPr>
  </w:style>
  <w:style w:type="character" w:styleId="FollowedHyperlink">
    <w:name w:val="FollowedHyperlink"/>
    <w:basedOn w:val="DefaultParagraphFont"/>
    <w:uiPriority w:val="99"/>
    <w:semiHidden/>
    <w:unhideWhenUsed/>
    <w:rsid w:val="006902D0"/>
    <w:rPr>
      <w:color w:val="800080" w:themeColor="followedHyperlink"/>
      <w:u w:val="single"/>
    </w:rPr>
  </w:style>
  <w:style w:type="paragraph" w:styleId="ListParagraph">
    <w:name w:val="List Paragraph"/>
    <w:basedOn w:val="Normal"/>
    <w:uiPriority w:val="34"/>
    <w:qFormat/>
    <w:rsid w:val="00BB32CF"/>
    <w:pPr>
      <w:ind w:left="720"/>
      <w:contextualSpacing/>
    </w:pPr>
  </w:style>
  <w:style w:type="paragraph" w:styleId="FootnoteText">
    <w:name w:val="footnote text"/>
    <w:basedOn w:val="Normal"/>
    <w:link w:val="FootnoteTextChar"/>
    <w:uiPriority w:val="99"/>
    <w:semiHidden/>
    <w:unhideWhenUsed/>
    <w:rsid w:val="005D2271"/>
    <w:rPr>
      <w:sz w:val="20"/>
      <w:szCs w:val="20"/>
    </w:rPr>
  </w:style>
  <w:style w:type="character" w:customStyle="1" w:styleId="FootnoteTextChar">
    <w:name w:val="Footnote Text Char"/>
    <w:basedOn w:val="DefaultParagraphFont"/>
    <w:link w:val="FootnoteText"/>
    <w:uiPriority w:val="99"/>
    <w:semiHidden/>
    <w:rsid w:val="005D2271"/>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5D22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19870">
      <w:bodyDiv w:val="1"/>
      <w:marLeft w:val="0"/>
      <w:marRight w:val="0"/>
      <w:marTop w:val="0"/>
      <w:marBottom w:val="0"/>
      <w:divBdr>
        <w:top w:val="none" w:sz="0" w:space="0" w:color="auto"/>
        <w:left w:val="none" w:sz="0" w:space="0" w:color="auto"/>
        <w:bottom w:val="none" w:sz="0" w:space="0" w:color="auto"/>
        <w:right w:val="none" w:sz="0" w:space="0" w:color="auto"/>
      </w:divBdr>
    </w:div>
    <w:div w:id="417167657">
      <w:bodyDiv w:val="1"/>
      <w:marLeft w:val="0"/>
      <w:marRight w:val="0"/>
      <w:marTop w:val="0"/>
      <w:marBottom w:val="0"/>
      <w:divBdr>
        <w:top w:val="none" w:sz="0" w:space="0" w:color="auto"/>
        <w:left w:val="none" w:sz="0" w:space="0" w:color="auto"/>
        <w:bottom w:val="none" w:sz="0" w:space="0" w:color="auto"/>
        <w:right w:val="none" w:sz="0" w:space="0" w:color="auto"/>
      </w:divBdr>
    </w:div>
    <w:div w:id="959607631">
      <w:bodyDiv w:val="1"/>
      <w:marLeft w:val="0"/>
      <w:marRight w:val="0"/>
      <w:marTop w:val="0"/>
      <w:marBottom w:val="0"/>
      <w:divBdr>
        <w:top w:val="none" w:sz="0" w:space="0" w:color="auto"/>
        <w:left w:val="none" w:sz="0" w:space="0" w:color="auto"/>
        <w:bottom w:val="none" w:sz="0" w:space="0" w:color="auto"/>
        <w:right w:val="none" w:sz="0" w:space="0" w:color="auto"/>
      </w:divBdr>
    </w:div>
    <w:div w:id="100073749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t.ehrbar@avistacorp.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hawn.bonfield@avistacorp.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BONFIELD\Templates\GeneralWordDocumentsTemplateAvis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F0D6A1CA069BC545830E0C752B3DDCF5" ma:contentTypeVersion="104" ma:contentTypeDescription="" ma:contentTypeScope="" ma:versionID="a39fe704996472f79403979675206f0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73172a68e7f9fac6748cf5da6db34b2"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efix xmlns="dc463f71-b30c-4ab2-9473-d307f9d35888">UE</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140</IndustryCode>
    <CaseStatus xmlns="dc463f71-b30c-4ab2-9473-d307f9d35888">Closed</CaseStatus>
    <OpenedDate xmlns="dc463f71-b30c-4ab2-9473-d307f9d35888">2017-07-25T07:00:00+00:00</OpenedDate>
    <Date1 xmlns="dc463f71-b30c-4ab2-9473-d307f9d35888">2017-07-25T07:00:00+00:00</Date1>
    <IsDocumentOrder xmlns="dc463f71-b30c-4ab2-9473-d307f9d35888" xsi:nil="true"/>
    <IsHighlyConfidential xmlns="dc463f71-b30c-4ab2-9473-d307f9d35888">false</IsHighlyConfidential>
    <CaseCompanyNames xmlns="dc463f71-b30c-4ab2-9473-d307f9d35888">Avista Corporation</CaseCompanyNames>
    <Nickname xmlns="http://schemas.microsoft.com/sharepoint/v3" xsi:nil="true"/>
    <DocketNumber xmlns="dc463f71-b30c-4ab2-9473-d307f9d35888">170830</DocketNumber>
    <DelegatedOrder xmlns="dc463f71-b30c-4ab2-9473-d307f9d35888">false</DelegatedOrder>
    <SignificantOrder xmlns="dc463f71-b30c-4ab2-9473-d307f9d35888">false</SignificantOrde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C0429B37-AA9E-45CF-9310-C1CCEE9CF102}">
  <ds:schemaRefs>
    <ds:schemaRef ds:uri="http://schemas.microsoft.com/sharepoint/v3/contenttype/forms"/>
  </ds:schemaRefs>
</ds:datastoreItem>
</file>

<file path=customXml/itemProps2.xml><?xml version="1.0" encoding="utf-8"?>
<ds:datastoreItem xmlns:ds="http://schemas.openxmlformats.org/officeDocument/2006/customXml" ds:itemID="{9FF52056-9660-4360-892C-6904230DCA5A}"/>
</file>

<file path=customXml/itemProps3.xml><?xml version="1.0" encoding="utf-8"?>
<ds:datastoreItem xmlns:ds="http://schemas.openxmlformats.org/officeDocument/2006/customXml" ds:itemID="{0A9F86AE-8B06-4512-BE4C-9AA773E79F7D}">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6a7bd91e-004b-490a-8704-e368d63d59a0"/>
    <ds:schemaRef ds:uri="http://purl.org/dc/elements/1.1/"/>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94E9CB1-0877-48EF-A4F5-550BCDE178A7}">
  <ds:schemaRefs>
    <ds:schemaRef ds:uri="http://schemas.openxmlformats.org/officeDocument/2006/bibliography"/>
  </ds:schemaRefs>
</ds:datastoreItem>
</file>

<file path=customXml/itemProps5.xml><?xml version="1.0" encoding="utf-8"?>
<ds:datastoreItem xmlns:ds="http://schemas.openxmlformats.org/officeDocument/2006/customXml" ds:itemID="{E26C330C-11FA-4690-BF21-EE0EC0BF9F5C}"/>
</file>

<file path=docProps/app.xml><?xml version="1.0" encoding="utf-8"?>
<Properties xmlns="http://schemas.openxmlformats.org/officeDocument/2006/extended-properties" xmlns:vt="http://schemas.openxmlformats.org/officeDocument/2006/docPropsVTypes">
  <Template>GeneralWordDocumentsTemplateAvista</Template>
  <TotalTime>0</TotalTime>
  <Pages>2</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MAI</Company>
  <LinksUpToDate>false</LinksUpToDate>
  <CharactersWithSpaces>4517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Bonfield</dc:creator>
  <cp:lastModifiedBy>Huey, Lorilyn (UTC)</cp:lastModifiedBy>
  <cp:revision>2</cp:revision>
  <dcterms:created xsi:type="dcterms:W3CDTF">2017-07-25T20:18:00Z</dcterms:created>
  <dcterms:modified xsi:type="dcterms:W3CDTF">2017-07-25T20:18:00Z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0x0101006E56B4D1795A2E4DB2F0B01679ED314A00F0D6A1CA069BC545830E0C752B3DDCF5</vt:lpwstr>
  </property>
  <property fmtid="{D5CDD505-2E9C-101B-9397-08002B2CF9AE}" pid="3" name="_docset_NoMedatataSyncRequired">
    <vt:lpwstr>False</vt:lpwstr>
  </property>
  <property fmtid="{D5CDD505-2E9C-101B-9397-08002B2CF9AE}" pid="4" name="IsEFSEC">
    <vt:bool>false</vt:bool>
  </property>
</Properties>
</file>