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54B80" w14:textId="77777777" w:rsidR="008A048F" w:rsidRPr="00322975" w:rsidRDefault="00D0390D" w:rsidP="00322975">
      <w:pPr>
        <w:rPr>
          <w:rFonts w:ascii="Times New Roman" w:hAnsi="Times New Roman"/>
          <w:szCs w:val="24"/>
        </w:rPr>
        <w:sectPr w:rsidR="008A048F" w:rsidRPr="00322975" w:rsidSect="00265A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52" w:left="1440" w:header="720" w:footer="720" w:gutter="0"/>
          <w:cols w:space="720"/>
        </w:sectPr>
      </w:pPr>
      <w:bookmarkStart w:id="0" w:name="_GoBack"/>
      <w:bookmarkEnd w:id="0"/>
      <w:r w:rsidRPr="00322975">
        <w:rPr>
          <w:rFonts w:ascii="Times New Roman" w:hAnsi="Times New Roman"/>
          <w:noProof/>
          <w:szCs w:val="24"/>
        </w:rPr>
        <w:drawing>
          <wp:anchor distT="0" distB="0" distL="114300" distR="114300" simplePos="0" relativeHeight="251657728" behindDoc="1" locked="0" layoutInCell="1" allowOverlap="1" wp14:anchorId="064DCC1A" wp14:editId="719BBECF">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14" cstate="print"/>
                    <a:srcRect/>
                    <a:stretch>
                      <a:fillRect/>
                    </a:stretch>
                  </pic:blipFill>
                  <pic:spPr bwMode="auto">
                    <a:xfrm>
                      <a:off x="0" y="0"/>
                      <a:ext cx="6578600" cy="381000"/>
                    </a:xfrm>
                    <a:prstGeom prst="rect">
                      <a:avLst/>
                    </a:prstGeom>
                    <a:noFill/>
                  </pic:spPr>
                </pic:pic>
              </a:graphicData>
            </a:graphic>
          </wp:anchor>
        </w:drawing>
      </w:r>
    </w:p>
    <w:p w14:paraId="423E6C47" w14:textId="77777777" w:rsidR="00322975" w:rsidRDefault="00322975" w:rsidP="00322975">
      <w:pPr>
        <w:rPr>
          <w:rFonts w:ascii="Times New Roman" w:hAnsi="Times New Roman"/>
          <w:szCs w:val="24"/>
        </w:rPr>
      </w:pPr>
    </w:p>
    <w:p w14:paraId="6FCCC684" w14:textId="37E55010" w:rsidR="00964072" w:rsidRPr="00322975" w:rsidRDefault="00215DAF" w:rsidP="00322975">
      <w:pPr>
        <w:rPr>
          <w:rFonts w:ascii="Times New Roman" w:hAnsi="Times New Roman"/>
          <w:szCs w:val="24"/>
        </w:rPr>
      </w:pPr>
      <w:r>
        <w:rPr>
          <w:rFonts w:ascii="Times New Roman" w:hAnsi="Times New Roman"/>
          <w:szCs w:val="24"/>
        </w:rPr>
        <w:t xml:space="preserve">March </w:t>
      </w:r>
      <w:r w:rsidR="00A0636F">
        <w:rPr>
          <w:rFonts w:ascii="Times New Roman" w:hAnsi="Times New Roman"/>
          <w:szCs w:val="24"/>
        </w:rPr>
        <w:t>2</w:t>
      </w:r>
      <w:r w:rsidR="0096532C">
        <w:rPr>
          <w:rFonts w:ascii="Times New Roman" w:hAnsi="Times New Roman"/>
          <w:szCs w:val="24"/>
        </w:rPr>
        <w:t>9</w:t>
      </w:r>
      <w:r w:rsidR="001A2DB2">
        <w:rPr>
          <w:rFonts w:ascii="Times New Roman" w:hAnsi="Times New Roman"/>
          <w:szCs w:val="24"/>
        </w:rPr>
        <w:t>, 2017</w:t>
      </w:r>
    </w:p>
    <w:p w14:paraId="1DE8B748" w14:textId="77777777" w:rsidR="00964072" w:rsidRPr="00322975" w:rsidRDefault="00964072" w:rsidP="00322975">
      <w:pPr>
        <w:rPr>
          <w:rFonts w:ascii="Times New Roman" w:hAnsi="Times New Roman"/>
          <w:szCs w:val="24"/>
        </w:rPr>
      </w:pPr>
    </w:p>
    <w:p w14:paraId="03CC0C6B" w14:textId="77777777" w:rsidR="00964072" w:rsidRPr="00322975" w:rsidRDefault="00964072" w:rsidP="00322975">
      <w:pPr>
        <w:rPr>
          <w:rFonts w:ascii="Times New Roman" w:hAnsi="Times New Roman"/>
          <w:b/>
          <w:bCs/>
          <w:i/>
          <w:iCs/>
          <w:szCs w:val="24"/>
        </w:rPr>
      </w:pPr>
      <w:smartTag w:uri="urn:schemas-microsoft-com:office:smarttags" w:element="stockticker">
        <w:r w:rsidRPr="00322975">
          <w:rPr>
            <w:rFonts w:ascii="Times New Roman" w:hAnsi="Times New Roman"/>
            <w:b/>
            <w:bCs/>
            <w:i/>
            <w:iCs/>
            <w:szCs w:val="24"/>
          </w:rPr>
          <w:t>VIA</w:t>
        </w:r>
      </w:smartTag>
      <w:r w:rsidRPr="00322975">
        <w:rPr>
          <w:rFonts w:ascii="Times New Roman" w:hAnsi="Times New Roman"/>
          <w:b/>
          <w:bCs/>
          <w:i/>
          <w:iCs/>
          <w:szCs w:val="24"/>
        </w:rPr>
        <w:t xml:space="preserve"> ELECTRONIC FILING</w:t>
      </w:r>
    </w:p>
    <w:p w14:paraId="4B059134" w14:textId="77777777" w:rsidR="00964072" w:rsidRPr="00322975" w:rsidRDefault="00964072" w:rsidP="00322975">
      <w:pPr>
        <w:rPr>
          <w:rFonts w:ascii="Times New Roman" w:hAnsi="Times New Roman"/>
          <w:szCs w:val="24"/>
        </w:rPr>
      </w:pPr>
    </w:p>
    <w:p w14:paraId="2FA05C4C" w14:textId="77777777" w:rsidR="00322975" w:rsidRPr="006606D8" w:rsidRDefault="00322975" w:rsidP="00322975">
      <w:pPr>
        <w:rPr>
          <w:rFonts w:ascii="Times New Roman" w:hAnsi="Times New Roman"/>
          <w:szCs w:val="24"/>
        </w:rPr>
      </w:pPr>
      <w:r w:rsidRPr="006606D8">
        <w:rPr>
          <w:rFonts w:ascii="Times New Roman" w:hAnsi="Times New Roman"/>
          <w:szCs w:val="24"/>
        </w:rPr>
        <w:t>Steven V. King</w:t>
      </w:r>
    </w:p>
    <w:p w14:paraId="3601925F" w14:textId="77777777" w:rsidR="00322975" w:rsidRPr="006606D8" w:rsidRDefault="00322975" w:rsidP="00322975">
      <w:pPr>
        <w:rPr>
          <w:rFonts w:ascii="Times New Roman" w:hAnsi="Times New Roman"/>
          <w:szCs w:val="24"/>
        </w:rPr>
      </w:pPr>
      <w:r w:rsidRPr="006606D8">
        <w:rPr>
          <w:rFonts w:ascii="Times New Roman" w:hAnsi="Times New Roman"/>
          <w:szCs w:val="24"/>
        </w:rPr>
        <w:t>Executive Director and Secretary</w:t>
      </w:r>
    </w:p>
    <w:p w14:paraId="75591A47" w14:textId="77777777" w:rsidR="00322975" w:rsidRPr="006606D8" w:rsidRDefault="00322975" w:rsidP="00322975">
      <w:pPr>
        <w:rPr>
          <w:rFonts w:ascii="Times New Roman" w:hAnsi="Times New Roman"/>
          <w:szCs w:val="24"/>
        </w:rPr>
      </w:pPr>
      <w:r w:rsidRPr="006606D8">
        <w:rPr>
          <w:rFonts w:ascii="Times New Roman" w:hAnsi="Times New Roman"/>
          <w:szCs w:val="24"/>
        </w:rPr>
        <w:t>Washington Utilities and Transportation Commission</w:t>
      </w:r>
    </w:p>
    <w:p w14:paraId="765218D7" w14:textId="77777777" w:rsidR="00322975" w:rsidRPr="006606D8" w:rsidRDefault="00322975" w:rsidP="00322975">
      <w:pPr>
        <w:rPr>
          <w:rFonts w:ascii="Times New Roman" w:hAnsi="Times New Roman"/>
          <w:szCs w:val="24"/>
        </w:rPr>
      </w:pPr>
      <w:r w:rsidRPr="006606D8">
        <w:rPr>
          <w:rFonts w:ascii="Times New Roman" w:hAnsi="Times New Roman"/>
          <w:szCs w:val="24"/>
        </w:rPr>
        <w:t>1300 S. Evergreen Park Drive SW</w:t>
      </w:r>
    </w:p>
    <w:p w14:paraId="468FE478" w14:textId="77777777" w:rsidR="00322975" w:rsidRPr="006606D8" w:rsidRDefault="00322975" w:rsidP="00322975">
      <w:pPr>
        <w:rPr>
          <w:rFonts w:ascii="Times New Roman" w:hAnsi="Times New Roman"/>
          <w:szCs w:val="24"/>
        </w:rPr>
      </w:pPr>
      <w:r w:rsidRPr="006606D8">
        <w:rPr>
          <w:rFonts w:ascii="Times New Roman" w:hAnsi="Times New Roman"/>
          <w:szCs w:val="24"/>
        </w:rPr>
        <w:t>PO Box 47250</w:t>
      </w:r>
    </w:p>
    <w:p w14:paraId="193CACE2" w14:textId="77777777" w:rsidR="00322975" w:rsidRPr="006606D8" w:rsidRDefault="00797663" w:rsidP="00322975">
      <w:pPr>
        <w:rPr>
          <w:rFonts w:ascii="Times New Roman" w:hAnsi="Times New Roman"/>
          <w:szCs w:val="24"/>
        </w:rPr>
      </w:pPr>
      <w:r>
        <w:rPr>
          <w:rFonts w:ascii="Times New Roman" w:hAnsi="Times New Roman"/>
          <w:szCs w:val="24"/>
        </w:rPr>
        <w:t>Olympia, WA 98504-</w:t>
      </w:r>
      <w:r w:rsidR="00322975" w:rsidRPr="006606D8">
        <w:rPr>
          <w:rFonts w:ascii="Times New Roman" w:hAnsi="Times New Roman"/>
          <w:szCs w:val="24"/>
        </w:rPr>
        <w:t>7250</w:t>
      </w:r>
    </w:p>
    <w:p w14:paraId="47C1130C" w14:textId="77777777" w:rsidR="00FF7F41" w:rsidRPr="00BB3A41" w:rsidRDefault="00FF7F41" w:rsidP="00322975">
      <w:pPr>
        <w:ind w:left="1440" w:hanging="1440"/>
        <w:rPr>
          <w:rFonts w:ascii="Times New Roman" w:hAnsi="Times New Roman"/>
          <w:szCs w:val="24"/>
        </w:rPr>
      </w:pPr>
    </w:p>
    <w:p w14:paraId="55048EFF" w14:textId="1B2BF44E" w:rsidR="00FF7F41" w:rsidRPr="00322975" w:rsidRDefault="00964072" w:rsidP="00B027BD">
      <w:pPr>
        <w:ind w:left="720" w:hanging="720"/>
        <w:rPr>
          <w:rFonts w:ascii="Times New Roman" w:hAnsi="Times New Roman"/>
          <w:b/>
          <w:szCs w:val="24"/>
        </w:rPr>
      </w:pPr>
      <w:r w:rsidRPr="00B027BD">
        <w:rPr>
          <w:rFonts w:ascii="Times New Roman" w:hAnsi="Times New Roman"/>
          <w:b/>
          <w:szCs w:val="24"/>
        </w:rPr>
        <w:t>RE:</w:t>
      </w:r>
      <w:r w:rsidRPr="00B027BD">
        <w:rPr>
          <w:rFonts w:ascii="Times New Roman" w:hAnsi="Times New Roman"/>
          <w:b/>
          <w:szCs w:val="24"/>
        </w:rPr>
        <w:tab/>
      </w:r>
      <w:r w:rsidR="00797663">
        <w:rPr>
          <w:rFonts w:ascii="Times New Roman" w:hAnsi="Times New Roman"/>
          <w:b/>
          <w:szCs w:val="24"/>
        </w:rPr>
        <w:t xml:space="preserve">Advice </w:t>
      </w:r>
      <w:r w:rsidR="00A0636F">
        <w:rPr>
          <w:rFonts w:ascii="Times New Roman" w:hAnsi="Times New Roman"/>
          <w:b/>
          <w:szCs w:val="24"/>
        </w:rPr>
        <w:t>17-04</w:t>
      </w:r>
      <w:r w:rsidR="00322975" w:rsidRPr="00B027BD">
        <w:rPr>
          <w:rFonts w:ascii="Times New Roman" w:hAnsi="Times New Roman"/>
          <w:b/>
          <w:szCs w:val="24"/>
        </w:rPr>
        <w:t xml:space="preserve">—Schedule </w:t>
      </w:r>
      <w:r w:rsidR="00A8718D">
        <w:rPr>
          <w:rFonts w:ascii="Times New Roman" w:hAnsi="Times New Roman"/>
          <w:b/>
          <w:szCs w:val="24"/>
        </w:rPr>
        <w:t>17—Low Income Bill Assistance Program</w:t>
      </w:r>
      <w:r w:rsidR="00322975" w:rsidRPr="00B027BD">
        <w:rPr>
          <w:rFonts w:ascii="Times New Roman" w:hAnsi="Times New Roman"/>
          <w:b/>
          <w:szCs w:val="24"/>
        </w:rPr>
        <w:t xml:space="preserve"> </w:t>
      </w:r>
    </w:p>
    <w:p w14:paraId="2AEEAC19" w14:textId="77777777" w:rsidR="00FF7F41" w:rsidRPr="00322975" w:rsidRDefault="00FF7F41" w:rsidP="00322975">
      <w:pPr>
        <w:rPr>
          <w:rFonts w:ascii="Times New Roman" w:hAnsi="Times New Roman"/>
          <w:b/>
          <w:szCs w:val="24"/>
        </w:rPr>
      </w:pPr>
    </w:p>
    <w:p w14:paraId="214CFE4B" w14:textId="77777777" w:rsidR="0083036E" w:rsidRPr="00322975" w:rsidRDefault="0083036E" w:rsidP="00322975">
      <w:pPr>
        <w:contextualSpacing/>
        <w:rPr>
          <w:rFonts w:ascii="Times New Roman" w:hAnsi="Times New Roman"/>
          <w:szCs w:val="24"/>
        </w:rPr>
      </w:pPr>
      <w:r w:rsidRPr="00322975">
        <w:rPr>
          <w:rFonts w:ascii="Times New Roman" w:hAnsi="Times New Roman"/>
          <w:szCs w:val="24"/>
        </w:rPr>
        <w:t>Pacific Power &amp; Light Company, a division of PacifiCorp</w:t>
      </w:r>
      <w:r w:rsidR="00FA3503">
        <w:rPr>
          <w:rFonts w:ascii="Times New Roman" w:hAnsi="Times New Roman"/>
          <w:szCs w:val="24"/>
        </w:rPr>
        <w:t xml:space="preserve"> (Pacific Power or Company)</w:t>
      </w:r>
      <w:r w:rsidRPr="00322975">
        <w:rPr>
          <w:rFonts w:ascii="Times New Roman" w:hAnsi="Times New Roman"/>
          <w:szCs w:val="24"/>
        </w:rPr>
        <w:t xml:space="preserve">, submits </w:t>
      </w:r>
      <w:r w:rsidR="00FA3503">
        <w:rPr>
          <w:rFonts w:ascii="Times New Roman" w:hAnsi="Times New Roman"/>
          <w:szCs w:val="24"/>
        </w:rPr>
        <w:t>the following revised tariff sheets in accordance with RCW 80.28.050 and WAC chapter 480-80.</w:t>
      </w:r>
      <w:r w:rsidRPr="00322975">
        <w:rPr>
          <w:rFonts w:ascii="Times New Roman" w:hAnsi="Times New Roman"/>
          <w:szCs w:val="24"/>
        </w:rPr>
        <w:t xml:space="preserve"> </w:t>
      </w:r>
      <w:r w:rsidR="00FA3503">
        <w:rPr>
          <w:rFonts w:ascii="Times New Roman" w:hAnsi="Times New Roman"/>
          <w:szCs w:val="24"/>
        </w:rPr>
        <w:t xml:space="preserve"> </w:t>
      </w:r>
      <w:r w:rsidRPr="00322975">
        <w:rPr>
          <w:rFonts w:ascii="Times New Roman" w:hAnsi="Times New Roman"/>
          <w:szCs w:val="24"/>
        </w:rPr>
        <w:t xml:space="preserve">The Company respectfully requests an effective date of </w:t>
      </w:r>
      <w:r w:rsidR="00290D48">
        <w:rPr>
          <w:rFonts w:ascii="Times New Roman" w:hAnsi="Times New Roman"/>
          <w:szCs w:val="24"/>
        </w:rPr>
        <w:t>May</w:t>
      </w:r>
      <w:r w:rsidR="001A2DB2">
        <w:rPr>
          <w:rFonts w:ascii="Times New Roman" w:hAnsi="Times New Roman"/>
          <w:szCs w:val="24"/>
        </w:rPr>
        <w:t xml:space="preserve"> 1, 2017</w:t>
      </w:r>
      <w:r w:rsidRPr="00322975">
        <w:rPr>
          <w:rFonts w:ascii="Times New Roman" w:hAnsi="Times New Roman"/>
          <w:szCs w:val="24"/>
        </w:rPr>
        <w:t>.</w:t>
      </w:r>
    </w:p>
    <w:p w14:paraId="21C45A77" w14:textId="77777777" w:rsidR="0083036E" w:rsidRPr="00322975" w:rsidRDefault="0083036E" w:rsidP="00322975">
      <w:pPr>
        <w:contextualSpacing/>
        <w:rPr>
          <w:rFonts w:ascii="Times New Roman" w:hAnsi="Times New Roman"/>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600"/>
        <w:gridCol w:w="1620"/>
        <w:gridCol w:w="4320"/>
      </w:tblGrid>
      <w:tr w:rsidR="00FA3503" w:rsidRPr="005E52F0" w14:paraId="08DAB5BF" w14:textId="77777777" w:rsidTr="007B3357">
        <w:trPr>
          <w:trHeight w:val="458"/>
        </w:trPr>
        <w:tc>
          <w:tcPr>
            <w:tcW w:w="3600" w:type="dxa"/>
          </w:tcPr>
          <w:p w14:paraId="04CF4B32" w14:textId="77777777" w:rsidR="00FA3503" w:rsidRPr="005E52F0" w:rsidRDefault="00290D48" w:rsidP="00290D48">
            <w:pPr>
              <w:ind w:left="-108"/>
              <w:rPr>
                <w:rFonts w:ascii="Times New Roman" w:hAnsi="Times New Roman"/>
                <w:szCs w:val="24"/>
              </w:rPr>
            </w:pPr>
            <w:r>
              <w:rPr>
                <w:rFonts w:ascii="Times New Roman" w:hAnsi="Times New Roman"/>
                <w:szCs w:val="24"/>
              </w:rPr>
              <w:t>Fifth</w:t>
            </w:r>
            <w:r w:rsidR="00FA3503">
              <w:rPr>
                <w:rFonts w:ascii="Times New Roman" w:hAnsi="Times New Roman"/>
                <w:szCs w:val="24"/>
              </w:rPr>
              <w:t xml:space="preserve"> Revision to Sheet No. </w:t>
            </w:r>
            <w:r>
              <w:rPr>
                <w:rFonts w:ascii="Times New Roman" w:hAnsi="Times New Roman"/>
                <w:szCs w:val="24"/>
              </w:rPr>
              <w:t>17.1</w:t>
            </w:r>
          </w:p>
        </w:tc>
        <w:tc>
          <w:tcPr>
            <w:tcW w:w="1620" w:type="dxa"/>
          </w:tcPr>
          <w:p w14:paraId="1F8466FA" w14:textId="77777777" w:rsidR="00FA3503" w:rsidRPr="005E52F0" w:rsidRDefault="00FA3503" w:rsidP="00290D48">
            <w:pPr>
              <w:rPr>
                <w:rFonts w:ascii="Times New Roman" w:hAnsi="Times New Roman"/>
                <w:szCs w:val="24"/>
              </w:rPr>
            </w:pPr>
            <w:r w:rsidRPr="005E52F0">
              <w:rPr>
                <w:rFonts w:ascii="Times New Roman" w:hAnsi="Times New Roman"/>
                <w:szCs w:val="24"/>
              </w:rPr>
              <w:t xml:space="preserve">Schedule </w:t>
            </w:r>
            <w:r w:rsidR="00290D48">
              <w:rPr>
                <w:rFonts w:ascii="Times New Roman" w:hAnsi="Times New Roman"/>
                <w:szCs w:val="24"/>
              </w:rPr>
              <w:t>17</w:t>
            </w:r>
          </w:p>
        </w:tc>
        <w:tc>
          <w:tcPr>
            <w:tcW w:w="4320" w:type="dxa"/>
          </w:tcPr>
          <w:p w14:paraId="356F45EF" w14:textId="77777777" w:rsidR="00FA3503" w:rsidRPr="005E52F0" w:rsidRDefault="00290D48" w:rsidP="00FA3503">
            <w:pPr>
              <w:rPr>
                <w:rFonts w:ascii="Times New Roman" w:hAnsi="Times New Roman"/>
                <w:szCs w:val="24"/>
              </w:rPr>
            </w:pPr>
            <w:r>
              <w:rPr>
                <w:rFonts w:ascii="Times New Roman" w:hAnsi="Times New Roman"/>
                <w:szCs w:val="24"/>
              </w:rPr>
              <w:t>Low Income Bill Assistance Program—Residential Service—Optional for Customers</w:t>
            </w:r>
          </w:p>
        </w:tc>
      </w:tr>
      <w:tr w:rsidR="00FA3503" w:rsidRPr="005E52F0" w14:paraId="0B067457" w14:textId="77777777" w:rsidTr="007B3357">
        <w:trPr>
          <w:trHeight w:val="458"/>
        </w:trPr>
        <w:tc>
          <w:tcPr>
            <w:tcW w:w="3600" w:type="dxa"/>
          </w:tcPr>
          <w:p w14:paraId="497B24A5" w14:textId="77777777" w:rsidR="00FA3503" w:rsidRDefault="00290D48" w:rsidP="00FA3503">
            <w:pPr>
              <w:ind w:left="-108"/>
              <w:rPr>
                <w:rFonts w:ascii="Times New Roman" w:hAnsi="Times New Roman"/>
                <w:szCs w:val="24"/>
              </w:rPr>
            </w:pPr>
            <w:r>
              <w:rPr>
                <w:rFonts w:ascii="Times New Roman" w:hAnsi="Times New Roman"/>
                <w:szCs w:val="24"/>
              </w:rPr>
              <w:t>Second Revision to Sheet No. 17.2</w:t>
            </w:r>
          </w:p>
        </w:tc>
        <w:tc>
          <w:tcPr>
            <w:tcW w:w="1620" w:type="dxa"/>
          </w:tcPr>
          <w:p w14:paraId="1439B9FE" w14:textId="77777777" w:rsidR="00FA3503" w:rsidRPr="005E52F0" w:rsidRDefault="00FA3503" w:rsidP="00290D48">
            <w:pPr>
              <w:rPr>
                <w:rFonts w:ascii="Times New Roman" w:hAnsi="Times New Roman"/>
                <w:szCs w:val="24"/>
              </w:rPr>
            </w:pPr>
            <w:r w:rsidRPr="00A026EB">
              <w:rPr>
                <w:rFonts w:ascii="Times New Roman" w:hAnsi="Times New Roman"/>
                <w:szCs w:val="24"/>
              </w:rPr>
              <w:t xml:space="preserve">Schedule </w:t>
            </w:r>
            <w:r w:rsidR="00290D48">
              <w:rPr>
                <w:rFonts w:ascii="Times New Roman" w:hAnsi="Times New Roman"/>
                <w:szCs w:val="24"/>
              </w:rPr>
              <w:t>17</w:t>
            </w:r>
          </w:p>
        </w:tc>
        <w:tc>
          <w:tcPr>
            <w:tcW w:w="4320" w:type="dxa"/>
          </w:tcPr>
          <w:p w14:paraId="05A0F5E8" w14:textId="77777777" w:rsidR="00CB6CEF" w:rsidRDefault="00290D48" w:rsidP="00290D48">
            <w:pPr>
              <w:rPr>
                <w:rFonts w:ascii="Times New Roman" w:hAnsi="Times New Roman"/>
                <w:szCs w:val="24"/>
              </w:rPr>
            </w:pPr>
            <w:r>
              <w:rPr>
                <w:rFonts w:ascii="Times New Roman" w:hAnsi="Times New Roman"/>
                <w:szCs w:val="24"/>
              </w:rPr>
              <w:t>Low Income Bill Assistance Program—Residential Service—Optional for Customers</w:t>
            </w:r>
          </w:p>
        </w:tc>
      </w:tr>
    </w:tbl>
    <w:p w14:paraId="11A9E3C8" w14:textId="77777777" w:rsidR="00A73775" w:rsidRPr="00A73775" w:rsidRDefault="00A73775" w:rsidP="00A73775">
      <w:pPr>
        <w:rPr>
          <w:rFonts w:ascii="Times New Roman" w:hAnsi="Times New Roman"/>
          <w:szCs w:val="24"/>
        </w:rPr>
      </w:pPr>
    </w:p>
    <w:p w14:paraId="3D942FA5" w14:textId="3EFBCF15" w:rsidR="00A73775" w:rsidRPr="00A73775" w:rsidRDefault="00A73775" w:rsidP="00A73775">
      <w:pPr>
        <w:contextualSpacing/>
        <w:rPr>
          <w:rFonts w:ascii="Times New Roman" w:hAnsi="Times New Roman"/>
          <w:szCs w:val="24"/>
        </w:rPr>
      </w:pPr>
      <w:r w:rsidRPr="00A73775">
        <w:rPr>
          <w:rFonts w:ascii="Times New Roman" w:hAnsi="Times New Roman"/>
          <w:szCs w:val="24"/>
        </w:rPr>
        <w:t xml:space="preserve">The Low Income Bill Assistance (LIBA) Program has been available through Schedule 17 since November 2003.  It is </w:t>
      </w:r>
      <w:r w:rsidR="0022408A">
        <w:rPr>
          <w:rFonts w:ascii="Times New Roman" w:hAnsi="Times New Roman"/>
          <w:szCs w:val="24"/>
        </w:rPr>
        <w:t xml:space="preserve">currently </w:t>
      </w:r>
      <w:r w:rsidRPr="00A73775">
        <w:rPr>
          <w:rFonts w:ascii="Times New Roman" w:hAnsi="Times New Roman"/>
          <w:szCs w:val="24"/>
        </w:rPr>
        <w:t>designed to provide credits to income eligible households on monthly usage over 600 kWh</w:t>
      </w:r>
      <w:r w:rsidR="006D1DA1">
        <w:rPr>
          <w:rFonts w:ascii="Times New Roman" w:hAnsi="Times New Roman"/>
          <w:szCs w:val="24"/>
        </w:rPr>
        <w:t xml:space="preserve"> within the winter months defined as November 1 through April 30</w:t>
      </w:r>
      <w:r w:rsidRPr="00A73775">
        <w:rPr>
          <w:rFonts w:ascii="Times New Roman" w:hAnsi="Times New Roman"/>
          <w:szCs w:val="24"/>
        </w:rPr>
        <w:t xml:space="preserve">.  </w:t>
      </w:r>
    </w:p>
    <w:p w14:paraId="78F4AB6C" w14:textId="77777777" w:rsidR="00A73775" w:rsidRPr="00A73775" w:rsidRDefault="00A73775" w:rsidP="00A73775">
      <w:pPr>
        <w:contextualSpacing/>
        <w:rPr>
          <w:rFonts w:ascii="Times New Roman" w:hAnsi="Times New Roman"/>
          <w:szCs w:val="24"/>
        </w:rPr>
      </w:pPr>
    </w:p>
    <w:p w14:paraId="5D61504F" w14:textId="11B8C3D6" w:rsidR="00A73775" w:rsidRPr="00A73775" w:rsidRDefault="00A73775" w:rsidP="00A73775">
      <w:pPr>
        <w:contextualSpacing/>
        <w:rPr>
          <w:rFonts w:ascii="Times New Roman" w:hAnsi="Times New Roman"/>
          <w:szCs w:val="24"/>
        </w:rPr>
      </w:pPr>
      <w:r w:rsidRPr="00A73775">
        <w:rPr>
          <w:rFonts w:ascii="Times New Roman" w:hAnsi="Times New Roman"/>
          <w:szCs w:val="24"/>
        </w:rPr>
        <w:t xml:space="preserve">In Order 12 in </w:t>
      </w:r>
      <w:r w:rsidR="00287364">
        <w:rPr>
          <w:rFonts w:ascii="Times New Roman" w:hAnsi="Times New Roman"/>
          <w:szCs w:val="24"/>
        </w:rPr>
        <w:t xml:space="preserve">Docket </w:t>
      </w:r>
      <w:r w:rsidRPr="00A73775">
        <w:rPr>
          <w:rFonts w:ascii="Times New Roman" w:hAnsi="Times New Roman"/>
          <w:szCs w:val="24"/>
        </w:rPr>
        <w:t xml:space="preserve">UE-152253, Pacific Power was ordered to initiate a stakeholder collaborative to discuss LIBA program changes for the 2017-18 program year.  It also stated that the stakeholder group should develop a mutually agreed upon funding plan and </w:t>
      </w:r>
      <w:r w:rsidR="00622DF3">
        <w:rPr>
          <w:rFonts w:ascii="Times New Roman" w:hAnsi="Times New Roman"/>
          <w:szCs w:val="24"/>
        </w:rPr>
        <w:t xml:space="preserve">file </w:t>
      </w:r>
      <w:r w:rsidRPr="00A73775">
        <w:rPr>
          <w:rFonts w:ascii="Times New Roman" w:hAnsi="Times New Roman"/>
          <w:szCs w:val="24"/>
        </w:rPr>
        <w:t>modifications with the Commission by April 1, 2017.</w:t>
      </w:r>
    </w:p>
    <w:p w14:paraId="7952CD1F" w14:textId="77777777" w:rsidR="00A73775" w:rsidRPr="00A73775" w:rsidRDefault="00A73775" w:rsidP="00A73775">
      <w:pPr>
        <w:contextualSpacing/>
        <w:rPr>
          <w:rFonts w:ascii="Times New Roman" w:hAnsi="Times New Roman"/>
          <w:szCs w:val="24"/>
        </w:rPr>
      </w:pPr>
    </w:p>
    <w:p w14:paraId="78942A13" w14:textId="3A9D1829" w:rsidR="00A73775" w:rsidRPr="00A73775" w:rsidRDefault="00A73775" w:rsidP="00A73775">
      <w:pPr>
        <w:contextualSpacing/>
        <w:rPr>
          <w:rFonts w:ascii="Times New Roman" w:hAnsi="Times New Roman"/>
          <w:szCs w:val="24"/>
        </w:rPr>
      </w:pPr>
      <w:r w:rsidRPr="00A73775">
        <w:rPr>
          <w:rFonts w:ascii="Times New Roman" w:hAnsi="Times New Roman"/>
          <w:szCs w:val="24"/>
        </w:rPr>
        <w:t>Stakeholders representing Staff, the Energy Project, Public Counsel, Boise, NW Energy Coalition, Pacific Power</w:t>
      </w:r>
      <w:r w:rsidR="00AE59F9">
        <w:rPr>
          <w:rFonts w:ascii="Times New Roman" w:hAnsi="Times New Roman"/>
          <w:szCs w:val="24"/>
        </w:rPr>
        <w:t>,</w:t>
      </w:r>
      <w:r w:rsidRPr="00A73775">
        <w:rPr>
          <w:rFonts w:ascii="Times New Roman" w:hAnsi="Times New Roman"/>
          <w:szCs w:val="24"/>
        </w:rPr>
        <w:t xml:space="preserve"> and the three local agencies that administer LIBA (Blue Mountain Action Council in Walla Walla, Northwest Community Action Center in Toppenish</w:t>
      </w:r>
      <w:r w:rsidR="00AE59F9">
        <w:rPr>
          <w:rFonts w:ascii="Times New Roman" w:hAnsi="Times New Roman"/>
          <w:szCs w:val="24"/>
        </w:rPr>
        <w:t>,</w:t>
      </w:r>
      <w:r w:rsidRPr="00A73775">
        <w:rPr>
          <w:rFonts w:ascii="Times New Roman" w:hAnsi="Times New Roman"/>
          <w:szCs w:val="24"/>
        </w:rPr>
        <w:t xml:space="preserve"> and Opportunities Industrialization Center in Yakima) participate</w:t>
      </w:r>
      <w:r w:rsidR="00622DF3">
        <w:rPr>
          <w:rFonts w:ascii="Times New Roman" w:hAnsi="Times New Roman"/>
          <w:szCs w:val="24"/>
        </w:rPr>
        <w:t>d</w:t>
      </w:r>
      <w:r w:rsidRPr="00A73775">
        <w:rPr>
          <w:rFonts w:ascii="Times New Roman" w:hAnsi="Times New Roman"/>
          <w:szCs w:val="24"/>
        </w:rPr>
        <w:t xml:space="preserve"> in these discussions. </w:t>
      </w:r>
      <w:r w:rsidR="00AE59F9">
        <w:rPr>
          <w:rFonts w:ascii="Times New Roman" w:hAnsi="Times New Roman"/>
          <w:szCs w:val="24"/>
        </w:rPr>
        <w:t xml:space="preserve"> </w:t>
      </w:r>
      <w:r w:rsidRPr="00A73775">
        <w:rPr>
          <w:rFonts w:ascii="Times New Roman" w:hAnsi="Times New Roman"/>
          <w:szCs w:val="24"/>
        </w:rPr>
        <w:t>The first two meetings were held in Toppenish on July 11, 2016</w:t>
      </w:r>
      <w:r w:rsidR="00AE59F9">
        <w:rPr>
          <w:rFonts w:ascii="Times New Roman" w:hAnsi="Times New Roman"/>
          <w:szCs w:val="24"/>
        </w:rPr>
        <w:t>,</w:t>
      </w:r>
      <w:r w:rsidRPr="00A73775">
        <w:rPr>
          <w:rFonts w:ascii="Times New Roman" w:hAnsi="Times New Roman"/>
          <w:szCs w:val="24"/>
        </w:rPr>
        <w:t xml:space="preserve"> and August 25, 2016, and </w:t>
      </w:r>
      <w:r w:rsidR="00AE59F9">
        <w:rPr>
          <w:rFonts w:ascii="Times New Roman" w:hAnsi="Times New Roman"/>
          <w:szCs w:val="24"/>
        </w:rPr>
        <w:t xml:space="preserve">additional </w:t>
      </w:r>
      <w:r w:rsidRPr="00A73775">
        <w:rPr>
          <w:rFonts w:ascii="Times New Roman" w:hAnsi="Times New Roman"/>
          <w:szCs w:val="24"/>
        </w:rPr>
        <w:t xml:space="preserve">conference calls were held </w:t>
      </w:r>
      <w:r w:rsidR="00AE59F9">
        <w:rPr>
          <w:rFonts w:ascii="Times New Roman" w:hAnsi="Times New Roman"/>
          <w:szCs w:val="24"/>
        </w:rPr>
        <w:t xml:space="preserve">on </w:t>
      </w:r>
      <w:r w:rsidRPr="00A73775">
        <w:rPr>
          <w:rFonts w:ascii="Times New Roman" w:hAnsi="Times New Roman"/>
          <w:szCs w:val="24"/>
        </w:rPr>
        <w:t>January 20, 2017</w:t>
      </w:r>
      <w:r w:rsidR="00AE59F9">
        <w:rPr>
          <w:rFonts w:ascii="Times New Roman" w:hAnsi="Times New Roman"/>
          <w:szCs w:val="24"/>
        </w:rPr>
        <w:t>,</w:t>
      </w:r>
      <w:r w:rsidRPr="00A73775">
        <w:rPr>
          <w:rFonts w:ascii="Times New Roman" w:hAnsi="Times New Roman"/>
          <w:szCs w:val="24"/>
        </w:rPr>
        <w:t xml:space="preserve"> and February</w:t>
      </w:r>
      <w:r w:rsidR="0071570D">
        <w:rPr>
          <w:rFonts w:ascii="Times New Roman" w:hAnsi="Times New Roman"/>
          <w:szCs w:val="24"/>
        </w:rPr>
        <w:t xml:space="preserve"> </w:t>
      </w:r>
      <w:r w:rsidR="00732EA5">
        <w:rPr>
          <w:rFonts w:ascii="Times New Roman" w:hAnsi="Times New Roman"/>
          <w:szCs w:val="24"/>
        </w:rPr>
        <w:t>28</w:t>
      </w:r>
      <w:r w:rsidRPr="00A73775">
        <w:rPr>
          <w:rFonts w:ascii="Times New Roman" w:hAnsi="Times New Roman"/>
          <w:szCs w:val="24"/>
        </w:rPr>
        <w:t xml:space="preserve">, 2017.  </w:t>
      </w:r>
    </w:p>
    <w:p w14:paraId="671F1901" w14:textId="77777777" w:rsidR="00A73775" w:rsidRPr="00A73775" w:rsidRDefault="00A73775" w:rsidP="00A73775">
      <w:pPr>
        <w:contextualSpacing/>
        <w:rPr>
          <w:rFonts w:ascii="Times New Roman" w:hAnsi="Times New Roman"/>
          <w:szCs w:val="24"/>
        </w:rPr>
      </w:pPr>
    </w:p>
    <w:p w14:paraId="2F0F302E" w14:textId="0F0F0149" w:rsidR="00A73775" w:rsidRPr="00A73775" w:rsidRDefault="00622DF3" w:rsidP="00A73775">
      <w:pPr>
        <w:contextualSpacing/>
        <w:rPr>
          <w:rFonts w:ascii="Times New Roman" w:hAnsi="Times New Roman"/>
          <w:szCs w:val="24"/>
        </w:rPr>
      </w:pPr>
      <w:r>
        <w:rPr>
          <w:rFonts w:ascii="Times New Roman" w:hAnsi="Times New Roman"/>
          <w:szCs w:val="24"/>
        </w:rPr>
        <w:t>S</w:t>
      </w:r>
      <w:r w:rsidR="00AE59F9">
        <w:rPr>
          <w:rFonts w:ascii="Times New Roman" w:hAnsi="Times New Roman"/>
          <w:szCs w:val="24"/>
        </w:rPr>
        <w:t>takeholder</w:t>
      </w:r>
      <w:r>
        <w:rPr>
          <w:rFonts w:ascii="Times New Roman" w:hAnsi="Times New Roman"/>
          <w:szCs w:val="24"/>
        </w:rPr>
        <w:t>s</w:t>
      </w:r>
      <w:r w:rsidR="00AE59F9">
        <w:rPr>
          <w:rFonts w:ascii="Times New Roman" w:hAnsi="Times New Roman"/>
          <w:szCs w:val="24"/>
        </w:rPr>
        <w:t xml:space="preserve"> agreed </w:t>
      </w:r>
      <w:r>
        <w:rPr>
          <w:rFonts w:ascii="Times New Roman" w:hAnsi="Times New Roman"/>
          <w:szCs w:val="24"/>
        </w:rPr>
        <w:t xml:space="preserve">to </w:t>
      </w:r>
      <w:r w:rsidR="00AE59F9">
        <w:rPr>
          <w:rFonts w:ascii="Times New Roman" w:hAnsi="Times New Roman"/>
          <w:szCs w:val="24"/>
        </w:rPr>
        <w:t xml:space="preserve">the </w:t>
      </w:r>
      <w:r w:rsidR="00A73775" w:rsidRPr="00A73775">
        <w:rPr>
          <w:rFonts w:ascii="Times New Roman" w:hAnsi="Times New Roman"/>
          <w:szCs w:val="24"/>
        </w:rPr>
        <w:t xml:space="preserve">following proposed program modifications </w:t>
      </w:r>
      <w:r>
        <w:rPr>
          <w:rFonts w:ascii="Times New Roman" w:hAnsi="Times New Roman"/>
          <w:szCs w:val="24"/>
        </w:rPr>
        <w:t>for</w:t>
      </w:r>
      <w:r w:rsidR="00A73775" w:rsidRPr="00A73775">
        <w:rPr>
          <w:rFonts w:ascii="Times New Roman" w:hAnsi="Times New Roman"/>
          <w:szCs w:val="24"/>
        </w:rPr>
        <w:t xml:space="preserve"> </w:t>
      </w:r>
      <w:r w:rsidR="00AE59F9">
        <w:rPr>
          <w:rFonts w:ascii="Times New Roman" w:hAnsi="Times New Roman"/>
          <w:szCs w:val="24"/>
        </w:rPr>
        <w:t xml:space="preserve">the next </w:t>
      </w:r>
      <w:r w:rsidR="00A73775" w:rsidRPr="00A73775">
        <w:rPr>
          <w:rFonts w:ascii="Times New Roman" w:hAnsi="Times New Roman"/>
          <w:szCs w:val="24"/>
        </w:rPr>
        <w:t>five program years beginning October 1, 2017:</w:t>
      </w:r>
    </w:p>
    <w:p w14:paraId="74B80F01" w14:textId="77777777" w:rsidR="00A73775" w:rsidRPr="00A73775" w:rsidRDefault="00A73775" w:rsidP="00A73775">
      <w:pPr>
        <w:contextualSpacing/>
        <w:rPr>
          <w:rFonts w:ascii="Times New Roman" w:hAnsi="Times New Roman"/>
          <w:szCs w:val="24"/>
        </w:rPr>
      </w:pPr>
    </w:p>
    <w:p w14:paraId="54247F57" w14:textId="6E93EFBC" w:rsidR="00A73775" w:rsidRPr="00AE59F9" w:rsidRDefault="00A73775" w:rsidP="00BF1367">
      <w:pPr>
        <w:pStyle w:val="ListParagraph"/>
        <w:numPr>
          <w:ilvl w:val="0"/>
          <w:numId w:val="7"/>
        </w:numPr>
      </w:pPr>
      <w:r w:rsidRPr="00AE59F9">
        <w:t>Annual Enrollment</w:t>
      </w:r>
      <w:r w:rsidR="00AE59F9">
        <w:t>—</w:t>
      </w:r>
      <w:proofErr w:type="gramStart"/>
      <w:r w:rsidRPr="00AE59F9">
        <w:t>The</w:t>
      </w:r>
      <w:proofErr w:type="gramEnd"/>
      <w:r w:rsidR="00AE59F9">
        <w:t xml:space="preserve"> </w:t>
      </w:r>
      <w:r w:rsidR="00F81054">
        <w:t>stakeholder</w:t>
      </w:r>
      <w:r w:rsidR="00622DF3">
        <w:t>s</w:t>
      </w:r>
      <w:r w:rsidR="00F81054">
        <w:t xml:space="preserve"> </w:t>
      </w:r>
      <w:r w:rsidR="00622DF3">
        <w:t xml:space="preserve">propose </w:t>
      </w:r>
      <w:r w:rsidR="00F81054">
        <w:t xml:space="preserve">to increase the </w:t>
      </w:r>
      <w:r w:rsidRPr="00AE59F9">
        <w:t xml:space="preserve">current maximum annual enrollment cap of 4,720 households by </w:t>
      </w:r>
      <w:r w:rsidR="00AE59F9">
        <w:t>two percent</w:t>
      </w:r>
      <w:r w:rsidRPr="00AE59F9">
        <w:t xml:space="preserve"> annually.  The following </w:t>
      </w:r>
      <w:r w:rsidR="00D53FDC">
        <w:t xml:space="preserve">table reflects </w:t>
      </w:r>
      <w:r w:rsidRPr="00AE59F9">
        <w:t>the proposed annual enrollment cap by program year:</w:t>
      </w:r>
    </w:p>
    <w:p w14:paraId="17360EB0" w14:textId="77777777" w:rsidR="00A73775" w:rsidRPr="00A73775" w:rsidRDefault="00A73775" w:rsidP="00A73775">
      <w:pPr>
        <w:contextualSpacing/>
        <w:rPr>
          <w:rFonts w:ascii="Times New Roman" w:hAnsi="Times New Roman"/>
          <w:szCs w:val="24"/>
        </w:rPr>
      </w:pPr>
      <w:r w:rsidRPr="00A73775">
        <w:rPr>
          <w:rFonts w:ascii="Times New Roman" w:hAnsi="Times New Roman"/>
          <w:szCs w:val="24"/>
        </w:rPr>
        <w:lastRenderedPageBreak/>
        <w:tab/>
      </w:r>
    </w:p>
    <w:tbl>
      <w:tblPr>
        <w:tblStyle w:val="TableGrid"/>
        <w:tblW w:w="0" w:type="auto"/>
        <w:tblInd w:w="1440" w:type="dxa"/>
        <w:tblLook w:val="04A0" w:firstRow="1" w:lastRow="0" w:firstColumn="1" w:lastColumn="0" w:noHBand="0" w:noVBand="1"/>
      </w:tblPr>
      <w:tblGrid>
        <w:gridCol w:w="2088"/>
        <w:gridCol w:w="3960"/>
      </w:tblGrid>
      <w:tr w:rsidR="00D53FDC" w14:paraId="1204E222" w14:textId="77777777" w:rsidTr="00BF1367">
        <w:tc>
          <w:tcPr>
            <w:tcW w:w="2088" w:type="dxa"/>
            <w:shd w:val="clear" w:color="auto" w:fill="D9D9D9" w:themeFill="background1" w:themeFillShade="D9"/>
          </w:tcPr>
          <w:p w14:paraId="0FDE46DD" w14:textId="77777777" w:rsidR="00D53FDC" w:rsidRPr="00BF1367" w:rsidRDefault="00D53FDC" w:rsidP="00BF1367">
            <w:pPr>
              <w:contextualSpacing/>
              <w:jc w:val="center"/>
              <w:rPr>
                <w:rFonts w:ascii="Times New Roman" w:hAnsi="Times New Roman"/>
                <w:b/>
                <w:szCs w:val="24"/>
              </w:rPr>
            </w:pPr>
            <w:r w:rsidRPr="00BF1367">
              <w:rPr>
                <w:rFonts w:ascii="Times New Roman" w:hAnsi="Times New Roman"/>
                <w:b/>
                <w:szCs w:val="24"/>
              </w:rPr>
              <w:t>Program Year</w:t>
            </w:r>
          </w:p>
        </w:tc>
        <w:tc>
          <w:tcPr>
            <w:tcW w:w="3960" w:type="dxa"/>
            <w:shd w:val="clear" w:color="auto" w:fill="D9D9D9" w:themeFill="background1" w:themeFillShade="D9"/>
          </w:tcPr>
          <w:p w14:paraId="5D51465A" w14:textId="77777777" w:rsidR="00D53FDC" w:rsidRPr="00BF1367" w:rsidRDefault="00D53FDC" w:rsidP="00BF1367">
            <w:pPr>
              <w:contextualSpacing/>
              <w:jc w:val="center"/>
              <w:rPr>
                <w:rFonts w:ascii="Times New Roman" w:hAnsi="Times New Roman"/>
                <w:b/>
                <w:szCs w:val="24"/>
              </w:rPr>
            </w:pPr>
            <w:r w:rsidRPr="00BF1367">
              <w:rPr>
                <w:rFonts w:ascii="Times New Roman" w:hAnsi="Times New Roman"/>
                <w:b/>
                <w:szCs w:val="24"/>
              </w:rPr>
              <w:t>Proposed Annual Enrollment Cap</w:t>
            </w:r>
          </w:p>
        </w:tc>
      </w:tr>
      <w:tr w:rsidR="00D53FDC" w14:paraId="697ADA5E" w14:textId="77777777" w:rsidTr="00BF1367">
        <w:tc>
          <w:tcPr>
            <w:tcW w:w="2088" w:type="dxa"/>
          </w:tcPr>
          <w:p w14:paraId="6063FA5B" w14:textId="77777777" w:rsidR="00D53FDC" w:rsidRDefault="00D53FDC" w:rsidP="00BF1367">
            <w:pPr>
              <w:contextualSpacing/>
              <w:jc w:val="center"/>
              <w:rPr>
                <w:rFonts w:ascii="Times New Roman" w:hAnsi="Times New Roman"/>
                <w:szCs w:val="24"/>
              </w:rPr>
            </w:pPr>
            <w:r w:rsidRPr="00A73775">
              <w:rPr>
                <w:rFonts w:ascii="Times New Roman" w:hAnsi="Times New Roman"/>
                <w:szCs w:val="24"/>
              </w:rPr>
              <w:t>2017/2018</w:t>
            </w:r>
          </w:p>
        </w:tc>
        <w:tc>
          <w:tcPr>
            <w:tcW w:w="3960" w:type="dxa"/>
          </w:tcPr>
          <w:p w14:paraId="76886440" w14:textId="77777777" w:rsidR="00D53FDC" w:rsidRDefault="00D53FDC" w:rsidP="00BF1367">
            <w:pPr>
              <w:contextualSpacing/>
              <w:jc w:val="center"/>
              <w:rPr>
                <w:rFonts w:ascii="Times New Roman" w:hAnsi="Times New Roman"/>
                <w:szCs w:val="24"/>
              </w:rPr>
            </w:pPr>
            <w:r w:rsidRPr="00A73775">
              <w:rPr>
                <w:rFonts w:ascii="Times New Roman" w:hAnsi="Times New Roman"/>
                <w:szCs w:val="24"/>
              </w:rPr>
              <w:t>4,814</w:t>
            </w:r>
          </w:p>
        </w:tc>
      </w:tr>
      <w:tr w:rsidR="00D53FDC" w14:paraId="6C717086" w14:textId="77777777" w:rsidTr="00D53FDC">
        <w:tc>
          <w:tcPr>
            <w:tcW w:w="2088" w:type="dxa"/>
          </w:tcPr>
          <w:p w14:paraId="29183060" w14:textId="77777777" w:rsidR="00D53FDC" w:rsidRDefault="00D53FDC" w:rsidP="00BF1367">
            <w:pPr>
              <w:contextualSpacing/>
              <w:jc w:val="center"/>
              <w:rPr>
                <w:rFonts w:ascii="Times New Roman" w:hAnsi="Times New Roman"/>
                <w:szCs w:val="24"/>
              </w:rPr>
            </w:pPr>
            <w:r w:rsidRPr="00A73775">
              <w:rPr>
                <w:rFonts w:ascii="Times New Roman" w:hAnsi="Times New Roman"/>
                <w:szCs w:val="24"/>
              </w:rPr>
              <w:t>2018/2019</w:t>
            </w:r>
          </w:p>
        </w:tc>
        <w:tc>
          <w:tcPr>
            <w:tcW w:w="3960" w:type="dxa"/>
          </w:tcPr>
          <w:p w14:paraId="20049FC1" w14:textId="401C7ABB" w:rsidR="00D53FDC" w:rsidRDefault="00D53FDC" w:rsidP="00887032">
            <w:pPr>
              <w:contextualSpacing/>
              <w:jc w:val="center"/>
              <w:rPr>
                <w:rFonts w:ascii="Times New Roman" w:hAnsi="Times New Roman"/>
                <w:szCs w:val="24"/>
              </w:rPr>
            </w:pPr>
            <w:r w:rsidRPr="00A73775">
              <w:rPr>
                <w:rFonts w:ascii="Times New Roman" w:hAnsi="Times New Roman"/>
                <w:szCs w:val="24"/>
              </w:rPr>
              <w:t>4,</w:t>
            </w:r>
            <w:r w:rsidR="00887032" w:rsidRPr="00A73775">
              <w:rPr>
                <w:rFonts w:ascii="Times New Roman" w:hAnsi="Times New Roman"/>
                <w:szCs w:val="24"/>
              </w:rPr>
              <w:t>91</w:t>
            </w:r>
            <w:r w:rsidR="00887032">
              <w:rPr>
                <w:rFonts w:ascii="Times New Roman" w:hAnsi="Times New Roman"/>
                <w:szCs w:val="24"/>
              </w:rPr>
              <w:t>0</w:t>
            </w:r>
          </w:p>
        </w:tc>
      </w:tr>
      <w:tr w:rsidR="00D53FDC" w14:paraId="45516644" w14:textId="77777777" w:rsidTr="00D53FDC">
        <w:tc>
          <w:tcPr>
            <w:tcW w:w="2088" w:type="dxa"/>
          </w:tcPr>
          <w:p w14:paraId="56F6B479" w14:textId="77777777" w:rsidR="00D53FDC" w:rsidRDefault="00D53FDC" w:rsidP="00BF1367">
            <w:pPr>
              <w:contextualSpacing/>
              <w:jc w:val="center"/>
              <w:rPr>
                <w:rFonts w:ascii="Times New Roman" w:hAnsi="Times New Roman"/>
                <w:szCs w:val="24"/>
              </w:rPr>
            </w:pPr>
            <w:r w:rsidRPr="00A73775">
              <w:rPr>
                <w:rFonts w:ascii="Times New Roman" w:hAnsi="Times New Roman"/>
                <w:szCs w:val="24"/>
              </w:rPr>
              <w:t>2019/2020</w:t>
            </w:r>
          </w:p>
        </w:tc>
        <w:tc>
          <w:tcPr>
            <w:tcW w:w="3960" w:type="dxa"/>
          </w:tcPr>
          <w:p w14:paraId="51766018" w14:textId="1F9D1DEB" w:rsidR="00D53FDC" w:rsidRDefault="00D53FDC" w:rsidP="00887032">
            <w:pPr>
              <w:contextualSpacing/>
              <w:jc w:val="center"/>
              <w:rPr>
                <w:rFonts w:ascii="Times New Roman" w:hAnsi="Times New Roman"/>
                <w:szCs w:val="24"/>
              </w:rPr>
            </w:pPr>
            <w:r w:rsidRPr="00A73775">
              <w:rPr>
                <w:rFonts w:ascii="Times New Roman" w:hAnsi="Times New Roman"/>
                <w:szCs w:val="24"/>
              </w:rPr>
              <w:t>5,</w:t>
            </w:r>
            <w:r w:rsidR="00887032" w:rsidRPr="00A73775">
              <w:rPr>
                <w:rFonts w:ascii="Times New Roman" w:hAnsi="Times New Roman"/>
                <w:szCs w:val="24"/>
              </w:rPr>
              <w:t>00</w:t>
            </w:r>
            <w:r w:rsidR="00887032">
              <w:rPr>
                <w:rFonts w:ascii="Times New Roman" w:hAnsi="Times New Roman"/>
                <w:szCs w:val="24"/>
              </w:rPr>
              <w:t>8</w:t>
            </w:r>
          </w:p>
        </w:tc>
      </w:tr>
      <w:tr w:rsidR="00D53FDC" w14:paraId="5C86F5B8" w14:textId="77777777" w:rsidTr="00D53FDC">
        <w:tc>
          <w:tcPr>
            <w:tcW w:w="2088" w:type="dxa"/>
          </w:tcPr>
          <w:p w14:paraId="5ECD079B" w14:textId="77777777" w:rsidR="00D53FDC" w:rsidRDefault="00D53FDC" w:rsidP="00BF1367">
            <w:pPr>
              <w:contextualSpacing/>
              <w:jc w:val="center"/>
              <w:rPr>
                <w:rFonts w:ascii="Times New Roman" w:hAnsi="Times New Roman"/>
                <w:szCs w:val="24"/>
              </w:rPr>
            </w:pPr>
            <w:r w:rsidRPr="00A73775">
              <w:rPr>
                <w:rFonts w:ascii="Times New Roman" w:hAnsi="Times New Roman"/>
                <w:szCs w:val="24"/>
              </w:rPr>
              <w:t>2020/2021</w:t>
            </w:r>
          </w:p>
        </w:tc>
        <w:tc>
          <w:tcPr>
            <w:tcW w:w="3960" w:type="dxa"/>
          </w:tcPr>
          <w:p w14:paraId="7AA9BB64" w14:textId="69918CDF" w:rsidR="00D53FDC" w:rsidRDefault="00D53FDC" w:rsidP="00887032">
            <w:pPr>
              <w:contextualSpacing/>
              <w:jc w:val="center"/>
              <w:rPr>
                <w:rFonts w:ascii="Times New Roman" w:hAnsi="Times New Roman"/>
                <w:szCs w:val="24"/>
              </w:rPr>
            </w:pPr>
            <w:r w:rsidRPr="00A73775">
              <w:rPr>
                <w:rFonts w:ascii="Times New Roman" w:hAnsi="Times New Roman"/>
                <w:szCs w:val="24"/>
              </w:rPr>
              <w:t>5,</w:t>
            </w:r>
            <w:r w:rsidR="00887032" w:rsidRPr="00A73775">
              <w:rPr>
                <w:rFonts w:ascii="Times New Roman" w:hAnsi="Times New Roman"/>
                <w:szCs w:val="24"/>
              </w:rPr>
              <w:t>10</w:t>
            </w:r>
            <w:r w:rsidR="00887032">
              <w:rPr>
                <w:rFonts w:ascii="Times New Roman" w:hAnsi="Times New Roman"/>
                <w:szCs w:val="24"/>
              </w:rPr>
              <w:t>8</w:t>
            </w:r>
          </w:p>
        </w:tc>
      </w:tr>
      <w:tr w:rsidR="00D53FDC" w14:paraId="3CBB1AB9" w14:textId="77777777" w:rsidTr="00D53FDC">
        <w:tc>
          <w:tcPr>
            <w:tcW w:w="2088" w:type="dxa"/>
          </w:tcPr>
          <w:p w14:paraId="408D8091" w14:textId="77777777" w:rsidR="00D53FDC" w:rsidRDefault="00D53FDC" w:rsidP="00BF1367">
            <w:pPr>
              <w:contextualSpacing/>
              <w:jc w:val="center"/>
              <w:rPr>
                <w:rFonts w:ascii="Times New Roman" w:hAnsi="Times New Roman"/>
                <w:szCs w:val="24"/>
              </w:rPr>
            </w:pPr>
            <w:r w:rsidRPr="00A73775">
              <w:rPr>
                <w:rFonts w:ascii="Times New Roman" w:hAnsi="Times New Roman"/>
                <w:szCs w:val="24"/>
              </w:rPr>
              <w:t>2021/2022</w:t>
            </w:r>
          </w:p>
        </w:tc>
        <w:tc>
          <w:tcPr>
            <w:tcW w:w="3960" w:type="dxa"/>
          </w:tcPr>
          <w:p w14:paraId="0F8A03A9" w14:textId="0FD63250" w:rsidR="00D53FDC" w:rsidRDefault="00D53FDC" w:rsidP="00887032">
            <w:pPr>
              <w:contextualSpacing/>
              <w:jc w:val="center"/>
              <w:rPr>
                <w:rFonts w:ascii="Times New Roman" w:hAnsi="Times New Roman"/>
                <w:szCs w:val="24"/>
              </w:rPr>
            </w:pPr>
            <w:r w:rsidRPr="00A73775">
              <w:rPr>
                <w:rFonts w:ascii="Times New Roman" w:hAnsi="Times New Roman"/>
                <w:szCs w:val="24"/>
              </w:rPr>
              <w:t>5,</w:t>
            </w:r>
            <w:r w:rsidR="00887032" w:rsidRPr="00A73775">
              <w:rPr>
                <w:rFonts w:ascii="Times New Roman" w:hAnsi="Times New Roman"/>
                <w:szCs w:val="24"/>
              </w:rPr>
              <w:t>21</w:t>
            </w:r>
            <w:r w:rsidR="00887032">
              <w:rPr>
                <w:rFonts w:ascii="Times New Roman" w:hAnsi="Times New Roman"/>
                <w:szCs w:val="24"/>
              </w:rPr>
              <w:t>0</w:t>
            </w:r>
          </w:p>
        </w:tc>
      </w:tr>
    </w:tbl>
    <w:p w14:paraId="2D1DECD1" w14:textId="77777777" w:rsidR="00A73775" w:rsidRPr="00A73775" w:rsidRDefault="00A73775" w:rsidP="00A73775">
      <w:pPr>
        <w:contextualSpacing/>
        <w:rPr>
          <w:rFonts w:ascii="Times New Roman" w:hAnsi="Times New Roman"/>
          <w:szCs w:val="24"/>
        </w:rPr>
      </w:pPr>
    </w:p>
    <w:p w14:paraId="7012CA3E" w14:textId="77777777" w:rsidR="00A73775" w:rsidRPr="00A73775" w:rsidRDefault="00A73775" w:rsidP="00AE59F9">
      <w:pPr>
        <w:ind w:left="720"/>
        <w:contextualSpacing/>
        <w:rPr>
          <w:rFonts w:ascii="Times New Roman" w:hAnsi="Times New Roman"/>
          <w:szCs w:val="24"/>
        </w:rPr>
      </w:pPr>
      <w:r w:rsidRPr="00A73775">
        <w:rPr>
          <w:rFonts w:ascii="Times New Roman" w:hAnsi="Times New Roman"/>
          <w:szCs w:val="24"/>
        </w:rPr>
        <w:t>This increase will allow additional households to participate in the program at a level determined to be manageable by the administering agencies.</w:t>
      </w:r>
    </w:p>
    <w:p w14:paraId="1BE58ED5" w14:textId="77777777" w:rsidR="00A73775" w:rsidRPr="00A73775" w:rsidRDefault="00A73775" w:rsidP="00A73775">
      <w:pPr>
        <w:contextualSpacing/>
        <w:rPr>
          <w:rFonts w:ascii="Times New Roman" w:hAnsi="Times New Roman"/>
          <w:szCs w:val="24"/>
        </w:rPr>
      </w:pPr>
    </w:p>
    <w:p w14:paraId="6EB57289" w14:textId="0622AAE1" w:rsidR="00A73775" w:rsidRDefault="00A73775" w:rsidP="000C064E">
      <w:pPr>
        <w:pStyle w:val="ListParagraph"/>
        <w:numPr>
          <w:ilvl w:val="0"/>
          <w:numId w:val="7"/>
        </w:numPr>
      </w:pPr>
      <w:r w:rsidRPr="00AE59F9">
        <w:t>Two</w:t>
      </w:r>
      <w:r w:rsidR="00AE59F9">
        <w:t>-</w:t>
      </w:r>
      <w:r w:rsidRPr="00AE59F9">
        <w:t>Year Enrollments</w:t>
      </w:r>
      <w:r w:rsidR="00AE59F9">
        <w:t>—</w:t>
      </w:r>
      <w:r w:rsidR="00AC7B76">
        <w:t>Each program year, the agencies will strive for</w:t>
      </w:r>
      <w:r w:rsidRPr="00AE59F9">
        <w:t xml:space="preserve"> 25</w:t>
      </w:r>
      <w:r w:rsidR="00AE59F9">
        <w:t xml:space="preserve"> percent</w:t>
      </w:r>
      <w:r w:rsidRPr="00AE59F9">
        <w:t xml:space="preserve"> of </w:t>
      </w:r>
      <w:r w:rsidR="00AC7B76" w:rsidRPr="00AE59F9">
        <w:t>enroll</w:t>
      </w:r>
      <w:r w:rsidR="00AC7B76">
        <w:t xml:space="preserve">ments to be </w:t>
      </w:r>
      <w:r w:rsidRPr="00AE59F9">
        <w:t>qualified for a two</w:t>
      </w:r>
      <w:r w:rsidR="00AE59F9">
        <w:t>-</w:t>
      </w:r>
      <w:r w:rsidRPr="00AE59F9">
        <w:t xml:space="preserve">year period.  </w:t>
      </w:r>
      <w:r w:rsidR="00AC7B76">
        <w:t>T</w:t>
      </w:r>
      <w:r w:rsidRPr="00AE59F9">
        <w:t xml:space="preserve">he current </w:t>
      </w:r>
      <w:r w:rsidR="006D1DA1">
        <w:t>program</w:t>
      </w:r>
      <w:r w:rsidR="00AC7B76">
        <w:t xml:space="preserve"> plan</w:t>
      </w:r>
      <w:r w:rsidR="00B97C8C">
        <w:t xml:space="preserve"> directs agencies to certify 25% of enrollments as eligible for a two-year period in the 2016/2017 program year.</w:t>
      </w:r>
    </w:p>
    <w:p w14:paraId="46B3BBF0" w14:textId="77777777" w:rsidR="0071570D" w:rsidRPr="00B97C8C" w:rsidRDefault="0071570D" w:rsidP="0071570D">
      <w:pPr>
        <w:ind w:left="720"/>
        <w:contextualSpacing/>
        <w:rPr>
          <w:rFonts w:ascii="Times New Roman" w:hAnsi="Times New Roman"/>
          <w:szCs w:val="24"/>
        </w:rPr>
      </w:pPr>
    </w:p>
    <w:p w14:paraId="41F7EA54" w14:textId="30113B2E" w:rsidR="00A73775" w:rsidRPr="00A73775" w:rsidRDefault="00A73775" w:rsidP="00AE59F9">
      <w:pPr>
        <w:ind w:left="720"/>
        <w:contextualSpacing/>
        <w:rPr>
          <w:rFonts w:ascii="Times New Roman" w:hAnsi="Times New Roman"/>
          <w:szCs w:val="24"/>
        </w:rPr>
      </w:pPr>
      <w:r w:rsidRPr="00A73775">
        <w:rPr>
          <w:rFonts w:ascii="Times New Roman" w:hAnsi="Times New Roman"/>
          <w:szCs w:val="24"/>
        </w:rPr>
        <w:t>The remaining participants will be certified as eligible for a one</w:t>
      </w:r>
      <w:r w:rsidR="00AE59F9">
        <w:rPr>
          <w:rFonts w:ascii="Times New Roman" w:hAnsi="Times New Roman"/>
          <w:szCs w:val="24"/>
        </w:rPr>
        <w:t>-</w:t>
      </w:r>
      <w:r w:rsidRPr="00A73775">
        <w:rPr>
          <w:rFonts w:ascii="Times New Roman" w:hAnsi="Times New Roman"/>
          <w:szCs w:val="24"/>
        </w:rPr>
        <w:t>year period.  Generally, the agencies enroll households with fixed incomes for a two</w:t>
      </w:r>
      <w:r w:rsidR="00AE59F9">
        <w:rPr>
          <w:rFonts w:ascii="Times New Roman" w:hAnsi="Times New Roman"/>
          <w:szCs w:val="24"/>
        </w:rPr>
        <w:t>-</w:t>
      </w:r>
      <w:r w:rsidRPr="00A73775">
        <w:rPr>
          <w:rFonts w:ascii="Times New Roman" w:hAnsi="Times New Roman"/>
          <w:szCs w:val="24"/>
        </w:rPr>
        <w:t>year period as their income is unlikely to change over this timeframe.  Because of the two year enrollment allowance, participation numbers can be greater than the annual enrollment caps listed above.  There will be households participating that had been certified as eligible for two years in the previous year.</w:t>
      </w:r>
    </w:p>
    <w:p w14:paraId="5EE57C65" w14:textId="77777777" w:rsidR="00A73775" w:rsidRPr="00A73775" w:rsidRDefault="00A73775" w:rsidP="00A73775">
      <w:pPr>
        <w:contextualSpacing/>
        <w:rPr>
          <w:rFonts w:ascii="Times New Roman" w:hAnsi="Times New Roman"/>
          <w:szCs w:val="24"/>
        </w:rPr>
      </w:pPr>
    </w:p>
    <w:p w14:paraId="24E20D67" w14:textId="6BEA36E6" w:rsidR="00A73775" w:rsidRPr="00AE59F9" w:rsidRDefault="00A73775" w:rsidP="00BF1367">
      <w:pPr>
        <w:pStyle w:val="ListParagraph"/>
        <w:numPr>
          <w:ilvl w:val="0"/>
          <w:numId w:val="7"/>
        </w:numPr>
      </w:pPr>
      <w:r w:rsidRPr="00AE59F9">
        <w:t>Application of Credits</w:t>
      </w:r>
      <w:r w:rsidR="00AE59F9">
        <w:t>—</w:t>
      </w:r>
      <w:r w:rsidRPr="00AE59F9">
        <w:t xml:space="preserve">Currently, credits are applied to </w:t>
      </w:r>
      <w:r w:rsidR="00AE59F9">
        <w:t xml:space="preserve">the </w:t>
      </w:r>
      <w:r w:rsidRPr="00AE59F9">
        <w:t xml:space="preserve">participant’s monthly usage over 600 </w:t>
      </w:r>
      <w:r w:rsidR="00D53FDC" w:rsidRPr="00D53FDC">
        <w:t xml:space="preserve">kWh </w:t>
      </w:r>
      <w:r w:rsidRPr="00AE59F9">
        <w:t xml:space="preserve">in the heating months of November through April.  The </w:t>
      </w:r>
      <w:r w:rsidR="00D53FDC">
        <w:t>stakeholder</w:t>
      </w:r>
      <w:r w:rsidR="00622DF3">
        <w:t>s</w:t>
      </w:r>
      <w:r w:rsidR="00D53FDC">
        <w:t xml:space="preserve"> propose to extend </w:t>
      </w:r>
      <w:r w:rsidRPr="00AE59F9">
        <w:t xml:space="preserve">these credits over all 12 months of the year.  This will expand benefits to eligible households.  </w:t>
      </w:r>
      <w:r w:rsidR="00D53FDC">
        <w:t>This change is intended to address the fact</w:t>
      </w:r>
      <w:r w:rsidRPr="00AE59F9">
        <w:t xml:space="preserve"> that cooling is essential to many households in Pacific Power’s service area, </w:t>
      </w:r>
      <w:r w:rsidR="00D53FDC">
        <w:t>which</w:t>
      </w:r>
      <w:r w:rsidR="00D53FDC" w:rsidRPr="00AE59F9">
        <w:t xml:space="preserve"> </w:t>
      </w:r>
      <w:r w:rsidRPr="00AE59F9">
        <w:t>increases the electricity usage during the non-heating months.</w:t>
      </w:r>
    </w:p>
    <w:p w14:paraId="0F28F2AD" w14:textId="77777777" w:rsidR="00A73775" w:rsidRPr="00A73775" w:rsidRDefault="00A73775" w:rsidP="00A73775">
      <w:pPr>
        <w:contextualSpacing/>
        <w:rPr>
          <w:rFonts w:ascii="Times New Roman" w:hAnsi="Times New Roman"/>
          <w:szCs w:val="24"/>
        </w:rPr>
      </w:pPr>
    </w:p>
    <w:p w14:paraId="30F28A8D" w14:textId="7822191C" w:rsidR="00A73775" w:rsidRPr="00D53FDC" w:rsidRDefault="00E31AE2" w:rsidP="00BF1367">
      <w:pPr>
        <w:pStyle w:val="ListParagraph"/>
        <w:numPr>
          <w:ilvl w:val="0"/>
          <w:numId w:val="7"/>
        </w:numPr>
      </w:pPr>
      <w:r>
        <w:t>LIBA Credit Levels—</w:t>
      </w:r>
      <w:r w:rsidR="00E941A9">
        <w:t xml:space="preserve">The following table shows the current LIBA credits provided to participating customers </w:t>
      </w:r>
      <w:r w:rsidR="003B370C">
        <w:t>with</w:t>
      </w:r>
      <w:r w:rsidR="00E941A9">
        <w:t>in</w:t>
      </w:r>
      <w:r w:rsidR="003B370C">
        <w:t xml:space="preserve"> the three income tiers</w:t>
      </w:r>
      <w:r w:rsidR="00A73775" w:rsidRPr="00D53FDC">
        <w:t>:</w:t>
      </w:r>
    </w:p>
    <w:p w14:paraId="63BA036F" w14:textId="77777777" w:rsidR="00A73775" w:rsidRDefault="00A73775" w:rsidP="00A73775">
      <w:pPr>
        <w:contextualSpacing/>
        <w:rPr>
          <w:rFonts w:ascii="Times New Roman" w:hAnsi="Times New Roman"/>
          <w:szCs w:val="24"/>
        </w:rPr>
      </w:pPr>
    </w:p>
    <w:tbl>
      <w:tblPr>
        <w:tblStyle w:val="TableGrid"/>
        <w:tblW w:w="0" w:type="auto"/>
        <w:tblInd w:w="828" w:type="dxa"/>
        <w:tblLook w:val="04A0" w:firstRow="1" w:lastRow="0" w:firstColumn="1" w:lastColumn="0" w:noHBand="0" w:noVBand="1"/>
      </w:tblPr>
      <w:tblGrid>
        <w:gridCol w:w="4268"/>
        <w:gridCol w:w="4254"/>
      </w:tblGrid>
      <w:tr w:rsidR="00D53FDC" w14:paraId="7BC127A3" w14:textId="77777777" w:rsidTr="00BF1367">
        <w:tc>
          <w:tcPr>
            <w:tcW w:w="4374" w:type="dxa"/>
            <w:shd w:val="clear" w:color="auto" w:fill="D9D9D9" w:themeFill="background1" w:themeFillShade="D9"/>
          </w:tcPr>
          <w:p w14:paraId="7222ACB6" w14:textId="77777777" w:rsidR="00D53FDC" w:rsidRPr="00BF1367" w:rsidRDefault="00D53FDC" w:rsidP="00BF1367">
            <w:pPr>
              <w:contextualSpacing/>
              <w:jc w:val="center"/>
              <w:rPr>
                <w:rFonts w:ascii="Times New Roman" w:hAnsi="Times New Roman"/>
                <w:b/>
                <w:szCs w:val="24"/>
              </w:rPr>
            </w:pPr>
            <w:r w:rsidRPr="00BF1367">
              <w:rPr>
                <w:rFonts w:ascii="Times New Roman" w:hAnsi="Times New Roman"/>
                <w:b/>
                <w:szCs w:val="24"/>
              </w:rPr>
              <w:t>Household Income</w:t>
            </w:r>
          </w:p>
        </w:tc>
        <w:tc>
          <w:tcPr>
            <w:tcW w:w="4374" w:type="dxa"/>
            <w:shd w:val="clear" w:color="auto" w:fill="D9D9D9" w:themeFill="background1" w:themeFillShade="D9"/>
          </w:tcPr>
          <w:p w14:paraId="3748B7D5" w14:textId="77777777" w:rsidR="00D53FDC" w:rsidRPr="00BF1367" w:rsidRDefault="00D53FDC" w:rsidP="00BF1367">
            <w:pPr>
              <w:contextualSpacing/>
              <w:jc w:val="center"/>
              <w:rPr>
                <w:rFonts w:ascii="Times New Roman" w:hAnsi="Times New Roman"/>
                <w:b/>
                <w:szCs w:val="24"/>
              </w:rPr>
            </w:pPr>
            <w:r w:rsidRPr="00BF1367">
              <w:rPr>
                <w:rFonts w:ascii="Times New Roman" w:hAnsi="Times New Roman"/>
                <w:b/>
                <w:szCs w:val="24"/>
              </w:rPr>
              <w:t>Credit Level</w:t>
            </w:r>
          </w:p>
        </w:tc>
      </w:tr>
      <w:tr w:rsidR="00D53FDC" w14:paraId="0F8639EE" w14:textId="77777777" w:rsidTr="00BF1367">
        <w:tc>
          <w:tcPr>
            <w:tcW w:w="4374" w:type="dxa"/>
          </w:tcPr>
          <w:p w14:paraId="3C1AA06F" w14:textId="77777777" w:rsidR="00D53FDC" w:rsidRDefault="00D53FDC" w:rsidP="00A73775">
            <w:pPr>
              <w:contextualSpacing/>
              <w:rPr>
                <w:rFonts w:ascii="Times New Roman" w:hAnsi="Times New Roman"/>
                <w:szCs w:val="24"/>
              </w:rPr>
            </w:pPr>
            <w:r>
              <w:rPr>
                <w:rFonts w:ascii="Times New Roman" w:hAnsi="Times New Roman"/>
                <w:szCs w:val="24"/>
              </w:rPr>
              <w:t>0-75% of Federal Poverty Level</w:t>
            </w:r>
          </w:p>
        </w:tc>
        <w:tc>
          <w:tcPr>
            <w:tcW w:w="4374" w:type="dxa"/>
          </w:tcPr>
          <w:p w14:paraId="6489A4DA" w14:textId="77777777" w:rsidR="00D53FDC" w:rsidRDefault="00D53FDC" w:rsidP="00A73775">
            <w:pPr>
              <w:contextualSpacing/>
              <w:rPr>
                <w:rFonts w:ascii="Times New Roman" w:hAnsi="Times New Roman"/>
                <w:szCs w:val="24"/>
              </w:rPr>
            </w:pPr>
            <w:r w:rsidRPr="00A73775">
              <w:rPr>
                <w:rFonts w:ascii="Times New Roman" w:hAnsi="Times New Roman"/>
                <w:szCs w:val="24"/>
              </w:rPr>
              <w:t>8.508 cents per kWh over 600 kWh</w:t>
            </w:r>
          </w:p>
        </w:tc>
      </w:tr>
      <w:tr w:rsidR="00D53FDC" w14:paraId="1DA349CB" w14:textId="77777777" w:rsidTr="00BF1367">
        <w:tc>
          <w:tcPr>
            <w:tcW w:w="4374" w:type="dxa"/>
          </w:tcPr>
          <w:p w14:paraId="2B69272B" w14:textId="77777777" w:rsidR="00D53FDC" w:rsidRDefault="00D53FDC" w:rsidP="00A73775">
            <w:pPr>
              <w:contextualSpacing/>
              <w:rPr>
                <w:rFonts w:ascii="Times New Roman" w:hAnsi="Times New Roman"/>
                <w:szCs w:val="24"/>
              </w:rPr>
            </w:pPr>
            <w:r>
              <w:rPr>
                <w:rFonts w:ascii="Times New Roman" w:hAnsi="Times New Roman"/>
                <w:szCs w:val="24"/>
              </w:rPr>
              <w:t>76-100% of Federal Poverty Level</w:t>
            </w:r>
          </w:p>
        </w:tc>
        <w:tc>
          <w:tcPr>
            <w:tcW w:w="4374" w:type="dxa"/>
          </w:tcPr>
          <w:p w14:paraId="7C106FF0" w14:textId="77777777" w:rsidR="00D53FDC" w:rsidRDefault="00D53FDC" w:rsidP="00A73775">
            <w:pPr>
              <w:contextualSpacing/>
              <w:rPr>
                <w:rFonts w:ascii="Times New Roman" w:hAnsi="Times New Roman"/>
                <w:szCs w:val="24"/>
              </w:rPr>
            </w:pPr>
            <w:r w:rsidRPr="00A73775">
              <w:rPr>
                <w:rFonts w:ascii="Times New Roman" w:hAnsi="Times New Roman"/>
                <w:szCs w:val="24"/>
              </w:rPr>
              <w:t>5.724 cents per kWh over 600 kWh</w:t>
            </w:r>
          </w:p>
        </w:tc>
      </w:tr>
      <w:tr w:rsidR="00D53FDC" w14:paraId="50CBB7D2" w14:textId="77777777" w:rsidTr="00BF1367">
        <w:tc>
          <w:tcPr>
            <w:tcW w:w="4374" w:type="dxa"/>
          </w:tcPr>
          <w:p w14:paraId="1C52B11D" w14:textId="77777777" w:rsidR="00D53FDC" w:rsidRDefault="00D53FDC" w:rsidP="00A73775">
            <w:pPr>
              <w:contextualSpacing/>
              <w:rPr>
                <w:rFonts w:ascii="Times New Roman" w:hAnsi="Times New Roman"/>
                <w:szCs w:val="24"/>
              </w:rPr>
            </w:pPr>
            <w:r>
              <w:rPr>
                <w:rFonts w:ascii="Times New Roman" w:hAnsi="Times New Roman"/>
                <w:szCs w:val="24"/>
              </w:rPr>
              <w:t>101-150% of Federal Poverty Level</w:t>
            </w:r>
          </w:p>
        </w:tc>
        <w:tc>
          <w:tcPr>
            <w:tcW w:w="4374" w:type="dxa"/>
          </w:tcPr>
          <w:p w14:paraId="2B615A23" w14:textId="77777777" w:rsidR="00D53FDC" w:rsidRDefault="00D53FDC" w:rsidP="00A73775">
            <w:pPr>
              <w:contextualSpacing/>
              <w:rPr>
                <w:rFonts w:ascii="Times New Roman" w:hAnsi="Times New Roman"/>
                <w:szCs w:val="24"/>
              </w:rPr>
            </w:pPr>
            <w:r w:rsidRPr="00A73775">
              <w:rPr>
                <w:rFonts w:ascii="Times New Roman" w:hAnsi="Times New Roman"/>
                <w:szCs w:val="24"/>
              </w:rPr>
              <w:t>3.577 cents per kWh over 600 kWh</w:t>
            </w:r>
          </w:p>
        </w:tc>
      </w:tr>
    </w:tbl>
    <w:p w14:paraId="3257DB97" w14:textId="77777777" w:rsidR="00D53FDC" w:rsidRPr="00A73775" w:rsidRDefault="00D53FDC" w:rsidP="00A73775">
      <w:pPr>
        <w:contextualSpacing/>
        <w:rPr>
          <w:rFonts w:ascii="Times New Roman" w:hAnsi="Times New Roman"/>
          <w:szCs w:val="24"/>
        </w:rPr>
      </w:pPr>
    </w:p>
    <w:p w14:paraId="325C7446" w14:textId="4245C2CC" w:rsidR="00A73775" w:rsidRPr="00A73775" w:rsidRDefault="00A73775" w:rsidP="00D53FDC">
      <w:pPr>
        <w:ind w:left="720"/>
        <w:contextualSpacing/>
        <w:rPr>
          <w:rFonts w:ascii="Times New Roman" w:hAnsi="Times New Roman"/>
          <w:szCs w:val="24"/>
        </w:rPr>
      </w:pPr>
      <w:r w:rsidRPr="00A73775">
        <w:rPr>
          <w:rFonts w:ascii="Times New Roman" w:hAnsi="Times New Roman"/>
          <w:szCs w:val="24"/>
        </w:rPr>
        <w:t>These credits will increase on September 15, 2017</w:t>
      </w:r>
      <w:r w:rsidR="00D53FDC">
        <w:rPr>
          <w:rFonts w:ascii="Times New Roman" w:hAnsi="Times New Roman"/>
          <w:szCs w:val="24"/>
        </w:rPr>
        <w:t>,</w:t>
      </w:r>
      <w:r w:rsidRPr="00A73775">
        <w:rPr>
          <w:rFonts w:ascii="Times New Roman" w:hAnsi="Times New Roman"/>
          <w:szCs w:val="24"/>
        </w:rPr>
        <w:t xml:space="preserve"> in conjunction with </w:t>
      </w:r>
      <w:r w:rsidR="00D53FDC">
        <w:rPr>
          <w:rFonts w:ascii="Times New Roman" w:hAnsi="Times New Roman"/>
          <w:szCs w:val="24"/>
        </w:rPr>
        <w:t>the second-step rate increase ordered in Docket UE-152253</w:t>
      </w:r>
      <w:r w:rsidR="00E941A9">
        <w:rPr>
          <w:rFonts w:ascii="Times New Roman" w:hAnsi="Times New Roman"/>
          <w:szCs w:val="24"/>
        </w:rPr>
        <w:t xml:space="preserve"> and will be applied to billings in the next program year beginning </w:t>
      </w:r>
      <w:r w:rsidR="00204F28">
        <w:rPr>
          <w:rFonts w:ascii="Times New Roman" w:hAnsi="Times New Roman"/>
          <w:szCs w:val="24"/>
        </w:rPr>
        <w:t xml:space="preserve">in </w:t>
      </w:r>
      <w:r w:rsidR="00E941A9">
        <w:rPr>
          <w:rFonts w:ascii="Times New Roman" w:hAnsi="Times New Roman"/>
          <w:szCs w:val="24"/>
        </w:rPr>
        <w:t>October 2017</w:t>
      </w:r>
      <w:r w:rsidRPr="00A73775">
        <w:rPr>
          <w:rFonts w:ascii="Times New Roman" w:hAnsi="Times New Roman"/>
          <w:szCs w:val="24"/>
        </w:rPr>
        <w:t xml:space="preserve">.  </w:t>
      </w:r>
      <w:r w:rsidR="00DD39D0" w:rsidRPr="00C43837">
        <w:rPr>
          <w:rFonts w:ascii="Times New Roman" w:hAnsi="Times New Roman"/>
          <w:szCs w:val="24"/>
        </w:rPr>
        <w:t>The increase to LIBA credits will be based on decisions from the collaborative reviewing cost of service, rate spread</w:t>
      </w:r>
      <w:r w:rsidR="00622DF3">
        <w:rPr>
          <w:rFonts w:ascii="Times New Roman" w:hAnsi="Times New Roman"/>
          <w:szCs w:val="24"/>
        </w:rPr>
        <w:t>,</w:t>
      </w:r>
      <w:r w:rsidR="00DD39D0" w:rsidRPr="00C43837">
        <w:rPr>
          <w:rFonts w:ascii="Times New Roman" w:hAnsi="Times New Roman"/>
          <w:szCs w:val="24"/>
        </w:rPr>
        <w:t xml:space="preserve"> and rate design issues. If </w:t>
      </w:r>
      <w:r w:rsidR="00622DF3">
        <w:rPr>
          <w:rFonts w:ascii="Times New Roman" w:hAnsi="Times New Roman"/>
          <w:szCs w:val="24"/>
        </w:rPr>
        <w:t>stakeholders</w:t>
      </w:r>
      <w:r w:rsidR="00622DF3" w:rsidRPr="00C43837">
        <w:rPr>
          <w:rFonts w:ascii="Times New Roman" w:hAnsi="Times New Roman"/>
          <w:szCs w:val="24"/>
        </w:rPr>
        <w:t xml:space="preserve"> </w:t>
      </w:r>
      <w:r w:rsidR="00DD39D0" w:rsidRPr="00C43837">
        <w:rPr>
          <w:rFonts w:ascii="Times New Roman" w:hAnsi="Times New Roman"/>
          <w:szCs w:val="24"/>
        </w:rPr>
        <w:t>do not reach con</w:t>
      </w:r>
      <w:r w:rsidR="007A47C1" w:rsidRPr="00C43837">
        <w:rPr>
          <w:rFonts w:ascii="Times New Roman" w:hAnsi="Times New Roman"/>
          <w:szCs w:val="24"/>
        </w:rPr>
        <w:t>s</w:t>
      </w:r>
      <w:r w:rsidR="00DD39D0" w:rsidRPr="00C43837">
        <w:rPr>
          <w:rFonts w:ascii="Times New Roman" w:hAnsi="Times New Roman"/>
          <w:szCs w:val="24"/>
        </w:rPr>
        <w:t xml:space="preserve">ensus by the time this rate increase </w:t>
      </w:r>
      <w:r w:rsidR="00622DF3">
        <w:rPr>
          <w:rFonts w:ascii="Times New Roman" w:hAnsi="Times New Roman"/>
          <w:szCs w:val="24"/>
        </w:rPr>
        <w:t>becomes</w:t>
      </w:r>
      <w:r w:rsidR="00622DF3" w:rsidRPr="00C43837">
        <w:rPr>
          <w:rFonts w:ascii="Times New Roman" w:hAnsi="Times New Roman"/>
          <w:szCs w:val="24"/>
        </w:rPr>
        <w:t xml:space="preserve"> </w:t>
      </w:r>
      <w:r w:rsidR="00DD39D0" w:rsidRPr="00C43837">
        <w:rPr>
          <w:rFonts w:ascii="Times New Roman" w:hAnsi="Times New Roman"/>
          <w:szCs w:val="24"/>
        </w:rPr>
        <w:t xml:space="preserve">effective, then </w:t>
      </w:r>
      <w:r w:rsidRPr="00C43837">
        <w:rPr>
          <w:rFonts w:ascii="Times New Roman" w:hAnsi="Times New Roman"/>
          <w:szCs w:val="24"/>
        </w:rPr>
        <w:t xml:space="preserve">LIBA credits </w:t>
      </w:r>
      <w:r w:rsidR="00E941A9">
        <w:rPr>
          <w:rFonts w:ascii="Times New Roman" w:hAnsi="Times New Roman"/>
          <w:szCs w:val="24"/>
        </w:rPr>
        <w:t xml:space="preserve">in each tier </w:t>
      </w:r>
      <w:r w:rsidRPr="00C43837">
        <w:rPr>
          <w:rFonts w:ascii="Times New Roman" w:hAnsi="Times New Roman"/>
          <w:szCs w:val="24"/>
        </w:rPr>
        <w:t xml:space="preserve">will increase </w:t>
      </w:r>
      <w:r w:rsidR="00E941A9">
        <w:rPr>
          <w:rFonts w:ascii="Times New Roman" w:hAnsi="Times New Roman"/>
          <w:szCs w:val="24"/>
        </w:rPr>
        <w:t>by</w:t>
      </w:r>
      <w:r w:rsidR="00E941A9" w:rsidRPr="00C43837">
        <w:rPr>
          <w:rFonts w:ascii="Times New Roman" w:hAnsi="Times New Roman"/>
          <w:szCs w:val="24"/>
        </w:rPr>
        <w:t xml:space="preserve"> </w:t>
      </w:r>
      <w:r w:rsidRPr="00C43837">
        <w:rPr>
          <w:rFonts w:ascii="Times New Roman" w:hAnsi="Times New Roman"/>
          <w:szCs w:val="24"/>
        </w:rPr>
        <w:t>4.7</w:t>
      </w:r>
      <w:r w:rsidR="00D53FDC" w:rsidRPr="00C43837">
        <w:rPr>
          <w:rFonts w:ascii="Times New Roman" w:hAnsi="Times New Roman"/>
          <w:szCs w:val="24"/>
        </w:rPr>
        <w:t xml:space="preserve"> percent</w:t>
      </w:r>
      <w:r w:rsidR="00E941A9">
        <w:rPr>
          <w:rFonts w:ascii="Times New Roman" w:hAnsi="Times New Roman"/>
          <w:szCs w:val="24"/>
        </w:rPr>
        <w:t>, twice the residential rate increase</w:t>
      </w:r>
      <w:r w:rsidR="00622DF3">
        <w:rPr>
          <w:rFonts w:ascii="Times New Roman" w:hAnsi="Times New Roman"/>
          <w:szCs w:val="24"/>
        </w:rPr>
        <w:t>,</w:t>
      </w:r>
      <w:r w:rsidR="00E941A9">
        <w:rPr>
          <w:rFonts w:ascii="Times New Roman" w:hAnsi="Times New Roman"/>
          <w:szCs w:val="24"/>
        </w:rPr>
        <w:t xml:space="preserve"> effect</w:t>
      </w:r>
      <w:r w:rsidR="00622DF3">
        <w:rPr>
          <w:rFonts w:ascii="Times New Roman" w:hAnsi="Times New Roman"/>
          <w:szCs w:val="24"/>
        </w:rPr>
        <w:t>ive</w:t>
      </w:r>
      <w:r w:rsidR="00E941A9">
        <w:rPr>
          <w:rFonts w:ascii="Times New Roman" w:hAnsi="Times New Roman"/>
          <w:szCs w:val="24"/>
        </w:rPr>
        <w:t xml:space="preserve"> September 15, 2017</w:t>
      </w:r>
      <w:r w:rsidRPr="00C43837">
        <w:rPr>
          <w:rFonts w:ascii="Times New Roman" w:hAnsi="Times New Roman"/>
          <w:szCs w:val="24"/>
        </w:rPr>
        <w:t>.</w:t>
      </w:r>
      <w:r w:rsidRPr="00A73775">
        <w:rPr>
          <w:rFonts w:ascii="Times New Roman" w:hAnsi="Times New Roman"/>
          <w:szCs w:val="24"/>
        </w:rPr>
        <w:t xml:space="preserve">  </w:t>
      </w:r>
    </w:p>
    <w:p w14:paraId="1FE57AF9" w14:textId="77777777" w:rsidR="00A73775" w:rsidRPr="00A73775" w:rsidRDefault="00A73775" w:rsidP="00A73775">
      <w:pPr>
        <w:contextualSpacing/>
        <w:rPr>
          <w:rFonts w:ascii="Times New Roman" w:hAnsi="Times New Roman"/>
          <w:szCs w:val="24"/>
        </w:rPr>
      </w:pPr>
    </w:p>
    <w:p w14:paraId="41AB5841" w14:textId="620C5487" w:rsidR="00A73775" w:rsidRPr="00A73775" w:rsidRDefault="00D53FDC" w:rsidP="00D53FDC">
      <w:pPr>
        <w:ind w:left="720"/>
        <w:contextualSpacing/>
        <w:rPr>
          <w:rFonts w:ascii="Times New Roman" w:hAnsi="Times New Roman"/>
          <w:szCs w:val="24"/>
        </w:rPr>
      </w:pPr>
      <w:r w:rsidRPr="00991560">
        <w:rPr>
          <w:rFonts w:ascii="Times New Roman" w:hAnsi="Times New Roman"/>
          <w:szCs w:val="24"/>
        </w:rPr>
        <w:t xml:space="preserve">Consistent with the Company’s </w:t>
      </w:r>
      <w:r w:rsidR="0071570D">
        <w:rPr>
          <w:rFonts w:ascii="Times New Roman" w:hAnsi="Times New Roman"/>
          <w:szCs w:val="24"/>
        </w:rPr>
        <w:t>current</w:t>
      </w:r>
      <w:r w:rsidR="0071570D" w:rsidRPr="00991560">
        <w:rPr>
          <w:rFonts w:ascii="Times New Roman" w:hAnsi="Times New Roman"/>
          <w:szCs w:val="24"/>
        </w:rPr>
        <w:t xml:space="preserve"> </w:t>
      </w:r>
      <w:r w:rsidRPr="00991560">
        <w:rPr>
          <w:rFonts w:ascii="Times New Roman" w:hAnsi="Times New Roman"/>
          <w:szCs w:val="24"/>
        </w:rPr>
        <w:t xml:space="preserve">five-year LIBA program, </w:t>
      </w:r>
      <w:r w:rsidR="0047612B" w:rsidRPr="00991560">
        <w:rPr>
          <w:rFonts w:ascii="Times New Roman" w:hAnsi="Times New Roman"/>
          <w:szCs w:val="24"/>
        </w:rPr>
        <w:t>LIBA</w:t>
      </w:r>
      <w:r w:rsidR="0047612B">
        <w:rPr>
          <w:rFonts w:ascii="Times New Roman" w:hAnsi="Times New Roman"/>
          <w:szCs w:val="24"/>
        </w:rPr>
        <w:t xml:space="preserve"> c</w:t>
      </w:r>
      <w:r w:rsidR="00A73775" w:rsidRPr="00A73775">
        <w:rPr>
          <w:rFonts w:ascii="Times New Roman" w:hAnsi="Times New Roman"/>
          <w:szCs w:val="24"/>
        </w:rPr>
        <w:t xml:space="preserve">redits will be revised </w:t>
      </w:r>
      <w:r w:rsidR="0047612B">
        <w:rPr>
          <w:rFonts w:ascii="Times New Roman" w:hAnsi="Times New Roman"/>
          <w:szCs w:val="24"/>
        </w:rPr>
        <w:t xml:space="preserve">if </w:t>
      </w:r>
      <w:r w:rsidR="00A73775" w:rsidRPr="00A73775">
        <w:rPr>
          <w:rFonts w:ascii="Times New Roman" w:hAnsi="Times New Roman"/>
          <w:szCs w:val="24"/>
        </w:rPr>
        <w:t xml:space="preserve">any </w:t>
      </w:r>
      <w:r w:rsidR="0047612B">
        <w:rPr>
          <w:rFonts w:ascii="Times New Roman" w:hAnsi="Times New Roman"/>
          <w:szCs w:val="24"/>
        </w:rPr>
        <w:t>rate</w:t>
      </w:r>
      <w:r w:rsidR="00A73775" w:rsidRPr="00A73775">
        <w:rPr>
          <w:rFonts w:ascii="Times New Roman" w:hAnsi="Times New Roman"/>
          <w:szCs w:val="24"/>
        </w:rPr>
        <w:t xml:space="preserve"> changes</w:t>
      </w:r>
      <w:r w:rsidR="0047612B">
        <w:rPr>
          <w:rFonts w:ascii="Times New Roman" w:hAnsi="Times New Roman"/>
          <w:szCs w:val="24"/>
        </w:rPr>
        <w:t xml:space="preserve"> are implemented</w:t>
      </w:r>
      <w:r w:rsidR="00A73775" w:rsidRPr="00A73775">
        <w:rPr>
          <w:rFonts w:ascii="Times New Roman" w:hAnsi="Times New Roman"/>
          <w:szCs w:val="24"/>
        </w:rPr>
        <w:t xml:space="preserve"> during </w:t>
      </w:r>
      <w:r w:rsidR="003E01F0" w:rsidRPr="00A73775">
        <w:rPr>
          <w:rFonts w:ascii="Times New Roman" w:hAnsi="Times New Roman"/>
          <w:szCs w:val="24"/>
        </w:rPr>
        <w:t>th</w:t>
      </w:r>
      <w:r w:rsidR="003E01F0">
        <w:rPr>
          <w:rFonts w:ascii="Times New Roman" w:hAnsi="Times New Roman"/>
          <w:szCs w:val="24"/>
        </w:rPr>
        <w:t>is</w:t>
      </w:r>
      <w:r w:rsidR="003E01F0" w:rsidRPr="00A73775">
        <w:rPr>
          <w:rFonts w:ascii="Times New Roman" w:hAnsi="Times New Roman"/>
          <w:szCs w:val="24"/>
        </w:rPr>
        <w:t xml:space="preserve"> </w:t>
      </w:r>
      <w:r w:rsidR="00A73775" w:rsidRPr="00A73775">
        <w:rPr>
          <w:rFonts w:ascii="Times New Roman" w:hAnsi="Times New Roman"/>
          <w:szCs w:val="24"/>
        </w:rPr>
        <w:t>five</w:t>
      </w:r>
      <w:r w:rsidR="0047612B">
        <w:rPr>
          <w:rFonts w:ascii="Times New Roman" w:hAnsi="Times New Roman"/>
          <w:szCs w:val="24"/>
        </w:rPr>
        <w:t>-</w:t>
      </w:r>
      <w:r w:rsidR="00A73775" w:rsidRPr="00A73775">
        <w:rPr>
          <w:rFonts w:ascii="Times New Roman" w:hAnsi="Times New Roman"/>
          <w:szCs w:val="24"/>
        </w:rPr>
        <w:t xml:space="preserve">year LIBA plan.  </w:t>
      </w:r>
      <w:r w:rsidR="003E01F0">
        <w:rPr>
          <w:rFonts w:ascii="Times New Roman" w:hAnsi="Times New Roman"/>
          <w:szCs w:val="24"/>
        </w:rPr>
        <w:t>The stakeholder</w:t>
      </w:r>
      <w:r w:rsidR="00622DF3">
        <w:rPr>
          <w:rFonts w:ascii="Times New Roman" w:hAnsi="Times New Roman"/>
          <w:szCs w:val="24"/>
        </w:rPr>
        <w:t>s</w:t>
      </w:r>
      <w:r w:rsidR="003E01F0">
        <w:rPr>
          <w:rFonts w:ascii="Times New Roman" w:hAnsi="Times New Roman"/>
          <w:szCs w:val="24"/>
        </w:rPr>
        <w:t xml:space="preserve"> will discuss the appropriate modification in credits moving forward based on data described in #</w:t>
      </w:r>
      <w:r w:rsidR="000C064E">
        <w:rPr>
          <w:rFonts w:ascii="Times New Roman" w:hAnsi="Times New Roman"/>
          <w:szCs w:val="24"/>
        </w:rPr>
        <w:t xml:space="preserve">8 </w:t>
      </w:r>
      <w:r w:rsidR="003E01F0">
        <w:rPr>
          <w:rFonts w:ascii="Times New Roman" w:hAnsi="Times New Roman"/>
          <w:szCs w:val="24"/>
        </w:rPr>
        <w:t xml:space="preserve">below, following the 2017/2018 program year. </w:t>
      </w:r>
    </w:p>
    <w:p w14:paraId="65659F7C" w14:textId="77777777" w:rsidR="00A73775" w:rsidRPr="00A73775" w:rsidRDefault="00A73775" w:rsidP="00A73775">
      <w:pPr>
        <w:contextualSpacing/>
        <w:rPr>
          <w:rFonts w:ascii="Times New Roman" w:hAnsi="Times New Roman"/>
          <w:szCs w:val="24"/>
        </w:rPr>
      </w:pPr>
    </w:p>
    <w:p w14:paraId="2FD4D6B4" w14:textId="62DE124E" w:rsidR="00A73775" w:rsidRDefault="00A73775" w:rsidP="00076088">
      <w:pPr>
        <w:pStyle w:val="ListParagraph"/>
        <w:numPr>
          <w:ilvl w:val="0"/>
          <w:numId w:val="7"/>
        </w:numPr>
      </w:pPr>
      <w:r w:rsidRPr="0047612B">
        <w:t>Agency Administration Fees</w:t>
      </w:r>
      <w:r w:rsidR="00920E41">
        <w:t>—</w:t>
      </w:r>
      <w:r w:rsidRPr="0047612B">
        <w:t xml:space="preserve">Three local agencies certify customers as income eligible and assign them to one of the three income tiers.  They currently receive $75.00 for each certified customer.  </w:t>
      </w:r>
      <w:r w:rsidR="00076088">
        <w:t xml:space="preserve">The fee will remain at this level because the stakeholders have not yet reached a consensus on an appropriate agency administration fee moving forward.  Stakeholders will continue the discussion on this issue and may recommend an adjustment to the agency fee in the future. </w:t>
      </w:r>
      <w:r w:rsidR="00076088" w:rsidRPr="0047612B" w:rsidDel="00076088">
        <w:t xml:space="preserve"> </w:t>
      </w:r>
    </w:p>
    <w:p w14:paraId="7C711C7D" w14:textId="77777777" w:rsidR="00076088" w:rsidRPr="00A73775" w:rsidRDefault="00076088" w:rsidP="00350F02">
      <w:pPr>
        <w:ind w:left="360"/>
      </w:pPr>
    </w:p>
    <w:p w14:paraId="133D8565" w14:textId="6B32CF27" w:rsidR="00A73775" w:rsidRPr="00E23771" w:rsidRDefault="00A73775" w:rsidP="00270E9C">
      <w:pPr>
        <w:pStyle w:val="ListParagraph"/>
        <w:numPr>
          <w:ilvl w:val="0"/>
          <w:numId w:val="7"/>
        </w:numPr>
      </w:pPr>
      <w:r w:rsidRPr="00E23771">
        <w:t>Program Year Period</w:t>
      </w:r>
      <w:r w:rsidR="003F15CE" w:rsidRPr="00E23771">
        <w:t>—</w:t>
      </w:r>
      <w:r w:rsidR="00622DF3">
        <w:t xml:space="preserve">Stakeholders </w:t>
      </w:r>
      <w:r w:rsidR="003F15CE">
        <w:t>propose to</w:t>
      </w:r>
      <w:r w:rsidRPr="00E23771">
        <w:t xml:space="preserve"> </w:t>
      </w:r>
      <w:r w:rsidR="003F15CE">
        <w:t xml:space="preserve">revise </w:t>
      </w:r>
      <w:r w:rsidRPr="00E23771">
        <w:t>the program year to match the federally funded Low Income Home Energy Assistance (LIHEAP) program year</w:t>
      </w:r>
      <w:r w:rsidR="003F15CE">
        <w:t>,</w:t>
      </w:r>
      <w:r w:rsidRPr="00E23771">
        <w:t xml:space="preserve"> which runs October 1 through September 30.  This change will increase the agency’s efficienci</w:t>
      </w:r>
      <w:r w:rsidRPr="009C5818">
        <w:t xml:space="preserve">es </w:t>
      </w:r>
      <w:r w:rsidR="003F15CE">
        <w:t>in</w:t>
      </w:r>
      <w:r w:rsidR="003F15CE" w:rsidRPr="00E23771">
        <w:t xml:space="preserve"> </w:t>
      </w:r>
      <w:r w:rsidRPr="00E23771">
        <w:t xml:space="preserve">administering both LIHEAP and LIBA.  The </w:t>
      </w:r>
      <w:r w:rsidR="003F15CE">
        <w:t xml:space="preserve">new </w:t>
      </w:r>
      <w:r w:rsidRPr="00E23771">
        <w:t xml:space="preserve">monthly LIBA credits will begin to be applied to bills starting in October 2017.  Agencies will continue to certify </w:t>
      </w:r>
      <w:r w:rsidR="003F15CE">
        <w:t xml:space="preserve">eligible </w:t>
      </w:r>
      <w:r w:rsidRPr="00E23771">
        <w:t xml:space="preserve">customers </w:t>
      </w:r>
      <w:r w:rsidR="003F15CE">
        <w:t>before</w:t>
      </w:r>
      <w:r w:rsidRPr="00E23771">
        <w:t xml:space="preserve"> the beginning of the 2017/2018 program year.</w:t>
      </w:r>
      <w:r w:rsidR="00E941A9">
        <w:t xml:space="preserve"> </w:t>
      </w:r>
      <w:r w:rsidR="000677DF">
        <w:t>Participants enrolled between May 1 and September 30, 2017 will have an effective date of October 1, 2017</w:t>
      </w:r>
      <w:r w:rsidR="00583E26">
        <w:t>,</w:t>
      </w:r>
      <w:r w:rsidR="000677DF">
        <w:t xml:space="preserve"> in conjunction with the beginning of the program year. This will allow them to receive benefits for their entire participation period of one or two years.</w:t>
      </w:r>
    </w:p>
    <w:p w14:paraId="3A332A8A" w14:textId="77777777" w:rsidR="00A73775" w:rsidRPr="00A73775" w:rsidRDefault="00A73775" w:rsidP="00A73775">
      <w:pPr>
        <w:contextualSpacing/>
        <w:rPr>
          <w:rFonts w:ascii="Times New Roman" w:hAnsi="Times New Roman"/>
          <w:szCs w:val="24"/>
        </w:rPr>
      </w:pPr>
    </w:p>
    <w:p w14:paraId="57F3C879" w14:textId="6ECDE1B5" w:rsidR="00A73775" w:rsidRPr="009C5818" w:rsidRDefault="00A73775" w:rsidP="00270E9C">
      <w:pPr>
        <w:pStyle w:val="ListParagraph"/>
        <w:numPr>
          <w:ilvl w:val="0"/>
          <w:numId w:val="7"/>
        </w:numPr>
      </w:pPr>
      <w:r w:rsidRPr="00E23771">
        <w:t>Annual Review of the LIBA Surcharge</w:t>
      </w:r>
      <w:r w:rsidR="003F15CE">
        <w:t>—</w:t>
      </w:r>
      <w:r w:rsidR="00E23771">
        <w:t>The Company collects f</w:t>
      </w:r>
      <w:r w:rsidRPr="00E23771">
        <w:t>unds</w:t>
      </w:r>
      <w:r w:rsidR="003F15CE">
        <w:t xml:space="preserve"> </w:t>
      </w:r>
      <w:r w:rsidRPr="009C5818">
        <w:t xml:space="preserve">to cover LIBA program costs through Schedule 91.  </w:t>
      </w:r>
      <w:r w:rsidR="0071570D">
        <w:t xml:space="preserve">As of December 31, 2016, </w:t>
      </w:r>
      <w:r w:rsidRPr="009C5818">
        <w:t>approximately $2 million</w:t>
      </w:r>
      <w:r w:rsidR="00583E26">
        <w:t xml:space="preserve"> was</w:t>
      </w:r>
      <w:r w:rsidR="00E23771">
        <w:t xml:space="preserve"> in the LIBA </w:t>
      </w:r>
      <w:r w:rsidR="006D1DA1">
        <w:t>balance</w:t>
      </w:r>
      <w:r w:rsidR="00E23771">
        <w:t xml:space="preserve"> account</w:t>
      </w:r>
      <w:r w:rsidRPr="00E23771">
        <w:t xml:space="preserve">.  </w:t>
      </w:r>
      <w:r w:rsidR="00583E26">
        <w:t xml:space="preserve">The </w:t>
      </w:r>
      <w:r w:rsidR="008E08FF">
        <w:t xml:space="preserve">requested </w:t>
      </w:r>
      <w:r w:rsidR="00583E26">
        <w:t>program changes will increase LIBA costs</w:t>
      </w:r>
      <w:r w:rsidR="00427B10">
        <w:t>, reducing the balance</w:t>
      </w:r>
      <w:r w:rsidR="008E08FF">
        <w:t>.</w:t>
      </w:r>
      <w:r w:rsidR="00427B10">
        <w:t xml:space="preserve"> </w:t>
      </w:r>
      <w:r w:rsidR="008E08FF">
        <w:t>And</w:t>
      </w:r>
      <w:r w:rsidR="00396A73">
        <w:t>,</w:t>
      </w:r>
      <w:r w:rsidR="008E08FF">
        <w:t xml:space="preserve"> i</w:t>
      </w:r>
      <w:r w:rsidRPr="00E23771">
        <w:t>t is proposed that the current surcharge remain in place at this time</w:t>
      </w:r>
      <w:r w:rsidR="00E23771">
        <w:t xml:space="preserve"> </w:t>
      </w:r>
      <w:r w:rsidR="008E08FF">
        <w:t>which will also</w:t>
      </w:r>
      <w:r w:rsidR="008E08FF" w:rsidRPr="009C5818">
        <w:t xml:space="preserve"> </w:t>
      </w:r>
      <w:r w:rsidRPr="009C5818">
        <w:t xml:space="preserve">decrease this balance.  The Company will review the balance and estimate future expenditures annually to determine if a change to the surcharge is </w:t>
      </w:r>
      <w:r w:rsidR="00E23771">
        <w:t>necessary</w:t>
      </w:r>
      <w:r w:rsidRPr="00E23771">
        <w:t>.  I</w:t>
      </w:r>
      <w:r w:rsidR="00E23771">
        <w:t xml:space="preserve">f needed, the Company </w:t>
      </w:r>
      <w:r w:rsidR="00BF100E">
        <w:t xml:space="preserve">will </w:t>
      </w:r>
      <w:r w:rsidR="00E23771">
        <w:t xml:space="preserve">submit </w:t>
      </w:r>
      <w:r w:rsidRPr="00E23771">
        <w:t>a</w:t>
      </w:r>
      <w:r w:rsidR="00E23771">
        <w:t>n annual</w:t>
      </w:r>
      <w:r w:rsidRPr="00E23771">
        <w:t xml:space="preserve"> filing to revise the surcharge </w:t>
      </w:r>
      <w:r w:rsidR="00E23771">
        <w:t>in</w:t>
      </w:r>
      <w:r w:rsidRPr="00E23771">
        <w:t xml:space="preserve"> </w:t>
      </w:r>
      <w:r w:rsidR="000677DF">
        <w:t>August</w:t>
      </w:r>
      <w:r w:rsidRPr="00E23771">
        <w:t xml:space="preserve">, with a requested effective date of </w:t>
      </w:r>
      <w:r w:rsidR="000677DF">
        <w:t xml:space="preserve">October </w:t>
      </w:r>
      <w:r w:rsidRPr="00E23771">
        <w:t xml:space="preserve">1.  The first review will occur in </w:t>
      </w:r>
      <w:r w:rsidR="000677DF">
        <w:t>August</w:t>
      </w:r>
      <w:r w:rsidR="000677DF" w:rsidRPr="00E23771">
        <w:t xml:space="preserve"> </w:t>
      </w:r>
      <w:r w:rsidRPr="00E23771">
        <w:t xml:space="preserve">2018.  </w:t>
      </w:r>
    </w:p>
    <w:p w14:paraId="3E5EA9B7" w14:textId="77777777" w:rsidR="00A73775" w:rsidRDefault="00A73775" w:rsidP="00A73775">
      <w:pPr>
        <w:contextualSpacing/>
        <w:rPr>
          <w:rFonts w:ascii="Times New Roman" w:hAnsi="Times New Roman"/>
          <w:szCs w:val="24"/>
        </w:rPr>
      </w:pPr>
    </w:p>
    <w:p w14:paraId="6E22B45B" w14:textId="05D3F0C8" w:rsidR="00B61146" w:rsidRDefault="00B61146" w:rsidP="00B61146">
      <w:pPr>
        <w:ind w:left="720"/>
        <w:contextualSpacing/>
        <w:rPr>
          <w:rFonts w:ascii="Times New Roman" w:hAnsi="Times New Roman"/>
          <w:szCs w:val="24"/>
        </w:rPr>
      </w:pPr>
      <w:r>
        <w:rPr>
          <w:rFonts w:ascii="Times New Roman" w:hAnsi="Times New Roman"/>
          <w:szCs w:val="24"/>
        </w:rPr>
        <w:t xml:space="preserve">The design of the surcharge was also discussed in </w:t>
      </w:r>
      <w:r w:rsidR="00F17D4A">
        <w:rPr>
          <w:rFonts w:ascii="Times New Roman" w:hAnsi="Times New Roman"/>
          <w:szCs w:val="24"/>
        </w:rPr>
        <w:t xml:space="preserve">one of the </w:t>
      </w:r>
      <w:r>
        <w:rPr>
          <w:rFonts w:ascii="Times New Roman" w:hAnsi="Times New Roman"/>
          <w:szCs w:val="24"/>
        </w:rPr>
        <w:t>collaborative meetings.  This included a review of the current method where an increase is spread by an equal percentage per rate schedule and a discussion of a revenue share method. It was determined that a change could create a large impact on some customers.  It was agreed that this one issue related to the LIBA program could be addressed in a general rate case forum as it is open to more entities.</w:t>
      </w:r>
    </w:p>
    <w:p w14:paraId="0B8BA55C" w14:textId="77777777" w:rsidR="00B61146" w:rsidRPr="00A73775" w:rsidRDefault="00B61146" w:rsidP="00F17D4A">
      <w:pPr>
        <w:ind w:left="720"/>
        <w:contextualSpacing/>
        <w:rPr>
          <w:rFonts w:ascii="Times New Roman" w:hAnsi="Times New Roman"/>
          <w:szCs w:val="24"/>
        </w:rPr>
      </w:pPr>
    </w:p>
    <w:p w14:paraId="50A1B090" w14:textId="59A08D1C" w:rsidR="00A73775" w:rsidRPr="009C5818" w:rsidRDefault="00A73775" w:rsidP="00270E9C">
      <w:pPr>
        <w:pStyle w:val="ListParagraph"/>
        <w:numPr>
          <w:ilvl w:val="0"/>
          <w:numId w:val="7"/>
        </w:numPr>
      </w:pPr>
      <w:r w:rsidRPr="00E23771">
        <w:t>Review of LIBA and LIHEAP Benefits</w:t>
      </w:r>
      <w:r w:rsidR="00E23771">
        <w:t>—</w:t>
      </w:r>
      <w:r w:rsidRPr="009C5818">
        <w:t>Many</w:t>
      </w:r>
      <w:r w:rsidR="00E23771">
        <w:t xml:space="preserve"> </w:t>
      </w:r>
      <w:r w:rsidRPr="00E23771">
        <w:t xml:space="preserve">households receiving financial benefits from LIBA also </w:t>
      </w:r>
      <w:r w:rsidRPr="009C5818">
        <w:t xml:space="preserve">obtain energy assistance through the LIHEAP program. </w:t>
      </w:r>
      <w:r w:rsidR="00E23771">
        <w:t xml:space="preserve"> </w:t>
      </w:r>
      <w:r w:rsidRPr="00E23771">
        <w:t xml:space="preserve">Staff </w:t>
      </w:r>
      <w:r w:rsidR="00E23771">
        <w:t>requested</w:t>
      </w:r>
      <w:r w:rsidRPr="00E23771">
        <w:t xml:space="preserve"> data to determine total benefits received by LIBA participants from </w:t>
      </w:r>
      <w:r w:rsidR="00E23771">
        <w:t>both programs</w:t>
      </w:r>
      <w:r w:rsidR="00270E9C">
        <w:t>.</w:t>
      </w:r>
      <w:r w:rsidRPr="00E23771">
        <w:t xml:space="preserve"> </w:t>
      </w:r>
      <w:r w:rsidR="00270E9C">
        <w:t>They are interested in</w:t>
      </w:r>
      <w:r w:rsidR="00E23771">
        <w:t xml:space="preserve"> </w:t>
      </w:r>
      <w:r w:rsidR="00270E9C">
        <w:t xml:space="preserve">reviewing </w:t>
      </w:r>
      <w:r w:rsidR="00E23771">
        <w:t xml:space="preserve">the combined </w:t>
      </w:r>
      <w:r w:rsidR="00270E9C">
        <w:t>benefits and comparing that to the</w:t>
      </w:r>
      <w:r w:rsidR="00E23771">
        <w:t xml:space="preserve"> customer</w:t>
      </w:r>
      <w:r w:rsidR="00270E9C">
        <w:t>s Pacific Power</w:t>
      </w:r>
      <w:r w:rsidRPr="00E23771">
        <w:t xml:space="preserve"> bills.  The Company will provide a report with this information by </w:t>
      </w:r>
      <w:r w:rsidRPr="00E23771">
        <w:lastRenderedPageBreak/>
        <w:t xml:space="preserve">December </w:t>
      </w:r>
      <w:r w:rsidR="00A96584">
        <w:t>3</w:t>
      </w:r>
      <w:r w:rsidRPr="00E23771">
        <w:t>1, 2018</w:t>
      </w:r>
      <w:r w:rsidR="00E23771">
        <w:t>,</w:t>
      </w:r>
      <w:r w:rsidRPr="00E23771">
        <w:t xml:space="preserve"> with details covering the </w:t>
      </w:r>
      <w:r w:rsidR="000677DF">
        <w:t>2017/2018</w:t>
      </w:r>
      <w:r w:rsidR="000677DF" w:rsidRPr="00E23771">
        <w:t xml:space="preserve"> </w:t>
      </w:r>
      <w:r w:rsidRPr="00E23771">
        <w:t>program year.  The annual LIBA benefit,</w:t>
      </w:r>
      <w:r w:rsidRPr="009C5818">
        <w:t xml:space="preserve"> the amount of LIHEAP payment</w:t>
      </w:r>
      <w:r w:rsidR="00E23771">
        <w:t>,</w:t>
      </w:r>
      <w:r w:rsidRPr="00E23771">
        <w:t xml:space="preserve"> and the total billed by Pacific Power in the 2017/2018 program year will be included for each LIBA participant in this report.</w:t>
      </w:r>
      <w:r w:rsidR="00C43837">
        <w:t xml:space="preserve"> The income tier will also be reported for each participant.</w:t>
      </w:r>
    </w:p>
    <w:p w14:paraId="65FF7168" w14:textId="77777777" w:rsidR="00A73775" w:rsidRPr="00A73775" w:rsidRDefault="00A73775" w:rsidP="00A73775">
      <w:pPr>
        <w:contextualSpacing/>
        <w:rPr>
          <w:rFonts w:ascii="Times New Roman" w:hAnsi="Times New Roman"/>
          <w:szCs w:val="24"/>
        </w:rPr>
      </w:pPr>
    </w:p>
    <w:p w14:paraId="13AE8E9B" w14:textId="61BE9C3B" w:rsidR="00A73775" w:rsidRPr="009C5818" w:rsidRDefault="00A73775" w:rsidP="00191D1B">
      <w:pPr>
        <w:pStyle w:val="ListParagraph"/>
        <w:numPr>
          <w:ilvl w:val="0"/>
          <w:numId w:val="7"/>
        </w:numPr>
      </w:pPr>
      <w:r w:rsidRPr="00E23771">
        <w:t>Data for Needs Assessment</w:t>
      </w:r>
      <w:r w:rsidR="00E23771">
        <w:t xml:space="preserve">—Pacific Power and the Washington Department of Commerce provided data to the </w:t>
      </w:r>
      <w:r w:rsidRPr="009C5818">
        <w:t xml:space="preserve">Energy Project, which was discussed during the </w:t>
      </w:r>
      <w:r w:rsidRPr="00E23771">
        <w:t>stakeholder meeting</w:t>
      </w:r>
      <w:r w:rsidR="00E23771">
        <w:t xml:space="preserve"> held on August 25, 2016</w:t>
      </w:r>
      <w:r w:rsidRPr="00E23771">
        <w:t>.  This information was helpful in determining that it is appropriate to keep the LIBA credit structure with the three income tiers in place.  It was also useful in veri</w:t>
      </w:r>
      <w:r w:rsidRPr="009C5818">
        <w:t xml:space="preserve">fying that it is appropriate to increase participation numbers.  </w:t>
      </w:r>
    </w:p>
    <w:p w14:paraId="2AA19266" w14:textId="77777777" w:rsidR="00A73775" w:rsidRPr="00A73775" w:rsidRDefault="00A73775" w:rsidP="00A73775">
      <w:pPr>
        <w:contextualSpacing/>
        <w:rPr>
          <w:rFonts w:ascii="Times New Roman" w:hAnsi="Times New Roman"/>
          <w:szCs w:val="24"/>
        </w:rPr>
      </w:pPr>
    </w:p>
    <w:p w14:paraId="137A0E7A" w14:textId="77777777" w:rsidR="00A73775" w:rsidRPr="00A73775" w:rsidRDefault="00A73775" w:rsidP="00E23771">
      <w:pPr>
        <w:ind w:left="720"/>
        <w:contextualSpacing/>
        <w:rPr>
          <w:rFonts w:ascii="Times New Roman" w:hAnsi="Times New Roman"/>
          <w:szCs w:val="24"/>
        </w:rPr>
      </w:pPr>
      <w:r w:rsidRPr="00A73775">
        <w:rPr>
          <w:rFonts w:ascii="Times New Roman" w:hAnsi="Times New Roman"/>
          <w:szCs w:val="24"/>
        </w:rPr>
        <w:t>Based on this discussion, there is no additional data needed that is not publicly available.  The additional data previously mentioned that will be provided by Pacific Power after the 2017/2018 program year will also be helpful in future analysis of the LIBA benefits and program structure.</w:t>
      </w:r>
    </w:p>
    <w:p w14:paraId="4C8A135E" w14:textId="77777777" w:rsidR="00A73775" w:rsidRPr="00A73775" w:rsidRDefault="00A73775" w:rsidP="00A73775">
      <w:pPr>
        <w:contextualSpacing/>
        <w:rPr>
          <w:rFonts w:ascii="Times New Roman" w:hAnsi="Times New Roman"/>
          <w:szCs w:val="24"/>
        </w:rPr>
      </w:pPr>
    </w:p>
    <w:p w14:paraId="1F6CF3E4" w14:textId="783DA74E" w:rsidR="000677DF" w:rsidRDefault="000677DF" w:rsidP="00322975">
      <w:pPr>
        <w:contextualSpacing/>
        <w:rPr>
          <w:rFonts w:ascii="Times New Roman" w:hAnsi="Times New Roman"/>
          <w:szCs w:val="24"/>
        </w:rPr>
      </w:pPr>
      <w:r>
        <w:rPr>
          <w:rFonts w:ascii="Times New Roman" w:hAnsi="Times New Roman"/>
          <w:szCs w:val="24"/>
        </w:rPr>
        <w:t>Exhibit A provides details related to proposed enrollments, administrative costs</w:t>
      </w:r>
      <w:r w:rsidR="00287364">
        <w:rPr>
          <w:rFonts w:ascii="Times New Roman" w:hAnsi="Times New Roman"/>
          <w:szCs w:val="24"/>
        </w:rPr>
        <w:t>,</w:t>
      </w:r>
      <w:r>
        <w:rPr>
          <w:rFonts w:ascii="Times New Roman" w:hAnsi="Times New Roman"/>
          <w:szCs w:val="24"/>
        </w:rPr>
        <w:t xml:space="preserve"> and customer credits over the next five program years, beginning October 1, 2017</w:t>
      </w:r>
      <w:r w:rsidR="00A671CD">
        <w:rPr>
          <w:rFonts w:ascii="Times New Roman" w:hAnsi="Times New Roman"/>
          <w:szCs w:val="24"/>
        </w:rPr>
        <w:t>.</w:t>
      </w:r>
      <w:r w:rsidR="006A6A31">
        <w:rPr>
          <w:rFonts w:ascii="Times New Roman" w:hAnsi="Times New Roman"/>
          <w:szCs w:val="24"/>
        </w:rPr>
        <w:t xml:space="preserve"> </w:t>
      </w:r>
    </w:p>
    <w:p w14:paraId="31D522FB" w14:textId="77777777" w:rsidR="000677DF" w:rsidRDefault="000677DF" w:rsidP="00322975">
      <w:pPr>
        <w:contextualSpacing/>
        <w:rPr>
          <w:rFonts w:ascii="Times New Roman" w:hAnsi="Times New Roman"/>
          <w:szCs w:val="24"/>
        </w:rPr>
      </w:pPr>
    </w:p>
    <w:p w14:paraId="6815EE10" w14:textId="77777777" w:rsidR="0083036E" w:rsidRPr="00322975" w:rsidRDefault="0083036E" w:rsidP="00322975">
      <w:pPr>
        <w:contextualSpacing/>
        <w:rPr>
          <w:rFonts w:ascii="Times New Roman" w:hAnsi="Times New Roman"/>
          <w:szCs w:val="24"/>
        </w:rPr>
      </w:pPr>
      <w:r w:rsidRPr="00322975">
        <w:rPr>
          <w:rFonts w:ascii="Times New Roman" w:hAnsi="Times New Roman"/>
          <w:szCs w:val="24"/>
        </w:rPr>
        <w:t>It is respectfully requested that all formal correspondence and Staff requests regarding this filing be addressed to:</w:t>
      </w:r>
    </w:p>
    <w:p w14:paraId="2C5AD1C0" w14:textId="77777777" w:rsidR="00BA1A21" w:rsidRPr="00322975" w:rsidRDefault="00BA1A21" w:rsidP="00322975">
      <w:pPr>
        <w:contextualSpacing/>
        <w:rPr>
          <w:rFonts w:ascii="Times New Roman" w:hAnsi="Times New Roman"/>
          <w:szCs w:val="24"/>
        </w:rPr>
      </w:pPr>
    </w:p>
    <w:p w14:paraId="332D88D8" w14:textId="77777777" w:rsidR="0083036E" w:rsidRPr="00322975" w:rsidRDefault="0083036E" w:rsidP="00322975">
      <w:pPr>
        <w:contextualSpacing/>
        <w:rPr>
          <w:rFonts w:ascii="Times New Roman" w:hAnsi="Times New Roman"/>
          <w:szCs w:val="24"/>
        </w:rPr>
      </w:pPr>
      <w:r w:rsidRPr="00322975">
        <w:rPr>
          <w:rFonts w:ascii="Times New Roman" w:hAnsi="Times New Roman"/>
          <w:szCs w:val="24"/>
        </w:rPr>
        <w:t>By e-mail (preferred):</w:t>
      </w:r>
      <w:r w:rsidRPr="00322975">
        <w:rPr>
          <w:rFonts w:ascii="Times New Roman" w:hAnsi="Times New Roman"/>
          <w:szCs w:val="24"/>
        </w:rPr>
        <w:tab/>
      </w:r>
      <w:r w:rsidRPr="00322975">
        <w:rPr>
          <w:rFonts w:ascii="Times New Roman" w:hAnsi="Times New Roman"/>
          <w:szCs w:val="24"/>
        </w:rPr>
        <w:tab/>
      </w:r>
      <w:hyperlink r:id="rId15" w:history="1">
        <w:r w:rsidRPr="00322975">
          <w:rPr>
            <w:rStyle w:val="Hyperlink"/>
            <w:rFonts w:ascii="Times New Roman" w:hAnsi="Times New Roman"/>
            <w:szCs w:val="24"/>
          </w:rPr>
          <w:t>datarequest@pacificorp.com</w:t>
        </w:r>
      </w:hyperlink>
      <w:r w:rsidRPr="00322975">
        <w:rPr>
          <w:rFonts w:ascii="Times New Roman" w:hAnsi="Times New Roman"/>
          <w:szCs w:val="24"/>
        </w:rPr>
        <w:t xml:space="preserve"> </w:t>
      </w:r>
    </w:p>
    <w:p w14:paraId="74E794FE" w14:textId="77777777" w:rsidR="0083036E" w:rsidRPr="00322975" w:rsidRDefault="0083036E" w:rsidP="00322975">
      <w:pPr>
        <w:contextualSpacing/>
        <w:rPr>
          <w:rFonts w:ascii="Times New Roman" w:hAnsi="Times New Roman"/>
          <w:szCs w:val="24"/>
        </w:rPr>
      </w:pPr>
    </w:p>
    <w:p w14:paraId="734BBBE5" w14:textId="77777777" w:rsidR="0083036E" w:rsidRPr="00322975" w:rsidRDefault="0083036E" w:rsidP="00322975">
      <w:pPr>
        <w:keepNext/>
        <w:contextualSpacing/>
        <w:rPr>
          <w:rFonts w:ascii="Times New Roman" w:hAnsi="Times New Roman"/>
          <w:szCs w:val="24"/>
        </w:rPr>
      </w:pPr>
      <w:r w:rsidRPr="00322975">
        <w:rPr>
          <w:rFonts w:ascii="Times New Roman" w:hAnsi="Times New Roman"/>
          <w:szCs w:val="24"/>
        </w:rPr>
        <w:t>By regular mail:</w:t>
      </w:r>
      <w:r w:rsidRPr="00322975">
        <w:rPr>
          <w:rFonts w:ascii="Times New Roman" w:hAnsi="Times New Roman"/>
          <w:szCs w:val="24"/>
        </w:rPr>
        <w:tab/>
      </w:r>
      <w:r w:rsidRPr="00322975">
        <w:rPr>
          <w:rFonts w:ascii="Times New Roman" w:hAnsi="Times New Roman"/>
          <w:szCs w:val="24"/>
        </w:rPr>
        <w:tab/>
        <w:t>Data Request Response Center</w:t>
      </w:r>
    </w:p>
    <w:p w14:paraId="3B74487D" w14:textId="77777777" w:rsidR="0083036E" w:rsidRPr="00322975" w:rsidRDefault="0083036E" w:rsidP="00322975">
      <w:pPr>
        <w:keepNext/>
        <w:contextualSpacing/>
        <w:rPr>
          <w:rFonts w:ascii="Times New Roman" w:hAnsi="Times New Roman"/>
          <w:szCs w:val="24"/>
        </w:rPr>
      </w:pPr>
      <w:r w:rsidRPr="00322975">
        <w:rPr>
          <w:rFonts w:ascii="Times New Roman" w:hAnsi="Times New Roman"/>
          <w:szCs w:val="24"/>
        </w:rPr>
        <w:tab/>
      </w:r>
      <w:r w:rsidRPr="00322975">
        <w:rPr>
          <w:rFonts w:ascii="Times New Roman" w:hAnsi="Times New Roman"/>
          <w:szCs w:val="24"/>
        </w:rPr>
        <w:tab/>
      </w:r>
      <w:r w:rsidRPr="00322975">
        <w:rPr>
          <w:rFonts w:ascii="Times New Roman" w:hAnsi="Times New Roman"/>
          <w:szCs w:val="24"/>
        </w:rPr>
        <w:tab/>
      </w:r>
      <w:r w:rsidRPr="00322975">
        <w:rPr>
          <w:rFonts w:ascii="Times New Roman" w:hAnsi="Times New Roman"/>
          <w:szCs w:val="24"/>
        </w:rPr>
        <w:tab/>
        <w:t>PacifiCorp</w:t>
      </w:r>
    </w:p>
    <w:p w14:paraId="770DA678" w14:textId="77777777" w:rsidR="0083036E" w:rsidRPr="00322975" w:rsidRDefault="0083036E" w:rsidP="00322975">
      <w:pPr>
        <w:keepNext/>
        <w:contextualSpacing/>
        <w:rPr>
          <w:rFonts w:ascii="Times New Roman" w:hAnsi="Times New Roman"/>
          <w:szCs w:val="24"/>
        </w:rPr>
      </w:pPr>
      <w:r w:rsidRPr="00322975">
        <w:rPr>
          <w:rFonts w:ascii="Times New Roman" w:hAnsi="Times New Roman"/>
          <w:szCs w:val="24"/>
        </w:rPr>
        <w:tab/>
      </w:r>
      <w:r w:rsidRPr="00322975">
        <w:rPr>
          <w:rFonts w:ascii="Times New Roman" w:hAnsi="Times New Roman"/>
          <w:szCs w:val="24"/>
        </w:rPr>
        <w:tab/>
      </w:r>
      <w:r w:rsidRPr="00322975">
        <w:rPr>
          <w:rFonts w:ascii="Times New Roman" w:hAnsi="Times New Roman"/>
          <w:szCs w:val="24"/>
        </w:rPr>
        <w:tab/>
      </w:r>
      <w:r w:rsidRPr="00322975">
        <w:rPr>
          <w:rFonts w:ascii="Times New Roman" w:hAnsi="Times New Roman"/>
          <w:szCs w:val="24"/>
        </w:rPr>
        <w:tab/>
        <w:t>825 NE Multnomah</w:t>
      </w:r>
      <w:r w:rsidR="00D94472">
        <w:rPr>
          <w:rFonts w:ascii="Times New Roman" w:hAnsi="Times New Roman"/>
          <w:szCs w:val="24"/>
        </w:rPr>
        <w:t xml:space="preserve"> Street</w:t>
      </w:r>
      <w:r w:rsidRPr="00322975">
        <w:rPr>
          <w:rFonts w:ascii="Times New Roman" w:hAnsi="Times New Roman"/>
          <w:szCs w:val="24"/>
        </w:rPr>
        <w:t>, Suite 2000</w:t>
      </w:r>
    </w:p>
    <w:p w14:paraId="61B8393C" w14:textId="77777777" w:rsidR="0083036E" w:rsidRPr="00322975" w:rsidRDefault="0083036E" w:rsidP="00322975">
      <w:pPr>
        <w:contextualSpacing/>
        <w:rPr>
          <w:rFonts w:ascii="Times New Roman" w:hAnsi="Times New Roman"/>
          <w:szCs w:val="24"/>
        </w:rPr>
      </w:pPr>
      <w:r w:rsidRPr="00322975">
        <w:rPr>
          <w:rFonts w:ascii="Times New Roman" w:hAnsi="Times New Roman"/>
          <w:szCs w:val="24"/>
        </w:rPr>
        <w:tab/>
      </w:r>
      <w:r w:rsidRPr="00322975">
        <w:rPr>
          <w:rFonts w:ascii="Times New Roman" w:hAnsi="Times New Roman"/>
          <w:szCs w:val="24"/>
        </w:rPr>
        <w:tab/>
      </w:r>
      <w:r w:rsidRPr="00322975">
        <w:rPr>
          <w:rFonts w:ascii="Times New Roman" w:hAnsi="Times New Roman"/>
          <w:szCs w:val="24"/>
        </w:rPr>
        <w:tab/>
      </w:r>
      <w:r w:rsidRPr="00322975">
        <w:rPr>
          <w:rFonts w:ascii="Times New Roman" w:hAnsi="Times New Roman"/>
          <w:szCs w:val="24"/>
        </w:rPr>
        <w:tab/>
        <w:t>Portland, Oregon, 97232</w:t>
      </w:r>
    </w:p>
    <w:p w14:paraId="7378A582" w14:textId="77777777" w:rsidR="0083036E" w:rsidRPr="00322975" w:rsidRDefault="0083036E" w:rsidP="00322975">
      <w:pPr>
        <w:contextualSpacing/>
        <w:rPr>
          <w:rFonts w:ascii="Times New Roman" w:hAnsi="Times New Roman"/>
          <w:b/>
          <w:szCs w:val="24"/>
        </w:rPr>
      </w:pPr>
    </w:p>
    <w:p w14:paraId="76726FF3" w14:textId="77777777" w:rsidR="0083036E" w:rsidRPr="00322975" w:rsidRDefault="0083036E" w:rsidP="00322975">
      <w:pPr>
        <w:pStyle w:val="Heading3"/>
        <w:tabs>
          <w:tab w:val="left" w:pos="720"/>
          <w:tab w:val="left" w:pos="1440"/>
        </w:tabs>
        <w:spacing w:before="0"/>
        <w:contextualSpacing/>
        <w:rPr>
          <w:rFonts w:ascii="Times New Roman" w:hAnsi="Times New Roman" w:cs="Times New Roman"/>
          <w:b w:val="0"/>
          <w:color w:val="auto"/>
          <w:szCs w:val="24"/>
        </w:rPr>
      </w:pPr>
      <w:r w:rsidRPr="00322975">
        <w:rPr>
          <w:rFonts w:ascii="Times New Roman" w:hAnsi="Times New Roman" w:cs="Times New Roman"/>
          <w:b w:val="0"/>
          <w:color w:val="auto"/>
          <w:szCs w:val="24"/>
        </w:rPr>
        <w:t xml:space="preserve">Please direct any informal inquiries regarding this filing to </w:t>
      </w:r>
      <w:r w:rsidR="00BA1A21" w:rsidRPr="00322975">
        <w:rPr>
          <w:rFonts w:ascii="Times New Roman" w:hAnsi="Times New Roman" w:cs="Times New Roman"/>
          <w:b w:val="0"/>
          <w:color w:val="auto"/>
          <w:szCs w:val="24"/>
        </w:rPr>
        <w:t xml:space="preserve">Ariel Son </w:t>
      </w:r>
      <w:r w:rsidRPr="00322975">
        <w:rPr>
          <w:rFonts w:ascii="Times New Roman" w:hAnsi="Times New Roman" w:cs="Times New Roman"/>
          <w:b w:val="0"/>
          <w:color w:val="auto"/>
          <w:szCs w:val="24"/>
        </w:rPr>
        <w:t>at (</w:t>
      </w:r>
      <w:r w:rsidR="00BA1A21" w:rsidRPr="00322975">
        <w:rPr>
          <w:rFonts w:ascii="Times New Roman" w:hAnsi="Times New Roman" w:cs="Times New Roman"/>
          <w:b w:val="0"/>
          <w:color w:val="auto"/>
          <w:szCs w:val="24"/>
        </w:rPr>
        <w:t>503) 813-5410</w:t>
      </w:r>
      <w:r w:rsidRPr="00322975">
        <w:rPr>
          <w:rFonts w:ascii="Times New Roman" w:hAnsi="Times New Roman" w:cs="Times New Roman"/>
          <w:b w:val="0"/>
          <w:color w:val="auto"/>
          <w:szCs w:val="24"/>
        </w:rPr>
        <w:t>.</w:t>
      </w:r>
    </w:p>
    <w:p w14:paraId="1F3DA3B5" w14:textId="77777777" w:rsidR="00BA1A21" w:rsidRPr="00322975" w:rsidRDefault="00BA1A21" w:rsidP="00322975">
      <w:pPr>
        <w:rPr>
          <w:rFonts w:ascii="Times New Roman" w:hAnsi="Times New Roman"/>
          <w:szCs w:val="24"/>
        </w:rPr>
      </w:pPr>
    </w:p>
    <w:p w14:paraId="1ABE15EC" w14:textId="055E4AAD" w:rsidR="0083036E" w:rsidRPr="00322975" w:rsidRDefault="00396A73" w:rsidP="00322975">
      <w:pPr>
        <w:contextualSpacing/>
        <w:rPr>
          <w:rFonts w:ascii="Times New Roman" w:hAnsi="Times New Roman"/>
          <w:szCs w:val="24"/>
        </w:rPr>
      </w:pPr>
      <w:r>
        <w:rPr>
          <w:noProof/>
        </w:rPr>
        <w:drawing>
          <wp:anchor distT="0" distB="0" distL="114300" distR="114300" simplePos="0" relativeHeight="251659776" behindDoc="1" locked="0" layoutInCell="1" allowOverlap="1" wp14:anchorId="2343A61A" wp14:editId="30635525">
            <wp:simplePos x="0" y="0"/>
            <wp:positionH relativeFrom="column">
              <wp:posOffset>-95250</wp:posOffset>
            </wp:positionH>
            <wp:positionV relativeFrom="paragraph">
              <wp:posOffset>207645</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036E" w:rsidRPr="00322975">
        <w:rPr>
          <w:rFonts w:ascii="Times New Roman" w:hAnsi="Times New Roman"/>
          <w:szCs w:val="24"/>
        </w:rPr>
        <w:t>Sincerely,</w:t>
      </w:r>
    </w:p>
    <w:p w14:paraId="095BB6EF" w14:textId="3A73BE74" w:rsidR="0083036E" w:rsidRPr="00322975" w:rsidRDefault="0083036E" w:rsidP="00322975">
      <w:pPr>
        <w:contextualSpacing/>
        <w:rPr>
          <w:rFonts w:ascii="Times New Roman" w:hAnsi="Times New Roman"/>
          <w:szCs w:val="24"/>
        </w:rPr>
      </w:pPr>
    </w:p>
    <w:p w14:paraId="1E85AB25" w14:textId="03481856" w:rsidR="0083036E" w:rsidRPr="00322975" w:rsidRDefault="0083036E" w:rsidP="00322975">
      <w:pPr>
        <w:contextualSpacing/>
        <w:rPr>
          <w:rFonts w:ascii="Times New Roman" w:hAnsi="Times New Roman"/>
          <w:szCs w:val="24"/>
        </w:rPr>
      </w:pPr>
    </w:p>
    <w:p w14:paraId="09036663" w14:textId="77777777" w:rsidR="0083036E" w:rsidRPr="00322975" w:rsidRDefault="0083036E" w:rsidP="00322975">
      <w:pPr>
        <w:contextualSpacing/>
        <w:rPr>
          <w:rFonts w:ascii="Times New Roman" w:hAnsi="Times New Roman"/>
          <w:szCs w:val="24"/>
        </w:rPr>
      </w:pPr>
    </w:p>
    <w:p w14:paraId="627BA36D" w14:textId="77777777" w:rsidR="00D94472" w:rsidRDefault="00D94472" w:rsidP="00322975">
      <w:pPr>
        <w:pStyle w:val="NormalWeb"/>
        <w:spacing w:before="0" w:beforeAutospacing="0" w:after="0" w:afterAutospacing="0"/>
        <w:contextualSpacing/>
      </w:pPr>
      <w:r>
        <w:t xml:space="preserve">R. Bryce </w:t>
      </w:r>
      <w:proofErr w:type="spellStart"/>
      <w:r>
        <w:t>Dalley</w:t>
      </w:r>
      <w:proofErr w:type="spellEnd"/>
    </w:p>
    <w:p w14:paraId="3C398708" w14:textId="77777777" w:rsidR="00F8061D" w:rsidRDefault="00D94472" w:rsidP="00322975">
      <w:pPr>
        <w:pStyle w:val="NormalWeb"/>
        <w:spacing w:before="0" w:beforeAutospacing="0" w:after="0" w:afterAutospacing="0"/>
        <w:contextualSpacing/>
      </w:pPr>
      <w:r>
        <w:t>Vice President, Regulation</w:t>
      </w:r>
      <w:r w:rsidR="009D28B1" w:rsidRPr="00322975">
        <w:t xml:space="preserve"> </w:t>
      </w:r>
    </w:p>
    <w:p w14:paraId="7DFDA893" w14:textId="77777777" w:rsidR="003D0BED" w:rsidRDefault="003D0BED" w:rsidP="00322975">
      <w:pPr>
        <w:pStyle w:val="NormalWeb"/>
        <w:spacing w:before="0" w:beforeAutospacing="0" w:after="0" w:afterAutospacing="0"/>
        <w:contextualSpacing/>
      </w:pPr>
    </w:p>
    <w:p w14:paraId="073913BB" w14:textId="7EF2BC4C" w:rsidR="003D0BED" w:rsidRDefault="003D0BED" w:rsidP="00322975">
      <w:pPr>
        <w:pStyle w:val="NormalWeb"/>
        <w:spacing w:before="0" w:beforeAutospacing="0" w:after="0" w:afterAutospacing="0"/>
        <w:contextualSpacing/>
      </w:pPr>
      <w:r>
        <w:t>Enclosures</w:t>
      </w:r>
    </w:p>
    <w:p w14:paraId="33B69805" w14:textId="77777777" w:rsidR="003D0BED" w:rsidRDefault="003D0BED" w:rsidP="00322975">
      <w:pPr>
        <w:pStyle w:val="NormalWeb"/>
        <w:spacing w:before="0" w:beforeAutospacing="0" w:after="0" w:afterAutospacing="0"/>
        <w:contextualSpacing/>
      </w:pPr>
    </w:p>
    <w:p w14:paraId="412EB090" w14:textId="37384F04" w:rsidR="003D0BED" w:rsidRDefault="003D0BED" w:rsidP="00322975">
      <w:pPr>
        <w:pStyle w:val="NormalWeb"/>
        <w:spacing w:before="0" w:beforeAutospacing="0" w:after="0" w:afterAutospacing="0"/>
        <w:contextualSpacing/>
      </w:pPr>
      <w:r>
        <w:rPr>
          <w:u w:val="single"/>
        </w:rPr>
        <w:t>Attachments</w:t>
      </w:r>
    </w:p>
    <w:p w14:paraId="063C29F8" w14:textId="47C34167" w:rsidR="003D0BED" w:rsidRDefault="003D0BED" w:rsidP="00322975">
      <w:pPr>
        <w:pStyle w:val="NormalWeb"/>
        <w:spacing w:before="0" w:beforeAutospacing="0" w:after="0" w:afterAutospacing="0"/>
        <w:contextualSpacing/>
      </w:pPr>
      <w:r>
        <w:t>Attachment A:   Summary Page of Tariffs</w:t>
      </w:r>
    </w:p>
    <w:p w14:paraId="4D22B695" w14:textId="2680F803" w:rsidR="003D0BED" w:rsidRDefault="003D0BED" w:rsidP="007B594D">
      <w:pPr>
        <w:pStyle w:val="NormalWeb"/>
        <w:tabs>
          <w:tab w:val="left" w:pos="1620"/>
        </w:tabs>
        <w:spacing w:before="0" w:beforeAutospacing="0" w:after="0" w:afterAutospacing="0"/>
        <w:contextualSpacing/>
      </w:pPr>
      <w:r>
        <w:t>Attachment B:   Proposed Tariff Sheets</w:t>
      </w:r>
    </w:p>
    <w:p w14:paraId="05FE101B" w14:textId="70484EDF" w:rsidR="00F8061D" w:rsidRPr="00322975" w:rsidRDefault="003D0BED" w:rsidP="007B594D">
      <w:pPr>
        <w:pStyle w:val="NormalWeb"/>
        <w:tabs>
          <w:tab w:val="left" w:pos="1620"/>
        </w:tabs>
        <w:spacing w:before="0" w:beforeAutospacing="0" w:after="0" w:afterAutospacing="0"/>
        <w:contextualSpacing/>
      </w:pPr>
      <w:r>
        <w:t xml:space="preserve">Exhibit A:        </w:t>
      </w:r>
      <w:r w:rsidR="007B594D">
        <w:t xml:space="preserve"> </w:t>
      </w:r>
      <w:r>
        <w:t>Proposed Enrollments, Administrative Costs</w:t>
      </w:r>
      <w:r w:rsidR="00287364">
        <w:t>,</w:t>
      </w:r>
      <w:r>
        <w:t xml:space="preserve"> and Customer Credits</w:t>
      </w:r>
    </w:p>
    <w:sectPr w:rsidR="00F8061D" w:rsidRPr="00322975" w:rsidSect="0007282A">
      <w:headerReference w:type="default" r:id="rId17"/>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CA5DB" w14:textId="77777777" w:rsidR="005856B7" w:rsidRDefault="005856B7" w:rsidP="00964072">
      <w:r>
        <w:separator/>
      </w:r>
    </w:p>
  </w:endnote>
  <w:endnote w:type="continuationSeparator" w:id="0">
    <w:p w14:paraId="5760D20D" w14:textId="77777777" w:rsidR="005856B7" w:rsidRDefault="005856B7" w:rsidP="00964072">
      <w:r>
        <w:continuationSeparator/>
      </w:r>
    </w:p>
  </w:endnote>
  <w:endnote w:type="continuationNotice" w:id="1">
    <w:p w14:paraId="65B405AA" w14:textId="77777777" w:rsidR="005856B7" w:rsidRDefault="00585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1966D" w14:textId="77777777" w:rsidR="009227E7" w:rsidRDefault="00922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C2F13" w14:textId="77777777" w:rsidR="009227E7" w:rsidRDefault="009227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8C44B" w14:textId="77777777" w:rsidR="009227E7" w:rsidRDefault="00922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33ECB" w14:textId="77777777" w:rsidR="005856B7" w:rsidRDefault="005856B7" w:rsidP="00964072">
      <w:r>
        <w:separator/>
      </w:r>
    </w:p>
  </w:footnote>
  <w:footnote w:type="continuationSeparator" w:id="0">
    <w:p w14:paraId="11642D4F" w14:textId="77777777" w:rsidR="005856B7" w:rsidRDefault="005856B7" w:rsidP="00964072">
      <w:r>
        <w:continuationSeparator/>
      </w:r>
    </w:p>
  </w:footnote>
  <w:footnote w:type="continuationNotice" w:id="1">
    <w:p w14:paraId="4959BB80" w14:textId="77777777" w:rsidR="005856B7" w:rsidRDefault="005856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3B32B" w14:textId="77777777" w:rsidR="009227E7" w:rsidRDefault="009227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3EA19" w14:textId="77777777" w:rsidR="009227E7" w:rsidRDefault="009227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989DA" w14:textId="77777777" w:rsidR="009227E7" w:rsidRDefault="009227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119C7" w14:textId="77777777" w:rsidR="00460295" w:rsidRDefault="00460295">
    <w:pPr>
      <w:pStyle w:val="Header"/>
    </w:pPr>
    <w:r>
      <w:t>Washington Utilities and Transportation Commission</w:t>
    </w:r>
  </w:p>
  <w:p w14:paraId="6A66BA76" w14:textId="543D49FD" w:rsidR="00460295" w:rsidRDefault="00DE6D16">
    <w:pPr>
      <w:pStyle w:val="Header"/>
    </w:pPr>
    <w:r>
      <w:t>March 2</w:t>
    </w:r>
    <w:r w:rsidR="0096532C">
      <w:t>9</w:t>
    </w:r>
    <w:r w:rsidR="001A2DB2">
      <w:t>, 2017</w:t>
    </w:r>
  </w:p>
  <w:p w14:paraId="020C328A" w14:textId="77777777" w:rsidR="00460295" w:rsidRDefault="00460295">
    <w:pPr>
      <w:pStyle w:val="Header"/>
    </w:pPr>
    <w:r>
      <w:t xml:space="preserve">Page </w:t>
    </w:r>
    <w:r w:rsidR="001C0F05">
      <w:fldChar w:fldCharType="begin"/>
    </w:r>
    <w:r w:rsidR="001C0F05">
      <w:instrText xml:space="preserve"> PAGE   \* MERGEFORMAT </w:instrText>
    </w:r>
    <w:r w:rsidR="001C0F05">
      <w:fldChar w:fldCharType="separate"/>
    </w:r>
    <w:r w:rsidR="00666E9B">
      <w:rPr>
        <w:noProof/>
      </w:rPr>
      <w:t>2</w:t>
    </w:r>
    <w:r w:rsidR="001C0F05">
      <w:rPr>
        <w:noProof/>
      </w:rPr>
      <w:fldChar w:fldCharType="end"/>
    </w:r>
  </w:p>
  <w:p w14:paraId="28FB7A4D" w14:textId="77777777" w:rsidR="00460295" w:rsidRDefault="00460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22ED"/>
    <w:multiLevelType w:val="hybridMultilevel"/>
    <w:tmpl w:val="1DE2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B1CD9"/>
    <w:multiLevelType w:val="hybridMultilevel"/>
    <w:tmpl w:val="741C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5645D1D"/>
    <w:multiLevelType w:val="hybridMultilevel"/>
    <w:tmpl w:val="CAA2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F06564"/>
    <w:multiLevelType w:val="hybridMultilevel"/>
    <w:tmpl w:val="D562B51E"/>
    <w:lvl w:ilvl="0" w:tplc="E800FF18">
      <w:start w:val="1"/>
      <w:numFmt w:val="bullet"/>
      <w:lvlText w:val="•"/>
      <w:lvlJc w:val="left"/>
      <w:pPr>
        <w:tabs>
          <w:tab w:val="num" w:pos="720"/>
        </w:tabs>
        <w:ind w:left="720" w:hanging="360"/>
      </w:pPr>
      <w:rPr>
        <w:rFonts w:ascii="Arial" w:hAnsi="Arial" w:hint="default"/>
      </w:rPr>
    </w:lvl>
    <w:lvl w:ilvl="1" w:tplc="D0BEADE2">
      <w:start w:val="1461"/>
      <w:numFmt w:val="bullet"/>
      <w:lvlText w:val="–"/>
      <w:lvlJc w:val="left"/>
      <w:pPr>
        <w:tabs>
          <w:tab w:val="num" w:pos="1440"/>
        </w:tabs>
        <w:ind w:left="1440" w:hanging="360"/>
      </w:pPr>
      <w:rPr>
        <w:rFonts w:ascii="Arial" w:hAnsi="Arial" w:hint="default"/>
      </w:rPr>
    </w:lvl>
    <w:lvl w:ilvl="2" w:tplc="4F48D760" w:tentative="1">
      <w:start w:val="1"/>
      <w:numFmt w:val="bullet"/>
      <w:lvlText w:val="•"/>
      <w:lvlJc w:val="left"/>
      <w:pPr>
        <w:tabs>
          <w:tab w:val="num" w:pos="2160"/>
        </w:tabs>
        <w:ind w:left="2160" w:hanging="360"/>
      </w:pPr>
      <w:rPr>
        <w:rFonts w:ascii="Arial" w:hAnsi="Arial" w:hint="default"/>
      </w:rPr>
    </w:lvl>
    <w:lvl w:ilvl="3" w:tplc="3C8AD7B2" w:tentative="1">
      <w:start w:val="1"/>
      <w:numFmt w:val="bullet"/>
      <w:lvlText w:val="•"/>
      <w:lvlJc w:val="left"/>
      <w:pPr>
        <w:tabs>
          <w:tab w:val="num" w:pos="2880"/>
        </w:tabs>
        <w:ind w:left="2880" w:hanging="360"/>
      </w:pPr>
      <w:rPr>
        <w:rFonts w:ascii="Arial" w:hAnsi="Arial" w:hint="default"/>
      </w:rPr>
    </w:lvl>
    <w:lvl w:ilvl="4" w:tplc="59FA2B0E" w:tentative="1">
      <w:start w:val="1"/>
      <w:numFmt w:val="bullet"/>
      <w:lvlText w:val="•"/>
      <w:lvlJc w:val="left"/>
      <w:pPr>
        <w:tabs>
          <w:tab w:val="num" w:pos="3600"/>
        </w:tabs>
        <w:ind w:left="3600" w:hanging="360"/>
      </w:pPr>
      <w:rPr>
        <w:rFonts w:ascii="Arial" w:hAnsi="Arial" w:hint="default"/>
      </w:rPr>
    </w:lvl>
    <w:lvl w:ilvl="5" w:tplc="0C1843BC" w:tentative="1">
      <w:start w:val="1"/>
      <w:numFmt w:val="bullet"/>
      <w:lvlText w:val="•"/>
      <w:lvlJc w:val="left"/>
      <w:pPr>
        <w:tabs>
          <w:tab w:val="num" w:pos="4320"/>
        </w:tabs>
        <w:ind w:left="4320" w:hanging="360"/>
      </w:pPr>
      <w:rPr>
        <w:rFonts w:ascii="Arial" w:hAnsi="Arial" w:hint="default"/>
      </w:rPr>
    </w:lvl>
    <w:lvl w:ilvl="6" w:tplc="D1BCB836" w:tentative="1">
      <w:start w:val="1"/>
      <w:numFmt w:val="bullet"/>
      <w:lvlText w:val="•"/>
      <w:lvlJc w:val="left"/>
      <w:pPr>
        <w:tabs>
          <w:tab w:val="num" w:pos="5040"/>
        </w:tabs>
        <w:ind w:left="5040" w:hanging="360"/>
      </w:pPr>
      <w:rPr>
        <w:rFonts w:ascii="Arial" w:hAnsi="Arial" w:hint="default"/>
      </w:rPr>
    </w:lvl>
    <w:lvl w:ilvl="7" w:tplc="6B1CAEBC" w:tentative="1">
      <w:start w:val="1"/>
      <w:numFmt w:val="bullet"/>
      <w:lvlText w:val="•"/>
      <w:lvlJc w:val="left"/>
      <w:pPr>
        <w:tabs>
          <w:tab w:val="num" w:pos="5760"/>
        </w:tabs>
        <w:ind w:left="5760" w:hanging="360"/>
      </w:pPr>
      <w:rPr>
        <w:rFonts w:ascii="Arial" w:hAnsi="Arial" w:hint="default"/>
      </w:rPr>
    </w:lvl>
    <w:lvl w:ilvl="8" w:tplc="DB22642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8F"/>
    <w:rsid w:val="000078B5"/>
    <w:rsid w:val="000127EA"/>
    <w:rsid w:val="00055044"/>
    <w:rsid w:val="000677DF"/>
    <w:rsid w:val="00070353"/>
    <w:rsid w:val="0007282A"/>
    <w:rsid w:val="00076088"/>
    <w:rsid w:val="00082532"/>
    <w:rsid w:val="00087031"/>
    <w:rsid w:val="00093756"/>
    <w:rsid w:val="000A039D"/>
    <w:rsid w:val="000B3DB4"/>
    <w:rsid w:val="000B679C"/>
    <w:rsid w:val="000C064E"/>
    <w:rsid w:val="000C62B2"/>
    <w:rsid w:val="000D424B"/>
    <w:rsid w:val="000D6421"/>
    <w:rsid w:val="000D6469"/>
    <w:rsid w:val="000D6661"/>
    <w:rsid w:val="000E52A3"/>
    <w:rsid w:val="001028F3"/>
    <w:rsid w:val="0010290D"/>
    <w:rsid w:val="0010419F"/>
    <w:rsid w:val="00104940"/>
    <w:rsid w:val="00120ED6"/>
    <w:rsid w:val="00146750"/>
    <w:rsid w:val="0015296C"/>
    <w:rsid w:val="001544F1"/>
    <w:rsid w:val="0015614C"/>
    <w:rsid w:val="001711C6"/>
    <w:rsid w:val="001810B6"/>
    <w:rsid w:val="00184DEC"/>
    <w:rsid w:val="00191D1B"/>
    <w:rsid w:val="00194B73"/>
    <w:rsid w:val="001A1AAA"/>
    <w:rsid w:val="001A2DB2"/>
    <w:rsid w:val="001B5731"/>
    <w:rsid w:val="001C03CC"/>
    <w:rsid w:val="001C0F05"/>
    <w:rsid w:val="001C7ADC"/>
    <w:rsid w:val="001D1145"/>
    <w:rsid w:val="001D5E3E"/>
    <w:rsid w:val="001E7A07"/>
    <w:rsid w:val="001F1BA9"/>
    <w:rsid w:val="001F666C"/>
    <w:rsid w:val="002023C3"/>
    <w:rsid w:val="00204C32"/>
    <w:rsid w:val="00204F28"/>
    <w:rsid w:val="00215DAF"/>
    <w:rsid w:val="00223B55"/>
    <w:rsid w:val="0022408A"/>
    <w:rsid w:val="002305B1"/>
    <w:rsid w:val="00234841"/>
    <w:rsid w:val="0023742A"/>
    <w:rsid w:val="00246066"/>
    <w:rsid w:val="00264351"/>
    <w:rsid w:val="00265A78"/>
    <w:rsid w:val="00270E9C"/>
    <w:rsid w:val="002732B3"/>
    <w:rsid w:val="00287364"/>
    <w:rsid w:val="00290D48"/>
    <w:rsid w:val="00294D95"/>
    <w:rsid w:val="00295285"/>
    <w:rsid w:val="002B15F0"/>
    <w:rsid w:val="002B6E29"/>
    <w:rsid w:val="002D11FF"/>
    <w:rsid w:val="002D4B38"/>
    <w:rsid w:val="002D566A"/>
    <w:rsid w:val="002F6AAF"/>
    <w:rsid w:val="00322975"/>
    <w:rsid w:val="00324462"/>
    <w:rsid w:val="00350F02"/>
    <w:rsid w:val="003529A2"/>
    <w:rsid w:val="00362362"/>
    <w:rsid w:val="00396A73"/>
    <w:rsid w:val="003B370C"/>
    <w:rsid w:val="003C06E2"/>
    <w:rsid w:val="003C0961"/>
    <w:rsid w:val="003C3A72"/>
    <w:rsid w:val="003C6041"/>
    <w:rsid w:val="003D0BED"/>
    <w:rsid w:val="003E01F0"/>
    <w:rsid w:val="003E204D"/>
    <w:rsid w:val="003F15CE"/>
    <w:rsid w:val="003F1BF1"/>
    <w:rsid w:val="003F46BF"/>
    <w:rsid w:val="00415673"/>
    <w:rsid w:val="00416F66"/>
    <w:rsid w:val="004251F1"/>
    <w:rsid w:val="00427B10"/>
    <w:rsid w:val="00427F34"/>
    <w:rsid w:val="00430A5B"/>
    <w:rsid w:val="00433F8F"/>
    <w:rsid w:val="00444015"/>
    <w:rsid w:val="00460295"/>
    <w:rsid w:val="00461F6B"/>
    <w:rsid w:val="0047612B"/>
    <w:rsid w:val="004864BC"/>
    <w:rsid w:val="00490EF1"/>
    <w:rsid w:val="004912AA"/>
    <w:rsid w:val="004A2CB1"/>
    <w:rsid w:val="004C0652"/>
    <w:rsid w:val="004E21BD"/>
    <w:rsid w:val="00500589"/>
    <w:rsid w:val="005170B0"/>
    <w:rsid w:val="0055510F"/>
    <w:rsid w:val="00556E82"/>
    <w:rsid w:val="00567B61"/>
    <w:rsid w:val="00570932"/>
    <w:rsid w:val="005715CB"/>
    <w:rsid w:val="00583E26"/>
    <w:rsid w:val="005856B7"/>
    <w:rsid w:val="005B24C4"/>
    <w:rsid w:val="005B5B0D"/>
    <w:rsid w:val="005B6C80"/>
    <w:rsid w:val="005C7B60"/>
    <w:rsid w:val="005D0D90"/>
    <w:rsid w:val="005D31B6"/>
    <w:rsid w:val="00602D96"/>
    <w:rsid w:val="00607AC6"/>
    <w:rsid w:val="0061729D"/>
    <w:rsid w:val="00622DF3"/>
    <w:rsid w:val="006256E3"/>
    <w:rsid w:val="0062691B"/>
    <w:rsid w:val="00630B8F"/>
    <w:rsid w:val="00630E32"/>
    <w:rsid w:val="00630EFC"/>
    <w:rsid w:val="006437D8"/>
    <w:rsid w:val="00651919"/>
    <w:rsid w:val="006545EE"/>
    <w:rsid w:val="00665604"/>
    <w:rsid w:val="00666E9B"/>
    <w:rsid w:val="00673B1F"/>
    <w:rsid w:val="0069250E"/>
    <w:rsid w:val="006970F0"/>
    <w:rsid w:val="006A6295"/>
    <w:rsid w:val="006A6A31"/>
    <w:rsid w:val="006C4A31"/>
    <w:rsid w:val="006D1DA1"/>
    <w:rsid w:val="006E0B27"/>
    <w:rsid w:val="006F3112"/>
    <w:rsid w:val="006F71BF"/>
    <w:rsid w:val="00707CB4"/>
    <w:rsid w:val="0071570D"/>
    <w:rsid w:val="00732EA5"/>
    <w:rsid w:val="00736C33"/>
    <w:rsid w:val="00740321"/>
    <w:rsid w:val="00743652"/>
    <w:rsid w:val="00745524"/>
    <w:rsid w:val="0075323F"/>
    <w:rsid w:val="00761271"/>
    <w:rsid w:val="00761853"/>
    <w:rsid w:val="00761CD2"/>
    <w:rsid w:val="007644B8"/>
    <w:rsid w:val="00765F30"/>
    <w:rsid w:val="00797663"/>
    <w:rsid w:val="00797F5A"/>
    <w:rsid w:val="007A07ED"/>
    <w:rsid w:val="007A1865"/>
    <w:rsid w:val="007A47C1"/>
    <w:rsid w:val="007B3357"/>
    <w:rsid w:val="007B594D"/>
    <w:rsid w:val="007B7BE5"/>
    <w:rsid w:val="007D4D94"/>
    <w:rsid w:val="007E22BC"/>
    <w:rsid w:val="007E2AA1"/>
    <w:rsid w:val="007E5F59"/>
    <w:rsid w:val="007F2B60"/>
    <w:rsid w:val="00800B4E"/>
    <w:rsid w:val="00813422"/>
    <w:rsid w:val="00816E57"/>
    <w:rsid w:val="0083036E"/>
    <w:rsid w:val="00830EE8"/>
    <w:rsid w:val="0083371F"/>
    <w:rsid w:val="00870075"/>
    <w:rsid w:val="00874DFF"/>
    <w:rsid w:val="00875C27"/>
    <w:rsid w:val="008806A0"/>
    <w:rsid w:val="00881054"/>
    <w:rsid w:val="00884EE8"/>
    <w:rsid w:val="00887032"/>
    <w:rsid w:val="008A048F"/>
    <w:rsid w:val="008E08FF"/>
    <w:rsid w:val="008E5EB7"/>
    <w:rsid w:val="009100EA"/>
    <w:rsid w:val="00910441"/>
    <w:rsid w:val="009115EE"/>
    <w:rsid w:val="00920E41"/>
    <w:rsid w:val="00921099"/>
    <w:rsid w:val="009227E7"/>
    <w:rsid w:val="009509B8"/>
    <w:rsid w:val="00953370"/>
    <w:rsid w:val="00964072"/>
    <w:rsid w:val="0096532C"/>
    <w:rsid w:val="00985F57"/>
    <w:rsid w:val="00990199"/>
    <w:rsid w:val="00991560"/>
    <w:rsid w:val="009A19B8"/>
    <w:rsid w:val="009A7E4D"/>
    <w:rsid w:val="009B2806"/>
    <w:rsid w:val="009B35AF"/>
    <w:rsid w:val="009B4F02"/>
    <w:rsid w:val="009B6768"/>
    <w:rsid w:val="009B7D89"/>
    <w:rsid w:val="009C5818"/>
    <w:rsid w:val="009D28B1"/>
    <w:rsid w:val="009D7379"/>
    <w:rsid w:val="009F1DA9"/>
    <w:rsid w:val="00A0636F"/>
    <w:rsid w:val="00A165B3"/>
    <w:rsid w:val="00A52533"/>
    <w:rsid w:val="00A671CD"/>
    <w:rsid w:val="00A73775"/>
    <w:rsid w:val="00A76DD3"/>
    <w:rsid w:val="00A86A08"/>
    <w:rsid w:val="00A8718D"/>
    <w:rsid w:val="00A96584"/>
    <w:rsid w:val="00AA6891"/>
    <w:rsid w:val="00AB6B55"/>
    <w:rsid w:val="00AC175E"/>
    <w:rsid w:val="00AC713D"/>
    <w:rsid w:val="00AC7B76"/>
    <w:rsid w:val="00AD525E"/>
    <w:rsid w:val="00AD5E3D"/>
    <w:rsid w:val="00AE3851"/>
    <w:rsid w:val="00AE59F9"/>
    <w:rsid w:val="00AF35A9"/>
    <w:rsid w:val="00AF4DE3"/>
    <w:rsid w:val="00B027BD"/>
    <w:rsid w:val="00B37839"/>
    <w:rsid w:val="00B428AA"/>
    <w:rsid w:val="00B45451"/>
    <w:rsid w:val="00B503B4"/>
    <w:rsid w:val="00B5143C"/>
    <w:rsid w:val="00B61146"/>
    <w:rsid w:val="00B74533"/>
    <w:rsid w:val="00B97C8C"/>
    <w:rsid w:val="00BA1A21"/>
    <w:rsid w:val="00BA4CEE"/>
    <w:rsid w:val="00BB3A41"/>
    <w:rsid w:val="00BC716A"/>
    <w:rsid w:val="00BD22FD"/>
    <w:rsid w:val="00BD3612"/>
    <w:rsid w:val="00BF100E"/>
    <w:rsid w:val="00BF1367"/>
    <w:rsid w:val="00C02FB1"/>
    <w:rsid w:val="00C05A4A"/>
    <w:rsid w:val="00C05C76"/>
    <w:rsid w:val="00C219B7"/>
    <w:rsid w:val="00C35E03"/>
    <w:rsid w:val="00C416E7"/>
    <w:rsid w:val="00C43837"/>
    <w:rsid w:val="00C52A4A"/>
    <w:rsid w:val="00C56CB3"/>
    <w:rsid w:val="00C64F06"/>
    <w:rsid w:val="00C66AEE"/>
    <w:rsid w:val="00C76B10"/>
    <w:rsid w:val="00C82073"/>
    <w:rsid w:val="00C8212F"/>
    <w:rsid w:val="00C90214"/>
    <w:rsid w:val="00CA03E0"/>
    <w:rsid w:val="00CA3520"/>
    <w:rsid w:val="00CB6CEF"/>
    <w:rsid w:val="00CB7DAC"/>
    <w:rsid w:val="00CD240F"/>
    <w:rsid w:val="00CE3E12"/>
    <w:rsid w:val="00D0390D"/>
    <w:rsid w:val="00D16AF8"/>
    <w:rsid w:val="00D1787B"/>
    <w:rsid w:val="00D53FDC"/>
    <w:rsid w:val="00D57F9B"/>
    <w:rsid w:val="00D604AC"/>
    <w:rsid w:val="00D72C2E"/>
    <w:rsid w:val="00D73BE9"/>
    <w:rsid w:val="00D83AE4"/>
    <w:rsid w:val="00D9027F"/>
    <w:rsid w:val="00D94472"/>
    <w:rsid w:val="00D9496C"/>
    <w:rsid w:val="00DA3AED"/>
    <w:rsid w:val="00DB3CE0"/>
    <w:rsid w:val="00DB3EF8"/>
    <w:rsid w:val="00DD322E"/>
    <w:rsid w:val="00DD39D0"/>
    <w:rsid w:val="00DE6D16"/>
    <w:rsid w:val="00DF01D1"/>
    <w:rsid w:val="00DF6933"/>
    <w:rsid w:val="00DF786C"/>
    <w:rsid w:val="00E10ABB"/>
    <w:rsid w:val="00E23771"/>
    <w:rsid w:val="00E2499C"/>
    <w:rsid w:val="00E27A65"/>
    <w:rsid w:val="00E31AE2"/>
    <w:rsid w:val="00E51398"/>
    <w:rsid w:val="00E5529C"/>
    <w:rsid w:val="00E61028"/>
    <w:rsid w:val="00E648C5"/>
    <w:rsid w:val="00E76F0B"/>
    <w:rsid w:val="00E8112C"/>
    <w:rsid w:val="00E927DA"/>
    <w:rsid w:val="00E941A9"/>
    <w:rsid w:val="00E96C13"/>
    <w:rsid w:val="00EA6A49"/>
    <w:rsid w:val="00EB2F1F"/>
    <w:rsid w:val="00EB5929"/>
    <w:rsid w:val="00EC13EE"/>
    <w:rsid w:val="00ED3559"/>
    <w:rsid w:val="00ED434E"/>
    <w:rsid w:val="00EF0CF7"/>
    <w:rsid w:val="00EF4D9B"/>
    <w:rsid w:val="00F050E2"/>
    <w:rsid w:val="00F179BA"/>
    <w:rsid w:val="00F17D4A"/>
    <w:rsid w:val="00F4002C"/>
    <w:rsid w:val="00F40CDA"/>
    <w:rsid w:val="00F44863"/>
    <w:rsid w:val="00F5586E"/>
    <w:rsid w:val="00F61D02"/>
    <w:rsid w:val="00F6202B"/>
    <w:rsid w:val="00F63A42"/>
    <w:rsid w:val="00F8061D"/>
    <w:rsid w:val="00F81054"/>
    <w:rsid w:val="00FA3503"/>
    <w:rsid w:val="00FA61BD"/>
    <w:rsid w:val="00FC1B0A"/>
    <w:rsid w:val="00FE02AE"/>
    <w:rsid w:val="00FF42DF"/>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14:docId w14:val="2908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83036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9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rsid w:val="008E5EB7"/>
    <w:rPr>
      <w:rFonts w:ascii="Times New Roman" w:eastAsia="Times New Roman" w:hAnsi="Times New Roman"/>
      <w:sz w:val="20"/>
    </w:rPr>
  </w:style>
  <w:style w:type="character" w:customStyle="1" w:styleId="CommentTextChar">
    <w:name w:val="Comment Text Char"/>
    <w:basedOn w:val="DefaultParagraphFont"/>
    <w:link w:val="CommentText"/>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character" w:customStyle="1" w:styleId="Heading3Char">
    <w:name w:val="Heading 3 Char"/>
    <w:basedOn w:val="DefaultParagraphFont"/>
    <w:link w:val="Heading3"/>
    <w:uiPriority w:val="9"/>
    <w:semiHidden/>
    <w:rsid w:val="0083036E"/>
    <w:rPr>
      <w:rFonts w:asciiTheme="majorHAnsi" w:eastAsiaTheme="majorEastAsia" w:hAnsiTheme="majorHAnsi" w:cstheme="majorBidi"/>
      <w:b/>
      <w:bCs/>
      <w:color w:val="4F81BD" w:themeColor="accent1"/>
      <w:sz w:val="24"/>
    </w:rPr>
  </w:style>
  <w:style w:type="paragraph" w:styleId="NormalWeb">
    <w:name w:val="Normal (Web)"/>
    <w:basedOn w:val="Normal"/>
    <w:unhideWhenUsed/>
    <w:rsid w:val="0083036E"/>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1C7ADC"/>
    <w:pPr>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7476">
      <w:bodyDiv w:val="1"/>
      <w:marLeft w:val="0"/>
      <w:marRight w:val="0"/>
      <w:marTop w:val="0"/>
      <w:marBottom w:val="0"/>
      <w:divBdr>
        <w:top w:val="none" w:sz="0" w:space="0" w:color="auto"/>
        <w:left w:val="none" w:sz="0" w:space="0" w:color="auto"/>
        <w:bottom w:val="none" w:sz="0" w:space="0" w:color="auto"/>
        <w:right w:val="none" w:sz="0" w:space="0" w:color="auto"/>
      </w:divBdr>
    </w:div>
    <w:div w:id="372734580">
      <w:bodyDiv w:val="1"/>
      <w:marLeft w:val="0"/>
      <w:marRight w:val="0"/>
      <w:marTop w:val="0"/>
      <w:marBottom w:val="0"/>
      <w:divBdr>
        <w:top w:val="none" w:sz="0" w:space="0" w:color="auto"/>
        <w:left w:val="none" w:sz="0" w:space="0" w:color="auto"/>
        <w:bottom w:val="none" w:sz="0" w:space="0" w:color="auto"/>
        <w:right w:val="none" w:sz="0" w:space="0" w:color="auto"/>
      </w:divBdr>
      <w:divsChild>
        <w:div w:id="470902519">
          <w:marLeft w:val="547"/>
          <w:marRight w:val="0"/>
          <w:marTop w:val="86"/>
          <w:marBottom w:val="0"/>
          <w:divBdr>
            <w:top w:val="none" w:sz="0" w:space="0" w:color="auto"/>
            <w:left w:val="none" w:sz="0" w:space="0" w:color="auto"/>
            <w:bottom w:val="none" w:sz="0" w:space="0" w:color="auto"/>
            <w:right w:val="none" w:sz="0" w:space="0" w:color="auto"/>
          </w:divBdr>
        </w:div>
        <w:div w:id="1038777956">
          <w:marLeft w:val="1166"/>
          <w:marRight w:val="0"/>
          <w:marTop w:val="72"/>
          <w:marBottom w:val="0"/>
          <w:divBdr>
            <w:top w:val="none" w:sz="0" w:space="0" w:color="auto"/>
            <w:left w:val="none" w:sz="0" w:space="0" w:color="auto"/>
            <w:bottom w:val="none" w:sz="0" w:space="0" w:color="auto"/>
            <w:right w:val="none" w:sz="0" w:space="0" w:color="auto"/>
          </w:divBdr>
        </w:div>
        <w:div w:id="1549954590">
          <w:marLeft w:val="1166"/>
          <w:marRight w:val="0"/>
          <w:marTop w:val="72"/>
          <w:marBottom w:val="0"/>
          <w:divBdr>
            <w:top w:val="none" w:sz="0" w:space="0" w:color="auto"/>
            <w:left w:val="none" w:sz="0" w:space="0" w:color="auto"/>
            <w:bottom w:val="none" w:sz="0" w:space="0" w:color="auto"/>
            <w:right w:val="none" w:sz="0" w:space="0" w:color="auto"/>
          </w:divBdr>
        </w:div>
      </w:divsChild>
    </w:div>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939753363">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tarequest@pacificorp.com" TargetMode="Externa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7AEABD9A085664A8489F1128CE3B18D" ma:contentTypeVersion="104" ma:contentTypeDescription="" ma:contentTypeScope="" ma:versionID="c0ff50169e0368a8b4ea1c8316040e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2017-03-29T07:00:00+00:00</OpenedDate>
    <Date1 xmlns="dc463f71-b30c-4ab2-9473-d307f9d35888">2017-03-29T07:00:00+00:00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170208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F8A00A5-A6AA-4B03-A1B4-1279B250CA02}">
  <ds:schemaRefs>
    <ds:schemaRef ds:uri="http://schemas.openxmlformats.org/officeDocument/2006/bibliography"/>
  </ds:schemaRefs>
</ds:datastoreItem>
</file>

<file path=customXml/itemProps2.xml><?xml version="1.0" encoding="utf-8"?>
<ds:datastoreItem xmlns:ds="http://schemas.openxmlformats.org/officeDocument/2006/customXml" ds:itemID="{D319C461-F9AD-4E90-8F8D-E8835AF112A0}"/>
</file>

<file path=customXml/itemProps3.xml><?xml version="1.0" encoding="utf-8"?>
<ds:datastoreItem xmlns:ds="http://schemas.openxmlformats.org/officeDocument/2006/customXml" ds:itemID="{6AE8998E-44D4-4C12-88ED-8A5C19E4CC83}"/>
</file>

<file path=customXml/itemProps4.xml><?xml version="1.0" encoding="utf-8"?>
<ds:datastoreItem xmlns:ds="http://schemas.openxmlformats.org/officeDocument/2006/customXml" ds:itemID="{FEC33678-DE6E-4B73-B12A-B2324CD2AB01}"/>
</file>

<file path=customXml/itemProps5.xml><?xml version="1.0" encoding="utf-8"?>
<ds:datastoreItem xmlns:ds="http://schemas.openxmlformats.org/officeDocument/2006/customXml" ds:itemID="{1857C833-0B47-41FE-91FB-64AF909D0802}"/>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2017-03-29T17:44:00Z</dcterms:created>
  <dcterms:modified xsi:type="dcterms:W3CDTF">2017-03-29T17:45:00Z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0x0101006E56B4D1795A2E4DB2F0B01679ED314A0057AEABD9A085664A8489F1128CE3B18D</vt:lpwstr>
  </property>
  <property fmtid="{D5CDD505-2E9C-101B-9397-08002B2CF9AE}" pid="3" name="_docset_NoMedatataSyncRequired">
    <vt:lpwstr>False</vt:lpwstr>
  </property>
  <property fmtid="{D5CDD505-2E9C-101B-9397-08002B2CF9AE}" pid="4" name="IsEFSEC">
    <vt:bool>false</vt:bool>
  </property>
</Properties>
</file>