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7D3DD3">
      <w:pPr>
        <w:spacing w:after="240"/>
        <w:jc w:val="center"/>
        <w:rPr>
          <w:b/>
        </w:rPr>
      </w:pPr>
      <w:r w:rsidRPr="00E74D29">
        <w:rPr>
          <w:b/>
        </w:rPr>
        <w:t>WASHINGTON UTILITIES AND TRANSPORTATION COMMISSION</w:t>
      </w:r>
    </w:p>
    <w:p w14:paraId="37F95808" w14:textId="47E54420" w:rsidR="0043715E" w:rsidRPr="00E74D29" w:rsidRDefault="0043715E" w:rsidP="007D3DD3">
      <w:pPr>
        <w:spacing w:after="24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1B384693" w:rsidR="00B233F8" w:rsidRPr="00E74D29" w:rsidRDefault="00E43625" w:rsidP="003409C7">
      <w:pPr>
        <w:jc w:val="right"/>
      </w:pPr>
      <w:r w:rsidRPr="00E74D29">
        <w:t>PENALTY ASSESSMENT</w:t>
      </w:r>
      <w:r w:rsidR="00AC093B" w:rsidRPr="00E74D29">
        <w:t xml:space="preserve">: </w:t>
      </w:r>
      <w:r w:rsidR="003E002D" w:rsidRPr="00E74D29">
        <w:t>T</w:t>
      </w:r>
      <w:r w:rsidR="00E232F7">
        <w:t>V</w:t>
      </w:r>
      <w:r w:rsidR="003E002D" w:rsidRPr="00E74D29">
        <w:t>-</w:t>
      </w:r>
      <w:r w:rsidR="00E232F7">
        <w:t>170038</w:t>
      </w:r>
      <w:r w:rsidR="000D6887" w:rsidRPr="00E74D29">
        <w:br/>
      </w:r>
      <w:r w:rsidR="00AC093B" w:rsidRPr="00E74D29">
        <w:t xml:space="preserve">PENALTY </w:t>
      </w:r>
      <w:r w:rsidRPr="00E74D29">
        <w:t>AMOUNT:</w:t>
      </w:r>
      <w:r w:rsidR="00AC093B" w:rsidRPr="00E74D29">
        <w:t xml:space="preserve"> $</w:t>
      </w:r>
      <w:r w:rsidR="00A1217C">
        <w:t>6</w:t>
      </w:r>
      <w:r w:rsidR="00015B0B" w:rsidRPr="00E74D29">
        <w:t>,</w:t>
      </w:r>
      <w:r w:rsidR="00A1217C">
        <w:t>1</w:t>
      </w:r>
      <w:r w:rsidR="003409C7" w:rsidRPr="00E74D29">
        <w:t>00</w:t>
      </w:r>
    </w:p>
    <w:p w14:paraId="37F95812" w14:textId="06CEDF2A" w:rsidR="00EB4B62" w:rsidRPr="00E74D29" w:rsidRDefault="00E232F7" w:rsidP="007D3DD3">
      <w:pPr>
        <w:spacing w:after="240"/>
      </w:pPr>
      <w:r>
        <w:t>MVP Moving and Storage LLC</w:t>
      </w:r>
      <w:r w:rsidR="007D3DD3">
        <w:br/>
      </w:r>
      <w:r>
        <w:t>19219 68</w:t>
      </w:r>
      <w:r w:rsidRPr="00E232F7">
        <w:rPr>
          <w:vertAlign w:val="superscript"/>
        </w:rPr>
        <w:t>th</w:t>
      </w:r>
      <w:r>
        <w:t xml:space="preserve"> Avenue South #M111</w:t>
      </w:r>
      <w:r w:rsidR="007D3DD3">
        <w:br/>
      </w:r>
      <w:r>
        <w:t>Kent, WA 98032</w:t>
      </w:r>
    </w:p>
    <w:p w14:paraId="5EA19C40" w14:textId="4298C071" w:rsidR="00046F95" w:rsidRPr="00E74D29" w:rsidRDefault="00192142" w:rsidP="007D3DD3">
      <w:pPr>
        <w:spacing w:after="240"/>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0" w:name="OLE_LINK1"/>
      <w:bookmarkStart w:id="1" w:name="OLE_LINK2"/>
      <w:r w:rsidRPr="00E74D29">
        <w:t xml:space="preserve">violations of </w:t>
      </w:r>
      <w:bookmarkEnd w:id="0"/>
      <w:bookmarkEnd w:id="1"/>
      <w:r w:rsidR="0097651C" w:rsidRPr="00E74D29">
        <w:t>Washington Administrative Code (WAC) 480-</w:t>
      </w:r>
      <w:r w:rsidR="0028322C">
        <w:t>15</w:t>
      </w:r>
      <w:r w:rsidR="002F3795" w:rsidRPr="00E74D29">
        <w:t>-</w:t>
      </w:r>
      <w:r w:rsidR="0028322C">
        <w:t>570 Driver Safety Requirements</w:t>
      </w:r>
      <w:r w:rsidR="0032766E">
        <w:t xml:space="preserve">, which adopts </w:t>
      </w:r>
      <w:bookmarkStart w:id="2" w:name="_Hlk473274178"/>
      <w:r w:rsidR="001F239D">
        <w:t xml:space="preserve">Title 49 </w:t>
      </w:r>
      <w:proofErr w:type="spellStart"/>
      <w:r w:rsidR="001F239D">
        <w:t>C.F.R</w:t>
      </w:r>
      <w:proofErr w:type="spellEnd"/>
      <w:r w:rsidR="001F239D">
        <w:t xml:space="preserve">. Part 391 Qualifications of Drivers and Longer Combination Vehicle Driver Instructions, 49 </w:t>
      </w:r>
      <w:proofErr w:type="spellStart"/>
      <w:r w:rsidR="001F239D">
        <w:t>C.F.R</w:t>
      </w:r>
      <w:proofErr w:type="spellEnd"/>
      <w:r w:rsidR="001F239D">
        <w:t>. Part 395</w:t>
      </w:r>
      <w:r w:rsidR="0032766E">
        <w:t xml:space="preserve"> </w:t>
      </w:r>
      <w:r w:rsidR="001F239D">
        <w:t xml:space="preserve">Hours of Service of Drivers, </w:t>
      </w:r>
      <w:r w:rsidR="0032766E">
        <w:t>and WAC 480-15-555 Criminal Background Checks for Prospective Employees</w:t>
      </w:r>
      <w:bookmarkEnd w:id="2"/>
      <w:r w:rsidR="0032766E">
        <w:t>.</w:t>
      </w:r>
    </w:p>
    <w:p w14:paraId="37F95816" w14:textId="0B029134" w:rsidR="005E7BE3" w:rsidRPr="00E74D29" w:rsidRDefault="00555446" w:rsidP="007D3DD3">
      <w:pPr>
        <w:spacing w:after="240"/>
      </w:pPr>
      <w:r w:rsidRPr="00E74D29">
        <w:t>Revised Code of Washington (</w:t>
      </w:r>
      <w:proofErr w:type="spellStart"/>
      <w:r w:rsidRPr="00E74D29">
        <w:t>RCW</w:t>
      </w:r>
      <w:proofErr w:type="spellEnd"/>
      <w:r w:rsidRPr="00E74D29">
        <w:t xml:space="preserve">)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2831AFB8" w:rsidR="00711488" w:rsidRDefault="00C04CA6" w:rsidP="007D3DD3">
      <w:pPr>
        <w:spacing w:after="240"/>
      </w:pPr>
      <w:r>
        <w:t>O</w:t>
      </w:r>
      <w:r w:rsidR="00295C47">
        <w:t xml:space="preserve">n December </w:t>
      </w:r>
      <w:r>
        <w:t xml:space="preserve">20, </w:t>
      </w:r>
      <w:r w:rsidR="00254BAE" w:rsidRPr="00E74D29">
        <w:t xml:space="preserve">2016, </w:t>
      </w:r>
      <w:r w:rsidR="00711488" w:rsidRPr="00E74D29">
        <w:t>Commission Motor Carrier Investigator</w:t>
      </w:r>
      <w:r w:rsidR="00B243D9" w:rsidRPr="00E74D29">
        <w:t xml:space="preserve"> </w:t>
      </w:r>
      <w:r w:rsidR="00295C47">
        <w:t xml:space="preserve">Sandi </w:t>
      </w:r>
      <w:proofErr w:type="spellStart"/>
      <w:r w:rsidR="00295C47">
        <w:t>Yeomans</w:t>
      </w:r>
      <w:proofErr w:type="spellEnd"/>
      <w:r w:rsidR="00295C47">
        <w:t xml:space="preserve"> </w:t>
      </w:r>
      <w:r w:rsidR="00890E29" w:rsidRPr="00E74D29">
        <w:t>conducted</w:t>
      </w:r>
      <w:r w:rsidR="00C00B94" w:rsidRPr="00E74D29">
        <w:t xml:space="preserve"> </w:t>
      </w:r>
      <w:r w:rsidR="00711488" w:rsidRPr="00E74D29">
        <w:t xml:space="preserve">a compliance review of </w:t>
      </w:r>
      <w:r w:rsidR="00164EC6">
        <w:t xml:space="preserve">MVP Moving and Storage LLC (MVP Moving) </w:t>
      </w:r>
      <w:r w:rsidR="001D4C54" w:rsidRPr="00E74D29">
        <w:t xml:space="preserve">and </w:t>
      </w:r>
      <w:r w:rsidR="00711488" w:rsidRPr="00E74D29">
        <w:t>documented the following violations:</w:t>
      </w:r>
    </w:p>
    <w:p w14:paraId="1E3AA730" w14:textId="1D0C958B" w:rsidR="00CB7D7D" w:rsidRPr="001252BA" w:rsidRDefault="00DD2241" w:rsidP="007D3DD3">
      <w:pPr>
        <w:pStyle w:val="ListParagraph"/>
        <w:numPr>
          <w:ilvl w:val="0"/>
          <w:numId w:val="19"/>
        </w:numPr>
        <w:spacing w:after="240"/>
        <w:contextualSpacing w:val="0"/>
        <w:rPr>
          <w:sz w:val="24"/>
          <w:szCs w:val="24"/>
        </w:rPr>
      </w:pPr>
      <w:bookmarkStart w:id="3" w:name="_Hlk472514048"/>
      <w:bookmarkStart w:id="4" w:name="_Hlk472512478"/>
      <w:r w:rsidRPr="001252BA">
        <w:rPr>
          <w:rFonts w:ascii="Times New Roman" w:hAnsi="Times New Roman"/>
          <w:b/>
          <w:sz w:val="24"/>
          <w:szCs w:val="24"/>
        </w:rPr>
        <w:t xml:space="preserve">Fifty-five </w:t>
      </w:r>
      <w:r w:rsidR="007936B6" w:rsidRPr="001252BA">
        <w:rPr>
          <w:rFonts w:ascii="Times New Roman" w:hAnsi="Times New Roman"/>
          <w:b/>
          <w:sz w:val="24"/>
          <w:szCs w:val="24"/>
        </w:rPr>
        <w:t>violation</w:t>
      </w:r>
      <w:r w:rsidR="002326F2" w:rsidRPr="001252BA">
        <w:rPr>
          <w:rFonts w:ascii="Times New Roman" w:hAnsi="Times New Roman"/>
          <w:b/>
          <w:sz w:val="24"/>
          <w:szCs w:val="24"/>
        </w:rPr>
        <w:t>s</w:t>
      </w:r>
      <w:r w:rsidR="007936B6" w:rsidRPr="001252BA">
        <w:rPr>
          <w:rFonts w:ascii="Times New Roman" w:hAnsi="Times New Roman"/>
          <w:b/>
          <w:sz w:val="24"/>
          <w:szCs w:val="24"/>
        </w:rPr>
        <w:t xml:space="preserve"> of </w:t>
      </w:r>
      <w:proofErr w:type="spellStart"/>
      <w:r w:rsidR="007936B6" w:rsidRPr="001252BA">
        <w:rPr>
          <w:rFonts w:ascii="Times New Roman" w:hAnsi="Times New Roman"/>
          <w:b/>
          <w:sz w:val="24"/>
          <w:szCs w:val="24"/>
        </w:rPr>
        <w:t>CFR</w:t>
      </w:r>
      <w:proofErr w:type="spellEnd"/>
      <w:r w:rsidR="007936B6" w:rsidRPr="001252BA">
        <w:rPr>
          <w:rFonts w:ascii="Times New Roman" w:hAnsi="Times New Roman"/>
          <w:b/>
          <w:sz w:val="24"/>
          <w:szCs w:val="24"/>
        </w:rPr>
        <w:t xml:space="preserve"> Part 3</w:t>
      </w:r>
      <w:r w:rsidR="00CB7D7D" w:rsidRPr="001252BA">
        <w:rPr>
          <w:rFonts w:ascii="Times New Roman" w:hAnsi="Times New Roman"/>
          <w:b/>
          <w:sz w:val="24"/>
          <w:szCs w:val="24"/>
        </w:rPr>
        <w:t xml:space="preserve">91.45(a) – Using a driver not medically examined and certified. </w:t>
      </w:r>
      <w:r w:rsidR="00C112F7" w:rsidRPr="001252BA">
        <w:rPr>
          <w:rFonts w:ascii="Times New Roman" w:hAnsi="Times New Roman"/>
          <w:sz w:val="24"/>
          <w:szCs w:val="24"/>
        </w:rPr>
        <w:t xml:space="preserve">MVP Moving allowed its employees to drive without having been medically examined and certified on 55 occasions during the six months prior to the </w:t>
      </w:r>
      <w:proofErr w:type="gramStart"/>
      <w:r w:rsidR="00C112F7" w:rsidRPr="001252BA">
        <w:rPr>
          <w:rFonts w:ascii="Times New Roman" w:hAnsi="Times New Roman"/>
          <w:sz w:val="24"/>
          <w:szCs w:val="24"/>
        </w:rPr>
        <w:t>compliance</w:t>
      </w:r>
      <w:proofErr w:type="gramEnd"/>
      <w:r w:rsidR="00C112F7" w:rsidRPr="001252BA">
        <w:rPr>
          <w:rFonts w:ascii="Times New Roman" w:hAnsi="Times New Roman"/>
          <w:sz w:val="24"/>
          <w:szCs w:val="24"/>
        </w:rPr>
        <w:t xml:space="preserve"> review. Employee Kiel </w:t>
      </w:r>
      <w:proofErr w:type="spellStart"/>
      <w:r w:rsidR="00C112F7" w:rsidRPr="001252BA">
        <w:rPr>
          <w:rFonts w:ascii="Times New Roman" w:hAnsi="Times New Roman"/>
          <w:sz w:val="24"/>
          <w:szCs w:val="24"/>
        </w:rPr>
        <w:t>Hinrichs</w:t>
      </w:r>
      <w:proofErr w:type="spellEnd"/>
      <w:r w:rsidR="00C112F7" w:rsidRPr="001252BA">
        <w:rPr>
          <w:rFonts w:ascii="Times New Roman" w:hAnsi="Times New Roman"/>
          <w:sz w:val="24"/>
          <w:szCs w:val="24"/>
        </w:rPr>
        <w:t xml:space="preserve"> drove ten times in July, fifteen times in August, and seven times in September, 2016. Grady </w:t>
      </w:r>
      <w:proofErr w:type="spellStart"/>
      <w:r w:rsidR="00C112F7" w:rsidRPr="001252BA">
        <w:rPr>
          <w:rFonts w:ascii="Times New Roman" w:hAnsi="Times New Roman"/>
          <w:sz w:val="24"/>
          <w:szCs w:val="24"/>
        </w:rPr>
        <w:t>Silook</w:t>
      </w:r>
      <w:proofErr w:type="spellEnd"/>
      <w:r w:rsidR="00C112F7" w:rsidRPr="001252BA">
        <w:rPr>
          <w:rFonts w:ascii="Times New Roman" w:hAnsi="Times New Roman"/>
          <w:sz w:val="24"/>
          <w:szCs w:val="24"/>
        </w:rPr>
        <w:t xml:space="preserve"> drove nine times in October, ten times in November</w:t>
      </w:r>
      <w:r w:rsidR="009E77B1">
        <w:rPr>
          <w:rFonts w:ascii="Times New Roman" w:hAnsi="Times New Roman"/>
          <w:sz w:val="24"/>
          <w:szCs w:val="24"/>
        </w:rPr>
        <w:t>,</w:t>
      </w:r>
      <w:bookmarkStart w:id="5" w:name="_GoBack"/>
      <w:bookmarkEnd w:id="5"/>
      <w:r w:rsidR="00C112F7" w:rsidRPr="001252BA">
        <w:rPr>
          <w:rFonts w:ascii="Times New Roman" w:hAnsi="Times New Roman"/>
          <w:sz w:val="24"/>
          <w:szCs w:val="24"/>
        </w:rPr>
        <w:t xml:space="preserve"> and twice in December, 2016. Sean Scholes and Andrew Davis drove one time each in October, 2016.</w:t>
      </w:r>
    </w:p>
    <w:bookmarkEnd w:id="3"/>
    <w:p w14:paraId="29C40ADD" w14:textId="37A92289" w:rsidR="00510574" w:rsidRPr="001252BA" w:rsidRDefault="00DD2241" w:rsidP="007D3DD3">
      <w:pPr>
        <w:pStyle w:val="ListParagraph"/>
        <w:numPr>
          <w:ilvl w:val="0"/>
          <w:numId w:val="19"/>
        </w:numPr>
        <w:spacing w:after="240"/>
        <w:contextualSpacing w:val="0"/>
        <w:rPr>
          <w:sz w:val="24"/>
          <w:szCs w:val="24"/>
        </w:rPr>
      </w:pPr>
      <w:r w:rsidRPr="001252BA">
        <w:rPr>
          <w:rFonts w:ascii="Times New Roman" w:hAnsi="Times New Roman"/>
          <w:b/>
          <w:sz w:val="24"/>
          <w:szCs w:val="24"/>
        </w:rPr>
        <w:t>One</w:t>
      </w:r>
      <w:r w:rsidR="002326F2" w:rsidRPr="001252BA">
        <w:rPr>
          <w:rFonts w:ascii="Times New Roman" w:hAnsi="Times New Roman"/>
          <w:b/>
          <w:sz w:val="24"/>
          <w:szCs w:val="24"/>
        </w:rPr>
        <w:t xml:space="preserve"> violation </w:t>
      </w:r>
      <w:r w:rsidR="007936B6" w:rsidRPr="001252BA">
        <w:rPr>
          <w:rFonts w:ascii="Times New Roman" w:hAnsi="Times New Roman"/>
          <w:b/>
          <w:sz w:val="24"/>
          <w:szCs w:val="24"/>
        </w:rPr>
        <w:t xml:space="preserve">of </w:t>
      </w:r>
      <w:proofErr w:type="spellStart"/>
      <w:r w:rsidR="007936B6" w:rsidRPr="001252BA">
        <w:rPr>
          <w:rFonts w:ascii="Times New Roman" w:hAnsi="Times New Roman"/>
          <w:b/>
          <w:sz w:val="24"/>
          <w:szCs w:val="24"/>
        </w:rPr>
        <w:t>CFR</w:t>
      </w:r>
      <w:proofErr w:type="spellEnd"/>
      <w:r w:rsidR="007936B6" w:rsidRPr="001252BA">
        <w:rPr>
          <w:rFonts w:ascii="Times New Roman" w:hAnsi="Times New Roman"/>
          <w:b/>
          <w:sz w:val="24"/>
          <w:szCs w:val="24"/>
        </w:rPr>
        <w:t xml:space="preserve"> 3</w:t>
      </w:r>
      <w:r w:rsidR="002326F2" w:rsidRPr="001252BA">
        <w:rPr>
          <w:rFonts w:ascii="Times New Roman" w:hAnsi="Times New Roman"/>
          <w:b/>
          <w:sz w:val="24"/>
          <w:szCs w:val="24"/>
        </w:rPr>
        <w:t>95.8</w:t>
      </w:r>
      <w:r w:rsidR="007936B6" w:rsidRPr="001252BA">
        <w:rPr>
          <w:rFonts w:ascii="Times New Roman" w:hAnsi="Times New Roman"/>
          <w:b/>
          <w:sz w:val="24"/>
          <w:szCs w:val="24"/>
        </w:rPr>
        <w:t xml:space="preserve">(a) – </w:t>
      </w:r>
      <w:r w:rsidR="002326F2" w:rsidRPr="001252BA">
        <w:rPr>
          <w:rFonts w:ascii="Times New Roman" w:hAnsi="Times New Roman"/>
          <w:b/>
          <w:sz w:val="24"/>
          <w:szCs w:val="24"/>
        </w:rPr>
        <w:t xml:space="preserve">Failing to require driver to make a record of duty status. </w:t>
      </w:r>
      <w:r w:rsidR="002326F2" w:rsidRPr="001252BA">
        <w:rPr>
          <w:rFonts w:ascii="Times New Roman" w:hAnsi="Times New Roman"/>
          <w:sz w:val="24"/>
          <w:szCs w:val="24"/>
        </w:rPr>
        <w:t xml:space="preserve">MVP Moving allowed </w:t>
      </w:r>
      <w:r w:rsidR="00354778" w:rsidRPr="001252BA">
        <w:rPr>
          <w:rFonts w:ascii="Times New Roman" w:hAnsi="Times New Roman"/>
          <w:sz w:val="24"/>
          <w:szCs w:val="24"/>
        </w:rPr>
        <w:t xml:space="preserve">its employees to </w:t>
      </w:r>
      <w:r w:rsidR="002326F2" w:rsidRPr="001252BA">
        <w:rPr>
          <w:rFonts w:ascii="Times New Roman" w:hAnsi="Times New Roman"/>
          <w:sz w:val="24"/>
          <w:szCs w:val="24"/>
        </w:rPr>
        <w:t xml:space="preserve">drive </w:t>
      </w:r>
      <w:r w:rsidR="00F946CC">
        <w:rPr>
          <w:rFonts w:ascii="Times New Roman" w:hAnsi="Times New Roman"/>
          <w:sz w:val="24"/>
          <w:szCs w:val="24"/>
        </w:rPr>
        <w:t xml:space="preserve">58 times during the six months prior to the compliance review </w:t>
      </w:r>
      <w:r w:rsidR="00354778" w:rsidRPr="001252BA">
        <w:rPr>
          <w:rFonts w:ascii="Times New Roman" w:hAnsi="Times New Roman"/>
          <w:sz w:val="24"/>
          <w:szCs w:val="24"/>
        </w:rPr>
        <w:t>without making record</w:t>
      </w:r>
      <w:r w:rsidR="00F946CC">
        <w:rPr>
          <w:rFonts w:ascii="Times New Roman" w:hAnsi="Times New Roman"/>
          <w:sz w:val="24"/>
          <w:szCs w:val="24"/>
        </w:rPr>
        <w:t xml:space="preserve"> of duty status</w:t>
      </w:r>
      <w:r w:rsidR="00354778" w:rsidRPr="001252BA">
        <w:rPr>
          <w:rFonts w:ascii="Times New Roman" w:hAnsi="Times New Roman"/>
          <w:sz w:val="24"/>
          <w:szCs w:val="24"/>
        </w:rPr>
        <w:t xml:space="preserve">. </w:t>
      </w:r>
      <w:r w:rsidR="002326F2" w:rsidRPr="001252BA">
        <w:rPr>
          <w:rFonts w:ascii="Times New Roman" w:hAnsi="Times New Roman"/>
          <w:sz w:val="24"/>
          <w:szCs w:val="24"/>
        </w:rPr>
        <w:t xml:space="preserve"> </w:t>
      </w:r>
    </w:p>
    <w:p w14:paraId="4E5ADE8A" w14:textId="4C65F3B9" w:rsidR="00510574" w:rsidRPr="001252BA" w:rsidRDefault="00510574" w:rsidP="007D3DD3">
      <w:pPr>
        <w:pStyle w:val="ListParagraph"/>
        <w:numPr>
          <w:ilvl w:val="0"/>
          <w:numId w:val="19"/>
        </w:numPr>
        <w:spacing w:after="240"/>
        <w:contextualSpacing w:val="0"/>
        <w:rPr>
          <w:sz w:val="24"/>
          <w:szCs w:val="24"/>
        </w:rPr>
      </w:pPr>
      <w:r w:rsidRPr="001252BA">
        <w:rPr>
          <w:rFonts w:ascii="Times New Roman" w:hAnsi="Times New Roman"/>
          <w:b/>
          <w:sz w:val="24"/>
          <w:szCs w:val="24"/>
        </w:rPr>
        <w:t xml:space="preserve">Five violations of WAC 480-15-555 – Failing to acquire criminal background checks on prospective employees. </w:t>
      </w:r>
      <w:r w:rsidRPr="001252BA">
        <w:rPr>
          <w:rFonts w:ascii="Times New Roman" w:hAnsi="Times New Roman"/>
          <w:sz w:val="24"/>
          <w:szCs w:val="24"/>
        </w:rPr>
        <w:t xml:space="preserve">MVP Moving </w:t>
      </w:r>
      <w:r w:rsidR="00A1217C" w:rsidRPr="001252BA">
        <w:rPr>
          <w:rFonts w:ascii="Times New Roman" w:hAnsi="Times New Roman"/>
          <w:sz w:val="24"/>
          <w:szCs w:val="24"/>
        </w:rPr>
        <w:t xml:space="preserve">failed to acquire criminal background checks on employees Drew Charlie, </w:t>
      </w:r>
      <w:proofErr w:type="spellStart"/>
      <w:r w:rsidR="00A1217C" w:rsidRPr="001252BA">
        <w:rPr>
          <w:rFonts w:ascii="Times New Roman" w:hAnsi="Times New Roman"/>
          <w:sz w:val="24"/>
          <w:szCs w:val="24"/>
        </w:rPr>
        <w:t>Keil</w:t>
      </w:r>
      <w:proofErr w:type="spellEnd"/>
      <w:r w:rsidR="00A1217C" w:rsidRPr="001252BA">
        <w:rPr>
          <w:rFonts w:ascii="Times New Roman" w:hAnsi="Times New Roman"/>
          <w:sz w:val="24"/>
          <w:szCs w:val="24"/>
        </w:rPr>
        <w:t xml:space="preserve"> </w:t>
      </w:r>
      <w:proofErr w:type="spellStart"/>
      <w:r w:rsidR="00A1217C" w:rsidRPr="001252BA">
        <w:rPr>
          <w:rFonts w:ascii="Times New Roman" w:hAnsi="Times New Roman"/>
          <w:sz w:val="24"/>
          <w:szCs w:val="24"/>
        </w:rPr>
        <w:t>Hinrichs</w:t>
      </w:r>
      <w:proofErr w:type="spellEnd"/>
      <w:r w:rsidR="00A1217C" w:rsidRPr="001252BA">
        <w:rPr>
          <w:rFonts w:ascii="Times New Roman" w:hAnsi="Times New Roman"/>
          <w:sz w:val="24"/>
          <w:szCs w:val="24"/>
        </w:rPr>
        <w:t xml:space="preserve">, Grady </w:t>
      </w:r>
      <w:proofErr w:type="spellStart"/>
      <w:r w:rsidR="00A1217C" w:rsidRPr="001252BA">
        <w:rPr>
          <w:rFonts w:ascii="Times New Roman" w:hAnsi="Times New Roman"/>
          <w:sz w:val="24"/>
          <w:szCs w:val="24"/>
        </w:rPr>
        <w:t>Silook</w:t>
      </w:r>
      <w:proofErr w:type="spellEnd"/>
      <w:r w:rsidR="00A1217C" w:rsidRPr="001252BA">
        <w:rPr>
          <w:rFonts w:ascii="Times New Roman" w:hAnsi="Times New Roman"/>
          <w:sz w:val="24"/>
          <w:szCs w:val="24"/>
        </w:rPr>
        <w:t>, Justin Zinn, and David Morrow.</w:t>
      </w:r>
    </w:p>
    <w:bookmarkEnd w:id="4"/>
    <w:p w14:paraId="37F95822" w14:textId="77777777" w:rsidR="00244035" w:rsidRPr="00E74D29" w:rsidRDefault="003E002D" w:rsidP="007D3DD3">
      <w:pPr>
        <w:keepNext/>
        <w:spacing w:after="240"/>
      </w:pPr>
      <w:r w:rsidRPr="00E74D29">
        <w:t>The Commission considered the following factors in determining the appropriate penalt</w:t>
      </w:r>
      <w:r w:rsidR="00875EDB" w:rsidRPr="00E74D29">
        <w:t>ies</w:t>
      </w:r>
      <w:r w:rsidRPr="00E74D29">
        <w:t xml:space="preserve"> for these violations:</w:t>
      </w:r>
    </w:p>
    <w:p w14:paraId="02B0E4C3" w14:textId="5391A0F0" w:rsidR="00D55FE8"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How serious or harmful the violation is to the public</w:t>
      </w:r>
      <w:r w:rsidR="004D00FA" w:rsidRPr="00E74D29">
        <w:rPr>
          <w:rFonts w:ascii="Times New Roman" w:hAnsi="Times New Roman"/>
          <w:b/>
          <w:bCs/>
          <w:sz w:val="24"/>
          <w:szCs w:val="24"/>
        </w:rPr>
        <w:t xml:space="preserve">. </w:t>
      </w:r>
      <w:r w:rsidRPr="00E74D29">
        <w:rPr>
          <w:rFonts w:ascii="Times New Roman" w:hAnsi="Times New Roman"/>
          <w:sz w:val="24"/>
          <w:szCs w:val="24"/>
        </w:rPr>
        <w:t>The violations noted are serious and potentially harmful to the public.</w:t>
      </w:r>
      <w:r w:rsidR="0023546D" w:rsidRPr="00E74D29">
        <w:rPr>
          <w:rFonts w:ascii="Times New Roman" w:hAnsi="Times New Roman"/>
          <w:sz w:val="24"/>
          <w:szCs w:val="24"/>
        </w:rPr>
        <w:t xml:space="preserve"> Companies </w:t>
      </w:r>
      <w:r w:rsidR="005F57B8" w:rsidRPr="00E74D29">
        <w:rPr>
          <w:rFonts w:ascii="Times New Roman" w:hAnsi="Times New Roman"/>
          <w:sz w:val="24"/>
          <w:szCs w:val="24"/>
        </w:rPr>
        <w:t>that</w:t>
      </w:r>
      <w:r w:rsidR="004256AA" w:rsidRPr="00E74D29">
        <w:rPr>
          <w:rFonts w:ascii="Times New Roman" w:hAnsi="Times New Roman"/>
          <w:sz w:val="24"/>
          <w:szCs w:val="24"/>
        </w:rPr>
        <w:t xml:space="preserve"> </w:t>
      </w:r>
      <w:r w:rsidR="00CB4ED0">
        <w:rPr>
          <w:rFonts w:ascii="Times New Roman" w:hAnsi="Times New Roman"/>
          <w:sz w:val="24"/>
          <w:szCs w:val="24"/>
        </w:rPr>
        <w:t xml:space="preserve">use drivers not medically examined and certified and that fail to require drivers to report their hours of service </w:t>
      </w:r>
      <w:r w:rsidR="00D55FE8" w:rsidRPr="00E74D29">
        <w:rPr>
          <w:rFonts w:ascii="Times New Roman" w:hAnsi="Times New Roman"/>
          <w:sz w:val="24"/>
          <w:szCs w:val="24"/>
        </w:rPr>
        <w:t xml:space="preserve">put the </w:t>
      </w:r>
      <w:r w:rsidR="00D55FE8" w:rsidRPr="00E74D29">
        <w:rPr>
          <w:rFonts w:ascii="Times New Roman" w:hAnsi="Times New Roman"/>
          <w:sz w:val="24"/>
          <w:szCs w:val="24"/>
        </w:rPr>
        <w:lastRenderedPageBreak/>
        <w:t xml:space="preserve">traveling public at risk. An </w:t>
      </w:r>
      <w:r w:rsidR="00CB4ED0">
        <w:rPr>
          <w:rFonts w:ascii="Times New Roman" w:hAnsi="Times New Roman"/>
          <w:sz w:val="24"/>
          <w:szCs w:val="24"/>
        </w:rPr>
        <w:t xml:space="preserve">undetected medical condition or fatigued driver </w:t>
      </w:r>
      <w:r w:rsidR="00D55FE8" w:rsidRPr="00E74D29">
        <w:rPr>
          <w:rFonts w:ascii="Times New Roman" w:hAnsi="Times New Roman"/>
          <w:sz w:val="24"/>
          <w:szCs w:val="24"/>
        </w:rPr>
        <w:t>present serious safety concerns.</w:t>
      </w:r>
      <w:r w:rsidR="0032766E">
        <w:rPr>
          <w:rFonts w:ascii="Times New Roman" w:hAnsi="Times New Roman"/>
          <w:sz w:val="24"/>
          <w:szCs w:val="24"/>
        </w:rPr>
        <w:t xml:space="preserve"> An employee with an unknown criminal history raises concerns about the security of the</w:t>
      </w:r>
      <w:r w:rsidR="005F5C30">
        <w:rPr>
          <w:rFonts w:ascii="Times New Roman" w:hAnsi="Times New Roman"/>
          <w:sz w:val="24"/>
          <w:szCs w:val="24"/>
        </w:rPr>
        <w:t xml:space="preserve"> customer’s belongings, as well as their personal safety.</w:t>
      </w:r>
      <w:r w:rsidR="0032766E">
        <w:rPr>
          <w:rFonts w:ascii="Times New Roman" w:hAnsi="Times New Roman"/>
          <w:sz w:val="24"/>
          <w:szCs w:val="24"/>
        </w:rPr>
        <w:t xml:space="preserve"> </w:t>
      </w: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7D3DD3">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3FCB7550" w14:textId="14D7F261" w:rsidR="00D23C56" w:rsidRDefault="0007349C" w:rsidP="007D3DD3">
      <w:pPr>
        <w:spacing w:after="240"/>
        <w:ind w:left="720"/>
      </w:pPr>
      <w:r w:rsidRPr="00E74D29">
        <w:t>In</w:t>
      </w:r>
      <w:r w:rsidR="00C43D64">
        <w:t xml:space="preserve"> the company’s April 2015 a</w:t>
      </w:r>
      <w:r w:rsidRPr="00E74D29">
        <w:t xml:space="preserve">pplication for </w:t>
      </w:r>
      <w:r w:rsidR="00C43D64">
        <w:t>household good</w:t>
      </w:r>
      <w:r w:rsidR="00295C47">
        <w:t>s</w:t>
      </w:r>
      <w:r w:rsidR="00C43D64">
        <w:t xml:space="preserve"> moving </w:t>
      </w:r>
      <w:r w:rsidR="00B736F2" w:rsidRPr="00E74D29">
        <w:t xml:space="preserve">authority, </w:t>
      </w:r>
      <w:r w:rsidR="00C43D64">
        <w:t xml:space="preserve">Aaron </w:t>
      </w:r>
      <w:proofErr w:type="spellStart"/>
      <w:r w:rsidR="00C43D64">
        <w:t>Sumil</w:t>
      </w:r>
      <w:proofErr w:type="spellEnd"/>
      <w:r w:rsidR="00C43D64">
        <w:t>, operations manager and part-owner of MVP Mov</w:t>
      </w:r>
      <w:r w:rsidR="00834653">
        <w:t>ing</w:t>
      </w:r>
      <w:r w:rsidR="001F239D">
        <w:t>,</w:t>
      </w:r>
      <w:r w:rsidR="00C43D64">
        <w:t xml:space="preserve"> </w:t>
      </w:r>
      <w:r w:rsidR="00B736F2" w:rsidRPr="00E74D29">
        <w:t>a</w:t>
      </w:r>
      <w:r w:rsidRPr="00E74D29">
        <w:t>cknowledged his</w:t>
      </w:r>
      <w:r w:rsidR="00834653">
        <w:t xml:space="preserve"> company’s</w:t>
      </w:r>
      <w:r w:rsidRPr="00E74D29">
        <w:t xml:space="preserve"> responsibility to understand and comply with applicable motor carrier safety rules. </w:t>
      </w:r>
      <w:r w:rsidR="00B736F2" w:rsidRPr="00E74D29">
        <w:t xml:space="preserve">In addition, </w:t>
      </w:r>
      <w:r w:rsidR="00F946CC">
        <w:t xml:space="preserve">on July 29, 2015, Mr. </w:t>
      </w:r>
      <w:proofErr w:type="spellStart"/>
      <w:r w:rsidR="00F946CC">
        <w:t>Sumil</w:t>
      </w:r>
      <w:proofErr w:type="spellEnd"/>
      <w:r w:rsidR="00F946CC">
        <w:t xml:space="preserve"> a</w:t>
      </w:r>
      <w:r w:rsidR="0025515A">
        <w:t>ttended household goods movers</w:t>
      </w:r>
      <w:r w:rsidR="00834653">
        <w:t>’</w:t>
      </w:r>
      <w:r w:rsidR="0025515A">
        <w:t xml:space="preserve"> compliance training provided by Commission staff. </w:t>
      </w:r>
      <w:r w:rsidR="00D23C56">
        <w:t xml:space="preserve">The </w:t>
      </w:r>
      <w:r w:rsidR="00D23C56" w:rsidRPr="00EE66E0">
        <w:t>company knew, or should have known about these requirements.</w:t>
      </w:r>
    </w:p>
    <w:p w14:paraId="37F95830" w14:textId="065F8867"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1A8099BD" w:rsidR="00913E5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834653">
        <w:rPr>
          <w:rFonts w:ascii="Times New Roman" w:hAnsi="Times New Roman"/>
          <w:sz w:val="24"/>
          <w:szCs w:val="24"/>
        </w:rPr>
        <w:t xml:space="preserve">MVP Moving was not completely cooperative with the investigation. </w:t>
      </w:r>
      <w:r w:rsidR="005F3262">
        <w:rPr>
          <w:rFonts w:ascii="Times New Roman" w:hAnsi="Times New Roman"/>
          <w:sz w:val="24"/>
          <w:szCs w:val="24"/>
        </w:rPr>
        <w:t>Staff had difficulty obtain</w:t>
      </w:r>
      <w:r w:rsidR="00853CF2">
        <w:rPr>
          <w:rFonts w:ascii="Times New Roman" w:hAnsi="Times New Roman"/>
          <w:sz w:val="24"/>
          <w:szCs w:val="24"/>
        </w:rPr>
        <w:t>ing</w:t>
      </w:r>
      <w:r w:rsidR="005F3262">
        <w:rPr>
          <w:rFonts w:ascii="Times New Roman" w:hAnsi="Times New Roman"/>
          <w:sz w:val="24"/>
          <w:szCs w:val="24"/>
        </w:rPr>
        <w:t xml:space="preserve"> required records from the company.</w:t>
      </w:r>
      <w:r w:rsidR="004D00FA" w:rsidRPr="00E74D29">
        <w:rPr>
          <w:rFonts w:ascii="Times New Roman" w:hAnsi="Times New Roman"/>
          <w:sz w:val="24"/>
          <w:szCs w:val="24"/>
        </w:rPr>
        <w:t xml:space="preserve"> </w:t>
      </w:r>
    </w:p>
    <w:p w14:paraId="788CD3D1" w14:textId="5052C4BE" w:rsidR="0049542B"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656C9C" w:rsidRPr="00E74D29">
        <w:rPr>
          <w:rFonts w:ascii="Times New Roman" w:hAnsi="Times New Roman"/>
          <w:sz w:val="24"/>
          <w:szCs w:val="24"/>
        </w:rPr>
        <w:t>T</w:t>
      </w:r>
      <w:r w:rsidR="005F3262">
        <w:rPr>
          <w:rFonts w:ascii="Times New Roman" w:hAnsi="Times New Roman"/>
          <w:sz w:val="24"/>
          <w:szCs w:val="24"/>
        </w:rPr>
        <w:t xml:space="preserve">o date, staff is not aware of any efforts by the </w:t>
      </w:r>
      <w:r w:rsidR="0007349C" w:rsidRPr="00E74D29">
        <w:rPr>
          <w:rFonts w:ascii="Times New Roman" w:hAnsi="Times New Roman"/>
          <w:sz w:val="24"/>
          <w:szCs w:val="24"/>
        </w:rPr>
        <w:t>company to</w:t>
      </w:r>
      <w:r w:rsidR="005F3262">
        <w:rPr>
          <w:rFonts w:ascii="Times New Roman" w:hAnsi="Times New Roman"/>
          <w:sz w:val="24"/>
          <w:szCs w:val="24"/>
        </w:rPr>
        <w:t xml:space="preserve"> </w:t>
      </w:r>
      <w:r w:rsidR="0007349C" w:rsidRPr="00E74D29">
        <w:rPr>
          <w:rFonts w:ascii="Times New Roman" w:hAnsi="Times New Roman"/>
          <w:sz w:val="24"/>
          <w:szCs w:val="24"/>
        </w:rPr>
        <w:t>correct</w:t>
      </w:r>
      <w:r w:rsidR="00656C9C" w:rsidRPr="00E74D29">
        <w:rPr>
          <w:rFonts w:ascii="Times New Roman" w:hAnsi="Times New Roman"/>
          <w:sz w:val="24"/>
          <w:szCs w:val="24"/>
        </w:rPr>
        <w:t xml:space="preserve"> these violations. </w:t>
      </w:r>
    </w:p>
    <w:p w14:paraId="37F95836" w14:textId="7FE3C4FF"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company this size</w:t>
      </w:r>
      <w:r w:rsidR="00B06CDA" w:rsidRPr="00E74D29">
        <w:rPr>
          <w:rFonts w:ascii="Times New Roman" w:hAnsi="Times New Roman"/>
          <w:sz w:val="24"/>
          <w:szCs w:val="24"/>
        </w:rPr>
        <w:t>,</w:t>
      </w:r>
      <w:r w:rsidR="009D440A" w:rsidRPr="00E74D29">
        <w:rPr>
          <w:rFonts w:ascii="Times New Roman" w:hAnsi="Times New Roman"/>
          <w:sz w:val="24"/>
          <w:szCs w:val="24"/>
        </w:rPr>
        <w:t xml:space="preserve"> 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07349C" w:rsidRPr="00E74D29">
        <w:rPr>
          <w:rFonts w:ascii="Times New Roman" w:hAnsi="Times New Roman"/>
          <w:sz w:val="24"/>
          <w:szCs w:val="24"/>
        </w:rPr>
        <w:t>significant</w:t>
      </w:r>
      <w:r w:rsidR="009B0A47" w:rsidRPr="00E74D29">
        <w:rPr>
          <w:rFonts w:ascii="Times New Roman" w:hAnsi="Times New Roman"/>
          <w:sz w:val="24"/>
          <w:szCs w:val="24"/>
        </w:rPr>
        <w:t>.</w:t>
      </w:r>
    </w:p>
    <w:p w14:paraId="37F95838" w14:textId="1139C534" w:rsidR="003C3335" w:rsidRPr="00E74D29" w:rsidRDefault="003C3335" w:rsidP="007D3DD3">
      <w:pPr>
        <w:pStyle w:val="ListParagraph"/>
        <w:numPr>
          <w:ilvl w:val="0"/>
          <w:numId w:val="8"/>
        </w:numPr>
        <w:spacing w:after="240"/>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traveled</w:t>
      </w:r>
      <w:r w:rsidR="00C40A34" w:rsidRPr="00E74D29">
        <w:rPr>
          <w:rFonts w:ascii="Times New Roman" w:hAnsi="Times New Roman"/>
          <w:sz w:val="24"/>
          <w:szCs w:val="24"/>
        </w:rPr>
        <w:t xml:space="preserve"> </w:t>
      </w:r>
      <w:r w:rsidR="005F3262">
        <w:rPr>
          <w:rFonts w:ascii="Times New Roman" w:hAnsi="Times New Roman"/>
          <w:sz w:val="24"/>
          <w:szCs w:val="24"/>
        </w:rPr>
        <w:t>34,000</w:t>
      </w:r>
      <w:r w:rsidR="00B736F2" w:rsidRPr="00E74D29">
        <w:rPr>
          <w:rFonts w:ascii="Times New Roman" w:hAnsi="Times New Roman"/>
          <w:sz w:val="24"/>
          <w:szCs w:val="24"/>
        </w:rPr>
        <w:t xml:space="preserve"> </w:t>
      </w:r>
      <w:r w:rsidR="009B0A47" w:rsidRPr="00E74D29">
        <w:rPr>
          <w:rFonts w:ascii="Times New Roman" w:hAnsi="Times New Roman"/>
          <w:sz w:val="24"/>
          <w:szCs w:val="24"/>
        </w:rPr>
        <w:t>miles</w:t>
      </w:r>
      <w:r w:rsidR="0017127A" w:rsidRPr="00E74D29">
        <w:rPr>
          <w:rFonts w:ascii="Times New Roman" w:hAnsi="Times New Roman"/>
          <w:sz w:val="24"/>
          <w:szCs w:val="24"/>
        </w:rPr>
        <w:t xml:space="preserve"> and reported $</w:t>
      </w:r>
      <w:r w:rsidR="005F3262">
        <w:rPr>
          <w:rFonts w:ascii="Times New Roman" w:hAnsi="Times New Roman"/>
          <w:sz w:val="24"/>
          <w:szCs w:val="24"/>
        </w:rPr>
        <w:t>611</w:t>
      </w:r>
      <w:r w:rsidR="00B736F2" w:rsidRPr="00E74D29">
        <w:rPr>
          <w:rFonts w:ascii="Times New Roman" w:hAnsi="Times New Roman"/>
          <w:sz w:val="24"/>
          <w:szCs w:val="24"/>
        </w:rPr>
        <w:t>,</w:t>
      </w:r>
      <w:r w:rsidR="005F3262">
        <w:rPr>
          <w:rFonts w:ascii="Times New Roman" w:hAnsi="Times New Roman"/>
          <w:sz w:val="24"/>
          <w:szCs w:val="24"/>
        </w:rPr>
        <w:t>266</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9B0A47" w:rsidRPr="00E74D29">
        <w:rPr>
          <w:rFonts w:ascii="Times New Roman" w:hAnsi="Times New Roman"/>
          <w:sz w:val="24"/>
          <w:szCs w:val="24"/>
        </w:rPr>
        <w:t xml:space="preserve">2015. </w:t>
      </w:r>
      <w:r w:rsidR="005F3262">
        <w:rPr>
          <w:rFonts w:ascii="Times New Roman" w:hAnsi="Times New Roman"/>
          <w:sz w:val="24"/>
          <w:szCs w:val="24"/>
        </w:rPr>
        <w:t xml:space="preserve">A significant number of customers as well as members of the traveling public </w:t>
      </w:r>
      <w:r w:rsidR="00656C9C" w:rsidRPr="00E74D29">
        <w:rPr>
          <w:rFonts w:ascii="Times New Roman" w:hAnsi="Times New Roman"/>
          <w:sz w:val="24"/>
          <w:szCs w:val="24"/>
        </w:rPr>
        <w:t>were likely affected by these s</w:t>
      </w:r>
      <w:r w:rsidR="00C40A34" w:rsidRPr="00E74D29">
        <w:rPr>
          <w:rFonts w:ascii="Times New Roman" w:hAnsi="Times New Roman"/>
          <w:sz w:val="24"/>
          <w:szCs w:val="24"/>
        </w:rPr>
        <w:t>afety violations.</w:t>
      </w:r>
    </w:p>
    <w:p w14:paraId="37F9583A" w14:textId="635D9DA0" w:rsidR="005F0C77"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 xml:space="preserve">ations, however </w:t>
      </w:r>
      <w:r w:rsidR="005F3262">
        <w:rPr>
          <w:rFonts w:ascii="Times New Roman" w:hAnsi="Times New Roman"/>
          <w:sz w:val="24"/>
          <w:szCs w:val="24"/>
        </w:rPr>
        <w:t xml:space="preserve">it does not appear that </w:t>
      </w:r>
      <w:r w:rsidR="00656C9C" w:rsidRPr="00E74D29">
        <w:rPr>
          <w:rFonts w:ascii="Times New Roman" w:hAnsi="Times New Roman"/>
          <w:sz w:val="24"/>
          <w:szCs w:val="24"/>
        </w:rPr>
        <w:t xml:space="preserve">the company has </w:t>
      </w:r>
      <w:r w:rsidR="005F3262">
        <w:rPr>
          <w:rFonts w:ascii="Times New Roman" w:hAnsi="Times New Roman"/>
          <w:sz w:val="24"/>
          <w:szCs w:val="24"/>
        </w:rPr>
        <w:t>taken any s</w:t>
      </w:r>
      <w:r w:rsidR="00656C9C" w:rsidRPr="00E74D29">
        <w:rPr>
          <w:rFonts w:ascii="Times New Roman" w:hAnsi="Times New Roman"/>
          <w:sz w:val="24"/>
          <w:szCs w:val="24"/>
        </w:rPr>
        <w:t xml:space="preserve">teps taken to correct the violations </w:t>
      </w:r>
      <w:r w:rsidR="005F3262">
        <w:rPr>
          <w:rFonts w:ascii="Times New Roman" w:hAnsi="Times New Roman"/>
          <w:sz w:val="24"/>
          <w:szCs w:val="24"/>
        </w:rPr>
        <w:t xml:space="preserve">or </w:t>
      </w:r>
      <w:r w:rsidR="00656C9C" w:rsidRPr="00E74D29">
        <w:rPr>
          <w:rFonts w:ascii="Times New Roman" w:hAnsi="Times New Roman"/>
          <w:sz w:val="24"/>
          <w:szCs w:val="24"/>
        </w:rPr>
        <w:t>prevent future occurrences.</w:t>
      </w:r>
    </w:p>
    <w:p w14:paraId="37F9583C" w14:textId="1BB30A59" w:rsidR="00497C09"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first 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xml:space="preserve">. The company has no history of previous violations or </w:t>
      </w:r>
      <w:r w:rsidR="009B0A47" w:rsidRPr="007D3DD3">
        <w:rPr>
          <w:rFonts w:ascii="Times New Roman" w:hAnsi="Times New Roman"/>
          <w:sz w:val="24"/>
          <w:szCs w:val="24"/>
        </w:rPr>
        <w:t>penalties</w:t>
      </w:r>
      <w:r w:rsidR="009B0A47" w:rsidRPr="00E74D29">
        <w:rPr>
          <w:rFonts w:ascii="Times New Roman" w:hAnsi="Times New Roman"/>
          <w:bCs/>
          <w:sz w:val="24"/>
          <w:szCs w:val="24"/>
        </w:rPr>
        <w:t>.</w:t>
      </w:r>
      <w:r w:rsidR="00497C09" w:rsidRPr="00E74D29">
        <w:rPr>
          <w:rFonts w:ascii="Times New Roman" w:hAnsi="Times New Roman"/>
          <w:sz w:val="24"/>
          <w:szCs w:val="24"/>
        </w:rPr>
        <w:t xml:space="preserve"> </w:t>
      </w:r>
    </w:p>
    <w:p w14:paraId="37F9583E" w14:textId="320FF16D"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5F3262">
        <w:rPr>
          <w:rFonts w:ascii="Times New Roman" w:hAnsi="Times New Roman"/>
          <w:bCs/>
          <w:sz w:val="24"/>
          <w:szCs w:val="24"/>
        </w:rPr>
        <w:t xml:space="preserve">MVP Moving </w:t>
      </w:r>
      <w:r w:rsidR="006F699C" w:rsidRPr="00E74D29">
        <w:rPr>
          <w:rFonts w:ascii="Times New Roman" w:hAnsi="Times New Roman"/>
          <w:bCs/>
          <w:sz w:val="24"/>
          <w:szCs w:val="24"/>
        </w:rPr>
        <w:t xml:space="preserve">has no formal compliance </w:t>
      </w:r>
      <w:r w:rsidR="0004672C" w:rsidRPr="007D3DD3">
        <w:rPr>
          <w:rFonts w:ascii="Times New Roman" w:hAnsi="Times New Roman"/>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37F95840" w14:textId="3D90AE1C"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5F3262">
        <w:rPr>
          <w:rFonts w:ascii="Times New Roman" w:hAnsi="Times New Roman"/>
          <w:bCs/>
          <w:sz w:val="24"/>
          <w:szCs w:val="24"/>
        </w:rPr>
        <w:t>MVP Moving is a small company</w:t>
      </w:r>
      <w:r w:rsidR="00E74DFC">
        <w:rPr>
          <w:rFonts w:ascii="Times New Roman" w:hAnsi="Times New Roman"/>
          <w:bCs/>
          <w:sz w:val="24"/>
          <w:szCs w:val="24"/>
        </w:rPr>
        <w:t>, with</w:t>
      </w:r>
      <w:r w:rsidR="005F3262">
        <w:rPr>
          <w:rFonts w:ascii="Times New Roman" w:hAnsi="Times New Roman"/>
          <w:bCs/>
          <w:sz w:val="24"/>
          <w:szCs w:val="24"/>
        </w:rPr>
        <w:t xml:space="preserve"> four drivers and t</w:t>
      </w:r>
      <w:r w:rsidR="00A42ABA">
        <w:rPr>
          <w:rFonts w:ascii="Times New Roman" w:hAnsi="Times New Roman"/>
          <w:bCs/>
          <w:sz w:val="24"/>
          <w:szCs w:val="24"/>
        </w:rPr>
        <w:t>hree</w:t>
      </w:r>
      <w:r w:rsidR="005F3262">
        <w:rPr>
          <w:rFonts w:ascii="Times New Roman" w:hAnsi="Times New Roman"/>
          <w:bCs/>
          <w:sz w:val="24"/>
          <w:szCs w:val="24"/>
        </w:rPr>
        <w:t xml:space="preserve"> commercial vehicles. In 2015 the company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853CF2">
        <w:rPr>
          <w:rFonts w:ascii="Times New Roman" w:hAnsi="Times New Roman"/>
          <w:bCs/>
          <w:sz w:val="24"/>
          <w:szCs w:val="24"/>
        </w:rPr>
        <w:t>611,266</w:t>
      </w:r>
      <w:r w:rsidR="009163DE">
        <w:rPr>
          <w:rFonts w:ascii="Times New Roman" w:hAnsi="Times New Roman"/>
          <w:bCs/>
          <w:sz w:val="24"/>
          <w:szCs w:val="24"/>
        </w:rPr>
        <w:t xml:space="preserve"> </w:t>
      </w:r>
      <w:r w:rsidR="00497C09" w:rsidRPr="00E74D29">
        <w:rPr>
          <w:rFonts w:ascii="Times New Roman" w:hAnsi="Times New Roman"/>
          <w:bCs/>
          <w:sz w:val="24"/>
          <w:szCs w:val="24"/>
        </w:rPr>
        <w:t xml:space="preserve">in gross revenue and </w:t>
      </w:r>
      <w:r w:rsidR="00853CF2">
        <w:rPr>
          <w:rFonts w:ascii="Times New Roman" w:hAnsi="Times New Roman"/>
          <w:bCs/>
          <w:sz w:val="24"/>
          <w:szCs w:val="24"/>
        </w:rPr>
        <w:t>34,000</w:t>
      </w:r>
      <w:r w:rsidR="009163DE">
        <w:rPr>
          <w:rFonts w:ascii="Times New Roman" w:hAnsi="Times New Roman"/>
          <w:bCs/>
          <w:sz w:val="24"/>
          <w:szCs w:val="24"/>
        </w:rPr>
        <w:t xml:space="preserve">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ed</w:t>
      </w:r>
      <w:r w:rsidR="00B66089" w:rsidRPr="00E74D29">
        <w:rPr>
          <w:rFonts w:ascii="Times New Roman" w:hAnsi="Times New Roman"/>
          <w:bCs/>
          <w:sz w:val="24"/>
          <w:szCs w:val="24"/>
        </w:rPr>
        <w:t>.</w:t>
      </w:r>
    </w:p>
    <w:p w14:paraId="07232D2F" w14:textId="1CC9F878" w:rsidR="00FF452E" w:rsidRPr="00E74D29" w:rsidRDefault="00235CFD" w:rsidP="007D3DD3">
      <w:pPr>
        <w:spacing w:after="240"/>
      </w:pPr>
      <w:r w:rsidRPr="00E74D29">
        <w:lastRenderedPageBreak/>
        <w:t>The</w:t>
      </w:r>
      <w:r w:rsidR="00DB19FB" w:rsidRPr="00E74D29">
        <w:t xml:space="preserve">se are first-time violations, </w:t>
      </w:r>
      <w:r w:rsidR="00413F2E" w:rsidRPr="00E74D29">
        <w:t>bu</w:t>
      </w:r>
      <w:r w:rsidR="006F681A" w:rsidRPr="00E74D29">
        <w:t>t</w:t>
      </w:r>
      <w:r w:rsidR="00DB19FB" w:rsidRPr="00E74D29">
        <w:t xml:space="preserve"> the</w:t>
      </w:r>
      <w:r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7F95844" w14:textId="69D7871F" w:rsidR="00C51C8A" w:rsidRDefault="00C51C8A" w:rsidP="007D3DD3">
      <w:pPr>
        <w:spacing w:after="240"/>
      </w:pPr>
      <w:r w:rsidRPr="00E74D29">
        <w:t>The Commission has considered these factors and determined that</w:t>
      </w:r>
      <w:r w:rsidR="00DB19FB" w:rsidRPr="00E74D29">
        <w:t xml:space="preserve"> it should penalize</w:t>
      </w:r>
      <w:r w:rsidRPr="00E74D29">
        <w:t xml:space="preserve"> </w:t>
      </w:r>
      <w:r w:rsidR="005F3262">
        <w:t xml:space="preserve">MVP Moving </w:t>
      </w:r>
      <w:r w:rsidR="00AB5831" w:rsidRPr="00E74D29">
        <w:t>$</w:t>
      </w:r>
      <w:r w:rsidR="00F946CC">
        <w:t>6</w:t>
      </w:r>
      <w:r w:rsidR="00AB5831" w:rsidRPr="00E74D29">
        <w:t>,</w:t>
      </w:r>
      <w:r w:rsidR="00F946CC">
        <w:t>1</w:t>
      </w:r>
      <w:r w:rsidR="00AB5831" w:rsidRPr="00E74D29">
        <w:t xml:space="preserve">00 </w:t>
      </w:r>
      <w:r w:rsidR="00143833" w:rsidRPr="00E74D29">
        <w:t>for viola</w:t>
      </w:r>
      <w:r w:rsidRPr="00E74D29">
        <w:t>tions of WAC 480-</w:t>
      </w:r>
      <w:r w:rsidR="005F3262">
        <w:t>15</w:t>
      </w:r>
      <w:r w:rsidRPr="00E74D29">
        <w:t>-</w:t>
      </w:r>
      <w:r w:rsidR="005F3262">
        <w:t>570</w:t>
      </w:r>
      <w:r w:rsidRPr="00E74D29">
        <w:t xml:space="preserve"> Driver Safety Requirements, which adopts </w:t>
      </w:r>
      <w:r w:rsidR="00DD429C">
        <w:t xml:space="preserve">Title 49 </w:t>
      </w:r>
      <w:proofErr w:type="spellStart"/>
      <w:r w:rsidR="00DD429C">
        <w:t>CFR</w:t>
      </w:r>
      <w:proofErr w:type="spellEnd"/>
      <w:r w:rsidR="00DD429C">
        <w:t xml:space="preserve"> Parts 391 and 395</w:t>
      </w:r>
      <w:r w:rsidR="005F5C30">
        <w:t xml:space="preserve"> and </w:t>
      </w:r>
      <w:r w:rsidR="00DD429C">
        <w:t xml:space="preserve">also </w:t>
      </w:r>
      <w:r w:rsidR="005F5C30">
        <w:t>WAC 480-15-555 Criminal Background Checks for Prospective Employees,</w:t>
      </w:r>
      <w:r w:rsidR="007B22BD" w:rsidRPr="00E74D29">
        <w:t xml:space="preserve"> calculated as follows:</w:t>
      </w:r>
      <w:r w:rsidRPr="00E74D29">
        <w:t xml:space="preserve"> </w:t>
      </w:r>
    </w:p>
    <w:p w14:paraId="6C99270D" w14:textId="2916BD02" w:rsidR="005F3262" w:rsidRPr="005F3262" w:rsidRDefault="005F3262" w:rsidP="007D3DD3">
      <w:pPr>
        <w:pStyle w:val="ListParagraph"/>
        <w:numPr>
          <w:ilvl w:val="0"/>
          <w:numId w:val="14"/>
        </w:numPr>
        <w:spacing w:after="240"/>
        <w:ind w:left="778"/>
        <w:contextualSpacing w:val="0"/>
      </w:pPr>
      <w:r w:rsidRPr="005F3262">
        <w:rPr>
          <w:rFonts w:ascii="Times New Roman" w:hAnsi="Times New Roman"/>
          <w:sz w:val="24"/>
          <w:szCs w:val="24"/>
        </w:rPr>
        <w:t>F</w:t>
      </w:r>
      <w:r w:rsidR="00DD2241">
        <w:rPr>
          <w:rFonts w:ascii="Times New Roman" w:hAnsi="Times New Roman"/>
          <w:sz w:val="24"/>
          <w:szCs w:val="24"/>
        </w:rPr>
        <w:t xml:space="preserve">ifty-five </w:t>
      </w:r>
      <w:r w:rsidRPr="005F3262">
        <w:rPr>
          <w:rFonts w:ascii="Times New Roman" w:hAnsi="Times New Roman"/>
          <w:sz w:val="24"/>
          <w:szCs w:val="24"/>
        </w:rPr>
        <w:t xml:space="preserve">violations of </w:t>
      </w:r>
      <w:proofErr w:type="spellStart"/>
      <w:r w:rsidRPr="005F3262">
        <w:rPr>
          <w:rFonts w:ascii="Times New Roman" w:hAnsi="Times New Roman"/>
          <w:sz w:val="24"/>
          <w:szCs w:val="24"/>
        </w:rPr>
        <w:t>CFR</w:t>
      </w:r>
      <w:proofErr w:type="spellEnd"/>
      <w:r w:rsidRPr="005F3262">
        <w:rPr>
          <w:rFonts w:ascii="Times New Roman" w:hAnsi="Times New Roman"/>
          <w:sz w:val="24"/>
          <w:szCs w:val="24"/>
        </w:rPr>
        <w:t xml:space="preserve"> Part 391.45(a) – Using a driver not medically examined and certified. </w:t>
      </w:r>
      <w:r w:rsidR="00634AAE">
        <w:rPr>
          <w:rFonts w:ascii="Times New Roman" w:hAnsi="Times New Roman"/>
          <w:sz w:val="24"/>
          <w:szCs w:val="24"/>
        </w:rPr>
        <w:t>The Commission assesses a penalty of $100 for each of these critical violations, for a total of $5,500.</w:t>
      </w:r>
    </w:p>
    <w:p w14:paraId="40EC4F7B" w14:textId="77777777" w:rsidR="00A1217C" w:rsidRDefault="00337803" w:rsidP="007D3DD3">
      <w:pPr>
        <w:pStyle w:val="ListParagraph"/>
        <w:numPr>
          <w:ilvl w:val="0"/>
          <w:numId w:val="14"/>
        </w:numPr>
        <w:spacing w:after="240"/>
        <w:ind w:left="778"/>
        <w:contextualSpacing w:val="0"/>
        <w:rPr>
          <w:rFonts w:ascii="Times New Roman" w:hAnsi="Times New Roman"/>
          <w:sz w:val="24"/>
          <w:szCs w:val="24"/>
        </w:rPr>
      </w:pPr>
      <w:r>
        <w:rPr>
          <w:rFonts w:ascii="Times New Roman" w:hAnsi="Times New Roman"/>
          <w:sz w:val="24"/>
          <w:szCs w:val="24"/>
        </w:rPr>
        <w:t xml:space="preserve">One </w:t>
      </w:r>
      <w:r w:rsidR="005F3262" w:rsidRPr="005F3262">
        <w:rPr>
          <w:rFonts w:ascii="Times New Roman" w:hAnsi="Times New Roman"/>
          <w:sz w:val="24"/>
          <w:szCs w:val="24"/>
        </w:rPr>
        <w:t xml:space="preserve">violation of </w:t>
      </w:r>
      <w:proofErr w:type="spellStart"/>
      <w:r w:rsidR="005F3262" w:rsidRPr="005F3262">
        <w:rPr>
          <w:rFonts w:ascii="Times New Roman" w:hAnsi="Times New Roman"/>
          <w:sz w:val="24"/>
          <w:szCs w:val="24"/>
        </w:rPr>
        <w:t>CFR</w:t>
      </w:r>
      <w:proofErr w:type="spellEnd"/>
      <w:r w:rsidR="005F3262" w:rsidRPr="005F3262">
        <w:rPr>
          <w:rFonts w:ascii="Times New Roman" w:hAnsi="Times New Roman"/>
          <w:sz w:val="24"/>
          <w:szCs w:val="24"/>
        </w:rPr>
        <w:t xml:space="preserve"> 395.8(a) – Failing to require driver t</w:t>
      </w:r>
      <w:r>
        <w:rPr>
          <w:rFonts w:ascii="Times New Roman" w:hAnsi="Times New Roman"/>
          <w:sz w:val="24"/>
          <w:szCs w:val="24"/>
        </w:rPr>
        <w:t>o make a record of duty status.</w:t>
      </w:r>
      <w:r w:rsidR="005F3262" w:rsidRPr="005F3262">
        <w:rPr>
          <w:rFonts w:ascii="Times New Roman" w:hAnsi="Times New Roman"/>
          <w:sz w:val="24"/>
          <w:szCs w:val="24"/>
        </w:rPr>
        <w:t xml:space="preserve"> </w:t>
      </w:r>
      <w:r w:rsidR="00634AAE">
        <w:rPr>
          <w:rFonts w:ascii="Times New Roman" w:hAnsi="Times New Roman"/>
          <w:sz w:val="24"/>
          <w:szCs w:val="24"/>
        </w:rPr>
        <w:t>The Commission assesses a penalty of $100 for one critical violation of this type.</w:t>
      </w:r>
    </w:p>
    <w:p w14:paraId="5EC27CB1" w14:textId="52E897A0" w:rsidR="00A1217C" w:rsidRPr="00A1217C" w:rsidRDefault="00A1217C" w:rsidP="007D3DD3">
      <w:pPr>
        <w:pStyle w:val="ListParagraph"/>
        <w:numPr>
          <w:ilvl w:val="0"/>
          <w:numId w:val="14"/>
        </w:numPr>
        <w:spacing w:after="240"/>
        <w:ind w:left="778"/>
        <w:contextualSpacing w:val="0"/>
        <w:rPr>
          <w:rFonts w:ascii="Times New Roman" w:hAnsi="Times New Roman"/>
          <w:sz w:val="24"/>
          <w:szCs w:val="24"/>
        </w:rPr>
      </w:pPr>
      <w:r w:rsidRPr="00A1217C">
        <w:rPr>
          <w:rFonts w:ascii="Times New Roman" w:hAnsi="Times New Roman"/>
          <w:sz w:val="24"/>
        </w:rPr>
        <w:t xml:space="preserve">Five violations of WAC 480-15-555 – Failing to acquire criminal background checks on prospective employees. The Commission assesses a penalty of $100 for each of </w:t>
      </w:r>
      <w:r w:rsidR="00F65482">
        <w:rPr>
          <w:rFonts w:ascii="Times New Roman" w:hAnsi="Times New Roman"/>
          <w:sz w:val="24"/>
        </w:rPr>
        <w:t xml:space="preserve">five violations of this Commission rule, </w:t>
      </w:r>
      <w:r w:rsidR="00530A82">
        <w:rPr>
          <w:rFonts w:ascii="Times New Roman" w:hAnsi="Times New Roman"/>
          <w:sz w:val="24"/>
        </w:rPr>
        <w:t>for a total of $500.</w:t>
      </w:r>
    </w:p>
    <w:p w14:paraId="37F9584E" w14:textId="7A558547" w:rsidR="00822DE3" w:rsidRPr="00E74D29" w:rsidRDefault="00822DE3" w:rsidP="007D3DD3">
      <w:pPr>
        <w:spacing w:after="240"/>
      </w:pPr>
      <w:r w:rsidRPr="00E74D29">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7D3DD3">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7D3DD3">
      <w:pPr>
        <w:spacing w:after="240"/>
      </w:pPr>
      <w:r w:rsidRPr="00E74D29">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w:t>
      </w:r>
      <w:proofErr w:type="spellStart"/>
      <w:r w:rsidRPr="00E74D29">
        <w:t>RCW</w:t>
      </w:r>
      <w:proofErr w:type="spellEnd"/>
      <w:r w:rsidRPr="00E74D29">
        <w:t xml:space="preserve"> 81.04.405.</w:t>
      </w:r>
    </w:p>
    <w:p w14:paraId="453F625C" w14:textId="3EA0B7CC" w:rsidR="00E62C1D" w:rsidRPr="00E74D29" w:rsidRDefault="00E62C1D" w:rsidP="007D3DD3">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w:t>
      </w:r>
      <w:r w:rsidRPr="00E74D29">
        <w:lastRenderedPageBreak/>
        <w:t>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7D3DD3">
      <w:pPr>
        <w:numPr>
          <w:ilvl w:val="0"/>
          <w:numId w:val="4"/>
        </w:numPr>
        <w:spacing w:after="240"/>
      </w:pPr>
      <w:r w:rsidRPr="00E74D29">
        <w:t>Request mitigation to contest the amount of the penalty.</w:t>
      </w:r>
    </w:p>
    <w:p w14:paraId="37F9585C" w14:textId="77777777" w:rsidR="0080038C" w:rsidRPr="00E74D29" w:rsidRDefault="0080038C" w:rsidP="007D3DD3">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734EED00" w:rsidR="008370A2" w:rsidRPr="00E74D29" w:rsidRDefault="008370A2" w:rsidP="007D3DD3">
      <w:pPr>
        <w:spacing w:after="240"/>
      </w:pPr>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37F95860" w14:textId="1AC312C5" w:rsidR="00051CEA" w:rsidRPr="00E74D29" w:rsidRDefault="003B0782" w:rsidP="007D3DD3">
      <w:pPr>
        <w:spacing w:after="720"/>
      </w:pPr>
      <w:r w:rsidRPr="00E74D29">
        <w:t>DATED at Olympia, Washington</w:t>
      </w:r>
      <w:r w:rsidR="0068321D" w:rsidRPr="00E74D29">
        <w:t>,</w:t>
      </w:r>
      <w:r w:rsidRPr="00E74D29">
        <w:t xml:space="preserve"> and effective</w:t>
      </w:r>
      <w:r w:rsidR="00BE02A4" w:rsidRPr="00E74D29">
        <w:t xml:space="preserve"> </w:t>
      </w:r>
      <w:r w:rsidR="001F239D" w:rsidRPr="007D3DD3">
        <w:t xml:space="preserve">February </w:t>
      </w:r>
      <w:r w:rsidR="007D3DD3">
        <w:t>13</w:t>
      </w:r>
      <w:r w:rsidR="009A7589" w:rsidRPr="007D3DD3">
        <w:t xml:space="preserve">, </w:t>
      </w:r>
      <w:r w:rsidR="001F239D" w:rsidRPr="007D3DD3">
        <w:t>2017</w:t>
      </w:r>
      <w:r w:rsidR="00C345CC" w:rsidRPr="007D3DD3">
        <w:t>.</w:t>
      </w:r>
    </w:p>
    <w:p w14:paraId="37F95863" w14:textId="7796302F" w:rsidR="00D63BE7" w:rsidRPr="00E74D29" w:rsidRDefault="00C24A4E" w:rsidP="007D3DD3">
      <w:pPr>
        <w:ind w:left="5040"/>
      </w:pPr>
      <w:r w:rsidRPr="00E74D29">
        <w:t>GREGORY J. KOPTA</w:t>
      </w:r>
    </w:p>
    <w:p w14:paraId="37F95864" w14:textId="77777777" w:rsidR="00D63BE7" w:rsidRPr="00E74D29" w:rsidRDefault="00D63BE7" w:rsidP="003409C7">
      <w:pPr>
        <w:ind w:left="5040"/>
        <w:sectPr w:rsidR="00D63BE7" w:rsidRPr="00E74D29" w:rsidSect="00C24A4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3DC89763" w:rsidR="00106B87" w:rsidRPr="00E74D29" w:rsidRDefault="00106B87" w:rsidP="003409C7">
      <w:pPr>
        <w:jc w:val="center"/>
      </w:pPr>
      <w:r w:rsidRPr="00E74D29">
        <w:t xml:space="preserve">PENALTY ASSESSMENT </w:t>
      </w:r>
      <w:r w:rsidR="00CE19E5" w:rsidRPr="00E74D29">
        <w:t>T</w:t>
      </w:r>
      <w:r w:rsidR="005F3262">
        <w:t>V</w:t>
      </w:r>
      <w:r w:rsidR="00CE19E5" w:rsidRPr="00E74D29">
        <w:t>-</w:t>
      </w:r>
      <w:r w:rsidR="005F3262">
        <w:t>170038</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409C7">
      <w:r w:rsidRPr="00E74D29">
        <w:t xml:space="preserve">I have read and understand </w:t>
      </w:r>
      <w:proofErr w:type="spellStart"/>
      <w:r w:rsidRPr="00E74D29">
        <w:t>RCW</w:t>
      </w:r>
      <w:proofErr w:type="spellEnd"/>
      <w:r w:rsidRPr="00E74D29">
        <w:t xml:space="preserve">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409C7">
      <w:pPr>
        <w:tabs>
          <w:tab w:val="left" w:pos="900"/>
        </w:tabs>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6BDE53EE" w14:textId="77777777" w:rsidR="00BB6FFD" w:rsidRDefault="00BB6FFD" w:rsidP="003409C7">
      <w:pPr>
        <w:tabs>
          <w:tab w:val="left" w:pos="900"/>
        </w:tabs>
        <w:ind w:left="907" w:hanging="907"/>
      </w:pPr>
    </w:p>
    <w:p w14:paraId="4B46CE4B" w14:textId="77777777" w:rsidR="00BB6FFD" w:rsidRDefault="00BB6FFD" w:rsidP="003409C7">
      <w:pPr>
        <w:tabs>
          <w:tab w:val="left" w:pos="900"/>
        </w:tabs>
        <w:ind w:left="907" w:hanging="907"/>
      </w:pPr>
    </w:p>
    <w:p w14:paraId="7664DE65" w14:textId="77777777" w:rsidR="00BB6FFD" w:rsidRDefault="00BB6FFD" w:rsidP="003409C7">
      <w:pPr>
        <w:tabs>
          <w:tab w:val="left" w:pos="900"/>
        </w:tabs>
        <w:ind w:left="907" w:hanging="907"/>
      </w:pPr>
    </w:p>
    <w:p w14:paraId="73450F3D" w14:textId="77777777" w:rsidR="00681CD9" w:rsidRPr="00E74D29" w:rsidRDefault="00681CD9" w:rsidP="003409C7">
      <w:pPr>
        <w:tabs>
          <w:tab w:val="left" w:pos="900"/>
        </w:tabs>
        <w:ind w:left="907" w:hanging="907"/>
      </w:pP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3409C7">
      <w:pPr>
        <w:tabs>
          <w:tab w:val="left" w:pos="900"/>
        </w:tabs>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6A196507" w14:textId="77777777" w:rsidR="00BB6FFD" w:rsidRDefault="00BB6FFD" w:rsidP="003409C7">
      <w:pPr>
        <w:tabs>
          <w:tab w:val="left" w:pos="900"/>
        </w:tabs>
        <w:ind w:left="907" w:hanging="907"/>
      </w:pPr>
    </w:p>
    <w:p w14:paraId="6B45A71D" w14:textId="77777777" w:rsidR="00BB6FFD" w:rsidRDefault="00BB6FFD" w:rsidP="003409C7">
      <w:pPr>
        <w:tabs>
          <w:tab w:val="left" w:pos="900"/>
        </w:tabs>
        <w:ind w:left="907" w:hanging="907"/>
      </w:pPr>
    </w:p>
    <w:p w14:paraId="37F95875" w14:textId="3DE6DB25" w:rsidR="00106B87" w:rsidRDefault="00106B87" w:rsidP="003409C7">
      <w:pPr>
        <w:tabs>
          <w:tab w:val="left" w:pos="900"/>
        </w:tabs>
        <w:ind w:left="907" w:hanging="907"/>
      </w:pPr>
    </w:p>
    <w:p w14:paraId="3B668CA6" w14:textId="77777777" w:rsidR="00681CD9" w:rsidRPr="00E74D29" w:rsidRDefault="00681CD9" w:rsidP="003409C7">
      <w:pPr>
        <w:tabs>
          <w:tab w:val="left" w:pos="900"/>
        </w:tabs>
        <w:ind w:left="907" w:hanging="907"/>
      </w:pP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proofErr w:type="spellStart"/>
      <w:r w:rsidRPr="00E74D29">
        <w:t>RCW</w:t>
      </w:r>
      <w:proofErr w:type="spellEnd"/>
      <w:r w:rsidRPr="00E74D29">
        <w:t xml:space="preserve">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12CD1" w14:textId="77777777" w:rsidR="00902C7B" w:rsidRDefault="00902C7B">
      <w:r>
        <w:separator/>
      </w:r>
    </w:p>
  </w:endnote>
  <w:endnote w:type="continuationSeparator" w:id="0">
    <w:p w14:paraId="71D2D93B" w14:textId="77777777" w:rsidR="00902C7B" w:rsidRDefault="0090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E1912" w14:textId="77777777" w:rsidR="00467460" w:rsidRDefault="00467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045A2" w14:textId="77777777" w:rsidR="00467460" w:rsidRDefault="00467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E0A1" w14:textId="77777777" w:rsidR="00467460" w:rsidRDefault="00467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BC15" w14:textId="77777777" w:rsidR="00902C7B" w:rsidRDefault="00902C7B">
      <w:r>
        <w:separator/>
      </w:r>
    </w:p>
  </w:footnote>
  <w:footnote w:type="continuationSeparator" w:id="0">
    <w:p w14:paraId="2763FBA8" w14:textId="77777777" w:rsidR="00902C7B" w:rsidRDefault="00902C7B">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C" w14:textId="77777777" w:rsidR="00D63BE7" w:rsidRPr="00467460" w:rsidRDefault="00D63BE7" w:rsidP="00467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E" w14:textId="77777777" w:rsidR="00C345CC" w:rsidRPr="00467460" w:rsidRDefault="00C345CC" w:rsidP="0046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33107920" w:rsidR="00D63BE7" w:rsidRPr="00467460" w:rsidRDefault="00D63BE7" w:rsidP="004674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1" w14:textId="77777777" w:rsidR="0065019A" w:rsidRPr="00467460" w:rsidRDefault="0065019A" w:rsidP="004674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1A038530" w:rsidR="003A60CF" w:rsidRPr="00467460" w:rsidRDefault="003A60CF" w:rsidP="0046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AE8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57ADE"/>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2BA"/>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39D"/>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460"/>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20991"/>
    <w:rsid w:val="00521061"/>
    <w:rsid w:val="0052412F"/>
    <w:rsid w:val="00530A82"/>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262"/>
    <w:rsid w:val="005F3374"/>
    <w:rsid w:val="005F57B8"/>
    <w:rsid w:val="005F588D"/>
    <w:rsid w:val="005F5C30"/>
    <w:rsid w:val="006000E4"/>
    <w:rsid w:val="00605257"/>
    <w:rsid w:val="00605D96"/>
    <w:rsid w:val="00606606"/>
    <w:rsid w:val="00610F8E"/>
    <w:rsid w:val="00612676"/>
    <w:rsid w:val="006213EF"/>
    <w:rsid w:val="00621B9B"/>
    <w:rsid w:val="00622569"/>
    <w:rsid w:val="006230CE"/>
    <w:rsid w:val="00623448"/>
    <w:rsid w:val="0063220A"/>
    <w:rsid w:val="00634579"/>
    <w:rsid w:val="00634AAE"/>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3DD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4653"/>
    <w:rsid w:val="008368C7"/>
    <w:rsid w:val="008370A2"/>
    <w:rsid w:val="00840A8E"/>
    <w:rsid w:val="00844E9A"/>
    <w:rsid w:val="008478EF"/>
    <w:rsid w:val="00850AD7"/>
    <w:rsid w:val="00850F63"/>
    <w:rsid w:val="00851F6C"/>
    <w:rsid w:val="008525BA"/>
    <w:rsid w:val="00853CF2"/>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2F4"/>
    <w:rsid w:val="008F3584"/>
    <w:rsid w:val="008F3840"/>
    <w:rsid w:val="008F466D"/>
    <w:rsid w:val="008F5730"/>
    <w:rsid w:val="009012C4"/>
    <w:rsid w:val="00902C7B"/>
    <w:rsid w:val="0091023A"/>
    <w:rsid w:val="00913E55"/>
    <w:rsid w:val="009163DE"/>
    <w:rsid w:val="009173B9"/>
    <w:rsid w:val="0092378A"/>
    <w:rsid w:val="00924FEC"/>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43E7"/>
    <w:rsid w:val="009B53AF"/>
    <w:rsid w:val="009B778C"/>
    <w:rsid w:val="009C7652"/>
    <w:rsid w:val="009D3FFE"/>
    <w:rsid w:val="009D440A"/>
    <w:rsid w:val="009D50F6"/>
    <w:rsid w:val="009E5984"/>
    <w:rsid w:val="009E77B1"/>
    <w:rsid w:val="009F4007"/>
    <w:rsid w:val="009F5596"/>
    <w:rsid w:val="009F60A3"/>
    <w:rsid w:val="00A004DA"/>
    <w:rsid w:val="00A00ECF"/>
    <w:rsid w:val="00A01106"/>
    <w:rsid w:val="00A114AF"/>
    <w:rsid w:val="00A1217C"/>
    <w:rsid w:val="00A12567"/>
    <w:rsid w:val="00A1308A"/>
    <w:rsid w:val="00A133E7"/>
    <w:rsid w:val="00A15CE4"/>
    <w:rsid w:val="00A15D6A"/>
    <w:rsid w:val="00A209FC"/>
    <w:rsid w:val="00A24FE9"/>
    <w:rsid w:val="00A304AC"/>
    <w:rsid w:val="00A33B76"/>
    <w:rsid w:val="00A36F7B"/>
    <w:rsid w:val="00A40469"/>
    <w:rsid w:val="00A413C7"/>
    <w:rsid w:val="00A42ABA"/>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04CA6"/>
    <w:rsid w:val="00C10772"/>
    <w:rsid w:val="00C112F7"/>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4ED0"/>
    <w:rsid w:val="00CB5E73"/>
    <w:rsid w:val="00CB7A77"/>
    <w:rsid w:val="00CB7D36"/>
    <w:rsid w:val="00CB7D7D"/>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D2241"/>
    <w:rsid w:val="00DD429C"/>
    <w:rsid w:val="00DE7B57"/>
    <w:rsid w:val="00DF038A"/>
    <w:rsid w:val="00DF0DC7"/>
    <w:rsid w:val="00DF2658"/>
    <w:rsid w:val="00DF5388"/>
    <w:rsid w:val="00DF6F8D"/>
    <w:rsid w:val="00E00A93"/>
    <w:rsid w:val="00E0651B"/>
    <w:rsid w:val="00E10BBA"/>
    <w:rsid w:val="00E11DFD"/>
    <w:rsid w:val="00E14B9E"/>
    <w:rsid w:val="00E14E76"/>
    <w:rsid w:val="00E1509A"/>
    <w:rsid w:val="00E17A76"/>
    <w:rsid w:val="00E232F7"/>
    <w:rsid w:val="00E27B47"/>
    <w:rsid w:val="00E32BD9"/>
    <w:rsid w:val="00E345D1"/>
    <w:rsid w:val="00E369E6"/>
    <w:rsid w:val="00E40856"/>
    <w:rsid w:val="00E422DA"/>
    <w:rsid w:val="00E429A2"/>
    <w:rsid w:val="00E42B13"/>
    <w:rsid w:val="00E43625"/>
    <w:rsid w:val="00E473DD"/>
    <w:rsid w:val="00E52160"/>
    <w:rsid w:val="00E60A18"/>
    <w:rsid w:val="00E61260"/>
    <w:rsid w:val="00E613ED"/>
    <w:rsid w:val="00E62C1D"/>
    <w:rsid w:val="00E62CC5"/>
    <w:rsid w:val="00E6628B"/>
    <w:rsid w:val="00E74174"/>
    <w:rsid w:val="00E74D29"/>
    <w:rsid w:val="00E74DFC"/>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4D23"/>
    <w:rsid w:val="00F85D22"/>
    <w:rsid w:val="00F864C2"/>
    <w:rsid w:val="00F869AB"/>
    <w:rsid w:val="00F935D8"/>
    <w:rsid w:val="00F946CC"/>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E3C2B"/>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3C6B1ADF7EED4ABC9BFEFC021267EE" ma:contentTypeVersion="104" ma:contentTypeDescription="" ma:contentTypeScope="" ma:versionID="0734c270a51d7f0edcdb46dd7e3c75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2017-01-17T08:00:00+00:00</OpenedDate>
    <Date1 xmlns="dc463f71-b30c-4ab2-9473-d307f9d35888">2017-02-15T08:00:00+00:00</Date1>
    <IsDocumentOrder xmlns="dc463f71-b30c-4ab2-9473-d307f9d35888">true</IsDocumentOrder>
    <IsHighlyConfidential xmlns="dc463f71-b30c-4ab2-9473-d307f9d35888">false</IsHighlyConfidential>
    <CaseCompanyNames xmlns="dc463f71-b30c-4ab2-9473-d307f9d35888">MVP Moving and Storage LLC</CaseCompanyNames>
    <Nickname xmlns="http://schemas.microsoft.com/sharepoint/v3" xsi:nil="true"/>
    <DocketNumber xmlns="dc463f71-b30c-4ab2-9473-d307f9d35888">170038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DCF819D-E34A-4CFC-9E48-6A5AAC1E1FDC}">
  <ds:schemaRefs>
    <ds:schemaRef ds:uri="http://schemas.openxmlformats.org/officeDocument/2006/bibliography"/>
  </ds:schemaRefs>
</ds:datastoreItem>
</file>

<file path=customXml/itemProps2.xml><?xml version="1.0" encoding="utf-8"?>
<ds:datastoreItem xmlns:ds="http://schemas.openxmlformats.org/officeDocument/2006/customXml" ds:itemID="{2301975A-9C2C-417D-B8D7-1F72486582BC}"/>
</file>

<file path=customXml/itemProps3.xml><?xml version="1.0" encoding="utf-8"?>
<ds:datastoreItem xmlns:ds="http://schemas.openxmlformats.org/officeDocument/2006/customXml" ds:itemID="{263EBCFC-D73B-4ECE-A008-A45C656139D2}"/>
</file>

<file path=customXml/itemProps4.xml><?xml version="1.0" encoding="utf-8"?>
<ds:datastoreItem xmlns:ds="http://schemas.openxmlformats.org/officeDocument/2006/customXml" ds:itemID="{4518F340-CF98-4004-A664-ED46ED531A95}"/>
</file>

<file path=customXml/itemProps5.xml><?xml version="1.0" encoding="utf-8"?>
<ds:datastoreItem xmlns:ds="http://schemas.openxmlformats.org/officeDocument/2006/customXml" ds:itemID="{F04EE1D1-17A7-40B0-B5AE-21F2D9F61CA1}"/>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2017-02-13T16:50:00Z</dcterms:created>
  <dcterms:modified xsi:type="dcterms:W3CDTF">2017-02-13T16:53:00Z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0x0101006E56B4D1795A2E4DB2F0B01679ED314A005D3C6B1ADF7EED4ABC9BFEFC021267EE</vt:lpwstr>
  </property>
  <property fmtid="{D5CDD505-2E9C-101B-9397-08002B2CF9AE}" pid="3" name="_docset_NoMedatataSyncRequired">
    <vt:lpwstr>False</vt:lpwstr>
  </property>
  <property fmtid="{D5CDD505-2E9C-101B-9397-08002B2CF9AE}" pid="4" name="IsEFSEC">
    <vt:bool>false</vt:bool>
  </property>
</Properties>
</file>