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9A" w:rsidRPr="007B786F" w:rsidRDefault="00855A9F" w:rsidP="00855A9F">
      <w:pPr>
        <w:jc w:val="center"/>
        <w:rPr>
          <w:rFonts w:ascii="Times New Roman" w:hAnsi="Times New Roman" w:cs="Times New Roman"/>
          <w:b/>
          <w:sz w:val="24"/>
          <w:szCs w:val="24"/>
        </w:rPr>
      </w:pPr>
      <w:bookmarkStart w:id="0" w:name="_GoBack"/>
      <w:bookmarkEnd w:id="0"/>
      <w:r w:rsidRPr="007B786F">
        <w:rPr>
          <w:rFonts w:ascii="Times New Roman" w:hAnsi="Times New Roman" w:cs="Times New Roman"/>
          <w:b/>
          <w:sz w:val="24"/>
          <w:szCs w:val="24"/>
        </w:rPr>
        <w:t>PEAK CREDIT METHODOLOGY</w:t>
      </w:r>
    </w:p>
    <w:p w:rsidR="00881BFB" w:rsidRPr="007B786F" w:rsidRDefault="00881BFB" w:rsidP="00881BFB">
      <w:pPr>
        <w:rPr>
          <w:rFonts w:ascii="Times New Roman" w:hAnsi="Times New Roman" w:cs="Times New Roman"/>
          <w:sz w:val="24"/>
          <w:szCs w:val="24"/>
        </w:rPr>
      </w:pPr>
    </w:p>
    <w:p w:rsidR="00881BFB" w:rsidRPr="007B786F" w:rsidRDefault="00881BFB" w:rsidP="00881BFB">
      <w:pPr>
        <w:rPr>
          <w:rFonts w:ascii="Times New Roman" w:hAnsi="Times New Roman" w:cs="Times New Roman"/>
          <w:sz w:val="24"/>
          <w:szCs w:val="24"/>
        </w:rPr>
      </w:pPr>
      <w:r w:rsidRPr="007B786F">
        <w:rPr>
          <w:rFonts w:ascii="Times New Roman" w:hAnsi="Times New Roman" w:cs="Times New Roman"/>
          <w:sz w:val="24"/>
          <w:szCs w:val="24"/>
        </w:rPr>
        <w:t>The Peak Credit Methodology uses the ratio a simple cycle turbine</w:t>
      </w:r>
      <w:r w:rsidR="00EE6F4B">
        <w:rPr>
          <w:rFonts w:ascii="Times New Roman" w:hAnsi="Times New Roman" w:cs="Times New Roman"/>
          <w:sz w:val="24"/>
          <w:szCs w:val="24"/>
        </w:rPr>
        <w:t xml:space="preserve"> unit costs</w:t>
      </w:r>
      <w:r w:rsidRPr="007B786F">
        <w:rPr>
          <w:rFonts w:ascii="Times New Roman" w:hAnsi="Times New Roman" w:cs="Times New Roman"/>
          <w:sz w:val="24"/>
          <w:szCs w:val="24"/>
        </w:rPr>
        <w:t xml:space="preserve"> to a combined combustion turbine </w:t>
      </w:r>
      <w:r w:rsidR="00EE6F4B">
        <w:rPr>
          <w:rFonts w:ascii="Times New Roman" w:hAnsi="Times New Roman" w:cs="Times New Roman"/>
          <w:sz w:val="24"/>
          <w:szCs w:val="24"/>
        </w:rPr>
        <w:t>for an</w:t>
      </w:r>
      <w:r w:rsidRPr="007B786F">
        <w:rPr>
          <w:rFonts w:ascii="Times New Roman" w:hAnsi="Times New Roman" w:cs="Times New Roman"/>
          <w:sz w:val="24"/>
          <w:szCs w:val="24"/>
        </w:rPr>
        <w:t xml:space="preserve"> energy/demand ratio.  The method of calculating the cost of these resources has varied from case to case but generally includes the capital, fixed, and fuel costs for some number of operating hours throughout a calendar year.  </w:t>
      </w:r>
    </w:p>
    <w:p w:rsidR="00881BFB" w:rsidRPr="007B786F" w:rsidRDefault="00881BFB" w:rsidP="00881BFB">
      <w:pPr>
        <w:rPr>
          <w:rFonts w:ascii="Times New Roman" w:hAnsi="Times New Roman" w:cs="Times New Roman"/>
          <w:sz w:val="24"/>
          <w:szCs w:val="24"/>
        </w:rPr>
      </w:pPr>
    </w:p>
    <w:p w:rsidR="009E52A7" w:rsidRPr="007B786F" w:rsidRDefault="009E52A7" w:rsidP="009E52A7">
      <w:pPr>
        <w:jc w:val="center"/>
        <w:rPr>
          <w:rFonts w:ascii="Times New Roman" w:hAnsi="Times New Roman" w:cs="Times New Roman"/>
          <w:sz w:val="24"/>
          <w:szCs w:val="24"/>
          <w:u w:val="single"/>
        </w:rPr>
      </w:pPr>
      <w:r w:rsidRPr="007B786F">
        <w:rPr>
          <w:rFonts w:ascii="Times New Roman" w:hAnsi="Times New Roman" w:cs="Times New Roman"/>
          <w:sz w:val="24"/>
          <w:szCs w:val="24"/>
          <w:u w:val="single"/>
        </w:rPr>
        <w:t>History</w:t>
      </w:r>
    </w:p>
    <w:p w:rsidR="009E52A7" w:rsidRPr="007B786F" w:rsidRDefault="009E52A7" w:rsidP="00881BFB">
      <w:pPr>
        <w:rPr>
          <w:rFonts w:ascii="Times New Roman" w:hAnsi="Times New Roman" w:cs="Times New Roman"/>
          <w:sz w:val="24"/>
          <w:szCs w:val="24"/>
        </w:rPr>
      </w:pPr>
    </w:p>
    <w:p w:rsidR="00881BFB" w:rsidRPr="007B786F" w:rsidRDefault="00881BFB" w:rsidP="00881BFB">
      <w:pPr>
        <w:rPr>
          <w:rFonts w:ascii="Times New Roman" w:hAnsi="Times New Roman" w:cs="Times New Roman"/>
          <w:sz w:val="24"/>
          <w:szCs w:val="24"/>
        </w:rPr>
      </w:pPr>
      <w:r w:rsidRPr="007B786F">
        <w:rPr>
          <w:rFonts w:ascii="Times New Roman" w:hAnsi="Times New Roman" w:cs="Times New Roman"/>
          <w:sz w:val="24"/>
          <w:szCs w:val="24"/>
        </w:rPr>
        <w:t>In the 78’ Generic Case, the Commission evaluated and responded to the Public Utility Regulatory Policies Act.  The Commission determined that the use of embedded cost as a basis for cost allocation would be properly constructed if it was “forward looking…reflecting the purposes for which plant expenditures are being made”.</w:t>
      </w:r>
      <w:r w:rsidRPr="007B786F">
        <w:rPr>
          <w:rStyle w:val="FootnoteReference"/>
          <w:rFonts w:ascii="Times New Roman" w:hAnsi="Times New Roman" w:cs="Times New Roman"/>
          <w:sz w:val="24"/>
          <w:szCs w:val="24"/>
        </w:rPr>
        <w:footnoteReference w:id="1"/>
      </w:r>
      <w:r w:rsidRPr="007B786F">
        <w:rPr>
          <w:rFonts w:ascii="Times New Roman" w:hAnsi="Times New Roman" w:cs="Times New Roman"/>
          <w:sz w:val="24"/>
          <w:szCs w:val="24"/>
        </w:rPr>
        <w:t xml:space="preserve">  The embedded costs served as a clear starting point that did not require estimates.  In 1981 (U-81-10), the Commission approved for Washington Water Power a modified version of the “Equivalent Peaker Method” called the Peak Credit Methodology.  The Peak Credit Methodology answered the Commission’s call for a “forward-looking” dimension in cost of service studies.  It was quickly adopted for both Puget Sound Energy (U-82-38) and Pacific Power &amp; Light (U 81-17).   </w:t>
      </w:r>
    </w:p>
    <w:p w:rsidR="00881BFB" w:rsidRPr="007B786F" w:rsidRDefault="00881BFB" w:rsidP="00881BFB">
      <w:pPr>
        <w:rPr>
          <w:rFonts w:ascii="Times New Roman" w:hAnsi="Times New Roman" w:cs="Times New Roman"/>
          <w:sz w:val="24"/>
          <w:szCs w:val="24"/>
        </w:rPr>
      </w:pPr>
    </w:p>
    <w:p w:rsidR="00881BFB" w:rsidRPr="007B786F" w:rsidRDefault="00881BFB" w:rsidP="00881BFB">
      <w:pPr>
        <w:rPr>
          <w:rFonts w:ascii="Times New Roman" w:hAnsi="Times New Roman" w:cs="Times New Roman"/>
          <w:sz w:val="24"/>
          <w:szCs w:val="24"/>
        </w:rPr>
      </w:pPr>
      <w:r w:rsidRPr="007B786F">
        <w:rPr>
          <w:rFonts w:ascii="Times New Roman" w:hAnsi="Times New Roman" w:cs="Times New Roman"/>
          <w:sz w:val="24"/>
          <w:szCs w:val="24"/>
        </w:rPr>
        <w:t xml:space="preserve">Following a Rate Design Collaborative involving numerous parties, PSE presented in its 1992 GRC (UE-920499), a modified Peak Credit Methodology.  The 1992 Peak Credit Methodology </w:t>
      </w:r>
      <w:r w:rsidR="00E7438C" w:rsidRPr="007B786F">
        <w:rPr>
          <w:rFonts w:ascii="Times New Roman" w:hAnsi="Times New Roman" w:cs="Times New Roman"/>
          <w:sz w:val="24"/>
          <w:szCs w:val="24"/>
        </w:rPr>
        <w:t>was broken down as follows:</w:t>
      </w:r>
    </w:p>
    <w:p w:rsidR="008558CD" w:rsidRPr="007B786F" w:rsidRDefault="008558CD" w:rsidP="00881BFB">
      <w:pPr>
        <w:rPr>
          <w:rFonts w:ascii="Times New Roman" w:hAnsi="Times New Roman" w:cs="Times New Roman"/>
          <w:sz w:val="24"/>
          <w:szCs w:val="24"/>
        </w:rPr>
      </w:pPr>
    </w:p>
    <w:p w:rsidR="00E7438C" w:rsidRPr="007B786F" w:rsidRDefault="00A244E4" w:rsidP="00E7438C">
      <w:pPr>
        <w:pStyle w:val="ListParagraph"/>
        <w:numPr>
          <w:ilvl w:val="0"/>
          <w:numId w:val="6"/>
        </w:numPr>
        <w:rPr>
          <w:rFonts w:ascii="Times New Roman" w:hAnsi="Times New Roman" w:cs="Times New Roman"/>
          <w:sz w:val="24"/>
          <w:szCs w:val="24"/>
        </w:rPr>
      </w:pPr>
      <w:r w:rsidRPr="007B786F">
        <w:rPr>
          <w:rFonts w:ascii="Times New Roman" w:hAnsi="Times New Roman" w:cs="Times New Roman"/>
          <w:sz w:val="24"/>
          <w:szCs w:val="24"/>
        </w:rPr>
        <w:t xml:space="preserve">Peak Credit Calculation </w:t>
      </w:r>
      <w:r w:rsidR="000E1BAA" w:rsidRPr="007B786F">
        <w:rPr>
          <w:rFonts w:ascii="Times New Roman" w:hAnsi="Times New Roman" w:cs="Times New Roman"/>
          <w:sz w:val="24"/>
          <w:szCs w:val="24"/>
        </w:rPr>
        <w:t>results in 13% Demand/87% Energy using</w:t>
      </w:r>
      <w:r w:rsidRPr="007B786F">
        <w:rPr>
          <w:rFonts w:ascii="Times New Roman" w:hAnsi="Times New Roman" w:cs="Times New Roman"/>
          <w:sz w:val="24"/>
          <w:szCs w:val="24"/>
        </w:rPr>
        <w:t>:</w:t>
      </w:r>
      <w:r w:rsidR="00E7438C" w:rsidRPr="007B786F">
        <w:rPr>
          <w:rFonts w:ascii="Times New Roman" w:hAnsi="Times New Roman" w:cs="Times New Roman"/>
          <w:sz w:val="24"/>
          <w:szCs w:val="24"/>
        </w:rPr>
        <w:tab/>
      </w:r>
    </w:p>
    <w:p w:rsidR="00E7438C" w:rsidRPr="007B786F" w:rsidRDefault="00A244E4" w:rsidP="000F7B17">
      <w:pPr>
        <w:pStyle w:val="ListParagraph"/>
        <w:numPr>
          <w:ilvl w:val="0"/>
          <w:numId w:val="5"/>
        </w:numPr>
        <w:rPr>
          <w:rFonts w:ascii="Times New Roman" w:hAnsi="Times New Roman" w:cs="Times New Roman"/>
          <w:sz w:val="24"/>
          <w:szCs w:val="24"/>
        </w:rPr>
      </w:pPr>
      <w:r w:rsidRPr="007B786F">
        <w:rPr>
          <w:rFonts w:ascii="Times New Roman" w:hAnsi="Times New Roman" w:cs="Times New Roman"/>
          <w:sz w:val="24"/>
          <w:szCs w:val="24"/>
        </w:rPr>
        <w:t>One-half the f</w:t>
      </w:r>
      <w:r w:rsidR="00E7438C" w:rsidRPr="007B786F">
        <w:rPr>
          <w:rFonts w:ascii="Times New Roman" w:hAnsi="Times New Roman" w:cs="Times New Roman"/>
          <w:sz w:val="24"/>
          <w:szCs w:val="24"/>
        </w:rPr>
        <w:t xml:space="preserve">ixed </w:t>
      </w:r>
      <w:r w:rsidRPr="007B786F">
        <w:rPr>
          <w:rFonts w:ascii="Times New Roman" w:hAnsi="Times New Roman" w:cs="Times New Roman"/>
          <w:sz w:val="24"/>
          <w:szCs w:val="24"/>
        </w:rPr>
        <w:t>c</w:t>
      </w:r>
      <w:r w:rsidR="00E7438C" w:rsidRPr="007B786F">
        <w:rPr>
          <w:rFonts w:ascii="Times New Roman" w:hAnsi="Times New Roman" w:cs="Times New Roman"/>
          <w:sz w:val="24"/>
          <w:szCs w:val="24"/>
        </w:rPr>
        <w:t>osts</w:t>
      </w:r>
      <w:r w:rsidRPr="007B786F">
        <w:rPr>
          <w:rFonts w:ascii="Times New Roman" w:hAnsi="Times New Roman" w:cs="Times New Roman"/>
          <w:sz w:val="24"/>
          <w:szCs w:val="24"/>
        </w:rPr>
        <w:t xml:space="preserve"> and O&amp;M</w:t>
      </w:r>
      <w:r w:rsidR="00E7438C" w:rsidRPr="007B786F">
        <w:rPr>
          <w:rFonts w:ascii="Times New Roman" w:hAnsi="Times New Roman" w:cs="Times New Roman"/>
          <w:sz w:val="24"/>
          <w:szCs w:val="24"/>
        </w:rPr>
        <w:t xml:space="preserve"> </w:t>
      </w:r>
      <w:r w:rsidRPr="007B786F">
        <w:rPr>
          <w:rFonts w:ascii="Times New Roman" w:hAnsi="Times New Roman" w:cs="Times New Roman"/>
          <w:sz w:val="24"/>
          <w:szCs w:val="24"/>
        </w:rPr>
        <w:t>associated with a Combustion Turbine</w:t>
      </w:r>
    </w:p>
    <w:p w:rsidR="00A244E4" w:rsidRPr="007B786F" w:rsidRDefault="000E1BAA" w:rsidP="000F7B17">
      <w:pPr>
        <w:pStyle w:val="ListParagraph"/>
        <w:numPr>
          <w:ilvl w:val="0"/>
          <w:numId w:val="5"/>
        </w:numPr>
        <w:rPr>
          <w:rFonts w:ascii="Times New Roman" w:hAnsi="Times New Roman" w:cs="Times New Roman"/>
          <w:sz w:val="24"/>
          <w:szCs w:val="24"/>
        </w:rPr>
      </w:pPr>
      <w:r w:rsidRPr="007B786F">
        <w:rPr>
          <w:rFonts w:ascii="Times New Roman" w:hAnsi="Times New Roman" w:cs="Times New Roman"/>
          <w:sz w:val="24"/>
          <w:szCs w:val="24"/>
        </w:rPr>
        <w:t>Fuel cost inputs based on Natural Gas</w:t>
      </w:r>
    </w:p>
    <w:p w:rsidR="008558CD" w:rsidRPr="007B786F" w:rsidRDefault="008558CD" w:rsidP="008558CD">
      <w:pPr>
        <w:pStyle w:val="ListParagraph"/>
        <w:numPr>
          <w:ilvl w:val="0"/>
          <w:numId w:val="5"/>
        </w:numPr>
        <w:rPr>
          <w:rFonts w:ascii="Times New Roman" w:hAnsi="Times New Roman" w:cs="Times New Roman"/>
          <w:sz w:val="24"/>
          <w:szCs w:val="24"/>
        </w:rPr>
      </w:pPr>
      <w:r w:rsidRPr="007B786F">
        <w:rPr>
          <w:rFonts w:ascii="Times New Roman" w:hAnsi="Times New Roman" w:cs="Times New Roman"/>
          <w:sz w:val="24"/>
          <w:szCs w:val="24"/>
        </w:rPr>
        <w:t>A</w:t>
      </w:r>
      <w:r w:rsidR="000E1BAA" w:rsidRPr="007B786F">
        <w:rPr>
          <w:rFonts w:ascii="Times New Roman" w:hAnsi="Times New Roman" w:cs="Times New Roman"/>
          <w:sz w:val="24"/>
          <w:szCs w:val="24"/>
        </w:rPr>
        <w:t xml:space="preserve">n 80% capacity factor.  </w:t>
      </w:r>
    </w:p>
    <w:p w:rsidR="00881BFB" w:rsidRPr="007B786F" w:rsidRDefault="00881BFB" w:rsidP="00881BFB">
      <w:pPr>
        <w:rPr>
          <w:rFonts w:ascii="Times New Roman" w:hAnsi="Times New Roman" w:cs="Times New Roman"/>
          <w:sz w:val="24"/>
          <w:szCs w:val="24"/>
        </w:rPr>
      </w:pPr>
    </w:p>
    <w:p w:rsidR="00972584" w:rsidRPr="007B786F" w:rsidRDefault="00972584" w:rsidP="00151D24">
      <w:pPr>
        <w:jc w:val="center"/>
        <w:rPr>
          <w:rFonts w:ascii="Times New Roman" w:hAnsi="Times New Roman" w:cs="Times New Roman"/>
          <w:sz w:val="24"/>
          <w:szCs w:val="24"/>
        </w:rPr>
      </w:pPr>
      <m:oMath>
        <m:r>
          <w:rPr>
            <w:rFonts w:ascii="Cambria Math" w:hAnsi="Cambria Math" w:cs="Times New Roman"/>
            <w:sz w:val="24"/>
            <w:szCs w:val="24"/>
          </w:rPr>
          <m:t xml:space="preserve">Demand= </m:t>
        </m:r>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(CT Fixed+O&amp;M)</m:t>
                </m:r>
              </m:num>
              <m:den>
                <m:sSub>
                  <m:sSubPr>
                    <m:ctrlPr>
                      <w:rPr>
                        <w:rFonts w:ascii="Cambria Math" w:hAnsi="Cambria Math" w:cs="Times New Roman"/>
                        <w:i/>
                        <w:sz w:val="24"/>
                        <w:szCs w:val="24"/>
                      </w:rPr>
                    </m:ctrlPr>
                  </m:sSubPr>
                  <m:e>
                    <m:r>
                      <w:rPr>
                        <w:rFonts w:ascii="Cambria Math" w:hAnsi="Cambria Math" w:cs="Times New Roman"/>
                        <w:sz w:val="24"/>
                        <w:szCs w:val="24"/>
                      </w:rPr>
                      <m:t>kW</m:t>
                    </m:r>
                  </m:e>
                  <m:sub>
                    <m:r>
                      <w:rPr>
                        <w:rFonts w:ascii="Cambria Math" w:hAnsi="Cambria Math" w:cs="Times New Roman"/>
                        <w:sz w:val="24"/>
                        <w:szCs w:val="24"/>
                      </w:rPr>
                      <m:t>CT</m:t>
                    </m:r>
                  </m:sub>
                </m:sSub>
              </m:den>
            </m:f>
          </m:num>
          <m:den>
            <m:f>
              <m:fPr>
                <m:type m:val="skw"/>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CCT Fixed+O&amp;M</m:t>
                    </m:r>
                  </m:e>
                </m:d>
                <m:r>
                  <w:rPr>
                    <w:rFonts w:ascii="Cambria Math" w:hAnsi="Cambria Math" w:cs="Times New Roman"/>
                    <w:sz w:val="24"/>
                    <w:szCs w:val="24"/>
                  </w:rPr>
                  <m:t>*80%</m:t>
                </m:r>
              </m:num>
              <m:den>
                <m:sSub>
                  <m:sSubPr>
                    <m:ctrlPr>
                      <w:rPr>
                        <w:rFonts w:ascii="Cambria Math" w:hAnsi="Cambria Math" w:cs="Times New Roman"/>
                        <w:i/>
                        <w:sz w:val="24"/>
                        <w:szCs w:val="24"/>
                      </w:rPr>
                    </m:ctrlPr>
                  </m:sSubPr>
                  <m:e>
                    <m:r>
                      <w:rPr>
                        <w:rFonts w:ascii="Cambria Math" w:hAnsi="Cambria Math" w:cs="Times New Roman"/>
                        <w:sz w:val="24"/>
                        <w:szCs w:val="24"/>
                      </w:rPr>
                      <m:t>kW</m:t>
                    </m:r>
                  </m:e>
                  <m:sub>
                    <m:r>
                      <w:rPr>
                        <w:rFonts w:ascii="Cambria Math" w:hAnsi="Cambria Math" w:cs="Times New Roman"/>
                        <w:sz w:val="24"/>
                        <w:szCs w:val="24"/>
                      </w:rPr>
                      <m:t>CCT</m:t>
                    </m:r>
                  </m:sub>
                </m:sSub>
              </m:den>
            </m:f>
          </m:den>
        </m:f>
      </m:oMath>
      <w:r w:rsidR="00DB6770" w:rsidRPr="007B786F">
        <w:rPr>
          <w:rFonts w:ascii="Times New Roman" w:eastAsiaTheme="minorEastAsia" w:hAnsi="Times New Roman" w:cs="Times New Roman"/>
          <w:sz w:val="24"/>
          <w:szCs w:val="24"/>
        </w:rPr>
        <w:tab/>
      </w:r>
      <w:r w:rsidR="00DB6770" w:rsidRPr="007B786F">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Energy=1-Demand</m:t>
        </m:r>
      </m:oMath>
    </w:p>
    <w:p w:rsidR="00972584" w:rsidRPr="007B786F" w:rsidRDefault="00972584" w:rsidP="00881BFB">
      <w:pPr>
        <w:rPr>
          <w:rFonts w:ascii="Times New Roman" w:hAnsi="Times New Roman" w:cs="Times New Roman"/>
          <w:sz w:val="24"/>
          <w:szCs w:val="24"/>
        </w:rPr>
      </w:pPr>
    </w:p>
    <w:p w:rsidR="00D10A01" w:rsidRPr="007B786F" w:rsidRDefault="007B786F" w:rsidP="00AD3312">
      <w:pPr>
        <w:rPr>
          <w:rFonts w:ascii="Times New Roman" w:hAnsi="Times New Roman" w:cs="Times New Roman"/>
          <w:sz w:val="24"/>
          <w:szCs w:val="24"/>
        </w:rPr>
      </w:pPr>
      <w:r w:rsidRPr="007B786F">
        <w:rPr>
          <w:rFonts w:ascii="Times New Roman" w:hAnsi="Times New Roman" w:cs="Times New Roman"/>
          <w:sz w:val="24"/>
          <w:szCs w:val="24"/>
        </w:rPr>
        <w:t xml:space="preserve">The 1992 modified Peak Credit Methodology serves as the starting point for each of the three electric IOU’s.  </w:t>
      </w:r>
    </w:p>
    <w:p w:rsidR="007B786F" w:rsidRPr="007B786F" w:rsidRDefault="007B786F" w:rsidP="007B786F">
      <w:pPr>
        <w:rPr>
          <w:rFonts w:ascii="Times New Roman" w:hAnsi="Times New Roman" w:cs="Times New Roman"/>
          <w:sz w:val="24"/>
          <w:szCs w:val="24"/>
          <w:u w:val="single"/>
        </w:rPr>
      </w:pPr>
    </w:p>
    <w:p w:rsidR="001D6416" w:rsidRDefault="00206AF4" w:rsidP="00730ED1">
      <w:pPr>
        <w:jc w:val="center"/>
        <w:rPr>
          <w:rFonts w:ascii="Times New Roman" w:hAnsi="Times New Roman" w:cs="Times New Roman"/>
          <w:sz w:val="24"/>
          <w:szCs w:val="24"/>
          <w:u w:val="single"/>
        </w:rPr>
      </w:pPr>
      <w:r>
        <w:rPr>
          <w:rFonts w:ascii="Times New Roman" w:hAnsi="Times New Roman" w:cs="Times New Roman"/>
          <w:sz w:val="24"/>
          <w:szCs w:val="24"/>
          <w:u w:val="single"/>
        </w:rPr>
        <w:t>PACIFIC POWER</w:t>
      </w:r>
    </w:p>
    <w:p w:rsidR="00730ED1" w:rsidRPr="007B786F" w:rsidRDefault="00730ED1" w:rsidP="00730ED1">
      <w:pPr>
        <w:jc w:val="center"/>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2515"/>
        <w:gridCol w:w="7020"/>
      </w:tblGrid>
      <w:tr w:rsidR="007633D8" w:rsidRPr="007B786F" w:rsidTr="00313F76">
        <w:trPr>
          <w:trHeight w:val="1008"/>
        </w:trPr>
        <w:tc>
          <w:tcPr>
            <w:tcW w:w="2515" w:type="dxa"/>
            <w:vAlign w:val="center"/>
          </w:tcPr>
          <w:p w:rsidR="007633D8" w:rsidRPr="007B786F" w:rsidRDefault="007633D8" w:rsidP="00A366BE">
            <w:pPr>
              <w:jc w:val="center"/>
              <w:rPr>
                <w:rFonts w:ascii="Times New Roman" w:hAnsi="Times New Roman" w:cs="Times New Roman"/>
                <w:sz w:val="24"/>
                <w:szCs w:val="24"/>
              </w:rPr>
            </w:pPr>
            <w:r w:rsidRPr="007B786F">
              <w:rPr>
                <w:rFonts w:ascii="Times New Roman" w:hAnsi="Times New Roman" w:cs="Times New Roman"/>
                <w:sz w:val="24"/>
                <w:szCs w:val="24"/>
              </w:rPr>
              <w:t>2013 Pacific GRC (UE-130043)</w:t>
            </w:r>
          </w:p>
        </w:tc>
        <w:tc>
          <w:tcPr>
            <w:tcW w:w="7020" w:type="dxa"/>
            <w:vAlign w:val="center"/>
          </w:tcPr>
          <w:p w:rsidR="007633D8" w:rsidRPr="007B786F" w:rsidRDefault="00A366BE" w:rsidP="00A366BE">
            <w:pPr>
              <w:rPr>
                <w:rFonts w:ascii="Times New Roman" w:hAnsi="Times New Roman" w:cs="Times New Roman"/>
                <w:sz w:val="24"/>
                <w:szCs w:val="24"/>
              </w:rPr>
            </w:pPr>
            <w:r w:rsidRPr="007B786F">
              <w:rPr>
                <w:rFonts w:ascii="Times New Roman" w:hAnsi="Times New Roman" w:cs="Times New Roman"/>
                <w:sz w:val="24"/>
                <w:szCs w:val="24"/>
              </w:rPr>
              <w:t>Pacific Power</w:t>
            </w:r>
            <w:r w:rsidR="007633D8" w:rsidRPr="007B786F">
              <w:rPr>
                <w:rFonts w:ascii="Times New Roman" w:hAnsi="Times New Roman" w:cs="Times New Roman"/>
                <w:sz w:val="24"/>
                <w:szCs w:val="24"/>
              </w:rPr>
              <w:t xml:space="preserve"> abandons Peak Credit methodology in favor of Peak &amp; Average</w:t>
            </w:r>
          </w:p>
        </w:tc>
      </w:tr>
      <w:tr w:rsidR="007633D8" w:rsidRPr="007B786F" w:rsidTr="00313F76">
        <w:trPr>
          <w:trHeight w:val="1008"/>
        </w:trPr>
        <w:tc>
          <w:tcPr>
            <w:tcW w:w="2515" w:type="dxa"/>
            <w:vAlign w:val="center"/>
          </w:tcPr>
          <w:p w:rsidR="007633D8" w:rsidRPr="007B786F" w:rsidRDefault="007633D8" w:rsidP="00A366BE">
            <w:pPr>
              <w:jc w:val="center"/>
              <w:rPr>
                <w:rFonts w:ascii="Times New Roman" w:hAnsi="Times New Roman" w:cs="Times New Roman"/>
                <w:sz w:val="24"/>
                <w:szCs w:val="24"/>
              </w:rPr>
            </w:pPr>
            <w:r w:rsidRPr="007B786F">
              <w:rPr>
                <w:rFonts w:ascii="Times New Roman" w:hAnsi="Times New Roman" w:cs="Times New Roman"/>
                <w:sz w:val="24"/>
                <w:szCs w:val="24"/>
              </w:rPr>
              <w:t>2010 Pacific GRC (UE-100749)</w:t>
            </w:r>
          </w:p>
        </w:tc>
        <w:tc>
          <w:tcPr>
            <w:tcW w:w="7020" w:type="dxa"/>
          </w:tcPr>
          <w:p w:rsidR="007633D8" w:rsidRPr="007B786F" w:rsidRDefault="00F419BD" w:rsidP="00A366BE">
            <w:pPr>
              <w:rPr>
                <w:rFonts w:ascii="Times New Roman" w:hAnsi="Times New Roman" w:cs="Times New Roman"/>
                <w:i/>
                <w:sz w:val="24"/>
                <w:szCs w:val="24"/>
              </w:rPr>
            </w:pPr>
            <w:r w:rsidRPr="007B786F">
              <w:rPr>
                <w:rFonts w:ascii="Times New Roman" w:hAnsi="Times New Roman" w:cs="Times New Roman"/>
                <w:i/>
                <w:sz w:val="24"/>
                <w:szCs w:val="24"/>
              </w:rPr>
              <w:t>Commission Order</w:t>
            </w:r>
          </w:p>
          <w:p w:rsidR="007633D8" w:rsidRPr="007B786F" w:rsidRDefault="00F419BD" w:rsidP="00F419BD">
            <w:pPr>
              <w:pStyle w:val="ListParagraph"/>
              <w:numPr>
                <w:ilvl w:val="1"/>
                <w:numId w:val="1"/>
              </w:numPr>
              <w:ind w:left="228" w:hanging="180"/>
              <w:rPr>
                <w:rFonts w:ascii="Times New Roman" w:hAnsi="Times New Roman" w:cs="Times New Roman"/>
                <w:sz w:val="24"/>
                <w:szCs w:val="24"/>
              </w:rPr>
            </w:pPr>
            <w:r w:rsidRPr="007B786F">
              <w:rPr>
                <w:rFonts w:ascii="Times New Roman" w:hAnsi="Times New Roman" w:cs="Times New Roman"/>
                <w:sz w:val="24"/>
                <w:szCs w:val="24"/>
              </w:rPr>
              <w:t>Simple Cycle Combustion Turbine (peaking resource) replaced with</w:t>
            </w:r>
            <w:r w:rsidR="00585AA6" w:rsidRPr="007B786F">
              <w:rPr>
                <w:rFonts w:ascii="Times New Roman" w:hAnsi="Times New Roman" w:cs="Times New Roman"/>
                <w:sz w:val="24"/>
                <w:szCs w:val="24"/>
              </w:rPr>
              <w:t xml:space="preserve"> capacity costs from</w:t>
            </w:r>
            <w:r w:rsidRPr="007B786F">
              <w:rPr>
                <w:rFonts w:ascii="Times New Roman" w:hAnsi="Times New Roman" w:cs="Times New Roman"/>
                <w:sz w:val="24"/>
                <w:szCs w:val="24"/>
              </w:rPr>
              <w:t xml:space="preserve"> </w:t>
            </w:r>
            <w:r w:rsidR="00585AA6" w:rsidRPr="007B786F">
              <w:rPr>
                <w:rFonts w:ascii="Times New Roman" w:hAnsi="Times New Roman" w:cs="Times New Roman"/>
                <w:sz w:val="24"/>
                <w:szCs w:val="24"/>
              </w:rPr>
              <w:t>firm capacity sales agreement with BPA.</w:t>
            </w:r>
          </w:p>
        </w:tc>
      </w:tr>
    </w:tbl>
    <w:p w:rsidR="00A149DD" w:rsidRPr="007B786F" w:rsidRDefault="00A149DD">
      <w:pPr>
        <w:rPr>
          <w:rFonts w:ascii="Times New Roman" w:hAnsi="Times New Roman" w:cs="Times New Roman"/>
          <w:sz w:val="24"/>
          <w:szCs w:val="24"/>
        </w:rPr>
      </w:pPr>
    </w:p>
    <w:p w:rsidR="00E42998" w:rsidRPr="007B786F" w:rsidRDefault="00E42998">
      <w:pPr>
        <w:rPr>
          <w:rFonts w:ascii="Times New Roman" w:hAnsi="Times New Roman" w:cs="Times New Roman"/>
          <w:sz w:val="24"/>
          <w:szCs w:val="24"/>
        </w:rPr>
      </w:pPr>
      <w:r w:rsidRPr="007B786F">
        <w:rPr>
          <w:rFonts w:ascii="Times New Roman" w:hAnsi="Times New Roman" w:cs="Times New Roman"/>
          <w:sz w:val="24"/>
          <w:szCs w:val="24"/>
        </w:rPr>
        <w:t xml:space="preserve">Pacific Power no longer uses the peak credit methodology, although the Commission has ordered </w:t>
      </w:r>
      <w:r w:rsidR="0057717B">
        <w:rPr>
          <w:rFonts w:ascii="Times New Roman" w:hAnsi="Times New Roman" w:cs="Times New Roman"/>
          <w:sz w:val="24"/>
          <w:szCs w:val="24"/>
        </w:rPr>
        <w:t>a</w:t>
      </w:r>
      <w:r w:rsidRPr="007B786F">
        <w:rPr>
          <w:rFonts w:ascii="Times New Roman" w:hAnsi="Times New Roman" w:cs="Times New Roman"/>
          <w:sz w:val="24"/>
          <w:szCs w:val="24"/>
        </w:rPr>
        <w:t xml:space="preserve"> return to it absent a “clear showing</w:t>
      </w:r>
      <w:r w:rsidR="00BA3576">
        <w:rPr>
          <w:rFonts w:ascii="Times New Roman" w:hAnsi="Times New Roman" w:cs="Times New Roman"/>
          <w:sz w:val="24"/>
          <w:szCs w:val="24"/>
        </w:rPr>
        <w:t xml:space="preserve">” of the need for a new method.  </w:t>
      </w:r>
      <w:r w:rsidRPr="007B786F">
        <w:rPr>
          <w:rFonts w:ascii="Times New Roman" w:hAnsi="Times New Roman" w:cs="Times New Roman"/>
          <w:sz w:val="24"/>
          <w:szCs w:val="24"/>
        </w:rPr>
        <w:t xml:space="preserve">In 2010 Pacific </w:t>
      </w:r>
      <w:r w:rsidR="00F77AC2">
        <w:rPr>
          <w:rFonts w:ascii="Times New Roman" w:hAnsi="Times New Roman" w:cs="Times New Roman"/>
          <w:sz w:val="24"/>
          <w:szCs w:val="24"/>
        </w:rPr>
        <w:t>was unopposed in using</w:t>
      </w:r>
      <w:r w:rsidRPr="007B786F">
        <w:rPr>
          <w:rFonts w:ascii="Times New Roman" w:hAnsi="Times New Roman" w:cs="Times New Roman"/>
          <w:sz w:val="24"/>
          <w:szCs w:val="24"/>
        </w:rPr>
        <w:t xml:space="preserve"> </w:t>
      </w:r>
      <w:r w:rsidR="00F77AC2">
        <w:rPr>
          <w:rFonts w:ascii="Times New Roman" w:hAnsi="Times New Roman" w:cs="Times New Roman"/>
          <w:sz w:val="24"/>
          <w:szCs w:val="24"/>
        </w:rPr>
        <w:t>a</w:t>
      </w:r>
      <w:r w:rsidR="00F77AC2" w:rsidRPr="007B786F">
        <w:rPr>
          <w:rFonts w:ascii="Times New Roman" w:hAnsi="Times New Roman" w:cs="Times New Roman"/>
          <w:sz w:val="24"/>
          <w:szCs w:val="24"/>
        </w:rPr>
        <w:t xml:space="preserve"> firm capacity sales agreement from BPA </w:t>
      </w:r>
      <w:r w:rsidR="00F77AC2">
        <w:rPr>
          <w:rFonts w:ascii="Times New Roman" w:hAnsi="Times New Roman" w:cs="Times New Roman"/>
          <w:sz w:val="24"/>
          <w:szCs w:val="24"/>
        </w:rPr>
        <w:t>for capacity costs</w:t>
      </w:r>
      <w:r w:rsidRPr="007B786F">
        <w:rPr>
          <w:rFonts w:ascii="Times New Roman" w:hAnsi="Times New Roman" w:cs="Times New Roman"/>
          <w:sz w:val="24"/>
          <w:szCs w:val="24"/>
        </w:rPr>
        <w:t xml:space="preserve">.  Pacific Power </w:t>
      </w:r>
      <w:r w:rsidR="00880750">
        <w:rPr>
          <w:rFonts w:ascii="Times New Roman" w:hAnsi="Times New Roman" w:cs="Times New Roman"/>
          <w:sz w:val="24"/>
          <w:szCs w:val="24"/>
        </w:rPr>
        <w:t>asserted</w:t>
      </w:r>
      <w:r w:rsidRPr="007B786F">
        <w:rPr>
          <w:rFonts w:ascii="Times New Roman" w:hAnsi="Times New Roman" w:cs="Times New Roman"/>
          <w:sz w:val="24"/>
          <w:szCs w:val="24"/>
        </w:rPr>
        <w:t xml:space="preserve">, and the Commission agreed, that since Pacific does not operate a </w:t>
      </w:r>
      <w:r w:rsidR="00466959" w:rsidRPr="007B786F">
        <w:rPr>
          <w:rFonts w:ascii="Times New Roman" w:hAnsi="Times New Roman" w:cs="Times New Roman"/>
          <w:sz w:val="24"/>
          <w:szCs w:val="24"/>
        </w:rPr>
        <w:t xml:space="preserve">simple cycle combustion turbine in the western balancing authority, cost </w:t>
      </w:r>
      <w:r w:rsidR="00466959" w:rsidRPr="0086000A">
        <w:rPr>
          <w:rFonts w:ascii="Times New Roman" w:hAnsi="Times New Roman" w:cs="Times New Roman"/>
          <w:sz w:val="24"/>
          <w:szCs w:val="24"/>
        </w:rPr>
        <w:t>allocation should be based on the resource that is used for peaking needs</w:t>
      </w:r>
      <w:r w:rsidR="0086000A">
        <w:rPr>
          <w:rFonts w:ascii="Times New Roman" w:hAnsi="Times New Roman" w:cs="Times New Roman"/>
          <w:sz w:val="24"/>
          <w:szCs w:val="24"/>
        </w:rPr>
        <w:t>.</w:t>
      </w:r>
      <w:r w:rsidR="0086000A">
        <w:rPr>
          <w:rStyle w:val="FootnoteReference"/>
          <w:rFonts w:ascii="Times New Roman" w:hAnsi="Times New Roman" w:cs="Times New Roman"/>
          <w:sz w:val="24"/>
          <w:szCs w:val="24"/>
        </w:rPr>
        <w:footnoteReference w:id="2"/>
      </w:r>
      <w:r w:rsidR="0086000A">
        <w:rPr>
          <w:rFonts w:ascii="Times New Roman" w:hAnsi="Times New Roman" w:cs="Times New Roman"/>
          <w:sz w:val="24"/>
          <w:szCs w:val="24"/>
        </w:rPr>
        <w:t xml:space="preserve">  </w:t>
      </w:r>
      <w:r w:rsidRPr="007B786F">
        <w:rPr>
          <w:rFonts w:ascii="Times New Roman" w:hAnsi="Times New Roman" w:cs="Times New Roman"/>
          <w:sz w:val="24"/>
          <w:szCs w:val="24"/>
        </w:rPr>
        <w:t xml:space="preserve"> </w:t>
      </w:r>
    </w:p>
    <w:p w:rsidR="00E42998" w:rsidRPr="007B786F" w:rsidRDefault="00E42998">
      <w:pPr>
        <w:rPr>
          <w:rFonts w:ascii="Times New Roman" w:hAnsi="Times New Roman" w:cs="Times New Roman"/>
          <w:sz w:val="24"/>
          <w:szCs w:val="24"/>
        </w:rPr>
      </w:pPr>
    </w:p>
    <w:p w:rsidR="00E42998" w:rsidRPr="007B786F" w:rsidRDefault="00E42998">
      <w:pPr>
        <w:rPr>
          <w:rFonts w:ascii="Times New Roman" w:hAnsi="Times New Roman" w:cs="Times New Roman"/>
          <w:sz w:val="24"/>
          <w:szCs w:val="24"/>
        </w:rPr>
      </w:pPr>
    </w:p>
    <w:p w:rsidR="00881BFB" w:rsidRPr="007B786F" w:rsidRDefault="00881BFB" w:rsidP="00881BFB">
      <w:pPr>
        <w:jc w:val="center"/>
        <w:rPr>
          <w:rFonts w:ascii="Times New Roman" w:hAnsi="Times New Roman" w:cs="Times New Roman"/>
          <w:sz w:val="24"/>
          <w:szCs w:val="24"/>
          <w:u w:val="single"/>
        </w:rPr>
      </w:pPr>
      <w:r w:rsidRPr="007B786F">
        <w:rPr>
          <w:rFonts w:ascii="Times New Roman" w:hAnsi="Times New Roman" w:cs="Times New Roman"/>
          <w:sz w:val="24"/>
          <w:szCs w:val="24"/>
          <w:u w:val="single"/>
        </w:rPr>
        <w:t>PSE</w:t>
      </w:r>
    </w:p>
    <w:p w:rsidR="00881BFB" w:rsidRPr="007B786F" w:rsidRDefault="00881BFB">
      <w:pPr>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2515"/>
        <w:gridCol w:w="7020"/>
      </w:tblGrid>
      <w:tr w:rsidR="00407513" w:rsidRPr="007B786F" w:rsidTr="00313F76">
        <w:trPr>
          <w:trHeight w:val="1008"/>
        </w:trPr>
        <w:tc>
          <w:tcPr>
            <w:tcW w:w="2515" w:type="dxa"/>
            <w:vAlign w:val="center"/>
          </w:tcPr>
          <w:p w:rsidR="00EF71A8" w:rsidRDefault="00407513" w:rsidP="00EF71A8">
            <w:pPr>
              <w:jc w:val="center"/>
              <w:rPr>
                <w:rFonts w:ascii="Times New Roman" w:hAnsi="Times New Roman" w:cs="Times New Roman"/>
                <w:sz w:val="24"/>
                <w:szCs w:val="24"/>
              </w:rPr>
            </w:pPr>
            <w:r w:rsidRPr="007B786F">
              <w:rPr>
                <w:rFonts w:ascii="Times New Roman" w:hAnsi="Times New Roman" w:cs="Times New Roman"/>
                <w:sz w:val="24"/>
                <w:szCs w:val="24"/>
              </w:rPr>
              <w:t xml:space="preserve">2009 </w:t>
            </w:r>
            <w:r w:rsidR="007633D8" w:rsidRPr="007B786F">
              <w:rPr>
                <w:rFonts w:ascii="Times New Roman" w:hAnsi="Times New Roman" w:cs="Times New Roman"/>
                <w:sz w:val="24"/>
                <w:szCs w:val="24"/>
              </w:rPr>
              <w:t xml:space="preserve">PSE </w:t>
            </w:r>
            <w:r w:rsidRPr="007B786F">
              <w:rPr>
                <w:rFonts w:ascii="Times New Roman" w:hAnsi="Times New Roman" w:cs="Times New Roman"/>
                <w:sz w:val="24"/>
                <w:szCs w:val="24"/>
              </w:rPr>
              <w:t xml:space="preserve">GRC </w:t>
            </w:r>
          </w:p>
          <w:p w:rsidR="00407513" w:rsidRPr="007B786F" w:rsidRDefault="00407513" w:rsidP="00EF71A8">
            <w:pPr>
              <w:jc w:val="center"/>
              <w:rPr>
                <w:rFonts w:ascii="Times New Roman" w:hAnsi="Times New Roman" w:cs="Times New Roman"/>
                <w:sz w:val="24"/>
                <w:szCs w:val="24"/>
              </w:rPr>
            </w:pPr>
            <w:r w:rsidRPr="007B786F">
              <w:rPr>
                <w:rFonts w:ascii="Times New Roman" w:hAnsi="Times New Roman" w:cs="Times New Roman"/>
                <w:sz w:val="24"/>
                <w:szCs w:val="24"/>
              </w:rPr>
              <w:t>(UE-090704)</w:t>
            </w:r>
          </w:p>
        </w:tc>
        <w:tc>
          <w:tcPr>
            <w:tcW w:w="7020" w:type="dxa"/>
          </w:tcPr>
          <w:p w:rsidR="00407513" w:rsidRPr="00EF71A8" w:rsidRDefault="00407513" w:rsidP="00EF71A8">
            <w:pPr>
              <w:rPr>
                <w:rFonts w:ascii="Times New Roman" w:hAnsi="Times New Roman" w:cs="Times New Roman"/>
                <w:i/>
                <w:sz w:val="24"/>
                <w:szCs w:val="24"/>
              </w:rPr>
            </w:pPr>
            <w:r w:rsidRPr="00EF71A8">
              <w:rPr>
                <w:rFonts w:ascii="Times New Roman" w:hAnsi="Times New Roman" w:cs="Times New Roman"/>
                <w:i/>
                <w:sz w:val="24"/>
                <w:szCs w:val="24"/>
              </w:rPr>
              <w:t>Multi Party Settlement</w:t>
            </w:r>
            <w:r w:rsidR="00447081" w:rsidRPr="00EF71A8">
              <w:rPr>
                <w:rFonts w:ascii="Times New Roman" w:hAnsi="Times New Roman" w:cs="Times New Roman"/>
                <w:i/>
                <w:sz w:val="24"/>
                <w:szCs w:val="24"/>
              </w:rPr>
              <w:t xml:space="preserve"> – No changes to cost of service</w:t>
            </w:r>
          </w:p>
          <w:p w:rsidR="000A1D36" w:rsidRPr="007B786F" w:rsidRDefault="000A1D36" w:rsidP="000A1D36">
            <w:pPr>
              <w:pStyle w:val="ListParagraph"/>
              <w:ind w:left="138"/>
              <w:rPr>
                <w:rFonts w:ascii="Times New Roman" w:hAnsi="Times New Roman" w:cs="Times New Roman"/>
                <w:sz w:val="24"/>
                <w:szCs w:val="24"/>
              </w:rPr>
            </w:pPr>
          </w:p>
          <w:p w:rsidR="000A1D36" w:rsidRPr="007B786F" w:rsidRDefault="00256E70" w:rsidP="0076583E">
            <w:pPr>
              <w:pStyle w:val="ListParagraph"/>
              <w:numPr>
                <w:ilvl w:val="0"/>
                <w:numId w:val="1"/>
              </w:numPr>
              <w:ind w:left="138" w:hanging="180"/>
              <w:rPr>
                <w:rFonts w:ascii="Times New Roman" w:hAnsi="Times New Roman" w:cs="Times New Roman"/>
                <w:sz w:val="24"/>
                <w:szCs w:val="24"/>
              </w:rPr>
            </w:pPr>
            <w:r>
              <w:rPr>
                <w:rFonts w:ascii="Times New Roman" w:hAnsi="Times New Roman" w:cs="Times New Roman"/>
                <w:sz w:val="24"/>
                <w:szCs w:val="24"/>
              </w:rPr>
              <w:t>PSE Proposals are not adopted:</w:t>
            </w:r>
          </w:p>
          <w:p w:rsidR="00407513" w:rsidRPr="007B786F" w:rsidRDefault="00407513" w:rsidP="00DA2B2C">
            <w:pPr>
              <w:pStyle w:val="ListParagraph"/>
              <w:numPr>
                <w:ilvl w:val="1"/>
                <w:numId w:val="7"/>
              </w:numPr>
              <w:ind w:left="342" w:hanging="180"/>
              <w:rPr>
                <w:rFonts w:ascii="Times New Roman" w:hAnsi="Times New Roman" w:cs="Times New Roman"/>
                <w:sz w:val="24"/>
                <w:szCs w:val="24"/>
              </w:rPr>
            </w:pPr>
            <w:r w:rsidRPr="007B786F">
              <w:rPr>
                <w:rFonts w:ascii="Times New Roman" w:hAnsi="Times New Roman" w:cs="Times New Roman"/>
                <w:sz w:val="24"/>
                <w:szCs w:val="24"/>
              </w:rPr>
              <w:t>Peak credit calculation includes emissions costs</w:t>
            </w:r>
          </w:p>
          <w:p w:rsidR="00407513" w:rsidRPr="007B786F" w:rsidRDefault="00407513" w:rsidP="00DA2B2C">
            <w:pPr>
              <w:pStyle w:val="ListParagraph"/>
              <w:numPr>
                <w:ilvl w:val="1"/>
                <w:numId w:val="7"/>
              </w:numPr>
              <w:ind w:left="342" w:hanging="180"/>
              <w:rPr>
                <w:rFonts w:ascii="Times New Roman" w:hAnsi="Times New Roman" w:cs="Times New Roman"/>
                <w:sz w:val="24"/>
                <w:szCs w:val="24"/>
              </w:rPr>
            </w:pPr>
            <w:r w:rsidRPr="007B786F">
              <w:rPr>
                <w:rFonts w:ascii="Times New Roman" w:hAnsi="Times New Roman" w:cs="Times New Roman"/>
                <w:sz w:val="24"/>
                <w:szCs w:val="24"/>
              </w:rPr>
              <w:t>Eliminate fuel and variable O&amp;M costs</w:t>
            </w:r>
          </w:p>
          <w:p w:rsidR="00407513" w:rsidRPr="007B786F" w:rsidRDefault="00407513" w:rsidP="00DA2B2C">
            <w:pPr>
              <w:pStyle w:val="ListParagraph"/>
              <w:numPr>
                <w:ilvl w:val="1"/>
                <w:numId w:val="7"/>
              </w:numPr>
              <w:ind w:left="342" w:hanging="180"/>
              <w:rPr>
                <w:rFonts w:ascii="Times New Roman" w:hAnsi="Times New Roman" w:cs="Times New Roman"/>
                <w:sz w:val="24"/>
                <w:szCs w:val="24"/>
              </w:rPr>
            </w:pPr>
            <w:r w:rsidRPr="007B786F">
              <w:rPr>
                <w:rFonts w:ascii="Times New Roman" w:hAnsi="Times New Roman" w:cs="Times New Roman"/>
                <w:sz w:val="24"/>
                <w:szCs w:val="24"/>
              </w:rPr>
              <w:t xml:space="preserve">Apply reserve requirement to baseload resource.  </w:t>
            </w:r>
          </w:p>
        </w:tc>
      </w:tr>
      <w:tr w:rsidR="00407513" w:rsidRPr="007B786F" w:rsidTr="00313F76">
        <w:trPr>
          <w:trHeight w:val="1008"/>
        </w:trPr>
        <w:tc>
          <w:tcPr>
            <w:tcW w:w="2515" w:type="dxa"/>
            <w:vAlign w:val="center"/>
          </w:tcPr>
          <w:p w:rsidR="00EF71A8" w:rsidRDefault="00407513" w:rsidP="00EF71A8">
            <w:pPr>
              <w:jc w:val="center"/>
              <w:rPr>
                <w:rFonts w:ascii="Times New Roman" w:hAnsi="Times New Roman" w:cs="Times New Roman"/>
                <w:sz w:val="24"/>
                <w:szCs w:val="24"/>
              </w:rPr>
            </w:pPr>
            <w:r w:rsidRPr="007B786F">
              <w:rPr>
                <w:rFonts w:ascii="Times New Roman" w:hAnsi="Times New Roman" w:cs="Times New Roman"/>
                <w:sz w:val="24"/>
                <w:szCs w:val="24"/>
              </w:rPr>
              <w:t>2006</w:t>
            </w:r>
            <w:r w:rsidR="007633D8" w:rsidRPr="007B786F">
              <w:rPr>
                <w:rFonts w:ascii="Times New Roman" w:hAnsi="Times New Roman" w:cs="Times New Roman"/>
                <w:sz w:val="24"/>
                <w:szCs w:val="24"/>
              </w:rPr>
              <w:t xml:space="preserve"> PSE</w:t>
            </w:r>
            <w:r w:rsidRPr="007B786F">
              <w:rPr>
                <w:rFonts w:ascii="Times New Roman" w:hAnsi="Times New Roman" w:cs="Times New Roman"/>
                <w:sz w:val="24"/>
                <w:szCs w:val="24"/>
              </w:rPr>
              <w:t xml:space="preserve"> GRC </w:t>
            </w:r>
          </w:p>
          <w:p w:rsidR="00407513" w:rsidRPr="007B786F" w:rsidRDefault="00407513" w:rsidP="00EF71A8">
            <w:pPr>
              <w:jc w:val="center"/>
              <w:rPr>
                <w:rFonts w:ascii="Times New Roman" w:hAnsi="Times New Roman" w:cs="Times New Roman"/>
                <w:sz w:val="24"/>
                <w:szCs w:val="24"/>
              </w:rPr>
            </w:pPr>
            <w:r w:rsidRPr="007B786F">
              <w:rPr>
                <w:rFonts w:ascii="Times New Roman" w:hAnsi="Times New Roman" w:cs="Times New Roman"/>
                <w:sz w:val="24"/>
                <w:szCs w:val="24"/>
              </w:rPr>
              <w:t>(UE-060266)</w:t>
            </w:r>
          </w:p>
        </w:tc>
        <w:tc>
          <w:tcPr>
            <w:tcW w:w="7020" w:type="dxa"/>
          </w:tcPr>
          <w:p w:rsidR="00407513" w:rsidRDefault="00407513" w:rsidP="00256E70">
            <w:pPr>
              <w:rPr>
                <w:rFonts w:ascii="Times New Roman" w:hAnsi="Times New Roman" w:cs="Times New Roman"/>
                <w:i/>
                <w:sz w:val="24"/>
                <w:szCs w:val="24"/>
              </w:rPr>
            </w:pPr>
            <w:r w:rsidRPr="00256E70">
              <w:rPr>
                <w:rFonts w:ascii="Times New Roman" w:hAnsi="Times New Roman" w:cs="Times New Roman"/>
                <w:i/>
                <w:sz w:val="24"/>
                <w:szCs w:val="24"/>
              </w:rPr>
              <w:t>Multiparty settlement</w:t>
            </w:r>
          </w:p>
          <w:p w:rsidR="00256E70" w:rsidRPr="00256E70" w:rsidRDefault="00256E70" w:rsidP="00256E70">
            <w:pPr>
              <w:rPr>
                <w:rFonts w:ascii="Times New Roman" w:hAnsi="Times New Roman" w:cs="Times New Roman"/>
                <w:i/>
                <w:sz w:val="24"/>
                <w:szCs w:val="24"/>
              </w:rPr>
            </w:pPr>
          </w:p>
          <w:p w:rsidR="00407513" w:rsidRDefault="00407513" w:rsidP="00256E70">
            <w:pPr>
              <w:pStyle w:val="ListParagraph"/>
              <w:numPr>
                <w:ilvl w:val="0"/>
                <w:numId w:val="1"/>
              </w:numPr>
              <w:ind w:left="138" w:hanging="180"/>
              <w:rPr>
                <w:rFonts w:ascii="Times New Roman" w:hAnsi="Times New Roman" w:cs="Times New Roman"/>
                <w:sz w:val="24"/>
                <w:szCs w:val="24"/>
              </w:rPr>
            </w:pPr>
            <w:r w:rsidRPr="007B786F">
              <w:rPr>
                <w:rFonts w:ascii="Times New Roman" w:hAnsi="Times New Roman" w:cs="Times New Roman"/>
                <w:sz w:val="24"/>
                <w:szCs w:val="24"/>
              </w:rPr>
              <w:t xml:space="preserve">Peak credit calculation assumes operation of 75 hours with natural gas using peak fuel prices.  Includes 100 percent of O&amp;M related to peaking resource.  </w:t>
            </w:r>
          </w:p>
          <w:p w:rsidR="00256E70" w:rsidRPr="00256E70" w:rsidRDefault="00256E70" w:rsidP="00256E70">
            <w:pPr>
              <w:ind w:left="-42"/>
              <w:rPr>
                <w:rFonts w:ascii="Times New Roman" w:hAnsi="Times New Roman" w:cs="Times New Roman"/>
                <w:sz w:val="24"/>
                <w:szCs w:val="24"/>
              </w:rPr>
            </w:pPr>
          </w:p>
        </w:tc>
      </w:tr>
      <w:tr w:rsidR="00407513" w:rsidRPr="007B786F" w:rsidTr="00313F76">
        <w:trPr>
          <w:trHeight w:val="1008"/>
        </w:trPr>
        <w:tc>
          <w:tcPr>
            <w:tcW w:w="2515" w:type="dxa"/>
            <w:vAlign w:val="center"/>
          </w:tcPr>
          <w:p w:rsidR="00EF71A8" w:rsidRDefault="00407513" w:rsidP="00EF71A8">
            <w:pPr>
              <w:jc w:val="center"/>
              <w:rPr>
                <w:rFonts w:ascii="Times New Roman" w:hAnsi="Times New Roman" w:cs="Times New Roman"/>
                <w:sz w:val="24"/>
                <w:szCs w:val="24"/>
              </w:rPr>
            </w:pPr>
            <w:r w:rsidRPr="007B786F">
              <w:rPr>
                <w:rFonts w:ascii="Times New Roman" w:hAnsi="Times New Roman" w:cs="Times New Roman"/>
                <w:sz w:val="24"/>
                <w:szCs w:val="24"/>
              </w:rPr>
              <w:t xml:space="preserve">1992 PSE GRC </w:t>
            </w:r>
          </w:p>
          <w:p w:rsidR="00407513" w:rsidRPr="007B786F" w:rsidRDefault="00407513" w:rsidP="00EF71A8">
            <w:pPr>
              <w:jc w:val="center"/>
              <w:rPr>
                <w:rFonts w:ascii="Times New Roman" w:hAnsi="Times New Roman" w:cs="Times New Roman"/>
                <w:sz w:val="24"/>
                <w:szCs w:val="24"/>
              </w:rPr>
            </w:pPr>
            <w:r w:rsidRPr="007B786F">
              <w:rPr>
                <w:rFonts w:ascii="Times New Roman" w:hAnsi="Times New Roman" w:cs="Times New Roman"/>
                <w:sz w:val="24"/>
                <w:szCs w:val="24"/>
              </w:rPr>
              <w:t>(UE-920499/UE-921262)</w:t>
            </w:r>
          </w:p>
        </w:tc>
        <w:tc>
          <w:tcPr>
            <w:tcW w:w="7020" w:type="dxa"/>
          </w:tcPr>
          <w:p w:rsidR="00407513" w:rsidRDefault="00F419BD" w:rsidP="00256E70">
            <w:pPr>
              <w:rPr>
                <w:rFonts w:ascii="Times New Roman" w:hAnsi="Times New Roman" w:cs="Times New Roman"/>
                <w:i/>
                <w:sz w:val="24"/>
                <w:szCs w:val="24"/>
              </w:rPr>
            </w:pPr>
            <w:r w:rsidRPr="00256E70">
              <w:rPr>
                <w:rFonts w:ascii="Times New Roman" w:hAnsi="Times New Roman" w:cs="Times New Roman"/>
                <w:i/>
                <w:sz w:val="24"/>
                <w:szCs w:val="24"/>
              </w:rPr>
              <w:t>Commission Order</w:t>
            </w:r>
          </w:p>
          <w:p w:rsidR="00256E70" w:rsidRPr="00256E70" w:rsidRDefault="00256E70" w:rsidP="00256E70">
            <w:pPr>
              <w:rPr>
                <w:rFonts w:ascii="Times New Roman" w:hAnsi="Times New Roman" w:cs="Times New Roman"/>
                <w:i/>
                <w:sz w:val="24"/>
                <w:szCs w:val="24"/>
              </w:rPr>
            </w:pPr>
          </w:p>
          <w:p w:rsidR="00407513" w:rsidRPr="007B786F" w:rsidRDefault="00407513" w:rsidP="00256E70">
            <w:pPr>
              <w:pStyle w:val="ListParagraph"/>
              <w:numPr>
                <w:ilvl w:val="0"/>
                <w:numId w:val="1"/>
              </w:numPr>
              <w:ind w:left="138" w:hanging="180"/>
              <w:rPr>
                <w:rFonts w:ascii="Times New Roman" w:hAnsi="Times New Roman" w:cs="Times New Roman"/>
                <w:sz w:val="24"/>
                <w:szCs w:val="24"/>
              </w:rPr>
            </w:pPr>
            <w:r w:rsidRPr="007B786F">
              <w:rPr>
                <w:rFonts w:ascii="Times New Roman" w:hAnsi="Times New Roman" w:cs="Times New Roman"/>
                <w:sz w:val="24"/>
                <w:szCs w:val="24"/>
              </w:rPr>
              <w:t xml:space="preserve">Use 50% of fixed cost for Peaker resource with 80 percent capacity factor </w:t>
            </w:r>
          </w:p>
          <w:p w:rsidR="00407513" w:rsidRPr="007B786F" w:rsidRDefault="00B31562" w:rsidP="00256E70">
            <w:pPr>
              <w:pStyle w:val="ListParagraph"/>
              <w:numPr>
                <w:ilvl w:val="0"/>
                <w:numId w:val="1"/>
              </w:numPr>
              <w:ind w:left="138" w:hanging="180"/>
              <w:rPr>
                <w:rFonts w:ascii="Times New Roman" w:hAnsi="Times New Roman" w:cs="Times New Roman"/>
                <w:sz w:val="24"/>
                <w:szCs w:val="24"/>
              </w:rPr>
            </w:pPr>
            <w:r>
              <w:rPr>
                <w:rFonts w:ascii="Times New Roman" w:hAnsi="Times New Roman" w:cs="Times New Roman"/>
                <w:sz w:val="24"/>
                <w:szCs w:val="24"/>
              </w:rPr>
              <w:t>Use</w:t>
            </w:r>
            <w:r w:rsidR="00407513" w:rsidRPr="007B786F">
              <w:rPr>
                <w:rFonts w:ascii="Times New Roman" w:hAnsi="Times New Roman" w:cs="Times New Roman"/>
                <w:sz w:val="24"/>
                <w:szCs w:val="24"/>
              </w:rPr>
              <w:t xml:space="preserve"> natural gas as fuel costs for Peaker resource</w:t>
            </w:r>
          </w:p>
          <w:p w:rsidR="000B699B" w:rsidRPr="00256E70" w:rsidRDefault="00DE7549" w:rsidP="00256E70">
            <w:pPr>
              <w:pStyle w:val="ListParagraph"/>
              <w:numPr>
                <w:ilvl w:val="0"/>
                <w:numId w:val="1"/>
              </w:numPr>
              <w:ind w:left="138" w:hanging="180"/>
              <w:rPr>
                <w:rFonts w:ascii="Times New Roman" w:hAnsi="Times New Roman" w:cs="Times New Roman"/>
                <w:sz w:val="24"/>
                <w:szCs w:val="24"/>
              </w:rPr>
            </w:pPr>
            <w:r>
              <w:rPr>
                <w:rFonts w:ascii="Times New Roman" w:hAnsi="Times New Roman" w:cs="Times New Roman"/>
                <w:sz w:val="24"/>
                <w:szCs w:val="24"/>
              </w:rPr>
              <w:t>Assume</w:t>
            </w:r>
            <w:r w:rsidR="000B699B" w:rsidRPr="00256E70">
              <w:rPr>
                <w:rFonts w:ascii="Times New Roman" w:hAnsi="Times New Roman" w:cs="Times New Roman"/>
                <w:sz w:val="24"/>
                <w:szCs w:val="24"/>
              </w:rPr>
              <w:t xml:space="preserve"> operation of 200 hours.  </w:t>
            </w:r>
          </w:p>
          <w:p w:rsidR="000B699B" w:rsidRPr="007B786F" w:rsidRDefault="000B699B" w:rsidP="000B699B">
            <w:pPr>
              <w:rPr>
                <w:rFonts w:ascii="Times New Roman" w:hAnsi="Times New Roman" w:cs="Times New Roman"/>
                <w:sz w:val="24"/>
                <w:szCs w:val="24"/>
              </w:rPr>
            </w:pPr>
          </w:p>
        </w:tc>
      </w:tr>
    </w:tbl>
    <w:p w:rsidR="00881BFB" w:rsidRPr="007B786F" w:rsidRDefault="00881BFB" w:rsidP="00881BFB">
      <w:pPr>
        <w:rPr>
          <w:rFonts w:ascii="Times New Roman" w:hAnsi="Times New Roman" w:cs="Times New Roman"/>
          <w:sz w:val="24"/>
          <w:szCs w:val="24"/>
        </w:rPr>
      </w:pPr>
    </w:p>
    <w:p w:rsidR="00881BFB" w:rsidRPr="007B786F" w:rsidRDefault="00881BFB" w:rsidP="00881BFB">
      <w:pPr>
        <w:rPr>
          <w:rFonts w:ascii="Times New Roman" w:hAnsi="Times New Roman" w:cs="Times New Roman"/>
          <w:sz w:val="24"/>
          <w:szCs w:val="24"/>
          <w:highlight w:val="yellow"/>
        </w:rPr>
      </w:pPr>
    </w:p>
    <w:p w:rsidR="00881BFB" w:rsidRPr="007B786F" w:rsidRDefault="00881BFB" w:rsidP="00881BFB">
      <w:pPr>
        <w:rPr>
          <w:rFonts w:ascii="Times New Roman" w:hAnsi="Times New Roman" w:cs="Times New Roman"/>
          <w:sz w:val="24"/>
          <w:szCs w:val="24"/>
        </w:rPr>
      </w:pPr>
      <w:r w:rsidRPr="00DE7549">
        <w:rPr>
          <w:rFonts w:ascii="Times New Roman" w:hAnsi="Times New Roman" w:cs="Times New Roman"/>
          <w:sz w:val="24"/>
          <w:szCs w:val="24"/>
        </w:rPr>
        <w:t xml:space="preserve">At the start, the PSE </w:t>
      </w:r>
      <w:r w:rsidR="00D47F6C">
        <w:rPr>
          <w:rFonts w:ascii="Times New Roman" w:hAnsi="Times New Roman" w:cs="Times New Roman"/>
          <w:sz w:val="24"/>
          <w:szCs w:val="24"/>
        </w:rPr>
        <w:t xml:space="preserve">proposed </w:t>
      </w:r>
      <w:r w:rsidRPr="00DE7549">
        <w:rPr>
          <w:rFonts w:ascii="Times New Roman" w:hAnsi="Times New Roman" w:cs="Times New Roman"/>
          <w:sz w:val="24"/>
          <w:szCs w:val="24"/>
        </w:rPr>
        <w:t xml:space="preserve">Peak Credit Methodology assumed 200 operating hours and that </w:t>
      </w:r>
      <w:r w:rsidR="00D47F6C">
        <w:rPr>
          <w:rFonts w:ascii="Times New Roman" w:hAnsi="Times New Roman" w:cs="Times New Roman"/>
          <w:sz w:val="24"/>
          <w:szCs w:val="24"/>
        </w:rPr>
        <w:t>diesel</w:t>
      </w:r>
      <w:r w:rsidRPr="00DE7549">
        <w:rPr>
          <w:rFonts w:ascii="Times New Roman" w:hAnsi="Times New Roman" w:cs="Times New Roman"/>
          <w:sz w:val="24"/>
          <w:szCs w:val="24"/>
        </w:rPr>
        <w:t xml:space="preserve"> would be used for fuel.  </w:t>
      </w:r>
      <w:r w:rsidR="00DE7549">
        <w:rPr>
          <w:rFonts w:ascii="Times New Roman" w:hAnsi="Times New Roman" w:cs="Times New Roman"/>
          <w:sz w:val="24"/>
          <w:szCs w:val="24"/>
        </w:rPr>
        <w:t>T</w:t>
      </w:r>
      <w:r w:rsidRPr="00DE7549">
        <w:rPr>
          <w:rFonts w:ascii="Times New Roman" w:hAnsi="Times New Roman" w:cs="Times New Roman"/>
          <w:sz w:val="24"/>
          <w:szCs w:val="24"/>
        </w:rPr>
        <w:t xml:space="preserve">he method utilized only 50 percent of the fixed costs for the peak resource, under the belief </w:t>
      </w:r>
      <w:r w:rsidR="00DE7549">
        <w:rPr>
          <w:rFonts w:ascii="Times New Roman" w:hAnsi="Times New Roman" w:cs="Times New Roman"/>
          <w:sz w:val="24"/>
          <w:szCs w:val="24"/>
        </w:rPr>
        <w:t>a CT would</w:t>
      </w:r>
      <w:r w:rsidRPr="00DE7549">
        <w:rPr>
          <w:rFonts w:ascii="Times New Roman" w:hAnsi="Times New Roman" w:cs="Times New Roman"/>
          <w:sz w:val="24"/>
          <w:szCs w:val="24"/>
        </w:rPr>
        <w:t xml:space="preserve"> firm hydro resources as well as respond to peak.  </w:t>
      </w:r>
      <w:r w:rsidR="00DE7549">
        <w:rPr>
          <w:rFonts w:ascii="Times New Roman" w:hAnsi="Times New Roman" w:cs="Times New Roman"/>
          <w:sz w:val="24"/>
          <w:szCs w:val="24"/>
        </w:rPr>
        <w:t>T</w:t>
      </w:r>
      <w:r w:rsidRPr="00DE7549">
        <w:rPr>
          <w:rFonts w:ascii="Times New Roman" w:hAnsi="Times New Roman" w:cs="Times New Roman"/>
          <w:sz w:val="24"/>
          <w:szCs w:val="24"/>
        </w:rPr>
        <w:t>he</w:t>
      </w:r>
      <w:r w:rsidR="00DE7549">
        <w:rPr>
          <w:rFonts w:ascii="Times New Roman" w:hAnsi="Times New Roman" w:cs="Times New Roman"/>
          <w:sz w:val="24"/>
          <w:szCs w:val="24"/>
        </w:rPr>
        <w:t xml:space="preserve"> proposed</w:t>
      </w:r>
      <w:r w:rsidRPr="00DE7549">
        <w:rPr>
          <w:rFonts w:ascii="Times New Roman" w:hAnsi="Times New Roman" w:cs="Times New Roman"/>
          <w:sz w:val="24"/>
          <w:szCs w:val="24"/>
        </w:rPr>
        <w:t xml:space="preserve"> methodology assumed an 80 percent capac</w:t>
      </w:r>
      <w:r w:rsidR="00DE7549">
        <w:rPr>
          <w:rFonts w:ascii="Times New Roman" w:hAnsi="Times New Roman" w:cs="Times New Roman"/>
          <w:sz w:val="24"/>
          <w:szCs w:val="24"/>
        </w:rPr>
        <w:t xml:space="preserve">ity factor based in line with the Company’s </w:t>
      </w:r>
      <w:r w:rsidRPr="00DE7549">
        <w:rPr>
          <w:rFonts w:ascii="Times New Roman" w:hAnsi="Times New Roman" w:cs="Times New Roman"/>
          <w:sz w:val="24"/>
          <w:szCs w:val="24"/>
        </w:rPr>
        <w:t>avoided cost</w:t>
      </w:r>
      <w:r w:rsidR="00DE7549">
        <w:rPr>
          <w:rFonts w:ascii="Times New Roman" w:hAnsi="Times New Roman" w:cs="Times New Roman"/>
          <w:sz w:val="24"/>
          <w:szCs w:val="24"/>
        </w:rPr>
        <w:t xml:space="preserve"> calculation</w:t>
      </w:r>
      <w:r w:rsidRPr="00DE7549">
        <w:rPr>
          <w:rFonts w:ascii="Times New Roman" w:hAnsi="Times New Roman" w:cs="Times New Roman"/>
          <w:sz w:val="24"/>
          <w:szCs w:val="24"/>
        </w:rPr>
        <w:t>.</w:t>
      </w:r>
      <w:r w:rsidR="008A2CAF">
        <w:rPr>
          <w:rFonts w:ascii="Times New Roman" w:hAnsi="Times New Roman" w:cs="Times New Roman"/>
          <w:sz w:val="24"/>
          <w:szCs w:val="24"/>
        </w:rPr>
        <w:t xml:space="preserve">  Various modifications have been incorporated into the method since its inception.  </w:t>
      </w:r>
      <w:r w:rsidRPr="007B786F">
        <w:rPr>
          <w:rFonts w:ascii="Times New Roman" w:hAnsi="Times New Roman" w:cs="Times New Roman"/>
          <w:sz w:val="24"/>
          <w:szCs w:val="24"/>
        </w:rPr>
        <w:t xml:space="preserve">  </w:t>
      </w:r>
    </w:p>
    <w:p w:rsidR="00881BFB" w:rsidRPr="007B786F" w:rsidRDefault="00881BFB" w:rsidP="00AD3312">
      <w:pPr>
        <w:rPr>
          <w:rFonts w:ascii="Times New Roman" w:hAnsi="Times New Roman" w:cs="Times New Roman"/>
          <w:sz w:val="24"/>
          <w:szCs w:val="24"/>
        </w:rPr>
      </w:pPr>
    </w:p>
    <w:p w:rsidR="00881BFB" w:rsidRDefault="00881BFB" w:rsidP="00AD3312">
      <w:pPr>
        <w:rPr>
          <w:rFonts w:ascii="Times New Roman" w:hAnsi="Times New Roman" w:cs="Times New Roman"/>
          <w:sz w:val="24"/>
          <w:szCs w:val="24"/>
        </w:rPr>
      </w:pPr>
    </w:p>
    <w:p w:rsidR="00313F76" w:rsidRDefault="00313F76" w:rsidP="00AD3312">
      <w:pPr>
        <w:rPr>
          <w:rFonts w:ascii="Times New Roman" w:hAnsi="Times New Roman" w:cs="Times New Roman"/>
          <w:sz w:val="24"/>
          <w:szCs w:val="24"/>
        </w:rPr>
      </w:pPr>
    </w:p>
    <w:p w:rsidR="00313F76" w:rsidRDefault="00313F76" w:rsidP="00AD3312">
      <w:pPr>
        <w:rPr>
          <w:rFonts w:ascii="Times New Roman" w:hAnsi="Times New Roman" w:cs="Times New Roman"/>
          <w:sz w:val="24"/>
          <w:szCs w:val="24"/>
        </w:rPr>
      </w:pPr>
    </w:p>
    <w:p w:rsidR="00313F76" w:rsidRDefault="00313F76" w:rsidP="00AD3312">
      <w:pPr>
        <w:rPr>
          <w:rFonts w:ascii="Times New Roman" w:hAnsi="Times New Roman" w:cs="Times New Roman"/>
          <w:sz w:val="24"/>
          <w:szCs w:val="24"/>
        </w:rPr>
      </w:pPr>
    </w:p>
    <w:p w:rsidR="00313F76" w:rsidRDefault="00313F76" w:rsidP="00AD3312">
      <w:pPr>
        <w:rPr>
          <w:rFonts w:ascii="Times New Roman" w:hAnsi="Times New Roman" w:cs="Times New Roman"/>
          <w:sz w:val="24"/>
          <w:szCs w:val="24"/>
        </w:rPr>
      </w:pPr>
    </w:p>
    <w:p w:rsidR="00151FE2" w:rsidRPr="007B786F" w:rsidRDefault="00E315EF" w:rsidP="008170D5">
      <w:pPr>
        <w:jc w:val="center"/>
        <w:rPr>
          <w:rFonts w:ascii="Times New Roman" w:hAnsi="Times New Roman" w:cs="Times New Roman"/>
          <w:sz w:val="24"/>
          <w:szCs w:val="24"/>
          <w:u w:val="single"/>
        </w:rPr>
      </w:pPr>
      <w:r w:rsidRPr="007B786F">
        <w:rPr>
          <w:rFonts w:ascii="Times New Roman" w:hAnsi="Times New Roman" w:cs="Times New Roman"/>
          <w:sz w:val="24"/>
          <w:szCs w:val="24"/>
          <w:u w:val="single"/>
        </w:rPr>
        <w:lastRenderedPageBreak/>
        <w:t>AVISTA</w:t>
      </w:r>
    </w:p>
    <w:p w:rsidR="00786E55" w:rsidRPr="007B786F" w:rsidRDefault="00786E55" w:rsidP="008170D5">
      <w:pPr>
        <w:jc w:val="center"/>
        <w:rPr>
          <w:rFonts w:ascii="Times New Roman" w:hAnsi="Times New Roman" w:cs="Times New Roman"/>
          <w:sz w:val="24"/>
          <w:szCs w:val="24"/>
          <w:u w:val="single"/>
        </w:rPr>
      </w:pPr>
    </w:p>
    <w:tbl>
      <w:tblPr>
        <w:tblStyle w:val="TableGrid"/>
        <w:tblW w:w="9535" w:type="dxa"/>
        <w:tblLook w:val="04A0" w:firstRow="1" w:lastRow="0" w:firstColumn="1" w:lastColumn="0" w:noHBand="0" w:noVBand="1"/>
      </w:tblPr>
      <w:tblGrid>
        <w:gridCol w:w="2515"/>
        <w:gridCol w:w="7020"/>
      </w:tblGrid>
      <w:tr w:rsidR="00745659" w:rsidRPr="007B786F" w:rsidTr="00313F76">
        <w:trPr>
          <w:trHeight w:val="1008"/>
        </w:trPr>
        <w:tc>
          <w:tcPr>
            <w:tcW w:w="2515" w:type="dxa"/>
            <w:vAlign w:val="center"/>
          </w:tcPr>
          <w:p w:rsidR="00745659" w:rsidRPr="007B786F" w:rsidRDefault="00745659" w:rsidP="0057717B">
            <w:pPr>
              <w:jc w:val="center"/>
              <w:rPr>
                <w:rFonts w:ascii="Times New Roman" w:hAnsi="Times New Roman" w:cs="Times New Roman"/>
                <w:sz w:val="24"/>
                <w:szCs w:val="24"/>
              </w:rPr>
            </w:pPr>
            <w:r w:rsidRPr="007B786F">
              <w:rPr>
                <w:rFonts w:ascii="Times New Roman" w:hAnsi="Times New Roman" w:cs="Times New Roman"/>
                <w:sz w:val="24"/>
                <w:szCs w:val="24"/>
              </w:rPr>
              <w:t>2011 AVISTA GRC (UE-110876)</w:t>
            </w:r>
          </w:p>
        </w:tc>
        <w:tc>
          <w:tcPr>
            <w:tcW w:w="7020" w:type="dxa"/>
          </w:tcPr>
          <w:p w:rsidR="00447081" w:rsidRDefault="00447081" w:rsidP="008948A0">
            <w:pPr>
              <w:rPr>
                <w:rFonts w:ascii="Times New Roman" w:hAnsi="Times New Roman" w:cs="Times New Roman"/>
                <w:i/>
                <w:sz w:val="24"/>
                <w:szCs w:val="24"/>
              </w:rPr>
            </w:pPr>
            <w:r w:rsidRPr="008948A0">
              <w:rPr>
                <w:rFonts w:ascii="Times New Roman" w:hAnsi="Times New Roman" w:cs="Times New Roman"/>
                <w:i/>
                <w:sz w:val="24"/>
                <w:szCs w:val="24"/>
              </w:rPr>
              <w:t>Multi Party Settlement – No changes to cost of service</w:t>
            </w:r>
          </w:p>
          <w:p w:rsidR="008948A0" w:rsidRPr="008948A0" w:rsidRDefault="008948A0" w:rsidP="008948A0">
            <w:pPr>
              <w:rPr>
                <w:rFonts w:ascii="Times New Roman" w:hAnsi="Times New Roman" w:cs="Times New Roman"/>
                <w:i/>
                <w:sz w:val="24"/>
                <w:szCs w:val="24"/>
              </w:rPr>
            </w:pPr>
          </w:p>
          <w:p w:rsidR="008948A0" w:rsidRDefault="008948A0" w:rsidP="008948A0">
            <w:pPr>
              <w:pStyle w:val="ListParagraph"/>
              <w:numPr>
                <w:ilvl w:val="0"/>
                <w:numId w:val="1"/>
              </w:numPr>
              <w:ind w:left="138" w:hanging="180"/>
              <w:rPr>
                <w:rFonts w:ascii="Times New Roman" w:hAnsi="Times New Roman" w:cs="Times New Roman"/>
                <w:sz w:val="24"/>
                <w:szCs w:val="24"/>
              </w:rPr>
            </w:pPr>
            <w:r>
              <w:rPr>
                <w:rFonts w:ascii="Times New Roman" w:hAnsi="Times New Roman" w:cs="Times New Roman"/>
                <w:sz w:val="24"/>
                <w:szCs w:val="24"/>
              </w:rPr>
              <w:t>Avista Proposals are not adopted:</w:t>
            </w:r>
          </w:p>
          <w:p w:rsidR="00313F76" w:rsidRPr="003C28A6" w:rsidRDefault="008948A0" w:rsidP="003C28A6">
            <w:pPr>
              <w:pStyle w:val="ListParagraph"/>
              <w:numPr>
                <w:ilvl w:val="1"/>
                <w:numId w:val="7"/>
              </w:numPr>
              <w:ind w:left="342" w:hanging="180"/>
              <w:rPr>
                <w:rFonts w:ascii="Times New Roman" w:hAnsi="Times New Roman" w:cs="Times New Roman"/>
                <w:sz w:val="24"/>
                <w:szCs w:val="24"/>
              </w:rPr>
            </w:pPr>
            <w:r>
              <w:rPr>
                <w:rFonts w:ascii="Times New Roman" w:hAnsi="Times New Roman" w:cs="Times New Roman"/>
                <w:sz w:val="24"/>
                <w:szCs w:val="24"/>
              </w:rPr>
              <w:t>S</w:t>
            </w:r>
            <w:r w:rsidR="00E6686B" w:rsidRPr="008948A0">
              <w:rPr>
                <w:rFonts w:ascii="Times New Roman" w:hAnsi="Times New Roman" w:cs="Times New Roman"/>
                <w:sz w:val="24"/>
                <w:szCs w:val="24"/>
              </w:rPr>
              <w:t xml:space="preserve">ystem load factor </w:t>
            </w:r>
            <w:r>
              <w:rPr>
                <w:rFonts w:ascii="Times New Roman" w:hAnsi="Times New Roman" w:cs="Times New Roman"/>
                <w:sz w:val="24"/>
                <w:szCs w:val="24"/>
              </w:rPr>
              <w:t>to determine</w:t>
            </w:r>
            <w:r w:rsidR="00E6686B" w:rsidRPr="008948A0">
              <w:rPr>
                <w:rFonts w:ascii="Times New Roman" w:hAnsi="Times New Roman" w:cs="Times New Roman"/>
                <w:sz w:val="24"/>
                <w:szCs w:val="24"/>
              </w:rPr>
              <w:t xml:space="preserve"> demand portion of production costs.  </w:t>
            </w:r>
          </w:p>
        </w:tc>
      </w:tr>
      <w:tr w:rsidR="00786E55" w:rsidRPr="007B786F" w:rsidTr="00313F76">
        <w:trPr>
          <w:trHeight w:val="1008"/>
        </w:trPr>
        <w:tc>
          <w:tcPr>
            <w:tcW w:w="2515" w:type="dxa"/>
            <w:vAlign w:val="center"/>
          </w:tcPr>
          <w:p w:rsidR="00786E55" w:rsidRPr="007B786F" w:rsidRDefault="00786E55" w:rsidP="0057717B">
            <w:pPr>
              <w:jc w:val="center"/>
              <w:rPr>
                <w:rFonts w:ascii="Times New Roman" w:hAnsi="Times New Roman" w:cs="Times New Roman"/>
                <w:sz w:val="24"/>
                <w:szCs w:val="24"/>
              </w:rPr>
            </w:pPr>
            <w:r w:rsidRPr="007B786F">
              <w:rPr>
                <w:rFonts w:ascii="Times New Roman" w:hAnsi="Times New Roman" w:cs="Times New Roman"/>
                <w:sz w:val="24"/>
                <w:szCs w:val="24"/>
              </w:rPr>
              <w:t xml:space="preserve">2010 </w:t>
            </w:r>
            <w:r w:rsidR="00E315EF" w:rsidRPr="007B786F">
              <w:rPr>
                <w:rFonts w:ascii="Times New Roman" w:hAnsi="Times New Roman" w:cs="Times New Roman"/>
                <w:sz w:val="24"/>
                <w:szCs w:val="24"/>
              </w:rPr>
              <w:t>AVISTA</w:t>
            </w:r>
            <w:r w:rsidRPr="007B786F">
              <w:rPr>
                <w:rFonts w:ascii="Times New Roman" w:hAnsi="Times New Roman" w:cs="Times New Roman"/>
                <w:sz w:val="24"/>
                <w:szCs w:val="24"/>
              </w:rPr>
              <w:t xml:space="preserve"> GRC (UE-</w:t>
            </w:r>
            <w:r w:rsidR="0057717B">
              <w:rPr>
                <w:rFonts w:ascii="Times New Roman" w:hAnsi="Times New Roman" w:cs="Times New Roman"/>
                <w:sz w:val="24"/>
                <w:szCs w:val="24"/>
              </w:rPr>
              <w:t>100467)</w:t>
            </w:r>
          </w:p>
        </w:tc>
        <w:tc>
          <w:tcPr>
            <w:tcW w:w="7020" w:type="dxa"/>
          </w:tcPr>
          <w:p w:rsidR="00447081" w:rsidRPr="008948A0" w:rsidRDefault="00447081" w:rsidP="008948A0">
            <w:pPr>
              <w:rPr>
                <w:rFonts w:ascii="Times New Roman" w:hAnsi="Times New Roman" w:cs="Times New Roman"/>
                <w:i/>
                <w:sz w:val="24"/>
                <w:szCs w:val="24"/>
              </w:rPr>
            </w:pPr>
            <w:r w:rsidRPr="008948A0">
              <w:rPr>
                <w:rFonts w:ascii="Times New Roman" w:hAnsi="Times New Roman" w:cs="Times New Roman"/>
                <w:i/>
                <w:sz w:val="24"/>
                <w:szCs w:val="24"/>
              </w:rPr>
              <w:t>Multi Party Settlement – No changes to cost of service</w:t>
            </w:r>
          </w:p>
          <w:p w:rsidR="008948A0" w:rsidRPr="008948A0" w:rsidRDefault="008948A0" w:rsidP="008948A0">
            <w:pPr>
              <w:rPr>
                <w:rFonts w:ascii="Times New Roman" w:hAnsi="Times New Roman" w:cs="Times New Roman"/>
                <w:sz w:val="24"/>
                <w:szCs w:val="24"/>
              </w:rPr>
            </w:pPr>
          </w:p>
          <w:p w:rsidR="00786E55" w:rsidRPr="008948A0" w:rsidRDefault="00C56673" w:rsidP="008948A0">
            <w:pPr>
              <w:rPr>
                <w:rFonts w:ascii="Times New Roman" w:hAnsi="Times New Roman" w:cs="Times New Roman"/>
              </w:rPr>
            </w:pPr>
            <w:r>
              <w:rPr>
                <w:rFonts w:ascii="Times New Roman" w:hAnsi="Times New Roman" w:cs="Times New Roman"/>
                <w:sz w:val="24"/>
                <w:szCs w:val="24"/>
              </w:rPr>
              <w:t xml:space="preserve">Avista utilizes </w:t>
            </w:r>
            <w:r w:rsidR="00B90B2D" w:rsidRPr="008948A0">
              <w:rPr>
                <w:rFonts w:ascii="Times New Roman" w:hAnsi="Times New Roman" w:cs="Times New Roman"/>
                <w:sz w:val="24"/>
                <w:szCs w:val="24"/>
              </w:rPr>
              <w:t>IRP based analysis of total dispatch value from a CCCT to determine demand/energy ratio</w:t>
            </w:r>
          </w:p>
        </w:tc>
      </w:tr>
      <w:tr w:rsidR="00786E55" w:rsidRPr="007B786F" w:rsidTr="00313F76">
        <w:trPr>
          <w:trHeight w:val="1008"/>
        </w:trPr>
        <w:tc>
          <w:tcPr>
            <w:tcW w:w="2515" w:type="dxa"/>
            <w:vAlign w:val="center"/>
          </w:tcPr>
          <w:p w:rsidR="00786E55" w:rsidRPr="007B786F" w:rsidRDefault="00E315EF" w:rsidP="0057717B">
            <w:pPr>
              <w:jc w:val="center"/>
              <w:rPr>
                <w:rFonts w:ascii="Times New Roman" w:hAnsi="Times New Roman" w:cs="Times New Roman"/>
                <w:sz w:val="24"/>
                <w:szCs w:val="24"/>
              </w:rPr>
            </w:pPr>
            <w:r w:rsidRPr="007B786F">
              <w:rPr>
                <w:rFonts w:ascii="Times New Roman" w:hAnsi="Times New Roman" w:cs="Times New Roman"/>
                <w:sz w:val="24"/>
                <w:szCs w:val="24"/>
              </w:rPr>
              <w:t>1999</w:t>
            </w:r>
            <w:r w:rsidR="00786E55" w:rsidRPr="007B786F">
              <w:rPr>
                <w:rFonts w:ascii="Times New Roman" w:hAnsi="Times New Roman" w:cs="Times New Roman"/>
                <w:sz w:val="24"/>
                <w:szCs w:val="24"/>
              </w:rPr>
              <w:t xml:space="preserve"> </w:t>
            </w:r>
            <w:r w:rsidRPr="007B786F">
              <w:rPr>
                <w:rFonts w:ascii="Times New Roman" w:hAnsi="Times New Roman" w:cs="Times New Roman"/>
                <w:sz w:val="24"/>
                <w:szCs w:val="24"/>
              </w:rPr>
              <w:t>AVISTA</w:t>
            </w:r>
            <w:r w:rsidR="00786E55" w:rsidRPr="007B786F">
              <w:rPr>
                <w:rFonts w:ascii="Times New Roman" w:hAnsi="Times New Roman" w:cs="Times New Roman"/>
                <w:sz w:val="24"/>
                <w:szCs w:val="24"/>
              </w:rPr>
              <w:t xml:space="preserve"> GRC (UE-</w:t>
            </w:r>
            <w:r w:rsidR="0057717B">
              <w:rPr>
                <w:rFonts w:ascii="Times New Roman" w:hAnsi="Times New Roman" w:cs="Times New Roman"/>
                <w:sz w:val="24"/>
                <w:szCs w:val="24"/>
              </w:rPr>
              <w:t>991606)</w:t>
            </w:r>
          </w:p>
        </w:tc>
        <w:tc>
          <w:tcPr>
            <w:tcW w:w="7020" w:type="dxa"/>
          </w:tcPr>
          <w:p w:rsidR="00786E55" w:rsidRPr="008948A0" w:rsidRDefault="00786E55" w:rsidP="008948A0">
            <w:pPr>
              <w:rPr>
                <w:rFonts w:ascii="Times New Roman" w:hAnsi="Times New Roman" w:cs="Times New Roman"/>
                <w:i/>
                <w:sz w:val="24"/>
                <w:szCs w:val="24"/>
              </w:rPr>
            </w:pPr>
            <w:r w:rsidRPr="008948A0">
              <w:rPr>
                <w:rFonts w:ascii="Times New Roman" w:hAnsi="Times New Roman" w:cs="Times New Roman"/>
                <w:i/>
                <w:sz w:val="24"/>
                <w:szCs w:val="24"/>
              </w:rPr>
              <w:t>Commission Order</w:t>
            </w:r>
          </w:p>
          <w:p w:rsidR="008948A0" w:rsidRDefault="008948A0" w:rsidP="008948A0">
            <w:pPr>
              <w:rPr>
                <w:rFonts w:ascii="Times New Roman" w:hAnsi="Times New Roman" w:cs="Times New Roman"/>
                <w:sz w:val="24"/>
                <w:szCs w:val="24"/>
              </w:rPr>
            </w:pPr>
          </w:p>
          <w:p w:rsidR="00786E55" w:rsidRPr="008948A0" w:rsidRDefault="009C258E" w:rsidP="00C56673">
            <w:pPr>
              <w:rPr>
                <w:rFonts w:ascii="Times New Roman" w:hAnsi="Times New Roman" w:cs="Times New Roman"/>
                <w:sz w:val="24"/>
                <w:szCs w:val="24"/>
              </w:rPr>
            </w:pPr>
            <w:r w:rsidRPr="008948A0">
              <w:rPr>
                <w:rFonts w:ascii="Times New Roman" w:hAnsi="Times New Roman" w:cs="Times New Roman"/>
                <w:sz w:val="24"/>
                <w:szCs w:val="24"/>
              </w:rPr>
              <w:t xml:space="preserve">Accepts </w:t>
            </w:r>
            <w:r w:rsidR="00C56673">
              <w:rPr>
                <w:rFonts w:ascii="Times New Roman" w:hAnsi="Times New Roman" w:cs="Times New Roman"/>
                <w:sz w:val="24"/>
                <w:szCs w:val="24"/>
              </w:rPr>
              <w:t>modified</w:t>
            </w:r>
            <w:r w:rsidRPr="008948A0">
              <w:rPr>
                <w:rFonts w:ascii="Times New Roman" w:hAnsi="Times New Roman" w:cs="Times New Roman"/>
                <w:sz w:val="24"/>
                <w:szCs w:val="24"/>
              </w:rPr>
              <w:t xml:space="preserve"> Peak Credit Methodology because “…the peak usage patterns of each unique company are appropriately used in that company’s cost of service study.”</w:t>
            </w:r>
            <w:r w:rsidRPr="007B786F">
              <w:rPr>
                <w:rStyle w:val="FootnoteReference"/>
                <w:rFonts w:ascii="Times New Roman" w:hAnsi="Times New Roman" w:cs="Times New Roman"/>
                <w:sz w:val="24"/>
                <w:szCs w:val="24"/>
              </w:rPr>
              <w:footnoteReference w:id="3"/>
            </w:r>
            <w:r w:rsidRPr="008948A0">
              <w:rPr>
                <w:rFonts w:ascii="Times New Roman" w:hAnsi="Times New Roman" w:cs="Times New Roman"/>
                <w:sz w:val="24"/>
                <w:szCs w:val="24"/>
              </w:rPr>
              <w:t xml:space="preserve"> </w:t>
            </w:r>
          </w:p>
        </w:tc>
      </w:tr>
    </w:tbl>
    <w:p w:rsidR="00786E55" w:rsidRPr="007B786F" w:rsidRDefault="00786E55" w:rsidP="008170D5">
      <w:pPr>
        <w:jc w:val="center"/>
        <w:rPr>
          <w:rFonts w:ascii="Times New Roman" w:hAnsi="Times New Roman" w:cs="Times New Roman"/>
          <w:sz w:val="24"/>
          <w:szCs w:val="24"/>
          <w:u w:val="single"/>
        </w:rPr>
      </w:pPr>
    </w:p>
    <w:p w:rsidR="00CA5F29" w:rsidRPr="007B786F" w:rsidRDefault="00FA57B9" w:rsidP="00A6266B">
      <w:pPr>
        <w:rPr>
          <w:rFonts w:ascii="Times New Roman" w:hAnsi="Times New Roman" w:cs="Times New Roman"/>
          <w:sz w:val="24"/>
          <w:szCs w:val="24"/>
        </w:rPr>
      </w:pPr>
      <w:r w:rsidRPr="007B786F">
        <w:rPr>
          <w:rFonts w:ascii="Times New Roman" w:hAnsi="Times New Roman" w:cs="Times New Roman"/>
          <w:sz w:val="24"/>
          <w:szCs w:val="24"/>
        </w:rPr>
        <w:t xml:space="preserve">Avista first adopted the peak credit methodology in </w:t>
      </w:r>
      <w:r w:rsidR="00C56673">
        <w:rPr>
          <w:rFonts w:ascii="Times New Roman" w:hAnsi="Times New Roman" w:cs="Times New Roman"/>
          <w:sz w:val="24"/>
          <w:szCs w:val="24"/>
        </w:rPr>
        <w:t>its</w:t>
      </w:r>
      <w:r w:rsidRPr="007B786F">
        <w:rPr>
          <w:rFonts w:ascii="Times New Roman" w:hAnsi="Times New Roman" w:cs="Times New Roman"/>
          <w:sz w:val="24"/>
          <w:szCs w:val="24"/>
        </w:rPr>
        <w:t xml:space="preserve"> 1999 GRC.  </w:t>
      </w:r>
      <w:r w:rsidR="00361D14">
        <w:rPr>
          <w:rFonts w:ascii="Times New Roman" w:hAnsi="Times New Roman" w:cs="Times New Roman"/>
          <w:sz w:val="24"/>
          <w:szCs w:val="24"/>
        </w:rPr>
        <w:t>Avista’s proposal was unique</w:t>
      </w:r>
      <w:r w:rsidR="00075E4A" w:rsidRPr="007B786F">
        <w:rPr>
          <w:rFonts w:ascii="Times New Roman" w:hAnsi="Times New Roman" w:cs="Times New Roman"/>
          <w:sz w:val="24"/>
          <w:szCs w:val="24"/>
        </w:rPr>
        <w:t xml:space="preserve"> </w:t>
      </w:r>
      <w:r w:rsidR="00361D14">
        <w:rPr>
          <w:rFonts w:ascii="Times New Roman" w:hAnsi="Times New Roman" w:cs="Times New Roman"/>
          <w:sz w:val="24"/>
          <w:szCs w:val="24"/>
        </w:rPr>
        <w:t>as</w:t>
      </w:r>
      <w:r w:rsidR="00075E4A" w:rsidRPr="007B786F">
        <w:rPr>
          <w:rFonts w:ascii="Times New Roman" w:hAnsi="Times New Roman" w:cs="Times New Roman"/>
          <w:sz w:val="24"/>
          <w:szCs w:val="24"/>
        </w:rPr>
        <w:t xml:space="preserve"> it was</w:t>
      </w:r>
      <w:r w:rsidR="00AC724C" w:rsidRPr="007B786F">
        <w:rPr>
          <w:rFonts w:ascii="Times New Roman" w:hAnsi="Times New Roman" w:cs="Times New Roman"/>
          <w:sz w:val="24"/>
          <w:szCs w:val="24"/>
        </w:rPr>
        <w:t xml:space="preserve"> </w:t>
      </w:r>
      <w:r w:rsidR="00075E4A" w:rsidRPr="007B786F">
        <w:rPr>
          <w:rFonts w:ascii="Times New Roman" w:hAnsi="Times New Roman" w:cs="Times New Roman"/>
          <w:sz w:val="24"/>
          <w:szCs w:val="24"/>
        </w:rPr>
        <w:t xml:space="preserve">segregated </w:t>
      </w:r>
      <w:r w:rsidR="00361D14">
        <w:rPr>
          <w:rFonts w:ascii="Times New Roman" w:hAnsi="Times New Roman" w:cs="Times New Roman"/>
          <w:sz w:val="24"/>
          <w:szCs w:val="24"/>
        </w:rPr>
        <w:t>by plant type</w:t>
      </w:r>
      <w:r w:rsidR="00075E4A" w:rsidRPr="007B786F">
        <w:rPr>
          <w:rFonts w:ascii="Times New Roman" w:hAnsi="Times New Roman" w:cs="Times New Roman"/>
          <w:sz w:val="24"/>
          <w:szCs w:val="24"/>
        </w:rPr>
        <w:t xml:space="preserve">.  </w:t>
      </w:r>
      <w:r w:rsidR="00AF30DA">
        <w:rPr>
          <w:rFonts w:ascii="Times New Roman" w:hAnsi="Times New Roman" w:cs="Times New Roman"/>
          <w:sz w:val="24"/>
          <w:szCs w:val="24"/>
        </w:rPr>
        <w:t xml:space="preserve">The </w:t>
      </w:r>
      <w:r w:rsidR="00075E4A" w:rsidRPr="007B786F">
        <w:rPr>
          <w:rFonts w:ascii="Times New Roman" w:hAnsi="Times New Roman" w:cs="Times New Roman"/>
          <w:sz w:val="24"/>
          <w:szCs w:val="24"/>
        </w:rPr>
        <w:t>Avista</w:t>
      </w:r>
      <w:r w:rsidR="00AF30DA">
        <w:rPr>
          <w:rFonts w:ascii="Times New Roman" w:hAnsi="Times New Roman" w:cs="Times New Roman"/>
          <w:sz w:val="24"/>
          <w:szCs w:val="24"/>
        </w:rPr>
        <w:t xml:space="preserve"> method</w:t>
      </w:r>
      <w:r w:rsidR="00075E4A" w:rsidRPr="007B786F">
        <w:rPr>
          <w:rFonts w:ascii="Times New Roman" w:hAnsi="Times New Roman" w:cs="Times New Roman"/>
          <w:sz w:val="24"/>
          <w:szCs w:val="24"/>
        </w:rPr>
        <w:t xml:space="preserve"> compared the replacement cost per kW for a peaking simple cycle combustion turbine to the replacement costs for a thermal and hydro plant separately.  </w:t>
      </w:r>
    </w:p>
    <w:p w:rsidR="00E9107D" w:rsidRPr="007B786F" w:rsidRDefault="00E9107D" w:rsidP="00A6266B">
      <w:pPr>
        <w:rPr>
          <w:rFonts w:ascii="Times New Roman" w:hAnsi="Times New Roman" w:cs="Times New Roman"/>
          <w:sz w:val="24"/>
          <w:szCs w:val="24"/>
        </w:rPr>
      </w:pPr>
    </w:p>
    <w:p w:rsidR="00636437" w:rsidRPr="007B786F" w:rsidRDefault="00A6266B" w:rsidP="00A6266B">
      <w:pPr>
        <w:rPr>
          <w:rFonts w:ascii="Times New Roman" w:hAnsi="Times New Roman" w:cs="Times New Roman"/>
          <w:sz w:val="24"/>
          <w:szCs w:val="24"/>
        </w:rPr>
      </w:pPr>
      <w:r w:rsidRPr="007B786F">
        <w:rPr>
          <w:rFonts w:ascii="Times New Roman" w:hAnsi="Times New Roman" w:cs="Times New Roman"/>
          <w:sz w:val="24"/>
          <w:szCs w:val="24"/>
        </w:rPr>
        <w:t>In 2010, Avista</w:t>
      </w:r>
      <w:r w:rsidR="007A52EB" w:rsidRPr="007B786F">
        <w:rPr>
          <w:rFonts w:ascii="Times New Roman" w:hAnsi="Times New Roman" w:cs="Times New Roman"/>
          <w:sz w:val="24"/>
          <w:szCs w:val="24"/>
        </w:rPr>
        <w:t xml:space="preserve"> proposed an alternative to the Avista spec</w:t>
      </w:r>
      <w:r w:rsidR="00636437" w:rsidRPr="007B786F">
        <w:rPr>
          <w:rFonts w:ascii="Times New Roman" w:hAnsi="Times New Roman" w:cs="Times New Roman"/>
          <w:sz w:val="24"/>
          <w:szCs w:val="24"/>
        </w:rPr>
        <w:t>ific peak credit methodology c</w:t>
      </w:r>
      <w:r w:rsidR="009554D1" w:rsidRPr="007B786F">
        <w:rPr>
          <w:rFonts w:ascii="Times New Roman" w:hAnsi="Times New Roman" w:cs="Times New Roman"/>
          <w:sz w:val="24"/>
          <w:szCs w:val="24"/>
        </w:rPr>
        <w:t xml:space="preserve">iting </w:t>
      </w:r>
      <w:r w:rsidR="00636437" w:rsidRPr="007B786F">
        <w:rPr>
          <w:rFonts w:ascii="Times New Roman" w:hAnsi="Times New Roman" w:cs="Times New Roman"/>
          <w:sz w:val="24"/>
          <w:szCs w:val="24"/>
        </w:rPr>
        <w:t>concerns</w:t>
      </w:r>
      <w:r w:rsidR="009554D1" w:rsidRPr="007B786F">
        <w:rPr>
          <w:rFonts w:ascii="Times New Roman" w:hAnsi="Times New Roman" w:cs="Times New Roman"/>
          <w:sz w:val="24"/>
          <w:szCs w:val="24"/>
        </w:rPr>
        <w:t xml:space="preserve"> over the efficiency </w:t>
      </w:r>
      <w:r w:rsidR="00636437" w:rsidRPr="007B786F">
        <w:rPr>
          <w:rFonts w:ascii="Times New Roman" w:hAnsi="Times New Roman" w:cs="Times New Roman"/>
          <w:sz w:val="24"/>
          <w:szCs w:val="24"/>
        </w:rPr>
        <w:t xml:space="preserve">and accuracy of </w:t>
      </w:r>
      <w:r w:rsidR="00345BB5">
        <w:rPr>
          <w:rFonts w:ascii="Times New Roman" w:hAnsi="Times New Roman" w:cs="Times New Roman"/>
          <w:sz w:val="24"/>
          <w:szCs w:val="24"/>
        </w:rPr>
        <w:t xml:space="preserve">individual </w:t>
      </w:r>
      <w:r w:rsidR="009554D1" w:rsidRPr="007B786F">
        <w:rPr>
          <w:rFonts w:ascii="Times New Roman" w:hAnsi="Times New Roman" w:cs="Times New Roman"/>
          <w:sz w:val="24"/>
          <w:szCs w:val="24"/>
        </w:rPr>
        <w:t>demand and energy c</w:t>
      </w:r>
      <w:r w:rsidR="00636437" w:rsidRPr="007B786F">
        <w:rPr>
          <w:rFonts w:ascii="Times New Roman" w:hAnsi="Times New Roman" w:cs="Times New Roman"/>
          <w:sz w:val="24"/>
          <w:szCs w:val="24"/>
        </w:rPr>
        <w:t xml:space="preserve">ontributions </w:t>
      </w:r>
      <w:r w:rsidR="00345BB5">
        <w:rPr>
          <w:rFonts w:ascii="Times New Roman" w:hAnsi="Times New Roman" w:cs="Times New Roman"/>
          <w:sz w:val="24"/>
          <w:szCs w:val="24"/>
        </w:rPr>
        <w:t xml:space="preserve">for each </w:t>
      </w:r>
      <w:r w:rsidR="00636437" w:rsidRPr="007B786F">
        <w:rPr>
          <w:rFonts w:ascii="Times New Roman" w:hAnsi="Times New Roman" w:cs="Times New Roman"/>
          <w:sz w:val="24"/>
          <w:szCs w:val="24"/>
        </w:rPr>
        <w:t>FERC account.</w:t>
      </w:r>
      <w:r w:rsidR="00636437" w:rsidRPr="007B786F">
        <w:rPr>
          <w:rStyle w:val="FootnoteReference"/>
          <w:rFonts w:ascii="Times New Roman" w:hAnsi="Times New Roman" w:cs="Times New Roman"/>
          <w:sz w:val="24"/>
          <w:szCs w:val="24"/>
        </w:rPr>
        <w:footnoteReference w:id="4"/>
      </w:r>
      <w:r w:rsidR="00643EC9" w:rsidRPr="007B786F">
        <w:rPr>
          <w:rFonts w:ascii="Times New Roman" w:hAnsi="Times New Roman" w:cs="Times New Roman"/>
          <w:sz w:val="24"/>
          <w:szCs w:val="24"/>
        </w:rPr>
        <w:t xml:space="preserve">  To solve this problem, Avista proposed to use </w:t>
      </w:r>
      <w:r w:rsidR="00955D44" w:rsidRPr="007B786F">
        <w:rPr>
          <w:rFonts w:ascii="Times New Roman" w:hAnsi="Times New Roman" w:cs="Times New Roman"/>
          <w:sz w:val="24"/>
          <w:szCs w:val="24"/>
        </w:rPr>
        <w:t xml:space="preserve">IRP calculated </w:t>
      </w:r>
      <w:r w:rsidR="00461A5B" w:rsidRPr="007B786F">
        <w:rPr>
          <w:rFonts w:ascii="Times New Roman" w:hAnsi="Times New Roman" w:cs="Times New Roman"/>
          <w:sz w:val="24"/>
          <w:szCs w:val="24"/>
        </w:rPr>
        <w:t xml:space="preserve">20-year </w:t>
      </w:r>
      <w:r w:rsidR="00955D44" w:rsidRPr="007B786F">
        <w:rPr>
          <w:rFonts w:ascii="Times New Roman" w:hAnsi="Times New Roman" w:cs="Times New Roman"/>
          <w:sz w:val="24"/>
          <w:szCs w:val="24"/>
        </w:rPr>
        <w:t>market dispatched value of a CCCT as the total value of energy for the plan</w:t>
      </w:r>
      <w:r w:rsidR="00EF7AD6" w:rsidRPr="007B786F">
        <w:rPr>
          <w:rFonts w:ascii="Times New Roman" w:hAnsi="Times New Roman" w:cs="Times New Roman"/>
          <w:sz w:val="24"/>
          <w:szCs w:val="24"/>
        </w:rPr>
        <w:t xml:space="preserve">t.  The ratio of the costs not recovered through the energy </w:t>
      </w:r>
      <w:r w:rsidR="00235DFC" w:rsidRPr="007B786F">
        <w:rPr>
          <w:rFonts w:ascii="Times New Roman" w:hAnsi="Times New Roman" w:cs="Times New Roman"/>
          <w:sz w:val="24"/>
          <w:szCs w:val="24"/>
        </w:rPr>
        <w:t>sales</w:t>
      </w:r>
      <w:r w:rsidR="00EF7AD6" w:rsidRPr="007B786F">
        <w:rPr>
          <w:rFonts w:ascii="Times New Roman" w:hAnsi="Times New Roman" w:cs="Times New Roman"/>
          <w:sz w:val="24"/>
          <w:szCs w:val="24"/>
        </w:rPr>
        <w:t xml:space="preserve"> of the </w:t>
      </w:r>
      <w:r w:rsidR="00235DFC" w:rsidRPr="007B786F">
        <w:rPr>
          <w:rFonts w:ascii="Times New Roman" w:hAnsi="Times New Roman" w:cs="Times New Roman"/>
          <w:sz w:val="24"/>
          <w:szCs w:val="24"/>
        </w:rPr>
        <w:t>CCCT</w:t>
      </w:r>
      <w:r w:rsidR="00EF7AD6" w:rsidRPr="007B786F">
        <w:rPr>
          <w:rFonts w:ascii="Times New Roman" w:hAnsi="Times New Roman" w:cs="Times New Roman"/>
          <w:sz w:val="24"/>
          <w:szCs w:val="24"/>
        </w:rPr>
        <w:t xml:space="preserve"> to the total cost of the </w:t>
      </w:r>
      <w:r w:rsidR="00235DFC" w:rsidRPr="007B786F">
        <w:rPr>
          <w:rFonts w:ascii="Times New Roman" w:hAnsi="Times New Roman" w:cs="Times New Roman"/>
          <w:sz w:val="24"/>
          <w:szCs w:val="24"/>
        </w:rPr>
        <w:t>CCCT</w:t>
      </w:r>
      <w:r w:rsidR="00EF7AD6" w:rsidRPr="007B786F">
        <w:rPr>
          <w:rFonts w:ascii="Times New Roman" w:hAnsi="Times New Roman" w:cs="Times New Roman"/>
          <w:sz w:val="24"/>
          <w:szCs w:val="24"/>
        </w:rPr>
        <w:t xml:space="preserve"> </w:t>
      </w:r>
      <w:r w:rsidR="005B40AC" w:rsidRPr="007B786F">
        <w:rPr>
          <w:rFonts w:ascii="Times New Roman" w:hAnsi="Times New Roman" w:cs="Times New Roman"/>
          <w:sz w:val="24"/>
          <w:szCs w:val="24"/>
        </w:rPr>
        <w:t>represents the</w:t>
      </w:r>
      <w:r w:rsidR="00EF7AD6" w:rsidRPr="007B786F">
        <w:rPr>
          <w:rFonts w:ascii="Times New Roman" w:hAnsi="Times New Roman" w:cs="Times New Roman"/>
          <w:sz w:val="24"/>
          <w:szCs w:val="24"/>
        </w:rPr>
        <w:t xml:space="preserve"> demand component.  </w:t>
      </w:r>
      <w:r w:rsidR="005B40AC" w:rsidRPr="007B786F">
        <w:rPr>
          <w:rFonts w:ascii="Times New Roman" w:hAnsi="Times New Roman" w:cs="Times New Roman"/>
          <w:sz w:val="24"/>
          <w:szCs w:val="24"/>
        </w:rPr>
        <w:t xml:space="preserve">The 2010 case settled and did not discuss the proposed methodology.  </w:t>
      </w:r>
    </w:p>
    <w:p w:rsidR="00636437" w:rsidRPr="007B786F" w:rsidRDefault="00636437" w:rsidP="00A6266B">
      <w:pPr>
        <w:rPr>
          <w:rFonts w:ascii="Times New Roman" w:hAnsi="Times New Roman" w:cs="Times New Roman"/>
          <w:sz w:val="24"/>
          <w:szCs w:val="24"/>
        </w:rPr>
      </w:pPr>
    </w:p>
    <w:p w:rsidR="00CA5F29" w:rsidRPr="007B786F" w:rsidRDefault="005B40AC" w:rsidP="00A6266B">
      <w:pPr>
        <w:rPr>
          <w:rFonts w:ascii="Times New Roman" w:hAnsi="Times New Roman" w:cs="Times New Roman"/>
          <w:sz w:val="24"/>
          <w:szCs w:val="24"/>
        </w:rPr>
      </w:pPr>
      <w:r w:rsidRPr="007B786F">
        <w:rPr>
          <w:rFonts w:ascii="Times New Roman" w:hAnsi="Times New Roman" w:cs="Times New Roman"/>
          <w:sz w:val="24"/>
          <w:szCs w:val="24"/>
        </w:rPr>
        <w:t xml:space="preserve">The </w:t>
      </w:r>
      <w:r w:rsidR="0070355C">
        <w:rPr>
          <w:rFonts w:ascii="Times New Roman" w:hAnsi="Times New Roman" w:cs="Times New Roman"/>
          <w:sz w:val="24"/>
          <w:szCs w:val="24"/>
        </w:rPr>
        <w:t>proposal</w:t>
      </w:r>
      <w:r w:rsidRPr="007B786F">
        <w:rPr>
          <w:rFonts w:ascii="Times New Roman" w:hAnsi="Times New Roman" w:cs="Times New Roman"/>
          <w:sz w:val="24"/>
          <w:szCs w:val="24"/>
        </w:rPr>
        <w:t xml:space="preserve"> </w:t>
      </w:r>
      <w:r w:rsidR="004407E2">
        <w:rPr>
          <w:rFonts w:ascii="Times New Roman" w:hAnsi="Times New Roman" w:cs="Times New Roman"/>
          <w:sz w:val="24"/>
          <w:szCs w:val="24"/>
        </w:rPr>
        <w:t xml:space="preserve">also </w:t>
      </w:r>
      <w:r w:rsidRPr="007B786F">
        <w:rPr>
          <w:rFonts w:ascii="Times New Roman" w:hAnsi="Times New Roman" w:cs="Times New Roman"/>
          <w:sz w:val="24"/>
          <w:szCs w:val="24"/>
        </w:rPr>
        <w:t>proved to be short-lived.  After a 2010 general rate case in Idaho, Avista and stakeholders</w:t>
      </w:r>
      <w:r w:rsidR="00A6266B" w:rsidRPr="007B786F">
        <w:rPr>
          <w:rFonts w:ascii="Times New Roman" w:hAnsi="Times New Roman" w:cs="Times New Roman"/>
          <w:sz w:val="24"/>
          <w:szCs w:val="24"/>
        </w:rPr>
        <w:t xml:space="preserve"> evaluated the</w:t>
      </w:r>
      <w:r w:rsidR="00D6594A" w:rsidRPr="007B786F">
        <w:rPr>
          <w:rFonts w:ascii="Times New Roman" w:hAnsi="Times New Roman" w:cs="Times New Roman"/>
          <w:sz w:val="24"/>
          <w:szCs w:val="24"/>
        </w:rPr>
        <w:t xml:space="preserve"> </w:t>
      </w:r>
      <w:r w:rsidRPr="007B786F">
        <w:rPr>
          <w:rFonts w:ascii="Times New Roman" w:hAnsi="Times New Roman" w:cs="Times New Roman"/>
          <w:sz w:val="24"/>
          <w:szCs w:val="24"/>
        </w:rPr>
        <w:t xml:space="preserve">proposed IRP methodology.  </w:t>
      </w:r>
      <w:r w:rsidR="00426823" w:rsidRPr="007B786F">
        <w:rPr>
          <w:rFonts w:ascii="Times New Roman" w:hAnsi="Times New Roman" w:cs="Times New Roman"/>
          <w:sz w:val="24"/>
          <w:szCs w:val="24"/>
        </w:rPr>
        <w:t>The workshop questioned the long-term stability of the methodology as well as how an analysis of costs relationships based entirely on projected values could be in an embedded cost study.</w:t>
      </w:r>
      <w:r w:rsidR="00426823" w:rsidRPr="007B786F">
        <w:rPr>
          <w:rStyle w:val="FootnoteReference"/>
          <w:rFonts w:ascii="Times New Roman" w:hAnsi="Times New Roman" w:cs="Times New Roman"/>
          <w:sz w:val="24"/>
          <w:szCs w:val="24"/>
        </w:rPr>
        <w:footnoteReference w:id="5"/>
      </w:r>
      <w:r w:rsidR="00426823" w:rsidRPr="007B786F">
        <w:rPr>
          <w:rFonts w:ascii="Times New Roman" w:hAnsi="Times New Roman" w:cs="Times New Roman"/>
          <w:sz w:val="24"/>
          <w:szCs w:val="24"/>
        </w:rPr>
        <w:t xml:space="preserve"> </w:t>
      </w:r>
      <w:r w:rsidRPr="007B786F">
        <w:rPr>
          <w:rFonts w:ascii="Times New Roman" w:hAnsi="Times New Roman" w:cs="Times New Roman"/>
          <w:sz w:val="24"/>
          <w:szCs w:val="24"/>
        </w:rPr>
        <w:t xml:space="preserve">In general, they </w:t>
      </w:r>
      <w:r w:rsidR="000D6DF8" w:rsidRPr="007B786F">
        <w:rPr>
          <w:rFonts w:ascii="Times New Roman" w:hAnsi="Times New Roman" w:cs="Times New Roman"/>
          <w:sz w:val="24"/>
          <w:szCs w:val="24"/>
        </w:rPr>
        <w:t>found it to be “complicated to compute and apply, unrelated to the actual usage of the system, and has a tendency to shift costs back and forth between energy and demand.”</w:t>
      </w:r>
      <w:r w:rsidR="000D6DF8" w:rsidRPr="007B786F">
        <w:rPr>
          <w:rStyle w:val="FootnoteReference"/>
          <w:rFonts w:ascii="Times New Roman" w:hAnsi="Times New Roman" w:cs="Times New Roman"/>
          <w:sz w:val="24"/>
          <w:szCs w:val="24"/>
        </w:rPr>
        <w:footnoteReference w:id="6"/>
      </w:r>
      <w:r w:rsidR="00C16863" w:rsidRPr="007B786F">
        <w:rPr>
          <w:rFonts w:ascii="Times New Roman" w:hAnsi="Times New Roman" w:cs="Times New Roman"/>
          <w:sz w:val="24"/>
          <w:szCs w:val="24"/>
        </w:rPr>
        <w:t xml:space="preserve">  </w:t>
      </w:r>
      <w:r w:rsidR="00476FAC" w:rsidRPr="007B786F">
        <w:rPr>
          <w:rFonts w:ascii="Times New Roman" w:hAnsi="Times New Roman" w:cs="Times New Roman"/>
          <w:sz w:val="24"/>
          <w:szCs w:val="24"/>
        </w:rPr>
        <w:t>Based o</w:t>
      </w:r>
      <w:r w:rsidR="00CA5F29" w:rsidRPr="007B786F">
        <w:rPr>
          <w:rFonts w:ascii="Times New Roman" w:hAnsi="Times New Roman" w:cs="Times New Roman"/>
          <w:sz w:val="24"/>
          <w:szCs w:val="24"/>
        </w:rPr>
        <w:t xml:space="preserve">n this finding, Avista proposed to use </w:t>
      </w:r>
      <w:r w:rsidR="008C74F3" w:rsidRPr="007B786F">
        <w:rPr>
          <w:rFonts w:ascii="Times New Roman" w:hAnsi="Times New Roman" w:cs="Times New Roman"/>
          <w:sz w:val="24"/>
          <w:szCs w:val="24"/>
        </w:rPr>
        <w:t>a</w:t>
      </w:r>
      <w:r w:rsidR="00CA5F29" w:rsidRPr="007B786F">
        <w:rPr>
          <w:rFonts w:ascii="Times New Roman" w:hAnsi="Times New Roman" w:cs="Times New Roman"/>
          <w:sz w:val="24"/>
          <w:szCs w:val="24"/>
        </w:rPr>
        <w:t xml:space="preserve"> long run incremental capacity </w:t>
      </w:r>
      <w:r w:rsidR="008C74F3" w:rsidRPr="007B786F">
        <w:rPr>
          <w:rFonts w:ascii="Times New Roman" w:hAnsi="Times New Roman" w:cs="Times New Roman"/>
          <w:sz w:val="24"/>
          <w:szCs w:val="24"/>
        </w:rPr>
        <w:t>resource</w:t>
      </w:r>
      <w:r w:rsidR="00CA5F29" w:rsidRPr="007B786F">
        <w:rPr>
          <w:rFonts w:ascii="Times New Roman" w:hAnsi="Times New Roman" w:cs="Times New Roman"/>
          <w:sz w:val="24"/>
          <w:szCs w:val="24"/>
        </w:rPr>
        <w:t xml:space="preserve"> </w:t>
      </w:r>
      <w:r w:rsidR="008C74F3" w:rsidRPr="007B786F">
        <w:rPr>
          <w:rFonts w:ascii="Times New Roman" w:hAnsi="Times New Roman" w:cs="Times New Roman"/>
          <w:sz w:val="24"/>
          <w:szCs w:val="24"/>
        </w:rPr>
        <w:t xml:space="preserve">costs analysis from the IRP.  </w:t>
      </w:r>
    </w:p>
    <w:p w:rsidR="00426823" w:rsidRPr="007B786F" w:rsidRDefault="00426823" w:rsidP="00A6266B">
      <w:pPr>
        <w:rPr>
          <w:rFonts w:ascii="Times New Roman" w:hAnsi="Times New Roman" w:cs="Times New Roman"/>
          <w:sz w:val="24"/>
          <w:szCs w:val="24"/>
        </w:rPr>
      </w:pPr>
    </w:p>
    <w:p w:rsidR="00CA5F29" w:rsidRPr="007B786F" w:rsidRDefault="00AC144C" w:rsidP="00A6266B">
      <w:pPr>
        <w:rPr>
          <w:rFonts w:ascii="Times New Roman" w:hAnsi="Times New Roman" w:cs="Times New Roman"/>
          <w:sz w:val="24"/>
          <w:szCs w:val="24"/>
        </w:rPr>
      </w:pPr>
      <w:r w:rsidRPr="007B786F">
        <w:rPr>
          <w:rFonts w:ascii="Times New Roman" w:hAnsi="Times New Roman" w:cs="Times New Roman"/>
          <w:sz w:val="24"/>
          <w:szCs w:val="24"/>
        </w:rPr>
        <w:t xml:space="preserve">Avista proposed in 2011 </w:t>
      </w:r>
      <w:r w:rsidR="00CA5F29" w:rsidRPr="007B786F">
        <w:rPr>
          <w:rFonts w:ascii="Times New Roman" w:hAnsi="Times New Roman" w:cs="Times New Roman"/>
          <w:sz w:val="24"/>
          <w:szCs w:val="24"/>
        </w:rPr>
        <w:t xml:space="preserve">to use a system load factor </w:t>
      </w:r>
      <w:r w:rsidRPr="007B786F">
        <w:rPr>
          <w:rFonts w:ascii="Times New Roman" w:hAnsi="Times New Roman" w:cs="Times New Roman"/>
          <w:sz w:val="24"/>
          <w:szCs w:val="24"/>
        </w:rPr>
        <w:t>rather than the IRP analysis.</w:t>
      </w:r>
      <w:r w:rsidR="00CA5F29" w:rsidRPr="007B786F">
        <w:rPr>
          <w:rFonts w:ascii="Times New Roman" w:hAnsi="Times New Roman" w:cs="Times New Roman"/>
          <w:sz w:val="24"/>
          <w:szCs w:val="24"/>
        </w:rPr>
        <w:t xml:space="preserve">  </w:t>
      </w:r>
      <w:r w:rsidR="009B1F4E" w:rsidRPr="007B786F">
        <w:rPr>
          <w:rFonts w:ascii="Times New Roman" w:hAnsi="Times New Roman" w:cs="Times New Roman"/>
          <w:sz w:val="24"/>
          <w:szCs w:val="24"/>
        </w:rPr>
        <w:t xml:space="preserve">The </w:t>
      </w:r>
      <w:r w:rsidR="00137F49" w:rsidRPr="007B786F">
        <w:rPr>
          <w:rFonts w:ascii="Times New Roman" w:hAnsi="Times New Roman" w:cs="Times New Roman"/>
          <w:sz w:val="24"/>
          <w:szCs w:val="24"/>
        </w:rPr>
        <w:t xml:space="preserve">system load factor presented a </w:t>
      </w:r>
      <w:r w:rsidR="009B1F4E" w:rsidRPr="007B786F">
        <w:rPr>
          <w:rFonts w:ascii="Times New Roman" w:hAnsi="Times New Roman" w:cs="Times New Roman"/>
          <w:sz w:val="24"/>
          <w:szCs w:val="24"/>
        </w:rPr>
        <w:t xml:space="preserve">more direct way of allocating production costs between demand and energy.  </w:t>
      </w:r>
    </w:p>
    <w:sectPr w:rsidR="00CA5F29" w:rsidRPr="007B786F" w:rsidSect="001C5A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12" w:rsidRDefault="00404412" w:rsidP="00404412">
      <w:r>
        <w:separator/>
      </w:r>
    </w:p>
  </w:endnote>
  <w:endnote w:type="continuationSeparator" w:id="0">
    <w:p w:rsidR="00404412" w:rsidRDefault="00404412" w:rsidP="0040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rPr>
        <w:rFonts w:ascii="Times New Roman" w:hAnsi="Times New Roman" w:cs="Times New Roman"/>
        <w:sz w:val="20"/>
        <w:szCs w:val="20"/>
      </w:rPr>
    </w:sdtEndPr>
    <w:sdtContent>
      <w:p w:rsidR="00124A5D" w:rsidRPr="00124A5D" w:rsidRDefault="00124A5D" w:rsidP="00124A5D">
        <w:pPr>
          <w:pStyle w:val="Footer"/>
          <w:jc w:val="right"/>
          <w:rPr>
            <w:rFonts w:ascii="Times New Roman" w:hAnsi="Times New Roman" w:cs="Times New Roman"/>
            <w:sz w:val="20"/>
            <w:szCs w:val="20"/>
          </w:rPr>
        </w:pPr>
        <w:r w:rsidRPr="00124A5D">
          <w:rPr>
            <w:rFonts w:ascii="Times New Roman" w:hAnsi="Times New Roman" w:cs="Times New Roman"/>
            <w:sz w:val="20"/>
            <w:szCs w:val="20"/>
          </w:rPr>
          <w:t xml:space="preserve">Page </w:t>
        </w:r>
        <w:r w:rsidRPr="00124A5D">
          <w:rPr>
            <w:rFonts w:ascii="Times New Roman" w:hAnsi="Times New Roman" w:cs="Times New Roman"/>
            <w:bCs/>
            <w:sz w:val="20"/>
            <w:szCs w:val="20"/>
          </w:rPr>
          <w:fldChar w:fldCharType="begin"/>
        </w:r>
        <w:r w:rsidRPr="00124A5D">
          <w:rPr>
            <w:rFonts w:ascii="Times New Roman" w:hAnsi="Times New Roman" w:cs="Times New Roman"/>
            <w:bCs/>
            <w:sz w:val="20"/>
            <w:szCs w:val="20"/>
          </w:rPr>
          <w:instrText xml:space="preserve"> PAGE </w:instrText>
        </w:r>
        <w:r w:rsidRPr="00124A5D">
          <w:rPr>
            <w:rFonts w:ascii="Times New Roman" w:hAnsi="Times New Roman" w:cs="Times New Roman"/>
            <w:bCs/>
            <w:sz w:val="20"/>
            <w:szCs w:val="20"/>
          </w:rPr>
          <w:fldChar w:fldCharType="separate"/>
        </w:r>
        <w:r w:rsidR="001A47FC">
          <w:rPr>
            <w:rFonts w:ascii="Times New Roman" w:hAnsi="Times New Roman" w:cs="Times New Roman"/>
            <w:bCs/>
            <w:noProof/>
            <w:sz w:val="20"/>
            <w:szCs w:val="20"/>
          </w:rPr>
          <w:t>2</w:t>
        </w:r>
        <w:r w:rsidRPr="00124A5D">
          <w:rPr>
            <w:rFonts w:ascii="Times New Roman" w:hAnsi="Times New Roman" w:cs="Times New Roman"/>
            <w:bCs/>
            <w:sz w:val="20"/>
            <w:szCs w:val="20"/>
          </w:rPr>
          <w:fldChar w:fldCharType="end"/>
        </w:r>
        <w:r w:rsidRPr="00124A5D">
          <w:rPr>
            <w:rFonts w:ascii="Times New Roman" w:hAnsi="Times New Roman" w:cs="Times New Roman"/>
            <w:sz w:val="20"/>
            <w:szCs w:val="20"/>
          </w:rPr>
          <w:t xml:space="preserve"> of </w:t>
        </w:r>
        <w:r w:rsidRPr="00124A5D">
          <w:rPr>
            <w:rFonts w:ascii="Times New Roman" w:hAnsi="Times New Roman" w:cs="Times New Roman"/>
            <w:bCs/>
            <w:sz w:val="20"/>
            <w:szCs w:val="20"/>
          </w:rPr>
          <w:fldChar w:fldCharType="begin"/>
        </w:r>
        <w:r w:rsidRPr="00124A5D">
          <w:rPr>
            <w:rFonts w:ascii="Times New Roman" w:hAnsi="Times New Roman" w:cs="Times New Roman"/>
            <w:bCs/>
            <w:sz w:val="20"/>
            <w:szCs w:val="20"/>
          </w:rPr>
          <w:instrText xml:space="preserve"> NUMPAGES  </w:instrText>
        </w:r>
        <w:r w:rsidRPr="00124A5D">
          <w:rPr>
            <w:rFonts w:ascii="Times New Roman" w:hAnsi="Times New Roman" w:cs="Times New Roman"/>
            <w:bCs/>
            <w:sz w:val="20"/>
            <w:szCs w:val="20"/>
          </w:rPr>
          <w:fldChar w:fldCharType="separate"/>
        </w:r>
        <w:r w:rsidR="001A47FC">
          <w:rPr>
            <w:rFonts w:ascii="Times New Roman" w:hAnsi="Times New Roman" w:cs="Times New Roman"/>
            <w:bCs/>
            <w:noProof/>
            <w:sz w:val="20"/>
            <w:szCs w:val="20"/>
          </w:rPr>
          <w:t>3</w:t>
        </w:r>
        <w:r w:rsidRPr="00124A5D">
          <w:rPr>
            <w:rFonts w:ascii="Times New Roman" w:hAnsi="Times New Roman" w:cs="Times New Roman"/>
            <w:bCs/>
            <w:sz w:val="20"/>
            <w:szCs w:val="20"/>
          </w:rPr>
          <w:fldChar w:fldCharType="end"/>
        </w:r>
      </w:p>
    </w:sdtContent>
  </w:sdt>
  <w:p w:rsidR="00124A5D" w:rsidRDefault="00124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12" w:rsidRDefault="00404412" w:rsidP="00404412">
      <w:r>
        <w:separator/>
      </w:r>
    </w:p>
  </w:footnote>
  <w:footnote w:type="continuationSeparator" w:id="0">
    <w:p w:rsidR="00404412" w:rsidRDefault="00404412" w:rsidP="00404412">
      <w:r>
        <w:continuationSeparator/>
      </w:r>
    </w:p>
  </w:footnote>
  <w:footnote w:id="1">
    <w:p w:rsidR="00881BFB" w:rsidRDefault="00881BFB" w:rsidP="00881BFB">
      <w:pPr>
        <w:pStyle w:val="FootnoteText"/>
      </w:pPr>
      <w:r>
        <w:rPr>
          <w:rStyle w:val="FootnoteReference"/>
        </w:rPr>
        <w:footnoteRef/>
      </w:r>
      <w:r>
        <w:t xml:space="preserve"> </w:t>
      </w:r>
      <w:r w:rsidR="00584E15">
        <w:rPr>
          <w:rFonts w:ascii="Times New Roman" w:hAnsi="Times New Roman" w:cs="Times New Roman"/>
        </w:rPr>
        <w:t xml:space="preserve">UE-82-10, </w:t>
      </w:r>
      <w:r w:rsidR="00BE3A6B">
        <w:rPr>
          <w:rFonts w:ascii="Times New Roman" w:hAnsi="Times New Roman" w:cs="Times New Roman"/>
        </w:rPr>
        <w:t xml:space="preserve">Second Supplemental Order </w:t>
      </w:r>
      <w:r w:rsidRPr="007B786F">
        <w:rPr>
          <w:rFonts w:ascii="Times New Roman" w:hAnsi="Times New Roman" w:cs="Times New Roman"/>
        </w:rPr>
        <w:t xml:space="preserve">at </w:t>
      </w:r>
      <w:r w:rsidR="00BE3A6B">
        <w:rPr>
          <w:rFonts w:ascii="Times New Roman" w:hAnsi="Times New Roman" w:cs="Times New Roman"/>
        </w:rPr>
        <w:t>page</w:t>
      </w:r>
      <w:r w:rsidRPr="007B786F">
        <w:rPr>
          <w:rFonts w:ascii="Times New Roman" w:hAnsi="Times New Roman" w:cs="Times New Roman"/>
        </w:rPr>
        <w:t xml:space="preserve"> 36</w:t>
      </w:r>
    </w:p>
  </w:footnote>
  <w:footnote w:id="2">
    <w:p w:rsidR="0086000A" w:rsidRPr="00584E15" w:rsidRDefault="0086000A">
      <w:pPr>
        <w:pStyle w:val="FootnoteText"/>
        <w:rPr>
          <w:rFonts w:ascii="Times New Roman" w:hAnsi="Times New Roman" w:cs="Times New Roman"/>
        </w:rPr>
      </w:pPr>
      <w:r w:rsidRPr="00584E15">
        <w:rPr>
          <w:rStyle w:val="FootnoteReference"/>
          <w:rFonts w:ascii="Times New Roman" w:hAnsi="Times New Roman" w:cs="Times New Roman"/>
        </w:rPr>
        <w:footnoteRef/>
      </w:r>
      <w:r w:rsidRPr="00584E15">
        <w:rPr>
          <w:rFonts w:ascii="Times New Roman" w:hAnsi="Times New Roman" w:cs="Times New Roman"/>
        </w:rPr>
        <w:t xml:space="preserve"> UE-110479, Final Order 06 at ¶303</w:t>
      </w:r>
    </w:p>
  </w:footnote>
  <w:footnote w:id="3">
    <w:p w:rsidR="009C258E" w:rsidRPr="0070355C" w:rsidRDefault="009C258E">
      <w:pPr>
        <w:pStyle w:val="FootnoteText"/>
        <w:rPr>
          <w:rFonts w:ascii="Times New Roman" w:hAnsi="Times New Roman" w:cs="Times New Roman"/>
        </w:rPr>
      </w:pPr>
      <w:r w:rsidRPr="0070355C">
        <w:rPr>
          <w:rStyle w:val="FootnoteReference"/>
          <w:rFonts w:ascii="Times New Roman" w:hAnsi="Times New Roman" w:cs="Times New Roman"/>
        </w:rPr>
        <w:footnoteRef/>
      </w:r>
      <w:r w:rsidRPr="0070355C">
        <w:rPr>
          <w:rFonts w:ascii="Times New Roman" w:hAnsi="Times New Roman" w:cs="Times New Roman"/>
        </w:rPr>
        <w:t xml:space="preserve"> UE-9</w:t>
      </w:r>
      <w:r w:rsidR="00A55BAE">
        <w:rPr>
          <w:rFonts w:ascii="Times New Roman" w:hAnsi="Times New Roman" w:cs="Times New Roman"/>
        </w:rPr>
        <w:t>91606, Third Supplemental Order at ¶</w:t>
      </w:r>
      <w:r w:rsidRPr="0070355C">
        <w:rPr>
          <w:rFonts w:ascii="Times New Roman" w:hAnsi="Times New Roman" w:cs="Times New Roman"/>
        </w:rPr>
        <w:t>408</w:t>
      </w:r>
    </w:p>
  </w:footnote>
  <w:footnote w:id="4">
    <w:p w:rsidR="00636437" w:rsidRPr="0070355C" w:rsidRDefault="00636437">
      <w:pPr>
        <w:pStyle w:val="FootnoteText"/>
        <w:rPr>
          <w:rFonts w:ascii="Times New Roman" w:hAnsi="Times New Roman" w:cs="Times New Roman"/>
        </w:rPr>
      </w:pPr>
      <w:r w:rsidRPr="0070355C">
        <w:rPr>
          <w:rStyle w:val="FootnoteReference"/>
          <w:rFonts w:ascii="Times New Roman" w:hAnsi="Times New Roman" w:cs="Times New Roman"/>
        </w:rPr>
        <w:footnoteRef/>
      </w:r>
      <w:r w:rsidRPr="0070355C">
        <w:rPr>
          <w:rFonts w:ascii="Times New Roman" w:hAnsi="Times New Roman" w:cs="Times New Roman"/>
        </w:rPr>
        <w:t xml:space="preserve"> Kalich, UE-100</w:t>
      </w:r>
      <w:r w:rsidR="00C678DB" w:rsidRPr="0070355C">
        <w:rPr>
          <w:rFonts w:ascii="Times New Roman" w:hAnsi="Times New Roman" w:cs="Times New Roman"/>
        </w:rPr>
        <w:t>467, CGK-1T 26:14-28:6</w:t>
      </w:r>
    </w:p>
  </w:footnote>
  <w:footnote w:id="5">
    <w:p w:rsidR="00426823" w:rsidRPr="0070355C" w:rsidRDefault="00426823" w:rsidP="00426823">
      <w:pPr>
        <w:pStyle w:val="FootnoteText"/>
        <w:rPr>
          <w:rFonts w:ascii="Times New Roman" w:hAnsi="Times New Roman" w:cs="Times New Roman"/>
        </w:rPr>
      </w:pPr>
      <w:r w:rsidRPr="0070355C">
        <w:rPr>
          <w:rStyle w:val="FootnoteReference"/>
          <w:rFonts w:ascii="Times New Roman" w:hAnsi="Times New Roman" w:cs="Times New Roman"/>
        </w:rPr>
        <w:footnoteRef/>
      </w:r>
      <w:r w:rsidRPr="0070355C">
        <w:rPr>
          <w:rFonts w:ascii="Times New Roman" w:hAnsi="Times New Roman" w:cs="Times New Roman"/>
        </w:rPr>
        <w:t xml:space="preserve"> Knox, UE-110876, TLK-1T 14:13-16</w:t>
      </w:r>
    </w:p>
  </w:footnote>
  <w:footnote w:id="6">
    <w:p w:rsidR="000D6DF8" w:rsidRDefault="000D6DF8">
      <w:pPr>
        <w:pStyle w:val="FootnoteText"/>
      </w:pPr>
      <w:r w:rsidRPr="0070355C">
        <w:rPr>
          <w:rStyle w:val="FootnoteReference"/>
          <w:rFonts w:ascii="Times New Roman" w:hAnsi="Times New Roman" w:cs="Times New Roman"/>
        </w:rPr>
        <w:footnoteRef/>
      </w:r>
      <w:r w:rsidRPr="0070355C">
        <w:rPr>
          <w:rFonts w:ascii="Times New Roman" w:hAnsi="Times New Roman" w:cs="Times New Roman"/>
        </w:rPr>
        <w:t xml:space="preserve"> Knox, UE-120436, TLK-1T 15:2</w:t>
      </w:r>
      <w:r w:rsidR="00BD538B" w:rsidRPr="0070355C">
        <w:rPr>
          <w:rFonts w:ascii="Times New Roman" w:hAnsi="Times New Roman" w:cs="Times New Roman"/>
        </w:rPr>
        <w:t>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E728C"/>
    <w:multiLevelType w:val="hybridMultilevel"/>
    <w:tmpl w:val="E57EB05E"/>
    <w:lvl w:ilvl="0" w:tplc="92263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DD142A"/>
    <w:multiLevelType w:val="hybridMultilevel"/>
    <w:tmpl w:val="67EAE64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E1440"/>
    <w:multiLevelType w:val="hybridMultilevel"/>
    <w:tmpl w:val="1CE263A6"/>
    <w:lvl w:ilvl="0" w:tplc="E6A02A88">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F36271"/>
    <w:multiLevelType w:val="hybridMultilevel"/>
    <w:tmpl w:val="D6E6D4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90BDB"/>
    <w:multiLevelType w:val="hybridMultilevel"/>
    <w:tmpl w:val="E996A9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B0409E"/>
    <w:multiLevelType w:val="hybridMultilevel"/>
    <w:tmpl w:val="57F0F4E6"/>
    <w:lvl w:ilvl="0" w:tplc="A5ECF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6F"/>
    <w:rsid w:val="0000614B"/>
    <w:rsid w:val="00016CFF"/>
    <w:rsid w:val="000247AF"/>
    <w:rsid w:val="000519A8"/>
    <w:rsid w:val="00075E4A"/>
    <w:rsid w:val="000858C2"/>
    <w:rsid w:val="00096CE8"/>
    <w:rsid w:val="000A1D36"/>
    <w:rsid w:val="000B11A8"/>
    <w:rsid w:val="000B22C0"/>
    <w:rsid w:val="000B699B"/>
    <w:rsid w:val="000B6F08"/>
    <w:rsid w:val="000C2C35"/>
    <w:rsid w:val="000D6DF8"/>
    <w:rsid w:val="000E0209"/>
    <w:rsid w:val="000E1BAA"/>
    <w:rsid w:val="000E640C"/>
    <w:rsid w:val="000F004F"/>
    <w:rsid w:val="0011425E"/>
    <w:rsid w:val="00124A5D"/>
    <w:rsid w:val="0013062C"/>
    <w:rsid w:val="001319D6"/>
    <w:rsid w:val="00137F49"/>
    <w:rsid w:val="00151D24"/>
    <w:rsid w:val="00151FE2"/>
    <w:rsid w:val="001547E1"/>
    <w:rsid w:val="00165C5E"/>
    <w:rsid w:val="00181EEC"/>
    <w:rsid w:val="001A47FC"/>
    <w:rsid w:val="001B2422"/>
    <w:rsid w:val="001C0B46"/>
    <w:rsid w:val="001C5883"/>
    <w:rsid w:val="001C5AB1"/>
    <w:rsid w:val="001D6416"/>
    <w:rsid w:val="001E1D7A"/>
    <w:rsid w:val="001E4D5B"/>
    <w:rsid w:val="001E5A52"/>
    <w:rsid w:val="001F2EF7"/>
    <w:rsid w:val="00200594"/>
    <w:rsid w:val="00206AF4"/>
    <w:rsid w:val="0022352C"/>
    <w:rsid w:val="00234DB2"/>
    <w:rsid w:val="002355D4"/>
    <w:rsid w:val="00235DFC"/>
    <w:rsid w:val="00240438"/>
    <w:rsid w:val="00252A4D"/>
    <w:rsid w:val="00254837"/>
    <w:rsid w:val="00256E70"/>
    <w:rsid w:val="00263323"/>
    <w:rsid w:val="002745FD"/>
    <w:rsid w:val="00275B07"/>
    <w:rsid w:val="002770C7"/>
    <w:rsid w:val="00290148"/>
    <w:rsid w:val="002B0643"/>
    <w:rsid w:val="002C039A"/>
    <w:rsid w:val="002C394A"/>
    <w:rsid w:val="002C7841"/>
    <w:rsid w:val="002E7670"/>
    <w:rsid w:val="00301CE3"/>
    <w:rsid w:val="003046E3"/>
    <w:rsid w:val="00312BE7"/>
    <w:rsid w:val="00313F76"/>
    <w:rsid w:val="00315FFF"/>
    <w:rsid w:val="00322B56"/>
    <w:rsid w:val="00323E28"/>
    <w:rsid w:val="003323C2"/>
    <w:rsid w:val="00343517"/>
    <w:rsid w:val="00345BB5"/>
    <w:rsid w:val="003560A1"/>
    <w:rsid w:val="00361D14"/>
    <w:rsid w:val="00366EA4"/>
    <w:rsid w:val="003778D6"/>
    <w:rsid w:val="00392241"/>
    <w:rsid w:val="003A1E0C"/>
    <w:rsid w:val="003A6961"/>
    <w:rsid w:val="003C28A6"/>
    <w:rsid w:val="003E458F"/>
    <w:rsid w:val="003F55B6"/>
    <w:rsid w:val="003F740A"/>
    <w:rsid w:val="00404412"/>
    <w:rsid w:val="00404A75"/>
    <w:rsid w:val="00407513"/>
    <w:rsid w:val="00415D46"/>
    <w:rsid w:val="00426823"/>
    <w:rsid w:val="004407E2"/>
    <w:rsid w:val="0044422F"/>
    <w:rsid w:val="00447081"/>
    <w:rsid w:val="00457D82"/>
    <w:rsid w:val="00461A5B"/>
    <w:rsid w:val="00466959"/>
    <w:rsid w:val="00476639"/>
    <w:rsid w:val="00476FAC"/>
    <w:rsid w:val="00485FA3"/>
    <w:rsid w:val="004A2ACA"/>
    <w:rsid w:val="004A2F39"/>
    <w:rsid w:val="004A6BA9"/>
    <w:rsid w:val="004D1D56"/>
    <w:rsid w:val="004F1F7C"/>
    <w:rsid w:val="004F2C57"/>
    <w:rsid w:val="0050727D"/>
    <w:rsid w:val="005203E4"/>
    <w:rsid w:val="00530188"/>
    <w:rsid w:val="00552600"/>
    <w:rsid w:val="00563B89"/>
    <w:rsid w:val="00565133"/>
    <w:rsid w:val="0057023A"/>
    <w:rsid w:val="00570FC9"/>
    <w:rsid w:val="0057717B"/>
    <w:rsid w:val="00584E15"/>
    <w:rsid w:val="00585AA6"/>
    <w:rsid w:val="00593898"/>
    <w:rsid w:val="005A0687"/>
    <w:rsid w:val="005A2C08"/>
    <w:rsid w:val="005A6C74"/>
    <w:rsid w:val="005B391A"/>
    <w:rsid w:val="005B40AC"/>
    <w:rsid w:val="005B5F2D"/>
    <w:rsid w:val="005B63C7"/>
    <w:rsid w:val="005F1478"/>
    <w:rsid w:val="005F7434"/>
    <w:rsid w:val="0061021E"/>
    <w:rsid w:val="006157BF"/>
    <w:rsid w:val="00615CF1"/>
    <w:rsid w:val="0061749A"/>
    <w:rsid w:val="00636437"/>
    <w:rsid w:val="00641213"/>
    <w:rsid w:val="00643EC9"/>
    <w:rsid w:val="00664C97"/>
    <w:rsid w:val="00672F7B"/>
    <w:rsid w:val="006A361B"/>
    <w:rsid w:val="006A41EE"/>
    <w:rsid w:val="006B38E5"/>
    <w:rsid w:val="006B4465"/>
    <w:rsid w:val="006C41D6"/>
    <w:rsid w:val="006D00E3"/>
    <w:rsid w:val="006D08A7"/>
    <w:rsid w:val="006D10AE"/>
    <w:rsid w:val="006D413C"/>
    <w:rsid w:val="006F248E"/>
    <w:rsid w:val="006F2C71"/>
    <w:rsid w:val="0070187A"/>
    <w:rsid w:val="0070227E"/>
    <w:rsid w:val="0070355C"/>
    <w:rsid w:val="00706D70"/>
    <w:rsid w:val="00707B92"/>
    <w:rsid w:val="00710A27"/>
    <w:rsid w:val="0071169F"/>
    <w:rsid w:val="00730245"/>
    <w:rsid w:val="00730ED1"/>
    <w:rsid w:val="00732A15"/>
    <w:rsid w:val="00745659"/>
    <w:rsid w:val="00751D4F"/>
    <w:rsid w:val="007633D8"/>
    <w:rsid w:val="0076583E"/>
    <w:rsid w:val="00774529"/>
    <w:rsid w:val="00786E3F"/>
    <w:rsid w:val="00786E55"/>
    <w:rsid w:val="00793870"/>
    <w:rsid w:val="007A52EB"/>
    <w:rsid w:val="007B786F"/>
    <w:rsid w:val="007B7DD6"/>
    <w:rsid w:val="007C14C9"/>
    <w:rsid w:val="007D235C"/>
    <w:rsid w:val="007D54BF"/>
    <w:rsid w:val="007E7004"/>
    <w:rsid w:val="007F739D"/>
    <w:rsid w:val="008078FB"/>
    <w:rsid w:val="008170D5"/>
    <w:rsid w:val="008558CD"/>
    <w:rsid w:val="00855A9F"/>
    <w:rsid w:val="0086000A"/>
    <w:rsid w:val="008613BA"/>
    <w:rsid w:val="00871710"/>
    <w:rsid w:val="00872348"/>
    <w:rsid w:val="00874918"/>
    <w:rsid w:val="00880750"/>
    <w:rsid w:val="00881BFB"/>
    <w:rsid w:val="0089249F"/>
    <w:rsid w:val="008948A0"/>
    <w:rsid w:val="00895C07"/>
    <w:rsid w:val="008A2CAF"/>
    <w:rsid w:val="008A48B6"/>
    <w:rsid w:val="008B2389"/>
    <w:rsid w:val="008B54D5"/>
    <w:rsid w:val="008B7759"/>
    <w:rsid w:val="008B7D20"/>
    <w:rsid w:val="008C1BDA"/>
    <w:rsid w:val="008C74F3"/>
    <w:rsid w:val="008D1C14"/>
    <w:rsid w:val="00904CF5"/>
    <w:rsid w:val="00904E05"/>
    <w:rsid w:val="0091191E"/>
    <w:rsid w:val="00934004"/>
    <w:rsid w:val="009371A7"/>
    <w:rsid w:val="0095278C"/>
    <w:rsid w:val="009554D1"/>
    <w:rsid w:val="00955D44"/>
    <w:rsid w:val="00960C2D"/>
    <w:rsid w:val="00964C42"/>
    <w:rsid w:val="00971611"/>
    <w:rsid w:val="00972584"/>
    <w:rsid w:val="00976135"/>
    <w:rsid w:val="00985CFF"/>
    <w:rsid w:val="00987063"/>
    <w:rsid w:val="009941AB"/>
    <w:rsid w:val="009B1F4E"/>
    <w:rsid w:val="009C0D0D"/>
    <w:rsid w:val="009C258E"/>
    <w:rsid w:val="009E33CB"/>
    <w:rsid w:val="009E52A7"/>
    <w:rsid w:val="00A01488"/>
    <w:rsid w:val="00A149DD"/>
    <w:rsid w:val="00A21DB6"/>
    <w:rsid w:val="00A233B1"/>
    <w:rsid w:val="00A244E4"/>
    <w:rsid w:val="00A27CE5"/>
    <w:rsid w:val="00A313AB"/>
    <w:rsid w:val="00A34828"/>
    <w:rsid w:val="00A366BE"/>
    <w:rsid w:val="00A51C44"/>
    <w:rsid w:val="00A51E8E"/>
    <w:rsid w:val="00A55BAE"/>
    <w:rsid w:val="00A6266B"/>
    <w:rsid w:val="00A6496C"/>
    <w:rsid w:val="00A80885"/>
    <w:rsid w:val="00A84C2A"/>
    <w:rsid w:val="00AB64EB"/>
    <w:rsid w:val="00AB7A74"/>
    <w:rsid w:val="00AC144C"/>
    <w:rsid w:val="00AC67B5"/>
    <w:rsid w:val="00AC724C"/>
    <w:rsid w:val="00AD3312"/>
    <w:rsid w:val="00AE18F6"/>
    <w:rsid w:val="00AE273E"/>
    <w:rsid w:val="00AF30DA"/>
    <w:rsid w:val="00AF4A21"/>
    <w:rsid w:val="00B01B8B"/>
    <w:rsid w:val="00B110E9"/>
    <w:rsid w:val="00B13041"/>
    <w:rsid w:val="00B31562"/>
    <w:rsid w:val="00B315E1"/>
    <w:rsid w:val="00B33E86"/>
    <w:rsid w:val="00B55C96"/>
    <w:rsid w:val="00B570DA"/>
    <w:rsid w:val="00B81D63"/>
    <w:rsid w:val="00B90B2D"/>
    <w:rsid w:val="00B9777D"/>
    <w:rsid w:val="00BA3576"/>
    <w:rsid w:val="00BA542C"/>
    <w:rsid w:val="00BB6745"/>
    <w:rsid w:val="00BD339E"/>
    <w:rsid w:val="00BD538B"/>
    <w:rsid w:val="00BE2F05"/>
    <w:rsid w:val="00BE2F26"/>
    <w:rsid w:val="00BE3A6B"/>
    <w:rsid w:val="00BE6632"/>
    <w:rsid w:val="00C16863"/>
    <w:rsid w:val="00C347DB"/>
    <w:rsid w:val="00C40741"/>
    <w:rsid w:val="00C55D7F"/>
    <w:rsid w:val="00C561C5"/>
    <w:rsid w:val="00C56673"/>
    <w:rsid w:val="00C66ACD"/>
    <w:rsid w:val="00C678DB"/>
    <w:rsid w:val="00C77352"/>
    <w:rsid w:val="00CA001C"/>
    <w:rsid w:val="00CA556D"/>
    <w:rsid w:val="00CA5F29"/>
    <w:rsid w:val="00CB0BA7"/>
    <w:rsid w:val="00CB15C7"/>
    <w:rsid w:val="00CB3A92"/>
    <w:rsid w:val="00CC292C"/>
    <w:rsid w:val="00CD3894"/>
    <w:rsid w:val="00CF78B1"/>
    <w:rsid w:val="00D10A01"/>
    <w:rsid w:val="00D20AD5"/>
    <w:rsid w:val="00D24692"/>
    <w:rsid w:val="00D36C9F"/>
    <w:rsid w:val="00D42041"/>
    <w:rsid w:val="00D47F6C"/>
    <w:rsid w:val="00D50E33"/>
    <w:rsid w:val="00D5356A"/>
    <w:rsid w:val="00D60178"/>
    <w:rsid w:val="00D6594A"/>
    <w:rsid w:val="00D77AF5"/>
    <w:rsid w:val="00DA1B86"/>
    <w:rsid w:val="00DA2B2C"/>
    <w:rsid w:val="00DA48FC"/>
    <w:rsid w:val="00DB31A8"/>
    <w:rsid w:val="00DB6770"/>
    <w:rsid w:val="00DC58C8"/>
    <w:rsid w:val="00DD1DD3"/>
    <w:rsid w:val="00DD2A47"/>
    <w:rsid w:val="00DE2A94"/>
    <w:rsid w:val="00DE7549"/>
    <w:rsid w:val="00DF7502"/>
    <w:rsid w:val="00DF7965"/>
    <w:rsid w:val="00E1156F"/>
    <w:rsid w:val="00E24607"/>
    <w:rsid w:val="00E315EF"/>
    <w:rsid w:val="00E32077"/>
    <w:rsid w:val="00E3573C"/>
    <w:rsid w:val="00E42998"/>
    <w:rsid w:val="00E6686B"/>
    <w:rsid w:val="00E72C64"/>
    <w:rsid w:val="00E7438C"/>
    <w:rsid w:val="00E9107D"/>
    <w:rsid w:val="00E92419"/>
    <w:rsid w:val="00E97D18"/>
    <w:rsid w:val="00EC7A1B"/>
    <w:rsid w:val="00EC7A8B"/>
    <w:rsid w:val="00ED12B9"/>
    <w:rsid w:val="00EE6F4B"/>
    <w:rsid w:val="00EF71A8"/>
    <w:rsid w:val="00EF7AD6"/>
    <w:rsid w:val="00F03A27"/>
    <w:rsid w:val="00F21B68"/>
    <w:rsid w:val="00F32910"/>
    <w:rsid w:val="00F419BD"/>
    <w:rsid w:val="00F50804"/>
    <w:rsid w:val="00F5315A"/>
    <w:rsid w:val="00F54BF4"/>
    <w:rsid w:val="00F73003"/>
    <w:rsid w:val="00F77AC2"/>
    <w:rsid w:val="00F9137C"/>
    <w:rsid w:val="00FA006E"/>
    <w:rsid w:val="00FA57B9"/>
    <w:rsid w:val="00FD016C"/>
    <w:rsid w:val="00FD7FDF"/>
    <w:rsid w:val="00FE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47C3D-803D-4A5A-8FBF-F80A6BD5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D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83E"/>
    <w:pPr>
      <w:ind w:left="720"/>
      <w:contextualSpacing/>
    </w:pPr>
  </w:style>
  <w:style w:type="paragraph" w:styleId="FootnoteText">
    <w:name w:val="footnote text"/>
    <w:basedOn w:val="Normal"/>
    <w:link w:val="FootnoteTextChar"/>
    <w:uiPriority w:val="99"/>
    <w:semiHidden/>
    <w:unhideWhenUsed/>
    <w:rsid w:val="00404412"/>
    <w:rPr>
      <w:sz w:val="20"/>
      <w:szCs w:val="20"/>
    </w:rPr>
  </w:style>
  <w:style w:type="character" w:customStyle="1" w:styleId="FootnoteTextChar">
    <w:name w:val="Footnote Text Char"/>
    <w:basedOn w:val="DefaultParagraphFont"/>
    <w:link w:val="FootnoteText"/>
    <w:uiPriority w:val="99"/>
    <w:semiHidden/>
    <w:rsid w:val="00404412"/>
    <w:rPr>
      <w:sz w:val="20"/>
      <w:szCs w:val="20"/>
    </w:rPr>
  </w:style>
  <w:style w:type="character" w:styleId="FootnoteReference">
    <w:name w:val="footnote reference"/>
    <w:basedOn w:val="DefaultParagraphFont"/>
    <w:uiPriority w:val="99"/>
    <w:semiHidden/>
    <w:unhideWhenUsed/>
    <w:rsid w:val="00404412"/>
    <w:rPr>
      <w:vertAlign w:val="superscript"/>
    </w:rPr>
  </w:style>
  <w:style w:type="character" w:styleId="CommentReference">
    <w:name w:val="annotation reference"/>
    <w:basedOn w:val="DefaultParagraphFont"/>
    <w:uiPriority w:val="99"/>
    <w:semiHidden/>
    <w:unhideWhenUsed/>
    <w:rsid w:val="00404412"/>
    <w:rPr>
      <w:sz w:val="16"/>
      <w:szCs w:val="16"/>
    </w:rPr>
  </w:style>
  <w:style w:type="paragraph" w:styleId="CommentText">
    <w:name w:val="annotation text"/>
    <w:basedOn w:val="Normal"/>
    <w:link w:val="CommentTextChar"/>
    <w:uiPriority w:val="99"/>
    <w:semiHidden/>
    <w:unhideWhenUsed/>
    <w:rsid w:val="00404412"/>
    <w:rPr>
      <w:sz w:val="20"/>
      <w:szCs w:val="20"/>
    </w:rPr>
  </w:style>
  <w:style w:type="character" w:customStyle="1" w:styleId="CommentTextChar">
    <w:name w:val="Comment Text Char"/>
    <w:basedOn w:val="DefaultParagraphFont"/>
    <w:link w:val="CommentText"/>
    <w:uiPriority w:val="99"/>
    <w:semiHidden/>
    <w:rsid w:val="00404412"/>
    <w:rPr>
      <w:sz w:val="20"/>
      <w:szCs w:val="20"/>
    </w:rPr>
  </w:style>
  <w:style w:type="paragraph" w:styleId="CommentSubject">
    <w:name w:val="annotation subject"/>
    <w:basedOn w:val="CommentText"/>
    <w:next w:val="CommentText"/>
    <w:link w:val="CommentSubjectChar"/>
    <w:uiPriority w:val="99"/>
    <w:semiHidden/>
    <w:unhideWhenUsed/>
    <w:rsid w:val="00404412"/>
    <w:rPr>
      <w:b/>
      <w:bCs/>
    </w:rPr>
  </w:style>
  <w:style w:type="character" w:customStyle="1" w:styleId="CommentSubjectChar">
    <w:name w:val="Comment Subject Char"/>
    <w:basedOn w:val="CommentTextChar"/>
    <w:link w:val="CommentSubject"/>
    <w:uiPriority w:val="99"/>
    <w:semiHidden/>
    <w:rsid w:val="00404412"/>
    <w:rPr>
      <w:b/>
      <w:bCs/>
      <w:sz w:val="20"/>
      <w:szCs w:val="20"/>
    </w:rPr>
  </w:style>
  <w:style w:type="paragraph" w:styleId="BalloonText">
    <w:name w:val="Balloon Text"/>
    <w:basedOn w:val="Normal"/>
    <w:link w:val="BalloonTextChar"/>
    <w:uiPriority w:val="99"/>
    <w:semiHidden/>
    <w:unhideWhenUsed/>
    <w:rsid w:val="004044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12"/>
    <w:rPr>
      <w:rFonts w:ascii="Segoe UI" w:hAnsi="Segoe UI" w:cs="Segoe UI"/>
      <w:sz w:val="18"/>
      <w:szCs w:val="18"/>
    </w:rPr>
  </w:style>
  <w:style w:type="character" w:styleId="PlaceholderText">
    <w:name w:val="Placeholder Text"/>
    <w:basedOn w:val="DefaultParagraphFont"/>
    <w:uiPriority w:val="99"/>
    <w:semiHidden/>
    <w:rsid w:val="00972584"/>
    <w:rPr>
      <w:color w:val="808080"/>
    </w:rPr>
  </w:style>
  <w:style w:type="paragraph" w:styleId="Header">
    <w:name w:val="header"/>
    <w:basedOn w:val="Normal"/>
    <w:link w:val="HeaderChar"/>
    <w:uiPriority w:val="99"/>
    <w:unhideWhenUsed/>
    <w:rsid w:val="00124A5D"/>
    <w:pPr>
      <w:tabs>
        <w:tab w:val="center" w:pos="4680"/>
        <w:tab w:val="right" w:pos="9360"/>
      </w:tabs>
    </w:pPr>
  </w:style>
  <w:style w:type="character" w:customStyle="1" w:styleId="HeaderChar">
    <w:name w:val="Header Char"/>
    <w:basedOn w:val="DefaultParagraphFont"/>
    <w:link w:val="Header"/>
    <w:uiPriority w:val="99"/>
    <w:rsid w:val="00124A5D"/>
  </w:style>
  <w:style w:type="paragraph" w:styleId="Footer">
    <w:name w:val="footer"/>
    <w:basedOn w:val="Normal"/>
    <w:link w:val="FooterChar"/>
    <w:uiPriority w:val="99"/>
    <w:unhideWhenUsed/>
    <w:rsid w:val="00124A5D"/>
    <w:pPr>
      <w:tabs>
        <w:tab w:val="center" w:pos="4680"/>
        <w:tab w:val="right" w:pos="9360"/>
      </w:tabs>
    </w:pPr>
  </w:style>
  <w:style w:type="character" w:customStyle="1" w:styleId="FooterChar">
    <w:name w:val="Footer Char"/>
    <w:basedOn w:val="DefaultParagraphFont"/>
    <w:link w:val="Footer"/>
    <w:uiPriority w:val="99"/>
    <w:rsid w:val="0012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9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C61E7120A6E844987769BD5AE4235A1" ma:contentTypeVersion="104" ma:contentTypeDescription="" ma:contentTypeScope="" ma:versionID="8ddd6be1c619f9ad5a8d32551dcc50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2017-01-03T08:00:00+00:00</OpenedDate>
    <SignificantOrder xmlns="dc463f71-b30c-4ab2-9473-d307f9d35888">false</SignificantOrder>
    <Date1 xmlns="dc463f71-b30c-4ab2-9473-d307f9d35888">2018-03-05T08:00:00+00:00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170002</DocketNumber>
    <DelegatedOrder xmlns="dc463f71-b30c-4ab2-9473-d307f9d35888">false</DelegatedOrder>
  </documentManagement>
</p:properties>
</file>

<file path=customXml/itemProps1.xml><?xml version="1.0" encoding="utf-8"?>
<ds:datastoreItem xmlns:ds="http://schemas.openxmlformats.org/officeDocument/2006/customXml" ds:itemID="{B4835964-6C28-45B8-A962-4CEDE4EF7E90}">
  <ds:schemaRefs>
    <ds:schemaRef ds:uri="http://schemas.openxmlformats.org/officeDocument/2006/bibliography"/>
  </ds:schemaRefs>
</ds:datastoreItem>
</file>

<file path=customXml/itemProps2.xml><?xml version="1.0" encoding="utf-8"?>
<ds:datastoreItem xmlns:ds="http://schemas.openxmlformats.org/officeDocument/2006/customXml" ds:itemID="{8837EA37-8F28-4D21-8EF4-BF70BAD651B8}"/>
</file>

<file path=customXml/itemProps3.xml><?xml version="1.0" encoding="utf-8"?>
<ds:datastoreItem xmlns:ds="http://schemas.openxmlformats.org/officeDocument/2006/customXml" ds:itemID="{B94E4C12-5818-4FBA-85BF-43454720D3DA}"/>
</file>

<file path=customXml/itemProps4.xml><?xml version="1.0" encoding="utf-8"?>
<ds:datastoreItem xmlns:ds="http://schemas.openxmlformats.org/officeDocument/2006/customXml" ds:itemID="{5F23BA7B-613C-4ADB-852E-2003574FA460}"/>
</file>

<file path=customXml/itemProps5.xml><?xml version="1.0" encoding="utf-8"?>
<ds:datastoreItem xmlns:ds="http://schemas.openxmlformats.org/officeDocument/2006/customXml" ds:itemID="{B1FE453A-C8CF-456B-A3EC-B558F59AAD49}"/>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5205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Jason (UTC)</dc:creator>
  <cp:keywords/>
  <dc:description/>
  <cp:lastModifiedBy>Huey, Lorilyn (UTC)</cp:lastModifiedBy>
  <cp:revision>2</cp:revision>
  <dcterms:created xsi:type="dcterms:W3CDTF">2018-03-05T17:45:00Z</dcterms:created>
  <dcterms:modified xsi:type="dcterms:W3CDTF">2018-03-05T17:45:00Z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0x0101006E56B4D1795A2E4DB2F0B01679ED314A002C61E7120A6E844987769BD5AE4235A1</vt:lpwstr>
  </property>
  <property fmtid="{D5CDD505-2E9C-101B-9397-08002B2CF9AE}" pid="3" name="_docset_NoMedatataSyncRequired">
    <vt:lpwstr>False</vt:lpwstr>
  </property>
  <property fmtid="{D5CDD505-2E9C-101B-9397-08002B2CF9AE}" pid="4" name="IsEFSEC">
    <vt:bool>false</vt:bool>
  </property>
</Properties>
</file>