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850A3" w:rsidRPr="00770E9A" w:rsidTr="00A82D0E">
        <w:trPr>
          <w:trHeight w:hRule="exact" w:val="302"/>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C176FC">
        <w:trPr>
          <w:trHeight w:hRule="exact" w:val="25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C176FC">
        <w:trPr>
          <w:trHeight w:hRule="exact" w:val="267"/>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Default="00094FA3"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Default="00094FA3" w:rsidP="00C850A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Default="00094FA3" w:rsidP="00C850A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A82D0E">
        <w:trPr>
          <w:trHeight w:hRule="exact" w:val="302"/>
        </w:trPr>
        <w:tc>
          <w:tcPr>
            <w:tcW w:w="328" w:type="dxa"/>
            <w:tcMar>
              <w:left w:w="14" w:type="dxa"/>
              <w:right w:w="14" w:type="dxa"/>
            </w:tcMar>
            <w:vAlign w:val="center"/>
          </w:tcPr>
          <w:p w:rsidR="00C850A3" w:rsidRDefault="00094FA3" w:rsidP="00C850A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094FA3"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094FA3"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bookmarkStart w:id="0" w:name="_GoBack"/>
            <w:bookmarkEnd w:id="0"/>
          </w:p>
        </w:tc>
      </w:tr>
      <w:tr w:rsidR="0047056F" w:rsidRPr="00770E9A" w:rsidTr="00A82D0E">
        <w:trPr>
          <w:trHeight w:hRule="exact" w:val="302"/>
        </w:trPr>
        <w:tc>
          <w:tcPr>
            <w:tcW w:w="328" w:type="dxa"/>
            <w:tcMar>
              <w:left w:w="14" w:type="dxa"/>
              <w:right w:w="14" w:type="dxa"/>
            </w:tcMar>
            <w:vAlign w:val="center"/>
          </w:tcPr>
          <w:p w:rsidR="0047056F" w:rsidRDefault="00094FA3"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094FA3"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094FA3"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C176FC">
        <w:trPr>
          <w:trHeight w:hRule="exact" w:val="303"/>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A82D0E">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FD3FD3" w:rsidRPr="00770E9A" w:rsidTr="00A82D0E">
        <w:trPr>
          <w:trHeight w:hRule="exact" w:val="302"/>
        </w:trPr>
        <w:tc>
          <w:tcPr>
            <w:tcW w:w="328"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r>
      <w:tr w:rsidR="00FD3FD3" w:rsidRPr="00770E9A" w:rsidTr="00A82D0E">
        <w:trPr>
          <w:trHeight w:hRule="exact" w:val="302"/>
        </w:trPr>
        <w:tc>
          <w:tcPr>
            <w:tcW w:w="328"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r>
      <w:tr w:rsidR="00FD3FD3" w:rsidRPr="00770E9A" w:rsidTr="00A82D0E">
        <w:trPr>
          <w:trHeight w:hRule="exact" w:val="302"/>
        </w:trPr>
        <w:tc>
          <w:tcPr>
            <w:tcW w:w="328"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D3FD3" w:rsidRDefault="00FD3FD3" w:rsidP="0047056F">
            <w:pPr>
              <w:spacing w:after="0" w:line="240" w:lineRule="auto"/>
              <w:jc w:val="center"/>
              <w:rPr>
                <w:rFonts w:ascii="Arial" w:hAnsi="Arial" w:cs="Arial"/>
                <w:sz w:val="20"/>
                <w:szCs w:val="20"/>
              </w:rPr>
            </w:pPr>
          </w:p>
        </w:tc>
      </w:tr>
      <w:tr w:rsidR="00C176FC" w:rsidRPr="00770E9A" w:rsidTr="00A82D0E">
        <w:trPr>
          <w:trHeight w:hRule="exact" w:val="302"/>
        </w:trPr>
        <w:tc>
          <w:tcPr>
            <w:tcW w:w="328" w:type="dxa"/>
            <w:tcMar>
              <w:left w:w="14" w:type="dxa"/>
              <w:right w:w="14" w:type="dxa"/>
            </w:tcMar>
            <w:vAlign w:val="center"/>
          </w:tcPr>
          <w:p w:rsidR="00C176FC" w:rsidRDefault="00C176F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176FC" w:rsidRDefault="00C176F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176FC" w:rsidRDefault="00C176F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176FC" w:rsidRDefault="00C176FC" w:rsidP="0047056F">
            <w:pPr>
              <w:spacing w:after="0" w:line="240" w:lineRule="auto"/>
              <w:jc w:val="center"/>
              <w:rPr>
                <w:rFonts w:ascii="Arial" w:hAnsi="Arial" w:cs="Arial"/>
                <w:sz w:val="20"/>
                <w:szCs w:val="20"/>
              </w:rPr>
            </w:pPr>
          </w:p>
        </w:tc>
      </w:tr>
      <w:tr w:rsidR="00A82D0E" w:rsidRPr="00770E9A" w:rsidTr="00A82D0E">
        <w:trPr>
          <w:trHeight w:hRule="exact" w:val="302"/>
        </w:trPr>
        <w:tc>
          <w:tcPr>
            <w:tcW w:w="328" w:type="dxa"/>
            <w:tcMar>
              <w:left w:w="14" w:type="dxa"/>
              <w:right w:w="14" w:type="dxa"/>
            </w:tcMar>
            <w:vAlign w:val="center"/>
          </w:tcPr>
          <w:p w:rsidR="00A82D0E" w:rsidRDefault="00A82D0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A82D0E" w:rsidRDefault="00A82D0E"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A82D0E" w:rsidRDefault="00A82D0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82D0E" w:rsidRDefault="00A82D0E"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3A86EC0B5C94A18ADEFA7B6AC233CF6"/>
            </w:placeholder>
            <w:text/>
          </w:sdtPr>
          <w:sdtEndPr>
            <w:rPr>
              <w:rStyle w:val="DefaultParagraphFont"/>
              <w:rFonts w:ascii="Calibri" w:hAnsi="Calibri" w:cs="Arial"/>
              <w:b w:val="0"/>
              <w:sz w:val="22"/>
              <w:szCs w:val="20"/>
            </w:rPr>
          </w:sdtEndPr>
          <w:sdtContent>
            <w:tc>
              <w:tcPr>
                <w:tcW w:w="8887" w:type="dxa"/>
              </w:tcPr>
              <w:p w:rsidR="000D2886" w:rsidRPr="000D2886" w:rsidRDefault="002F70EB" w:rsidP="002F70EB">
                <w:pPr>
                  <w:spacing w:after="0" w:line="286" w:lineRule="exact"/>
                  <w:jc w:val="center"/>
                  <w:rPr>
                    <w:rFonts w:ascii="Arial" w:hAnsi="Arial" w:cs="Arial"/>
                    <w:b/>
                    <w:sz w:val="20"/>
                    <w:szCs w:val="20"/>
                  </w:rPr>
                </w:pPr>
                <w:r>
                  <w:rPr>
                    <w:rStyle w:val="Custom1"/>
                  </w:rPr>
                  <w:t>SCHEDULE NO. 142</w:t>
                </w:r>
              </w:p>
            </w:tc>
          </w:sdtContent>
        </w:sdt>
      </w:tr>
      <w:tr w:rsidR="000D2886" w:rsidTr="000D2886">
        <w:tc>
          <w:tcPr>
            <w:tcW w:w="8887" w:type="dxa"/>
          </w:tcPr>
          <w:p w:rsidR="000D2886" w:rsidRPr="000D2886" w:rsidRDefault="002F70EB" w:rsidP="002F70EB">
            <w:pPr>
              <w:spacing w:after="0" w:line="286" w:lineRule="exact"/>
              <w:jc w:val="center"/>
              <w:rPr>
                <w:rFonts w:ascii="Arial" w:hAnsi="Arial" w:cs="Arial"/>
                <w:b/>
                <w:color w:val="000000" w:themeColor="text1"/>
                <w:sz w:val="20"/>
                <w:szCs w:val="20"/>
              </w:rPr>
            </w:pPr>
            <w:r>
              <w:rPr>
                <w:rStyle w:val="Custom1"/>
              </w:rPr>
              <w:t xml:space="preserve">Revenue Decoupling Adjustment Mechanism </w:t>
            </w:r>
            <w:r w:rsidRPr="002F70EB">
              <w:rPr>
                <w:rStyle w:val="Custom1"/>
                <w:b w:val="0"/>
              </w:rPr>
              <w:t>(Continued)</w:t>
            </w:r>
          </w:p>
        </w:tc>
      </w:tr>
    </w:tbl>
    <w:p w:rsidR="00B70BA0" w:rsidRDefault="00B70BA0" w:rsidP="00E319D5">
      <w:pPr>
        <w:spacing w:after="0" w:line="286" w:lineRule="exact"/>
        <w:rPr>
          <w:rFonts w:ascii="Arial" w:hAnsi="Arial" w:cs="Arial"/>
          <w:sz w:val="20"/>
          <w:szCs w:val="20"/>
        </w:rPr>
      </w:pPr>
    </w:p>
    <w:p w:rsidR="00C06D5B" w:rsidRDefault="002F70EB" w:rsidP="00E319D5">
      <w:pPr>
        <w:pStyle w:val="ListParagraph"/>
        <w:numPr>
          <w:ilvl w:val="0"/>
          <w:numId w:val="1"/>
        </w:numPr>
        <w:spacing w:after="0" w:line="286" w:lineRule="exact"/>
        <w:ind w:hanging="360"/>
        <w:rPr>
          <w:rFonts w:ascii="Arial" w:hAnsi="Arial" w:cs="Arial"/>
          <w:sz w:val="20"/>
          <w:szCs w:val="20"/>
        </w:rPr>
      </w:pPr>
      <w:r>
        <w:rPr>
          <w:rFonts w:ascii="Arial" w:hAnsi="Arial" w:cs="Arial"/>
          <w:sz w:val="20"/>
          <w:szCs w:val="20"/>
        </w:rPr>
        <w:t>Monthly Allowed Delivery Revenue Per Customer (Continued)</w:t>
      </w:r>
    </w:p>
    <w:p w:rsidR="002F70EB" w:rsidRDefault="002F70EB" w:rsidP="00E319D5">
      <w:pPr>
        <w:spacing w:after="0" w:line="286" w:lineRule="exact"/>
        <w:rPr>
          <w:rFonts w:ascii="Arial" w:hAnsi="Arial" w:cs="Arial"/>
          <w:sz w:val="20"/>
          <w:szCs w:val="20"/>
        </w:rPr>
      </w:pPr>
      <w:r>
        <w:rPr>
          <w:rFonts w:ascii="Arial" w:hAnsi="Arial" w:cs="Arial"/>
          <w:b/>
          <w:sz w:val="20"/>
          <w:szCs w:val="20"/>
        </w:rPr>
        <w:t>Other Non-Residential Customers</w:t>
      </w:r>
    </w:p>
    <w:tbl>
      <w:tblPr>
        <w:tblStyle w:val="TableGrid"/>
        <w:tblW w:w="0" w:type="auto"/>
        <w:tblLook w:val="04A0" w:firstRow="1" w:lastRow="0" w:firstColumn="1" w:lastColumn="0" w:noHBand="0" w:noVBand="1"/>
      </w:tblPr>
      <w:tblGrid>
        <w:gridCol w:w="1573"/>
        <w:gridCol w:w="1235"/>
        <w:gridCol w:w="1297"/>
        <w:gridCol w:w="1296"/>
        <w:gridCol w:w="1296"/>
        <w:gridCol w:w="1296"/>
      </w:tblGrid>
      <w:tr w:rsidR="002F70EB" w:rsidTr="00A82D0E">
        <w:trPr>
          <w:trHeight w:hRule="exact" w:val="302"/>
        </w:trPr>
        <w:tc>
          <w:tcPr>
            <w:tcW w:w="1573" w:type="dxa"/>
          </w:tcPr>
          <w:p w:rsidR="002F70EB" w:rsidRPr="002F70EB" w:rsidRDefault="002F70EB" w:rsidP="00E319D5">
            <w:pPr>
              <w:spacing w:after="0" w:line="286" w:lineRule="exact"/>
              <w:jc w:val="center"/>
              <w:rPr>
                <w:rFonts w:ascii="Arial" w:hAnsi="Arial" w:cs="Arial"/>
                <w:b/>
                <w:sz w:val="20"/>
                <w:szCs w:val="20"/>
              </w:rPr>
            </w:pPr>
            <w:r>
              <w:rPr>
                <w:rFonts w:ascii="Arial" w:hAnsi="Arial" w:cs="Arial"/>
                <w:b/>
                <w:sz w:val="20"/>
                <w:szCs w:val="20"/>
              </w:rPr>
              <w:t>Month</w:t>
            </w:r>
          </w:p>
        </w:tc>
        <w:tc>
          <w:tcPr>
            <w:tcW w:w="1235" w:type="dxa"/>
          </w:tcPr>
          <w:p w:rsidR="002F70EB" w:rsidRPr="002F70EB" w:rsidRDefault="002F70EB" w:rsidP="00E319D5">
            <w:pPr>
              <w:spacing w:after="0" w:line="286" w:lineRule="exact"/>
              <w:jc w:val="center"/>
              <w:rPr>
                <w:rFonts w:ascii="Arial" w:hAnsi="Arial" w:cs="Arial"/>
                <w:b/>
                <w:sz w:val="20"/>
                <w:szCs w:val="20"/>
              </w:rPr>
            </w:pPr>
            <w:r w:rsidRPr="002F70EB">
              <w:rPr>
                <w:rFonts w:ascii="Arial" w:hAnsi="Arial" w:cs="Arial"/>
                <w:b/>
                <w:sz w:val="20"/>
                <w:szCs w:val="20"/>
              </w:rPr>
              <w:t>2013</w:t>
            </w:r>
          </w:p>
        </w:tc>
        <w:tc>
          <w:tcPr>
            <w:tcW w:w="1297" w:type="dxa"/>
          </w:tcPr>
          <w:p w:rsidR="002F70EB" w:rsidRPr="002F70EB" w:rsidRDefault="002F70EB" w:rsidP="00E319D5">
            <w:pPr>
              <w:spacing w:after="0" w:line="286" w:lineRule="exact"/>
              <w:jc w:val="center"/>
              <w:rPr>
                <w:rFonts w:ascii="Arial" w:hAnsi="Arial" w:cs="Arial"/>
                <w:b/>
                <w:sz w:val="20"/>
                <w:szCs w:val="20"/>
              </w:rPr>
            </w:pPr>
            <w:r w:rsidRPr="002F70EB">
              <w:rPr>
                <w:rFonts w:ascii="Arial" w:hAnsi="Arial" w:cs="Arial"/>
                <w:b/>
                <w:sz w:val="20"/>
                <w:szCs w:val="20"/>
              </w:rPr>
              <w:t>2014</w:t>
            </w:r>
          </w:p>
        </w:tc>
        <w:tc>
          <w:tcPr>
            <w:tcW w:w="1296" w:type="dxa"/>
          </w:tcPr>
          <w:p w:rsidR="002F70EB" w:rsidRPr="002F70EB" w:rsidRDefault="002F70EB" w:rsidP="00E319D5">
            <w:pPr>
              <w:spacing w:after="0" w:line="286" w:lineRule="exact"/>
              <w:jc w:val="center"/>
              <w:rPr>
                <w:rFonts w:ascii="Arial" w:hAnsi="Arial" w:cs="Arial"/>
                <w:b/>
                <w:sz w:val="20"/>
                <w:szCs w:val="20"/>
              </w:rPr>
            </w:pPr>
            <w:r w:rsidRPr="002F70EB">
              <w:rPr>
                <w:rFonts w:ascii="Arial" w:hAnsi="Arial" w:cs="Arial"/>
                <w:b/>
                <w:sz w:val="20"/>
                <w:szCs w:val="20"/>
              </w:rPr>
              <w:t>2015</w:t>
            </w:r>
          </w:p>
        </w:tc>
        <w:tc>
          <w:tcPr>
            <w:tcW w:w="1296" w:type="dxa"/>
          </w:tcPr>
          <w:p w:rsidR="002F70EB" w:rsidRPr="002F70EB" w:rsidRDefault="002F70EB" w:rsidP="00E319D5">
            <w:pPr>
              <w:spacing w:after="0" w:line="286" w:lineRule="exact"/>
              <w:jc w:val="center"/>
              <w:rPr>
                <w:rFonts w:ascii="Arial" w:hAnsi="Arial" w:cs="Arial"/>
                <w:b/>
                <w:sz w:val="20"/>
                <w:szCs w:val="20"/>
              </w:rPr>
            </w:pPr>
            <w:r w:rsidRPr="002F70EB">
              <w:rPr>
                <w:rFonts w:ascii="Arial" w:hAnsi="Arial" w:cs="Arial"/>
                <w:b/>
                <w:sz w:val="20"/>
                <w:szCs w:val="20"/>
              </w:rPr>
              <w:t>2016</w:t>
            </w:r>
          </w:p>
        </w:tc>
        <w:tc>
          <w:tcPr>
            <w:tcW w:w="1296" w:type="dxa"/>
          </w:tcPr>
          <w:p w:rsidR="002F70EB" w:rsidRPr="002F70EB" w:rsidRDefault="002F70EB" w:rsidP="00E319D5">
            <w:pPr>
              <w:spacing w:after="0" w:line="286" w:lineRule="exact"/>
              <w:jc w:val="center"/>
              <w:rPr>
                <w:rFonts w:ascii="Arial" w:hAnsi="Arial" w:cs="Arial"/>
                <w:b/>
                <w:sz w:val="20"/>
                <w:szCs w:val="20"/>
              </w:rPr>
            </w:pPr>
            <w:r w:rsidRPr="002F70EB">
              <w:rPr>
                <w:rFonts w:ascii="Arial" w:hAnsi="Arial" w:cs="Arial"/>
                <w:b/>
                <w:sz w:val="20"/>
                <w:szCs w:val="20"/>
              </w:rPr>
              <w:t>2017</w:t>
            </w:r>
          </w:p>
        </w:tc>
      </w:tr>
      <w:tr w:rsidR="002F70EB" w:rsidTr="00A82D0E">
        <w:trPr>
          <w:trHeight w:hRule="exact" w:val="302"/>
        </w:trPr>
        <w:tc>
          <w:tcPr>
            <w:tcW w:w="1573"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January</w:t>
            </w:r>
          </w:p>
        </w:tc>
        <w:tc>
          <w:tcPr>
            <w:tcW w:w="1235" w:type="dxa"/>
          </w:tcPr>
          <w:p w:rsidR="002F70EB" w:rsidRDefault="002F70EB" w:rsidP="00E319D5">
            <w:pPr>
              <w:spacing w:after="0" w:line="286" w:lineRule="exact"/>
              <w:jc w:val="center"/>
              <w:rPr>
                <w:rFonts w:ascii="Arial" w:hAnsi="Arial" w:cs="Arial"/>
                <w:sz w:val="20"/>
                <w:szCs w:val="20"/>
              </w:rPr>
            </w:pPr>
          </w:p>
        </w:tc>
        <w:tc>
          <w:tcPr>
            <w:tcW w:w="1297"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$ 120.83</w:t>
            </w:r>
          </w:p>
        </w:tc>
        <w:tc>
          <w:tcPr>
            <w:tcW w:w="1296"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$ 125.11</w:t>
            </w:r>
          </w:p>
        </w:tc>
        <w:tc>
          <w:tcPr>
            <w:tcW w:w="1296"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$ 129.49</w:t>
            </w:r>
          </w:p>
        </w:tc>
        <w:tc>
          <w:tcPr>
            <w:tcW w:w="1296"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$ 134.00</w:t>
            </w:r>
          </w:p>
        </w:tc>
      </w:tr>
      <w:tr w:rsidR="002F70EB" w:rsidTr="00A82D0E">
        <w:trPr>
          <w:trHeight w:hRule="exact" w:val="302"/>
        </w:trPr>
        <w:tc>
          <w:tcPr>
            <w:tcW w:w="1573"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February</w:t>
            </w:r>
          </w:p>
        </w:tc>
        <w:tc>
          <w:tcPr>
            <w:tcW w:w="1235" w:type="dxa"/>
          </w:tcPr>
          <w:p w:rsidR="002F70EB" w:rsidRDefault="002F70EB" w:rsidP="00E319D5">
            <w:pPr>
              <w:spacing w:after="0" w:line="286" w:lineRule="exact"/>
              <w:jc w:val="center"/>
              <w:rPr>
                <w:rFonts w:ascii="Arial" w:hAnsi="Arial" w:cs="Arial"/>
                <w:sz w:val="20"/>
                <w:szCs w:val="20"/>
              </w:rPr>
            </w:pPr>
          </w:p>
        </w:tc>
        <w:tc>
          <w:tcPr>
            <w:tcW w:w="1297"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$ 116.57</w:t>
            </w:r>
          </w:p>
        </w:tc>
        <w:tc>
          <w:tcPr>
            <w:tcW w:w="1296"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$ 120.70</w:t>
            </w:r>
          </w:p>
        </w:tc>
        <w:tc>
          <w:tcPr>
            <w:tcW w:w="1296"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$ 124.93</w:t>
            </w:r>
          </w:p>
        </w:tc>
        <w:tc>
          <w:tcPr>
            <w:tcW w:w="1296"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$ 129.29</w:t>
            </w:r>
          </w:p>
        </w:tc>
      </w:tr>
      <w:tr w:rsidR="002F70EB" w:rsidTr="00A82D0E">
        <w:trPr>
          <w:trHeight w:hRule="exact" w:val="302"/>
        </w:trPr>
        <w:tc>
          <w:tcPr>
            <w:tcW w:w="1573"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March</w:t>
            </w:r>
          </w:p>
        </w:tc>
        <w:tc>
          <w:tcPr>
            <w:tcW w:w="1235" w:type="dxa"/>
          </w:tcPr>
          <w:p w:rsidR="002F70EB" w:rsidRDefault="002F70EB" w:rsidP="00E319D5">
            <w:pPr>
              <w:spacing w:after="0" w:line="286" w:lineRule="exact"/>
              <w:jc w:val="center"/>
              <w:rPr>
                <w:rFonts w:ascii="Arial" w:hAnsi="Arial" w:cs="Arial"/>
                <w:sz w:val="20"/>
                <w:szCs w:val="20"/>
              </w:rPr>
            </w:pPr>
          </w:p>
        </w:tc>
        <w:tc>
          <w:tcPr>
            <w:tcW w:w="1297"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$ 117.34</w:t>
            </w:r>
          </w:p>
        </w:tc>
        <w:tc>
          <w:tcPr>
            <w:tcW w:w="1296"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$ 121.50</w:t>
            </w:r>
          </w:p>
        </w:tc>
        <w:tc>
          <w:tcPr>
            <w:tcW w:w="1296"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$ 125.76</w:t>
            </w:r>
          </w:p>
        </w:tc>
        <w:tc>
          <w:tcPr>
            <w:tcW w:w="1296" w:type="dxa"/>
          </w:tcPr>
          <w:p w:rsidR="002F70EB" w:rsidRDefault="002F70EB" w:rsidP="00E319D5">
            <w:pPr>
              <w:spacing w:after="0" w:line="286" w:lineRule="exact"/>
              <w:jc w:val="center"/>
              <w:rPr>
                <w:rFonts w:ascii="Arial" w:hAnsi="Arial" w:cs="Arial"/>
                <w:sz w:val="20"/>
                <w:szCs w:val="20"/>
              </w:rPr>
            </w:pPr>
            <w:r>
              <w:rPr>
                <w:rFonts w:ascii="Arial" w:hAnsi="Arial" w:cs="Arial"/>
                <w:sz w:val="20"/>
                <w:szCs w:val="20"/>
              </w:rPr>
              <w:t>$ 130.14</w:t>
            </w:r>
          </w:p>
        </w:tc>
      </w:tr>
      <w:tr w:rsidR="00A82D0E" w:rsidTr="00A82D0E">
        <w:trPr>
          <w:trHeight w:hRule="exact" w:val="302"/>
        </w:trPr>
        <w:tc>
          <w:tcPr>
            <w:tcW w:w="1573"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April</w:t>
            </w:r>
          </w:p>
        </w:tc>
        <w:tc>
          <w:tcPr>
            <w:tcW w:w="1235" w:type="dxa"/>
          </w:tcPr>
          <w:p w:rsidR="00A82D0E" w:rsidRDefault="00A82D0E" w:rsidP="00E319D5">
            <w:pPr>
              <w:spacing w:after="0" w:line="286" w:lineRule="exact"/>
              <w:jc w:val="center"/>
              <w:rPr>
                <w:rFonts w:ascii="Arial" w:hAnsi="Arial" w:cs="Arial"/>
                <w:sz w:val="20"/>
                <w:szCs w:val="20"/>
              </w:rPr>
            </w:pPr>
          </w:p>
        </w:tc>
        <w:tc>
          <w:tcPr>
            <w:tcW w:w="1297"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$ 108.74</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$ 112.60</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$ 116.54</w:t>
            </w:r>
          </w:p>
        </w:tc>
        <w:tc>
          <w:tcPr>
            <w:tcW w:w="1296" w:type="dxa"/>
          </w:tcPr>
          <w:p w:rsidR="00A82D0E" w:rsidRPr="00A82D0E" w:rsidRDefault="00A82D0E" w:rsidP="00094FA3">
            <w:pPr>
              <w:spacing w:after="0" w:line="286" w:lineRule="exact"/>
              <w:jc w:val="center"/>
              <w:rPr>
                <w:rFonts w:ascii="Arial" w:hAnsi="Arial" w:cs="Arial"/>
                <w:sz w:val="20"/>
                <w:szCs w:val="20"/>
              </w:rPr>
            </w:pPr>
            <w:r w:rsidRPr="00A82D0E">
              <w:rPr>
                <w:rFonts w:ascii="Arial" w:hAnsi="Arial" w:cs="Arial"/>
                <w:sz w:val="20"/>
                <w:szCs w:val="20"/>
              </w:rPr>
              <w:t>$ 120.</w:t>
            </w:r>
            <w:r w:rsidR="00094FA3">
              <w:rPr>
                <w:rFonts w:ascii="Arial" w:hAnsi="Arial" w:cs="Arial"/>
                <w:sz w:val="20"/>
                <w:szCs w:val="20"/>
              </w:rPr>
              <w:t>60</w:t>
            </w:r>
          </w:p>
        </w:tc>
      </w:tr>
      <w:tr w:rsidR="00A82D0E" w:rsidTr="00A82D0E">
        <w:trPr>
          <w:trHeight w:hRule="exact" w:val="302"/>
        </w:trPr>
        <w:tc>
          <w:tcPr>
            <w:tcW w:w="1573"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May</w:t>
            </w:r>
          </w:p>
        </w:tc>
        <w:tc>
          <w:tcPr>
            <w:tcW w:w="1235" w:type="dxa"/>
          </w:tcPr>
          <w:p w:rsidR="00A82D0E" w:rsidRDefault="00A82D0E" w:rsidP="00E319D5">
            <w:pPr>
              <w:spacing w:after="0" w:line="286" w:lineRule="exact"/>
              <w:jc w:val="center"/>
              <w:rPr>
                <w:rFonts w:ascii="Arial" w:hAnsi="Arial" w:cs="Arial"/>
                <w:sz w:val="20"/>
                <w:szCs w:val="20"/>
              </w:rPr>
            </w:pPr>
          </w:p>
        </w:tc>
        <w:tc>
          <w:tcPr>
            <w:tcW w:w="1297"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$ 101.50</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$ 105.10</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$ 108.78</w:t>
            </w:r>
          </w:p>
        </w:tc>
        <w:tc>
          <w:tcPr>
            <w:tcW w:w="1296" w:type="dxa"/>
          </w:tcPr>
          <w:p w:rsidR="00A82D0E" w:rsidRPr="00A82D0E" w:rsidRDefault="00A82D0E" w:rsidP="00E319D5">
            <w:pPr>
              <w:spacing w:after="0" w:line="286" w:lineRule="exact"/>
              <w:jc w:val="center"/>
              <w:rPr>
                <w:rFonts w:ascii="Arial" w:hAnsi="Arial" w:cs="Arial"/>
                <w:sz w:val="20"/>
                <w:szCs w:val="20"/>
              </w:rPr>
            </w:pPr>
            <w:r w:rsidRPr="00A82D0E">
              <w:rPr>
                <w:rFonts w:ascii="Arial" w:hAnsi="Arial" w:cs="Arial"/>
                <w:sz w:val="20"/>
                <w:szCs w:val="20"/>
              </w:rPr>
              <w:t>$</w:t>
            </w:r>
            <w:r>
              <w:rPr>
                <w:rFonts w:ascii="Arial" w:hAnsi="Arial" w:cs="Arial"/>
                <w:sz w:val="20"/>
                <w:szCs w:val="20"/>
              </w:rPr>
              <w:t xml:space="preserve"> 112.57</w:t>
            </w:r>
          </w:p>
        </w:tc>
      </w:tr>
      <w:tr w:rsidR="00A82D0E" w:rsidTr="00A82D0E">
        <w:trPr>
          <w:trHeight w:hRule="exact" w:val="302"/>
        </w:trPr>
        <w:tc>
          <w:tcPr>
            <w:tcW w:w="1573"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June</w:t>
            </w:r>
          </w:p>
        </w:tc>
        <w:tc>
          <w:tcPr>
            <w:tcW w:w="1235" w:type="dxa"/>
          </w:tcPr>
          <w:p w:rsidR="00A82D0E" w:rsidRDefault="00A82D0E" w:rsidP="00E319D5">
            <w:pPr>
              <w:spacing w:after="0" w:line="286" w:lineRule="exact"/>
              <w:jc w:val="center"/>
              <w:rPr>
                <w:rFonts w:ascii="Arial" w:hAnsi="Arial" w:cs="Arial"/>
                <w:sz w:val="20"/>
                <w:szCs w:val="20"/>
              </w:rPr>
            </w:pPr>
          </w:p>
        </w:tc>
        <w:tc>
          <w:tcPr>
            <w:tcW w:w="1297"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$ 105.06</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$ 108.78</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$ 112.59</w:t>
            </w:r>
          </w:p>
        </w:tc>
        <w:tc>
          <w:tcPr>
            <w:tcW w:w="1296" w:type="dxa"/>
          </w:tcPr>
          <w:p w:rsidR="00A82D0E" w:rsidRPr="00A82D0E" w:rsidRDefault="00A82D0E" w:rsidP="00E319D5">
            <w:pPr>
              <w:spacing w:after="0" w:line="286" w:lineRule="exact"/>
              <w:jc w:val="center"/>
              <w:rPr>
                <w:rFonts w:ascii="Arial" w:hAnsi="Arial" w:cs="Arial"/>
                <w:sz w:val="20"/>
                <w:szCs w:val="20"/>
              </w:rPr>
            </w:pPr>
            <w:r w:rsidRPr="00A82D0E">
              <w:rPr>
                <w:rFonts w:ascii="Arial" w:hAnsi="Arial" w:cs="Arial"/>
                <w:sz w:val="20"/>
                <w:szCs w:val="20"/>
              </w:rPr>
              <w:t>$</w:t>
            </w:r>
            <w:r>
              <w:rPr>
                <w:rFonts w:ascii="Arial" w:hAnsi="Arial" w:cs="Arial"/>
                <w:sz w:val="20"/>
                <w:szCs w:val="20"/>
              </w:rPr>
              <w:t xml:space="preserve"> 116.52</w:t>
            </w:r>
          </w:p>
        </w:tc>
      </w:tr>
      <w:tr w:rsidR="00A82D0E" w:rsidTr="00A82D0E">
        <w:trPr>
          <w:trHeight w:hRule="exact" w:val="302"/>
        </w:trPr>
        <w:tc>
          <w:tcPr>
            <w:tcW w:w="1573"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July</w:t>
            </w:r>
          </w:p>
        </w:tc>
        <w:tc>
          <w:tcPr>
            <w:tcW w:w="1235" w:type="dxa"/>
          </w:tcPr>
          <w:p w:rsidR="00A82D0E" w:rsidRDefault="00A82D0E" w:rsidP="00E319D5">
            <w:pPr>
              <w:spacing w:after="0" w:line="286" w:lineRule="exact"/>
              <w:jc w:val="center"/>
              <w:rPr>
                <w:rFonts w:ascii="Arial" w:hAnsi="Arial" w:cs="Arial"/>
                <w:sz w:val="20"/>
                <w:szCs w:val="20"/>
              </w:rPr>
            </w:pPr>
          </w:p>
        </w:tc>
        <w:tc>
          <w:tcPr>
            <w:tcW w:w="1297"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$ 104.33</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$ 108.00</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$ 111.79</w:t>
            </w:r>
          </w:p>
        </w:tc>
        <w:tc>
          <w:tcPr>
            <w:tcW w:w="1296" w:type="dxa"/>
          </w:tcPr>
          <w:p w:rsidR="00A82D0E" w:rsidRPr="00A82D0E" w:rsidRDefault="00A82D0E" w:rsidP="00E319D5">
            <w:pPr>
              <w:spacing w:after="0" w:line="286" w:lineRule="exact"/>
              <w:jc w:val="center"/>
              <w:rPr>
                <w:rFonts w:ascii="Arial" w:hAnsi="Arial" w:cs="Arial"/>
                <w:sz w:val="20"/>
                <w:szCs w:val="20"/>
              </w:rPr>
            </w:pPr>
            <w:r w:rsidRPr="00A82D0E">
              <w:rPr>
                <w:rFonts w:ascii="Arial" w:hAnsi="Arial" w:cs="Arial"/>
                <w:sz w:val="20"/>
                <w:szCs w:val="20"/>
              </w:rPr>
              <w:t>$</w:t>
            </w:r>
            <w:r>
              <w:rPr>
                <w:rFonts w:ascii="Arial" w:hAnsi="Arial" w:cs="Arial"/>
                <w:sz w:val="20"/>
                <w:szCs w:val="20"/>
              </w:rPr>
              <w:t xml:space="preserve"> 115.68</w:t>
            </w:r>
          </w:p>
        </w:tc>
      </w:tr>
      <w:tr w:rsidR="00A82D0E" w:rsidTr="00A82D0E">
        <w:trPr>
          <w:trHeight w:hRule="exact" w:val="302"/>
        </w:trPr>
        <w:tc>
          <w:tcPr>
            <w:tcW w:w="1573"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August</w:t>
            </w:r>
          </w:p>
        </w:tc>
        <w:tc>
          <w:tcPr>
            <w:tcW w:w="1235" w:type="dxa"/>
          </w:tcPr>
          <w:p w:rsidR="00A82D0E" w:rsidRDefault="00A82D0E" w:rsidP="00E319D5">
            <w:pPr>
              <w:spacing w:after="0" w:line="286" w:lineRule="exact"/>
              <w:jc w:val="center"/>
              <w:rPr>
                <w:rFonts w:ascii="Arial" w:hAnsi="Arial" w:cs="Arial"/>
                <w:sz w:val="20"/>
                <w:szCs w:val="20"/>
              </w:rPr>
            </w:pPr>
          </w:p>
        </w:tc>
        <w:tc>
          <w:tcPr>
            <w:tcW w:w="1297"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$ 108.13</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$ 111.94</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$ 115.86</w:t>
            </w:r>
          </w:p>
        </w:tc>
        <w:tc>
          <w:tcPr>
            <w:tcW w:w="1296" w:type="dxa"/>
          </w:tcPr>
          <w:p w:rsidR="00A82D0E" w:rsidRPr="00A82D0E" w:rsidRDefault="00A82D0E" w:rsidP="00E319D5">
            <w:pPr>
              <w:spacing w:after="0" w:line="286" w:lineRule="exact"/>
              <w:jc w:val="center"/>
              <w:rPr>
                <w:rFonts w:ascii="Arial" w:hAnsi="Arial" w:cs="Arial"/>
                <w:sz w:val="20"/>
                <w:szCs w:val="20"/>
              </w:rPr>
            </w:pPr>
            <w:r w:rsidRPr="00A82D0E">
              <w:rPr>
                <w:rFonts w:ascii="Arial" w:hAnsi="Arial" w:cs="Arial"/>
                <w:sz w:val="20"/>
                <w:szCs w:val="20"/>
              </w:rPr>
              <w:t>$</w:t>
            </w:r>
            <w:r>
              <w:rPr>
                <w:rFonts w:ascii="Arial" w:hAnsi="Arial" w:cs="Arial"/>
                <w:sz w:val="20"/>
                <w:szCs w:val="20"/>
              </w:rPr>
              <w:t xml:space="preserve"> 119.89</w:t>
            </w:r>
          </w:p>
        </w:tc>
      </w:tr>
      <w:tr w:rsidR="00A82D0E" w:rsidTr="00A82D0E">
        <w:trPr>
          <w:trHeight w:hRule="exact" w:val="302"/>
        </w:trPr>
        <w:tc>
          <w:tcPr>
            <w:tcW w:w="1573"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September</w:t>
            </w:r>
          </w:p>
        </w:tc>
        <w:tc>
          <w:tcPr>
            <w:tcW w:w="1235" w:type="dxa"/>
          </w:tcPr>
          <w:p w:rsidR="00A82D0E" w:rsidRDefault="00A82D0E" w:rsidP="00E319D5">
            <w:pPr>
              <w:spacing w:after="0" w:line="286" w:lineRule="exact"/>
              <w:jc w:val="center"/>
              <w:rPr>
                <w:rFonts w:ascii="Arial" w:hAnsi="Arial" w:cs="Arial"/>
                <w:sz w:val="20"/>
                <w:szCs w:val="20"/>
              </w:rPr>
            </w:pPr>
          </w:p>
        </w:tc>
        <w:tc>
          <w:tcPr>
            <w:tcW w:w="1297"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$ 109.95</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$ 113.82</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$ 117.80</w:t>
            </w:r>
          </w:p>
        </w:tc>
        <w:tc>
          <w:tcPr>
            <w:tcW w:w="1296" w:type="dxa"/>
          </w:tcPr>
          <w:p w:rsidR="00A82D0E" w:rsidRPr="00A82D0E" w:rsidRDefault="00A82D0E" w:rsidP="00E319D5">
            <w:pPr>
              <w:spacing w:after="0" w:line="286" w:lineRule="exact"/>
              <w:jc w:val="center"/>
              <w:rPr>
                <w:rFonts w:ascii="Arial" w:hAnsi="Arial" w:cs="Arial"/>
                <w:sz w:val="20"/>
                <w:szCs w:val="20"/>
              </w:rPr>
            </w:pPr>
            <w:r w:rsidRPr="00A82D0E">
              <w:rPr>
                <w:rFonts w:ascii="Arial" w:hAnsi="Arial" w:cs="Arial"/>
                <w:sz w:val="20"/>
                <w:szCs w:val="20"/>
              </w:rPr>
              <w:t>$</w:t>
            </w:r>
            <w:r>
              <w:rPr>
                <w:rFonts w:ascii="Arial" w:hAnsi="Arial" w:cs="Arial"/>
                <w:sz w:val="20"/>
                <w:szCs w:val="20"/>
              </w:rPr>
              <w:t xml:space="preserve"> 121.91</w:t>
            </w:r>
          </w:p>
        </w:tc>
      </w:tr>
      <w:tr w:rsidR="00A82D0E" w:rsidTr="00A82D0E">
        <w:trPr>
          <w:trHeight w:hRule="exact" w:val="302"/>
        </w:trPr>
        <w:tc>
          <w:tcPr>
            <w:tcW w:w="1573"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October</w:t>
            </w:r>
          </w:p>
        </w:tc>
        <w:tc>
          <w:tcPr>
            <w:tcW w:w="1235" w:type="dxa"/>
          </w:tcPr>
          <w:p w:rsidR="00A82D0E" w:rsidRDefault="00A82D0E" w:rsidP="00E319D5">
            <w:pPr>
              <w:spacing w:after="0" w:line="286" w:lineRule="exact"/>
              <w:jc w:val="center"/>
              <w:rPr>
                <w:rFonts w:ascii="Arial" w:hAnsi="Arial" w:cs="Arial"/>
                <w:sz w:val="20"/>
                <w:szCs w:val="20"/>
              </w:rPr>
            </w:pPr>
          </w:p>
        </w:tc>
        <w:tc>
          <w:tcPr>
            <w:tcW w:w="1297"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$ 105.44</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$ 109.15</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$ 112.97</w:t>
            </w:r>
          </w:p>
        </w:tc>
        <w:tc>
          <w:tcPr>
            <w:tcW w:w="1296" w:type="dxa"/>
          </w:tcPr>
          <w:p w:rsidR="00A82D0E" w:rsidRPr="00A82D0E" w:rsidRDefault="00A82D0E" w:rsidP="00E319D5">
            <w:pPr>
              <w:spacing w:after="0" w:line="286" w:lineRule="exact"/>
              <w:jc w:val="center"/>
              <w:rPr>
                <w:rFonts w:ascii="Arial" w:hAnsi="Arial" w:cs="Arial"/>
                <w:sz w:val="20"/>
                <w:szCs w:val="20"/>
              </w:rPr>
            </w:pPr>
            <w:r w:rsidRPr="00A82D0E">
              <w:rPr>
                <w:rFonts w:ascii="Arial" w:hAnsi="Arial" w:cs="Arial"/>
                <w:sz w:val="20"/>
                <w:szCs w:val="20"/>
              </w:rPr>
              <w:t>$</w:t>
            </w:r>
            <w:r>
              <w:rPr>
                <w:rFonts w:ascii="Arial" w:hAnsi="Arial" w:cs="Arial"/>
                <w:sz w:val="20"/>
                <w:szCs w:val="20"/>
              </w:rPr>
              <w:t xml:space="preserve"> 116.91</w:t>
            </w:r>
          </w:p>
        </w:tc>
      </w:tr>
      <w:tr w:rsidR="00A82D0E" w:rsidTr="00A82D0E">
        <w:trPr>
          <w:trHeight w:hRule="exact" w:val="302"/>
        </w:trPr>
        <w:tc>
          <w:tcPr>
            <w:tcW w:w="1573"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November</w:t>
            </w:r>
          </w:p>
        </w:tc>
        <w:tc>
          <w:tcPr>
            <w:tcW w:w="1235" w:type="dxa"/>
          </w:tcPr>
          <w:p w:rsidR="00A82D0E" w:rsidRDefault="00A82D0E" w:rsidP="00E319D5">
            <w:pPr>
              <w:spacing w:after="0" w:line="286" w:lineRule="exact"/>
              <w:jc w:val="center"/>
              <w:rPr>
                <w:rFonts w:ascii="Arial" w:hAnsi="Arial" w:cs="Arial"/>
                <w:sz w:val="20"/>
                <w:szCs w:val="20"/>
              </w:rPr>
            </w:pPr>
          </w:p>
        </w:tc>
        <w:tc>
          <w:tcPr>
            <w:tcW w:w="1297"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$ 112.24</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$ 116.19</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$ 120.26</w:t>
            </w:r>
          </w:p>
        </w:tc>
        <w:tc>
          <w:tcPr>
            <w:tcW w:w="1296" w:type="dxa"/>
          </w:tcPr>
          <w:p w:rsidR="00A82D0E" w:rsidRPr="00A82D0E" w:rsidRDefault="00A82D0E" w:rsidP="00E319D5">
            <w:pPr>
              <w:spacing w:after="0" w:line="286" w:lineRule="exact"/>
              <w:jc w:val="center"/>
              <w:rPr>
                <w:rFonts w:ascii="Arial" w:hAnsi="Arial" w:cs="Arial"/>
                <w:sz w:val="20"/>
                <w:szCs w:val="20"/>
              </w:rPr>
            </w:pPr>
            <w:r w:rsidRPr="00A82D0E">
              <w:rPr>
                <w:rFonts w:ascii="Arial" w:hAnsi="Arial" w:cs="Arial"/>
                <w:sz w:val="20"/>
                <w:szCs w:val="20"/>
              </w:rPr>
              <w:t>$</w:t>
            </w:r>
            <w:r>
              <w:rPr>
                <w:rFonts w:ascii="Arial" w:hAnsi="Arial" w:cs="Arial"/>
                <w:sz w:val="20"/>
                <w:szCs w:val="20"/>
              </w:rPr>
              <w:t xml:space="preserve"> 124.45</w:t>
            </w:r>
          </w:p>
        </w:tc>
      </w:tr>
      <w:tr w:rsidR="00A82D0E" w:rsidTr="00A82D0E">
        <w:trPr>
          <w:trHeight w:hRule="exact" w:val="302"/>
        </w:trPr>
        <w:tc>
          <w:tcPr>
            <w:tcW w:w="1573"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December</w:t>
            </w:r>
          </w:p>
        </w:tc>
        <w:tc>
          <w:tcPr>
            <w:tcW w:w="1235" w:type="dxa"/>
          </w:tcPr>
          <w:p w:rsidR="00A82D0E" w:rsidRDefault="00A82D0E" w:rsidP="00E319D5">
            <w:pPr>
              <w:spacing w:after="0" w:line="286" w:lineRule="exact"/>
              <w:jc w:val="center"/>
              <w:rPr>
                <w:rFonts w:ascii="Arial" w:hAnsi="Arial" w:cs="Arial"/>
                <w:sz w:val="20"/>
                <w:szCs w:val="20"/>
              </w:rPr>
            </w:pPr>
          </w:p>
        </w:tc>
        <w:tc>
          <w:tcPr>
            <w:tcW w:w="1297"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$ 120.32</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$ 124.56</w:t>
            </w:r>
          </w:p>
        </w:tc>
        <w:tc>
          <w:tcPr>
            <w:tcW w:w="1296" w:type="dxa"/>
          </w:tcPr>
          <w:p w:rsidR="00A82D0E" w:rsidRDefault="00A82D0E" w:rsidP="00E319D5">
            <w:pPr>
              <w:spacing w:after="0" w:line="286" w:lineRule="exact"/>
              <w:jc w:val="center"/>
              <w:rPr>
                <w:rFonts w:ascii="Arial" w:hAnsi="Arial" w:cs="Arial"/>
                <w:sz w:val="20"/>
                <w:szCs w:val="20"/>
              </w:rPr>
            </w:pPr>
            <w:r>
              <w:rPr>
                <w:rFonts w:ascii="Arial" w:hAnsi="Arial" w:cs="Arial"/>
                <w:sz w:val="20"/>
                <w:szCs w:val="20"/>
              </w:rPr>
              <w:t>$ 128.92</w:t>
            </w:r>
          </w:p>
        </w:tc>
        <w:tc>
          <w:tcPr>
            <w:tcW w:w="1296" w:type="dxa"/>
          </w:tcPr>
          <w:p w:rsidR="00A82D0E" w:rsidRPr="00A82D0E" w:rsidRDefault="00A82D0E" w:rsidP="00E319D5">
            <w:pPr>
              <w:spacing w:after="0" w:line="286" w:lineRule="exact"/>
              <w:jc w:val="center"/>
              <w:rPr>
                <w:rFonts w:ascii="Arial" w:hAnsi="Arial" w:cs="Arial"/>
                <w:sz w:val="20"/>
                <w:szCs w:val="20"/>
              </w:rPr>
            </w:pPr>
            <w:r w:rsidRPr="00A82D0E">
              <w:rPr>
                <w:rFonts w:ascii="Arial" w:hAnsi="Arial" w:cs="Arial"/>
                <w:sz w:val="20"/>
                <w:szCs w:val="20"/>
              </w:rPr>
              <w:t>$</w:t>
            </w:r>
            <w:r>
              <w:rPr>
                <w:rFonts w:ascii="Arial" w:hAnsi="Arial" w:cs="Arial"/>
                <w:sz w:val="20"/>
                <w:szCs w:val="20"/>
              </w:rPr>
              <w:t xml:space="preserve"> 133.41</w:t>
            </w:r>
          </w:p>
        </w:tc>
      </w:tr>
    </w:tbl>
    <w:p w:rsidR="002F70EB" w:rsidRPr="002F70EB" w:rsidRDefault="002F70EB" w:rsidP="00E319D5">
      <w:pPr>
        <w:spacing w:after="0" w:line="286" w:lineRule="exact"/>
        <w:rPr>
          <w:rFonts w:ascii="Arial" w:hAnsi="Arial" w:cs="Arial"/>
          <w:sz w:val="20"/>
          <w:szCs w:val="20"/>
        </w:rPr>
      </w:pPr>
    </w:p>
    <w:p w:rsidR="00DB3D30" w:rsidRDefault="002F70EB" w:rsidP="00C176FC">
      <w:pPr>
        <w:pStyle w:val="ListParagraph"/>
        <w:numPr>
          <w:ilvl w:val="0"/>
          <w:numId w:val="2"/>
        </w:numPr>
        <w:spacing w:after="0" w:line="290" w:lineRule="exact"/>
        <w:contextualSpacing w:val="0"/>
        <w:rPr>
          <w:rStyle w:val="Custom2"/>
        </w:rPr>
      </w:pPr>
      <w:r>
        <w:rPr>
          <w:rStyle w:val="Custom2"/>
        </w:rPr>
        <w:t>Process:</w:t>
      </w:r>
    </w:p>
    <w:p w:rsidR="002F70EB" w:rsidRPr="002F70EB" w:rsidRDefault="002F70EB" w:rsidP="00C176FC">
      <w:pPr>
        <w:pStyle w:val="ListParagraph"/>
        <w:numPr>
          <w:ilvl w:val="1"/>
          <w:numId w:val="2"/>
        </w:numPr>
        <w:spacing w:after="0" w:line="298" w:lineRule="exact"/>
        <w:ind w:left="1080"/>
        <w:contextualSpacing w:val="0"/>
        <w:rPr>
          <w:rFonts w:ascii="Arial" w:hAnsi="Arial"/>
          <w:sz w:val="20"/>
        </w:rPr>
      </w:pPr>
      <w:r>
        <w:rPr>
          <w:rFonts w:ascii="Arial" w:hAnsi="Arial" w:cs="Arial"/>
          <w:sz w:val="20"/>
          <w:szCs w:val="20"/>
        </w:rPr>
        <w:t>The amounts accrued in the RDA Balancing Account, including interest, for Decoupled Residential Customers, Decoupled Large General Service Customers</w:t>
      </w:r>
      <w:r>
        <w:rPr>
          <w:rStyle w:val="Custom2"/>
          <w:rFonts w:cs="Arial"/>
          <w:szCs w:val="20"/>
        </w:rPr>
        <w:t>, Decoupled Primary General Service Customers</w:t>
      </w:r>
      <w:r>
        <w:rPr>
          <w:rFonts w:ascii="Arial" w:hAnsi="Arial" w:cs="Arial"/>
          <w:sz w:val="20"/>
          <w:szCs w:val="20"/>
        </w:rPr>
        <w:t xml:space="preserve"> and Decoupled Other Non-Residential Customers (each a “Decoupled Customer Group”) through the end of the calendar year will be surcharged or refunded to the same Decoupled Customer Group during the subsequent May 1 through April 30 rate year.  Except the amounts in the RDA Balancing Account, including interest, related to Customers who are changing to a different Decoupled Customer Group or to a rate plan will be allocated to those Customers.</w:t>
      </w:r>
    </w:p>
    <w:p w:rsidR="002F70EB" w:rsidRPr="002F70EB" w:rsidRDefault="002F70EB" w:rsidP="00C176FC">
      <w:pPr>
        <w:pStyle w:val="ListParagraph"/>
        <w:numPr>
          <w:ilvl w:val="1"/>
          <w:numId w:val="2"/>
        </w:numPr>
        <w:spacing w:after="0" w:line="298" w:lineRule="exact"/>
        <w:ind w:left="1080"/>
        <w:contextualSpacing w:val="0"/>
        <w:rPr>
          <w:rFonts w:ascii="Arial" w:hAnsi="Arial"/>
          <w:sz w:val="20"/>
        </w:rPr>
      </w:pPr>
      <w:r>
        <w:rPr>
          <w:rFonts w:ascii="Arial" w:hAnsi="Arial" w:cs="Arial"/>
          <w:sz w:val="20"/>
          <w:szCs w:val="20"/>
        </w:rPr>
        <w:t>No later than April 1 of each year following the initial effective date of this schedule, the Company will make a filing to set new decoupling rates under this Schedule 142 to be effective May 1 of the same year.</w:t>
      </w:r>
    </w:p>
    <w:p w:rsidR="002F70EB" w:rsidRPr="00BC7E42" w:rsidRDefault="002F70EB" w:rsidP="00C176FC">
      <w:pPr>
        <w:pStyle w:val="ListParagraph"/>
        <w:numPr>
          <w:ilvl w:val="0"/>
          <w:numId w:val="4"/>
        </w:numPr>
        <w:spacing w:after="0" w:line="298" w:lineRule="exact"/>
        <w:ind w:left="360"/>
        <w:contextualSpacing w:val="0"/>
        <w:rPr>
          <w:rStyle w:val="Custom2"/>
        </w:rPr>
      </w:pPr>
      <w:r>
        <w:rPr>
          <w:rStyle w:val="Custom2"/>
          <w:b/>
        </w:rPr>
        <w:t>Term:</w:t>
      </w:r>
      <w:r>
        <w:rPr>
          <w:rStyle w:val="Custom2"/>
        </w:rPr>
        <w:t xml:space="preserve">  </w:t>
      </w:r>
      <w:r>
        <w:rPr>
          <w:rFonts w:ascii="Arial" w:hAnsi="Arial" w:cs="Arial"/>
          <w:sz w:val="20"/>
          <w:szCs w:val="20"/>
        </w:rPr>
        <w:t>Accruals under this mechanism shall continue until the effective date of rates approved in the Company’s next general rate case, but may be continued beyond that general rate case, subject to approval by the Commission.  If this mechanism is discontinued, amounts remaining in the RDA balancing account at that time will continue to be amortized through the rates charged under this schedule until the balance is cleared.</w:t>
      </w:r>
    </w:p>
    <w:sectPr w:rsidR="002F70EB"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0EB" w:rsidRDefault="002F70EB" w:rsidP="00B963E0">
      <w:pPr>
        <w:spacing w:after="0" w:line="240" w:lineRule="auto"/>
      </w:pPr>
      <w:r>
        <w:separator/>
      </w:r>
    </w:p>
  </w:endnote>
  <w:endnote w:type="continuationSeparator" w:id="0">
    <w:p w:rsidR="002F70EB" w:rsidRDefault="002F70E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E3" w:rsidRDefault="00593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3-31T00:00:00Z">
          <w:dateFormat w:val="MMMM d, yyyy"/>
          <w:lid w:val="en-US"/>
          <w:storeMappedDataAs w:val="dateTime"/>
          <w:calendar w:val="gregorian"/>
        </w:date>
      </w:sdtPr>
      <w:sdtEndPr/>
      <w:sdtContent>
        <w:r w:rsidR="00A82D0E">
          <w:rPr>
            <w:rFonts w:ascii="Arial" w:hAnsi="Arial" w:cs="Arial"/>
            <w:sz w:val="20"/>
            <w:szCs w:val="20"/>
          </w:rPr>
          <w:t>March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A82D0E">
          <w:rPr>
            <w:rFonts w:ascii="Arial" w:hAnsi="Arial" w:cs="Arial"/>
            <w:sz w:val="20"/>
            <w:szCs w:val="20"/>
          </w:rPr>
          <w:t>May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82D0E">
          <w:rPr>
            <w:rFonts w:ascii="Arial" w:hAnsi="Arial" w:cs="Arial"/>
            <w:sz w:val="20"/>
            <w:szCs w:val="20"/>
          </w:rPr>
          <w:t>2016-10</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82D0E" w:rsidP="00882FF5">
          <w:pPr>
            <w:pStyle w:val="Footer"/>
            <w:rPr>
              <w:rFonts w:ascii="Arial" w:hAnsi="Arial" w:cs="Arial"/>
              <w:b/>
              <w:sz w:val="20"/>
              <w:szCs w:val="20"/>
            </w:rPr>
          </w:pPr>
          <w:r>
            <w:rPr>
              <w:rFonts w:ascii="Arial" w:hAnsi="Arial" w:cs="Arial"/>
              <w:b/>
              <w:noProof/>
              <w:sz w:val="20"/>
              <w:szCs w:val="20"/>
            </w:rPr>
            <w:drawing>
              <wp:inline distT="0" distB="0" distL="0" distR="0" wp14:anchorId="369CE9DE" wp14:editId="3CC4C4B0">
                <wp:extent cx="933450" cy="31957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32953" cy="319406"/>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E3" w:rsidRDefault="00593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0EB" w:rsidRDefault="002F70EB" w:rsidP="00B963E0">
      <w:pPr>
        <w:spacing w:after="0" w:line="240" w:lineRule="auto"/>
      </w:pPr>
      <w:r>
        <w:separator/>
      </w:r>
    </w:p>
  </w:footnote>
  <w:footnote w:type="continuationSeparator" w:id="0">
    <w:p w:rsidR="002F70EB" w:rsidRDefault="002F70E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E3" w:rsidRDefault="00593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93DE3" w:rsidP="00D02C25">
    <w:pPr>
      <w:pStyle w:val="NoSpacing"/>
      <w:ind w:right="3600"/>
      <w:jc w:val="right"/>
    </w:pPr>
    <w:r>
      <w:t>3</w:t>
    </w:r>
    <w:r w:rsidRPr="00A82D0E">
      <w:rPr>
        <w:vertAlign w:val="superscript"/>
      </w:rPr>
      <w:t>rd</w:t>
    </w:r>
    <w:r>
      <w:t xml:space="preserve"> Revision</w:t>
    </w:r>
    <w:r w:rsidR="00A82D0E">
      <w:t xml:space="preserve"> </w:t>
    </w:r>
    <w:r w:rsidR="00B42E7C">
      <w:t xml:space="preserve">of Sheet No. </w:t>
    </w:r>
    <w:sdt>
      <w:sdtPr>
        <w:id w:val="1297169"/>
        <w:placeholder>
          <w:docPart w:val="53A86EC0B5C94A18ADEFA7B6AC233CF6"/>
        </w:placeholder>
        <w:text/>
      </w:sdtPr>
      <w:sdtEndPr/>
      <w:sdtContent>
        <w:r w:rsidR="002F70EB">
          <w:t>142-C</w:t>
        </w:r>
      </w:sdtContent>
    </w:sdt>
  </w:p>
  <w:p w:rsidR="00B42E7C" w:rsidRPr="00B42E7C" w:rsidRDefault="00B42E7C" w:rsidP="00D02C25">
    <w:pPr>
      <w:pStyle w:val="NoSpacing"/>
      <w:ind w:right="3600"/>
      <w:jc w:val="right"/>
    </w:pPr>
    <w:r>
      <w:t xml:space="preserve">Canceling </w:t>
    </w:r>
    <w:r w:rsidR="00A82D0E">
      <w:t>2</w:t>
    </w:r>
    <w:r w:rsidR="00A82D0E" w:rsidRPr="002F70EB">
      <w:rPr>
        <w:vertAlign w:val="superscript"/>
      </w:rPr>
      <w:t>nd</w:t>
    </w:r>
    <w:r w:rsidR="002F70EB">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2F70EB">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2F70EB">
          <w:rPr>
            <w:u w:val="single"/>
          </w:rPr>
          <w:t>142-C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E3" w:rsidRDefault="00593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549A"/>
    <w:multiLevelType w:val="hybridMultilevel"/>
    <w:tmpl w:val="BE70839A"/>
    <w:lvl w:ilvl="0" w:tplc="58784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A567C"/>
    <w:multiLevelType w:val="hybridMultilevel"/>
    <w:tmpl w:val="31945AB6"/>
    <w:lvl w:ilvl="0" w:tplc="EEDC024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B2D8B"/>
    <w:multiLevelType w:val="hybridMultilevel"/>
    <w:tmpl w:val="AE86F4A6"/>
    <w:lvl w:ilvl="0" w:tplc="E72AF2C6">
      <w:start w:val="2"/>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41BF0"/>
    <w:multiLevelType w:val="hybridMultilevel"/>
    <w:tmpl w:val="A7B2E342"/>
    <w:lvl w:ilvl="0" w:tplc="8CF62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EB"/>
    <w:rsid w:val="0003601D"/>
    <w:rsid w:val="00053192"/>
    <w:rsid w:val="00060533"/>
    <w:rsid w:val="0008711D"/>
    <w:rsid w:val="00094FA3"/>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2F70EB"/>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3DE3"/>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21DE"/>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2D0E"/>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176FC"/>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319D5"/>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D3FD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F7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F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A86EC0B5C94A18ADEFA7B6AC233CF6"/>
        <w:category>
          <w:name w:val="General"/>
          <w:gallery w:val="placeholder"/>
        </w:category>
        <w:types>
          <w:type w:val="bbPlcHdr"/>
        </w:types>
        <w:behaviors>
          <w:behavior w:val="content"/>
        </w:behaviors>
        <w:guid w:val="{A7EEA4FF-0752-4596-BED2-58ACF30F2BCB}"/>
      </w:docPartPr>
      <w:docPartBody>
        <w:p w:rsidR="0000434A" w:rsidRDefault="0000434A">
          <w:pPr>
            <w:pStyle w:val="53A86EC0B5C94A18ADEFA7B6AC233CF6"/>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4A"/>
    <w:rsid w:val="0000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A86EC0B5C94A18ADEFA7B6AC233CF6">
    <w:name w:val="53A86EC0B5C94A18ADEFA7B6AC233CF6"/>
  </w:style>
  <w:style w:type="paragraph" w:customStyle="1" w:styleId="BA071EFA5BFB45C281EDA01F0C7D1BAB">
    <w:name w:val="BA071EFA5BFB45C281EDA01F0C7D1BAB"/>
  </w:style>
  <w:style w:type="paragraph" w:customStyle="1" w:styleId="A510A2C8CF6640EB998C840AB960D171">
    <w:name w:val="A510A2C8CF6640EB998C840AB960D171"/>
  </w:style>
  <w:style w:type="paragraph" w:customStyle="1" w:styleId="53B313D85CC541A891744CA1479C85E5">
    <w:name w:val="53B313D85CC541A891744CA1479C85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A86EC0B5C94A18ADEFA7B6AC233CF6">
    <w:name w:val="53A86EC0B5C94A18ADEFA7B6AC233CF6"/>
  </w:style>
  <w:style w:type="paragraph" w:customStyle="1" w:styleId="BA071EFA5BFB45C281EDA01F0C7D1BAB">
    <w:name w:val="BA071EFA5BFB45C281EDA01F0C7D1BAB"/>
  </w:style>
  <w:style w:type="paragraph" w:customStyle="1" w:styleId="A510A2C8CF6640EB998C840AB960D171">
    <w:name w:val="A510A2C8CF6640EB998C840AB960D171"/>
  </w:style>
  <w:style w:type="paragraph" w:customStyle="1" w:styleId="53B313D85CC541A891744CA1479C85E5">
    <w:name w:val="53B313D85CC541A891744CA1479C8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067BF1E6CD9841B016A161CE186CD0" ma:contentTypeVersion="104" ma:contentTypeDescription="" ma:contentTypeScope="" ma:versionID="4c2177014a1136079fe4b5b4eb7407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54544A-4CD7-42A2-84FD-2870A37CB365}"/>
</file>

<file path=customXml/itemProps2.xml><?xml version="1.0" encoding="utf-8"?>
<ds:datastoreItem xmlns:ds="http://schemas.openxmlformats.org/officeDocument/2006/customXml" ds:itemID="{97C0F1C8-5BB5-469A-93E2-EA4DA5D0E738}"/>
</file>

<file path=customXml/itemProps3.xml><?xml version="1.0" encoding="utf-8"?>
<ds:datastoreItem xmlns:ds="http://schemas.openxmlformats.org/officeDocument/2006/customXml" ds:itemID="{72A97BAA-9BA0-4E80-A93F-42CA62FF7394}"/>
</file>

<file path=customXml/itemProps4.xml><?xml version="1.0" encoding="utf-8"?>
<ds:datastoreItem xmlns:ds="http://schemas.openxmlformats.org/officeDocument/2006/customXml" ds:itemID="{8D000142-728C-4161-B03A-3A68A76305AC}"/>
</file>

<file path=docProps/app.xml><?xml version="1.0" encoding="utf-8"?>
<Properties xmlns="http://schemas.openxmlformats.org/officeDocument/2006/extended-properties" xmlns:vt="http://schemas.openxmlformats.org/officeDocument/2006/docPropsVTypes">
  <Template>Normal.dotm</Template>
  <TotalTime>33</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6</cp:revision>
  <cp:lastPrinted>2011-08-19T16:17:00Z</cp:lastPrinted>
  <dcterms:created xsi:type="dcterms:W3CDTF">2014-05-30T21:16:00Z</dcterms:created>
  <dcterms:modified xsi:type="dcterms:W3CDTF">2016-03-31T14:29:00Z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0x0101006E56B4D1795A2E4DB2F0B01679ED314A007A067BF1E6CD9841B016A161CE186CD0</vt:lpwstr>
  </property>
  <property fmtid="{D5CDD505-2E9C-101B-9397-08002B2CF9AE}" pid="3" name="_docset_NoMedatataSyncRequired">
    <vt:lpwstr>False</vt:lpwstr>
  </property>
</Properties>
</file>