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C95" w:rsidRPr="00801833" w:rsidRDefault="002B3C95" w:rsidP="002B3C95">
      <w:pPr>
        <w:tabs>
          <w:tab w:val="right" w:pos="9360"/>
        </w:tabs>
        <w:rPr>
          <w:sz w:val="20"/>
        </w:rPr>
      </w:pPr>
      <w:r w:rsidRPr="00801833">
        <w:rPr>
          <w:sz w:val="20"/>
        </w:rPr>
        <w:t>WN U-3</w:t>
      </w:r>
      <w:r w:rsidRPr="00801833">
        <w:rPr>
          <w:sz w:val="20"/>
        </w:rPr>
        <w:tab/>
      </w:r>
      <w:r>
        <w:rPr>
          <w:sz w:val="20"/>
        </w:rPr>
        <w:t>SECTION 3</w:t>
      </w:r>
    </w:p>
    <w:p w:rsidR="002B3C95" w:rsidRDefault="002B3C95" w:rsidP="002B3C95">
      <w:pPr>
        <w:tabs>
          <w:tab w:val="right" w:pos="9360"/>
        </w:tabs>
        <w:rPr>
          <w:sz w:val="20"/>
        </w:rPr>
      </w:pPr>
      <w:proofErr w:type="gramStart"/>
      <w:r w:rsidRPr="00801833">
        <w:rPr>
          <w:sz w:val="20"/>
        </w:rPr>
        <w:t>CenturyTel of Washington, Inc.</w:t>
      </w:r>
      <w:proofErr w:type="gramEnd"/>
      <w:r w:rsidRPr="00801833">
        <w:rPr>
          <w:sz w:val="20"/>
        </w:rPr>
        <w:t xml:space="preserve"> </w:t>
      </w:r>
    </w:p>
    <w:p w:rsidR="002B3C95" w:rsidRDefault="002B3C95" w:rsidP="002B3C95">
      <w:pPr>
        <w:tabs>
          <w:tab w:val="right" w:pos="9360"/>
        </w:tabs>
        <w:rPr>
          <w:sz w:val="20"/>
        </w:rPr>
      </w:pPr>
      <w:proofErr w:type="gramStart"/>
      <w:r w:rsidRPr="00801833">
        <w:rPr>
          <w:sz w:val="20"/>
        </w:rPr>
        <w:t>d/b/a</w:t>
      </w:r>
      <w:proofErr w:type="gramEnd"/>
      <w:r w:rsidRPr="00801833">
        <w:rPr>
          <w:sz w:val="20"/>
        </w:rPr>
        <w:t xml:space="preserve"> CenturyLink</w:t>
      </w:r>
      <w:r w:rsidRPr="00801833">
        <w:rPr>
          <w:sz w:val="20"/>
        </w:rPr>
        <w:tab/>
      </w:r>
      <w:r w:rsidR="00130255">
        <w:rPr>
          <w:sz w:val="20"/>
        </w:rPr>
        <w:t>First Revised</w:t>
      </w:r>
      <w:r w:rsidRPr="00801833">
        <w:rPr>
          <w:sz w:val="20"/>
        </w:rPr>
        <w:t xml:space="preserve"> Sheet 10</w:t>
      </w:r>
    </w:p>
    <w:p w:rsidR="002B3C95" w:rsidRPr="00801833" w:rsidRDefault="00130255" w:rsidP="00130255">
      <w:pPr>
        <w:tabs>
          <w:tab w:val="right" w:pos="9360"/>
        </w:tabs>
        <w:jc w:val="right"/>
        <w:rPr>
          <w:sz w:val="20"/>
        </w:rPr>
      </w:pPr>
      <w:r>
        <w:rPr>
          <w:sz w:val="20"/>
        </w:rPr>
        <w:t xml:space="preserve">Cancels </w:t>
      </w:r>
      <w:r w:rsidRPr="000A45DB">
        <w:rPr>
          <w:sz w:val="20"/>
        </w:rPr>
        <w:t>Original</w:t>
      </w:r>
      <w:r>
        <w:rPr>
          <w:sz w:val="20"/>
        </w:rPr>
        <w:t xml:space="preserve"> Sheet 10</w:t>
      </w:r>
    </w:p>
    <w:tbl>
      <w:tblPr>
        <w:tblW w:w="10656" w:type="dxa"/>
        <w:tblLayout w:type="fixed"/>
        <w:tblLook w:val="0000"/>
      </w:tblPr>
      <w:tblGrid>
        <w:gridCol w:w="9504"/>
        <w:gridCol w:w="1152"/>
      </w:tblGrid>
      <w:tr w:rsidR="002B3C95" w:rsidRPr="00801833" w:rsidTr="00130255">
        <w:trPr>
          <w:trHeight w:val="11817"/>
        </w:trPr>
        <w:tc>
          <w:tcPr>
            <w:tcW w:w="9504" w:type="dxa"/>
            <w:tcBorders>
              <w:top w:val="single" w:sz="4" w:space="0" w:color="auto"/>
            </w:tcBorders>
          </w:tcPr>
          <w:p w:rsidR="002B3C95" w:rsidRDefault="002B3C95" w:rsidP="00130255">
            <w:pPr>
              <w:widowControl w:val="0"/>
              <w:jc w:val="center"/>
              <w:rPr>
                <w:snapToGrid w:val="0"/>
                <w:sz w:val="20"/>
                <w:u w:val="single"/>
              </w:rPr>
            </w:pPr>
          </w:p>
          <w:p w:rsidR="002B3C95" w:rsidRPr="00801833" w:rsidRDefault="002B3C95" w:rsidP="00130255">
            <w:pPr>
              <w:widowControl w:val="0"/>
              <w:jc w:val="center"/>
              <w:rPr>
                <w:snapToGrid w:val="0"/>
                <w:sz w:val="20"/>
                <w:u w:val="single"/>
              </w:rPr>
            </w:pPr>
            <w:r w:rsidRPr="00801833">
              <w:rPr>
                <w:snapToGrid w:val="0"/>
                <w:sz w:val="20"/>
                <w:u w:val="single"/>
              </w:rPr>
              <w:t>9-1-1 EMERGENCY SERVICE</w:t>
            </w:r>
          </w:p>
          <w:p w:rsidR="002B3C95" w:rsidRDefault="002B3C95" w:rsidP="00130255">
            <w:pPr>
              <w:widowControl w:val="0"/>
              <w:rPr>
                <w:snapToGrid w:val="0"/>
                <w:sz w:val="20"/>
              </w:rPr>
            </w:pPr>
          </w:p>
          <w:p w:rsidR="00130255" w:rsidRPr="00130255" w:rsidRDefault="00130255" w:rsidP="00130255">
            <w:pPr>
              <w:widowControl w:val="0"/>
              <w:ind w:left="540" w:hanging="540"/>
              <w:rPr>
                <w:b/>
                <w:snapToGrid w:val="0"/>
                <w:sz w:val="20"/>
              </w:rPr>
            </w:pPr>
            <w:r w:rsidRPr="00130255">
              <w:rPr>
                <w:b/>
                <w:snapToGrid w:val="0"/>
                <w:sz w:val="20"/>
              </w:rPr>
              <w:t>C.</w:t>
            </w:r>
            <w:r w:rsidRPr="00130255">
              <w:rPr>
                <w:b/>
                <w:snapToGrid w:val="0"/>
                <w:sz w:val="20"/>
              </w:rPr>
              <w:tab/>
              <w:t>CONDITIONS (Continued)</w:t>
            </w:r>
          </w:p>
          <w:p w:rsidR="00130255" w:rsidRPr="00130255" w:rsidRDefault="00130255" w:rsidP="00130255">
            <w:pPr>
              <w:widowControl w:val="0"/>
              <w:jc w:val="both"/>
              <w:rPr>
                <w:b/>
                <w:snapToGrid w:val="0"/>
                <w:sz w:val="20"/>
              </w:rPr>
            </w:pPr>
          </w:p>
          <w:p w:rsidR="00130255" w:rsidRPr="00130255" w:rsidRDefault="00130255" w:rsidP="00130255">
            <w:pPr>
              <w:widowControl w:val="0"/>
              <w:ind w:left="1080" w:hanging="630"/>
              <w:jc w:val="both"/>
              <w:rPr>
                <w:b/>
                <w:snapToGrid w:val="0"/>
                <w:sz w:val="20"/>
              </w:rPr>
            </w:pPr>
            <w:r w:rsidRPr="00130255">
              <w:rPr>
                <w:b/>
                <w:snapToGrid w:val="0"/>
                <w:sz w:val="20"/>
              </w:rPr>
              <w:t>32.</w:t>
            </w:r>
            <w:r w:rsidRPr="00130255">
              <w:rPr>
                <w:b/>
                <w:snapToGrid w:val="0"/>
                <w:sz w:val="20"/>
              </w:rPr>
              <w:tab/>
            </w:r>
            <w:r w:rsidRPr="00130255">
              <w:rPr>
                <w:rFonts w:cs="Arial"/>
                <w:b/>
                <w:sz w:val="20"/>
              </w:rPr>
              <w:t xml:space="preserve">Pursuant to a statewide contract, Qwest Corporation d/b/a CenturyLink QC is the sole provider of automatic location identification services within the state of Washington.  The terms, conditions, and rates for </w:t>
            </w:r>
            <w:r w:rsidR="00F04B1D" w:rsidRPr="00F04B1D">
              <w:rPr>
                <w:b/>
                <w:sz w:val="20"/>
              </w:rPr>
              <w:t>Private Switch Automatic Location Identification</w:t>
            </w:r>
            <w:r w:rsidRPr="00130255">
              <w:rPr>
                <w:rFonts w:cs="Arial"/>
                <w:b/>
                <w:sz w:val="20"/>
              </w:rPr>
              <w:t xml:space="preserve"> are in Section 9 of </w:t>
            </w:r>
            <w:hyperlink r:id="rId5" w:history="1">
              <w:r w:rsidRPr="00130255">
                <w:rPr>
                  <w:rStyle w:val="Hyperlink"/>
                  <w:rFonts w:cs="Arial"/>
                  <w:b/>
                  <w:sz w:val="20"/>
                </w:rPr>
                <w:t>Qwest Corporation d/b/a CenturyLink QC WN U-49 Exchange and Network Services</w:t>
              </w:r>
            </w:hyperlink>
            <w:r w:rsidRPr="00130255">
              <w:rPr>
                <w:rFonts w:cs="Arial"/>
                <w:b/>
                <w:sz w:val="20"/>
              </w:rPr>
              <w:t>.</w:t>
            </w:r>
          </w:p>
          <w:p w:rsidR="00130255" w:rsidRDefault="00130255" w:rsidP="00130255">
            <w:pPr>
              <w:widowControl w:val="0"/>
              <w:rPr>
                <w:snapToGrid w:val="0"/>
                <w:sz w:val="20"/>
              </w:rPr>
            </w:pPr>
          </w:p>
          <w:p w:rsidR="002B3C95" w:rsidRPr="00801833" w:rsidRDefault="002B3C95" w:rsidP="00130255">
            <w:pPr>
              <w:widowControl w:val="0"/>
              <w:ind w:left="540" w:hanging="540"/>
              <w:rPr>
                <w:snapToGrid w:val="0"/>
                <w:sz w:val="20"/>
                <w:u w:val="single"/>
              </w:rPr>
            </w:pPr>
            <w:r w:rsidRPr="00801833">
              <w:rPr>
                <w:snapToGrid w:val="0"/>
                <w:sz w:val="20"/>
              </w:rPr>
              <w:t>D.</w:t>
            </w:r>
            <w:r w:rsidRPr="00801833">
              <w:rPr>
                <w:snapToGrid w:val="0"/>
                <w:sz w:val="20"/>
              </w:rPr>
              <w:tab/>
              <w:t>LIABILITY</w:t>
            </w:r>
          </w:p>
          <w:p w:rsidR="002B3C95" w:rsidRDefault="002B3C95" w:rsidP="00130255">
            <w:pPr>
              <w:widowControl w:val="0"/>
              <w:ind w:left="540" w:hanging="540"/>
              <w:jc w:val="both"/>
              <w:rPr>
                <w:snapToGrid w:val="0"/>
                <w:sz w:val="20"/>
              </w:rPr>
            </w:pPr>
          </w:p>
          <w:p w:rsidR="002B3C95" w:rsidRPr="00801833" w:rsidRDefault="002B3C95" w:rsidP="00130255">
            <w:pPr>
              <w:widowControl w:val="0"/>
              <w:ind w:left="1080" w:hanging="540"/>
              <w:jc w:val="both"/>
              <w:rPr>
                <w:snapToGrid w:val="0"/>
                <w:sz w:val="20"/>
              </w:rPr>
            </w:pPr>
            <w:r w:rsidRPr="00801833">
              <w:rPr>
                <w:snapToGrid w:val="0"/>
                <w:sz w:val="20"/>
              </w:rPr>
              <w:t>1.</w:t>
            </w:r>
            <w:r w:rsidRPr="00801833">
              <w:rPr>
                <w:snapToGrid w:val="0"/>
                <w:sz w:val="20"/>
              </w:rPr>
              <w:tab/>
              <w:t>The Company and its employees, directors, officers or agents in providing emergency communications systems or services including data base information to emergency communication system personnel shall not be liable for civil damages caused by an act or omission of the company, its employees, directors, officers or agents in the:</w:t>
            </w:r>
          </w:p>
          <w:p w:rsidR="002B3C95" w:rsidRPr="00801833" w:rsidRDefault="002B3C95" w:rsidP="00130255">
            <w:pPr>
              <w:widowControl w:val="0"/>
              <w:ind w:left="540" w:hanging="540"/>
              <w:jc w:val="both"/>
              <w:rPr>
                <w:snapToGrid w:val="0"/>
                <w:sz w:val="20"/>
              </w:rPr>
            </w:pPr>
          </w:p>
          <w:p w:rsidR="002B3C95" w:rsidRPr="00801833" w:rsidRDefault="002B3C95" w:rsidP="00130255">
            <w:pPr>
              <w:widowControl w:val="0"/>
              <w:ind w:left="1620" w:hanging="540"/>
              <w:jc w:val="both"/>
              <w:rPr>
                <w:snapToGrid w:val="0"/>
                <w:sz w:val="20"/>
              </w:rPr>
            </w:pPr>
            <w:r w:rsidRPr="00801833">
              <w:rPr>
                <w:snapToGrid w:val="0"/>
                <w:sz w:val="20"/>
              </w:rPr>
              <w:t>a.</w:t>
            </w:r>
            <w:r w:rsidRPr="00801833">
              <w:rPr>
                <w:snapToGrid w:val="0"/>
                <w:sz w:val="20"/>
              </w:rPr>
              <w:tab/>
              <w:t>Good-faith release of information not in the public record, including unpublished or unlisted subscriber information to emergency service providers responding to calls placed to a 911 or enhanced 911 emergency service, or</w:t>
            </w:r>
          </w:p>
          <w:p w:rsidR="002B3C95" w:rsidRPr="00801833" w:rsidRDefault="002B3C95" w:rsidP="00130255">
            <w:pPr>
              <w:widowControl w:val="0"/>
              <w:ind w:left="540" w:hanging="540"/>
              <w:jc w:val="both"/>
              <w:rPr>
                <w:snapToGrid w:val="0"/>
                <w:sz w:val="20"/>
              </w:rPr>
            </w:pPr>
          </w:p>
          <w:p w:rsidR="002B3C95" w:rsidRPr="00801833" w:rsidRDefault="002B3C95" w:rsidP="00130255">
            <w:pPr>
              <w:widowControl w:val="0"/>
              <w:ind w:left="1620" w:hanging="540"/>
              <w:jc w:val="both"/>
              <w:rPr>
                <w:snapToGrid w:val="0"/>
                <w:sz w:val="20"/>
              </w:rPr>
            </w:pPr>
            <w:r w:rsidRPr="00801833">
              <w:rPr>
                <w:snapToGrid w:val="0"/>
                <w:sz w:val="20"/>
              </w:rPr>
              <w:t>b.</w:t>
            </w:r>
            <w:r w:rsidRPr="00801833">
              <w:rPr>
                <w:snapToGrid w:val="0"/>
                <w:sz w:val="20"/>
              </w:rPr>
              <w:tab/>
              <w:t>Design, development, installation, maintenance, or provision of consolidated 9-1-1 or enhanced 9-1-1 emergency communication systems or services other than an act or omission constituting gross negligence or wanton or willful misconduct.</w:t>
            </w:r>
          </w:p>
          <w:p w:rsidR="002B3C95" w:rsidRPr="00801833" w:rsidRDefault="002B3C95" w:rsidP="00130255">
            <w:pPr>
              <w:widowControl w:val="0"/>
              <w:ind w:left="540" w:hanging="540"/>
              <w:jc w:val="both"/>
              <w:rPr>
                <w:snapToGrid w:val="0"/>
                <w:sz w:val="20"/>
              </w:rPr>
            </w:pPr>
          </w:p>
          <w:p w:rsidR="002B3C95" w:rsidRPr="00801833" w:rsidRDefault="002B3C95" w:rsidP="00130255">
            <w:pPr>
              <w:widowControl w:val="0"/>
              <w:ind w:left="1080" w:hanging="540"/>
              <w:jc w:val="both"/>
              <w:rPr>
                <w:snapToGrid w:val="0"/>
                <w:sz w:val="20"/>
              </w:rPr>
            </w:pPr>
            <w:r w:rsidRPr="00801833">
              <w:rPr>
                <w:snapToGrid w:val="0"/>
                <w:sz w:val="20"/>
              </w:rPr>
              <w:t>2.</w:t>
            </w:r>
            <w:r w:rsidRPr="00801833">
              <w:rPr>
                <w:snapToGrid w:val="0"/>
                <w:sz w:val="20"/>
              </w:rPr>
              <w:tab/>
              <w:t>The Company's liability for civil damages to the customer or any person for interruption or failure of 9-1-1 service shall be limited by the terms set forth in this section and in any sections of other tariffs which apply to the provision of 9-1-1 service by the Company. This 9-1-1 service is offered solely to assist the customer in providing 9-1-1 emergency service in conjunction with applicable fire, police, and other public safety agencies.  By providing this service to the customer, the Company does not create any relationship or obligation, direct or indirect, to any third party other than the customer, except as caused by the Company's gross negligence or willful or wanton misconduct.</w:t>
            </w:r>
          </w:p>
          <w:p w:rsidR="002B3C95" w:rsidRPr="00801833" w:rsidRDefault="002B3C95" w:rsidP="00130255">
            <w:pPr>
              <w:widowControl w:val="0"/>
              <w:ind w:left="540" w:hanging="540"/>
              <w:rPr>
                <w:snapToGrid w:val="0"/>
                <w:sz w:val="20"/>
              </w:rPr>
            </w:pPr>
          </w:p>
          <w:p w:rsidR="002B3C95" w:rsidRPr="00801833" w:rsidRDefault="002B3C95" w:rsidP="00130255">
            <w:pPr>
              <w:widowControl w:val="0"/>
              <w:ind w:left="1080" w:hanging="540"/>
              <w:jc w:val="both"/>
              <w:rPr>
                <w:sz w:val="20"/>
              </w:rPr>
            </w:pPr>
            <w:r w:rsidRPr="00801833">
              <w:rPr>
                <w:snapToGrid w:val="0"/>
                <w:sz w:val="20"/>
              </w:rPr>
              <w:t>3.</w:t>
            </w:r>
            <w:r w:rsidRPr="00801833">
              <w:rPr>
                <w:snapToGrid w:val="0"/>
                <w:sz w:val="20"/>
              </w:rPr>
              <w:tab/>
              <w:t>The Company shall not be liable for civil damages, whether in contract, tort or otherwise, to any person, corporation, or other entity for any loss or damage caused by any Company act or omission in the design, development, installation, maintenance or provision of 9-1-1 service other than an act or omission constituting gross negligence or wanton or willful misconduct.  However, except for gross negligence and/or wanton or willful misconduct, the Company's liability to any person, corporation, or other entity for any loss or damage shall not exceed an amount equal to the prorated allowance of the tariff rate for the service or facilities provided to the customer for the time such interruption to service or facilities continues, after notice by the customer to the Company.  No allowance shall be made if the interruption is due to the negligence or willful act of the customer.</w:t>
            </w:r>
          </w:p>
        </w:tc>
        <w:tc>
          <w:tcPr>
            <w:tcW w:w="1152" w:type="dxa"/>
          </w:tcPr>
          <w:p w:rsidR="002B3C95" w:rsidRDefault="002B3C95" w:rsidP="00130255">
            <w:pPr>
              <w:jc w:val="center"/>
              <w:rPr>
                <w:rFonts w:cs="Arial"/>
                <w:sz w:val="20"/>
              </w:rPr>
            </w:pPr>
          </w:p>
          <w:p w:rsidR="00130255" w:rsidRDefault="00130255" w:rsidP="00130255">
            <w:pPr>
              <w:jc w:val="center"/>
              <w:rPr>
                <w:rFonts w:cs="Arial"/>
                <w:sz w:val="20"/>
              </w:rPr>
            </w:pPr>
          </w:p>
          <w:p w:rsidR="00130255" w:rsidRDefault="00130255" w:rsidP="00130255">
            <w:pPr>
              <w:rPr>
                <w:rFonts w:cs="Arial"/>
                <w:sz w:val="20"/>
              </w:rPr>
            </w:pPr>
          </w:p>
          <w:p w:rsidR="00130255" w:rsidRPr="00130255" w:rsidRDefault="00130255" w:rsidP="00130255">
            <w:pPr>
              <w:tabs>
                <w:tab w:val="right" w:pos="1060"/>
              </w:tabs>
              <w:jc w:val="center"/>
              <w:rPr>
                <w:rFonts w:cs="Arial"/>
                <w:sz w:val="20"/>
              </w:rPr>
            </w:pPr>
            <w:r w:rsidRPr="00130255">
              <w:rPr>
                <w:rFonts w:cs="Arial"/>
                <w:sz w:val="20"/>
              </w:rPr>
              <w:t>(N)</w:t>
            </w:r>
          </w:p>
          <w:p w:rsidR="00130255" w:rsidRPr="00130255" w:rsidRDefault="00130255" w:rsidP="00130255">
            <w:pPr>
              <w:tabs>
                <w:tab w:val="bar" w:pos="486"/>
              </w:tabs>
              <w:jc w:val="center"/>
              <w:rPr>
                <w:rFonts w:cs="Arial"/>
                <w:sz w:val="20"/>
              </w:rPr>
            </w:pPr>
          </w:p>
          <w:p w:rsidR="00130255" w:rsidRPr="00130255" w:rsidRDefault="00130255" w:rsidP="00130255">
            <w:pPr>
              <w:tabs>
                <w:tab w:val="bar" w:pos="486"/>
              </w:tabs>
              <w:jc w:val="center"/>
              <w:rPr>
                <w:rFonts w:cs="Arial"/>
                <w:sz w:val="20"/>
              </w:rPr>
            </w:pPr>
          </w:p>
          <w:p w:rsidR="00130255" w:rsidRPr="00130255" w:rsidRDefault="00130255" w:rsidP="00130255">
            <w:pPr>
              <w:tabs>
                <w:tab w:val="bar" w:pos="486"/>
              </w:tabs>
              <w:jc w:val="center"/>
              <w:rPr>
                <w:rFonts w:cs="Arial"/>
                <w:sz w:val="20"/>
              </w:rPr>
            </w:pPr>
          </w:p>
          <w:p w:rsidR="00130255" w:rsidRDefault="00130255" w:rsidP="00130255">
            <w:pPr>
              <w:tabs>
                <w:tab w:val="bar" w:pos="486"/>
              </w:tabs>
              <w:jc w:val="center"/>
              <w:rPr>
                <w:rFonts w:cs="Arial"/>
                <w:sz w:val="20"/>
              </w:rPr>
            </w:pPr>
          </w:p>
          <w:p w:rsidR="00390DD8" w:rsidRPr="00130255" w:rsidRDefault="00390DD8" w:rsidP="00130255">
            <w:pPr>
              <w:tabs>
                <w:tab w:val="bar" w:pos="486"/>
              </w:tabs>
              <w:jc w:val="center"/>
              <w:rPr>
                <w:rFonts w:cs="Arial"/>
                <w:sz w:val="20"/>
              </w:rPr>
            </w:pPr>
          </w:p>
          <w:p w:rsidR="00130255" w:rsidRPr="00130255" w:rsidRDefault="00130255" w:rsidP="00130255">
            <w:pPr>
              <w:tabs>
                <w:tab w:val="right" w:pos="1060"/>
              </w:tabs>
              <w:jc w:val="center"/>
              <w:rPr>
                <w:rFonts w:cs="Arial"/>
                <w:sz w:val="20"/>
              </w:rPr>
            </w:pPr>
            <w:r w:rsidRPr="00130255">
              <w:rPr>
                <w:rFonts w:cs="Arial"/>
                <w:sz w:val="20"/>
              </w:rPr>
              <w:t>(N)</w:t>
            </w:r>
          </w:p>
          <w:p w:rsidR="00130255" w:rsidRPr="00130255" w:rsidRDefault="00130255" w:rsidP="00130255">
            <w:pPr>
              <w:tabs>
                <w:tab w:val="right" w:pos="1060"/>
              </w:tabs>
              <w:jc w:val="center"/>
              <w:rPr>
                <w:rFonts w:cs="Arial"/>
                <w:color w:val="0000FF"/>
                <w:sz w:val="20"/>
              </w:rPr>
            </w:pPr>
          </w:p>
        </w:tc>
      </w:tr>
      <w:tr w:rsidR="002B3C95" w:rsidRPr="00801833" w:rsidTr="00130255">
        <w:tc>
          <w:tcPr>
            <w:tcW w:w="9504" w:type="dxa"/>
            <w:tcBorders>
              <w:bottom w:val="single" w:sz="4" w:space="0" w:color="auto"/>
            </w:tcBorders>
          </w:tcPr>
          <w:p w:rsidR="002B3C95" w:rsidRPr="00801833" w:rsidRDefault="002B3C95" w:rsidP="00130255">
            <w:pPr>
              <w:jc w:val="center"/>
              <w:rPr>
                <w:sz w:val="20"/>
              </w:rPr>
            </w:pPr>
          </w:p>
        </w:tc>
        <w:tc>
          <w:tcPr>
            <w:tcW w:w="1152" w:type="dxa"/>
          </w:tcPr>
          <w:p w:rsidR="002B3C95" w:rsidRDefault="002B3C95" w:rsidP="00130255">
            <w:pPr>
              <w:rPr>
                <w:rFonts w:cs="Arial"/>
                <w:sz w:val="20"/>
              </w:rPr>
            </w:pPr>
          </w:p>
          <w:p w:rsidR="002B3C95" w:rsidRPr="00801833" w:rsidRDefault="002B3C95" w:rsidP="00130255">
            <w:pPr>
              <w:rPr>
                <w:rFonts w:cs="Arial"/>
                <w:sz w:val="20"/>
              </w:rPr>
            </w:pPr>
          </w:p>
        </w:tc>
      </w:tr>
    </w:tbl>
    <w:p w:rsidR="002B3C95" w:rsidRPr="00801833" w:rsidRDefault="002B3C95" w:rsidP="002B3C95">
      <w:pPr>
        <w:tabs>
          <w:tab w:val="right" w:pos="9360"/>
        </w:tabs>
        <w:rPr>
          <w:rFonts w:cs="Arial"/>
          <w:sz w:val="20"/>
        </w:rPr>
      </w:pPr>
    </w:p>
    <w:p w:rsidR="002B3C95" w:rsidRPr="00801833" w:rsidRDefault="002B3C95" w:rsidP="002B3C95">
      <w:pPr>
        <w:tabs>
          <w:tab w:val="right" w:pos="9360"/>
        </w:tabs>
        <w:rPr>
          <w:rFonts w:cs="Arial"/>
          <w:sz w:val="20"/>
        </w:rPr>
      </w:pPr>
      <w:proofErr w:type="gramStart"/>
      <w:r w:rsidRPr="00801833">
        <w:rPr>
          <w:rFonts w:cs="Arial"/>
          <w:sz w:val="20"/>
        </w:rPr>
        <w:t>Advice No.</w:t>
      </w:r>
      <w:proofErr w:type="gramEnd"/>
      <w:r w:rsidRPr="00801833">
        <w:rPr>
          <w:rFonts w:cs="Arial"/>
          <w:sz w:val="20"/>
        </w:rPr>
        <w:t xml:space="preserve"> WACT</w:t>
      </w:r>
      <w:r w:rsidR="00130255">
        <w:rPr>
          <w:rFonts w:cs="Arial"/>
          <w:sz w:val="20"/>
        </w:rPr>
        <w:t>16-01</w:t>
      </w:r>
      <w:r w:rsidRPr="00801833">
        <w:rPr>
          <w:rFonts w:cs="Arial"/>
          <w:sz w:val="20"/>
        </w:rPr>
        <w:tab/>
      </w:r>
      <w:r w:rsidR="00902728">
        <w:rPr>
          <w:rFonts w:cs="Arial"/>
          <w:sz w:val="20"/>
        </w:rPr>
        <w:t>Effective:  March 20</w:t>
      </w:r>
      <w:r w:rsidR="00C7514F" w:rsidRPr="00C7514F">
        <w:rPr>
          <w:rFonts w:cs="Arial"/>
          <w:sz w:val="20"/>
        </w:rPr>
        <w:t>, 2016</w:t>
      </w:r>
    </w:p>
    <w:p w:rsidR="002B3C95" w:rsidRPr="00801833" w:rsidRDefault="002B3C95" w:rsidP="00390DD8">
      <w:pPr>
        <w:pStyle w:val="BodyText"/>
        <w:tabs>
          <w:tab w:val="clear" w:pos="5760"/>
          <w:tab w:val="clear" w:pos="6480"/>
          <w:tab w:val="clear" w:pos="7200"/>
          <w:tab w:val="clear" w:pos="7920"/>
          <w:tab w:val="clear" w:pos="8640"/>
          <w:tab w:val="clear" w:pos="9720"/>
          <w:tab w:val="right" w:pos="9360"/>
        </w:tabs>
        <w:rPr>
          <w:rFonts w:cs="Arial"/>
          <w:sz w:val="20"/>
        </w:rPr>
      </w:pPr>
      <w:r w:rsidRPr="00801833">
        <w:rPr>
          <w:rFonts w:cs="Arial"/>
          <w:sz w:val="20"/>
        </w:rPr>
        <w:t>Issued By CenturyTel of Washington, Inc. d/b/a CenturyLink</w:t>
      </w:r>
      <w:r w:rsidR="00390DD8">
        <w:rPr>
          <w:rFonts w:cs="Arial"/>
          <w:sz w:val="20"/>
        </w:rPr>
        <w:tab/>
      </w:r>
    </w:p>
    <w:p w:rsidR="002B3C95" w:rsidRDefault="002B3C95" w:rsidP="002B3C95">
      <w:pPr>
        <w:pStyle w:val="BodyText"/>
        <w:ind w:left="2280" w:hanging="2280"/>
        <w:rPr>
          <w:sz w:val="20"/>
        </w:rPr>
      </w:pPr>
    </w:p>
    <w:p w:rsidR="002B3C95" w:rsidRPr="00801833" w:rsidRDefault="002B3C95" w:rsidP="002B3C95">
      <w:pPr>
        <w:pStyle w:val="BodyText"/>
        <w:ind w:left="2280" w:hanging="2280"/>
        <w:rPr>
          <w:sz w:val="20"/>
        </w:rPr>
      </w:pPr>
    </w:p>
    <w:p w:rsidR="00A67BC0" w:rsidRDefault="00A67BC0"/>
    <w:sectPr w:rsidR="00A67BC0" w:rsidSect="002B3C95">
      <w:pgSz w:w="12240" w:h="15840" w:code="1"/>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B4D118"/>
    <w:lvl w:ilvl="0">
      <w:start w:val="1"/>
      <w:numFmt w:val="decimal"/>
      <w:lvlText w:val="%1."/>
      <w:lvlJc w:val="left"/>
      <w:pPr>
        <w:tabs>
          <w:tab w:val="num" w:pos="1800"/>
        </w:tabs>
        <w:ind w:left="1800" w:hanging="360"/>
      </w:pPr>
    </w:lvl>
  </w:abstractNum>
  <w:abstractNum w:abstractNumId="1">
    <w:nsid w:val="FFFFFF7D"/>
    <w:multiLevelType w:val="singleLevel"/>
    <w:tmpl w:val="B918692C"/>
    <w:lvl w:ilvl="0">
      <w:start w:val="1"/>
      <w:numFmt w:val="decimal"/>
      <w:lvlText w:val="%1."/>
      <w:lvlJc w:val="left"/>
      <w:pPr>
        <w:tabs>
          <w:tab w:val="num" w:pos="1440"/>
        </w:tabs>
        <w:ind w:left="1440" w:hanging="360"/>
      </w:pPr>
    </w:lvl>
  </w:abstractNum>
  <w:abstractNum w:abstractNumId="2">
    <w:nsid w:val="FFFFFF7E"/>
    <w:multiLevelType w:val="singleLevel"/>
    <w:tmpl w:val="F1B2E4BC"/>
    <w:lvl w:ilvl="0">
      <w:start w:val="1"/>
      <w:numFmt w:val="decimal"/>
      <w:lvlText w:val="%1."/>
      <w:lvlJc w:val="left"/>
      <w:pPr>
        <w:tabs>
          <w:tab w:val="num" w:pos="1080"/>
        </w:tabs>
        <w:ind w:left="1080" w:hanging="360"/>
      </w:pPr>
    </w:lvl>
  </w:abstractNum>
  <w:abstractNum w:abstractNumId="3">
    <w:nsid w:val="FFFFFF7F"/>
    <w:multiLevelType w:val="singleLevel"/>
    <w:tmpl w:val="7CD44E4A"/>
    <w:lvl w:ilvl="0">
      <w:start w:val="1"/>
      <w:numFmt w:val="decimal"/>
      <w:lvlText w:val="%1."/>
      <w:lvlJc w:val="left"/>
      <w:pPr>
        <w:tabs>
          <w:tab w:val="num" w:pos="720"/>
        </w:tabs>
        <w:ind w:left="720" w:hanging="360"/>
      </w:pPr>
    </w:lvl>
  </w:abstractNum>
  <w:abstractNum w:abstractNumId="4">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EADD7C"/>
    <w:lvl w:ilvl="0">
      <w:start w:val="1"/>
      <w:numFmt w:val="decimal"/>
      <w:lvlText w:val="%1."/>
      <w:lvlJc w:val="left"/>
      <w:pPr>
        <w:tabs>
          <w:tab w:val="num" w:pos="360"/>
        </w:tabs>
        <w:ind w:left="360" w:hanging="360"/>
      </w:pPr>
    </w:lvl>
  </w:abstractNum>
  <w:abstractNum w:abstractNumId="9">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stylePaneFormatFilter w:val="0004"/>
  <w:defaultTabStop w:val="720"/>
  <w:drawingGridHorizontalSpacing w:val="110"/>
  <w:displayHorizontalDrawingGridEvery w:val="2"/>
  <w:characterSpacingControl w:val="doNotCompress"/>
  <w:compat/>
  <w:rsids>
    <w:rsidRoot w:val="002B3C95"/>
    <w:rsid w:val="00000008"/>
    <w:rsid w:val="000000D5"/>
    <w:rsid w:val="000002EF"/>
    <w:rsid w:val="0000090D"/>
    <w:rsid w:val="00001005"/>
    <w:rsid w:val="00001387"/>
    <w:rsid w:val="000019BC"/>
    <w:rsid w:val="00001EB2"/>
    <w:rsid w:val="0000218D"/>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E9E"/>
    <w:rsid w:val="0007021C"/>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0255"/>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D5E"/>
    <w:rsid w:val="00135FA6"/>
    <w:rsid w:val="00136139"/>
    <w:rsid w:val="00136BBF"/>
    <w:rsid w:val="00137101"/>
    <w:rsid w:val="00137B45"/>
    <w:rsid w:val="001400B4"/>
    <w:rsid w:val="001407A0"/>
    <w:rsid w:val="001410F7"/>
    <w:rsid w:val="00141415"/>
    <w:rsid w:val="0014146B"/>
    <w:rsid w:val="001415EE"/>
    <w:rsid w:val="001417AF"/>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3B6"/>
    <w:rsid w:val="001959F1"/>
    <w:rsid w:val="00195AE9"/>
    <w:rsid w:val="00195AF3"/>
    <w:rsid w:val="00195B4D"/>
    <w:rsid w:val="00195D67"/>
    <w:rsid w:val="00195DFF"/>
    <w:rsid w:val="00195F3B"/>
    <w:rsid w:val="0019601A"/>
    <w:rsid w:val="001961C9"/>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17E29"/>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EF8"/>
    <w:rsid w:val="00283FB1"/>
    <w:rsid w:val="00284F68"/>
    <w:rsid w:val="00285111"/>
    <w:rsid w:val="00285468"/>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C95"/>
    <w:rsid w:val="002B3D88"/>
    <w:rsid w:val="002B3DB3"/>
    <w:rsid w:val="002B50B1"/>
    <w:rsid w:val="002B58B8"/>
    <w:rsid w:val="002B5D9D"/>
    <w:rsid w:val="002B5E6D"/>
    <w:rsid w:val="002B676A"/>
    <w:rsid w:val="002B73F8"/>
    <w:rsid w:val="002B75D9"/>
    <w:rsid w:val="002B78EB"/>
    <w:rsid w:val="002B7FEF"/>
    <w:rsid w:val="002C00A5"/>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EE7"/>
    <w:rsid w:val="00345420"/>
    <w:rsid w:val="0034554B"/>
    <w:rsid w:val="00346E38"/>
    <w:rsid w:val="0034709D"/>
    <w:rsid w:val="00347779"/>
    <w:rsid w:val="00347F62"/>
    <w:rsid w:val="00350126"/>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0DD8"/>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11BA"/>
    <w:rsid w:val="003C1512"/>
    <w:rsid w:val="003C15FE"/>
    <w:rsid w:val="003C189B"/>
    <w:rsid w:val="003C1ED0"/>
    <w:rsid w:val="003C20E1"/>
    <w:rsid w:val="003C2135"/>
    <w:rsid w:val="003C291D"/>
    <w:rsid w:val="003C2A71"/>
    <w:rsid w:val="003C3A5C"/>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C32"/>
    <w:rsid w:val="00593E5D"/>
    <w:rsid w:val="0059407B"/>
    <w:rsid w:val="005940C8"/>
    <w:rsid w:val="0059414E"/>
    <w:rsid w:val="00594207"/>
    <w:rsid w:val="0059463F"/>
    <w:rsid w:val="005948FB"/>
    <w:rsid w:val="005951B2"/>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4D4"/>
    <w:rsid w:val="00804020"/>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7F5"/>
    <w:rsid w:val="00845B7B"/>
    <w:rsid w:val="00846F58"/>
    <w:rsid w:val="008476B0"/>
    <w:rsid w:val="00847F6A"/>
    <w:rsid w:val="0085001B"/>
    <w:rsid w:val="008508EE"/>
    <w:rsid w:val="00850C26"/>
    <w:rsid w:val="00850DAB"/>
    <w:rsid w:val="008513E3"/>
    <w:rsid w:val="008519FF"/>
    <w:rsid w:val="0085220C"/>
    <w:rsid w:val="0085251C"/>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900118"/>
    <w:rsid w:val="00900150"/>
    <w:rsid w:val="00900627"/>
    <w:rsid w:val="00900819"/>
    <w:rsid w:val="00900E89"/>
    <w:rsid w:val="00902460"/>
    <w:rsid w:val="00902472"/>
    <w:rsid w:val="00902721"/>
    <w:rsid w:val="00902728"/>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0B"/>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C03"/>
    <w:rsid w:val="00A92070"/>
    <w:rsid w:val="00A921BC"/>
    <w:rsid w:val="00A9246F"/>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3C6"/>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518"/>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F75"/>
    <w:rsid w:val="00C7514F"/>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472"/>
    <w:rsid w:val="00CC6DD6"/>
    <w:rsid w:val="00CC710E"/>
    <w:rsid w:val="00CC7162"/>
    <w:rsid w:val="00CC7EB8"/>
    <w:rsid w:val="00CD0593"/>
    <w:rsid w:val="00CD13FD"/>
    <w:rsid w:val="00CD1CE8"/>
    <w:rsid w:val="00CD1D9E"/>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C55"/>
    <w:rsid w:val="00D66D47"/>
    <w:rsid w:val="00D670F3"/>
    <w:rsid w:val="00D67483"/>
    <w:rsid w:val="00D67C9B"/>
    <w:rsid w:val="00D70257"/>
    <w:rsid w:val="00D702F2"/>
    <w:rsid w:val="00D706C5"/>
    <w:rsid w:val="00D706CE"/>
    <w:rsid w:val="00D70A9C"/>
    <w:rsid w:val="00D70EB8"/>
    <w:rsid w:val="00D71771"/>
    <w:rsid w:val="00D71938"/>
    <w:rsid w:val="00D719B9"/>
    <w:rsid w:val="00D72231"/>
    <w:rsid w:val="00D72987"/>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2706"/>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6F"/>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879"/>
    <w:rsid w:val="00E44A5F"/>
    <w:rsid w:val="00E44AD5"/>
    <w:rsid w:val="00E452D4"/>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6A2"/>
    <w:rsid w:val="00E96ACC"/>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B1D"/>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7E1"/>
    <w:rsid w:val="00F60117"/>
    <w:rsid w:val="00F60D81"/>
    <w:rsid w:val="00F614F3"/>
    <w:rsid w:val="00F619C1"/>
    <w:rsid w:val="00F621F2"/>
    <w:rsid w:val="00F6239F"/>
    <w:rsid w:val="00F62514"/>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CD9"/>
    <w:rsid w:val="00FC1E4A"/>
    <w:rsid w:val="00FC226F"/>
    <w:rsid w:val="00FC245A"/>
    <w:rsid w:val="00FC24AE"/>
    <w:rsid w:val="00FC266A"/>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1440"/>
    <w:rsid w:val="00FD14FB"/>
    <w:rsid w:val="00FD17CE"/>
    <w:rsid w:val="00FD1F4F"/>
    <w:rsid w:val="00FD2540"/>
    <w:rsid w:val="00FD269D"/>
    <w:rsid w:val="00FD2877"/>
    <w:rsid w:val="00FD2B82"/>
    <w:rsid w:val="00FD30B4"/>
    <w:rsid w:val="00FD3AF0"/>
    <w:rsid w:val="00FD3FB9"/>
    <w:rsid w:val="00FD493C"/>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iPriority="35" w:unhideWhenUsed="1" w:qFormat="1"/>
    <w:lsdException w:name="Body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B3C95"/>
    <w:pPr>
      <w:spacing w:line="240" w:lineRule="auto"/>
    </w:pPr>
    <w:rPr>
      <w:rFonts w:ascii="Arial" w:eastAsia="Times New Roman" w:hAnsi="Arial" w:cs="Times New Roman"/>
      <w:sz w:val="22"/>
      <w:szCs w:val="20"/>
      <w:lang w:bidi="ar-SA"/>
    </w:rPr>
  </w:style>
  <w:style w:type="paragraph" w:styleId="Heading1">
    <w:name w:val="heading 1"/>
    <w:basedOn w:val="Normal"/>
    <w:next w:val="Normal"/>
    <w:link w:val="Heading1Char"/>
    <w:rsid w:val="004B05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pPr>
  </w:style>
  <w:style w:type="paragraph" w:customStyle="1" w:styleId="L1Bullet">
    <w:name w:val="L1Bullet"/>
    <w:basedOn w:val="Normal"/>
    <w:link w:val="L1BulletChar"/>
    <w:qFormat/>
    <w:rsid w:val="00930679"/>
    <w:pPr>
      <w:tabs>
        <w:tab w:val="left" w:pos="240"/>
      </w:tabs>
      <w:ind w:left="240" w:hanging="240"/>
      <w:jc w:val="both"/>
    </w:pPr>
  </w:style>
  <w:style w:type="paragraph" w:customStyle="1" w:styleId="L1Contents">
    <w:name w:val="L1Contents"/>
    <w:basedOn w:val="Normal"/>
    <w:qFormat/>
    <w:rsid w:val="00930679"/>
    <w:pPr>
      <w:jc w:val="center"/>
    </w:pPr>
    <w:rPr>
      <w:b/>
      <w:smallCap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pPr>
    <w:rPr>
      <w:b/>
      <w:smallCaps/>
    </w:rPr>
  </w:style>
  <w:style w:type="paragraph" w:customStyle="1" w:styleId="L1Text">
    <w:name w:val="L1Text"/>
    <w:basedOn w:val="Normal"/>
    <w:qFormat/>
    <w:rsid w:val="00930679"/>
    <w:pPr>
      <w:jc w:val="both"/>
    </w:pPr>
  </w:style>
  <w:style w:type="paragraph" w:customStyle="1" w:styleId="L2Heading">
    <w:name w:val="L2Heading"/>
    <w:basedOn w:val="Normal"/>
    <w:link w:val="L2HeadingChar"/>
    <w:qFormat/>
    <w:rsid w:val="00930679"/>
    <w:pPr>
      <w:tabs>
        <w:tab w:val="left" w:pos="760"/>
      </w:tabs>
      <w:ind w:left="760" w:hanging="760"/>
      <w:jc w:val="both"/>
    </w:pPr>
    <w:rPr>
      <w:b/>
      <w:smallCap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pPr>
    <w:rPr>
      <w:smallCap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ind w:left="1000" w:hanging="1000"/>
      <w:jc w:val="both"/>
    </w:pPr>
    <w:rPr>
      <w:b/>
      <w:smallCap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pPr>
    <w:rPr>
      <w:smallCap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ind w:left="860" w:hanging="240"/>
      <w:jc w:val="both"/>
    </w:pPr>
  </w:style>
  <w:style w:type="paragraph" w:customStyle="1" w:styleId="L4Contents">
    <w:name w:val="L4Contents"/>
    <w:basedOn w:val="Normal"/>
    <w:qFormat/>
    <w:rsid w:val="00930679"/>
    <w:pPr>
      <w:tabs>
        <w:tab w:val="decimal" w:pos="360"/>
        <w:tab w:val="left" w:pos="680"/>
        <w:tab w:val="right" w:leader="dot" w:pos="7200"/>
        <w:tab w:val="decimal" w:pos="7960"/>
      </w:tabs>
    </w:pPr>
    <w:rPr>
      <w:smallCap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ind w:left="620" w:hanging="620"/>
      <w:jc w:val="both"/>
    </w:pPr>
  </w:style>
  <w:style w:type="paragraph" w:customStyle="1" w:styleId="L5Bullet">
    <w:name w:val="L5Bullet"/>
    <w:basedOn w:val="Normal"/>
    <w:qFormat/>
    <w:rsid w:val="00930679"/>
    <w:pPr>
      <w:tabs>
        <w:tab w:val="left" w:pos="960"/>
      </w:tabs>
      <w:ind w:left="960" w:hanging="240"/>
      <w:jc w:val="both"/>
    </w:p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ind w:left="720" w:hanging="720"/>
      <w:jc w:val="both"/>
    </w:pPr>
  </w:style>
  <w:style w:type="paragraph" w:customStyle="1" w:styleId="L6Bullet">
    <w:name w:val="L6Bullet"/>
    <w:basedOn w:val="Normal"/>
    <w:qFormat/>
    <w:rsid w:val="00930679"/>
    <w:pPr>
      <w:tabs>
        <w:tab w:val="left" w:pos="1080"/>
      </w:tabs>
      <w:ind w:left="1080" w:hanging="240"/>
      <w:jc w:val="both"/>
    </w:pPr>
  </w:style>
  <w:style w:type="paragraph" w:customStyle="1" w:styleId="L6Dash">
    <w:name w:val="L6Dash"/>
    <w:basedOn w:val="Normal"/>
    <w:qFormat/>
    <w:rsid w:val="00930679"/>
    <w:pPr>
      <w:tabs>
        <w:tab w:val="left" w:pos="1320"/>
      </w:tabs>
      <w:ind w:left="1340" w:hanging="260"/>
      <w:jc w:val="both"/>
    </w:pPr>
  </w:style>
  <w:style w:type="paragraph" w:customStyle="1" w:styleId="L6HeadingText">
    <w:name w:val="L6Heading &amp; Text"/>
    <w:basedOn w:val="Normal"/>
    <w:link w:val="L6HeadingTextChar"/>
    <w:qFormat/>
    <w:rsid w:val="00930679"/>
    <w:pPr>
      <w:tabs>
        <w:tab w:val="decimal" w:pos="600"/>
        <w:tab w:val="left" w:pos="840"/>
      </w:tabs>
      <w:ind w:left="840" w:hanging="840"/>
      <w:jc w:val="both"/>
    </w:pPr>
  </w:style>
  <w:style w:type="paragraph" w:customStyle="1" w:styleId="L7Bullet">
    <w:name w:val="L7Bullet"/>
    <w:basedOn w:val="Normal"/>
    <w:link w:val="L7BulletChar"/>
    <w:qFormat/>
    <w:rsid w:val="00930679"/>
    <w:pPr>
      <w:tabs>
        <w:tab w:val="left" w:pos="1280"/>
      </w:tabs>
      <w:ind w:left="1300" w:hanging="260"/>
      <w:jc w:val="both"/>
    </w:p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ind w:left="1040" w:hanging="1040"/>
      <w:jc w:val="both"/>
    </w:pPr>
  </w:style>
  <w:style w:type="paragraph" w:customStyle="1" w:styleId="L8Bullet">
    <w:name w:val="L8Bullet"/>
    <w:basedOn w:val="Normal"/>
    <w:qFormat/>
    <w:rsid w:val="00930679"/>
    <w:pPr>
      <w:tabs>
        <w:tab w:val="left" w:pos="1400"/>
      </w:tabs>
      <w:ind w:left="1400" w:hanging="240"/>
      <w:jc w:val="both"/>
    </w:p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ind w:left="1160" w:hanging="1160"/>
      <w:jc w:val="both"/>
    </w:pPr>
  </w:style>
  <w:style w:type="paragraph" w:customStyle="1" w:styleId="Reference">
    <w:name w:val="Reference"/>
    <w:basedOn w:val="Normal"/>
    <w:link w:val="ReferenceChar"/>
    <w:qFormat/>
    <w:rsid w:val="00930679"/>
    <w:pPr>
      <w:tabs>
        <w:tab w:val="left" w:pos="560"/>
      </w:tabs>
      <w:ind w:left="560" w:hanging="560"/>
      <w:jc w:val="both"/>
    </w:pPr>
  </w:style>
  <w:style w:type="paragraph" w:styleId="Footer">
    <w:name w:val="footer"/>
    <w:basedOn w:val="Normal"/>
    <w:rsid w:val="00AC76E9"/>
    <w:pPr>
      <w:tabs>
        <w:tab w:val="center" w:pos="4320"/>
        <w:tab w:val="right" w:pos="8640"/>
      </w:tabs>
    </w:pPr>
  </w:style>
  <w:style w:type="paragraph" w:styleId="Header">
    <w:name w:val="header"/>
    <w:basedOn w:val="Normal"/>
    <w:rsid w:val="00AC76E9"/>
    <w:pPr>
      <w:tabs>
        <w:tab w:val="center" w:pos="4320"/>
        <w:tab w:val="right" w:pos="8640"/>
      </w:tabs>
    </w:p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pPr>
    <w:rPr>
      <w:b/>
      <w:bCs/>
      <w:color w:val="4F81BD" w:themeColor="accent1"/>
      <w:sz w:val="18"/>
      <w:szCs w:val="18"/>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style>
  <w:style w:type="character" w:customStyle="1" w:styleId="L2HeadingChar">
    <w:name w:val="L2Heading Char"/>
    <w:basedOn w:val="DefaultParagraphFont"/>
    <w:link w:val="L2Heading"/>
    <w:rsid w:val="00930679"/>
    <w:rPr>
      <w:b/>
      <w:smallCaps/>
    </w:rPr>
  </w:style>
  <w:style w:type="paragraph" w:styleId="BodyText">
    <w:name w:val="Body Text"/>
    <w:basedOn w:val="Normal"/>
    <w:link w:val="BodyTextChar"/>
    <w:uiPriority w:val="99"/>
    <w:rsid w:val="002B3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pPr>
  </w:style>
  <w:style w:type="character" w:customStyle="1" w:styleId="BodyTextChar">
    <w:name w:val="Body Text Char"/>
    <w:basedOn w:val="DefaultParagraphFont"/>
    <w:link w:val="BodyText"/>
    <w:uiPriority w:val="99"/>
    <w:rsid w:val="002B3C95"/>
    <w:rPr>
      <w:rFonts w:ascii="Arial" w:eastAsia="Times New Roman" w:hAnsi="Arial" w:cs="Times New Roman"/>
      <w:sz w:val="22"/>
      <w:szCs w:val="20"/>
      <w:lang w:bidi="ar-SA"/>
    </w:rPr>
  </w:style>
  <w:style w:type="character" w:styleId="Hyperlink">
    <w:name w:val="Hyperlink"/>
    <w:basedOn w:val="DefaultParagraphFont"/>
    <w:rsid w:val="001302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centurylink.com/tariffs/wa_qc_ens_t_no_49.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160226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9907FCCB33B4459DF9EC2A457C9EA1" ma:contentTypeVersion="104" ma:contentTypeDescription="" ma:contentTypeScope="" ma:versionID="e335eefb6eb86473c8842933cda33c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C3ADC-918E-4B89-9E10-8A6C257D93B6}"/>
</file>

<file path=customXml/itemProps2.xml><?xml version="1.0" encoding="utf-8"?>
<ds:datastoreItem xmlns:ds="http://schemas.openxmlformats.org/officeDocument/2006/customXml" ds:itemID="{0322EFDA-768E-4EA9-AE9B-C30634F8DAA5}"/>
</file>

<file path=customXml/itemProps3.xml><?xml version="1.0" encoding="utf-8"?>
<ds:datastoreItem xmlns:ds="http://schemas.openxmlformats.org/officeDocument/2006/customXml" ds:itemID="{431DF5D4-3D28-4227-9BB5-E29607E7BD95}"/>
</file>

<file path=customXml/itemProps4.xml><?xml version="1.0" encoding="utf-8"?>
<ds:datastoreItem xmlns:ds="http://schemas.openxmlformats.org/officeDocument/2006/customXml" ds:itemID="{35F58511-27FF-4F09-B265-FF1AD76D1C2B}"/>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2016-02-11T18:54:00Z</dcterms:created>
  <dcterms:modified xsi:type="dcterms:W3CDTF">2016-02-19T21:56:00Z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0x0101006E56B4D1795A2E4DB2F0B01679ED314A00B59907FCCB33B4459DF9EC2A457C9EA1</vt:lpwstr>
  </property>
  <property fmtid="{D5CDD505-2E9C-101B-9397-08002B2CF9AE}" pid="3" name="_docset_NoMedatataSyncRequired">
    <vt:lpwstr>False</vt:lpwstr>
  </property>
</Properties>
</file>