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Default="00EE3F03" w:rsidP="007B5571">
      <w:pPr>
        <w:ind w:left="-810" w:right="-540"/>
      </w:pPr>
      <w:r w:rsidRPr="00EE3F03">
        <w:rPr>
          <w:noProof/>
        </w:rPr>
        <w:drawing>
          <wp:inline distT="0" distB="0" distL="0" distR="0">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rsidR="00D2493D" w:rsidRDefault="00D2493D"/>
    <w:p w:rsidR="00D2493D" w:rsidRDefault="00D2493D"/>
    <w:p w:rsidR="00D2493D" w:rsidRDefault="00D2493D"/>
    <w:p w:rsidR="00D2493D" w:rsidRDefault="00D2493D"/>
    <w:tbl>
      <w:tblPr>
        <w:tblW w:w="0" w:type="auto"/>
        <w:tblBorders>
          <w:insideH w:val="single" w:sz="4" w:space="0" w:color="auto"/>
        </w:tblBorders>
        <w:tblLayout w:type="fixed"/>
        <w:tblLook w:val="000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p>
    <w:p w:rsidR="004C3C45" w:rsidRPr="00D23FE7" w:rsidRDefault="00CD60DE">
      <w:pPr>
        <w:jc w:val="both"/>
        <w:rPr>
          <w:b/>
          <w:i/>
          <w:sz w:val="24"/>
        </w:rPr>
      </w:pPr>
      <w:r w:rsidRPr="00D23FE7">
        <w:rPr>
          <w:b/>
          <w:i/>
          <w:sz w:val="24"/>
        </w:rPr>
        <w:t xml:space="preserve">VIA – </w:t>
      </w:r>
      <w:r w:rsidR="003F1C8C">
        <w:rPr>
          <w:b/>
          <w:i/>
          <w:sz w:val="24"/>
        </w:rPr>
        <w:t>Commission Web-Portal</w:t>
      </w:r>
    </w:p>
    <w:p w:rsidR="00CD60DE" w:rsidRDefault="00CD60DE">
      <w:pPr>
        <w:jc w:val="both"/>
        <w:rPr>
          <w:sz w:val="24"/>
        </w:rPr>
      </w:pPr>
    </w:p>
    <w:p w:rsidR="00CD60DE" w:rsidRDefault="00CD60DE">
      <w:pPr>
        <w:jc w:val="both"/>
        <w:rPr>
          <w:sz w:val="24"/>
        </w:rPr>
      </w:pPr>
    </w:p>
    <w:p w:rsidR="00040621" w:rsidRDefault="000C375C">
      <w:pPr>
        <w:jc w:val="both"/>
        <w:rPr>
          <w:sz w:val="24"/>
        </w:rPr>
      </w:pPr>
      <w:r>
        <w:rPr>
          <w:sz w:val="24"/>
        </w:rPr>
        <w:t>October 2</w:t>
      </w:r>
      <w:r w:rsidR="003F1C8C">
        <w:rPr>
          <w:sz w:val="24"/>
        </w:rPr>
        <w:t>, 2015</w:t>
      </w:r>
    </w:p>
    <w:p w:rsidR="00040621" w:rsidRDefault="00040621">
      <w:pPr>
        <w:jc w:val="both"/>
        <w:rPr>
          <w:sz w:val="24"/>
        </w:rPr>
      </w:pPr>
    </w:p>
    <w:p w:rsidR="005C2F04" w:rsidRDefault="005C2F04">
      <w:pPr>
        <w:pStyle w:val="BodyTextIndent"/>
        <w:widowControl w:val="0"/>
        <w:tabs>
          <w:tab w:val="clear" w:pos="1440"/>
        </w:tabs>
        <w:ind w:firstLine="0"/>
        <w:jc w:val="left"/>
        <w:outlineLvl w:val="0"/>
      </w:pPr>
    </w:p>
    <w:p w:rsidR="008F221D" w:rsidRPr="00C4686F" w:rsidRDefault="008F221D" w:rsidP="008F221D">
      <w:pPr>
        <w:ind w:right="-270"/>
        <w:jc w:val="both"/>
        <w:rPr>
          <w:sz w:val="24"/>
          <w:szCs w:val="24"/>
        </w:rPr>
      </w:pPr>
      <w:r>
        <w:rPr>
          <w:sz w:val="24"/>
          <w:szCs w:val="24"/>
        </w:rPr>
        <w:t>Steven V. King</w:t>
      </w:r>
    </w:p>
    <w:p w:rsidR="008F221D" w:rsidRPr="00C4686F" w:rsidRDefault="008F221D" w:rsidP="008F221D">
      <w:pPr>
        <w:ind w:right="-270"/>
        <w:jc w:val="both"/>
        <w:rPr>
          <w:sz w:val="24"/>
          <w:szCs w:val="24"/>
        </w:rPr>
      </w:pPr>
      <w:r w:rsidRPr="00C4686F">
        <w:rPr>
          <w:sz w:val="24"/>
          <w:szCs w:val="24"/>
        </w:rPr>
        <w:t>Executive Director and Secretary</w:t>
      </w:r>
    </w:p>
    <w:p w:rsidR="008F221D" w:rsidRPr="00C4686F" w:rsidRDefault="008F221D" w:rsidP="008F221D">
      <w:pPr>
        <w:ind w:right="-270"/>
        <w:jc w:val="both"/>
        <w:rPr>
          <w:sz w:val="24"/>
          <w:szCs w:val="24"/>
        </w:rPr>
      </w:pPr>
      <w:r w:rsidRPr="00C4686F">
        <w:rPr>
          <w:sz w:val="24"/>
          <w:szCs w:val="24"/>
        </w:rPr>
        <w:t>Washington Utilities &amp; Transportation Commission</w:t>
      </w:r>
    </w:p>
    <w:p w:rsidR="008F221D" w:rsidRPr="00C4686F" w:rsidRDefault="008F221D" w:rsidP="008F221D">
      <w:pPr>
        <w:ind w:right="-270"/>
        <w:jc w:val="both"/>
        <w:rPr>
          <w:sz w:val="24"/>
          <w:szCs w:val="24"/>
        </w:rPr>
      </w:pPr>
      <w:r w:rsidRPr="00C4686F">
        <w:rPr>
          <w:sz w:val="24"/>
          <w:szCs w:val="24"/>
        </w:rPr>
        <w:t>1300 S. Evergreen Park Drive S. W.</w:t>
      </w:r>
    </w:p>
    <w:p w:rsidR="008F221D" w:rsidRPr="00C4686F" w:rsidRDefault="008F221D" w:rsidP="008F221D">
      <w:pPr>
        <w:ind w:right="-270"/>
        <w:jc w:val="both"/>
        <w:rPr>
          <w:sz w:val="24"/>
          <w:szCs w:val="24"/>
        </w:rPr>
      </w:pPr>
      <w:r w:rsidRPr="00C4686F">
        <w:rPr>
          <w:sz w:val="24"/>
          <w:szCs w:val="24"/>
        </w:rPr>
        <w:t>P.O. Box 47250</w:t>
      </w:r>
    </w:p>
    <w:p w:rsidR="008F221D" w:rsidRPr="004E6D17" w:rsidRDefault="008F221D" w:rsidP="008F221D">
      <w:pPr>
        <w:ind w:right="-270"/>
        <w:jc w:val="both"/>
        <w:rPr>
          <w:sz w:val="24"/>
          <w:szCs w:val="24"/>
        </w:rPr>
      </w:pPr>
      <w:r w:rsidRPr="004E6D17">
        <w:rPr>
          <w:sz w:val="24"/>
          <w:szCs w:val="24"/>
        </w:rPr>
        <w:t>Olympia, Washington  98504-7250</w:t>
      </w:r>
    </w:p>
    <w:p w:rsidR="00EE3F03" w:rsidRDefault="00EE3F03">
      <w:pPr>
        <w:jc w:val="both"/>
        <w:rPr>
          <w:sz w:val="24"/>
        </w:rPr>
      </w:pPr>
    </w:p>
    <w:p w:rsidR="00EE3F03" w:rsidRDefault="00EE3F03">
      <w:pPr>
        <w:jc w:val="both"/>
        <w:rPr>
          <w:sz w:val="24"/>
        </w:rPr>
      </w:pPr>
    </w:p>
    <w:p w:rsidR="00040621" w:rsidRDefault="00134550">
      <w:pPr>
        <w:jc w:val="both"/>
        <w:rPr>
          <w:sz w:val="24"/>
        </w:rPr>
      </w:pPr>
      <w:r>
        <w:rPr>
          <w:sz w:val="24"/>
        </w:rPr>
        <w:t>Dear Mr</w:t>
      </w:r>
      <w:r w:rsidR="00040621">
        <w:rPr>
          <w:sz w:val="24"/>
        </w:rPr>
        <w:t xml:space="preserve">. </w:t>
      </w:r>
      <w:r w:rsidR="008F221D">
        <w:rPr>
          <w:sz w:val="24"/>
        </w:rPr>
        <w:t>King</w:t>
      </w:r>
      <w:r w:rsidR="00040621">
        <w:rPr>
          <w:sz w:val="24"/>
        </w:rPr>
        <w:t>:</w:t>
      </w:r>
    </w:p>
    <w:p w:rsidR="00040621" w:rsidRDefault="00040621">
      <w:pPr>
        <w:jc w:val="both"/>
        <w:rPr>
          <w:sz w:val="24"/>
        </w:rPr>
      </w:pPr>
    </w:p>
    <w:p w:rsidR="00040621" w:rsidRDefault="00040621" w:rsidP="004F1F1E">
      <w:pPr>
        <w:pStyle w:val="BodyText2"/>
        <w:spacing w:line="360" w:lineRule="auto"/>
        <w:ind w:firstLine="720"/>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w:t>
      </w:r>
      <w:r w:rsidR="00BC490D">
        <w:rPr>
          <w:szCs w:val="24"/>
        </w:rPr>
        <w:t>”</w:t>
      </w:r>
      <w:r w:rsidR="00D23FE7" w:rsidRPr="009653A2">
        <w:rPr>
          <w:szCs w:val="24"/>
        </w:rPr>
        <w:t xml:space="preserve"> or </w:t>
      </w:r>
      <w:r w:rsidR="00BC490D">
        <w:rPr>
          <w:szCs w:val="24"/>
        </w:rPr>
        <w:t>“</w:t>
      </w:r>
      <w:r w:rsidR="00D23FE7" w:rsidRPr="009653A2">
        <w:rPr>
          <w:szCs w:val="24"/>
        </w:rPr>
        <w:t>the Company”)</w:t>
      </w:r>
      <w:r>
        <w:t xml:space="preserve"> </w:t>
      </w:r>
      <w:r w:rsidR="00EE6695">
        <w:t>filing</w:t>
      </w:r>
      <w:r w:rsidR="003A3A22">
        <w:t xml:space="preserve"> of its </w:t>
      </w:r>
      <w:r>
        <w:t xml:space="preserve">proposed </w:t>
      </w:r>
      <w:r w:rsidR="000D57B2">
        <w:t xml:space="preserve">substitute </w:t>
      </w:r>
      <w:r>
        <w:t xml:space="preserve">revisions to the </w:t>
      </w:r>
      <w:r w:rsidR="007E00A2">
        <w:t>following tariff sheet</w:t>
      </w:r>
      <w:r w:rsidR="0061578F">
        <w:t>,</w:t>
      </w:r>
      <w:r w:rsidR="00E51832">
        <w:t xml:space="preserve"> </w:t>
      </w:r>
      <w:r w:rsidR="00E05B6D">
        <w:t>WN U-29</w:t>
      </w:r>
      <w:r>
        <w:t>:</w:t>
      </w:r>
    </w:p>
    <w:p w:rsidR="009D79A8" w:rsidRDefault="009D79A8" w:rsidP="00E51832">
      <w:pPr>
        <w:tabs>
          <w:tab w:val="left" w:pos="5760"/>
        </w:tabs>
        <w:ind w:left="720"/>
        <w:rPr>
          <w:sz w:val="24"/>
        </w:rPr>
      </w:pPr>
    </w:p>
    <w:p w:rsidR="000D57B2" w:rsidRDefault="00E05B6D" w:rsidP="00063C7A">
      <w:pPr>
        <w:tabs>
          <w:tab w:val="left" w:pos="4320"/>
        </w:tabs>
        <w:ind w:left="720"/>
        <w:rPr>
          <w:b/>
          <w:sz w:val="24"/>
        </w:rPr>
      </w:pPr>
      <w:r>
        <w:rPr>
          <w:b/>
          <w:sz w:val="24"/>
        </w:rPr>
        <w:t>Nineteenth</w:t>
      </w:r>
      <w:r w:rsidR="008F221D">
        <w:rPr>
          <w:b/>
          <w:sz w:val="24"/>
        </w:rPr>
        <w:t xml:space="preserve"> </w:t>
      </w:r>
      <w:r w:rsidR="00063C7A" w:rsidRPr="00FF0EC6">
        <w:rPr>
          <w:b/>
          <w:sz w:val="24"/>
        </w:rPr>
        <w:t xml:space="preserve">Revision Sheet </w:t>
      </w:r>
      <w:r>
        <w:rPr>
          <w:b/>
          <w:sz w:val="24"/>
        </w:rPr>
        <w:t>1</w:t>
      </w:r>
      <w:r w:rsidR="00063C7A" w:rsidRPr="00FF0EC6">
        <w:rPr>
          <w:b/>
          <w:sz w:val="24"/>
        </w:rPr>
        <w:t>91</w:t>
      </w:r>
      <w:r w:rsidR="00063C7A" w:rsidRPr="00FF0EC6">
        <w:rPr>
          <w:b/>
          <w:sz w:val="24"/>
        </w:rPr>
        <w:tab/>
      </w:r>
      <w:r w:rsidR="00063C7A" w:rsidRPr="00FF0EC6">
        <w:rPr>
          <w:sz w:val="24"/>
        </w:rPr>
        <w:t>Canceling</w:t>
      </w:r>
      <w:r w:rsidR="00063C7A" w:rsidRPr="00FF0EC6">
        <w:rPr>
          <w:b/>
          <w:sz w:val="24"/>
        </w:rPr>
        <w:tab/>
      </w:r>
      <w:r>
        <w:rPr>
          <w:b/>
          <w:sz w:val="24"/>
        </w:rPr>
        <w:t>Sub. Eighteenth</w:t>
      </w:r>
      <w:r w:rsidR="00063C7A" w:rsidRPr="00FF0EC6">
        <w:rPr>
          <w:b/>
          <w:sz w:val="24"/>
        </w:rPr>
        <w:t xml:space="preserve"> Revision Sheet </w:t>
      </w:r>
      <w:r>
        <w:rPr>
          <w:b/>
          <w:sz w:val="24"/>
        </w:rPr>
        <w:t>1</w:t>
      </w:r>
      <w:r w:rsidR="00063C7A" w:rsidRPr="00FF0EC6">
        <w:rPr>
          <w:b/>
          <w:sz w:val="24"/>
        </w:rPr>
        <w:t>91</w:t>
      </w:r>
    </w:p>
    <w:p w:rsidR="003A3A22" w:rsidRDefault="003A3A22" w:rsidP="002C67B6">
      <w:pPr>
        <w:jc w:val="both"/>
        <w:rPr>
          <w:sz w:val="24"/>
          <w:szCs w:val="24"/>
        </w:rPr>
      </w:pPr>
      <w:bookmarkStart w:id="0" w:name="OLE_LINK2"/>
      <w:bookmarkStart w:id="1" w:name="OLE_LINK3"/>
    </w:p>
    <w:bookmarkEnd w:id="0"/>
    <w:bookmarkEnd w:id="1"/>
    <w:p w:rsidR="00A557F7" w:rsidRDefault="00A557F7" w:rsidP="00E958B8">
      <w:pPr>
        <w:pStyle w:val="BodyText2"/>
        <w:spacing w:line="360" w:lineRule="auto"/>
        <w:ind w:firstLine="720"/>
        <w:rPr>
          <w:szCs w:val="24"/>
        </w:rPr>
      </w:pPr>
      <w:r>
        <w:rPr>
          <w:szCs w:val="24"/>
        </w:rPr>
        <w:t>T</w:t>
      </w:r>
      <w:r w:rsidRPr="00BF6B7E">
        <w:rPr>
          <w:szCs w:val="24"/>
        </w:rPr>
        <w:t>he Company’s tariff rider mechanism is designed to match future revenue with budgeted expenditures. To ensure appropriate recovery, the mechanism includes a true-up feature that reconciles the previous periods’ actual expenditures and collections.</w:t>
      </w:r>
    </w:p>
    <w:p w:rsidR="00A557F7" w:rsidRDefault="00A557F7" w:rsidP="00E958B8">
      <w:pPr>
        <w:pStyle w:val="BodyText2"/>
        <w:spacing w:line="360" w:lineRule="auto"/>
        <w:ind w:firstLine="720"/>
        <w:rPr>
          <w:szCs w:val="24"/>
        </w:rPr>
      </w:pPr>
      <w:r>
        <w:rPr>
          <w:szCs w:val="24"/>
        </w:rPr>
        <w:t xml:space="preserve">By way of background, </w:t>
      </w:r>
      <w:r w:rsidR="000C375C">
        <w:rPr>
          <w:szCs w:val="24"/>
        </w:rPr>
        <w:t>as of August 31</w:t>
      </w:r>
      <w:r>
        <w:rPr>
          <w:szCs w:val="24"/>
        </w:rPr>
        <w:t>, 2015</w:t>
      </w:r>
      <w:r w:rsidRPr="00BF6B7E">
        <w:rPr>
          <w:szCs w:val="24"/>
        </w:rPr>
        <w:t xml:space="preserve">, the Schedule </w:t>
      </w:r>
      <w:r>
        <w:rPr>
          <w:szCs w:val="24"/>
        </w:rPr>
        <w:t>191 (natural gas</w:t>
      </w:r>
      <w:r w:rsidRPr="00BF6B7E">
        <w:rPr>
          <w:szCs w:val="24"/>
        </w:rPr>
        <w:t xml:space="preserve">) </w:t>
      </w:r>
      <w:r>
        <w:rPr>
          <w:szCs w:val="24"/>
        </w:rPr>
        <w:t>tariff rider balance was</w:t>
      </w:r>
      <w:r w:rsidRPr="00BF6B7E">
        <w:rPr>
          <w:szCs w:val="24"/>
        </w:rPr>
        <w:t xml:space="preserve"> </w:t>
      </w:r>
      <w:r>
        <w:rPr>
          <w:szCs w:val="24"/>
        </w:rPr>
        <w:t>approximately</w:t>
      </w:r>
      <w:r w:rsidRPr="00BF6B7E">
        <w:rPr>
          <w:szCs w:val="24"/>
        </w:rPr>
        <w:t xml:space="preserve"> $</w:t>
      </w:r>
      <w:r w:rsidR="000C375C">
        <w:rPr>
          <w:szCs w:val="24"/>
        </w:rPr>
        <w:t>1.5</w:t>
      </w:r>
      <w:r w:rsidRPr="00BF6B7E">
        <w:rPr>
          <w:szCs w:val="24"/>
        </w:rPr>
        <w:t xml:space="preserve"> million </w:t>
      </w:r>
      <w:r>
        <w:rPr>
          <w:szCs w:val="24"/>
        </w:rPr>
        <w:t>underfunded.  The underfunded balance</w:t>
      </w:r>
      <w:r w:rsidRPr="00BF6B7E">
        <w:rPr>
          <w:szCs w:val="24"/>
        </w:rPr>
        <w:t xml:space="preserve"> indicate</w:t>
      </w:r>
      <w:r>
        <w:rPr>
          <w:szCs w:val="24"/>
        </w:rPr>
        <w:t>d</w:t>
      </w:r>
      <w:r w:rsidRPr="00BF6B7E">
        <w:rPr>
          <w:szCs w:val="24"/>
        </w:rPr>
        <w:t xml:space="preserve"> that more tariff rider funding </w:t>
      </w:r>
      <w:r>
        <w:rPr>
          <w:szCs w:val="24"/>
        </w:rPr>
        <w:t>was</w:t>
      </w:r>
      <w:r w:rsidRPr="00BF6B7E">
        <w:rPr>
          <w:szCs w:val="24"/>
        </w:rPr>
        <w:t xml:space="preserve"> </w:t>
      </w:r>
      <w:r>
        <w:rPr>
          <w:szCs w:val="24"/>
        </w:rPr>
        <w:t>needed to fund both the ong</w:t>
      </w:r>
      <w:r w:rsidRPr="00BF6B7E">
        <w:rPr>
          <w:szCs w:val="24"/>
        </w:rPr>
        <w:t>oing D</w:t>
      </w:r>
      <w:r>
        <w:rPr>
          <w:szCs w:val="24"/>
        </w:rPr>
        <w:t xml:space="preserve">emand </w:t>
      </w:r>
      <w:r w:rsidRPr="00BF6B7E">
        <w:rPr>
          <w:szCs w:val="24"/>
        </w:rPr>
        <w:t>S</w:t>
      </w:r>
      <w:r>
        <w:rPr>
          <w:szCs w:val="24"/>
        </w:rPr>
        <w:t>ide Management (DSM)</w:t>
      </w:r>
      <w:r w:rsidRPr="00BF6B7E">
        <w:rPr>
          <w:szCs w:val="24"/>
        </w:rPr>
        <w:t xml:space="preserve"> operations</w:t>
      </w:r>
      <w:r>
        <w:rPr>
          <w:szCs w:val="24"/>
        </w:rPr>
        <w:t xml:space="preserve"> as well as to recover previous expenditures</w:t>
      </w:r>
      <w:r w:rsidRPr="00BF6B7E">
        <w:rPr>
          <w:szCs w:val="24"/>
        </w:rPr>
        <w:t>.</w:t>
      </w:r>
      <w:r w:rsidR="00D962FC">
        <w:rPr>
          <w:szCs w:val="24"/>
        </w:rPr>
        <w:t xml:space="preserve">  The Company'</w:t>
      </w:r>
      <w:r w:rsidR="00747C1D">
        <w:rPr>
          <w:szCs w:val="24"/>
        </w:rPr>
        <w:t xml:space="preserve">s proposal forecasts the </w:t>
      </w:r>
      <w:r w:rsidR="00D962FC">
        <w:rPr>
          <w:szCs w:val="24"/>
        </w:rPr>
        <w:t>tariff rider balance to be zero at the end of July 2017.</w:t>
      </w:r>
    </w:p>
    <w:p w:rsidR="005C2F04" w:rsidRDefault="00E05B6D" w:rsidP="00E958B8">
      <w:pPr>
        <w:pStyle w:val="BodyText2"/>
        <w:spacing w:line="360" w:lineRule="auto"/>
        <w:ind w:firstLine="720"/>
      </w:pPr>
      <w:r>
        <w:lastRenderedPageBreak/>
        <w:t xml:space="preserve">The Company’s 2014 Natural Gas Integrated Resource Plan (IRP) established an estimate of natural gas efficiency acquisition that was cost-effective relative to the Utility Cost Test (UCT) metric applied to the natural gas portfolio.  The acquisition achievable by use of this metric is greater than that which would have been arrived at by use of the </w:t>
      </w:r>
      <w:r w:rsidR="00A557F7">
        <w:t>Total Resource Cost (</w:t>
      </w:r>
      <w:r>
        <w:t>TRC</w:t>
      </w:r>
      <w:r w:rsidR="00A557F7">
        <w:t>)</w:t>
      </w:r>
      <w:r>
        <w:t xml:space="preserve"> metric.  The 2016 estimated achievable and UCT cost-effective acquisition was estimated at 932,000 first-year therms.  This is higher than the 2015 acquisition anticipated based upon the business planning process (567,653 therms).</w:t>
      </w:r>
      <w:r w:rsidR="00A557F7">
        <w:t xml:space="preserve"> </w:t>
      </w:r>
    </w:p>
    <w:p w:rsidR="000C375C" w:rsidRDefault="000C375C" w:rsidP="00E958B8">
      <w:pPr>
        <w:pStyle w:val="BodyText2"/>
        <w:spacing w:line="360" w:lineRule="auto"/>
        <w:ind w:firstLine="720"/>
        <w:rPr>
          <w:szCs w:val="24"/>
        </w:rPr>
      </w:pPr>
      <w:r>
        <w:rPr>
          <w:szCs w:val="24"/>
        </w:rPr>
        <w:t xml:space="preserve">In conclusion, Avista </w:t>
      </w:r>
      <w:r>
        <w:rPr>
          <w:rStyle w:val="LineNumber"/>
        </w:rPr>
        <w:t>requests the Commission approve the proposed increase i</w:t>
      </w:r>
      <w:r w:rsidR="00D962FC">
        <w:rPr>
          <w:rStyle w:val="LineNumber"/>
        </w:rPr>
        <w:t>n rates and charges in Schedule</w:t>
      </w:r>
      <w:r>
        <w:rPr>
          <w:rStyle w:val="LineNumber"/>
        </w:rPr>
        <w:t xml:space="preserve"> 191</w:t>
      </w:r>
      <w:r>
        <w:rPr>
          <w:szCs w:val="24"/>
        </w:rPr>
        <w:t xml:space="preserve">. The estimated annual revenue change associated with this filing is </w:t>
      </w:r>
      <w:r w:rsidR="00642A99">
        <w:rPr>
          <w:szCs w:val="24"/>
        </w:rPr>
        <w:t>a</w:t>
      </w:r>
      <w:r w:rsidR="00D962FC">
        <w:rPr>
          <w:szCs w:val="24"/>
        </w:rPr>
        <w:t>n</w:t>
      </w:r>
      <w:r w:rsidR="00642A99">
        <w:rPr>
          <w:szCs w:val="24"/>
        </w:rPr>
        <w:t xml:space="preserve"> increase of $678,198</w:t>
      </w:r>
      <w:r>
        <w:rPr>
          <w:szCs w:val="24"/>
        </w:rPr>
        <w:t xml:space="preserve"> for natural gas Schedule 191, or a</w:t>
      </w:r>
      <w:r w:rsidR="00D962FC">
        <w:rPr>
          <w:szCs w:val="24"/>
        </w:rPr>
        <w:t>n</w:t>
      </w:r>
      <w:r>
        <w:rPr>
          <w:szCs w:val="24"/>
        </w:rPr>
        <w:t xml:space="preserve"> increase of </w:t>
      </w:r>
      <w:r w:rsidRPr="00A840FB">
        <w:rPr>
          <w:szCs w:val="24"/>
        </w:rPr>
        <w:t>0</w:t>
      </w:r>
      <w:r>
        <w:rPr>
          <w:color w:val="1F497D"/>
          <w:szCs w:val="24"/>
        </w:rPr>
        <w:t>.</w:t>
      </w:r>
      <w:r w:rsidRPr="00D962FC">
        <w:rPr>
          <w:szCs w:val="24"/>
        </w:rPr>
        <w:t>39</w:t>
      </w:r>
      <w:r>
        <w:rPr>
          <w:szCs w:val="24"/>
        </w:rPr>
        <w:t>% in overall billed rates</w:t>
      </w:r>
      <w:r w:rsidR="00810451">
        <w:rPr>
          <w:szCs w:val="24"/>
        </w:rPr>
        <w:t xml:space="preserve"> to be effective November 1, 2015</w:t>
      </w:r>
      <w:r>
        <w:rPr>
          <w:szCs w:val="24"/>
        </w:rPr>
        <w:t xml:space="preserve">. The proposed rate </w:t>
      </w:r>
      <w:r w:rsidR="00642A99">
        <w:rPr>
          <w:szCs w:val="24"/>
        </w:rPr>
        <w:t>increase</w:t>
      </w:r>
      <w:r>
        <w:rPr>
          <w:szCs w:val="24"/>
        </w:rPr>
        <w:t xml:space="preserve"> will have an average monthly bill impact </w:t>
      </w:r>
      <w:r w:rsidR="00D962FC">
        <w:rPr>
          <w:szCs w:val="24"/>
        </w:rPr>
        <w:t xml:space="preserve">of $0.30 </w:t>
      </w:r>
      <w:r>
        <w:rPr>
          <w:szCs w:val="24"/>
        </w:rPr>
        <w:t xml:space="preserve">to residential </w:t>
      </w:r>
      <w:r w:rsidR="00D962FC">
        <w:rPr>
          <w:szCs w:val="24"/>
        </w:rPr>
        <w:t>natural gas customers using 68 therms</w:t>
      </w:r>
      <w:r>
        <w:rPr>
          <w:szCs w:val="24"/>
        </w:rPr>
        <w:t xml:space="preserve">. </w:t>
      </w:r>
    </w:p>
    <w:p w:rsidR="000C375C" w:rsidRDefault="000C375C" w:rsidP="00E958B8">
      <w:pPr>
        <w:pStyle w:val="BodyText2"/>
        <w:spacing w:line="360" w:lineRule="auto"/>
        <w:ind w:firstLine="720"/>
      </w:pPr>
      <w:r>
        <w:rPr>
          <w:szCs w:val="24"/>
        </w:rPr>
        <w:t>The Company will review the balance and discuss with its Advisory Group prior to filing a true-up on June 1, 2016.</w:t>
      </w:r>
    </w:p>
    <w:p w:rsidR="007C4DFB" w:rsidRDefault="00E05B6D" w:rsidP="001F178D">
      <w:pPr>
        <w:suppressAutoHyphens/>
        <w:spacing w:line="360" w:lineRule="auto"/>
        <w:ind w:firstLine="720"/>
        <w:jc w:val="both"/>
        <w:rPr>
          <w:sz w:val="24"/>
          <w:szCs w:val="24"/>
        </w:rPr>
      </w:pPr>
      <w:r>
        <w:rPr>
          <w:sz w:val="24"/>
          <w:szCs w:val="24"/>
        </w:rPr>
        <w:t>Pursuant to WAC 480-90</w:t>
      </w:r>
      <w:r w:rsidR="00E25458" w:rsidRPr="00C87E5A">
        <w:rPr>
          <w:sz w:val="24"/>
          <w:szCs w:val="24"/>
        </w:rPr>
        <w:t xml:space="preserve">-195(2), enclosed is a “Notice of Tariff Change” which will be posted </w:t>
      </w:r>
      <w:r w:rsidR="00565FBA">
        <w:rPr>
          <w:sz w:val="24"/>
          <w:szCs w:val="24"/>
        </w:rPr>
        <w:t xml:space="preserve">on the </w:t>
      </w:r>
      <w:r w:rsidR="00E25458" w:rsidRPr="00C87E5A">
        <w:rPr>
          <w:sz w:val="24"/>
          <w:szCs w:val="24"/>
        </w:rPr>
        <w:t>Company</w:t>
      </w:r>
      <w:r w:rsidR="00565FBA">
        <w:rPr>
          <w:sz w:val="24"/>
          <w:szCs w:val="24"/>
        </w:rPr>
        <w:t>’s</w:t>
      </w:r>
      <w:r w:rsidR="00E25458" w:rsidRPr="00C87E5A">
        <w:rPr>
          <w:sz w:val="24"/>
          <w:szCs w:val="24"/>
        </w:rPr>
        <w:t xml:space="preserve"> </w:t>
      </w:r>
      <w:r w:rsidR="00565FBA">
        <w:rPr>
          <w:sz w:val="24"/>
          <w:szCs w:val="24"/>
        </w:rPr>
        <w:t>website</w:t>
      </w:r>
      <w:r w:rsidR="00E25458" w:rsidRPr="00C87E5A">
        <w:rPr>
          <w:sz w:val="24"/>
          <w:szCs w:val="24"/>
        </w:rPr>
        <w:t xml:space="preserve"> coincident with the date of this </w:t>
      </w:r>
      <w:r w:rsidR="00B50F66">
        <w:rPr>
          <w:sz w:val="24"/>
          <w:szCs w:val="24"/>
        </w:rPr>
        <w:t>filing</w:t>
      </w:r>
      <w:r w:rsidR="00E25458" w:rsidRPr="00C87E5A">
        <w:rPr>
          <w:sz w:val="24"/>
          <w:szCs w:val="24"/>
        </w:rPr>
        <w:t xml:space="preserve">. Also </w:t>
      </w:r>
      <w:r w:rsidR="00D54F74">
        <w:rPr>
          <w:sz w:val="24"/>
          <w:szCs w:val="24"/>
        </w:rPr>
        <w:t>attached</w:t>
      </w:r>
      <w:r w:rsidR="007C4DFB">
        <w:rPr>
          <w:sz w:val="24"/>
          <w:szCs w:val="24"/>
        </w:rPr>
        <w:t xml:space="preserve"> </w:t>
      </w:r>
      <w:r w:rsidR="00742560">
        <w:rPr>
          <w:sz w:val="24"/>
          <w:szCs w:val="24"/>
        </w:rPr>
        <w:t xml:space="preserve">are </w:t>
      </w:r>
      <w:r w:rsidR="00576711">
        <w:rPr>
          <w:sz w:val="24"/>
          <w:szCs w:val="24"/>
        </w:rPr>
        <w:t>the Company’s</w:t>
      </w:r>
      <w:r w:rsidR="001F178D">
        <w:rPr>
          <w:sz w:val="24"/>
          <w:szCs w:val="24"/>
        </w:rPr>
        <w:t xml:space="preserve"> </w:t>
      </w:r>
      <w:r w:rsidR="007C4DFB">
        <w:rPr>
          <w:sz w:val="24"/>
          <w:szCs w:val="24"/>
        </w:rPr>
        <w:t>workpaper</w:t>
      </w:r>
      <w:r w:rsidR="00B14584">
        <w:rPr>
          <w:sz w:val="24"/>
          <w:szCs w:val="24"/>
        </w:rPr>
        <w:t>s</w:t>
      </w:r>
      <w:r w:rsidR="00E25458" w:rsidRPr="00C87E5A">
        <w:rPr>
          <w:sz w:val="24"/>
          <w:szCs w:val="24"/>
        </w:rPr>
        <w:t xml:space="preserve"> supporting this filing.</w:t>
      </w:r>
      <w:r w:rsidR="00C87E5A" w:rsidRPr="00C87E5A">
        <w:rPr>
          <w:sz w:val="24"/>
          <w:szCs w:val="24"/>
        </w:rPr>
        <w:t xml:space="preserve">  </w:t>
      </w:r>
    </w:p>
    <w:p w:rsidR="00040621" w:rsidRPr="002E4C90" w:rsidRDefault="00040621" w:rsidP="00565FBA">
      <w:pPr>
        <w:spacing w:line="360" w:lineRule="auto"/>
        <w:ind w:firstLine="720"/>
        <w:jc w:val="both"/>
        <w:rPr>
          <w:sz w:val="24"/>
          <w:szCs w:val="24"/>
        </w:rPr>
      </w:pPr>
      <w:r w:rsidRPr="002E4C90">
        <w:rPr>
          <w:sz w:val="24"/>
          <w:szCs w:val="24"/>
        </w:rPr>
        <w:t xml:space="preserve">Please direct any questions on this matter to </w:t>
      </w:r>
      <w:r w:rsidR="007A3F9B">
        <w:rPr>
          <w:sz w:val="24"/>
          <w:szCs w:val="24"/>
        </w:rPr>
        <w:t>Dan Johnson</w:t>
      </w:r>
      <w:r w:rsidR="00884A50">
        <w:rPr>
          <w:sz w:val="24"/>
          <w:szCs w:val="24"/>
        </w:rPr>
        <w:t xml:space="preserve">, </w:t>
      </w:r>
      <w:r w:rsidR="00565FBA">
        <w:rPr>
          <w:sz w:val="24"/>
          <w:szCs w:val="24"/>
        </w:rPr>
        <w:t>Director</w:t>
      </w:r>
      <w:r w:rsidR="00884A50">
        <w:rPr>
          <w:sz w:val="24"/>
          <w:szCs w:val="24"/>
        </w:rPr>
        <w:t xml:space="preserve">, </w:t>
      </w:r>
      <w:r w:rsidR="003846FB">
        <w:rPr>
          <w:sz w:val="24"/>
          <w:szCs w:val="24"/>
        </w:rPr>
        <w:t>Energy Efficiency</w:t>
      </w:r>
      <w:r w:rsidRPr="002E4C90">
        <w:rPr>
          <w:sz w:val="24"/>
          <w:szCs w:val="24"/>
        </w:rPr>
        <w:t xml:space="preserve"> at (509) 495-</w:t>
      </w:r>
      <w:r w:rsidR="007A3F9B">
        <w:rPr>
          <w:sz w:val="24"/>
          <w:szCs w:val="24"/>
        </w:rPr>
        <w:t>2807</w:t>
      </w:r>
      <w:r w:rsidR="0088729D">
        <w:rPr>
          <w:sz w:val="24"/>
          <w:szCs w:val="24"/>
        </w:rPr>
        <w:t xml:space="preserve"> </w:t>
      </w:r>
      <w:r w:rsidR="00B15816" w:rsidRPr="002E4C90">
        <w:rPr>
          <w:sz w:val="24"/>
          <w:szCs w:val="24"/>
        </w:rPr>
        <w:t>or myself at (509) 495-</w:t>
      </w:r>
      <w:r w:rsidR="0088729D">
        <w:rPr>
          <w:sz w:val="24"/>
          <w:szCs w:val="24"/>
        </w:rPr>
        <w:t>4975</w:t>
      </w:r>
      <w:r w:rsidRPr="002E4C90">
        <w:rPr>
          <w:sz w:val="24"/>
          <w:szCs w:val="24"/>
        </w:rPr>
        <w:t>.</w:t>
      </w:r>
    </w:p>
    <w:p w:rsidR="00040621" w:rsidRPr="002E4C90" w:rsidRDefault="00040621" w:rsidP="00A03E67">
      <w:pPr>
        <w:spacing w:line="360" w:lineRule="auto"/>
        <w:jc w:val="both"/>
        <w:rPr>
          <w:sz w:val="24"/>
          <w:szCs w:val="24"/>
        </w:rPr>
      </w:pPr>
    </w:p>
    <w:p w:rsidR="00040621" w:rsidRPr="002E4C90" w:rsidRDefault="00040621">
      <w:pPr>
        <w:jc w:val="both"/>
        <w:rPr>
          <w:sz w:val="24"/>
          <w:szCs w:val="24"/>
        </w:rPr>
      </w:pPr>
      <w:r w:rsidRPr="002E4C90">
        <w:rPr>
          <w:sz w:val="24"/>
          <w:szCs w:val="24"/>
        </w:rPr>
        <w:t>Sincerely,</w:t>
      </w:r>
    </w:p>
    <w:p w:rsidR="00040621" w:rsidRPr="002E4C90" w:rsidRDefault="00040621">
      <w:pPr>
        <w:jc w:val="both"/>
        <w:rPr>
          <w:sz w:val="24"/>
          <w:szCs w:val="24"/>
        </w:rPr>
      </w:pPr>
    </w:p>
    <w:p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rsidR="00040621" w:rsidRPr="002E4C90" w:rsidRDefault="00040621">
      <w:pPr>
        <w:jc w:val="both"/>
        <w:rPr>
          <w:sz w:val="24"/>
          <w:szCs w:val="24"/>
        </w:rPr>
      </w:pPr>
    </w:p>
    <w:p w:rsidR="007A17FF" w:rsidRPr="002E4C90" w:rsidRDefault="0088729D">
      <w:pPr>
        <w:jc w:val="both"/>
        <w:rPr>
          <w:sz w:val="24"/>
          <w:szCs w:val="24"/>
        </w:rPr>
      </w:pPr>
      <w:r>
        <w:rPr>
          <w:sz w:val="24"/>
          <w:szCs w:val="24"/>
        </w:rPr>
        <w:t>Linda Gervais</w:t>
      </w:r>
    </w:p>
    <w:p w:rsidR="00040621" w:rsidRPr="002E4C90" w:rsidRDefault="002C67B6">
      <w:pPr>
        <w:jc w:val="both"/>
        <w:rPr>
          <w:sz w:val="24"/>
          <w:szCs w:val="24"/>
        </w:rPr>
      </w:pPr>
      <w:r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rsidR="0088729D" w:rsidRPr="00427F5F" w:rsidRDefault="002C67B6">
      <w:pPr>
        <w:jc w:val="both"/>
        <w:rPr>
          <w:sz w:val="24"/>
          <w:szCs w:val="24"/>
        </w:rPr>
      </w:pPr>
      <w:r w:rsidRPr="00427F5F">
        <w:rPr>
          <w:sz w:val="24"/>
          <w:szCs w:val="24"/>
        </w:rPr>
        <w:t>Avista Utilities</w:t>
      </w:r>
    </w:p>
    <w:p w:rsidR="0088729D" w:rsidRPr="00427F5F" w:rsidRDefault="0088729D">
      <w:pPr>
        <w:jc w:val="both"/>
        <w:rPr>
          <w:sz w:val="24"/>
          <w:szCs w:val="24"/>
        </w:rPr>
      </w:pPr>
      <w:r w:rsidRPr="00427F5F">
        <w:rPr>
          <w:sz w:val="24"/>
          <w:szCs w:val="24"/>
        </w:rPr>
        <w:t>linda.gervais@avistacorp.com</w:t>
      </w:r>
    </w:p>
    <w:p w:rsidR="00040621" w:rsidRPr="00427F5F" w:rsidRDefault="00040621">
      <w:pPr>
        <w:jc w:val="both"/>
        <w:rPr>
          <w:sz w:val="24"/>
          <w:szCs w:val="24"/>
        </w:rPr>
      </w:pPr>
    </w:p>
    <w:p w:rsidR="00040621" w:rsidRPr="002E4C90" w:rsidRDefault="00040621">
      <w:pPr>
        <w:jc w:val="both"/>
        <w:rPr>
          <w:sz w:val="24"/>
          <w:szCs w:val="24"/>
        </w:rPr>
      </w:pPr>
      <w:r w:rsidRPr="002E4C90">
        <w:rPr>
          <w:sz w:val="24"/>
          <w:szCs w:val="24"/>
        </w:rPr>
        <w:t>Enclosures</w:t>
      </w:r>
    </w:p>
    <w:p w:rsidR="00040621" w:rsidRDefault="00040621">
      <w:pPr>
        <w:jc w:val="both"/>
        <w:rPr>
          <w:sz w:val="24"/>
          <w:szCs w:val="24"/>
        </w:rPr>
      </w:pPr>
    </w:p>
    <w:p w:rsidR="00B232C8" w:rsidRDefault="00B232C8" w:rsidP="00B14584">
      <w:pPr>
        <w:tabs>
          <w:tab w:val="left" w:pos="360"/>
        </w:tabs>
        <w:jc w:val="both"/>
        <w:rPr>
          <w:sz w:val="24"/>
          <w:szCs w:val="24"/>
        </w:rPr>
      </w:pPr>
      <w:r>
        <w:rPr>
          <w:sz w:val="24"/>
          <w:szCs w:val="24"/>
        </w:rPr>
        <w:t xml:space="preserve">cc: </w:t>
      </w:r>
      <w:r w:rsidR="00B14584">
        <w:rPr>
          <w:sz w:val="24"/>
          <w:szCs w:val="24"/>
        </w:rPr>
        <w:tab/>
      </w:r>
      <w:r w:rsidR="00FC23BC">
        <w:rPr>
          <w:sz w:val="24"/>
          <w:szCs w:val="24"/>
        </w:rPr>
        <w:t>Advisory Group</w:t>
      </w:r>
    </w:p>
    <w:p w:rsidR="00F31B46" w:rsidRPr="00DD4751" w:rsidRDefault="00B14584" w:rsidP="002331C4">
      <w:pPr>
        <w:tabs>
          <w:tab w:val="left" w:pos="360"/>
        </w:tabs>
        <w:jc w:val="both"/>
        <w:rPr>
          <w:sz w:val="24"/>
          <w:szCs w:val="24"/>
        </w:rPr>
      </w:pPr>
      <w:r>
        <w:rPr>
          <w:sz w:val="24"/>
          <w:szCs w:val="24"/>
        </w:rPr>
        <w:tab/>
      </w:r>
    </w:p>
    <w:p w:rsidR="00F31B46" w:rsidRDefault="00F31B46" w:rsidP="00F31B46">
      <w:pPr>
        <w:rPr>
          <w:sz w:val="24"/>
          <w:szCs w:val="24"/>
        </w:rPr>
      </w:pPr>
    </w:p>
    <w:p w:rsidR="002331C4" w:rsidRDefault="002331C4" w:rsidP="00343AFB">
      <w:pPr>
        <w:spacing w:line="360" w:lineRule="auto"/>
        <w:jc w:val="both"/>
        <w:rPr>
          <w:sz w:val="24"/>
          <w:szCs w:val="24"/>
        </w:rPr>
      </w:pPr>
    </w:p>
    <w:p w:rsidR="00F31B46" w:rsidRPr="00DD4751" w:rsidRDefault="00F31B46" w:rsidP="00B14584">
      <w:pPr>
        <w:tabs>
          <w:tab w:val="left" w:pos="360"/>
        </w:tabs>
        <w:jc w:val="both"/>
        <w:rPr>
          <w:sz w:val="24"/>
          <w:szCs w:val="24"/>
        </w:rPr>
      </w:pPr>
    </w:p>
    <w:sectPr w:rsidR="00F31B46" w:rsidRPr="00DD4751" w:rsidSect="00BB23E3">
      <w:headerReference w:type="default" r:id="rId9"/>
      <w:pgSz w:w="12240" w:h="15840"/>
      <w:pgMar w:top="108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B8" w:rsidRDefault="00DF18B8">
      <w:r>
        <w:separator/>
      </w:r>
    </w:p>
  </w:endnote>
  <w:endnote w:type="continuationSeparator" w:id="0">
    <w:p w:rsidR="00DF18B8" w:rsidRDefault="00DF1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B8" w:rsidRDefault="00DF18B8">
      <w:r>
        <w:separator/>
      </w:r>
    </w:p>
  </w:footnote>
  <w:footnote w:type="continuationSeparator" w:id="0">
    <w:p w:rsidR="00DF18B8" w:rsidRDefault="00DF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F7" w:rsidRDefault="00A557F7">
    <w:pPr>
      <w:pStyle w:val="Header"/>
      <w:rPr>
        <w:sz w:val="24"/>
      </w:rPr>
    </w:pPr>
    <w:r>
      <w:rPr>
        <w:sz w:val="24"/>
      </w:rPr>
      <w:t xml:space="preserve">Schedule </w:t>
    </w:r>
    <w:r w:rsidR="000C375C">
      <w:rPr>
        <w:sz w:val="24"/>
      </w:rPr>
      <w:t>1</w:t>
    </w:r>
    <w:r>
      <w:rPr>
        <w:sz w:val="24"/>
      </w:rPr>
      <w:t>91 Revisions</w:t>
    </w:r>
  </w:p>
  <w:p w:rsidR="00A557F7" w:rsidRDefault="000C375C">
    <w:pPr>
      <w:pStyle w:val="Header"/>
      <w:rPr>
        <w:sz w:val="24"/>
      </w:rPr>
    </w:pPr>
    <w:r>
      <w:rPr>
        <w:sz w:val="24"/>
      </w:rPr>
      <w:t>Oct 2</w:t>
    </w:r>
    <w:r w:rsidR="00A557F7">
      <w:rPr>
        <w:sz w:val="24"/>
      </w:rPr>
      <w:t>, 2015</w:t>
    </w:r>
  </w:p>
  <w:p w:rsidR="00A557F7" w:rsidRDefault="00A557F7">
    <w:pPr>
      <w:pStyle w:val="Header"/>
      <w:rPr>
        <w:rStyle w:val="PageNumber"/>
        <w:sz w:val="24"/>
      </w:rPr>
    </w:pPr>
    <w:r>
      <w:rPr>
        <w:sz w:val="24"/>
      </w:rPr>
      <w:t xml:space="preserve">Page </w:t>
    </w:r>
    <w:r w:rsidR="003344EC">
      <w:rPr>
        <w:rStyle w:val="PageNumber"/>
        <w:sz w:val="24"/>
      </w:rPr>
      <w:fldChar w:fldCharType="begin"/>
    </w:r>
    <w:r>
      <w:rPr>
        <w:rStyle w:val="PageNumber"/>
        <w:sz w:val="24"/>
      </w:rPr>
      <w:instrText xml:space="preserve"> PAGE </w:instrText>
    </w:r>
    <w:r w:rsidR="003344EC">
      <w:rPr>
        <w:rStyle w:val="PageNumber"/>
        <w:sz w:val="24"/>
      </w:rPr>
      <w:fldChar w:fldCharType="separate"/>
    </w:r>
    <w:r w:rsidR="00810451">
      <w:rPr>
        <w:rStyle w:val="PageNumber"/>
        <w:noProof/>
        <w:sz w:val="24"/>
      </w:rPr>
      <w:t>2</w:t>
    </w:r>
    <w:r w:rsidR="003344EC">
      <w:rPr>
        <w:rStyle w:val="PageNumber"/>
        <w:sz w:val="24"/>
      </w:rPr>
      <w:fldChar w:fldCharType="end"/>
    </w:r>
  </w:p>
  <w:p w:rsidR="00A557F7" w:rsidRDefault="00A557F7">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2071B"/>
    <w:rsid w:val="0003355A"/>
    <w:rsid w:val="000336DD"/>
    <w:rsid w:val="000401B8"/>
    <w:rsid w:val="00040621"/>
    <w:rsid w:val="0005174E"/>
    <w:rsid w:val="00052E25"/>
    <w:rsid w:val="00063617"/>
    <w:rsid w:val="00063C7A"/>
    <w:rsid w:val="00073F75"/>
    <w:rsid w:val="000836F9"/>
    <w:rsid w:val="00095097"/>
    <w:rsid w:val="000B7F79"/>
    <w:rsid w:val="000C375C"/>
    <w:rsid w:val="000D0B83"/>
    <w:rsid w:val="000D5787"/>
    <w:rsid w:val="000D57B2"/>
    <w:rsid w:val="000D6898"/>
    <w:rsid w:val="000E3A67"/>
    <w:rsid w:val="000E5DE2"/>
    <w:rsid w:val="00110C55"/>
    <w:rsid w:val="0011729D"/>
    <w:rsid w:val="001241B9"/>
    <w:rsid w:val="00134021"/>
    <w:rsid w:val="00134550"/>
    <w:rsid w:val="001618EE"/>
    <w:rsid w:val="001679C1"/>
    <w:rsid w:val="00190B82"/>
    <w:rsid w:val="00196E09"/>
    <w:rsid w:val="001970F9"/>
    <w:rsid w:val="001975F3"/>
    <w:rsid w:val="001B0F41"/>
    <w:rsid w:val="001B4920"/>
    <w:rsid w:val="001C6991"/>
    <w:rsid w:val="001F178D"/>
    <w:rsid w:val="001F2CC9"/>
    <w:rsid w:val="00205A61"/>
    <w:rsid w:val="00212D64"/>
    <w:rsid w:val="00230EF0"/>
    <w:rsid w:val="002331C4"/>
    <w:rsid w:val="00236524"/>
    <w:rsid w:val="00243DB1"/>
    <w:rsid w:val="002862F8"/>
    <w:rsid w:val="002908DF"/>
    <w:rsid w:val="00295620"/>
    <w:rsid w:val="002B39ED"/>
    <w:rsid w:val="002B7DD0"/>
    <w:rsid w:val="002C67B6"/>
    <w:rsid w:val="002E141A"/>
    <w:rsid w:val="002E4C90"/>
    <w:rsid w:val="002F033B"/>
    <w:rsid w:val="00316FDE"/>
    <w:rsid w:val="003201B2"/>
    <w:rsid w:val="00323DF0"/>
    <w:rsid w:val="0033037B"/>
    <w:rsid w:val="003344EC"/>
    <w:rsid w:val="00343AFB"/>
    <w:rsid w:val="003458F3"/>
    <w:rsid w:val="00346E10"/>
    <w:rsid w:val="003512CA"/>
    <w:rsid w:val="00351550"/>
    <w:rsid w:val="00356DBD"/>
    <w:rsid w:val="0036547E"/>
    <w:rsid w:val="003662AE"/>
    <w:rsid w:val="003709CC"/>
    <w:rsid w:val="00377742"/>
    <w:rsid w:val="00377FD1"/>
    <w:rsid w:val="003846FB"/>
    <w:rsid w:val="003902FF"/>
    <w:rsid w:val="00394EE6"/>
    <w:rsid w:val="003A3A22"/>
    <w:rsid w:val="003A42E1"/>
    <w:rsid w:val="003B0826"/>
    <w:rsid w:val="003B424A"/>
    <w:rsid w:val="003C2809"/>
    <w:rsid w:val="003E58EA"/>
    <w:rsid w:val="003E5D5C"/>
    <w:rsid w:val="003F1C8C"/>
    <w:rsid w:val="003F22B9"/>
    <w:rsid w:val="003F44D5"/>
    <w:rsid w:val="00427F5F"/>
    <w:rsid w:val="00435BF4"/>
    <w:rsid w:val="00443E2E"/>
    <w:rsid w:val="00450756"/>
    <w:rsid w:val="00452092"/>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5AF6"/>
    <w:rsid w:val="005123F8"/>
    <w:rsid w:val="005519C3"/>
    <w:rsid w:val="0056501D"/>
    <w:rsid w:val="00565FBA"/>
    <w:rsid w:val="00571611"/>
    <w:rsid w:val="00576711"/>
    <w:rsid w:val="00584C9E"/>
    <w:rsid w:val="00590008"/>
    <w:rsid w:val="0059415F"/>
    <w:rsid w:val="005A2EF9"/>
    <w:rsid w:val="005A338C"/>
    <w:rsid w:val="005A47D6"/>
    <w:rsid w:val="005B086C"/>
    <w:rsid w:val="005C2F04"/>
    <w:rsid w:val="005C3A92"/>
    <w:rsid w:val="005E12C6"/>
    <w:rsid w:val="005F40FB"/>
    <w:rsid w:val="005F4179"/>
    <w:rsid w:val="005F754A"/>
    <w:rsid w:val="006100B1"/>
    <w:rsid w:val="0061578F"/>
    <w:rsid w:val="00622D0B"/>
    <w:rsid w:val="00634275"/>
    <w:rsid w:val="00642A99"/>
    <w:rsid w:val="006470FE"/>
    <w:rsid w:val="00655B6B"/>
    <w:rsid w:val="00660C63"/>
    <w:rsid w:val="00666D7C"/>
    <w:rsid w:val="00672C44"/>
    <w:rsid w:val="00676FA4"/>
    <w:rsid w:val="006918B9"/>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47C1D"/>
    <w:rsid w:val="00755E3F"/>
    <w:rsid w:val="00772C70"/>
    <w:rsid w:val="007801F3"/>
    <w:rsid w:val="007A17FF"/>
    <w:rsid w:val="007A3F9B"/>
    <w:rsid w:val="007A6656"/>
    <w:rsid w:val="007B53A4"/>
    <w:rsid w:val="007B5571"/>
    <w:rsid w:val="007B5D91"/>
    <w:rsid w:val="007C4DFB"/>
    <w:rsid w:val="007E00A2"/>
    <w:rsid w:val="007F176C"/>
    <w:rsid w:val="00801F7D"/>
    <w:rsid w:val="00810451"/>
    <w:rsid w:val="00827194"/>
    <w:rsid w:val="0083065F"/>
    <w:rsid w:val="00847903"/>
    <w:rsid w:val="00860E13"/>
    <w:rsid w:val="008614DF"/>
    <w:rsid w:val="008621D3"/>
    <w:rsid w:val="008842EC"/>
    <w:rsid w:val="00884A50"/>
    <w:rsid w:val="0088729D"/>
    <w:rsid w:val="0089647E"/>
    <w:rsid w:val="008A3326"/>
    <w:rsid w:val="008C1672"/>
    <w:rsid w:val="008D7D48"/>
    <w:rsid w:val="008E0338"/>
    <w:rsid w:val="008E336C"/>
    <w:rsid w:val="008F221D"/>
    <w:rsid w:val="00907955"/>
    <w:rsid w:val="00920E8A"/>
    <w:rsid w:val="0092371B"/>
    <w:rsid w:val="00930807"/>
    <w:rsid w:val="00931669"/>
    <w:rsid w:val="00936303"/>
    <w:rsid w:val="00946679"/>
    <w:rsid w:val="00982C4F"/>
    <w:rsid w:val="00994CAA"/>
    <w:rsid w:val="00996800"/>
    <w:rsid w:val="009C1D50"/>
    <w:rsid w:val="009C4B4F"/>
    <w:rsid w:val="009D79A8"/>
    <w:rsid w:val="009E0305"/>
    <w:rsid w:val="009E5B7D"/>
    <w:rsid w:val="009F3585"/>
    <w:rsid w:val="00A010CF"/>
    <w:rsid w:val="00A03E67"/>
    <w:rsid w:val="00A11561"/>
    <w:rsid w:val="00A14BAA"/>
    <w:rsid w:val="00A42EC5"/>
    <w:rsid w:val="00A4498A"/>
    <w:rsid w:val="00A46111"/>
    <w:rsid w:val="00A47591"/>
    <w:rsid w:val="00A557F7"/>
    <w:rsid w:val="00A62952"/>
    <w:rsid w:val="00A77B12"/>
    <w:rsid w:val="00A8189A"/>
    <w:rsid w:val="00A840FB"/>
    <w:rsid w:val="00A85BF3"/>
    <w:rsid w:val="00A90350"/>
    <w:rsid w:val="00AA10B4"/>
    <w:rsid w:val="00AA3519"/>
    <w:rsid w:val="00AC187E"/>
    <w:rsid w:val="00AD4048"/>
    <w:rsid w:val="00AE00CF"/>
    <w:rsid w:val="00AF20EE"/>
    <w:rsid w:val="00B012CB"/>
    <w:rsid w:val="00B03A47"/>
    <w:rsid w:val="00B04325"/>
    <w:rsid w:val="00B07028"/>
    <w:rsid w:val="00B14584"/>
    <w:rsid w:val="00B15816"/>
    <w:rsid w:val="00B213D0"/>
    <w:rsid w:val="00B232C8"/>
    <w:rsid w:val="00B24035"/>
    <w:rsid w:val="00B30BD7"/>
    <w:rsid w:val="00B50F66"/>
    <w:rsid w:val="00B5756B"/>
    <w:rsid w:val="00B6299C"/>
    <w:rsid w:val="00B65BF5"/>
    <w:rsid w:val="00B67EDE"/>
    <w:rsid w:val="00B73275"/>
    <w:rsid w:val="00B92B1D"/>
    <w:rsid w:val="00B92B26"/>
    <w:rsid w:val="00BA5429"/>
    <w:rsid w:val="00BB23E3"/>
    <w:rsid w:val="00BB5649"/>
    <w:rsid w:val="00BB66AE"/>
    <w:rsid w:val="00BC490D"/>
    <w:rsid w:val="00BD0AD0"/>
    <w:rsid w:val="00BD64FB"/>
    <w:rsid w:val="00BE65D5"/>
    <w:rsid w:val="00BF090D"/>
    <w:rsid w:val="00BF1BC5"/>
    <w:rsid w:val="00BF1E48"/>
    <w:rsid w:val="00BF6B7E"/>
    <w:rsid w:val="00C0555C"/>
    <w:rsid w:val="00C129F8"/>
    <w:rsid w:val="00C2174A"/>
    <w:rsid w:val="00C2456C"/>
    <w:rsid w:val="00C34953"/>
    <w:rsid w:val="00C41B9A"/>
    <w:rsid w:val="00C436D9"/>
    <w:rsid w:val="00C83322"/>
    <w:rsid w:val="00C87E5A"/>
    <w:rsid w:val="00C96877"/>
    <w:rsid w:val="00CA0D34"/>
    <w:rsid w:val="00CB374C"/>
    <w:rsid w:val="00CC0249"/>
    <w:rsid w:val="00CC1BAA"/>
    <w:rsid w:val="00CD346B"/>
    <w:rsid w:val="00CD60DE"/>
    <w:rsid w:val="00CD78C3"/>
    <w:rsid w:val="00CE0039"/>
    <w:rsid w:val="00CF657D"/>
    <w:rsid w:val="00D01DA5"/>
    <w:rsid w:val="00D04A56"/>
    <w:rsid w:val="00D23FE7"/>
    <w:rsid w:val="00D2493D"/>
    <w:rsid w:val="00D26572"/>
    <w:rsid w:val="00D37B30"/>
    <w:rsid w:val="00D44DF6"/>
    <w:rsid w:val="00D50B07"/>
    <w:rsid w:val="00D518DC"/>
    <w:rsid w:val="00D54F74"/>
    <w:rsid w:val="00D558EE"/>
    <w:rsid w:val="00D55F36"/>
    <w:rsid w:val="00D72C3C"/>
    <w:rsid w:val="00D962FC"/>
    <w:rsid w:val="00DA1D28"/>
    <w:rsid w:val="00DA633A"/>
    <w:rsid w:val="00DA6481"/>
    <w:rsid w:val="00DC380B"/>
    <w:rsid w:val="00DD4751"/>
    <w:rsid w:val="00DE0C75"/>
    <w:rsid w:val="00DE4DE1"/>
    <w:rsid w:val="00DE77A0"/>
    <w:rsid w:val="00DF18B8"/>
    <w:rsid w:val="00DF7E76"/>
    <w:rsid w:val="00E04D16"/>
    <w:rsid w:val="00E05B6D"/>
    <w:rsid w:val="00E06BAC"/>
    <w:rsid w:val="00E1037B"/>
    <w:rsid w:val="00E17377"/>
    <w:rsid w:val="00E25458"/>
    <w:rsid w:val="00E31C7B"/>
    <w:rsid w:val="00E40917"/>
    <w:rsid w:val="00E51832"/>
    <w:rsid w:val="00E65250"/>
    <w:rsid w:val="00E67087"/>
    <w:rsid w:val="00E745FD"/>
    <w:rsid w:val="00E811F1"/>
    <w:rsid w:val="00E958B8"/>
    <w:rsid w:val="00E97DC2"/>
    <w:rsid w:val="00EB5DE7"/>
    <w:rsid w:val="00EE08D9"/>
    <w:rsid w:val="00EE3F03"/>
    <w:rsid w:val="00EE6695"/>
    <w:rsid w:val="00EF45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uiPriority w:val="99"/>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s>
</file>

<file path=word/webSettings.xml><?xml version="1.0" encoding="utf-8"?>
<w:webSettings xmlns:r="http://schemas.openxmlformats.org/officeDocument/2006/relationships" xmlns:w="http://schemas.openxmlformats.org/wordprocessingml/2006/main">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2015-10-02T07:00:00+00:00</OpenedDate>
    <Date1 xmlns="dc463f71-b30c-4ab2-9473-d307f9d35888">2015-10-02T07:00:00+00:00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4F38208A552B43B4B183D8014F2381" ma:contentTypeVersion="119" ma:contentTypeDescription="" ma:contentTypeScope="" ma:versionID="71e8f516b137c201fc9a24a37cad8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9A91B-66BD-4B64-A4EE-8B9BB14EF789}"/>
</file>

<file path=customXml/itemProps2.xml><?xml version="1.0" encoding="utf-8"?>
<ds:datastoreItem xmlns:ds="http://schemas.openxmlformats.org/officeDocument/2006/customXml" ds:itemID="{8D5967BB-B5CD-4FFD-ABDC-61A96341DDCE}"/>
</file>

<file path=customXml/itemProps3.xml><?xml version="1.0" encoding="utf-8"?>
<ds:datastoreItem xmlns:ds="http://schemas.openxmlformats.org/officeDocument/2006/customXml" ds:itemID="{20BE8787-5A68-4AC7-B113-B302108BFD23}"/>
</file>

<file path=customXml/itemProps4.xml><?xml version="1.0" encoding="utf-8"?>
<ds:datastoreItem xmlns:ds="http://schemas.openxmlformats.org/officeDocument/2006/customXml" ds:itemID="{5017F8EF-3108-4DBD-A831-F11222A9A3CE}"/>
</file>

<file path=customXml/itemProps5.xml><?xml version="1.0" encoding="utf-8"?>
<ds:datastoreItem xmlns:ds="http://schemas.openxmlformats.org/officeDocument/2006/customXml" ds:itemID="{ACA5CA2E-E7DD-4D07-9332-10E743717CD1}"/>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Linda Gervais</cp:lastModifiedBy>
  <cp:revision>2</cp:revision>
  <cp:lastPrinted>2015-05-28T00:18:00Z</cp:lastPrinted>
  <dcterms:created xsi:type="dcterms:W3CDTF">2015-10-02T15:16:00Z</dcterms:created>
  <dcterms:modified xsi:type="dcterms:W3CDTF">2015-10-02T15:16:00Z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0x0101006E56B4D1795A2E4DB2F0B01679ED314A00544F38208A552B43B4B183D8014F2381</vt:lpwstr>
  </property>
  <property fmtid="{D5CDD505-2E9C-101B-9397-08002B2CF9AE}" pid="3" name="_docset_NoMedatataSyncRequired">
    <vt:lpwstr>False</vt:lpwstr>
  </property>
</Properties>
</file>