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1806" w14:textId="200DDFCA" w:rsidR="00DE5ACB" w:rsidRPr="00CB5C61" w:rsidRDefault="00977C0E">
      <w:pPr>
        <w:pStyle w:val="xl31"/>
        <w:pBdr>
          <w:left w:val="none" w:sz="0" w:space="0" w:color="auto"/>
        </w:pBdr>
        <w:spacing w:before="0" w:beforeAutospacing="0" w:after="0" w:afterAutospacing="0"/>
        <w:rPr>
          <w:rFonts w:ascii="Arial" w:eastAsia="Times New Roman" w:hAnsi="Arial" w:cs="Arial"/>
          <w:sz w:val="22"/>
          <w:szCs w:val="22"/>
        </w:rPr>
      </w:pPr>
      <w:bookmarkStart w:id="0" w:name="_GoBack"/>
      <w:bookmarkEnd w:id="0"/>
      <w:r>
        <w:rPr>
          <w:rFonts w:ascii="Arial" w:hAnsi="Arial" w:cs="Arial"/>
          <w:noProof/>
          <w:sz w:val="24"/>
          <w:szCs w:val="24"/>
        </w:rPr>
        <mc:AlternateContent>
          <mc:Choice Requires="wps">
            <w:drawing>
              <wp:anchor distT="0" distB="0" distL="114300" distR="114300" simplePos="0" relativeHeight="251660288" behindDoc="0" locked="0" layoutInCell="1" allowOverlap="1" wp14:anchorId="1636184C" wp14:editId="40DE025F">
                <wp:simplePos x="0" y="0"/>
                <wp:positionH relativeFrom="column">
                  <wp:posOffset>-83820</wp:posOffset>
                </wp:positionH>
                <wp:positionV relativeFrom="paragraph">
                  <wp:posOffset>-287655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22.6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" filled="f" stroked="f">
                <v:textbo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r w:rsidR="00885A00">
        <w:rPr>
          <w:rFonts w:ascii="Arial" w:hAnsi="Arial" w:cs="Arial"/>
          <w:noProof/>
          <w:sz w:val="22"/>
          <w:szCs w:val="22"/>
        </w:rPr>
        <w:drawing>
          <wp:anchor distT="0" distB="0" distL="114300" distR="114300" simplePos="0" relativeHeight="251658240" behindDoc="0" locked="0" layoutInCell="1" allowOverlap="1" wp14:anchorId="1636184D" wp14:editId="1636184E">
            <wp:simplePos x="0" y="0"/>
            <wp:positionH relativeFrom="column">
              <wp:posOffset>2727960</wp:posOffset>
            </wp:positionH>
            <wp:positionV relativeFrom="paragraph">
              <wp:posOffset>-342900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14:paraId="16361807" w14:textId="77777777" w:rsidR="00244A44" w:rsidRPr="00B4430D" w:rsidRDefault="00244A44" w:rsidP="000A78CB">
      <w:pPr>
        <w:tabs>
          <w:tab w:val="right" w:pos="8640"/>
        </w:tabs>
        <w:rPr>
          <w:rFonts w:cs="Arial"/>
          <w:sz w:val="22"/>
          <w:szCs w:val="22"/>
        </w:rPr>
      </w:pPr>
    </w:p>
    <w:p w14:paraId="2C2D43B2" w14:textId="77777777" w:rsidR="0052545D" w:rsidRDefault="0052545D" w:rsidP="00EA3197">
      <w:pPr>
        <w:tabs>
          <w:tab w:val="right" w:pos="8640"/>
        </w:tabs>
        <w:rPr>
          <w:rFonts w:cs="Arial"/>
          <w:sz w:val="22"/>
          <w:szCs w:val="22"/>
        </w:rPr>
      </w:pPr>
    </w:p>
    <w:p w14:paraId="3EA5E945" w14:textId="77777777" w:rsidR="00FE0084" w:rsidRDefault="00FE0084" w:rsidP="00EA3197">
      <w:pPr>
        <w:tabs>
          <w:tab w:val="right" w:pos="8640"/>
        </w:tabs>
        <w:rPr>
          <w:rFonts w:cs="Arial"/>
          <w:sz w:val="22"/>
          <w:szCs w:val="22"/>
        </w:rPr>
      </w:pPr>
    </w:p>
    <w:p w14:paraId="1636180B" w14:textId="7DF2CCFC" w:rsidR="00EA3197" w:rsidRPr="00EA3197" w:rsidRDefault="005123BF" w:rsidP="00EA3197">
      <w:pPr>
        <w:tabs>
          <w:tab w:val="right" w:pos="8640"/>
        </w:tabs>
        <w:rPr>
          <w:rFonts w:cs="Arial"/>
          <w:sz w:val="22"/>
          <w:szCs w:val="22"/>
        </w:rPr>
      </w:pPr>
      <w:r>
        <w:rPr>
          <w:rFonts w:cs="Arial"/>
          <w:sz w:val="22"/>
          <w:szCs w:val="22"/>
        </w:rPr>
        <w:t>March 9</w:t>
      </w:r>
      <w:r w:rsidR="005232A6">
        <w:rPr>
          <w:rFonts w:cs="Arial"/>
          <w:sz w:val="22"/>
          <w:szCs w:val="22"/>
        </w:rPr>
        <w:t>,</w:t>
      </w:r>
      <w:r w:rsidR="00EA3197" w:rsidRPr="00EA3197">
        <w:rPr>
          <w:rFonts w:cs="Arial"/>
          <w:sz w:val="22"/>
          <w:szCs w:val="22"/>
        </w:rPr>
        <w:t xml:space="preserve"> 201</w:t>
      </w:r>
      <w:r w:rsidR="007A14A9">
        <w:rPr>
          <w:rFonts w:cs="Arial"/>
          <w:sz w:val="22"/>
          <w:szCs w:val="22"/>
        </w:rPr>
        <w:t>5</w:t>
      </w:r>
      <w:r w:rsidR="00977C0E">
        <w:rPr>
          <w:rFonts w:cs="Arial"/>
          <w:sz w:val="22"/>
          <w:szCs w:val="22"/>
        </w:rPr>
        <w:tab/>
        <w:t>NWN WUTC</w:t>
      </w:r>
      <w:r w:rsidR="00EA3197" w:rsidRPr="00EA3197">
        <w:rPr>
          <w:rFonts w:cs="Arial"/>
          <w:sz w:val="22"/>
          <w:szCs w:val="22"/>
        </w:rPr>
        <w:t xml:space="preserve"> Advice No. 1</w:t>
      </w:r>
      <w:r w:rsidR="007A14A9">
        <w:rPr>
          <w:rFonts w:cs="Arial"/>
          <w:sz w:val="22"/>
          <w:szCs w:val="22"/>
        </w:rPr>
        <w:t>5-</w:t>
      </w:r>
      <w:r>
        <w:rPr>
          <w:rFonts w:cs="Arial"/>
          <w:sz w:val="22"/>
          <w:szCs w:val="22"/>
        </w:rPr>
        <w:t>02</w:t>
      </w:r>
    </w:p>
    <w:p w14:paraId="1636180C" w14:textId="77777777" w:rsidR="00EA3197" w:rsidRPr="00EA3197" w:rsidRDefault="00EA3197" w:rsidP="00EA3197">
      <w:pPr>
        <w:rPr>
          <w:rFonts w:cs="Arial"/>
          <w:sz w:val="22"/>
          <w:szCs w:val="22"/>
        </w:rPr>
      </w:pPr>
    </w:p>
    <w:p w14:paraId="1636180D" w14:textId="77777777" w:rsidR="00EA3197" w:rsidRPr="00EA3197" w:rsidRDefault="00EA3197" w:rsidP="00EA3197">
      <w:pPr>
        <w:rPr>
          <w:rFonts w:cs="Arial"/>
          <w:sz w:val="22"/>
          <w:szCs w:val="22"/>
        </w:rPr>
      </w:pPr>
    </w:p>
    <w:p w14:paraId="1636180E" w14:textId="77777777" w:rsidR="00EA3197" w:rsidRPr="00D61CA9" w:rsidRDefault="00EA3197" w:rsidP="00EA3197">
      <w:pPr>
        <w:rPr>
          <w:rFonts w:cs="Arial"/>
          <w:b/>
          <w:bCs/>
          <w:i/>
          <w:iCs/>
          <w:sz w:val="22"/>
          <w:szCs w:val="22"/>
        </w:rPr>
      </w:pPr>
      <w:r w:rsidRPr="00D61CA9">
        <w:rPr>
          <w:rFonts w:cs="Arial"/>
          <w:b/>
          <w:bCs/>
          <w:i/>
          <w:iCs/>
          <w:sz w:val="22"/>
          <w:szCs w:val="22"/>
        </w:rPr>
        <w:t>VIA ELECTRONIC FILING</w:t>
      </w:r>
    </w:p>
    <w:p w14:paraId="1636180F" w14:textId="77777777" w:rsidR="00EA3197" w:rsidRPr="00EA3197" w:rsidRDefault="00EA3197" w:rsidP="000D7C6A">
      <w:pPr>
        <w:jc w:val="center"/>
        <w:rPr>
          <w:rFonts w:cs="Arial"/>
          <w:sz w:val="22"/>
          <w:szCs w:val="22"/>
        </w:rPr>
      </w:pPr>
    </w:p>
    <w:p w14:paraId="16361810" w14:textId="77777777" w:rsidR="00EA3197" w:rsidRPr="00EA3197" w:rsidRDefault="00EA3197" w:rsidP="00EA3197">
      <w:pPr>
        <w:rPr>
          <w:rFonts w:cs="Arial"/>
          <w:sz w:val="22"/>
          <w:szCs w:val="22"/>
        </w:rPr>
      </w:pPr>
    </w:p>
    <w:p w14:paraId="64EFE60B" w14:textId="00E16186" w:rsidR="00977C0E" w:rsidRPr="00965A56" w:rsidRDefault="00977C0E" w:rsidP="00977C0E">
      <w:pPr>
        <w:rPr>
          <w:rFonts w:cs="Arial"/>
          <w:sz w:val="22"/>
          <w:szCs w:val="22"/>
        </w:rPr>
      </w:pPr>
      <w:r>
        <w:rPr>
          <w:rFonts w:cs="Arial"/>
          <w:sz w:val="22"/>
          <w:szCs w:val="22"/>
        </w:rPr>
        <w:t>Steven V. King</w:t>
      </w:r>
      <w:r w:rsidRPr="00965A56">
        <w:rPr>
          <w:rFonts w:cs="Arial"/>
          <w:sz w:val="22"/>
          <w:szCs w:val="22"/>
        </w:rPr>
        <w:t>, Executive Director</w:t>
      </w:r>
      <w:r>
        <w:rPr>
          <w:rFonts w:cs="Arial"/>
          <w:sz w:val="22"/>
          <w:szCs w:val="22"/>
        </w:rPr>
        <w:t xml:space="preserve"> and Secretary</w:t>
      </w:r>
    </w:p>
    <w:p w14:paraId="625925BC" w14:textId="77777777" w:rsidR="00977C0E" w:rsidRPr="00965A56" w:rsidRDefault="00977C0E" w:rsidP="00977C0E">
      <w:pPr>
        <w:rPr>
          <w:rFonts w:cs="Arial"/>
          <w:sz w:val="22"/>
          <w:szCs w:val="22"/>
        </w:rPr>
      </w:pPr>
      <w:r w:rsidRPr="00965A56">
        <w:rPr>
          <w:rFonts w:cs="Arial"/>
          <w:sz w:val="22"/>
          <w:szCs w:val="22"/>
        </w:rPr>
        <w:t>WASHINGTON UTILITIES &amp;</w:t>
      </w:r>
    </w:p>
    <w:p w14:paraId="1109932A" w14:textId="77777777" w:rsidR="00977C0E" w:rsidRPr="00965A56" w:rsidRDefault="00977C0E" w:rsidP="00977C0E">
      <w:pPr>
        <w:rPr>
          <w:rFonts w:cs="Arial"/>
          <w:sz w:val="22"/>
          <w:szCs w:val="22"/>
        </w:rPr>
      </w:pPr>
      <w:r w:rsidRPr="00965A56">
        <w:rPr>
          <w:rFonts w:cs="Arial"/>
          <w:sz w:val="22"/>
          <w:szCs w:val="22"/>
        </w:rPr>
        <w:t xml:space="preserve">   TRANSPORTATION COMMISSION</w:t>
      </w:r>
    </w:p>
    <w:p w14:paraId="375F5B05" w14:textId="45580292" w:rsidR="00977C0E" w:rsidRPr="00965A56" w:rsidRDefault="00977C0E" w:rsidP="00977C0E">
      <w:pPr>
        <w:rPr>
          <w:rFonts w:cs="Arial"/>
          <w:sz w:val="22"/>
          <w:szCs w:val="22"/>
        </w:rPr>
      </w:pPr>
      <w:r>
        <w:rPr>
          <w:rFonts w:cs="Arial"/>
          <w:sz w:val="22"/>
          <w:szCs w:val="22"/>
        </w:rPr>
        <w:t>1</w:t>
      </w:r>
      <w:r w:rsidRPr="00965A56">
        <w:rPr>
          <w:rFonts w:cs="Arial"/>
          <w:sz w:val="22"/>
          <w:szCs w:val="22"/>
        </w:rPr>
        <w:t>300 S Evergreen Park Drive, SW</w:t>
      </w:r>
    </w:p>
    <w:p w14:paraId="6033A176" w14:textId="77777777" w:rsidR="00977C0E" w:rsidRPr="00093F0F" w:rsidRDefault="00977C0E" w:rsidP="00977C0E">
      <w:pPr>
        <w:pStyle w:val="Heading3"/>
        <w:rPr>
          <w:rFonts w:cs="Arial"/>
          <w:sz w:val="22"/>
          <w:szCs w:val="22"/>
          <w:u w:val="none"/>
        </w:rPr>
      </w:pPr>
      <w:r w:rsidRPr="00093F0F">
        <w:rPr>
          <w:rFonts w:cs="Arial"/>
          <w:sz w:val="22"/>
          <w:szCs w:val="22"/>
          <w:u w:val="none"/>
        </w:rPr>
        <w:t>Post Office Box 47250</w:t>
      </w:r>
    </w:p>
    <w:p w14:paraId="37C6131F" w14:textId="77777777" w:rsidR="00977C0E" w:rsidRPr="00965A56" w:rsidRDefault="00977C0E" w:rsidP="00977C0E">
      <w:pPr>
        <w:rPr>
          <w:rFonts w:cs="Arial"/>
          <w:sz w:val="22"/>
          <w:szCs w:val="22"/>
        </w:rPr>
      </w:pPr>
      <w:r w:rsidRPr="00965A56">
        <w:rPr>
          <w:rFonts w:cs="Arial"/>
          <w:sz w:val="22"/>
          <w:szCs w:val="22"/>
        </w:rPr>
        <w:t>Olympia, Washington 98504-7250</w:t>
      </w:r>
    </w:p>
    <w:p w14:paraId="44D84B47" w14:textId="77777777" w:rsidR="00977C0E" w:rsidRPr="00965A56" w:rsidRDefault="00977C0E" w:rsidP="00977C0E">
      <w:pPr>
        <w:rPr>
          <w:rFonts w:cs="Arial"/>
          <w:sz w:val="22"/>
          <w:szCs w:val="22"/>
        </w:rPr>
      </w:pPr>
    </w:p>
    <w:p w14:paraId="16361817" w14:textId="77777777" w:rsidR="000A78CB" w:rsidRPr="00B4430D" w:rsidRDefault="000A78CB" w:rsidP="000A78CB">
      <w:pPr>
        <w:rPr>
          <w:rFonts w:cs="Arial"/>
          <w:sz w:val="22"/>
          <w:szCs w:val="22"/>
        </w:rPr>
      </w:pPr>
    </w:p>
    <w:p w14:paraId="56DA6B94" w14:textId="48F87FA9" w:rsidR="00C129B9" w:rsidRPr="00C129B9" w:rsidRDefault="00955043" w:rsidP="00C129B9">
      <w:pPr>
        <w:ind w:left="1440" w:hanging="1440"/>
        <w:rPr>
          <w:b/>
          <w:bCs/>
          <w:sz w:val="22"/>
          <w:szCs w:val="22"/>
        </w:rPr>
      </w:pPr>
      <w:r>
        <w:rPr>
          <w:rFonts w:cs="Arial"/>
          <w:b/>
          <w:sz w:val="22"/>
          <w:szCs w:val="22"/>
        </w:rPr>
        <w:t>Re:</w:t>
      </w:r>
      <w:r>
        <w:rPr>
          <w:rFonts w:cs="Arial"/>
          <w:b/>
          <w:sz w:val="22"/>
          <w:szCs w:val="22"/>
        </w:rPr>
        <w:tab/>
      </w:r>
      <w:r w:rsidR="00C53F63">
        <w:rPr>
          <w:b/>
          <w:bCs/>
          <w:sz w:val="22"/>
          <w:szCs w:val="22"/>
        </w:rPr>
        <w:t>General Rule 3</w:t>
      </w:r>
      <w:r w:rsidR="00D97E14">
        <w:rPr>
          <w:b/>
          <w:bCs/>
          <w:sz w:val="22"/>
          <w:szCs w:val="22"/>
        </w:rPr>
        <w:t xml:space="preserve">:  </w:t>
      </w:r>
      <w:r w:rsidR="00C129B9" w:rsidRPr="00C129B9">
        <w:rPr>
          <w:b/>
          <w:bCs/>
          <w:sz w:val="22"/>
          <w:szCs w:val="22"/>
        </w:rPr>
        <w:t xml:space="preserve">Deposits </w:t>
      </w:r>
    </w:p>
    <w:p w14:paraId="7580AAA5" w14:textId="1F43D38B" w:rsidR="00C129B9" w:rsidRPr="00C129B9" w:rsidRDefault="00C129B9" w:rsidP="00C129B9">
      <w:pPr>
        <w:tabs>
          <w:tab w:val="left" w:pos="1440"/>
        </w:tabs>
        <w:overflowPunct w:val="0"/>
        <w:autoSpaceDE w:val="0"/>
        <w:autoSpaceDN w:val="0"/>
        <w:adjustRightInd w:val="0"/>
        <w:ind w:left="1440" w:hanging="720"/>
        <w:textAlignment w:val="baseline"/>
        <w:rPr>
          <w:b/>
          <w:bCs/>
          <w:sz w:val="22"/>
          <w:szCs w:val="22"/>
        </w:rPr>
      </w:pPr>
      <w:r w:rsidRPr="00C129B9">
        <w:rPr>
          <w:b/>
          <w:bCs/>
          <w:sz w:val="22"/>
          <w:szCs w:val="22"/>
        </w:rPr>
        <w:tab/>
      </w:r>
    </w:p>
    <w:p w14:paraId="641F6F8E" w14:textId="77777777" w:rsidR="00C129B9" w:rsidRPr="00C129B9" w:rsidRDefault="00C129B9" w:rsidP="00C129B9">
      <w:pPr>
        <w:tabs>
          <w:tab w:val="left" w:pos="1440"/>
        </w:tabs>
        <w:overflowPunct w:val="0"/>
        <w:autoSpaceDE w:val="0"/>
        <w:autoSpaceDN w:val="0"/>
        <w:adjustRightInd w:val="0"/>
        <w:ind w:left="1440" w:hanging="720"/>
        <w:textAlignment w:val="baseline"/>
        <w:rPr>
          <w:rFonts w:cs="Arial"/>
          <w:sz w:val="22"/>
          <w:szCs w:val="22"/>
        </w:rPr>
      </w:pPr>
      <w:r w:rsidRPr="00C129B9">
        <w:rPr>
          <w:b/>
          <w:bCs/>
          <w:sz w:val="22"/>
          <w:szCs w:val="22"/>
        </w:rPr>
        <w:tab/>
      </w:r>
    </w:p>
    <w:p w14:paraId="25077EEB" w14:textId="6BC53C70" w:rsidR="00C129B9" w:rsidRPr="00C129B9" w:rsidRDefault="00C129B9" w:rsidP="00C129B9">
      <w:pPr>
        <w:overflowPunct w:val="0"/>
        <w:autoSpaceDE w:val="0"/>
        <w:autoSpaceDN w:val="0"/>
        <w:adjustRightInd w:val="0"/>
        <w:textAlignment w:val="baseline"/>
        <w:rPr>
          <w:sz w:val="22"/>
          <w:szCs w:val="22"/>
        </w:rPr>
      </w:pPr>
      <w:r w:rsidRPr="00C129B9">
        <w:rPr>
          <w:sz w:val="22"/>
          <w:szCs w:val="22"/>
        </w:rPr>
        <w:tab/>
      </w:r>
      <w:r w:rsidRPr="00C129B9">
        <w:rPr>
          <w:sz w:val="22"/>
          <w:szCs w:val="22"/>
        </w:rPr>
        <w:tab/>
        <w:t xml:space="preserve">Northwest Natural Gas Company, dba NW Natural (“NW Natural” or “Company”), files herewith the following revisions </w:t>
      </w:r>
      <w:r w:rsidR="000D1A51">
        <w:rPr>
          <w:sz w:val="22"/>
          <w:szCs w:val="22"/>
        </w:rPr>
        <w:t xml:space="preserve">and additions </w:t>
      </w:r>
      <w:r w:rsidRPr="00C129B9">
        <w:rPr>
          <w:sz w:val="22"/>
          <w:szCs w:val="22"/>
        </w:rPr>
        <w:t xml:space="preserve">to its Tariff </w:t>
      </w:r>
      <w:r w:rsidR="00853A51">
        <w:rPr>
          <w:sz w:val="22"/>
          <w:szCs w:val="22"/>
        </w:rPr>
        <w:t>WN-U-6</w:t>
      </w:r>
      <w:r w:rsidRPr="00C129B9">
        <w:rPr>
          <w:sz w:val="22"/>
          <w:szCs w:val="22"/>
        </w:rPr>
        <w:t>, stated to beco</w:t>
      </w:r>
      <w:r w:rsidR="005123BF">
        <w:rPr>
          <w:sz w:val="22"/>
          <w:szCs w:val="22"/>
        </w:rPr>
        <w:t>me effective on and after April 15</w:t>
      </w:r>
      <w:r w:rsidRPr="00C129B9">
        <w:rPr>
          <w:sz w:val="22"/>
          <w:szCs w:val="22"/>
        </w:rPr>
        <w:t>, 2015:</w:t>
      </w:r>
    </w:p>
    <w:p w14:paraId="2B9CB92A" w14:textId="77777777" w:rsidR="00C129B9" w:rsidRPr="00C129B9" w:rsidRDefault="00C129B9" w:rsidP="00C129B9">
      <w:pPr>
        <w:overflowPunct w:val="0"/>
        <w:autoSpaceDE w:val="0"/>
        <w:autoSpaceDN w:val="0"/>
        <w:adjustRightInd w:val="0"/>
        <w:textAlignment w:val="baseline"/>
        <w:rPr>
          <w:sz w:val="22"/>
          <w:szCs w:val="22"/>
        </w:rPr>
      </w:pPr>
    </w:p>
    <w:p w14:paraId="07CE5BEA" w14:textId="0E96D219" w:rsidR="00C5472B" w:rsidRDefault="00C5472B" w:rsidP="00C129B9">
      <w:pPr>
        <w:overflowPunct w:val="0"/>
        <w:autoSpaceDE w:val="0"/>
        <w:autoSpaceDN w:val="0"/>
        <w:adjustRightInd w:val="0"/>
        <w:ind w:left="1440" w:firstLine="720"/>
        <w:textAlignment w:val="baseline"/>
        <w:rPr>
          <w:sz w:val="22"/>
          <w:szCs w:val="22"/>
        </w:rPr>
      </w:pPr>
      <w:r>
        <w:rPr>
          <w:sz w:val="22"/>
          <w:szCs w:val="22"/>
        </w:rPr>
        <w:t>Sixth Revision of Sheet iii,</w:t>
      </w:r>
    </w:p>
    <w:p w14:paraId="37749577" w14:textId="1B1D25ED" w:rsidR="00C5472B" w:rsidRDefault="00C5472B" w:rsidP="00C129B9">
      <w:pPr>
        <w:overflowPunct w:val="0"/>
        <w:autoSpaceDE w:val="0"/>
        <w:autoSpaceDN w:val="0"/>
        <w:adjustRightInd w:val="0"/>
        <w:ind w:left="1440" w:firstLine="720"/>
        <w:textAlignment w:val="baseline"/>
        <w:rPr>
          <w:sz w:val="22"/>
          <w:szCs w:val="22"/>
        </w:rPr>
      </w:pPr>
      <w:r>
        <w:rPr>
          <w:sz w:val="22"/>
          <w:szCs w:val="22"/>
        </w:rPr>
        <w:t>Tariff Index;</w:t>
      </w:r>
    </w:p>
    <w:p w14:paraId="070AC81E" w14:textId="77777777" w:rsidR="00C5472B" w:rsidRDefault="00C5472B" w:rsidP="00C129B9">
      <w:pPr>
        <w:overflowPunct w:val="0"/>
        <w:autoSpaceDE w:val="0"/>
        <w:autoSpaceDN w:val="0"/>
        <w:adjustRightInd w:val="0"/>
        <w:ind w:left="1440" w:firstLine="720"/>
        <w:textAlignment w:val="baseline"/>
        <w:rPr>
          <w:sz w:val="22"/>
          <w:szCs w:val="22"/>
        </w:rPr>
      </w:pPr>
    </w:p>
    <w:p w14:paraId="36785826" w14:textId="458D0C94"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 xml:space="preserve">First Revision of Sheet </w:t>
      </w:r>
      <w:r w:rsidR="00D15D5D">
        <w:rPr>
          <w:sz w:val="22"/>
          <w:szCs w:val="22"/>
        </w:rPr>
        <w:t>3.1</w:t>
      </w:r>
      <w:r w:rsidRPr="00C129B9">
        <w:rPr>
          <w:sz w:val="22"/>
          <w:szCs w:val="22"/>
        </w:rPr>
        <w:t>,</w:t>
      </w:r>
    </w:p>
    <w:p w14:paraId="41DA861E" w14:textId="7F6FB70B"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General Rules and Regulations</w:t>
      </w:r>
      <w:r w:rsidR="00C53F63">
        <w:rPr>
          <w:sz w:val="22"/>
          <w:szCs w:val="22"/>
        </w:rPr>
        <w:t xml:space="preserve"> (continued)</w:t>
      </w:r>
      <w:r w:rsidRPr="00C129B9">
        <w:rPr>
          <w:sz w:val="22"/>
          <w:szCs w:val="22"/>
        </w:rPr>
        <w:t>,</w:t>
      </w:r>
    </w:p>
    <w:p w14:paraId="7757FE58" w14:textId="2FF6FCDB"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w:t>
      </w:r>
      <w:r w:rsidR="00D15D5D">
        <w:rPr>
          <w:sz w:val="22"/>
          <w:szCs w:val="22"/>
        </w:rPr>
        <w:t>Rule 3</w:t>
      </w:r>
      <w:r w:rsidRPr="00C129B9">
        <w:rPr>
          <w:sz w:val="22"/>
          <w:szCs w:val="22"/>
        </w:rPr>
        <w:t xml:space="preserve"> Deposits</w:t>
      </w:r>
      <w:r w:rsidR="00D15D5D">
        <w:rPr>
          <w:sz w:val="22"/>
          <w:szCs w:val="22"/>
        </w:rPr>
        <w:t>;</w:t>
      </w:r>
      <w:r w:rsidRPr="00C129B9">
        <w:rPr>
          <w:sz w:val="22"/>
          <w:szCs w:val="22"/>
        </w:rPr>
        <w:t>”</w:t>
      </w:r>
    </w:p>
    <w:p w14:paraId="05C560D2" w14:textId="77777777" w:rsidR="00C129B9" w:rsidRPr="00C129B9" w:rsidRDefault="00C129B9" w:rsidP="00C129B9">
      <w:pPr>
        <w:overflowPunct w:val="0"/>
        <w:autoSpaceDE w:val="0"/>
        <w:autoSpaceDN w:val="0"/>
        <w:adjustRightInd w:val="0"/>
        <w:ind w:left="1440" w:firstLine="720"/>
        <w:textAlignment w:val="baseline"/>
        <w:rPr>
          <w:sz w:val="22"/>
          <w:szCs w:val="22"/>
        </w:rPr>
      </w:pPr>
    </w:p>
    <w:p w14:paraId="00200CAB" w14:textId="0F8A6962" w:rsidR="00C129B9" w:rsidRPr="00C129B9" w:rsidRDefault="00727A00" w:rsidP="00C129B9">
      <w:pPr>
        <w:overflowPunct w:val="0"/>
        <w:autoSpaceDE w:val="0"/>
        <w:autoSpaceDN w:val="0"/>
        <w:adjustRightInd w:val="0"/>
        <w:ind w:left="1440" w:firstLine="720"/>
        <w:textAlignment w:val="baseline"/>
        <w:rPr>
          <w:sz w:val="22"/>
          <w:szCs w:val="22"/>
        </w:rPr>
      </w:pPr>
      <w:r>
        <w:rPr>
          <w:sz w:val="22"/>
          <w:szCs w:val="22"/>
        </w:rPr>
        <w:t xml:space="preserve">Second </w:t>
      </w:r>
      <w:r w:rsidR="00D15D5D">
        <w:rPr>
          <w:sz w:val="22"/>
          <w:szCs w:val="22"/>
        </w:rPr>
        <w:t>Revision of Sheet 3.2</w:t>
      </w:r>
      <w:r w:rsidR="00C129B9" w:rsidRPr="00C129B9">
        <w:rPr>
          <w:sz w:val="22"/>
          <w:szCs w:val="22"/>
        </w:rPr>
        <w:t>,</w:t>
      </w:r>
    </w:p>
    <w:p w14:paraId="6892AE52" w14:textId="503628A1" w:rsidR="00C129B9" w:rsidRPr="00C129B9" w:rsidRDefault="00C129B9" w:rsidP="00C129B9">
      <w:pPr>
        <w:overflowPunct w:val="0"/>
        <w:autoSpaceDE w:val="0"/>
        <w:autoSpaceDN w:val="0"/>
        <w:adjustRightInd w:val="0"/>
        <w:ind w:left="1440" w:firstLine="720"/>
        <w:textAlignment w:val="baseline"/>
        <w:rPr>
          <w:sz w:val="22"/>
          <w:szCs w:val="22"/>
        </w:rPr>
      </w:pPr>
      <w:r w:rsidRPr="00C129B9">
        <w:rPr>
          <w:sz w:val="22"/>
          <w:szCs w:val="22"/>
        </w:rPr>
        <w:t>General Rules and Regulations</w:t>
      </w:r>
      <w:r w:rsidR="00C53F63">
        <w:rPr>
          <w:sz w:val="22"/>
          <w:szCs w:val="22"/>
        </w:rPr>
        <w:t xml:space="preserve"> (continued)</w:t>
      </w:r>
      <w:r w:rsidRPr="00C129B9">
        <w:rPr>
          <w:sz w:val="22"/>
          <w:szCs w:val="22"/>
        </w:rPr>
        <w:t xml:space="preserve">, </w:t>
      </w:r>
    </w:p>
    <w:p w14:paraId="5E367474" w14:textId="0BC16D24" w:rsidR="00C129B9" w:rsidRPr="00C129B9" w:rsidRDefault="00D15D5D" w:rsidP="00C129B9">
      <w:pPr>
        <w:overflowPunct w:val="0"/>
        <w:autoSpaceDE w:val="0"/>
        <w:autoSpaceDN w:val="0"/>
        <w:adjustRightInd w:val="0"/>
        <w:ind w:left="1440" w:firstLine="720"/>
        <w:textAlignment w:val="baseline"/>
        <w:rPr>
          <w:sz w:val="22"/>
          <w:szCs w:val="22"/>
        </w:rPr>
      </w:pPr>
      <w:r>
        <w:rPr>
          <w:sz w:val="22"/>
          <w:szCs w:val="22"/>
        </w:rPr>
        <w:t>“Rule 3</w:t>
      </w:r>
      <w:r w:rsidR="000F33CF">
        <w:rPr>
          <w:sz w:val="22"/>
          <w:szCs w:val="22"/>
        </w:rPr>
        <w:t xml:space="preserve"> Deposits;</w:t>
      </w:r>
      <w:r w:rsidR="00C129B9" w:rsidRPr="00C129B9">
        <w:rPr>
          <w:sz w:val="22"/>
          <w:szCs w:val="22"/>
        </w:rPr>
        <w:t>”</w:t>
      </w:r>
      <w:r w:rsidR="000F33CF">
        <w:rPr>
          <w:sz w:val="22"/>
          <w:szCs w:val="22"/>
        </w:rPr>
        <w:t xml:space="preserve"> and</w:t>
      </w:r>
    </w:p>
    <w:p w14:paraId="6A1E673F" w14:textId="77777777" w:rsidR="00C129B9" w:rsidRPr="00C129B9" w:rsidRDefault="00C129B9" w:rsidP="00C129B9">
      <w:pPr>
        <w:overflowPunct w:val="0"/>
        <w:autoSpaceDE w:val="0"/>
        <w:autoSpaceDN w:val="0"/>
        <w:adjustRightInd w:val="0"/>
        <w:textAlignment w:val="baseline"/>
        <w:rPr>
          <w:sz w:val="22"/>
          <w:szCs w:val="22"/>
        </w:rPr>
      </w:pPr>
    </w:p>
    <w:p w14:paraId="73331100" w14:textId="2824C5FE" w:rsidR="000F33CF" w:rsidRPr="00C129B9" w:rsidRDefault="000F33CF" w:rsidP="000F33CF">
      <w:pPr>
        <w:overflowPunct w:val="0"/>
        <w:autoSpaceDE w:val="0"/>
        <w:autoSpaceDN w:val="0"/>
        <w:adjustRightInd w:val="0"/>
        <w:ind w:left="1440" w:firstLine="720"/>
        <w:textAlignment w:val="baseline"/>
        <w:rPr>
          <w:sz w:val="22"/>
          <w:szCs w:val="22"/>
        </w:rPr>
      </w:pPr>
      <w:r>
        <w:rPr>
          <w:sz w:val="22"/>
          <w:szCs w:val="22"/>
        </w:rPr>
        <w:t>Original Sheet 3.3</w:t>
      </w:r>
      <w:r w:rsidRPr="00C129B9">
        <w:rPr>
          <w:sz w:val="22"/>
          <w:szCs w:val="22"/>
        </w:rPr>
        <w:t>,</w:t>
      </w:r>
    </w:p>
    <w:p w14:paraId="09201B73" w14:textId="77777777" w:rsidR="000F33CF" w:rsidRPr="00C129B9" w:rsidRDefault="000F33CF" w:rsidP="000F33CF">
      <w:pPr>
        <w:overflowPunct w:val="0"/>
        <w:autoSpaceDE w:val="0"/>
        <w:autoSpaceDN w:val="0"/>
        <w:adjustRightInd w:val="0"/>
        <w:ind w:left="1440" w:firstLine="720"/>
        <w:textAlignment w:val="baseline"/>
        <w:rPr>
          <w:sz w:val="22"/>
          <w:szCs w:val="22"/>
        </w:rPr>
      </w:pPr>
      <w:r w:rsidRPr="00C129B9">
        <w:rPr>
          <w:sz w:val="22"/>
          <w:szCs w:val="22"/>
        </w:rPr>
        <w:t>General Rules and Regulations</w:t>
      </w:r>
      <w:r>
        <w:rPr>
          <w:sz w:val="22"/>
          <w:szCs w:val="22"/>
        </w:rPr>
        <w:t xml:space="preserve"> (continued)</w:t>
      </w:r>
      <w:r w:rsidRPr="00C129B9">
        <w:rPr>
          <w:sz w:val="22"/>
          <w:szCs w:val="22"/>
        </w:rPr>
        <w:t xml:space="preserve">, </w:t>
      </w:r>
    </w:p>
    <w:p w14:paraId="2FC9B45D" w14:textId="77777777" w:rsidR="000F33CF" w:rsidRPr="00C129B9" w:rsidRDefault="000F33CF" w:rsidP="000F33CF">
      <w:pPr>
        <w:overflowPunct w:val="0"/>
        <w:autoSpaceDE w:val="0"/>
        <w:autoSpaceDN w:val="0"/>
        <w:adjustRightInd w:val="0"/>
        <w:ind w:left="1440" w:firstLine="720"/>
        <w:textAlignment w:val="baseline"/>
        <w:rPr>
          <w:sz w:val="22"/>
          <w:szCs w:val="22"/>
        </w:rPr>
      </w:pPr>
      <w:r>
        <w:rPr>
          <w:sz w:val="22"/>
          <w:szCs w:val="22"/>
        </w:rPr>
        <w:t>“Rule 3</w:t>
      </w:r>
      <w:r w:rsidRPr="00C129B9">
        <w:rPr>
          <w:sz w:val="22"/>
          <w:szCs w:val="22"/>
        </w:rPr>
        <w:t xml:space="preserve"> Deposits.”</w:t>
      </w:r>
    </w:p>
    <w:p w14:paraId="2B6BC550" w14:textId="77777777" w:rsidR="00C129B9" w:rsidRPr="00C129B9" w:rsidRDefault="00C129B9" w:rsidP="00C129B9">
      <w:pPr>
        <w:overflowPunct w:val="0"/>
        <w:autoSpaceDE w:val="0"/>
        <w:autoSpaceDN w:val="0"/>
        <w:adjustRightInd w:val="0"/>
        <w:textAlignment w:val="baseline"/>
        <w:rPr>
          <w:sz w:val="22"/>
          <w:szCs w:val="22"/>
        </w:rPr>
      </w:pPr>
    </w:p>
    <w:p w14:paraId="607D5757" w14:textId="1D497BD3" w:rsidR="00C129B9" w:rsidRPr="00C129B9" w:rsidRDefault="00C129B9" w:rsidP="00C129B9">
      <w:pPr>
        <w:overflowPunct w:val="0"/>
        <w:autoSpaceDE w:val="0"/>
        <w:autoSpaceDN w:val="0"/>
        <w:adjustRightInd w:val="0"/>
        <w:textAlignment w:val="baseline"/>
        <w:rPr>
          <w:sz w:val="22"/>
          <w:szCs w:val="22"/>
        </w:rPr>
      </w:pPr>
      <w:r w:rsidRPr="00C129B9">
        <w:rPr>
          <w:sz w:val="22"/>
          <w:szCs w:val="22"/>
        </w:rPr>
        <w:tab/>
      </w:r>
      <w:r w:rsidRPr="00C129B9">
        <w:rPr>
          <w:sz w:val="22"/>
          <w:szCs w:val="22"/>
        </w:rPr>
        <w:tab/>
        <w:t xml:space="preserve">The purpose of this filing is to </w:t>
      </w:r>
      <w:r w:rsidR="00FF6B75">
        <w:rPr>
          <w:sz w:val="22"/>
          <w:szCs w:val="22"/>
        </w:rPr>
        <w:t xml:space="preserve">(1) </w:t>
      </w:r>
      <w:r w:rsidRPr="00C129B9">
        <w:rPr>
          <w:sz w:val="22"/>
          <w:szCs w:val="22"/>
        </w:rPr>
        <w:t xml:space="preserve">revise </w:t>
      </w:r>
      <w:r w:rsidR="00FF6B75">
        <w:rPr>
          <w:sz w:val="22"/>
          <w:szCs w:val="22"/>
        </w:rPr>
        <w:t>General Rule</w:t>
      </w:r>
      <w:r w:rsidR="00C5472B">
        <w:rPr>
          <w:sz w:val="22"/>
          <w:szCs w:val="22"/>
        </w:rPr>
        <w:t xml:space="preserve"> 3 </w:t>
      </w:r>
      <w:r w:rsidR="00FF6B75">
        <w:rPr>
          <w:sz w:val="22"/>
          <w:szCs w:val="22"/>
        </w:rPr>
        <w:t xml:space="preserve">at </w:t>
      </w:r>
      <w:r w:rsidRPr="00C129B9">
        <w:rPr>
          <w:sz w:val="22"/>
          <w:szCs w:val="22"/>
        </w:rPr>
        <w:t>the above-referenced sheets to describe the Company’s practice for deposit requirements when there is no record of prior gas usage at the service address, or where there is less than 12 months of normal usage at the service address</w:t>
      </w:r>
      <w:r w:rsidR="000D1A51">
        <w:rPr>
          <w:sz w:val="22"/>
          <w:szCs w:val="22"/>
        </w:rPr>
        <w:t xml:space="preserve"> (“Default Deposits”)</w:t>
      </w:r>
      <w:r w:rsidR="00FF6B75">
        <w:rPr>
          <w:sz w:val="22"/>
          <w:szCs w:val="22"/>
        </w:rPr>
        <w:t>; and (2) revise General Rule 3 to describe the Company’s practices for deposit payment arrangements</w:t>
      </w:r>
      <w:r w:rsidRPr="00C129B9">
        <w:rPr>
          <w:sz w:val="22"/>
          <w:szCs w:val="22"/>
        </w:rPr>
        <w:t>.</w:t>
      </w:r>
    </w:p>
    <w:p w14:paraId="2EEDA938" w14:textId="4C9CEB5D" w:rsidR="00C53F63" w:rsidRDefault="00C53F63" w:rsidP="000D1A51">
      <w:pPr>
        <w:overflowPunct w:val="0"/>
        <w:autoSpaceDE w:val="0"/>
        <w:autoSpaceDN w:val="0"/>
        <w:adjustRightInd w:val="0"/>
        <w:textAlignment w:val="baseline"/>
        <w:rPr>
          <w:sz w:val="22"/>
          <w:szCs w:val="22"/>
        </w:rPr>
      </w:pPr>
    </w:p>
    <w:p w14:paraId="20CF5281" w14:textId="149CE1D6" w:rsidR="000D1A51" w:rsidRPr="000D1A51" w:rsidRDefault="000D1A51" w:rsidP="000D1A51">
      <w:pPr>
        <w:overflowPunct w:val="0"/>
        <w:autoSpaceDE w:val="0"/>
        <w:autoSpaceDN w:val="0"/>
        <w:adjustRightInd w:val="0"/>
        <w:textAlignment w:val="baseline"/>
        <w:rPr>
          <w:sz w:val="22"/>
          <w:szCs w:val="22"/>
        </w:rPr>
      </w:pPr>
      <w:r>
        <w:rPr>
          <w:sz w:val="22"/>
          <w:szCs w:val="22"/>
          <w:u w:val="single"/>
        </w:rPr>
        <w:t>Default Deposits</w:t>
      </w:r>
    </w:p>
    <w:p w14:paraId="093605F9" w14:textId="77777777" w:rsidR="000D1A51" w:rsidRDefault="000D1A51" w:rsidP="000D1A51">
      <w:pPr>
        <w:overflowPunct w:val="0"/>
        <w:autoSpaceDE w:val="0"/>
        <w:autoSpaceDN w:val="0"/>
        <w:adjustRightInd w:val="0"/>
        <w:textAlignment w:val="baseline"/>
        <w:rPr>
          <w:sz w:val="22"/>
          <w:szCs w:val="22"/>
        </w:rPr>
      </w:pPr>
    </w:p>
    <w:p w14:paraId="0330D42E" w14:textId="65BCF409" w:rsidR="004D1A15" w:rsidRPr="004D1A15" w:rsidRDefault="00C129B9" w:rsidP="004D1A15">
      <w:pPr>
        <w:ind w:firstLine="720"/>
        <w:rPr>
          <w:sz w:val="22"/>
          <w:szCs w:val="22"/>
        </w:rPr>
      </w:pPr>
      <w:r w:rsidRPr="00C129B9">
        <w:rPr>
          <w:sz w:val="22"/>
          <w:szCs w:val="22"/>
        </w:rPr>
        <w:tab/>
      </w:r>
      <w:r w:rsidR="004D1A15">
        <w:rPr>
          <w:sz w:val="22"/>
          <w:szCs w:val="22"/>
        </w:rPr>
        <w:t>T</w:t>
      </w:r>
      <w:r w:rsidR="004D1A15" w:rsidRPr="004D1A15">
        <w:rPr>
          <w:sz w:val="22"/>
          <w:szCs w:val="22"/>
        </w:rPr>
        <w:t xml:space="preserve">he Company developed default deposit amounts for residential and small commercial customers that are based on expected gas usage for certain equipment types.  These default deposit amounts are used for situations where there is no usage history or where there is less than 12 months of normal usage history.  The use of standard default deposit </w:t>
      </w:r>
      <w:r w:rsidR="004D1A15" w:rsidRPr="004D1A15">
        <w:rPr>
          <w:sz w:val="22"/>
          <w:szCs w:val="22"/>
        </w:rPr>
        <w:lastRenderedPageBreak/>
        <w:t xml:space="preserve">amounts in these situations simplifies the application process and eliminates the need for a Customer Service Representative (“CSR”) to keep the customer on the telephone while they calculate estimated usage in order to determine the appropriate deposit amount.  </w:t>
      </w:r>
    </w:p>
    <w:p w14:paraId="76838563" w14:textId="77777777" w:rsidR="00C5472B" w:rsidRDefault="00C5472B" w:rsidP="00C5472B">
      <w:pPr>
        <w:rPr>
          <w:sz w:val="22"/>
          <w:szCs w:val="22"/>
        </w:rPr>
      </w:pPr>
    </w:p>
    <w:p w14:paraId="25CFD96A" w14:textId="2EA10B85" w:rsidR="00FE0084" w:rsidRDefault="004D1A15" w:rsidP="00C5472B">
      <w:pPr>
        <w:rPr>
          <w:sz w:val="22"/>
          <w:szCs w:val="22"/>
        </w:rPr>
      </w:pPr>
      <w:r w:rsidRPr="004D1A15">
        <w:rPr>
          <w:sz w:val="22"/>
          <w:szCs w:val="22"/>
        </w:rPr>
        <w:tab/>
        <w:t xml:space="preserve">There are three default deposit amounts in use for residential customers, and one default deposit amount in use for small commercial customers.  Please note that the commercial default deposit does not apply to a commercial applicant where gas </w:t>
      </w:r>
      <w:r>
        <w:rPr>
          <w:sz w:val="22"/>
          <w:szCs w:val="22"/>
        </w:rPr>
        <w:t>usage is expected to exceed 78</w:t>
      </w:r>
      <w:r w:rsidRPr="004D1A15">
        <w:rPr>
          <w:sz w:val="22"/>
          <w:szCs w:val="22"/>
        </w:rPr>
        <w:t xml:space="preserve"> therms per month, or where gas is used as a primary fuel to operate the </w:t>
      </w:r>
    </w:p>
    <w:p w14:paraId="12ED5701" w14:textId="31D49133" w:rsidR="004D1A15" w:rsidRPr="004D1A15" w:rsidRDefault="004D1A15" w:rsidP="00FE0084">
      <w:pPr>
        <w:overflowPunct w:val="0"/>
        <w:autoSpaceDE w:val="0"/>
        <w:autoSpaceDN w:val="0"/>
        <w:adjustRightInd w:val="0"/>
        <w:textAlignment w:val="baseline"/>
        <w:rPr>
          <w:sz w:val="22"/>
          <w:szCs w:val="22"/>
        </w:rPr>
      </w:pPr>
      <w:r w:rsidRPr="004D1A15">
        <w:rPr>
          <w:sz w:val="22"/>
          <w:szCs w:val="22"/>
        </w:rPr>
        <w:t>business (e.g. restaurants, food processing, manufacturing, etc.).  The default deposit amounts are derived from the following equipment and average usage assumptions:</w:t>
      </w:r>
    </w:p>
    <w:p w14:paraId="1D41B45A" w14:textId="38FDFF1D" w:rsidR="00C129B9" w:rsidRPr="00C129B9" w:rsidRDefault="00C129B9" w:rsidP="004D1A15">
      <w:pPr>
        <w:overflowPunct w:val="0"/>
        <w:autoSpaceDE w:val="0"/>
        <w:autoSpaceDN w:val="0"/>
        <w:adjustRightInd w:val="0"/>
        <w:ind w:firstLine="720"/>
        <w:textAlignment w:val="baseline"/>
        <w:rPr>
          <w:sz w:val="22"/>
          <w:szCs w:val="22"/>
        </w:rPr>
      </w:pPr>
    </w:p>
    <w:p w14:paraId="7CB0A361" w14:textId="77777777" w:rsidR="00C129B9" w:rsidRPr="00C129B9" w:rsidRDefault="00C129B9" w:rsidP="00C129B9">
      <w:pPr>
        <w:overflowPunct w:val="0"/>
        <w:autoSpaceDE w:val="0"/>
        <w:autoSpaceDN w:val="0"/>
        <w:adjustRightInd w:val="0"/>
        <w:ind w:firstLine="720"/>
        <w:textAlignment w:val="baseline"/>
        <w:rPr>
          <w:sz w:val="22"/>
          <w:szCs w:val="22"/>
        </w:rPr>
      </w:pPr>
    </w:p>
    <w:tbl>
      <w:tblPr>
        <w:tblStyle w:val="TableGrid1"/>
        <w:tblW w:w="0" w:type="auto"/>
        <w:tblInd w:w="720" w:type="dxa"/>
        <w:tblLook w:val="04A0" w:firstRow="1" w:lastRow="0" w:firstColumn="1" w:lastColumn="0" w:noHBand="0" w:noVBand="1"/>
      </w:tblPr>
      <w:tblGrid>
        <w:gridCol w:w="4518"/>
        <w:gridCol w:w="1980"/>
        <w:gridCol w:w="1980"/>
      </w:tblGrid>
      <w:tr w:rsidR="00C129B9" w:rsidRPr="00C129B9" w14:paraId="636C2C6A" w14:textId="77777777" w:rsidTr="00B92C83">
        <w:tc>
          <w:tcPr>
            <w:tcW w:w="4518" w:type="dxa"/>
          </w:tcPr>
          <w:p w14:paraId="1F78B368" w14:textId="77777777" w:rsidR="00C129B9" w:rsidRPr="00C129B9" w:rsidRDefault="00C129B9" w:rsidP="00C129B9">
            <w:pPr>
              <w:jc w:val="center"/>
              <w:rPr>
                <w:b/>
                <w:sz w:val="22"/>
                <w:szCs w:val="22"/>
              </w:rPr>
            </w:pPr>
            <w:r w:rsidRPr="00C129B9">
              <w:rPr>
                <w:b/>
                <w:sz w:val="22"/>
                <w:szCs w:val="22"/>
              </w:rPr>
              <w:t>Equipment</w:t>
            </w:r>
          </w:p>
        </w:tc>
        <w:tc>
          <w:tcPr>
            <w:tcW w:w="1980" w:type="dxa"/>
          </w:tcPr>
          <w:p w14:paraId="7487574C" w14:textId="77777777" w:rsidR="00C129B9" w:rsidRPr="00C129B9" w:rsidRDefault="00C129B9" w:rsidP="00C129B9">
            <w:pPr>
              <w:jc w:val="center"/>
              <w:rPr>
                <w:b/>
                <w:sz w:val="22"/>
                <w:szCs w:val="22"/>
              </w:rPr>
            </w:pPr>
            <w:r w:rsidRPr="00C129B9">
              <w:rPr>
                <w:b/>
                <w:sz w:val="22"/>
                <w:szCs w:val="22"/>
              </w:rPr>
              <w:t>Monthly Usage (therms)</w:t>
            </w:r>
          </w:p>
        </w:tc>
        <w:tc>
          <w:tcPr>
            <w:tcW w:w="1980" w:type="dxa"/>
          </w:tcPr>
          <w:p w14:paraId="072CF97F" w14:textId="77777777" w:rsidR="00C129B9" w:rsidRPr="00C129B9" w:rsidRDefault="00C129B9" w:rsidP="00C129B9">
            <w:pPr>
              <w:jc w:val="center"/>
              <w:rPr>
                <w:b/>
                <w:sz w:val="22"/>
                <w:szCs w:val="22"/>
              </w:rPr>
            </w:pPr>
            <w:r w:rsidRPr="00C129B9">
              <w:rPr>
                <w:b/>
                <w:sz w:val="22"/>
                <w:szCs w:val="22"/>
              </w:rPr>
              <w:t>Default Deposit Amount</w:t>
            </w:r>
          </w:p>
        </w:tc>
      </w:tr>
      <w:tr w:rsidR="00C129B9" w:rsidRPr="00C129B9" w14:paraId="7A280D35" w14:textId="77777777" w:rsidTr="00B92C83">
        <w:tc>
          <w:tcPr>
            <w:tcW w:w="4518" w:type="dxa"/>
          </w:tcPr>
          <w:p w14:paraId="47F0CFF3" w14:textId="77777777" w:rsidR="00C129B9" w:rsidRPr="00C129B9" w:rsidRDefault="00C129B9" w:rsidP="00C129B9">
            <w:pPr>
              <w:rPr>
                <w:sz w:val="22"/>
                <w:szCs w:val="22"/>
              </w:rPr>
            </w:pPr>
            <w:r w:rsidRPr="00C129B9">
              <w:rPr>
                <w:sz w:val="22"/>
                <w:szCs w:val="22"/>
              </w:rPr>
              <w:t>Residential:</w:t>
            </w:r>
          </w:p>
        </w:tc>
        <w:tc>
          <w:tcPr>
            <w:tcW w:w="1980" w:type="dxa"/>
          </w:tcPr>
          <w:p w14:paraId="7C667743" w14:textId="77777777" w:rsidR="00C129B9" w:rsidRPr="00C129B9" w:rsidRDefault="00C129B9" w:rsidP="00C129B9">
            <w:pPr>
              <w:rPr>
                <w:sz w:val="22"/>
                <w:szCs w:val="22"/>
              </w:rPr>
            </w:pPr>
          </w:p>
        </w:tc>
        <w:tc>
          <w:tcPr>
            <w:tcW w:w="1980" w:type="dxa"/>
          </w:tcPr>
          <w:p w14:paraId="01FA4B51" w14:textId="77777777" w:rsidR="00C129B9" w:rsidRPr="00C129B9" w:rsidRDefault="00C129B9" w:rsidP="00C129B9">
            <w:pPr>
              <w:rPr>
                <w:sz w:val="22"/>
                <w:szCs w:val="22"/>
              </w:rPr>
            </w:pPr>
          </w:p>
        </w:tc>
      </w:tr>
      <w:tr w:rsidR="00C129B9" w:rsidRPr="00C129B9" w14:paraId="0016D0AF" w14:textId="77777777" w:rsidTr="00B92C83">
        <w:tc>
          <w:tcPr>
            <w:tcW w:w="4518" w:type="dxa"/>
          </w:tcPr>
          <w:p w14:paraId="6D8F9F97" w14:textId="77777777" w:rsidR="00C129B9" w:rsidRPr="00C129B9" w:rsidRDefault="00C129B9" w:rsidP="00C129B9">
            <w:pPr>
              <w:rPr>
                <w:sz w:val="22"/>
                <w:szCs w:val="22"/>
              </w:rPr>
            </w:pPr>
            <w:r w:rsidRPr="00C129B9">
              <w:rPr>
                <w:sz w:val="22"/>
                <w:szCs w:val="22"/>
              </w:rPr>
              <w:t xml:space="preserve">     Space and water heating</w:t>
            </w:r>
          </w:p>
        </w:tc>
        <w:tc>
          <w:tcPr>
            <w:tcW w:w="1980" w:type="dxa"/>
          </w:tcPr>
          <w:p w14:paraId="39EA6602" w14:textId="6A38EE91" w:rsidR="00C129B9" w:rsidRPr="00C129B9" w:rsidRDefault="00C129B9" w:rsidP="00C129B9">
            <w:pPr>
              <w:jc w:val="center"/>
              <w:rPr>
                <w:sz w:val="22"/>
                <w:szCs w:val="22"/>
              </w:rPr>
            </w:pPr>
            <w:r w:rsidRPr="00C129B9">
              <w:rPr>
                <w:sz w:val="22"/>
                <w:szCs w:val="22"/>
              </w:rPr>
              <w:t>5</w:t>
            </w:r>
            <w:r w:rsidR="004D1A15">
              <w:rPr>
                <w:sz w:val="22"/>
                <w:szCs w:val="22"/>
              </w:rPr>
              <w:t>5</w:t>
            </w:r>
          </w:p>
        </w:tc>
        <w:tc>
          <w:tcPr>
            <w:tcW w:w="1980" w:type="dxa"/>
          </w:tcPr>
          <w:p w14:paraId="705821D5" w14:textId="77777777" w:rsidR="00C129B9" w:rsidRPr="00C129B9" w:rsidRDefault="00C129B9" w:rsidP="00C129B9">
            <w:pPr>
              <w:jc w:val="center"/>
              <w:rPr>
                <w:sz w:val="22"/>
                <w:szCs w:val="22"/>
              </w:rPr>
            </w:pPr>
            <w:r w:rsidRPr="00C129B9">
              <w:rPr>
                <w:sz w:val="22"/>
                <w:szCs w:val="22"/>
              </w:rPr>
              <w:t>$ 125.00</w:t>
            </w:r>
          </w:p>
        </w:tc>
      </w:tr>
      <w:tr w:rsidR="00C129B9" w:rsidRPr="00C129B9" w14:paraId="7F5BA50A" w14:textId="77777777" w:rsidTr="00B92C83">
        <w:tc>
          <w:tcPr>
            <w:tcW w:w="4518" w:type="dxa"/>
          </w:tcPr>
          <w:p w14:paraId="0650770F" w14:textId="77777777" w:rsidR="00C129B9" w:rsidRPr="00C129B9" w:rsidRDefault="00C129B9" w:rsidP="00C129B9">
            <w:pPr>
              <w:rPr>
                <w:sz w:val="22"/>
                <w:szCs w:val="22"/>
              </w:rPr>
            </w:pPr>
            <w:r w:rsidRPr="00C129B9">
              <w:rPr>
                <w:sz w:val="22"/>
                <w:szCs w:val="22"/>
              </w:rPr>
              <w:t xml:space="preserve">     Space heating only</w:t>
            </w:r>
          </w:p>
        </w:tc>
        <w:tc>
          <w:tcPr>
            <w:tcW w:w="1980" w:type="dxa"/>
          </w:tcPr>
          <w:p w14:paraId="57F437BE" w14:textId="77777777" w:rsidR="00C129B9" w:rsidRPr="00C129B9" w:rsidRDefault="00C129B9" w:rsidP="00C129B9">
            <w:pPr>
              <w:jc w:val="center"/>
              <w:rPr>
                <w:sz w:val="22"/>
                <w:szCs w:val="22"/>
              </w:rPr>
            </w:pPr>
            <w:r w:rsidRPr="00C129B9">
              <w:rPr>
                <w:sz w:val="22"/>
                <w:szCs w:val="22"/>
              </w:rPr>
              <w:t>43</w:t>
            </w:r>
          </w:p>
        </w:tc>
        <w:tc>
          <w:tcPr>
            <w:tcW w:w="1980" w:type="dxa"/>
          </w:tcPr>
          <w:p w14:paraId="4F0B4B7C" w14:textId="77777777" w:rsidR="00C129B9" w:rsidRPr="00C129B9" w:rsidRDefault="00C129B9" w:rsidP="00C129B9">
            <w:pPr>
              <w:jc w:val="center"/>
              <w:rPr>
                <w:sz w:val="22"/>
                <w:szCs w:val="22"/>
              </w:rPr>
            </w:pPr>
            <w:r w:rsidRPr="00C129B9">
              <w:rPr>
                <w:sz w:val="22"/>
                <w:szCs w:val="22"/>
              </w:rPr>
              <w:t>$ 100.00</w:t>
            </w:r>
          </w:p>
        </w:tc>
      </w:tr>
      <w:tr w:rsidR="00C129B9" w:rsidRPr="00C129B9" w14:paraId="64E33459" w14:textId="77777777" w:rsidTr="00B92C83">
        <w:tc>
          <w:tcPr>
            <w:tcW w:w="4518" w:type="dxa"/>
          </w:tcPr>
          <w:p w14:paraId="79D77E65" w14:textId="77777777" w:rsidR="00C129B9" w:rsidRPr="00C129B9" w:rsidRDefault="00C129B9" w:rsidP="00C129B9">
            <w:pPr>
              <w:rPr>
                <w:sz w:val="22"/>
                <w:szCs w:val="22"/>
              </w:rPr>
            </w:pPr>
            <w:r w:rsidRPr="00C129B9">
              <w:rPr>
                <w:sz w:val="22"/>
                <w:szCs w:val="22"/>
              </w:rPr>
              <w:t xml:space="preserve">     No space heating</w:t>
            </w:r>
          </w:p>
        </w:tc>
        <w:tc>
          <w:tcPr>
            <w:tcW w:w="1980" w:type="dxa"/>
          </w:tcPr>
          <w:p w14:paraId="5B18DC01" w14:textId="5B89C816" w:rsidR="00C129B9" w:rsidRPr="00C129B9" w:rsidRDefault="00C129B9" w:rsidP="00C129B9">
            <w:pPr>
              <w:jc w:val="center"/>
              <w:rPr>
                <w:sz w:val="22"/>
                <w:szCs w:val="22"/>
              </w:rPr>
            </w:pPr>
            <w:r w:rsidRPr="00C129B9">
              <w:rPr>
                <w:sz w:val="22"/>
                <w:szCs w:val="22"/>
              </w:rPr>
              <w:t>1</w:t>
            </w:r>
            <w:r w:rsidR="004D1A15">
              <w:rPr>
                <w:sz w:val="22"/>
                <w:szCs w:val="22"/>
              </w:rPr>
              <w:t>3</w:t>
            </w:r>
          </w:p>
        </w:tc>
        <w:tc>
          <w:tcPr>
            <w:tcW w:w="1980" w:type="dxa"/>
          </w:tcPr>
          <w:p w14:paraId="63BD012E" w14:textId="20EBAA9D" w:rsidR="00C129B9" w:rsidRPr="00C129B9" w:rsidRDefault="00C129B9" w:rsidP="00C129B9">
            <w:pPr>
              <w:jc w:val="center"/>
              <w:rPr>
                <w:sz w:val="22"/>
                <w:szCs w:val="22"/>
              </w:rPr>
            </w:pPr>
            <w:r w:rsidRPr="00C129B9">
              <w:rPr>
                <w:sz w:val="22"/>
                <w:szCs w:val="22"/>
              </w:rPr>
              <w:t xml:space="preserve">$ </w:t>
            </w:r>
            <w:r w:rsidR="004D1A15">
              <w:rPr>
                <w:sz w:val="22"/>
                <w:szCs w:val="22"/>
              </w:rPr>
              <w:t xml:space="preserve"> </w:t>
            </w:r>
            <w:r w:rsidRPr="00C129B9">
              <w:rPr>
                <w:sz w:val="22"/>
                <w:szCs w:val="22"/>
              </w:rPr>
              <w:t>40</w:t>
            </w:r>
            <w:r w:rsidR="004D1A15">
              <w:rPr>
                <w:sz w:val="22"/>
                <w:szCs w:val="22"/>
              </w:rPr>
              <w:t>.00</w:t>
            </w:r>
          </w:p>
        </w:tc>
      </w:tr>
      <w:tr w:rsidR="00C129B9" w:rsidRPr="00C129B9" w14:paraId="5FE9FEF2" w14:textId="77777777" w:rsidTr="00B92C83">
        <w:tc>
          <w:tcPr>
            <w:tcW w:w="4518" w:type="dxa"/>
          </w:tcPr>
          <w:p w14:paraId="7B5C3716" w14:textId="77777777" w:rsidR="00C129B9" w:rsidRPr="00C129B9" w:rsidRDefault="00C129B9" w:rsidP="00C129B9">
            <w:pPr>
              <w:rPr>
                <w:sz w:val="22"/>
                <w:szCs w:val="22"/>
              </w:rPr>
            </w:pPr>
            <w:r w:rsidRPr="00C129B9">
              <w:rPr>
                <w:sz w:val="22"/>
                <w:szCs w:val="22"/>
              </w:rPr>
              <w:t>Commercial:</w:t>
            </w:r>
          </w:p>
        </w:tc>
        <w:tc>
          <w:tcPr>
            <w:tcW w:w="1980" w:type="dxa"/>
          </w:tcPr>
          <w:p w14:paraId="1BBA3165" w14:textId="77777777" w:rsidR="00C129B9" w:rsidRPr="00C129B9" w:rsidRDefault="00C129B9" w:rsidP="00C129B9">
            <w:pPr>
              <w:rPr>
                <w:sz w:val="22"/>
                <w:szCs w:val="22"/>
              </w:rPr>
            </w:pPr>
          </w:p>
        </w:tc>
        <w:tc>
          <w:tcPr>
            <w:tcW w:w="1980" w:type="dxa"/>
          </w:tcPr>
          <w:p w14:paraId="5105A078" w14:textId="77777777" w:rsidR="00C129B9" w:rsidRPr="00C129B9" w:rsidRDefault="00C129B9" w:rsidP="00C129B9">
            <w:pPr>
              <w:rPr>
                <w:sz w:val="22"/>
                <w:szCs w:val="22"/>
              </w:rPr>
            </w:pPr>
          </w:p>
        </w:tc>
      </w:tr>
      <w:tr w:rsidR="00C129B9" w:rsidRPr="00C129B9" w14:paraId="27402F2F" w14:textId="77777777" w:rsidTr="00B92C83">
        <w:tc>
          <w:tcPr>
            <w:tcW w:w="4518" w:type="dxa"/>
          </w:tcPr>
          <w:p w14:paraId="2EE68493" w14:textId="114FE6E5" w:rsidR="00C129B9" w:rsidRPr="00C129B9" w:rsidRDefault="004D1A15" w:rsidP="006E5742">
            <w:pPr>
              <w:rPr>
                <w:sz w:val="22"/>
                <w:szCs w:val="22"/>
              </w:rPr>
            </w:pPr>
            <w:r>
              <w:rPr>
                <w:sz w:val="22"/>
                <w:szCs w:val="22"/>
              </w:rPr>
              <w:t xml:space="preserve">     </w:t>
            </w:r>
            <w:r w:rsidRPr="00C129B9">
              <w:rPr>
                <w:sz w:val="22"/>
                <w:szCs w:val="22"/>
              </w:rPr>
              <w:t>Space and water heating</w:t>
            </w:r>
          </w:p>
        </w:tc>
        <w:tc>
          <w:tcPr>
            <w:tcW w:w="1980" w:type="dxa"/>
          </w:tcPr>
          <w:p w14:paraId="5C78BC24" w14:textId="7167C0A3" w:rsidR="00C129B9" w:rsidRPr="00C129B9" w:rsidRDefault="004D1A15" w:rsidP="004D1A15">
            <w:pPr>
              <w:jc w:val="center"/>
              <w:rPr>
                <w:sz w:val="22"/>
                <w:szCs w:val="22"/>
              </w:rPr>
            </w:pPr>
            <w:r>
              <w:rPr>
                <w:sz w:val="22"/>
                <w:szCs w:val="22"/>
              </w:rPr>
              <w:t>78</w:t>
            </w:r>
          </w:p>
        </w:tc>
        <w:tc>
          <w:tcPr>
            <w:tcW w:w="1980" w:type="dxa"/>
          </w:tcPr>
          <w:p w14:paraId="1ED68886" w14:textId="5B59F030" w:rsidR="00C129B9" w:rsidRPr="00C129B9" w:rsidRDefault="004D1A15" w:rsidP="00C129B9">
            <w:pPr>
              <w:jc w:val="center"/>
              <w:rPr>
                <w:sz w:val="22"/>
                <w:szCs w:val="22"/>
              </w:rPr>
            </w:pPr>
            <w:r>
              <w:rPr>
                <w:sz w:val="22"/>
                <w:szCs w:val="22"/>
              </w:rPr>
              <w:t>$ 200</w:t>
            </w:r>
            <w:r w:rsidR="00C129B9" w:rsidRPr="00C129B9">
              <w:rPr>
                <w:sz w:val="22"/>
                <w:szCs w:val="22"/>
              </w:rPr>
              <w:t>.00</w:t>
            </w:r>
          </w:p>
        </w:tc>
      </w:tr>
    </w:tbl>
    <w:p w14:paraId="4CF27A25" w14:textId="77777777" w:rsidR="00C129B9" w:rsidRPr="00C129B9" w:rsidRDefault="00C129B9" w:rsidP="00C129B9">
      <w:pPr>
        <w:overflowPunct w:val="0"/>
        <w:autoSpaceDE w:val="0"/>
        <w:autoSpaceDN w:val="0"/>
        <w:adjustRightInd w:val="0"/>
        <w:ind w:firstLine="720"/>
        <w:textAlignment w:val="baseline"/>
        <w:rPr>
          <w:sz w:val="22"/>
          <w:szCs w:val="22"/>
        </w:rPr>
      </w:pPr>
    </w:p>
    <w:p w14:paraId="0D44C7AF" w14:textId="77777777" w:rsidR="00C129B9" w:rsidRPr="00C129B9" w:rsidRDefault="00C129B9" w:rsidP="00C129B9">
      <w:pPr>
        <w:overflowPunct w:val="0"/>
        <w:autoSpaceDE w:val="0"/>
        <w:autoSpaceDN w:val="0"/>
        <w:adjustRightInd w:val="0"/>
        <w:ind w:firstLine="720"/>
        <w:textAlignment w:val="baseline"/>
        <w:rPr>
          <w:sz w:val="22"/>
          <w:szCs w:val="22"/>
        </w:rPr>
      </w:pPr>
      <w:r w:rsidRPr="00C129B9">
        <w:rPr>
          <w:sz w:val="22"/>
          <w:szCs w:val="22"/>
        </w:rPr>
        <w:t xml:space="preserve"> </w:t>
      </w:r>
      <w:r w:rsidRPr="00C129B9">
        <w:rPr>
          <w:sz w:val="22"/>
          <w:szCs w:val="22"/>
        </w:rPr>
        <w:tab/>
        <w:t>A worksheet showing the calculation of the monthly and annual bill, and the resulting deposit amount, for each usage level is provided in support of this filing.</w:t>
      </w:r>
    </w:p>
    <w:p w14:paraId="22AD3E7F" w14:textId="77777777" w:rsidR="00C129B9" w:rsidRPr="00C129B9" w:rsidRDefault="00C129B9" w:rsidP="00C129B9">
      <w:pPr>
        <w:overflowPunct w:val="0"/>
        <w:autoSpaceDE w:val="0"/>
        <w:autoSpaceDN w:val="0"/>
        <w:adjustRightInd w:val="0"/>
        <w:ind w:firstLine="720"/>
        <w:textAlignment w:val="baseline"/>
        <w:rPr>
          <w:sz w:val="22"/>
          <w:szCs w:val="22"/>
        </w:rPr>
      </w:pPr>
    </w:p>
    <w:p w14:paraId="29FBFCAD" w14:textId="77777777" w:rsidR="004D1A15" w:rsidRDefault="00C129B9" w:rsidP="00C129B9">
      <w:pPr>
        <w:overflowPunct w:val="0"/>
        <w:autoSpaceDE w:val="0"/>
        <w:autoSpaceDN w:val="0"/>
        <w:adjustRightInd w:val="0"/>
        <w:ind w:firstLine="720"/>
        <w:textAlignment w:val="baseline"/>
        <w:rPr>
          <w:sz w:val="22"/>
          <w:szCs w:val="22"/>
        </w:rPr>
      </w:pPr>
      <w:r w:rsidRPr="00C129B9">
        <w:rPr>
          <w:sz w:val="22"/>
          <w:szCs w:val="22"/>
        </w:rPr>
        <w:t xml:space="preserve"> </w:t>
      </w:r>
      <w:r w:rsidRPr="00C129B9">
        <w:rPr>
          <w:sz w:val="22"/>
          <w:szCs w:val="22"/>
        </w:rPr>
        <w:tab/>
        <w:t xml:space="preserve">The default deposit process has worked well for the Company and for customers.  </w:t>
      </w:r>
      <w:r w:rsidR="004D1A15">
        <w:rPr>
          <w:sz w:val="22"/>
          <w:szCs w:val="22"/>
        </w:rPr>
        <w:t xml:space="preserve">However, it was recently identified that this practice is not captured in the Company’s approved Tariff.  </w:t>
      </w:r>
      <w:r w:rsidRPr="00C129B9">
        <w:rPr>
          <w:sz w:val="22"/>
          <w:szCs w:val="22"/>
        </w:rPr>
        <w:t xml:space="preserve">To ensure transparency about the Company’s practices, the Company believes that it is appropriate to set forth the default deposit amounts in its Tariff.  </w:t>
      </w:r>
    </w:p>
    <w:p w14:paraId="38B4D317" w14:textId="77777777" w:rsidR="004D1A15" w:rsidRDefault="004D1A15" w:rsidP="00C129B9">
      <w:pPr>
        <w:overflowPunct w:val="0"/>
        <w:autoSpaceDE w:val="0"/>
        <w:autoSpaceDN w:val="0"/>
        <w:adjustRightInd w:val="0"/>
        <w:ind w:firstLine="720"/>
        <w:textAlignment w:val="baseline"/>
        <w:rPr>
          <w:sz w:val="22"/>
          <w:szCs w:val="22"/>
        </w:rPr>
      </w:pPr>
    </w:p>
    <w:p w14:paraId="2ABCB716" w14:textId="6A437DD4" w:rsidR="004D1A15" w:rsidRPr="004D1A15" w:rsidRDefault="004D1A15" w:rsidP="004D1A15">
      <w:pPr>
        <w:overflowPunct w:val="0"/>
        <w:autoSpaceDE w:val="0"/>
        <w:autoSpaceDN w:val="0"/>
        <w:adjustRightInd w:val="0"/>
        <w:ind w:firstLine="720"/>
        <w:textAlignment w:val="baseline"/>
        <w:rPr>
          <w:sz w:val="22"/>
          <w:szCs w:val="22"/>
        </w:rPr>
      </w:pPr>
      <w:r>
        <w:rPr>
          <w:sz w:val="22"/>
          <w:szCs w:val="22"/>
        </w:rPr>
        <w:t xml:space="preserve"> </w:t>
      </w:r>
      <w:r>
        <w:rPr>
          <w:sz w:val="22"/>
          <w:szCs w:val="22"/>
        </w:rPr>
        <w:tab/>
      </w:r>
      <w:r w:rsidRPr="004D1A15">
        <w:rPr>
          <w:sz w:val="22"/>
          <w:szCs w:val="22"/>
        </w:rPr>
        <w:t>In addition, in order to ensure that the default deposit amounts continue to reflect the appropriate relationship to average annual bills, the Company proposes to evaluate whether or not any changes to the default deposit amounts are required with each annual Purchased Gas Adjustment (“PGA”) filing or with any other filing that results in a change in customer billing rates.  A change to the default deposit amounts would be filed for Commission review and approval if the Company’s evaluation shows that a change in rates will result in an increase or decrease to the average residential customer’s monthly bill of $10.00 or more, or $25.00 or more for the average Schedule 3 small commercial customer.</w:t>
      </w:r>
    </w:p>
    <w:p w14:paraId="1636182F" w14:textId="74B14B9E" w:rsidR="00F35515" w:rsidRDefault="00F35515" w:rsidP="000D1A51">
      <w:pPr>
        <w:autoSpaceDE w:val="0"/>
        <w:autoSpaceDN w:val="0"/>
        <w:adjustRightInd w:val="0"/>
        <w:rPr>
          <w:rFonts w:cs="Arial"/>
          <w:sz w:val="23"/>
          <w:szCs w:val="23"/>
        </w:rPr>
      </w:pPr>
    </w:p>
    <w:p w14:paraId="4E00184E" w14:textId="49D90297" w:rsidR="000D1A51" w:rsidRPr="000D1A51" w:rsidRDefault="000D1A51" w:rsidP="000D1A51">
      <w:pPr>
        <w:autoSpaceDE w:val="0"/>
        <w:autoSpaceDN w:val="0"/>
        <w:adjustRightInd w:val="0"/>
        <w:rPr>
          <w:rFonts w:cs="Arial"/>
          <w:sz w:val="22"/>
          <w:szCs w:val="23"/>
          <w:u w:val="single"/>
        </w:rPr>
      </w:pPr>
      <w:r w:rsidRPr="000D1A51">
        <w:rPr>
          <w:rFonts w:cs="Arial"/>
          <w:sz w:val="22"/>
          <w:szCs w:val="23"/>
          <w:u w:val="single"/>
        </w:rPr>
        <w:t>Deposit Payment Arrangements</w:t>
      </w:r>
    </w:p>
    <w:p w14:paraId="70C00911" w14:textId="77777777" w:rsidR="000D1A51" w:rsidRDefault="000D1A51" w:rsidP="000D1A51">
      <w:pPr>
        <w:autoSpaceDE w:val="0"/>
        <w:autoSpaceDN w:val="0"/>
        <w:adjustRightInd w:val="0"/>
        <w:rPr>
          <w:rFonts w:cs="Arial"/>
          <w:sz w:val="23"/>
          <w:szCs w:val="23"/>
        </w:rPr>
      </w:pPr>
    </w:p>
    <w:p w14:paraId="3A3F2DD8" w14:textId="5162C495" w:rsidR="004D1A15" w:rsidRPr="004D1A15" w:rsidRDefault="004D1A15" w:rsidP="00034D2F">
      <w:pPr>
        <w:autoSpaceDE w:val="0"/>
        <w:autoSpaceDN w:val="0"/>
        <w:adjustRightInd w:val="0"/>
        <w:ind w:firstLine="1440"/>
        <w:rPr>
          <w:rFonts w:cs="Arial"/>
          <w:sz w:val="22"/>
          <w:szCs w:val="23"/>
        </w:rPr>
      </w:pPr>
      <w:r w:rsidRPr="004D1A15">
        <w:rPr>
          <w:rFonts w:cs="Arial"/>
          <w:sz w:val="22"/>
          <w:szCs w:val="23"/>
        </w:rPr>
        <w:t xml:space="preserve">With this filing, the Company also proposes to clarify its Tariff with respect to deposit installment payments.  </w:t>
      </w:r>
      <w:r w:rsidR="000D1A51">
        <w:rPr>
          <w:rFonts w:cs="Arial"/>
          <w:sz w:val="22"/>
          <w:szCs w:val="23"/>
        </w:rPr>
        <w:t xml:space="preserve">Specifically, the Company clarifies that a deposit payment arrangement may be available to a non-residential customer at the Company’s discretion.  </w:t>
      </w:r>
      <w:r w:rsidRPr="004D1A15">
        <w:rPr>
          <w:rFonts w:cs="Arial"/>
          <w:sz w:val="22"/>
          <w:szCs w:val="23"/>
        </w:rPr>
        <w:t>The proposed changes are intended to ensure transparency regarding the Company’s practices around deposit payment arrangements for both residential and non-residential customers.</w:t>
      </w:r>
    </w:p>
    <w:p w14:paraId="7D2F51AD" w14:textId="77777777" w:rsidR="004D1A15" w:rsidRDefault="004D1A15" w:rsidP="00034D2F">
      <w:pPr>
        <w:autoSpaceDE w:val="0"/>
        <w:autoSpaceDN w:val="0"/>
        <w:adjustRightInd w:val="0"/>
        <w:ind w:firstLine="1440"/>
        <w:rPr>
          <w:rFonts w:cs="Arial"/>
          <w:sz w:val="23"/>
          <w:szCs w:val="23"/>
        </w:rPr>
      </w:pPr>
    </w:p>
    <w:p w14:paraId="45063922" w14:textId="551C5681" w:rsidR="000D1A51" w:rsidRDefault="000D1A51">
      <w:pPr>
        <w:rPr>
          <w:rFonts w:cs="Arial"/>
          <w:sz w:val="23"/>
          <w:szCs w:val="23"/>
        </w:rPr>
      </w:pPr>
      <w:r>
        <w:rPr>
          <w:rFonts w:cs="Arial"/>
          <w:sz w:val="23"/>
          <w:szCs w:val="23"/>
        </w:rPr>
        <w:br w:type="page"/>
      </w:r>
    </w:p>
    <w:p w14:paraId="3B2F6C8E" w14:textId="77777777" w:rsidR="004D1A15" w:rsidRDefault="004D1A15" w:rsidP="00034D2F">
      <w:pPr>
        <w:autoSpaceDE w:val="0"/>
        <w:autoSpaceDN w:val="0"/>
        <w:adjustRightInd w:val="0"/>
        <w:ind w:firstLine="1440"/>
        <w:rPr>
          <w:rFonts w:cs="Arial"/>
          <w:sz w:val="23"/>
          <w:szCs w:val="23"/>
        </w:rPr>
      </w:pPr>
    </w:p>
    <w:p w14:paraId="16361830" w14:textId="0DD850F1" w:rsidR="00F35515" w:rsidRDefault="00F3754A" w:rsidP="00F35515">
      <w:pPr>
        <w:outlineLvl w:val="0"/>
        <w:rPr>
          <w:rFonts w:cs="Arial"/>
          <w:sz w:val="23"/>
          <w:szCs w:val="23"/>
        </w:rPr>
      </w:pPr>
      <w:r w:rsidRPr="00B4430D">
        <w:rPr>
          <w:rFonts w:cs="Arial"/>
          <w:sz w:val="22"/>
          <w:szCs w:val="22"/>
        </w:rPr>
        <w:tab/>
      </w:r>
      <w:r w:rsidRPr="00B4430D">
        <w:rPr>
          <w:rFonts w:cs="Arial"/>
          <w:sz w:val="22"/>
          <w:szCs w:val="22"/>
        </w:rPr>
        <w:tab/>
      </w:r>
      <w:r w:rsidR="000A78CB" w:rsidRPr="00B4430D">
        <w:rPr>
          <w:rFonts w:cs="Arial"/>
          <w:sz w:val="22"/>
          <w:szCs w:val="22"/>
        </w:rPr>
        <w:t>The Company requests that the tariff sheets filed herewith be permitted to become effective with servi</w:t>
      </w:r>
      <w:r w:rsidR="00855222" w:rsidRPr="00B4430D">
        <w:rPr>
          <w:rFonts w:cs="Arial"/>
          <w:sz w:val="22"/>
          <w:szCs w:val="22"/>
        </w:rPr>
        <w:t xml:space="preserve">ce on and after </w:t>
      </w:r>
      <w:r w:rsidR="00FE0084">
        <w:rPr>
          <w:rFonts w:cs="Arial"/>
          <w:sz w:val="22"/>
          <w:szCs w:val="22"/>
        </w:rPr>
        <w:t>April 15</w:t>
      </w:r>
      <w:r w:rsidR="00855222" w:rsidRPr="00B4430D">
        <w:rPr>
          <w:rFonts w:cs="Arial"/>
          <w:sz w:val="22"/>
          <w:szCs w:val="22"/>
        </w:rPr>
        <w:t>, 20</w:t>
      </w:r>
      <w:r w:rsidR="006B31A7" w:rsidRPr="00B4430D">
        <w:rPr>
          <w:rFonts w:cs="Arial"/>
          <w:sz w:val="22"/>
          <w:szCs w:val="22"/>
        </w:rPr>
        <w:t>1</w:t>
      </w:r>
      <w:r w:rsidR="007A14A9">
        <w:rPr>
          <w:rFonts w:cs="Arial"/>
          <w:sz w:val="22"/>
          <w:szCs w:val="22"/>
        </w:rPr>
        <w:t>5</w:t>
      </w:r>
      <w:r w:rsidR="000A78CB" w:rsidRPr="00B4430D">
        <w:rPr>
          <w:rFonts w:cs="Arial"/>
          <w:sz w:val="22"/>
          <w:szCs w:val="22"/>
        </w:rPr>
        <w:t>.</w:t>
      </w:r>
      <w:r w:rsidR="00F35515">
        <w:rPr>
          <w:rFonts w:cs="Arial"/>
          <w:sz w:val="22"/>
          <w:szCs w:val="22"/>
        </w:rPr>
        <w:t xml:space="preserve">  </w:t>
      </w:r>
    </w:p>
    <w:p w14:paraId="60377CD9" w14:textId="77777777" w:rsidR="00F85EC0" w:rsidRDefault="00F85EC0" w:rsidP="00F85EC0">
      <w:pPr>
        <w:ind w:firstLine="1440"/>
        <w:rPr>
          <w:rFonts w:cs="Arial"/>
          <w:sz w:val="22"/>
          <w:szCs w:val="22"/>
        </w:rPr>
      </w:pPr>
    </w:p>
    <w:p w14:paraId="1068CD19" w14:textId="4BBD6BDF" w:rsidR="00F85EC0" w:rsidRPr="00965A56" w:rsidRDefault="00F85EC0" w:rsidP="00F85EC0">
      <w:pPr>
        <w:ind w:firstLine="1440"/>
        <w:rPr>
          <w:rFonts w:cs="Arial"/>
          <w:sz w:val="22"/>
          <w:szCs w:val="22"/>
        </w:rPr>
      </w:pPr>
      <w:r w:rsidRPr="00965A56">
        <w:rPr>
          <w:rFonts w:cs="Arial"/>
          <w:sz w:val="22"/>
          <w:szCs w:val="22"/>
        </w:rPr>
        <w:t>As required by WAC 480-80-103(4)(a), I certify that I have authority to issue tariff revisions on behalf of NW Natural.</w:t>
      </w:r>
    </w:p>
    <w:p w14:paraId="6D3A2383" w14:textId="77777777" w:rsidR="000D1A51" w:rsidRDefault="000D1A51" w:rsidP="000A78CB">
      <w:pPr>
        <w:rPr>
          <w:rFonts w:cs="Arial"/>
          <w:sz w:val="22"/>
          <w:szCs w:val="22"/>
        </w:rPr>
      </w:pPr>
    </w:p>
    <w:p w14:paraId="16361832" w14:textId="6A71551E" w:rsidR="000A78CB" w:rsidRPr="00B4430D" w:rsidRDefault="000A78CB" w:rsidP="000A78CB">
      <w:pPr>
        <w:rPr>
          <w:rFonts w:cs="Arial"/>
          <w:sz w:val="22"/>
          <w:szCs w:val="22"/>
        </w:rPr>
      </w:pPr>
      <w:r w:rsidRPr="00B4430D">
        <w:rPr>
          <w:rFonts w:cs="Arial"/>
          <w:sz w:val="22"/>
          <w:szCs w:val="22"/>
        </w:rPr>
        <w:tab/>
      </w:r>
      <w:r w:rsidRPr="00B4430D">
        <w:rPr>
          <w:rFonts w:cs="Arial"/>
          <w:sz w:val="22"/>
          <w:szCs w:val="22"/>
        </w:rPr>
        <w:tab/>
        <w:t xml:space="preserve">Copies of this letter and the filing made herewith are available in the Company's main office in Oregon and on its website at </w:t>
      </w:r>
      <w:hyperlink r:id="rId13" w:history="1">
        <w:r w:rsidRPr="00B4430D">
          <w:rPr>
            <w:rStyle w:val="Hyperlink"/>
            <w:rFonts w:cs="Arial"/>
            <w:sz w:val="22"/>
            <w:szCs w:val="22"/>
          </w:rPr>
          <w:t>www.nwnatural.com</w:t>
        </w:r>
      </w:hyperlink>
      <w:r w:rsidRPr="00B4430D">
        <w:rPr>
          <w:rFonts w:cs="Arial"/>
          <w:sz w:val="22"/>
          <w:szCs w:val="22"/>
        </w:rPr>
        <w:t>.</w:t>
      </w:r>
    </w:p>
    <w:p w14:paraId="0CF79FC2" w14:textId="77777777" w:rsidR="006C7D61" w:rsidRDefault="006C7D61" w:rsidP="00626C09">
      <w:pPr>
        <w:rPr>
          <w:rFonts w:cs="Arial"/>
          <w:sz w:val="22"/>
          <w:szCs w:val="22"/>
        </w:rPr>
      </w:pPr>
    </w:p>
    <w:p w14:paraId="16361834" w14:textId="12B8879C" w:rsidR="00626C09" w:rsidRDefault="00626C09" w:rsidP="00626C09">
      <w:pPr>
        <w:rPr>
          <w:rFonts w:cs="Arial"/>
          <w:sz w:val="22"/>
          <w:szCs w:val="22"/>
        </w:rPr>
      </w:pPr>
      <w:r w:rsidRPr="00B4430D">
        <w:rPr>
          <w:rFonts w:cs="Arial"/>
          <w:sz w:val="22"/>
          <w:szCs w:val="22"/>
        </w:rPr>
        <w:tab/>
      </w:r>
      <w:r w:rsidRPr="00B4430D">
        <w:rPr>
          <w:rFonts w:cs="Arial"/>
          <w:sz w:val="22"/>
          <w:szCs w:val="22"/>
        </w:rPr>
        <w:tab/>
        <w:t>Please address correspondence on this matter to me with copies to the following:</w:t>
      </w:r>
    </w:p>
    <w:p w14:paraId="73B5931F" w14:textId="77777777" w:rsidR="00FE0084" w:rsidRPr="00B4430D" w:rsidRDefault="00FE0084" w:rsidP="00626C09">
      <w:pPr>
        <w:rPr>
          <w:rFonts w:cs="Arial"/>
          <w:sz w:val="22"/>
          <w:szCs w:val="22"/>
        </w:rPr>
      </w:pPr>
    </w:p>
    <w:p w14:paraId="16361836" w14:textId="74D9041A" w:rsidR="000464B1" w:rsidRPr="00D97E14" w:rsidRDefault="001C077F" w:rsidP="001C077F">
      <w:pPr>
        <w:pStyle w:val="Footer"/>
        <w:tabs>
          <w:tab w:val="clear" w:pos="4320"/>
          <w:tab w:val="clear" w:pos="8640"/>
          <w:tab w:val="left" w:pos="2880"/>
        </w:tabs>
        <w:outlineLvl w:val="0"/>
        <w:rPr>
          <w:rFonts w:cs="Arial"/>
          <w:sz w:val="20"/>
          <w:szCs w:val="22"/>
        </w:rPr>
      </w:pPr>
      <w:r w:rsidRPr="00B4430D">
        <w:rPr>
          <w:rFonts w:cs="Arial"/>
          <w:sz w:val="22"/>
          <w:szCs w:val="22"/>
        </w:rPr>
        <w:tab/>
      </w:r>
      <w:r w:rsidR="000464B1" w:rsidRPr="00D97E14">
        <w:rPr>
          <w:rFonts w:cs="Arial"/>
          <w:sz w:val="20"/>
          <w:szCs w:val="22"/>
        </w:rPr>
        <w:t>eFiling</w:t>
      </w:r>
    </w:p>
    <w:p w14:paraId="16361837" w14:textId="77777777" w:rsidR="00626C09" w:rsidRPr="00D97E14" w:rsidRDefault="000464B1" w:rsidP="001C077F">
      <w:pPr>
        <w:pStyle w:val="Footer"/>
        <w:tabs>
          <w:tab w:val="clear" w:pos="4320"/>
          <w:tab w:val="clear" w:pos="8640"/>
          <w:tab w:val="left" w:pos="2880"/>
        </w:tabs>
        <w:outlineLvl w:val="0"/>
        <w:rPr>
          <w:rFonts w:cs="Arial"/>
          <w:sz w:val="20"/>
          <w:szCs w:val="22"/>
        </w:rPr>
      </w:pPr>
      <w:r w:rsidRPr="00D97E14">
        <w:rPr>
          <w:rFonts w:cs="Arial"/>
          <w:sz w:val="20"/>
          <w:szCs w:val="22"/>
        </w:rPr>
        <w:tab/>
      </w:r>
      <w:r w:rsidR="00626C09" w:rsidRPr="00D97E14">
        <w:rPr>
          <w:rFonts w:cs="Arial"/>
          <w:sz w:val="20"/>
          <w:szCs w:val="22"/>
        </w:rPr>
        <w:t>Rates &amp; Regulatory Affairs</w:t>
      </w:r>
    </w:p>
    <w:p w14:paraId="16361838" w14:textId="77777777" w:rsidR="00626C09"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NW Natural</w:t>
      </w:r>
    </w:p>
    <w:p w14:paraId="16361839" w14:textId="77777777" w:rsidR="00626C09"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220 NW Second Avenue</w:t>
      </w:r>
    </w:p>
    <w:p w14:paraId="1636183A" w14:textId="77777777" w:rsidR="00626C09" w:rsidRPr="00D97E14" w:rsidRDefault="001C077F" w:rsidP="001C077F">
      <w:pPr>
        <w:pStyle w:val="Heading3"/>
        <w:tabs>
          <w:tab w:val="left" w:pos="2880"/>
        </w:tabs>
        <w:rPr>
          <w:rFonts w:cs="Arial"/>
          <w:sz w:val="20"/>
          <w:szCs w:val="22"/>
          <w:u w:val="none"/>
        </w:rPr>
      </w:pPr>
      <w:r w:rsidRPr="00D97E14">
        <w:rPr>
          <w:rFonts w:cs="Arial"/>
          <w:sz w:val="20"/>
          <w:szCs w:val="22"/>
          <w:u w:val="none"/>
        </w:rPr>
        <w:tab/>
      </w:r>
      <w:r w:rsidR="00626C09" w:rsidRPr="00D97E14">
        <w:rPr>
          <w:rFonts w:cs="Arial"/>
          <w:sz w:val="20"/>
          <w:szCs w:val="22"/>
          <w:u w:val="none"/>
        </w:rPr>
        <w:t>Portland, Oregon 97209</w:t>
      </w:r>
    </w:p>
    <w:p w14:paraId="1636183B" w14:textId="77777777" w:rsidR="001C077F"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 xml:space="preserve">Telecopier:  </w:t>
      </w:r>
      <w:r w:rsidR="004A1B8B" w:rsidRPr="00D97E14">
        <w:rPr>
          <w:rFonts w:cs="Arial"/>
          <w:sz w:val="20"/>
          <w:szCs w:val="22"/>
        </w:rPr>
        <w:t>(503) 721-2516</w:t>
      </w:r>
    </w:p>
    <w:p w14:paraId="1636183C" w14:textId="77777777" w:rsidR="001C077F"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Telephone:  (503) 226-4211, x3589</w:t>
      </w:r>
    </w:p>
    <w:p w14:paraId="1636183E" w14:textId="618157BE" w:rsidR="00EA3197" w:rsidRPr="00D97E14" w:rsidRDefault="001C077F" w:rsidP="001C077F">
      <w:pPr>
        <w:tabs>
          <w:tab w:val="left" w:pos="2880"/>
        </w:tabs>
        <w:rPr>
          <w:rFonts w:cs="Arial"/>
          <w:sz w:val="20"/>
          <w:szCs w:val="22"/>
        </w:rPr>
      </w:pPr>
      <w:r w:rsidRPr="00D97E14">
        <w:rPr>
          <w:rFonts w:cs="Arial"/>
          <w:sz w:val="20"/>
          <w:szCs w:val="22"/>
        </w:rPr>
        <w:tab/>
      </w:r>
      <w:r w:rsidR="00EA3197" w:rsidRPr="00D97E14">
        <w:rPr>
          <w:rFonts w:cs="Arial"/>
          <w:sz w:val="20"/>
          <w:szCs w:val="22"/>
        </w:rPr>
        <w:t>eFiling@nwnatural.com</w:t>
      </w:r>
    </w:p>
    <w:p w14:paraId="16361840" w14:textId="77777777" w:rsidR="00626C09" w:rsidRPr="00B4430D" w:rsidRDefault="00626C09" w:rsidP="000A78CB">
      <w:pPr>
        <w:ind w:left="90"/>
        <w:rPr>
          <w:rFonts w:cs="Arial"/>
          <w:sz w:val="22"/>
          <w:szCs w:val="22"/>
        </w:rPr>
      </w:pPr>
    </w:p>
    <w:p w14:paraId="16361841" w14:textId="77777777" w:rsidR="000A78CB" w:rsidRPr="00B4430D" w:rsidRDefault="000A78CB" w:rsidP="006B31A7">
      <w:pPr>
        <w:rPr>
          <w:rFonts w:cs="Arial"/>
          <w:sz w:val="22"/>
          <w:szCs w:val="22"/>
        </w:rPr>
      </w:pPr>
      <w:r w:rsidRPr="00B4430D">
        <w:rPr>
          <w:rFonts w:cs="Arial"/>
          <w:sz w:val="22"/>
          <w:szCs w:val="22"/>
        </w:rPr>
        <w:t>Sincerely,</w:t>
      </w:r>
    </w:p>
    <w:p w14:paraId="16361842" w14:textId="77777777" w:rsidR="000A78CB" w:rsidRPr="00B4430D" w:rsidRDefault="000A78CB" w:rsidP="006B31A7">
      <w:pPr>
        <w:rPr>
          <w:rFonts w:cs="Arial"/>
          <w:sz w:val="22"/>
          <w:szCs w:val="22"/>
        </w:rPr>
      </w:pPr>
    </w:p>
    <w:p w14:paraId="16361843" w14:textId="77777777" w:rsidR="000A78CB" w:rsidRPr="00B4430D" w:rsidRDefault="000A78CB" w:rsidP="006B31A7">
      <w:pPr>
        <w:rPr>
          <w:rFonts w:cs="Arial"/>
          <w:sz w:val="22"/>
          <w:szCs w:val="22"/>
        </w:rPr>
      </w:pPr>
      <w:r w:rsidRPr="00B4430D">
        <w:rPr>
          <w:rFonts w:cs="Arial"/>
          <w:sz w:val="22"/>
          <w:szCs w:val="22"/>
        </w:rPr>
        <w:t>NW NATURAL</w:t>
      </w:r>
    </w:p>
    <w:p w14:paraId="16361845" w14:textId="77777777" w:rsidR="00CD6979" w:rsidRPr="00EA0D22" w:rsidRDefault="00DB7513" w:rsidP="00CD6979">
      <w:pPr>
        <w:rPr>
          <w:rFonts w:cs="Arial"/>
          <w:i/>
          <w:sz w:val="22"/>
          <w:szCs w:val="22"/>
        </w:rPr>
      </w:pPr>
      <w:r>
        <w:rPr>
          <w:rFonts w:cs="Arial"/>
          <w:i/>
          <w:sz w:val="22"/>
          <w:szCs w:val="22"/>
        </w:rPr>
        <w:t>/s/ Onita King</w:t>
      </w:r>
    </w:p>
    <w:p w14:paraId="16361846" w14:textId="77777777" w:rsidR="001C077F" w:rsidRPr="00B4430D" w:rsidRDefault="001C077F" w:rsidP="006B31A7">
      <w:pPr>
        <w:rPr>
          <w:rFonts w:cs="Arial"/>
          <w:sz w:val="22"/>
          <w:szCs w:val="22"/>
        </w:rPr>
      </w:pPr>
    </w:p>
    <w:p w14:paraId="74F37E46" w14:textId="77777777" w:rsidR="00D97E14" w:rsidRDefault="00EA3197" w:rsidP="006B31A7">
      <w:pPr>
        <w:rPr>
          <w:rFonts w:cs="Arial"/>
          <w:sz w:val="22"/>
          <w:szCs w:val="22"/>
        </w:rPr>
      </w:pPr>
      <w:r>
        <w:rPr>
          <w:rFonts w:cs="Arial"/>
          <w:sz w:val="22"/>
          <w:szCs w:val="22"/>
        </w:rPr>
        <w:t>Onita R. King</w:t>
      </w:r>
    </w:p>
    <w:p w14:paraId="16361848" w14:textId="3C404A60" w:rsidR="000A78CB" w:rsidRPr="00B4430D" w:rsidRDefault="00EA3197" w:rsidP="006B31A7">
      <w:pPr>
        <w:rPr>
          <w:rFonts w:cs="Arial"/>
          <w:sz w:val="22"/>
          <w:szCs w:val="22"/>
        </w:rPr>
      </w:pPr>
      <w:r>
        <w:rPr>
          <w:rFonts w:cs="Arial"/>
          <w:sz w:val="22"/>
          <w:szCs w:val="22"/>
        </w:rPr>
        <w:t xml:space="preserve">Rates and </w:t>
      </w:r>
      <w:r w:rsidR="00093F0F">
        <w:rPr>
          <w:rFonts w:cs="Arial"/>
          <w:sz w:val="22"/>
          <w:szCs w:val="22"/>
        </w:rPr>
        <w:t>Regulation</w:t>
      </w:r>
    </w:p>
    <w:p w14:paraId="16361849" w14:textId="77777777" w:rsidR="000A78CB" w:rsidRPr="00B4430D" w:rsidRDefault="000A78CB" w:rsidP="000A78CB">
      <w:pPr>
        <w:ind w:left="90"/>
        <w:rPr>
          <w:rFonts w:cs="Arial"/>
          <w:sz w:val="22"/>
          <w:szCs w:val="22"/>
        </w:rPr>
      </w:pPr>
    </w:p>
    <w:p w14:paraId="21E1C060" w14:textId="5339BCE4" w:rsidR="00C97C47" w:rsidRDefault="001C077F" w:rsidP="00D97E14">
      <w:pPr>
        <w:rPr>
          <w:rFonts w:cs="Arial"/>
          <w:sz w:val="22"/>
          <w:szCs w:val="22"/>
        </w:rPr>
      </w:pPr>
      <w:r w:rsidRPr="00B4430D">
        <w:rPr>
          <w:rFonts w:cs="Arial"/>
          <w:sz w:val="22"/>
          <w:szCs w:val="22"/>
        </w:rPr>
        <w:t>a</w:t>
      </w:r>
      <w:r w:rsidR="00626C09" w:rsidRPr="00B4430D">
        <w:rPr>
          <w:rFonts w:cs="Arial"/>
          <w:sz w:val="22"/>
          <w:szCs w:val="22"/>
        </w:rPr>
        <w:t>ttachments</w:t>
      </w:r>
    </w:p>
    <w:sectPr w:rsidR="00C97C47" w:rsidSect="00173722">
      <w:headerReference w:type="even" r:id="rId14"/>
      <w:headerReference w:type="default" r:id="rId15"/>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1851" w14:textId="77777777" w:rsidR="00AC38A7" w:rsidRDefault="00AC38A7">
      <w:r>
        <w:separator/>
      </w:r>
    </w:p>
  </w:endnote>
  <w:endnote w:type="continuationSeparator" w:id="0">
    <w:p w14:paraId="16361852" w14:textId="77777777" w:rsidR="00AC38A7" w:rsidRDefault="00A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6184F" w14:textId="77777777" w:rsidR="00AC38A7" w:rsidRDefault="00AC38A7">
      <w:r>
        <w:separator/>
      </w:r>
    </w:p>
  </w:footnote>
  <w:footnote w:type="continuationSeparator" w:id="0">
    <w:p w14:paraId="16361850" w14:textId="77777777" w:rsidR="00AC38A7" w:rsidRDefault="00AC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3" w14:textId="77777777" w:rsidR="00AC38A7" w:rsidRDefault="00194D67">
    <w:pPr>
      <w:pStyle w:val="Header"/>
      <w:framePr w:wrap="around" w:vAnchor="text" w:hAnchor="margin" w:xAlign="right" w:y="1"/>
      <w:rPr>
        <w:rStyle w:val="PageNumber"/>
      </w:rPr>
    </w:pPr>
    <w:r>
      <w:rPr>
        <w:rStyle w:val="PageNumber"/>
      </w:rPr>
      <w:fldChar w:fldCharType="begin"/>
    </w:r>
    <w:r w:rsidR="00AC38A7">
      <w:rPr>
        <w:rStyle w:val="PageNumber"/>
      </w:rPr>
      <w:instrText xml:space="preserve">PAGE  </w:instrText>
    </w:r>
    <w:r>
      <w:rPr>
        <w:rStyle w:val="PageNumber"/>
      </w:rPr>
      <w:fldChar w:fldCharType="end"/>
    </w:r>
  </w:p>
  <w:p w14:paraId="16361854" w14:textId="77777777" w:rsidR="00AC38A7" w:rsidRDefault="00AC38A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5" w14:textId="0256AF3B" w:rsidR="00CB5C61" w:rsidRPr="00CB5C61" w:rsidRDefault="00093F0F">
    <w:pPr>
      <w:pStyle w:val="Header"/>
      <w:ind w:right="360"/>
      <w:rPr>
        <w:rFonts w:ascii="Arial" w:hAnsi="Arial"/>
        <w:sz w:val="22"/>
        <w:szCs w:val="22"/>
      </w:rPr>
    </w:pPr>
    <w:r>
      <w:rPr>
        <w:rFonts w:ascii="Arial" w:hAnsi="Arial"/>
        <w:sz w:val="22"/>
        <w:szCs w:val="22"/>
      </w:rPr>
      <w:t>Washington Utilities and Transportation Commission</w:t>
    </w:r>
  </w:p>
  <w:p w14:paraId="16361856" w14:textId="01F8FAFB" w:rsidR="00AC38A7" w:rsidRPr="00CB5C61" w:rsidRDefault="00AC38A7">
    <w:pPr>
      <w:pStyle w:val="Header"/>
      <w:ind w:right="360"/>
      <w:rPr>
        <w:rFonts w:ascii="Arial" w:hAnsi="Arial"/>
        <w:sz w:val="22"/>
        <w:szCs w:val="22"/>
      </w:rPr>
    </w:pPr>
    <w:r w:rsidRPr="00CB5C61">
      <w:rPr>
        <w:rFonts w:ascii="Arial" w:hAnsi="Arial"/>
        <w:sz w:val="22"/>
        <w:szCs w:val="22"/>
      </w:rPr>
      <w:t>NWN</w:t>
    </w:r>
    <w:r w:rsidR="00F85EC0">
      <w:rPr>
        <w:rFonts w:ascii="Arial" w:hAnsi="Arial"/>
        <w:sz w:val="22"/>
        <w:szCs w:val="22"/>
      </w:rPr>
      <w:t xml:space="preserve"> WUTC</w:t>
    </w:r>
    <w:r w:rsidR="00EA3197">
      <w:rPr>
        <w:rFonts w:ascii="Arial" w:hAnsi="Arial"/>
        <w:sz w:val="22"/>
        <w:szCs w:val="22"/>
      </w:rPr>
      <w:t xml:space="preserve"> </w:t>
    </w:r>
    <w:r w:rsidRPr="00CB5C61">
      <w:rPr>
        <w:rFonts w:ascii="Arial" w:hAnsi="Arial"/>
        <w:sz w:val="22"/>
        <w:szCs w:val="22"/>
      </w:rPr>
      <w:t xml:space="preserve">Advice No. </w:t>
    </w:r>
    <w:r w:rsidR="007A14A9">
      <w:rPr>
        <w:rFonts w:ascii="Arial" w:hAnsi="Arial"/>
        <w:sz w:val="22"/>
        <w:szCs w:val="22"/>
      </w:rPr>
      <w:t>15-</w:t>
    </w:r>
    <w:r w:rsidR="004D1A15">
      <w:rPr>
        <w:rFonts w:ascii="Arial" w:hAnsi="Arial"/>
        <w:sz w:val="22"/>
        <w:szCs w:val="22"/>
      </w:rPr>
      <w:t>02</w:t>
    </w:r>
  </w:p>
  <w:p w14:paraId="16361857" w14:textId="29634B04" w:rsidR="00AC38A7" w:rsidRPr="00CB5C61" w:rsidRDefault="004D1A15">
    <w:pPr>
      <w:pStyle w:val="Header"/>
      <w:rPr>
        <w:rStyle w:val="PageNumber"/>
        <w:rFonts w:ascii="Arial" w:hAnsi="Arial"/>
        <w:sz w:val="22"/>
        <w:szCs w:val="22"/>
      </w:rPr>
    </w:pPr>
    <w:r>
      <w:rPr>
        <w:rFonts w:ascii="Arial" w:hAnsi="Arial"/>
        <w:sz w:val="22"/>
        <w:szCs w:val="22"/>
      </w:rPr>
      <w:t>March 9</w:t>
    </w:r>
    <w:r w:rsidR="00AC38A7" w:rsidRPr="00CB5C61">
      <w:rPr>
        <w:rFonts w:ascii="Arial" w:hAnsi="Arial"/>
        <w:sz w:val="22"/>
        <w:szCs w:val="22"/>
      </w:rPr>
      <w:t>, 201</w:t>
    </w:r>
    <w:r w:rsidR="007A14A9">
      <w:rPr>
        <w:rFonts w:ascii="Arial" w:hAnsi="Arial"/>
        <w:sz w:val="22"/>
        <w:szCs w:val="22"/>
      </w:rPr>
      <w:t>5</w:t>
    </w:r>
    <w:r w:rsidR="00CB5C61" w:rsidRPr="00CB5C61">
      <w:rPr>
        <w:rFonts w:ascii="Arial" w:hAnsi="Arial"/>
        <w:sz w:val="22"/>
        <w:szCs w:val="22"/>
      </w:rPr>
      <w:t>;</w:t>
    </w:r>
    <w:r w:rsidR="00AC38A7" w:rsidRPr="00CB5C61">
      <w:rPr>
        <w:rFonts w:ascii="Arial" w:hAnsi="Arial"/>
        <w:sz w:val="22"/>
        <w:szCs w:val="22"/>
      </w:rPr>
      <w:t xml:space="preserve"> Page </w:t>
    </w:r>
    <w:r w:rsidR="00194D67" w:rsidRPr="00CB5C61">
      <w:rPr>
        <w:rStyle w:val="PageNumber"/>
        <w:rFonts w:ascii="Arial" w:hAnsi="Arial"/>
        <w:sz w:val="22"/>
        <w:szCs w:val="22"/>
      </w:rPr>
      <w:fldChar w:fldCharType="begin"/>
    </w:r>
    <w:r w:rsidR="00AC38A7" w:rsidRPr="00CB5C61">
      <w:rPr>
        <w:rStyle w:val="PageNumber"/>
        <w:rFonts w:ascii="Arial" w:hAnsi="Arial"/>
        <w:sz w:val="22"/>
        <w:szCs w:val="22"/>
      </w:rPr>
      <w:instrText xml:space="preserve"> PAGE </w:instrText>
    </w:r>
    <w:r w:rsidR="00194D67" w:rsidRPr="00CB5C61">
      <w:rPr>
        <w:rStyle w:val="PageNumber"/>
        <w:rFonts w:ascii="Arial" w:hAnsi="Arial"/>
        <w:sz w:val="22"/>
        <w:szCs w:val="22"/>
      </w:rPr>
      <w:fldChar w:fldCharType="separate"/>
    </w:r>
    <w:r w:rsidR="00DD16E2">
      <w:rPr>
        <w:rStyle w:val="PageNumber"/>
        <w:rFonts w:ascii="Arial" w:hAnsi="Arial"/>
        <w:noProof/>
        <w:sz w:val="22"/>
        <w:szCs w:val="22"/>
      </w:rPr>
      <w:t>2</w:t>
    </w:r>
    <w:r w:rsidR="00194D67" w:rsidRPr="00CB5C61">
      <w:rPr>
        <w:rStyle w:val="PageNumber"/>
        <w:rFonts w:ascii="Arial" w:hAnsi="Arial"/>
        <w:sz w:val="22"/>
        <w:szCs w:val="22"/>
      </w:rPr>
      <w:fldChar w:fldCharType="end"/>
    </w:r>
  </w:p>
  <w:p w14:paraId="16361858" w14:textId="77777777" w:rsidR="00AC38A7" w:rsidRDefault="00AC38A7">
    <w:pPr>
      <w:pStyle w:val="Header"/>
      <w:rPr>
        <w:rStyle w:val="PageNumber"/>
        <w:rFonts w:ascii="Arial" w:hAnsi="Arial"/>
      </w:rPr>
    </w:pPr>
  </w:p>
  <w:p w14:paraId="16361859" w14:textId="77777777" w:rsidR="00AC38A7" w:rsidRDefault="00AC38A7">
    <w:pPr>
      <w:pStyle w:val="Header"/>
      <w:rPr>
        <w:rFonts w:ascii="Arial" w:hAnsi="Arial"/>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107"/>
    <w:multiLevelType w:val="hybridMultilevel"/>
    <w:tmpl w:val="0C768B36"/>
    <w:lvl w:ilvl="0" w:tplc="B922F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06B32"/>
    <w:multiLevelType w:val="hybridMultilevel"/>
    <w:tmpl w:val="812CD350"/>
    <w:lvl w:ilvl="0" w:tplc="3BE2B7E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22D3EAC"/>
    <w:multiLevelType w:val="hybridMultilevel"/>
    <w:tmpl w:val="1AF239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3B05410"/>
    <w:multiLevelType w:val="hybridMultilevel"/>
    <w:tmpl w:val="7DD4B730"/>
    <w:lvl w:ilvl="0" w:tplc="5F48BC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5">
    <w:nsid w:val="7BA118A5"/>
    <w:multiLevelType w:val="hybridMultilevel"/>
    <w:tmpl w:val="06460714"/>
    <w:lvl w:ilvl="0" w:tplc="1284BA2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F00B3"/>
    <w:multiLevelType w:val="hybridMultilevel"/>
    <w:tmpl w:val="BC709E58"/>
    <w:lvl w:ilvl="0" w:tplc="1B68BC1C">
      <w:start w:val="3"/>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CC"/>
    <w:rsid w:val="00000E97"/>
    <w:rsid w:val="00001F99"/>
    <w:rsid w:val="000034AB"/>
    <w:rsid w:val="000148A4"/>
    <w:rsid w:val="0001693A"/>
    <w:rsid w:val="00017E1B"/>
    <w:rsid w:val="000243DE"/>
    <w:rsid w:val="00024DBA"/>
    <w:rsid w:val="00032007"/>
    <w:rsid w:val="00034D2F"/>
    <w:rsid w:val="000464B1"/>
    <w:rsid w:val="00061D37"/>
    <w:rsid w:val="00063F32"/>
    <w:rsid w:val="0006517D"/>
    <w:rsid w:val="00077CA4"/>
    <w:rsid w:val="00090977"/>
    <w:rsid w:val="00093F0F"/>
    <w:rsid w:val="000A04C1"/>
    <w:rsid w:val="000A77DE"/>
    <w:rsid w:val="000A78CB"/>
    <w:rsid w:val="000B3267"/>
    <w:rsid w:val="000C197B"/>
    <w:rsid w:val="000C1C5A"/>
    <w:rsid w:val="000C6593"/>
    <w:rsid w:val="000D094E"/>
    <w:rsid w:val="000D18E4"/>
    <w:rsid w:val="000D1A51"/>
    <w:rsid w:val="000D7C6A"/>
    <w:rsid w:val="000E4517"/>
    <w:rsid w:val="000F07E8"/>
    <w:rsid w:val="000F33CF"/>
    <w:rsid w:val="001008E7"/>
    <w:rsid w:val="00112439"/>
    <w:rsid w:val="00112910"/>
    <w:rsid w:val="00126AE7"/>
    <w:rsid w:val="001329D6"/>
    <w:rsid w:val="001418CD"/>
    <w:rsid w:val="00160AF7"/>
    <w:rsid w:val="00172F3D"/>
    <w:rsid w:val="00173722"/>
    <w:rsid w:val="0017590F"/>
    <w:rsid w:val="00194D67"/>
    <w:rsid w:val="001A0359"/>
    <w:rsid w:val="001A4E0C"/>
    <w:rsid w:val="001C077F"/>
    <w:rsid w:val="001C4AAD"/>
    <w:rsid w:val="001E228C"/>
    <w:rsid w:val="001E2766"/>
    <w:rsid w:val="001E3F29"/>
    <w:rsid w:val="001E4E51"/>
    <w:rsid w:val="001F0CD3"/>
    <w:rsid w:val="002042AB"/>
    <w:rsid w:val="00206FAE"/>
    <w:rsid w:val="00207A33"/>
    <w:rsid w:val="00212EEB"/>
    <w:rsid w:val="00216900"/>
    <w:rsid w:val="00221683"/>
    <w:rsid w:val="00244A44"/>
    <w:rsid w:val="00247D7D"/>
    <w:rsid w:val="002531B5"/>
    <w:rsid w:val="002610E0"/>
    <w:rsid w:val="002645AA"/>
    <w:rsid w:val="00275660"/>
    <w:rsid w:val="0028509E"/>
    <w:rsid w:val="00287863"/>
    <w:rsid w:val="0029548E"/>
    <w:rsid w:val="00297BEB"/>
    <w:rsid w:val="002A3F0C"/>
    <w:rsid w:val="002A5D94"/>
    <w:rsid w:val="002C0F19"/>
    <w:rsid w:val="002C6015"/>
    <w:rsid w:val="002E3E9D"/>
    <w:rsid w:val="002F1A22"/>
    <w:rsid w:val="00316DC6"/>
    <w:rsid w:val="003239CE"/>
    <w:rsid w:val="003251C5"/>
    <w:rsid w:val="00340BE7"/>
    <w:rsid w:val="003412CC"/>
    <w:rsid w:val="00361E60"/>
    <w:rsid w:val="00376D9D"/>
    <w:rsid w:val="003870F7"/>
    <w:rsid w:val="00394987"/>
    <w:rsid w:val="003969D2"/>
    <w:rsid w:val="00397255"/>
    <w:rsid w:val="003A2D4F"/>
    <w:rsid w:val="003A6DB5"/>
    <w:rsid w:val="003A751B"/>
    <w:rsid w:val="003B3A81"/>
    <w:rsid w:val="003C46BD"/>
    <w:rsid w:val="003C6614"/>
    <w:rsid w:val="003F0898"/>
    <w:rsid w:val="003F0A67"/>
    <w:rsid w:val="003F1164"/>
    <w:rsid w:val="003F26CE"/>
    <w:rsid w:val="00401B3E"/>
    <w:rsid w:val="004116BE"/>
    <w:rsid w:val="0041190D"/>
    <w:rsid w:val="004211F7"/>
    <w:rsid w:val="00440036"/>
    <w:rsid w:val="00446DEB"/>
    <w:rsid w:val="00451FD4"/>
    <w:rsid w:val="00456B52"/>
    <w:rsid w:val="0046088E"/>
    <w:rsid w:val="004873B9"/>
    <w:rsid w:val="004878FD"/>
    <w:rsid w:val="00490D40"/>
    <w:rsid w:val="004A1B8B"/>
    <w:rsid w:val="004A31BE"/>
    <w:rsid w:val="004A62DB"/>
    <w:rsid w:val="004C2ED7"/>
    <w:rsid w:val="004D1A15"/>
    <w:rsid w:val="004E32C3"/>
    <w:rsid w:val="004E60BD"/>
    <w:rsid w:val="005123BF"/>
    <w:rsid w:val="00515963"/>
    <w:rsid w:val="0051634F"/>
    <w:rsid w:val="0052132C"/>
    <w:rsid w:val="005232A6"/>
    <w:rsid w:val="0052545D"/>
    <w:rsid w:val="00533CE6"/>
    <w:rsid w:val="00540B72"/>
    <w:rsid w:val="005464C2"/>
    <w:rsid w:val="0055358B"/>
    <w:rsid w:val="00555EEF"/>
    <w:rsid w:val="00597759"/>
    <w:rsid w:val="005A2C99"/>
    <w:rsid w:val="005A6089"/>
    <w:rsid w:val="005D145B"/>
    <w:rsid w:val="00604335"/>
    <w:rsid w:val="00617B5B"/>
    <w:rsid w:val="00626C09"/>
    <w:rsid w:val="006326D7"/>
    <w:rsid w:val="00635F38"/>
    <w:rsid w:val="006402D8"/>
    <w:rsid w:val="0064082B"/>
    <w:rsid w:val="00645517"/>
    <w:rsid w:val="006460A1"/>
    <w:rsid w:val="00665FAE"/>
    <w:rsid w:val="00670391"/>
    <w:rsid w:val="00687EFF"/>
    <w:rsid w:val="00692C80"/>
    <w:rsid w:val="00697D95"/>
    <w:rsid w:val="006B31A7"/>
    <w:rsid w:val="006C0293"/>
    <w:rsid w:val="006C2C22"/>
    <w:rsid w:val="006C350B"/>
    <w:rsid w:val="006C7D61"/>
    <w:rsid w:val="006C7F7F"/>
    <w:rsid w:val="006D0221"/>
    <w:rsid w:val="006D0513"/>
    <w:rsid w:val="006E165C"/>
    <w:rsid w:val="006E1F95"/>
    <w:rsid w:val="006E5742"/>
    <w:rsid w:val="006E7CE3"/>
    <w:rsid w:val="006F0BE2"/>
    <w:rsid w:val="007151A9"/>
    <w:rsid w:val="00727A00"/>
    <w:rsid w:val="00727B3E"/>
    <w:rsid w:val="00734FAB"/>
    <w:rsid w:val="0074330C"/>
    <w:rsid w:val="00747C5B"/>
    <w:rsid w:val="00753DF9"/>
    <w:rsid w:val="00755BB7"/>
    <w:rsid w:val="00766C1B"/>
    <w:rsid w:val="00772443"/>
    <w:rsid w:val="007A14A9"/>
    <w:rsid w:val="007C3144"/>
    <w:rsid w:val="007E1629"/>
    <w:rsid w:val="007F23E0"/>
    <w:rsid w:val="0080305C"/>
    <w:rsid w:val="008038EF"/>
    <w:rsid w:val="00805C5A"/>
    <w:rsid w:val="008145DE"/>
    <w:rsid w:val="008201D2"/>
    <w:rsid w:val="00853A51"/>
    <w:rsid w:val="00855222"/>
    <w:rsid w:val="008700B0"/>
    <w:rsid w:val="0088284F"/>
    <w:rsid w:val="00885A00"/>
    <w:rsid w:val="0088685E"/>
    <w:rsid w:val="00890C11"/>
    <w:rsid w:val="00894D8E"/>
    <w:rsid w:val="008B3954"/>
    <w:rsid w:val="008C0025"/>
    <w:rsid w:val="008C7CA8"/>
    <w:rsid w:val="008D4CDF"/>
    <w:rsid w:val="008F37F5"/>
    <w:rsid w:val="008F6620"/>
    <w:rsid w:val="00905F52"/>
    <w:rsid w:val="009124CE"/>
    <w:rsid w:val="00926AA4"/>
    <w:rsid w:val="00930367"/>
    <w:rsid w:val="00942515"/>
    <w:rsid w:val="00953EFF"/>
    <w:rsid w:val="00955043"/>
    <w:rsid w:val="00967F64"/>
    <w:rsid w:val="00977C0E"/>
    <w:rsid w:val="0098069A"/>
    <w:rsid w:val="00986F61"/>
    <w:rsid w:val="00997052"/>
    <w:rsid w:val="009A48BF"/>
    <w:rsid w:val="009B0B84"/>
    <w:rsid w:val="009B3351"/>
    <w:rsid w:val="009C0B26"/>
    <w:rsid w:val="009C4FCD"/>
    <w:rsid w:val="009C5E9A"/>
    <w:rsid w:val="009D5169"/>
    <w:rsid w:val="009F228E"/>
    <w:rsid w:val="009F37C6"/>
    <w:rsid w:val="00A01995"/>
    <w:rsid w:val="00A041C4"/>
    <w:rsid w:val="00A10317"/>
    <w:rsid w:val="00A203B1"/>
    <w:rsid w:val="00A2307B"/>
    <w:rsid w:val="00A32C94"/>
    <w:rsid w:val="00A37E0A"/>
    <w:rsid w:val="00A4741A"/>
    <w:rsid w:val="00A60827"/>
    <w:rsid w:val="00A669A7"/>
    <w:rsid w:val="00A66EED"/>
    <w:rsid w:val="00A73428"/>
    <w:rsid w:val="00A801AD"/>
    <w:rsid w:val="00A92B68"/>
    <w:rsid w:val="00A959F3"/>
    <w:rsid w:val="00AC38A7"/>
    <w:rsid w:val="00AC5C8B"/>
    <w:rsid w:val="00AE26CD"/>
    <w:rsid w:val="00AE2777"/>
    <w:rsid w:val="00AF676F"/>
    <w:rsid w:val="00AF7B42"/>
    <w:rsid w:val="00B00C0C"/>
    <w:rsid w:val="00B013C7"/>
    <w:rsid w:val="00B14FB4"/>
    <w:rsid w:val="00B4430D"/>
    <w:rsid w:val="00B664C2"/>
    <w:rsid w:val="00B67C2A"/>
    <w:rsid w:val="00B76092"/>
    <w:rsid w:val="00B76F2A"/>
    <w:rsid w:val="00B9004E"/>
    <w:rsid w:val="00B913C7"/>
    <w:rsid w:val="00BA5200"/>
    <w:rsid w:val="00C129B9"/>
    <w:rsid w:val="00C30252"/>
    <w:rsid w:val="00C3602B"/>
    <w:rsid w:val="00C53F63"/>
    <w:rsid w:val="00C5472B"/>
    <w:rsid w:val="00C57F6D"/>
    <w:rsid w:val="00C74154"/>
    <w:rsid w:val="00C759E2"/>
    <w:rsid w:val="00C97C47"/>
    <w:rsid w:val="00CA564C"/>
    <w:rsid w:val="00CB5C61"/>
    <w:rsid w:val="00CC10D9"/>
    <w:rsid w:val="00CC35E7"/>
    <w:rsid w:val="00CD6979"/>
    <w:rsid w:val="00CD7BAD"/>
    <w:rsid w:val="00CE3EA6"/>
    <w:rsid w:val="00CF0A84"/>
    <w:rsid w:val="00CF3C67"/>
    <w:rsid w:val="00CF718B"/>
    <w:rsid w:val="00D1300F"/>
    <w:rsid w:val="00D15D5D"/>
    <w:rsid w:val="00D218C8"/>
    <w:rsid w:val="00D42E56"/>
    <w:rsid w:val="00D50922"/>
    <w:rsid w:val="00D61CA9"/>
    <w:rsid w:val="00D64090"/>
    <w:rsid w:val="00D74A3C"/>
    <w:rsid w:val="00D77F22"/>
    <w:rsid w:val="00D95D55"/>
    <w:rsid w:val="00D97E14"/>
    <w:rsid w:val="00DA6EAB"/>
    <w:rsid w:val="00DB7513"/>
    <w:rsid w:val="00DC562A"/>
    <w:rsid w:val="00DC6559"/>
    <w:rsid w:val="00DD1337"/>
    <w:rsid w:val="00DD16E2"/>
    <w:rsid w:val="00DD17DF"/>
    <w:rsid w:val="00DD2784"/>
    <w:rsid w:val="00DE5ACB"/>
    <w:rsid w:val="00DF5C85"/>
    <w:rsid w:val="00E013BB"/>
    <w:rsid w:val="00E37E13"/>
    <w:rsid w:val="00E527AD"/>
    <w:rsid w:val="00E87AF5"/>
    <w:rsid w:val="00E94014"/>
    <w:rsid w:val="00E95DC5"/>
    <w:rsid w:val="00EA0D22"/>
    <w:rsid w:val="00EA3197"/>
    <w:rsid w:val="00EA31C0"/>
    <w:rsid w:val="00EA6799"/>
    <w:rsid w:val="00EB1B6D"/>
    <w:rsid w:val="00EC38FA"/>
    <w:rsid w:val="00ED1220"/>
    <w:rsid w:val="00ED7759"/>
    <w:rsid w:val="00EE38FD"/>
    <w:rsid w:val="00EE417E"/>
    <w:rsid w:val="00EF1877"/>
    <w:rsid w:val="00EF1BCB"/>
    <w:rsid w:val="00F02790"/>
    <w:rsid w:val="00F07EA5"/>
    <w:rsid w:val="00F15613"/>
    <w:rsid w:val="00F3218F"/>
    <w:rsid w:val="00F35515"/>
    <w:rsid w:val="00F3754A"/>
    <w:rsid w:val="00F430A8"/>
    <w:rsid w:val="00F6475E"/>
    <w:rsid w:val="00F668FB"/>
    <w:rsid w:val="00F71E30"/>
    <w:rsid w:val="00F72351"/>
    <w:rsid w:val="00F72615"/>
    <w:rsid w:val="00F85EC0"/>
    <w:rsid w:val="00F86BBF"/>
    <w:rsid w:val="00FA140A"/>
    <w:rsid w:val="00FA5681"/>
    <w:rsid w:val="00FB3313"/>
    <w:rsid w:val="00FB709B"/>
    <w:rsid w:val="00FD40FC"/>
    <w:rsid w:val="00FE0084"/>
    <w:rsid w:val="00FF3B26"/>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1636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29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29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natura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D89D860F3CFF4D81BC479198698E4D" ma:contentTypeVersion="119" ma:contentTypeDescription="" ma:contentTypeScope="" ma:versionID="12879a80b7e4b2f4509201ecbd59dd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2015-03-09T07:00:00+00:00</OpenedDate>
    <Date1 xmlns="dc463f71-b30c-4ab2-9473-d307f9d35888">2015-03-09T07:00:00+00:00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9AA2B6D-0AF0-482E-8154-EEFA325093D8}"/>
</file>

<file path=customXml/itemProps2.xml><?xml version="1.0" encoding="utf-8"?>
<ds:datastoreItem xmlns:ds="http://schemas.openxmlformats.org/officeDocument/2006/customXml" ds:itemID="{6B7B41A6-0411-403C-89A8-BE77CF0F14FD}"/>
</file>

<file path=customXml/itemProps3.xml><?xml version="1.0" encoding="utf-8"?>
<ds:datastoreItem xmlns:ds="http://schemas.openxmlformats.org/officeDocument/2006/customXml" ds:itemID="{3746DF80-B559-4669-968F-2768D1FA9DB9}"/>
</file>

<file path=customXml/itemProps4.xml><?xml version="1.0" encoding="utf-8"?>
<ds:datastoreItem xmlns:ds="http://schemas.openxmlformats.org/officeDocument/2006/customXml" ds:itemID="{742B5EF9-FEB7-4612-85F6-887262E604C4}"/>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Service to CNG Vehicle Refueling Equipment</vt:lpstr>
    </vt:vector>
  </TitlesOfParts>
  <Company>Northwest Natural Gas</Company>
  <LinksUpToDate>false</LinksUpToDate>
  <CharactersWithSpaces>5121</CharactersWithSpaces>
  <SharedDoc>false</SharedDoc>
  <HLinks>
    <vt:vector size="6" baseType="variant">
      <vt:variant>
        <vt:i4>5177363</vt:i4>
      </vt:variant>
      <vt:variant>
        <vt:i4>0</vt:i4>
      </vt:variant>
      <vt:variant>
        <vt:i4>0</vt:i4>
      </vt:variant>
      <vt:variant>
        <vt:i4>5</vt:i4>
      </vt:variant>
      <vt:variant>
        <vt:lpwstr>http://www.nwnatural.com/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to CNG Vehicle Refueling Equipment</dc:title>
  <dc:creator>kcm</dc:creator>
  <cp:lastModifiedBy>Seagondollar, Shannon L.</cp:lastModifiedBy>
  <cp:revision>2</cp:revision>
  <cp:lastPrinted>2015-03-07T22:05:00Z</cp:lastPrinted>
  <dcterms:created xsi:type="dcterms:W3CDTF">2015-03-09T21:08:00Z</dcterms:created>
  <dcterms:modified xsi:type="dcterms:W3CDTF">2015-03-09T21:08:00Z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c53fcad9-569e-4727-a387-508fc324dfbd</vt:lpwstr>
  </property>
  <property fmtid="{D5CDD505-2E9C-101B-9397-08002B2CF9AE}" pid="3" name="ContentTypeId">
    <vt:lpwstr>0x0101006E56B4D1795A2E4DB2F0B01679ED314A0005D89D860F3CFF4D81BC479198698E4D</vt:lpwstr>
  </property>
  <property fmtid="{D5CDD505-2E9C-101B-9397-08002B2CF9AE}" pid="4" name="_docset_NoMedatataSyncRequired">
    <vt:lpwstr>False</vt:lpwstr>
  </property>
</Properties>
</file>